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57" w:rsidRPr="00CB7157" w:rsidRDefault="00CB7157" w:rsidP="00CB7157">
      <w:pPr>
        <w:shd w:val="clear" w:color="auto" w:fill="FFFFFF"/>
        <w:spacing w:before="240" w:after="120"/>
        <w:jc w:val="center"/>
        <w:outlineLvl w:val="0"/>
        <w:rPr>
          <w:rFonts w:ascii="Arial" w:eastAsia="Times New Roman" w:hAnsi="Arial" w:cs="Arial"/>
          <w:b/>
          <w:bCs/>
          <w:color w:val="BD5200"/>
          <w:kern w:val="36"/>
          <w:sz w:val="28"/>
          <w:szCs w:val="28"/>
        </w:rPr>
      </w:pPr>
      <w:r w:rsidRPr="00CB7157">
        <w:rPr>
          <w:rFonts w:ascii="Arial" w:eastAsia="Times New Roman" w:hAnsi="Arial" w:cs="Arial"/>
          <w:b/>
          <w:bCs/>
          <w:color w:val="BD5200"/>
          <w:kern w:val="36"/>
          <w:sz w:val="28"/>
          <w:szCs w:val="28"/>
        </w:rPr>
        <w:t>TRATADO DE LA PRENDA</w:t>
      </w:r>
    </w:p>
    <w:p w:rsidR="00CB7157" w:rsidRPr="00CB7157" w:rsidRDefault="00CB7157" w:rsidP="00CB7157">
      <w:pPr>
        <w:pBdr>
          <w:bottom w:val="single" w:sz="6" w:space="12" w:color="F7B98B"/>
        </w:pBd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bCs/>
          <w:color w:val="BD5200"/>
          <w:sz w:val="19"/>
          <w:szCs w:val="19"/>
        </w:rPr>
      </w:pPr>
      <w:r w:rsidRPr="00CB7157">
        <w:rPr>
          <w:rFonts w:ascii="Arial" w:hAnsi="Arial" w:cs="Arial"/>
          <w:b/>
          <w:bCs/>
          <w:color w:val="BD5200"/>
          <w:sz w:val="19"/>
          <w:szCs w:val="19"/>
        </w:rPr>
        <w:t>Tercera Edición</w:t>
      </w:r>
    </w:p>
    <w:p w:rsidR="00CB7157" w:rsidRPr="00CB7157" w:rsidRDefault="00CB7157" w:rsidP="00CB7157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bCs/>
          <w:color w:val="F7B98B"/>
          <w:sz w:val="19"/>
          <w:szCs w:val="19"/>
        </w:rPr>
      </w:pPr>
      <w:r w:rsidRPr="00CB7157">
        <w:rPr>
          <w:rFonts w:ascii="Arial" w:hAnsi="Arial" w:cs="Arial"/>
          <w:b/>
          <w:bCs/>
          <w:color w:val="F7B98B"/>
          <w:sz w:val="19"/>
          <w:szCs w:val="19"/>
        </w:rPr>
        <w:t>(Autor)</w:t>
      </w:r>
    </w:p>
    <w:p w:rsidR="00CB7157" w:rsidRPr="00CB7157" w:rsidRDefault="00CB7157" w:rsidP="00CB7157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Abel B. Veiga Copo</w:t>
      </w:r>
    </w:p>
    <w:p w:rsidR="00CB7157" w:rsidRPr="00CB7157" w:rsidRDefault="00CB7157" w:rsidP="00CB7157">
      <w:pPr>
        <w:spacing w:before="120" w:after="120"/>
        <w:rPr>
          <w:rFonts w:ascii="Times" w:eastAsia="Times New Roman" w:hAnsi="Times" w:cs="Times New Roman"/>
          <w:sz w:val="20"/>
          <w:szCs w:val="20"/>
        </w:rPr>
      </w:pPr>
      <w:r w:rsidRPr="00CB7157">
        <w:rPr>
          <w:rFonts w:ascii="Times" w:eastAsia="Times New Roman" w:hAnsi="Times" w:cs="Times New Roman"/>
          <w:sz w:val="20"/>
          <w:szCs w:val="20"/>
        </w:rPr>
        <w:pict>
          <v:rect id="_x0000_i1025" style="width:0;height:1.5pt" o:hralign="center" o:hrstd="t" o:hrnoshade="t" o:hr="t" fillcolor="#212121" stroked="f"/>
        </w:pict>
      </w:r>
    </w:p>
    <w:p w:rsidR="00CB7157" w:rsidRPr="00CB7157" w:rsidRDefault="00CB7157" w:rsidP="00CB7157">
      <w:pPr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212121"/>
          <w:kern w:val="36"/>
          <w:sz w:val="20"/>
          <w:szCs w:val="20"/>
        </w:rPr>
      </w:pPr>
      <w:r>
        <w:rPr>
          <w:rFonts w:ascii="Arial" w:eastAsia="Times New Roman" w:hAnsi="Arial" w:cs="Arial"/>
          <w:b/>
          <w:bCs/>
          <w:noProof/>
          <w:color w:val="212121"/>
          <w:kern w:val="36"/>
          <w:sz w:val="20"/>
          <w:szCs w:val="20"/>
          <w:lang w:val="es-ES"/>
        </w:rPr>
        <mc:AlternateContent>
          <mc:Choice Requires="wps">
            <w:drawing>
              <wp:inline distT="0" distB="0" distL="0" distR="0">
                <wp:extent cx="303530" cy="303530"/>
                <wp:effectExtent l="0" t="0" r="0" b="0"/>
                <wp:docPr id="1" name="AutoShape 2" descr="https://proview.thomsonreuters.com/urlResolver/image?relativeUrl=/v1/asset/aranz/monografias/105699254/v3.1/BIB-2020-037316-BIB-logo464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pción: https://proview.thomsonreuters.com/urlResolver/image?relativeUrl=/v1/asset/aranz/monografias/105699254/v3.1/BIB-2020-037316-BIB-logo4648.png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</w:p>
    <w:p w:rsidR="00CB7157" w:rsidRPr="00CB7157" w:rsidRDefault="00CB7157" w:rsidP="00CB7157">
      <w:pPr>
        <w:shd w:val="clear" w:color="auto" w:fill="FFFFFF"/>
        <w:spacing w:before="240"/>
        <w:ind w:left="720"/>
        <w:jc w:val="both"/>
        <w:rPr>
          <w:rFonts w:ascii="Arial" w:hAnsi="Arial" w:cs="Arial"/>
          <w:i/>
          <w:iCs/>
          <w:color w:val="212121"/>
          <w:sz w:val="19"/>
          <w:szCs w:val="19"/>
        </w:rPr>
      </w:pPr>
      <w:r w:rsidRPr="00CB7157">
        <w:rPr>
          <w:rFonts w:ascii="Arial" w:hAnsi="Arial" w:cs="Arial"/>
          <w:i/>
          <w:iCs/>
          <w:color w:val="212121"/>
          <w:sz w:val="19"/>
          <w:szCs w:val="19"/>
        </w:rPr>
        <w:t>Primera edición, 2011</w:t>
      </w:r>
    </w:p>
    <w:p w:rsidR="00CB7157" w:rsidRPr="00CB7157" w:rsidRDefault="00CB7157" w:rsidP="00CB7157">
      <w:pPr>
        <w:shd w:val="clear" w:color="auto" w:fill="FFFFFF"/>
        <w:spacing w:before="240"/>
        <w:ind w:left="720"/>
        <w:jc w:val="both"/>
        <w:rPr>
          <w:rFonts w:ascii="Arial" w:hAnsi="Arial" w:cs="Arial"/>
          <w:i/>
          <w:iCs/>
          <w:color w:val="212121"/>
          <w:sz w:val="19"/>
          <w:szCs w:val="19"/>
        </w:rPr>
      </w:pPr>
      <w:r w:rsidRPr="00CB7157">
        <w:rPr>
          <w:rFonts w:ascii="Arial" w:hAnsi="Arial" w:cs="Arial"/>
          <w:i/>
          <w:iCs/>
          <w:color w:val="212121"/>
          <w:sz w:val="19"/>
          <w:szCs w:val="19"/>
        </w:rPr>
        <w:t>Segunda edición, 2017</w:t>
      </w:r>
    </w:p>
    <w:p w:rsidR="00CB7157" w:rsidRPr="00CB7157" w:rsidRDefault="00CB7157" w:rsidP="00CB7157">
      <w:pPr>
        <w:shd w:val="clear" w:color="auto" w:fill="FFFFFF"/>
        <w:spacing w:before="240"/>
        <w:ind w:left="720"/>
        <w:jc w:val="both"/>
        <w:rPr>
          <w:rFonts w:ascii="Arial" w:hAnsi="Arial" w:cs="Arial"/>
          <w:i/>
          <w:iCs/>
          <w:color w:val="212121"/>
          <w:sz w:val="19"/>
          <w:szCs w:val="19"/>
        </w:rPr>
      </w:pPr>
      <w:r w:rsidRPr="00CB7157">
        <w:rPr>
          <w:rFonts w:ascii="Arial" w:hAnsi="Arial" w:cs="Arial"/>
          <w:i/>
          <w:iCs/>
          <w:color w:val="212121"/>
          <w:sz w:val="19"/>
          <w:szCs w:val="19"/>
        </w:rPr>
        <w:t>Tercera edición, 2021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El editor no se hace responsable de las opiniones recogidas, comentarios y manifestaciones vertidas por los autores. La presente obra recoge exclusivamente la opinión de su autor como manifestación de su derecho de libertad de expresión.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La Editorial se opone expresamente a que cualquiera de las páginas de esta obra o partes de ella sean utilizadas para la realización de resúmenes de prensa.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Cualquier forma de reproducción, distribución, comunicación pública o transformación de esta obra solo puede ser realizada con la autorización de sus titulares, salvo excepción prevista por la ley. Diríjase a CEDRO (Centro Español de Derechos Reprográficos) si necesita fotocopiar o escanear algún fragmento de esta obra (www.conlicencia.com; 91 702 19 70 / 93 272 04 45).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Por tanto, este libro no podrá ser reproducido total o parcialmente, ni transmitirse por procedimientos electrónicos, mecánicos, magnéticos o por sistemas de almacenamiento y recuperación informáticos o cualquier otro medio, quedando prohibidos su préstamo, alquiler o cualquier otra forma de cesión de uso del ejemplar, sin el permiso previo, por escrito, del titular o titulares del copyright.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Thomson Reuters y el logotipo de Thomson Reuters son marcas de Thomson Reuters</w:t>
      </w:r>
    </w:p>
    <w:p w:rsidR="00CB7157" w:rsidRPr="00CB7157" w:rsidRDefault="00CB7157" w:rsidP="00CB7157">
      <w:pPr>
        <w:shd w:val="clear" w:color="auto" w:fill="FFFFFF"/>
        <w:spacing w:before="240" w:after="240"/>
        <w:ind w:left="720"/>
        <w:jc w:val="both"/>
        <w:rPr>
          <w:rFonts w:ascii="Arial" w:hAnsi="Arial" w:cs="Arial"/>
          <w:color w:val="212121"/>
          <w:sz w:val="19"/>
          <w:szCs w:val="19"/>
        </w:rPr>
      </w:pPr>
      <w:r w:rsidRPr="00CB7157">
        <w:rPr>
          <w:rFonts w:ascii="Arial" w:hAnsi="Arial" w:cs="Arial"/>
          <w:color w:val="212121"/>
          <w:sz w:val="19"/>
          <w:szCs w:val="19"/>
        </w:rPr>
        <w:t>Civitas es una marca de Thomson Reuters (Legal) Limited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© 2021 [Thomson Reuters (Legal) Limited / Abel Veiga Copo]© Portada: Thomson Reuters (Legal) Limited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Editorial Civitas, SA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Camino de Galar, 15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31190, Cizur Menor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Teléfono: 902404047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Fax: 902400010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atencionclientes@thomsonreuters.com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www.thomsonreuters.es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Depósito Legal: DL NA 1974-2020</w:t>
      </w:r>
    </w:p>
    <w:p w:rsidR="00CB7157" w:rsidRPr="00CB7157" w:rsidRDefault="00CB7157" w:rsidP="00CB7157">
      <w:pPr>
        <w:shd w:val="clear" w:color="auto" w:fill="FFFFFF"/>
        <w:spacing w:before="48" w:after="48"/>
        <w:ind w:left="1200" w:right="1200"/>
        <w:jc w:val="both"/>
        <w:rPr>
          <w:rFonts w:ascii="Arial" w:hAnsi="Arial" w:cs="Arial"/>
          <w:color w:val="212121"/>
          <w:sz w:val="16"/>
          <w:szCs w:val="16"/>
        </w:rPr>
      </w:pPr>
      <w:r w:rsidRPr="00CB7157">
        <w:rPr>
          <w:rFonts w:ascii="Arial" w:hAnsi="Arial" w:cs="Arial"/>
          <w:color w:val="212121"/>
          <w:sz w:val="16"/>
          <w:szCs w:val="16"/>
        </w:rPr>
        <w:t>ISBN 978-84-1346-357-5</w:t>
      </w:r>
    </w:p>
    <w:p w:rsidR="00454119" w:rsidRDefault="00454119"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8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57"/>
    <w:rsid w:val="00454119"/>
    <w:rsid w:val="00C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CB7157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7157"/>
    <w:rPr>
      <w:rFonts w:ascii="Times" w:hAnsi="Times"/>
      <w:b/>
      <w:bCs/>
      <w:kern w:val="36"/>
      <w:sz w:val="48"/>
      <w:szCs w:val="48"/>
    </w:rPr>
  </w:style>
  <w:style w:type="paragraph" w:customStyle="1" w:styleId="ponedicion">
    <w:name w:val="ponedicio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colaboracioncenter">
    <w:name w:val="poncolaboracioncenter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autorescenter">
    <w:name w:val="ponautorescenter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otraedicion">
    <w:name w:val="ponotraedicio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otherparrafo12">
    <w:name w:val="ponotherparrafo12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copyright">
    <w:name w:val="poncopyright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deposito">
    <w:name w:val="pondeposito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isbn">
    <w:name w:val="ponisb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CB7157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7157"/>
    <w:rPr>
      <w:rFonts w:ascii="Times" w:hAnsi="Times"/>
      <w:b/>
      <w:bCs/>
      <w:kern w:val="36"/>
      <w:sz w:val="48"/>
      <w:szCs w:val="48"/>
    </w:rPr>
  </w:style>
  <w:style w:type="paragraph" w:customStyle="1" w:styleId="ponedicion">
    <w:name w:val="ponedicio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colaboracioncenter">
    <w:name w:val="poncolaboracioncenter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autorescenter">
    <w:name w:val="ponautorescenter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otraedicion">
    <w:name w:val="ponotraedicio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otherparrafo12">
    <w:name w:val="ponotherparrafo12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copyright">
    <w:name w:val="poncopyright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deposito">
    <w:name w:val="pondeposito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ponisbn">
    <w:name w:val="ponisbn"/>
    <w:basedOn w:val="Normal"/>
    <w:rsid w:val="00CB7157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1476</Characters>
  <Application>Microsoft Macintosh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2021-01-14T11:38:00Z</dcterms:created>
  <dcterms:modified xsi:type="dcterms:W3CDTF">2021-01-14T11:39:00Z</dcterms:modified>
</cp:coreProperties>
</file>