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6A9903" w14:textId="77777777" w:rsidR="00905441" w:rsidRDefault="00E902C6" w:rsidP="003D34E1">
      <w:pPr>
        <w:spacing w:before="120" w:after="120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Abstract</w:t>
      </w:r>
      <w:proofErr w:type="spellEnd"/>
      <w:r>
        <w:rPr>
          <w:rFonts w:ascii="Arial" w:hAnsi="Arial" w:cs="Arial"/>
          <w:sz w:val="24"/>
          <w:szCs w:val="24"/>
        </w:rPr>
        <w:t xml:space="preserve"> Salamanca</w:t>
      </w:r>
      <w:bookmarkStart w:id="0" w:name="_GoBack"/>
      <w:bookmarkEnd w:id="0"/>
    </w:p>
    <w:p w14:paraId="437D0A9E" w14:textId="77777777" w:rsidR="003D34E1" w:rsidRDefault="003D34E1" w:rsidP="003D34E1">
      <w:pPr>
        <w:spacing w:before="120" w:after="12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Como es sabido la Ley Orgánica 1/2015 modificó el art. 510 del CP </w:t>
      </w:r>
      <w:r w:rsidR="00905441">
        <w:rPr>
          <w:rFonts w:ascii="Arial" w:hAnsi="Arial" w:cs="Arial"/>
          <w:sz w:val="24"/>
          <w:szCs w:val="24"/>
        </w:rPr>
        <w:t xml:space="preserve">español </w:t>
      </w:r>
      <w:r>
        <w:rPr>
          <w:rFonts w:ascii="Arial" w:hAnsi="Arial" w:cs="Arial"/>
          <w:sz w:val="24"/>
          <w:szCs w:val="24"/>
        </w:rPr>
        <w:t xml:space="preserve">dando una nueva redacción a los </w:t>
      </w:r>
      <w:r w:rsidR="00905441">
        <w:rPr>
          <w:rFonts w:ascii="Arial" w:hAnsi="Arial" w:cs="Arial"/>
          <w:sz w:val="24"/>
          <w:szCs w:val="24"/>
        </w:rPr>
        <w:t xml:space="preserve">llamados </w:t>
      </w:r>
      <w:r>
        <w:rPr>
          <w:rFonts w:ascii="Arial" w:hAnsi="Arial" w:cs="Arial"/>
          <w:sz w:val="24"/>
          <w:szCs w:val="24"/>
        </w:rPr>
        <w:t>delitos de odio</w:t>
      </w:r>
      <w:r w:rsidR="00905441">
        <w:rPr>
          <w:rFonts w:ascii="Arial" w:hAnsi="Arial" w:cs="Arial"/>
          <w:sz w:val="24"/>
          <w:szCs w:val="24"/>
        </w:rPr>
        <w:t xml:space="preserve"> y al discurso del odio</w:t>
      </w:r>
      <w:r>
        <w:rPr>
          <w:rFonts w:ascii="Arial" w:hAnsi="Arial" w:cs="Arial"/>
          <w:sz w:val="24"/>
          <w:szCs w:val="24"/>
        </w:rPr>
        <w:t>.</w:t>
      </w:r>
      <w:r w:rsidR="00905441">
        <w:rPr>
          <w:rFonts w:ascii="Arial" w:hAnsi="Arial" w:cs="Arial"/>
          <w:sz w:val="24"/>
          <w:szCs w:val="24"/>
        </w:rPr>
        <w:t xml:space="preserve"> Cuatro años después</w:t>
      </w:r>
      <w:r w:rsidR="00905441">
        <w:rPr>
          <w:rFonts w:ascii="Arial" w:hAnsi="Arial" w:cs="Arial"/>
          <w:sz w:val="24"/>
          <w:szCs w:val="24"/>
        </w:rPr>
        <w:t xml:space="preserve"> la Fiscalía General del Estado ha publicado su Circular 7/2019</w:t>
      </w:r>
      <w:r w:rsidR="00905441">
        <w:rPr>
          <w:rFonts w:ascii="Arial" w:hAnsi="Arial" w:cs="Arial"/>
          <w:sz w:val="24"/>
          <w:szCs w:val="24"/>
        </w:rPr>
        <w:t>,</w:t>
      </w:r>
      <w:r w:rsidR="00905441">
        <w:rPr>
          <w:rFonts w:ascii="Arial" w:hAnsi="Arial" w:cs="Arial"/>
          <w:sz w:val="24"/>
          <w:szCs w:val="24"/>
        </w:rPr>
        <w:t xml:space="preserve"> de 14/05/2019</w:t>
      </w:r>
      <w:r w:rsidR="00905441">
        <w:rPr>
          <w:rFonts w:ascii="Arial" w:hAnsi="Arial" w:cs="Arial"/>
          <w:sz w:val="24"/>
          <w:szCs w:val="24"/>
        </w:rPr>
        <w:t>,</w:t>
      </w:r>
      <w:r w:rsidR="00905441">
        <w:rPr>
          <w:rFonts w:ascii="Arial" w:hAnsi="Arial" w:cs="Arial"/>
          <w:sz w:val="24"/>
          <w:szCs w:val="24"/>
        </w:rPr>
        <w:t xml:space="preserve"> con el propósito de fijar las pautas interpretativas de las distintas figuras delictivas que </w:t>
      </w:r>
      <w:r w:rsidR="00905441">
        <w:rPr>
          <w:rFonts w:ascii="Arial" w:hAnsi="Arial" w:cs="Arial"/>
          <w:sz w:val="24"/>
          <w:szCs w:val="24"/>
        </w:rPr>
        <w:t>se contienen en el art. 510.</w:t>
      </w:r>
    </w:p>
    <w:p w14:paraId="2F0D214C" w14:textId="77777777" w:rsidR="00905441" w:rsidRDefault="00905441" w:rsidP="003D34E1">
      <w:pPr>
        <w:spacing w:before="120" w:after="12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Fiscalía General valora que el nuevo art. 510 “todavía presenta en su tipicidad unos contornos difusos que, sin duda, dificultan su detección y que, quizá, no permiten que afloren penalmente toda la variedad de conductas que presenta el fenómeno de la “intolerancia excluyente”, en expresión de la STC nº 177/2015, de 22 de julio”.</w:t>
      </w:r>
    </w:p>
    <w:p w14:paraId="25C3288B" w14:textId="77777777" w:rsidR="00905441" w:rsidRPr="003D34E1" w:rsidRDefault="00905441" w:rsidP="003D34E1">
      <w:pPr>
        <w:spacing w:before="120" w:after="12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ponencia que se presenta pretende realizar una valoración crítica, a la luz de los parámetros doctrinales, del contenido de la Circular de la Fiscalía General.</w:t>
      </w:r>
    </w:p>
    <w:sectPr w:rsidR="00905441" w:rsidRPr="003D34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4E1"/>
    <w:rsid w:val="003D34E1"/>
    <w:rsid w:val="00905441"/>
    <w:rsid w:val="00947B88"/>
    <w:rsid w:val="00E9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BECCC"/>
  <w15:chartTrackingRefBased/>
  <w15:docId w15:val="{2E03ABBF-4BDC-42EF-B0C9-F007A57B4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Concepción Molina Blázquez</dc:creator>
  <cp:keywords/>
  <dc:description/>
  <cp:lastModifiedBy>María Concepción Molina Blázquez</cp:lastModifiedBy>
  <cp:revision>1</cp:revision>
  <dcterms:created xsi:type="dcterms:W3CDTF">2019-05-21T09:09:00Z</dcterms:created>
  <dcterms:modified xsi:type="dcterms:W3CDTF">2019-05-21T09:56:00Z</dcterms:modified>
</cp:coreProperties>
</file>