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E2BD" w14:textId="51728E4D" w:rsidR="0061183E" w:rsidRDefault="0061183E" w:rsidP="00B6668B">
      <w:pPr>
        <w:pStyle w:val="TDC1"/>
      </w:pPr>
      <w:r>
        <w:rPr>
          <w:noProof/>
        </w:rPr>
        <w:drawing>
          <wp:inline distT="0" distB="0" distL="0" distR="0" wp14:anchorId="32CA0773" wp14:editId="0C790F83">
            <wp:extent cx="3422650" cy="2586703"/>
            <wp:effectExtent l="0" t="0" r="6350" b="4445"/>
            <wp:docPr id="151924197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41975" name="Imagen 1" descr="Logotipo, nombre de la empresa&#10;&#10;Descripción generada automáticamente"/>
                    <pic:cNvPicPr/>
                  </pic:nvPicPr>
                  <pic:blipFill>
                    <a:blip r:embed="rId8"/>
                    <a:stretch>
                      <a:fillRect/>
                    </a:stretch>
                  </pic:blipFill>
                  <pic:spPr>
                    <a:xfrm>
                      <a:off x="0" y="0"/>
                      <a:ext cx="3440948" cy="2600532"/>
                    </a:xfrm>
                    <a:prstGeom prst="rect">
                      <a:avLst/>
                    </a:prstGeom>
                  </pic:spPr>
                </pic:pic>
              </a:graphicData>
            </a:graphic>
          </wp:inline>
        </w:drawing>
      </w:r>
    </w:p>
    <w:p w14:paraId="5309A669" w14:textId="77777777" w:rsidR="00200D23" w:rsidRPr="00920612" w:rsidRDefault="00200D23" w:rsidP="006037D6"/>
    <w:p w14:paraId="2DBE17D6" w14:textId="77777777" w:rsidR="0061183E" w:rsidRPr="00B6668B" w:rsidRDefault="0061183E" w:rsidP="00B6668B">
      <w:pPr>
        <w:pStyle w:val="TDC1"/>
      </w:pPr>
      <w:r w:rsidRPr="00B6668B">
        <w:t xml:space="preserve">FACULTAD DE CIENCIAS HUMANAS Y SOCIALES </w:t>
      </w:r>
    </w:p>
    <w:p w14:paraId="685E8605" w14:textId="77777777" w:rsidR="00200D23" w:rsidRPr="00B6668B" w:rsidRDefault="00200D23" w:rsidP="00200D23">
      <w:pPr>
        <w:rPr>
          <w:rFonts w:asciiTheme="majorBidi" w:hAnsiTheme="majorBidi" w:cstheme="majorBidi"/>
          <w:sz w:val="24"/>
          <w:szCs w:val="24"/>
          <w:lang w:val="es-ES" w:eastAsia="en-US" w:bidi="ar-SA"/>
        </w:rPr>
      </w:pPr>
    </w:p>
    <w:p w14:paraId="11C10FFF" w14:textId="77777777" w:rsidR="00200D23" w:rsidRDefault="00200D23" w:rsidP="00200D23">
      <w:pPr>
        <w:rPr>
          <w:lang w:val="es-ES" w:eastAsia="en-US" w:bidi="ar-SA"/>
        </w:rPr>
      </w:pPr>
    </w:p>
    <w:p w14:paraId="1D15DBA8" w14:textId="777FFA89" w:rsidR="00200D23" w:rsidRDefault="00200D23" w:rsidP="00200D23">
      <w:pPr>
        <w:jc w:val="center"/>
        <w:rPr>
          <w:rFonts w:asciiTheme="majorBidi" w:hAnsiTheme="majorBidi" w:cstheme="majorBidi"/>
          <w:b/>
          <w:bCs/>
          <w:sz w:val="32"/>
          <w:szCs w:val="32"/>
          <w:lang w:val="es-ES_tradnl"/>
        </w:rPr>
      </w:pPr>
      <w:r w:rsidRPr="006037D6">
        <w:rPr>
          <w:rFonts w:asciiTheme="majorBidi" w:hAnsiTheme="majorBidi" w:cstheme="majorBidi"/>
          <w:b/>
          <w:bCs/>
          <w:sz w:val="32"/>
          <w:szCs w:val="32"/>
          <w:lang w:val="es-ES_tradnl"/>
        </w:rPr>
        <w:t>Factores de riesgo y protección en el desarrollo del síndrome del burnout más prevalentes en el personal sanitario</w:t>
      </w:r>
    </w:p>
    <w:p w14:paraId="4F415414" w14:textId="77777777" w:rsidR="00200D23" w:rsidRPr="006037D6" w:rsidRDefault="00200D23" w:rsidP="006037D6">
      <w:pPr>
        <w:jc w:val="center"/>
        <w:rPr>
          <w:b/>
          <w:bCs/>
          <w:sz w:val="32"/>
          <w:szCs w:val="32"/>
        </w:rPr>
      </w:pPr>
    </w:p>
    <w:p w14:paraId="4256A4E3" w14:textId="22D30D84" w:rsidR="0061183E" w:rsidRPr="005D2F71" w:rsidRDefault="0061183E" w:rsidP="00B6668B">
      <w:pPr>
        <w:pStyle w:val="TDC1"/>
      </w:pPr>
      <w:r w:rsidRPr="005D2F71">
        <w:t xml:space="preserve">Revisión sistemática </w:t>
      </w:r>
    </w:p>
    <w:p w14:paraId="42943343" w14:textId="77777777" w:rsidR="00200D23" w:rsidRPr="005D2F71" w:rsidRDefault="00200D23" w:rsidP="006037D6">
      <w:pPr>
        <w:rPr>
          <w:rFonts w:asciiTheme="majorBidi" w:hAnsiTheme="majorBidi" w:cstheme="majorBidi"/>
          <w:sz w:val="24"/>
          <w:szCs w:val="24"/>
        </w:rPr>
      </w:pPr>
    </w:p>
    <w:p w14:paraId="75B42B3A" w14:textId="77777777" w:rsidR="0061183E" w:rsidRPr="00B6668B" w:rsidRDefault="0061183E" w:rsidP="00B6668B">
      <w:pPr>
        <w:pStyle w:val="TDC1"/>
        <w:rPr>
          <w:b w:val="0"/>
          <w:bCs w:val="0"/>
        </w:rPr>
      </w:pPr>
      <w:r w:rsidRPr="00B6668B">
        <w:rPr>
          <w:b w:val="0"/>
          <w:bCs w:val="0"/>
        </w:rPr>
        <w:t xml:space="preserve">Trabajo de Fin de Máster </w:t>
      </w:r>
    </w:p>
    <w:p w14:paraId="1CA972CD" w14:textId="77777777" w:rsidR="0061183E" w:rsidRPr="00B6668B" w:rsidRDefault="0061183E" w:rsidP="00B6668B">
      <w:pPr>
        <w:pStyle w:val="TDC1"/>
        <w:rPr>
          <w:b w:val="0"/>
          <w:bCs w:val="0"/>
        </w:rPr>
      </w:pPr>
      <w:r w:rsidRPr="00B6668B">
        <w:rPr>
          <w:b w:val="0"/>
          <w:bCs w:val="0"/>
        </w:rPr>
        <w:t xml:space="preserve">Máster Universitario en Psicología General Sanitaria </w:t>
      </w:r>
    </w:p>
    <w:p w14:paraId="23C10DBD" w14:textId="77777777" w:rsidR="00200D23" w:rsidRPr="00B6668B" w:rsidRDefault="00200D23" w:rsidP="006037D6">
      <w:pPr>
        <w:rPr>
          <w:rFonts w:asciiTheme="majorBidi" w:hAnsiTheme="majorBidi" w:cstheme="majorBidi"/>
          <w:sz w:val="24"/>
          <w:szCs w:val="24"/>
        </w:rPr>
      </w:pPr>
    </w:p>
    <w:p w14:paraId="17F87EC3" w14:textId="722C2D82" w:rsidR="0061183E" w:rsidRPr="00B6668B" w:rsidRDefault="0061183E" w:rsidP="00B6668B">
      <w:pPr>
        <w:pStyle w:val="TDC1"/>
        <w:rPr>
          <w:b w:val="0"/>
          <w:bCs w:val="0"/>
        </w:rPr>
      </w:pPr>
      <w:r w:rsidRPr="00B6668B">
        <w:rPr>
          <w:b w:val="0"/>
          <w:bCs w:val="0"/>
        </w:rPr>
        <w:t>Autor/a: Paula María Martínez Muñoz</w:t>
      </w:r>
    </w:p>
    <w:p w14:paraId="35E65DC0" w14:textId="291CD09F" w:rsidR="0061183E" w:rsidRPr="00B6668B" w:rsidRDefault="0061183E" w:rsidP="00B6668B">
      <w:pPr>
        <w:pStyle w:val="TDC1"/>
        <w:rPr>
          <w:b w:val="0"/>
          <w:bCs w:val="0"/>
        </w:rPr>
      </w:pPr>
      <w:r w:rsidRPr="00B6668B">
        <w:rPr>
          <w:b w:val="0"/>
          <w:bCs w:val="0"/>
        </w:rPr>
        <w:t>Director/a:</w:t>
      </w:r>
      <w:r w:rsidR="00200D23" w:rsidRPr="00B6668B">
        <w:rPr>
          <w:b w:val="0"/>
          <w:bCs w:val="0"/>
        </w:rPr>
        <w:t xml:space="preserve"> Andrea Rodríguez</w:t>
      </w:r>
      <w:r w:rsidR="00920612" w:rsidRPr="00B6668B">
        <w:rPr>
          <w:b w:val="0"/>
          <w:bCs w:val="0"/>
        </w:rPr>
        <w:t xml:space="preserve"> </w:t>
      </w:r>
      <w:r w:rsidR="00200D23" w:rsidRPr="00B6668B">
        <w:rPr>
          <w:b w:val="0"/>
          <w:bCs w:val="0"/>
        </w:rPr>
        <w:t>Collado</w:t>
      </w:r>
    </w:p>
    <w:p w14:paraId="28C79CF7" w14:textId="77777777" w:rsidR="00200D23" w:rsidRPr="00B6668B" w:rsidRDefault="00200D23" w:rsidP="006037D6">
      <w:pPr>
        <w:rPr>
          <w:rFonts w:asciiTheme="majorBidi" w:hAnsiTheme="majorBidi" w:cstheme="majorBidi"/>
          <w:sz w:val="24"/>
          <w:szCs w:val="24"/>
        </w:rPr>
      </w:pPr>
    </w:p>
    <w:p w14:paraId="6D4DAB79" w14:textId="77777777" w:rsidR="00200D23" w:rsidRPr="00B6668B" w:rsidRDefault="00200D23" w:rsidP="006037D6">
      <w:pPr>
        <w:rPr>
          <w:rFonts w:asciiTheme="majorBidi" w:hAnsiTheme="majorBidi" w:cstheme="majorBidi"/>
          <w:sz w:val="24"/>
          <w:szCs w:val="24"/>
        </w:rPr>
      </w:pPr>
    </w:p>
    <w:p w14:paraId="2992927B" w14:textId="77777777" w:rsidR="00200D23" w:rsidRPr="00B6668B" w:rsidRDefault="0061183E" w:rsidP="00B6668B">
      <w:pPr>
        <w:pStyle w:val="TDC1"/>
        <w:rPr>
          <w:b w:val="0"/>
          <w:bCs w:val="0"/>
        </w:rPr>
      </w:pPr>
      <w:r w:rsidRPr="00B6668B">
        <w:rPr>
          <w:b w:val="0"/>
          <w:bCs w:val="0"/>
        </w:rPr>
        <w:t xml:space="preserve">Madrid </w:t>
      </w:r>
    </w:p>
    <w:p w14:paraId="6495927F" w14:textId="77200F3F" w:rsidR="0061183E" w:rsidRPr="00B6668B" w:rsidRDefault="0061183E" w:rsidP="00B6668B">
      <w:pPr>
        <w:pStyle w:val="TDC1"/>
        <w:rPr>
          <w:b w:val="0"/>
          <w:bCs w:val="0"/>
        </w:rPr>
      </w:pPr>
      <w:r w:rsidRPr="00B6668B">
        <w:rPr>
          <w:b w:val="0"/>
          <w:bCs w:val="0"/>
        </w:rPr>
        <w:t>202</w:t>
      </w:r>
      <w:r w:rsidR="00920612" w:rsidRPr="00B6668B">
        <w:rPr>
          <w:b w:val="0"/>
          <w:bCs w:val="0"/>
        </w:rPr>
        <w:t>2</w:t>
      </w:r>
      <w:r w:rsidRPr="00B6668B">
        <w:rPr>
          <w:b w:val="0"/>
          <w:bCs w:val="0"/>
        </w:rPr>
        <w:t>/202</w:t>
      </w:r>
      <w:r w:rsidR="00920612" w:rsidRPr="00B6668B">
        <w:rPr>
          <w:b w:val="0"/>
          <w:bCs w:val="0"/>
        </w:rPr>
        <w:t>3</w:t>
      </w:r>
    </w:p>
    <w:p w14:paraId="18DE2713" w14:textId="080C9682" w:rsidR="00200D23" w:rsidRDefault="00200D23" w:rsidP="00200D23">
      <w:pPr>
        <w:rPr>
          <w:lang w:val="es-ES" w:eastAsia="en-US" w:bidi="ar-SA"/>
        </w:rPr>
      </w:pPr>
    </w:p>
    <w:p w14:paraId="65F6B58B" w14:textId="77777777" w:rsidR="006037D6" w:rsidRDefault="006037D6" w:rsidP="00200D23">
      <w:pPr>
        <w:rPr>
          <w:lang w:val="es-ES" w:eastAsia="en-US" w:bidi="ar-SA"/>
        </w:rPr>
      </w:pPr>
    </w:p>
    <w:p w14:paraId="011913CB" w14:textId="77777777" w:rsidR="00200D23" w:rsidRPr="006037D6" w:rsidRDefault="00200D23" w:rsidP="006037D6"/>
    <w:p w14:paraId="0D32BC2F" w14:textId="29750DD6" w:rsidR="00200D23" w:rsidRPr="006037D6" w:rsidRDefault="00200D23" w:rsidP="006037D6">
      <w:pPr>
        <w:spacing w:line="480" w:lineRule="auto"/>
        <w:jc w:val="center"/>
        <w:rPr>
          <w:rFonts w:ascii="Times New Roman" w:eastAsia="Times New Roman" w:hAnsi="Times New Roman" w:cs="Times New Roman"/>
          <w:b/>
          <w:bCs/>
          <w:color w:val="000000"/>
          <w:sz w:val="24"/>
          <w:szCs w:val="24"/>
          <w:lang w:val="es-ES"/>
        </w:rPr>
      </w:pPr>
      <w:r w:rsidRPr="006037D6">
        <w:rPr>
          <w:rFonts w:ascii="Times New Roman" w:eastAsia="Times New Roman" w:hAnsi="Times New Roman" w:cs="Times New Roman"/>
          <w:b/>
          <w:bCs/>
          <w:color w:val="000000"/>
          <w:sz w:val="24"/>
          <w:szCs w:val="24"/>
          <w:lang w:val="es-ES"/>
        </w:rPr>
        <w:lastRenderedPageBreak/>
        <w:t>Resumen</w:t>
      </w:r>
    </w:p>
    <w:p w14:paraId="73D79632" w14:textId="42FD1E6A" w:rsidR="00200D23" w:rsidRPr="00743324" w:rsidRDefault="00743324" w:rsidP="00743324">
      <w:pPr>
        <w:spacing w:line="480" w:lineRule="auto"/>
        <w:rPr>
          <w:rFonts w:ascii="Times New Roman" w:eastAsia="Times New Roman" w:hAnsi="Times New Roman" w:cs="Times New Roman"/>
          <w:sz w:val="24"/>
          <w:szCs w:val="24"/>
          <w:lang w:val="es-ES"/>
        </w:rPr>
      </w:pPr>
      <w:r w:rsidRPr="00743324">
        <w:rPr>
          <w:rFonts w:ascii="Times New Roman" w:eastAsia="Times New Roman" w:hAnsi="Times New Roman" w:cs="Times New Roman"/>
          <w:color w:val="000000"/>
          <w:sz w:val="24"/>
          <w:szCs w:val="24"/>
          <w:lang w:val="es-ES"/>
        </w:rPr>
        <w:t xml:space="preserve">La prevalencia del síndrome de </w:t>
      </w:r>
      <w:r w:rsidRPr="00743324">
        <w:rPr>
          <w:rFonts w:ascii="Times New Roman" w:eastAsia="Times New Roman" w:hAnsi="Times New Roman" w:cs="Times New Roman"/>
          <w:i/>
          <w:iCs/>
          <w:color w:val="000000"/>
          <w:sz w:val="24"/>
          <w:szCs w:val="24"/>
          <w:lang w:val="es-ES"/>
        </w:rPr>
        <w:t>burnout</w:t>
      </w:r>
      <w:r w:rsidRPr="00743324">
        <w:rPr>
          <w:rFonts w:ascii="Times New Roman" w:eastAsia="Times New Roman" w:hAnsi="Times New Roman" w:cs="Times New Roman"/>
          <w:color w:val="000000"/>
          <w:sz w:val="24"/>
          <w:szCs w:val="24"/>
          <w:lang w:val="es-ES"/>
        </w:rPr>
        <w:t xml:space="preserve"> ha crecido exponencialmente en los últimos años</w:t>
      </w:r>
      <w:r w:rsidR="004C6A4E">
        <w:rPr>
          <w:rFonts w:ascii="Times New Roman" w:eastAsia="Times New Roman" w:hAnsi="Times New Roman" w:cs="Times New Roman"/>
          <w:color w:val="000000"/>
          <w:sz w:val="24"/>
          <w:szCs w:val="24"/>
          <w:lang w:val="es-ES"/>
        </w:rPr>
        <w:t xml:space="preserve"> desarrollándose más frecuentemente en profesiones del ámbito sanitario</w:t>
      </w:r>
      <w:r w:rsidRPr="00743324">
        <w:rPr>
          <w:rFonts w:ascii="Times New Roman" w:eastAsia="Times New Roman" w:hAnsi="Times New Roman" w:cs="Times New Roman"/>
          <w:color w:val="000000"/>
          <w:sz w:val="24"/>
          <w:szCs w:val="24"/>
          <w:lang w:val="es-ES"/>
        </w:rPr>
        <w:t>. El burnout</w:t>
      </w:r>
      <w:r w:rsidRPr="00743324">
        <w:rPr>
          <w:rFonts w:ascii="Times New Roman" w:eastAsia="Times New Roman" w:hAnsi="Times New Roman" w:cs="Times New Roman"/>
          <w:i/>
          <w:iCs/>
          <w:color w:val="000000"/>
          <w:sz w:val="24"/>
          <w:szCs w:val="24"/>
          <w:lang w:val="es-ES"/>
        </w:rPr>
        <w:t xml:space="preserve"> </w:t>
      </w:r>
      <w:r w:rsidRPr="00743324">
        <w:rPr>
          <w:rFonts w:ascii="Times New Roman" w:eastAsia="Times New Roman" w:hAnsi="Times New Roman" w:cs="Times New Roman"/>
          <w:color w:val="000000"/>
          <w:sz w:val="24"/>
          <w:szCs w:val="24"/>
          <w:lang w:val="es-ES"/>
        </w:rPr>
        <w:t xml:space="preserve">es una enfermedad que se desarrolla debido a la cronificación del estrés laboral, caracterizado por el agotamiento físico y psicológico. Por ello, la presente revisión sistemática tiene el objetivo de conocer los factores de riesgo y protección del burnout más prevalentes en el personal sanitario. Se realizó una búsqueda de la literatura existente en las bases de datos: PubMed y PsycInfo. Se revisaron 18 artículos que cumplían las siguientes características: (a) estudios empíricos, (b) enfocados a población perteneciente al ámbito sanitario, (c) enfocada en profesionales con alto nivel de formación en el ámbito de la salud física, (d) en sujetos mayores de 18 años, (e) entendiendo los factores de riesgo y protección y el burnout en el personal sanitario, (f) en situaciones de carácter sanitario, (g) excluyendo el burnout debido al COVID-19, (h) en español o en inglés, (i) en artículos de no más de cinco años de antigüedad y (j) de acceso abierto. En la revisión sistemática se observa que el burnout se ve influido por factores (de riesgo y de protección) humanos y laborales, encontrándose correlación del síndrome con los factores específicos de cada estudio, observando en el conjunto de estudios una serie de factores </w:t>
      </w:r>
      <w:r w:rsidR="00A368C6">
        <w:rPr>
          <w:rFonts w:ascii="Times New Roman" w:eastAsia="Times New Roman" w:hAnsi="Times New Roman" w:cs="Times New Roman"/>
          <w:color w:val="000000"/>
          <w:sz w:val="24"/>
          <w:szCs w:val="24"/>
          <w:lang w:val="es-ES"/>
        </w:rPr>
        <w:t xml:space="preserve">comunes </w:t>
      </w:r>
      <w:r w:rsidRPr="00743324">
        <w:rPr>
          <w:rFonts w:ascii="Times New Roman" w:eastAsia="Times New Roman" w:hAnsi="Times New Roman" w:cs="Times New Roman"/>
          <w:color w:val="000000"/>
          <w:sz w:val="24"/>
          <w:szCs w:val="24"/>
          <w:lang w:val="es-ES"/>
        </w:rPr>
        <w:t xml:space="preserve">y que suponen un mayor riesgo o protección para el bienestar de los sanitarios. Las conclusiones son que las características y condiciones del puesto de trabajo son las que influyen principalmente a la hora de desarrollar burnout; sin embargo, también se asocian a su diagnóstico algunas características personales del trabajador. Si bien se han obtenido estos resultados, se recomienda seguir investigando sobre los factores que influyen en el burnout, ampliando el tamaño y la variedad de la muestra. Se </w:t>
      </w:r>
      <w:r w:rsidR="00965D92" w:rsidRPr="00743324">
        <w:rPr>
          <w:rFonts w:ascii="Times New Roman" w:eastAsia="Times New Roman" w:hAnsi="Times New Roman" w:cs="Times New Roman"/>
          <w:color w:val="000000"/>
          <w:sz w:val="24"/>
          <w:szCs w:val="24"/>
          <w:lang w:val="es-ES"/>
        </w:rPr>
        <w:t>propone,</w:t>
      </w:r>
      <w:r w:rsidRPr="00743324">
        <w:rPr>
          <w:rFonts w:ascii="Times New Roman" w:eastAsia="Times New Roman" w:hAnsi="Times New Roman" w:cs="Times New Roman"/>
          <w:color w:val="000000"/>
          <w:sz w:val="24"/>
          <w:szCs w:val="24"/>
          <w:lang w:val="es-ES"/>
        </w:rPr>
        <w:t xml:space="preserve"> además, futuras líneas de investigación como el empleo de estudios longitudinales para un mejor entendimiento de los resultados, así como el estudio de futuros planes de acción para prevenir el desarrollo del síndrome de burnout en el área sanitaria. </w:t>
      </w:r>
      <w:r w:rsidR="00200D23">
        <w:rPr>
          <w:rFonts w:ascii="Times New Roman" w:eastAsia="Times New Roman" w:hAnsi="Times New Roman" w:cs="Times New Roman"/>
          <w:b/>
          <w:bCs/>
          <w:i/>
          <w:iCs/>
          <w:color w:val="000000"/>
          <w:sz w:val="24"/>
          <w:szCs w:val="24"/>
          <w:lang w:val="es-ES"/>
        </w:rPr>
        <w:tab/>
      </w:r>
    </w:p>
    <w:p w14:paraId="1D863F8D" w14:textId="12DEFBCD" w:rsidR="00AE4D63" w:rsidRDefault="00200D23" w:rsidP="00743324">
      <w:pPr>
        <w:spacing w:line="480" w:lineRule="auto"/>
        <w:rPr>
          <w:rFonts w:ascii="Times New Roman" w:eastAsia="Times New Roman" w:hAnsi="Times New Roman" w:cs="Times New Roman"/>
          <w:color w:val="000000"/>
          <w:sz w:val="24"/>
          <w:szCs w:val="24"/>
          <w:lang w:val="es-ES"/>
        </w:rPr>
      </w:pPr>
      <w:r>
        <w:rPr>
          <w:rFonts w:ascii="Times New Roman" w:eastAsia="Times New Roman" w:hAnsi="Times New Roman" w:cs="Times New Roman"/>
          <w:sz w:val="24"/>
          <w:szCs w:val="24"/>
          <w:lang w:val="es-ES"/>
        </w:rPr>
        <w:lastRenderedPageBreak/>
        <w:tab/>
      </w:r>
      <w:r w:rsidR="00743324" w:rsidRPr="00965D92">
        <w:rPr>
          <w:rFonts w:ascii="Times New Roman" w:eastAsia="Times New Roman" w:hAnsi="Times New Roman" w:cs="Times New Roman"/>
          <w:b/>
          <w:bCs/>
          <w:i/>
          <w:iCs/>
          <w:color w:val="000000"/>
          <w:sz w:val="24"/>
          <w:szCs w:val="24"/>
          <w:lang w:val="es-ES"/>
        </w:rPr>
        <w:t>Palabras clave:</w:t>
      </w:r>
      <w:r w:rsidR="00743324" w:rsidRPr="00743324">
        <w:rPr>
          <w:rFonts w:ascii="Times New Roman" w:eastAsia="Times New Roman" w:hAnsi="Times New Roman" w:cs="Times New Roman"/>
          <w:color w:val="000000"/>
          <w:sz w:val="24"/>
          <w:szCs w:val="24"/>
          <w:lang w:val="es-ES"/>
        </w:rPr>
        <w:t xml:space="preserve"> Síndrome de burnout, factores de riesgo, factores de protección, personal sanitario. </w:t>
      </w:r>
    </w:p>
    <w:p w14:paraId="669705A7" w14:textId="74A8DB08" w:rsidR="00AE4D63" w:rsidRDefault="00AE4D63" w:rsidP="00965D92">
      <w:pPr>
        <w:spacing w:line="480" w:lineRule="auto"/>
        <w:jc w:val="center"/>
        <w:rPr>
          <w:rFonts w:ascii="Times New Roman" w:eastAsia="Times New Roman" w:hAnsi="Times New Roman" w:cs="Times New Roman"/>
          <w:b/>
          <w:bCs/>
          <w:color w:val="000000"/>
          <w:sz w:val="24"/>
          <w:szCs w:val="24"/>
          <w:lang w:val="en-US"/>
        </w:rPr>
      </w:pPr>
      <w:r w:rsidRPr="006037D6">
        <w:rPr>
          <w:rFonts w:ascii="Times New Roman" w:eastAsia="Times New Roman" w:hAnsi="Times New Roman" w:cs="Times New Roman"/>
          <w:b/>
          <w:bCs/>
          <w:color w:val="000000"/>
          <w:sz w:val="24"/>
          <w:szCs w:val="24"/>
          <w:lang w:val="en-US"/>
        </w:rPr>
        <w:t>Abstract</w:t>
      </w:r>
    </w:p>
    <w:p w14:paraId="1A77F373" w14:textId="42AA8164" w:rsidR="00C70E88" w:rsidRPr="00C70E88" w:rsidRDefault="00C70E88" w:rsidP="00C70E88">
      <w:pPr>
        <w:spacing w:line="480" w:lineRule="auto"/>
        <w:rPr>
          <w:rFonts w:ascii="Times New Roman" w:eastAsia="Times New Roman" w:hAnsi="Times New Roman" w:cs="Times New Roman"/>
          <w:color w:val="000000"/>
          <w:sz w:val="24"/>
          <w:szCs w:val="24"/>
          <w:lang w:val="en-US"/>
        </w:rPr>
      </w:pPr>
      <w:r w:rsidRPr="00C70E88">
        <w:rPr>
          <w:rFonts w:ascii="Times New Roman" w:eastAsia="Times New Roman" w:hAnsi="Times New Roman" w:cs="Times New Roman"/>
          <w:color w:val="000000"/>
          <w:sz w:val="24"/>
          <w:szCs w:val="24"/>
          <w:lang w:val="en-US"/>
        </w:rPr>
        <w:t xml:space="preserve">The prevalence of burnout syndrome has grown exponentially in recent years and has developed more frequently in healthcare professions. Burnout is a disease that develops due to the chronification of work-related stress, characterised by physical and psychological exhaustion. Therefore, the aim of this systematic review was to identify the most prevalent risk and protective factors for burnout in healthcare workers. A search of the existing literature was carried out in the following databases: PubMed and PsycInfo. Eighteen articles were reviewed that met the following characteristics: (a) empirical studies, (b) focused on population belonging to the healthcare setting, (c) focused on professionals with a high level of training in the field of physical health, (d) in subjects over 18 years of age, (e) understanding risk and protective factors and burnout in healthcare personnel, (f) in healthcare situations, (g) excluding burnout due to COVID-19, (h) in Spanish or English, (i) in articles no more than five years old and (j) open access. The systematic review shows that burnout is influenced by human and work-related (risk and protective) factors, finding a correlation between the syndrome and the specific factors of each study, and observing a series of common factors in the studies as a whole that represent a greater risk or protection for the well-being of healthcare workers. The conclusions are that the characteristics and conditions of the workplace are those that mainly influence the development of burnout; however, some personal characteristics of the worker are also associated with its diagnosis. Although these results have been obtained, further research on the factors influencing burnout is recommended, extending the size and variety of the sample. Future lines of research are also proposed, such as the use of longitudinal studies for a better understanding of the results, </w:t>
      </w:r>
      <w:r w:rsidRPr="00C70E88">
        <w:rPr>
          <w:rFonts w:ascii="Times New Roman" w:eastAsia="Times New Roman" w:hAnsi="Times New Roman" w:cs="Times New Roman"/>
          <w:color w:val="000000"/>
          <w:sz w:val="24"/>
          <w:szCs w:val="24"/>
          <w:lang w:val="en-US"/>
        </w:rPr>
        <w:lastRenderedPageBreak/>
        <w:t>as well as the study of future action plans to prevent the development of burnout syndrome in the healthcare area.</w:t>
      </w:r>
    </w:p>
    <w:p w14:paraId="2EF6D451" w14:textId="50C0305D" w:rsidR="00AE4D63" w:rsidRPr="006037D6" w:rsidRDefault="00AE4D63" w:rsidP="006037D6">
      <w:pPr>
        <w:pStyle w:val="NormalWeb"/>
        <w:spacing w:before="0" w:beforeAutospacing="0" w:after="0" w:afterAutospacing="0" w:line="480" w:lineRule="auto"/>
        <w:ind w:firstLine="708"/>
        <w:rPr>
          <w:lang w:val="en-US"/>
        </w:rPr>
      </w:pPr>
      <w:r w:rsidRPr="006037D6">
        <w:rPr>
          <w:b/>
          <w:bCs/>
          <w:i/>
          <w:iCs/>
          <w:color w:val="000000"/>
          <w:lang w:val="en-US"/>
        </w:rPr>
        <w:t>Keywords:</w:t>
      </w:r>
      <w:r w:rsidRPr="006037D6">
        <w:rPr>
          <w:color w:val="000000"/>
          <w:lang w:val="en-US"/>
        </w:rPr>
        <w:t xml:space="preserve"> burnout syndrome, risk factors, protective factors, healthcare workers</w:t>
      </w:r>
      <w:r w:rsidR="009F6A8E">
        <w:rPr>
          <w:color w:val="000000"/>
          <w:lang w:val="en-US"/>
        </w:rPr>
        <w:t>.</w:t>
      </w:r>
    </w:p>
    <w:p w14:paraId="161A63F0" w14:textId="77777777" w:rsidR="00AE4D63" w:rsidRDefault="00AE4D63" w:rsidP="00743324">
      <w:pPr>
        <w:spacing w:line="480" w:lineRule="auto"/>
        <w:rPr>
          <w:rFonts w:ascii="Times New Roman" w:eastAsia="Times New Roman" w:hAnsi="Times New Roman" w:cs="Times New Roman"/>
          <w:sz w:val="24"/>
          <w:szCs w:val="24"/>
          <w:lang w:val="en-US"/>
        </w:rPr>
      </w:pPr>
    </w:p>
    <w:p w14:paraId="6FB9E182" w14:textId="77777777" w:rsidR="00200D23" w:rsidRDefault="00200D23" w:rsidP="00743324">
      <w:pPr>
        <w:spacing w:line="480" w:lineRule="auto"/>
        <w:rPr>
          <w:rFonts w:ascii="Times New Roman" w:eastAsia="Times New Roman" w:hAnsi="Times New Roman" w:cs="Times New Roman"/>
          <w:sz w:val="24"/>
          <w:szCs w:val="24"/>
          <w:lang w:val="en-US"/>
        </w:rPr>
      </w:pPr>
    </w:p>
    <w:p w14:paraId="7DB692DE" w14:textId="77777777" w:rsidR="00200D23" w:rsidRDefault="00200D23" w:rsidP="00743324">
      <w:pPr>
        <w:spacing w:line="480" w:lineRule="auto"/>
        <w:rPr>
          <w:rFonts w:ascii="Times New Roman" w:eastAsia="Times New Roman" w:hAnsi="Times New Roman" w:cs="Times New Roman"/>
          <w:sz w:val="24"/>
          <w:szCs w:val="24"/>
          <w:lang w:val="en-US"/>
        </w:rPr>
      </w:pPr>
    </w:p>
    <w:p w14:paraId="00181AC0" w14:textId="77777777" w:rsidR="00200D23" w:rsidRDefault="00200D23" w:rsidP="00743324">
      <w:pPr>
        <w:spacing w:line="480" w:lineRule="auto"/>
        <w:rPr>
          <w:rFonts w:ascii="Times New Roman" w:eastAsia="Times New Roman" w:hAnsi="Times New Roman" w:cs="Times New Roman"/>
          <w:sz w:val="24"/>
          <w:szCs w:val="24"/>
          <w:lang w:val="en-US"/>
        </w:rPr>
      </w:pPr>
    </w:p>
    <w:p w14:paraId="65D51D6E" w14:textId="77777777" w:rsidR="00200D23" w:rsidRDefault="00200D23" w:rsidP="00743324">
      <w:pPr>
        <w:spacing w:line="480" w:lineRule="auto"/>
        <w:rPr>
          <w:rFonts w:ascii="Times New Roman" w:eastAsia="Times New Roman" w:hAnsi="Times New Roman" w:cs="Times New Roman"/>
          <w:sz w:val="24"/>
          <w:szCs w:val="24"/>
          <w:lang w:val="en-US"/>
        </w:rPr>
      </w:pPr>
    </w:p>
    <w:p w14:paraId="38095B56" w14:textId="77777777" w:rsidR="00200D23" w:rsidRDefault="00200D23" w:rsidP="00743324">
      <w:pPr>
        <w:spacing w:line="480" w:lineRule="auto"/>
        <w:rPr>
          <w:rFonts w:ascii="Times New Roman" w:eastAsia="Times New Roman" w:hAnsi="Times New Roman" w:cs="Times New Roman"/>
          <w:sz w:val="24"/>
          <w:szCs w:val="24"/>
          <w:lang w:val="en-US"/>
        </w:rPr>
      </w:pPr>
    </w:p>
    <w:p w14:paraId="1F67BA1A" w14:textId="77777777" w:rsidR="00200D23" w:rsidRDefault="00200D23" w:rsidP="00743324">
      <w:pPr>
        <w:spacing w:line="480" w:lineRule="auto"/>
        <w:rPr>
          <w:rFonts w:ascii="Times New Roman" w:eastAsia="Times New Roman" w:hAnsi="Times New Roman" w:cs="Times New Roman"/>
          <w:sz w:val="24"/>
          <w:szCs w:val="24"/>
          <w:lang w:val="en-US"/>
        </w:rPr>
      </w:pPr>
    </w:p>
    <w:p w14:paraId="17AD1310" w14:textId="77777777" w:rsidR="00200D23" w:rsidRDefault="00200D23" w:rsidP="00743324">
      <w:pPr>
        <w:spacing w:line="480" w:lineRule="auto"/>
        <w:rPr>
          <w:rFonts w:ascii="Times New Roman" w:eastAsia="Times New Roman" w:hAnsi="Times New Roman" w:cs="Times New Roman"/>
          <w:sz w:val="24"/>
          <w:szCs w:val="24"/>
          <w:lang w:val="en-US"/>
        </w:rPr>
      </w:pPr>
    </w:p>
    <w:p w14:paraId="0517880C" w14:textId="77777777" w:rsidR="00200D23" w:rsidRPr="006037D6" w:rsidRDefault="00200D23" w:rsidP="00743324">
      <w:pPr>
        <w:spacing w:line="480" w:lineRule="auto"/>
        <w:rPr>
          <w:rFonts w:ascii="Times New Roman" w:eastAsia="Times New Roman" w:hAnsi="Times New Roman" w:cs="Times New Roman"/>
          <w:sz w:val="24"/>
          <w:szCs w:val="24"/>
          <w:lang w:val="en-US"/>
        </w:rPr>
      </w:pPr>
    </w:p>
    <w:p w14:paraId="467CE645" w14:textId="77777777" w:rsidR="00855406" w:rsidRPr="006037D6" w:rsidRDefault="00855406" w:rsidP="006037D6">
      <w:pPr>
        <w:rPr>
          <w:lang w:val="en-US"/>
        </w:rPr>
      </w:pPr>
    </w:p>
    <w:p w14:paraId="79C8BAAB"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13A02B9C"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4A559764"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0F384A56"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405BC74E"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1C1E6E3A"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7E05296B"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7C32EEE9"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52B7663A"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p w14:paraId="0F50D009" w14:textId="77777777" w:rsidR="00200D23" w:rsidRPr="00A373B6" w:rsidRDefault="00200D23">
      <w:pPr>
        <w:spacing w:after="160" w:line="480" w:lineRule="auto"/>
        <w:jc w:val="center"/>
        <w:rPr>
          <w:rFonts w:ascii="Times New Roman" w:eastAsia="Times New Roman" w:hAnsi="Times New Roman" w:cs="Times New Roman"/>
          <w:b/>
          <w:bCs/>
          <w:color w:val="000000"/>
          <w:sz w:val="24"/>
          <w:szCs w:val="24"/>
          <w:lang w:val="en-US"/>
        </w:rPr>
      </w:pPr>
    </w:p>
    <w:sdt>
      <w:sdtPr>
        <w:rPr>
          <w:rFonts w:ascii="Arial" w:eastAsia="Arial" w:hAnsi="Arial" w:cs="Arial"/>
          <w:b w:val="0"/>
          <w:bCs w:val="0"/>
          <w:color w:val="auto"/>
          <w:sz w:val="22"/>
          <w:szCs w:val="22"/>
          <w:lang w:val="es" w:bidi="yi-Hebr"/>
        </w:rPr>
        <w:id w:val="1094048335"/>
        <w:docPartObj>
          <w:docPartGallery w:val="Table of Contents"/>
          <w:docPartUnique/>
        </w:docPartObj>
      </w:sdtPr>
      <w:sdtContent>
        <w:p w14:paraId="353C3F60" w14:textId="294C138F" w:rsidR="000D699E" w:rsidRDefault="000D699E">
          <w:pPr>
            <w:pStyle w:val="TtuloTDC"/>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Índice</w:t>
          </w:r>
        </w:p>
        <w:p w14:paraId="4A232D4E" w14:textId="77777777" w:rsidR="000D699E" w:rsidRPr="00920612" w:rsidRDefault="000D699E" w:rsidP="006037D6"/>
        <w:p w14:paraId="3ABEFF1D" w14:textId="0B54EB49" w:rsidR="000D699E" w:rsidRPr="006037D6" w:rsidRDefault="000D699E" w:rsidP="00B6668B">
          <w:pPr>
            <w:pStyle w:val="TDC1"/>
            <w:numPr>
              <w:ilvl w:val="0"/>
              <w:numId w:val="2"/>
            </w:numPr>
            <w:rPr>
              <w:rFonts w:eastAsiaTheme="minorEastAsia"/>
              <w:noProof/>
              <w:kern w:val="2"/>
              <w:lang w:eastAsia="es-ES"/>
              <w14:ligatures w14:val="standardContextual"/>
            </w:rPr>
          </w:pPr>
          <w:r w:rsidRPr="006037D6">
            <w:rPr>
              <w:rFonts w:asciiTheme="minorHAnsi" w:hAnsiTheme="minorHAnsi" w:cstheme="minorBidi"/>
              <w:sz w:val="22"/>
              <w:szCs w:val="22"/>
            </w:rPr>
            <w:fldChar w:fldCharType="begin"/>
          </w:r>
          <w:r w:rsidRPr="006037D6">
            <w:instrText xml:space="preserve"> TOC \o "1-3" \h \z \u </w:instrText>
          </w:r>
          <w:r w:rsidRPr="006037D6">
            <w:rPr>
              <w:rFonts w:asciiTheme="minorHAnsi" w:hAnsiTheme="minorHAnsi" w:cstheme="minorBidi"/>
              <w:sz w:val="22"/>
              <w:szCs w:val="22"/>
            </w:rPr>
            <w:fldChar w:fldCharType="separate"/>
          </w:r>
          <w:hyperlink w:anchor="_Toc137811615" w:history="1">
            <w:r w:rsidRPr="006037D6">
              <w:rPr>
                <w:rStyle w:val="Hipervnculo"/>
                <w:rFonts w:ascii="Times New Roman" w:hAnsi="Times New Roman" w:cs="Times New Roman"/>
                <w:noProof/>
                <w:lang w:bidi="yi-Hebr"/>
              </w:rPr>
              <w:t>Introducción</w:t>
            </w:r>
            <w:r w:rsidRPr="006037D6">
              <w:rPr>
                <w:noProof/>
                <w:webHidden/>
              </w:rPr>
              <w:tab/>
            </w:r>
          </w:hyperlink>
          <w:r w:rsidR="00A22AB5">
            <w:rPr>
              <w:noProof/>
            </w:rPr>
            <w:t>5</w:t>
          </w:r>
        </w:p>
        <w:p w14:paraId="4C4DC6FD" w14:textId="177017E2" w:rsidR="000D699E" w:rsidRPr="006037D6" w:rsidRDefault="000D699E" w:rsidP="00B6668B">
          <w:pPr>
            <w:pStyle w:val="TDC1"/>
            <w:rPr>
              <w:rFonts w:eastAsiaTheme="minorEastAsia"/>
              <w:noProof/>
              <w:kern w:val="2"/>
              <w:lang w:eastAsia="es-ES"/>
              <w14:ligatures w14:val="standardContextual"/>
            </w:rPr>
          </w:pPr>
          <w:r w:rsidRPr="006037D6">
            <w:rPr>
              <w:rStyle w:val="Hipervnculo"/>
              <w:rFonts w:ascii="Times New Roman" w:hAnsi="Times New Roman" w:cs="Times New Roman"/>
              <w:noProof/>
              <w:color w:val="000000" w:themeColor="text1"/>
              <w:u w:val="none"/>
            </w:rPr>
            <w:t xml:space="preserve">2. </w:t>
          </w:r>
          <w:hyperlink w:anchor="_Toc137811616" w:history="1">
            <w:r w:rsidRPr="006037D6">
              <w:rPr>
                <w:rStyle w:val="Hipervnculo"/>
                <w:rFonts w:ascii="Times New Roman" w:hAnsi="Times New Roman" w:cs="Times New Roman"/>
                <w:noProof/>
                <w:color w:val="000000" w:themeColor="text1"/>
                <w:u w:val="none"/>
                <w:lang w:bidi="yi-Hebr"/>
              </w:rPr>
              <w:t>Metodología</w:t>
            </w:r>
            <w:r w:rsidRPr="006037D6">
              <w:rPr>
                <w:noProof/>
                <w:webHidden/>
              </w:rPr>
              <w:tab/>
            </w:r>
            <w:r w:rsidRPr="006037D6">
              <w:rPr>
                <w:noProof/>
                <w:webHidden/>
              </w:rPr>
              <w:fldChar w:fldCharType="begin"/>
            </w:r>
            <w:r w:rsidRPr="006037D6">
              <w:rPr>
                <w:noProof/>
                <w:webHidden/>
              </w:rPr>
              <w:instrText xml:space="preserve"> PAGEREF _Toc137811616 \h </w:instrText>
            </w:r>
            <w:r w:rsidRPr="006037D6">
              <w:rPr>
                <w:noProof/>
                <w:webHidden/>
              </w:rPr>
            </w:r>
            <w:r w:rsidRPr="006037D6">
              <w:rPr>
                <w:noProof/>
                <w:webHidden/>
              </w:rPr>
              <w:fldChar w:fldCharType="separate"/>
            </w:r>
            <w:r w:rsidRPr="006037D6">
              <w:rPr>
                <w:noProof/>
                <w:webHidden/>
              </w:rPr>
              <w:t>8</w:t>
            </w:r>
            <w:r w:rsidRPr="006037D6">
              <w:rPr>
                <w:noProof/>
                <w:webHidden/>
              </w:rPr>
              <w:fldChar w:fldCharType="end"/>
            </w:r>
          </w:hyperlink>
        </w:p>
        <w:p w14:paraId="5ED7AE60" w14:textId="0A707CB4"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2.1. </w:t>
          </w:r>
          <w:hyperlink w:anchor="_Toc137811617" w:history="1">
            <w:r w:rsidRPr="006037D6">
              <w:rPr>
                <w:rStyle w:val="Hipervnculo"/>
                <w:rFonts w:ascii="Times New Roman" w:eastAsia="Times New Roman" w:hAnsi="Times New Roman" w:cs="Times New Roman"/>
                <w:noProof/>
                <w:color w:val="000000" w:themeColor="text1"/>
                <w:sz w:val="24"/>
                <w:szCs w:val="24"/>
                <w:u w:val="none"/>
                <w:lang w:bidi="yi-Hebr"/>
              </w:rPr>
              <w:t>Estrategias de Búsqueda</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_Toc137811617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8</w:t>
            </w:r>
            <w:r w:rsidRPr="006037D6">
              <w:rPr>
                <w:rFonts w:ascii="Times New Roman" w:hAnsi="Times New Roman" w:cs="Times New Roman"/>
                <w:noProof/>
                <w:webHidden/>
                <w:color w:val="000000" w:themeColor="text1"/>
                <w:sz w:val="24"/>
                <w:szCs w:val="24"/>
              </w:rPr>
              <w:fldChar w:fldCharType="end"/>
            </w:r>
          </w:hyperlink>
        </w:p>
        <w:p w14:paraId="13498A3F" w14:textId="5FC795FB"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2.2. </w:t>
          </w:r>
          <w:hyperlink w:anchor="_Toc137811618" w:history="1">
            <w:r w:rsidRPr="006037D6">
              <w:rPr>
                <w:rStyle w:val="Hipervnculo"/>
                <w:rFonts w:ascii="Times New Roman" w:hAnsi="Times New Roman" w:cs="Times New Roman"/>
                <w:noProof/>
                <w:color w:val="000000" w:themeColor="text1"/>
                <w:sz w:val="24"/>
                <w:szCs w:val="24"/>
                <w:u w:val="none"/>
                <w:lang w:bidi="yi-Hebr"/>
              </w:rPr>
              <w:t>Variables</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_Toc137811618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10</w:t>
            </w:r>
            <w:r w:rsidRPr="006037D6">
              <w:rPr>
                <w:rFonts w:ascii="Times New Roman" w:hAnsi="Times New Roman" w:cs="Times New Roman"/>
                <w:noProof/>
                <w:webHidden/>
                <w:color w:val="000000" w:themeColor="text1"/>
                <w:sz w:val="24"/>
                <w:szCs w:val="24"/>
              </w:rPr>
              <w:fldChar w:fldCharType="end"/>
            </w:r>
          </w:hyperlink>
        </w:p>
        <w:p w14:paraId="07493F8C" w14:textId="53A1364A"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2.3. </w:t>
          </w:r>
          <w:hyperlink w:anchor="_Toc137811619" w:history="1">
            <w:r w:rsidRPr="006037D6">
              <w:rPr>
                <w:rStyle w:val="Hipervnculo"/>
                <w:rFonts w:ascii="Times New Roman" w:hAnsi="Times New Roman" w:cs="Times New Roman"/>
                <w:noProof/>
                <w:color w:val="000000" w:themeColor="text1"/>
                <w:sz w:val="24"/>
                <w:szCs w:val="24"/>
                <w:u w:val="none"/>
                <w:lang w:bidi="yi-Hebr"/>
              </w:rPr>
              <w:t>Análisis de datos</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_Toc137811619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11</w:t>
            </w:r>
            <w:r w:rsidRPr="006037D6">
              <w:rPr>
                <w:rFonts w:ascii="Times New Roman" w:hAnsi="Times New Roman" w:cs="Times New Roman"/>
                <w:noProof/>
                <w:webHidden/>
                <w:color w:val="000000" w:themeColor="text1"/>
                <w:sz w:val="24"/>
                <w:szCs w:val="24"/>
              </w:rPr>
              <w:fldChar w:fldCharType="end"/>
            </w:r>
          </w:hyperlink>
        </w:p>
        <w:p w14:paraId="20179B3A" w14:textId="34A30A62" w:rsidR="000D699E" w:rsidRPr="006037D6" w:rsidRDefault="000D699E" w:rsidP="00B6668B">
          <w:pPr>
            <w:pStyle w:val="TDC1"/>
            <w:rPr>
              <w:rFonts w:eastAsiaTheme="minorEastAsia"/>
              <w:noProof/>
              <w:kern w:val="2"/>
              <w:lang w:eastAsia="es-ES"/>
              <w14:ligatures w14:val="standardContextual"/>
            </w:rPr>
          </w:pPr>
          <w:r w:rsidRPr="006037D6">
            <w:rPr>
              <w:rStyle w:val="Hipervnculo"/>
              <w:rFonts w:ascii="Times New Roman" w:hAnsi="Times New Roman" w:cs="Times New Roman"/>
              <w:noProof/>
              <w:color w:val="000000" w:themeColor="text1"/>
              <w:u w:val="none"/>
            </w:rPr>
            <w:t xml:space="preserve">3. </w:t>
          </w:r>
          <w:hyperlink w:anchor="_Toc137811620" w:history="1">
            <w:r w:rsidRPr="006037D6">
              <w:rPr>
                <w:rStyle w:val="Hipervnculo"/>
                <w:rFonts w:ascii="Times New Roman" w:hAnsi="Times New Roman" w:cs="Times New Roman"/>
                <w:noProof/>
                <w:color w:val="000000" w:themeColor="text1"/>
                <w:u w:val="none"/>
                <w:lang w:bidi="yi-Hebr"/>
              </w:rPr>
              <w:t>Resultados</w:t>
            </w:r>
            <w:r w:rsidRPr="006037D6">
              <w:rPr>
                <w:noProof/>
                <w:webHidden/>
              </w:rPr>
              <w:tab/>
            </w:r>
            <w:r w:rsidRPr="006037D6">
              <w:rPr>
                <w:noProof/>
                <w:webHidden/>
              </w:rPr>
              <w:fldChar w:fldCharType="begin"/>
            </w:r>
            <w:r w:rsidRPr="006037D6">
              <w:rPr>
                <w:noProof/>
                <w:webHidden/>
              </w:rPr>
              <w:instrText xml:space="preserve"> PAGEREF _Toc137811620 \h </w:instrText>
            </w:r>
            <w:r w:rsidRPr="006037D6">
              <w:rPr>
                <w:noProof/>
                <w:webHidden/>
              </w:rPr>
            </w:r>
            <w:r w:rsidRPr="006037D6">
              <w:rPr>
                <w:noProof/>
                <w:webHidden/>
              </w:rPr>
              <w:fldChar w:fldCharType="separate"/>
            </w:r>
            <w:r w:rsidRPr="006037D6">
              <w:rPr>
                <w:noProof/>
                <w:webHidden/>
              </w:rPr>
              <w:t>11</w:t>
            </w:r>
            <w:r w:rsidRPr="006037D6">
              <w:rPr>
                <w:noProof/>
                <w:webHidden/>
              </w:rPr>
              <w:fldChar w:fldCharType="end"/>
            </w:r>
          </w:hyperlink>
        </w:p>
        <w:p w14:paraId="44AAD0D8" w14:textId="70FF74AC"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3.1. </w:t>
          </w:r>
          <w:hyperlink w:anchor="_Toc137811621" w:history="1">
            <w:r w:rsidRPr="006037D6">
              <w:rPr>
                <w:rStyle w:val="Hipervnculo"/>
                <w:rFonts w:ascii="Times New Roman" w:eastAsia="Times New Roman" w:hAnsi="Times New Roman" w:cs="Times New Roman"/>
                <w:noProof/>
                <w:color w:val="000000" w:themeColor="text1"/>
                <w:sz w:val="24"/>
                <w:szCs w:val="24"/>
                <w:u w:val="none"/>
                <w:lang w:bidi="yi-Hebr"/>
              </w:rPr>
              <w:t>Características Metodológicas</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_Toc137811621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12</w:t>
            </w:r>
            <w:r w:rsidRPr="006037D6">
              <w:rPr>
                <w:rFonts w:ascii="Times New Roman" w:hAnsi="Times New Roman" w:cs="Times New Roman"/>
                <w:noProof/>
                <w:webHidden/>
                <w:color w:val="000000" w:themeColor="text1"/>
                <w:sz w:val="24"/>
                <w:szCs w:val="24"/>
              </w:rPr>
              <w:fldChar w:fldCharType="end"/>
            </w:r>
          </w:hyperlink>
        </w:p>
        <w:p w14:paraId="681AC0F6" w14:textId="011E7A33"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3.2. </w:t>
          </w:r>
          <w:hyperlink w:anchor="_Toc137811622" w:history="1">
            <w:r w:rsidRPr="006037D6">
              <w:rPr>
                <w:rStyle w:val="Hipervnculo"/>
                <w:rFonts w:ascii="Times New Roman" w:eastAsia="Times New Roman" w:hAnsi="Times New Roman" w:cs="Times New Roman"/>
                <w:noProof/>
                <w:color w:val="000000" w:themeColor="text1"/>
                <w:sz w:val="24"/>
                <w:szCs w:val="24"/>
                <w:u w:val="none"/>
                <w:lang w:bidi="yi-Hebr"/>
              </w:rPr>
              <w:t>Característica de la Muestra</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_Toc137811622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13</w:t>
            </w:r>
            <w:r w:rsidRPr="006037D6">
              <w:rPr>
                <w:rFonts w:ascii="Times New Roman" w:hAnsi="Times New Roman" w:cs="Times New Roman"/>
                <w:noProof/>
                <w:webHidden/>
                <w:color w:val="000000" w:themeColor="text1"/>
                <w:sz w:val="24"/>
                <w:szCs w:val="24"/>
              </w:rPr>
              <w:fldChar w:fldCharType="end"/>
            </w:r>
          </w:hyperlink>
        </w:p>
        <w:p w14:paraId="65699D0B" w14:textId="2DBC9E01"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3.3. </w:t>
          </w:r>
          <w:hyperlink w:anchor="_Toc137811623" w:history="1">
            <w:r w:rsidRPr="006037D6">
              <w:rPr>
                <w:rStyle w:val="Hipervnculo"/>
                <w:rFonts w:ascii="Times New Roman" w:eastAsia="Times New Roman" w:hAnsi="Times New Roman" w:cs="Times New Roman"/>
                <w:noProof/>
                <w:color w:val="000000" w:themeColor="text1"/>
                <w:sz w:val="24"/>
                <w:szCs w:val="24"/>
                <w:u w:val="none"/>
                <w:lang w:bidi="yi-Hebr"/>
              </w:rPr>
              <w:t>Resultados</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_Toc137811623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14</w:t>
            </w:r>
            <w:r w:rsidRPr="006037D6">
              <w:rPr>
                <w:rFonts w:ascii="Times New Roman" w:hAnsi="Times New Roman" w:cs="Times New Roman"/>
                <w:noProof/>
                <w:webHidden/>
                <w:color w:val="000000" w:themeColor="text1"/>
                <w:sz w:val="24"/>
                <w:szCs w:val="24"/>
              </w:rPr>
              <w:fldChar w:fldCharType="end"/>
            </w:r>
          </w:hyperlink>
        </w:p>
        <w:p w14:paraId="1FBA9C9E" w14:textId="6056C326" w:rsidR="000D699E" w:rsidRPr="006037D6" w:rsidRDefault="000D699E" w:rsidP="00B6668B">
          <w:pPr>
            <w:pStyle w:val="TDC1"/>
            <w:rPr>
              <w:rFonts w:eastAsiaTheme="minorEastAsia"/>
              <w:noProof/>
              <w:kern w:val="2"/>
              <w:lang w:eastAsia="es-ES"/>
              <w14:ligatures w14:val="standardContextual"/>
            </w:rPr>
          </w:pPr>
          <w:r w:rsidRPr="006037D6">
            <w:rPr>
              <w:rStyle w:val="Hipervnculo"/>
              <w:rFonts w:ascii="Times New Roman" w:hAnsi="Times New Roman" w:cs="Times New Roman"/>
              <w:noProof/>
              <w:color w:val="000000" w:themeColor="text1"/>
              <w:u w:val="none"/>
            </w:rPr>
            <w:t xml:space="preserve">4. </w:t>
          </w:r>
          <w:hyperlink w:anchor="_Toc137811624" w:history="1">
            <w:r w:rsidRPr="006037D6">
              <w:rPr>
                <w:rStyle w:val="Hipervnculo"/>
                <w:rFonts w:ascii="Times New Roman" w:hAnsi="Times New Roman" w:cs="Times New Roman"/>
                <w:noProof/>
                <w:color w:val="000000" w:themeColor="text1"/>
                <w:u w:val="none"/>
                <w:lang w:bidi="yi-Hebr"/>
              </w:rPr>
              <w:t>Discusión</w:t>
            </w:r>
            <w:r w:rsidRPr="006037D6">
              <w:rPr>
                <w:noProof/>
                <w:webHidden/>
              </w:rPr>
              <w:tab/>
            </w:r>
            <w:r w:rsidRPr="006037D6">
              <w:rPr>
                <w:noProof/>
                <w:webHidden/>
              </w:rPr>
              <w:fldChar w:fldCharType="begin"/>
            </w:r>
            <w:r w:rsidRPr="006037D6">
              <w:rPr>
                <w:noProof/>
                <w:webHidden/>
              </w:rPr>
              <w:instrText xml:space="preserve"> PAGEREF _Toc137811624 \h </w:instrText>
            </w:r>
            <w:r w:rsidRPr="006037D6">
              <w:rPr>
                <w:noProof/>
                <w:webHidden/>
              </w:rPr>
            </w:r>
            <w:r w:rsidRPr="006037D6">
              <w:rPr>
                <w:noProof/>
                <w:webHidden/>
              </w:rPr>
              <w:fldChar w:fldCharType="separate"/>
            </w:r>
            <w:r w:rsidRPr="006037D6">
              <w:rPr>
                <w:noProof/>
                <w:webHidden/>
              </w:rPr>
              <w:t>18</w:t>
            </w:r>
            <w:r w:rsidRPr="006037D6">
              <w:rPr>
                <w:noProof/>
                <w:webHidden/>
              </w:rPr>
              <w:fldChar w:fldCharType="end"/>
            </w:r>
          </w:hyperlink>
        </w:p>
        <w:p w14:paraId="55172945" w14:textId="3EA10C1F"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4.1. </w:t>
          </w:r>
          <w:hyperlink w:anchor="_Toc137811625" w:history="1">
            <w:r w:rsidRPr="006037D6">
              <w:rPr>
                <w:rStyle w:val="Hipervnculo"/>
                <w:rFonts w:ascii="Times New Roman" w:eastAsia="Times New Roman" w:hAnsi="Times New Roman" w:cs="Times New Roman"/>
                <w:noProof/>
                <w:color w:val="000000" w:themeColor="text1"/>
                <w:sz w:val="24"/>
                <w:szCs w:val="24"/>
                <w:u w:val="none"/>
                <w:lang w:bidi="yi-Hebr"/>
              </w:rPr>
              <w:t>Limitaciones</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_Toc137811625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21</w:t>
            </w:r>
            <w:r w:rsidRPr="006037D6">
              <w:rPr>
                <w:rFonts w:ascii="Times New Roman" w:hAnsi="Times New Roman" w:cs="Times New Roman"/>
                <w:noProof/>
                <w:webHidden/>
                <w:color w:val="000000" w:themeColor="text1"/>
                <w:sz w:val="24"/>
                <w:szCs w:val="24"/>
              </w:rPr>
              <w:fldChar w:fldCharType="end"/>
            </w:r>
          </w:hyperlink>
        </w:p>
        <w:p w14:paraId="74972E08" w14:textId="1C81CA69" w:rsidR="000D699E" w:rsidRPr="006037D6" w:rsidRDefault="000D699E">
          <w:pPr>
            <w:pStyle w:val="TDC2"/>
            <w:rPr>
              <w:rFonts w:ascii="Times New Roman" w:eastAsiaTheme="minorEastAsia" w:hAnsi="Times New Roman" w:cs="Times New Roman"/>
              <w:noProof/>
              <w:color w:val="000000" w:themeColor="text1"/>
              <w:kern w:val="2"/>
              <w:sz w:val="24"/>
              <w:szCs w:val="24"/>
              <w:lang w:eastAsia="es-ES"/>
              <w14:ligatures w14:val="standardContextual"/>
            </w:rPr>
          </w:pPr>
          <w:r w:rsidRPr="006037D6">
            <w:rPr>
              <w:rStyle w:val="Hipervnculo"/>
              <w:rFonts w:ascii="Times New Roman" w:hAnsi="Times New Roman" w:cs="Times New Roman"/>
              <w:noProof/>
              <w:color w:val="000000" w:themeColor="text1"/>
              <w:sz w:val="24"/>
              <w:szCs w:val="24"/>
              <w:u w:val="none"/>
            </w:rPr>
            <w:t xml:space="preserve">4.2. </w:t>
          </w:r>
          <w:hyperlink w:anchor="_Toc137811626" w:history="1">
            <w:r w:rsidRPr="006037D6">
              <w:rPr>
                <w:rStyle w:val="Hipervnculo"/>
                <w:rFonts w:ascii="Times New Roman" w:eastAsia="Times New Roman" w:hAnsi="Times New Roman" w:cs="Times New Roman"/>
                <w:noProof/>
                <w:color w:val="000000" w:themeColor="text1"/>
                <w:sz w:val="24"/>
                <w:szCs w:val="24"/>
                <w:u w:val="none"/>
                <w:lang w:bidi="yi-Hebr"/>
              </w:rPr>
              <w:t>Futuras líneas de investigación</w:t>
            </w:r>
            <w:r w:rsidRPr="006037D6">
              <w:rPr>
                <w:rFonts w:ascii="Times New Roman" w:hAnsi="Times New Roman" w:cs="Times New Roman"/>
                <w:noProof/>
                <w:webHidden/>
                <w:color w:val="000000" w:themeColor="text1"/>
                <w:sz w:val="24"/>
                <w:szCs w:val="24"/>
              </w:rPr>
              <w:tab/>
            </w:r>
            <w:r w:rsidRPr="006037D6">
              <w:rPr>
                <w:rFonts w:ascii="Times New Roman" w:hAnsi="Times New Roman" w:cs="Times New Roman"/>
                <w:noProof/>
                <w:webHidden/>
                <w:color w:val="000000" w:themeColor="text1"/>
                <w:sz w:val="24"/>
                <w:szCs w:val="24"/>
              </w:rPr>
              <w:fldChar w:fldCharType="begin"/>
            </w:r>
            <w:r w:rsidRPr="006037D6">
              <w:rPr>
                <w:rFonts w:ascii="Times New Roman" w:hAnsi="Times New Roman" w:cs="Times New Roman"/>
                <w:noProof/>
                <w:webHidden/>
                <w:color w:val="000000" w:themeColor="text1"/>
                <w:sz w:val="24"/>
                <w:szCs w:val="24"/>
              </w:rPr>
              <w:instrText xml:space="preserve"> PAGEREF _Toc137811626 \h </w:instrText>
            </w:r>
            <w:r w:rsidRPr="006037D6">
              <w:rPr>
                <w:rFonts w:ascii="Times New Roman" w:hAnsi="Times New Roman" w:cs="Times New Roman"/>
                <w:noProof/>
                <w:webHidden/>
                <w:color w:val="000000" w:themeColor="text1"/>
                <w:sz w:val="24"/>
                <w:szCs w:val="24"/>
              </w:rPr>
            </w:r>
            <w:r w:rsidRPr="006037D6">
              <w:rPr>
                <w:rFonts w:ascii="Times New Roman" w:hAnsi="Times New Roman" w:cs="Times New Roman"/>
                <w:noProof/>
                <w:webHidden/>
                <w:color w:val="000000" w:themeColor="text1"/>
                <w:sz w:val="24"/>
                <w:szCs w:val="24"/>
              </w:rPr>
              <w:fldChar w:fldCharType="separate"/>
            </w:r>
            <w:r w:rsidRPr="006037D6">
              <w:rPr>
                <w:rFonts w:ascii="Times New Roman" w:hAnsi="Times New Roman" w:cs="Times New Roman"/>
                <w:noProof/>
                <w:webHidden/>
                <w:color w:val="000000" w:themeColor="text1"/>
                <w:sz w:val="24"/>
                <w:szCs w:val="24"/>
              </w:rPr>
              <w:t>2</w:t>
            </w:r>
            <w:r w:rsidRPr="006037D6">
              <w:rPr>
                <w:rFonts w:ascii="Times New Roman" w:hAnsi="Times New Roman" w:cs="Times New Roman"/>
                <w:noProof/>
                <w:webHidden/>
                <w:color w:val="000000" w:themeColor="text1"/>
                <w:sz w:val="24"/>
                <w:szCs w:val="24"/>
              </w:rPr>
              <w:fldChar w:fldCharType="end"/>
            </w:r>
          </w:hyperlink>
          <w:r w:rsidR="003A3DA9">
            <w:rPr>
              <w:rFonts w:ascii="Times New Roman" w:hAnsi="Times New Roman" w:cs="Times New Roman"/>
              <w:noProof/>
              <w:color w:val="000000" w:themeColor="text1"/>
              <w:sz w:val="24"/>
              <w:szCs w:val="24"/>
            </w:rPr>
            <w:t>1</w:t>
          </w:r>
        </w:p>
        <w:p w14:paraId="66CDCD4F" w14:textId="12C9016F" w:rsidR="000D699E" w:rsidRPr="006037D6" w:rsidRDefault="000D699E" w:rsidP="00B6668B">
          <w:pPr>
            <w:pStyle w:val="TDC1"/>
            <w:rPr>
              <w:rFonts w:eastAsiaTheme="minorEastAsia"/>
              <w:noProof/>
              <w:kern w:val="2"/>
              <w:lang w:eastAsia="es-ES"/>
              <w14:ligatures w14:val="standardContextual"/>
            </w:rPr>
          </w:pPr>
          <w:r w:rsidRPr="006037D6">
            <w:rPr>
              <w:rStyle w:val="Hipervnculo"/>
              <w:rFonts w:ascii="Times New Roman" w:hAnsi="Times New Roman" w:cs="Times New Roman"/>
              <w:noProof/>
              <w:color w:val="000000" w:themeColor="text1"/>
              <w:u w:val="none"/>
            </w:rPr>
            <w:t xml:space="preserve">5. </w:t>
          </w:r>
          <w:hyperlink w:anchor="_Toc137811627" w:history="1">
            <w:r w:rsidRPr="006037D6">
              <w:rPr>
                <w:rStyle w:val="Hipervnculo"/>
                <w:rFonts w:ascii="Times New Roman" w:hAnsi="Times New Roman" w:cs="Times New Roman"/>
                <w:noProof/>
                <w:color w:val="000000" w:themeColor="text1"/>
                <w:u w:val="none"/>
                <w:lang w:bidi="yi-Hebr"/>
              </w:rPr>
              <w:t>Conclusiones</w:t>
            </w:r>
            <w:r w:rsidRPr="006037D6">
              <w:rPr>
                <w:noProof/>
                <w:webHidden/>
              </w:rPr>
              <w:tab/>
            </w:r>
            <w:r w:rsidRPr="006037D6">
              <w:rPr>
                <w:noProof/>
                <w:webHidden/>
              </w:rPr>
              <w:fldChar w:fldCharType="begin"/>
            </w:r>
            <w:r w:rsidRPr="006037D6">
              <w:rPr>
                <w:noProof/>
                <w:webHidden/>
              </w:rPr>
              <w:instrText xml:space="preserve"> PAGEREF _Toc137811627 \h </w:instrText>
            </w:r>
            <w:r w:rsidRPr="006037D6">
              <w:rPr>
                <w:noProof/>
                <w:webHidden/>
              </w:rPr>
            </w:r>
            <w:r w:rsidRPr="006037D6">
              <w:rPr>
                <w:noProof/>
                <w:webHidden/>
              </w:rPr>
              <w:fldChar w:fldCharType="separate"/>
            </w:r>
            <w:r w:rsidRPr="006037D6">
              <w:rPr>
                <w:noProof/>
                <w:webHidden/>
              </w:rPr>
              <w:t>22</w:t>
            </w:r>
            <w:r w:rsidRPr="006037D6">
              <w:rPr>
                <w:noProof/>
                <w:webHidden/>
              </w:rPr>
              <w:fldChar w:fldCharType="end"/>
            </w:r>
          </w:hyperlink>
        </w:p>
        <w:p w14:paraId="60CC6DEC" w14:textId="368B0F0E" w:rsidR="000D699E" w:rsidRPr="006037D6" w:rsidRDefault="000D699E" w:rsidP="00B6668B">
          <w:pPr>
            <w:pStyle w:val="TDC1"/>
            <w:rPr>
              <w:rFonts w:eastAsiaTheme="minorEastAsia"/>
              <w:noProof/>
              <w:kern w:val="2"/>
              <w:lang w:eastAsia="es-ES"/>
              <w14:ligatures w14:val="standardContextual"/>
            </w:rPr>
          </w:pPr>
          <w:r w:rsidRPr="006037D6">
            <w:rPr>
              <w:rStyle w:val="Hipervnculo"/>
              <w:rFonts w:ascii="Times New Roman" w:hAnsi="Times New Roman" w:cs="Times New Roman"/>
              <w:noProof/>
              <w:color w:val="000000" w:themeColor="text1"/>
              <w:u w:val="none"/>
            </w:rPr>
            <w:t xml:space="preserve">6. </w:t>
          </w:r>
          <w:hyperlink w:anchor="_Toc137811628" w:history="1">
            <w:r w:rsidRPr="006037D6">
              <w:rPr>
                <w:rStyle w:val="Hipervnculo"/>
                <w:rFonts w:ascii="Times New Roman" w:hAnsi="Times New Roman" w:cs="Times New Roman"/>
                <w:noProof/>
                <w:color w:val="000000" w:themeColor="text1"/>
                <w:u w:val="none"/>
              </w:rPr>
              <w:t>Referencias</w:t>
            </w:r>
            <w:r w:rsidRPr="006037D6">
              <w:rPr>
                <w:noProof/>
                <w:webHidden/>
              </w:rPr>
              <w:tab/>
            </w:r>
            <w:r w:rsidRPr="006037D6">
              <w:rPr>
                <w:noProof/>
                <w:webHidden/>
              </w:rPr>
              <w:fldChar w:fldCharType="begin"/>
            </w:r>
            <w:r w:rsidRPr="006037D6">
              <w:rPr>
                <w:noProof/>
                <w:webHidden/>
              </w:rPr>
              <w:instrText xml:space="preserve"> PAGEREF _Toc137811628 \h </w:instrText>
            </w:r>
            <w:r w:rsidRPr="006037D6">
              <w:rPr>
                <w:noProof/>
                <w:webHidden/>
              </w:rPr>
            </w:r>
            <w:r w:rsidRPr="006037D6">
              <w:rPr>
                <w:noProof/>
                <w:webHidden/>
              </w:rPr>
              <w:fldChar w:fldCharType="separate"/>
            </w:r>
            <w:r w:rsidRPr="006037D6">
              <w:rPr>
                <w:noProof/>
                <w:webHidden/>
              </w:rPr>
              <w:t>22</w:t>
            </w:r>
            <w:r w:rsidRPr="006037D6">
              <w:rPr>
                <w:noProof/>
                <w:webHidden/>
              </w:rPr>
              <w:fldChar w:fldCharType="end"/>
            </w:r>
          </w:hyperlink>
        </w:p>
        <w:p w14:paraId="1DA1D30C" w14:textId="2E0F4934" w:rsidR="000D699E" w:rsidRPr="006037D6" w:rsidRDefault="00000000" w:rsidP="00B6668B">
          <w:pPr>
            <w:pStyle w:val="TDC1"/>
            <w:rPr>
              <w:rFonts w:eastAsiaTheme="minorEastAsia"/>
              <w:noProof/>
              <w:kern w:val="2"/>
              <w:lang w:eastAsia="es-ES"/>
              <w14:ligatures w14:val="standardContextual"/>
            </w:rPr>
          </w:pPr>
          <w:hyperlink w:anchor="_Toc137811631" w:history="1">
            <w:r w:rsidR="000D699E" w:rsidRPr="006037D6">
              <w:rPr>
                <w:rStyle w:val="Hipervnculo"/>
                <w:rFonts w:ascii="Times New Roman" w:hAnsi="Times New Roman" w:cs="Times New Roman"/>
                <w:noProof/>
                <w:lang w:bidi="yi-Hebr"/>
              </w:rPr>
              <w:t>Anexo A</w:t>
            </w:r>
            <w:r w:rsidR="000D699E" w:rsidRPr="006037D6">
              <w:rPr>
                <w:noProof/>
                <w:webHidden/>
              </w:rPr>
              <w:tab/>
            </w:r>
            <w:r w:rsidR="000D699E" w:rsidRPr="006037D6">
              <w:rPr>
                <w:noProof/>
                <w:webHidden/>
              </w:rPr>
              <w:fldChar w:fldCharType="begin"/>
            </w:r>
            <w:r w:rsidR="000D699E" w:rsidRPr="006037D6">
              <w:rPr>
                <w:noProof/>
                <w:webHidden/>
              </w:rPr>
              <w:instrText xml:space="preserve"> PAGEREF _Toc137811631 \h </w:instrText>
            </w:r>
            <w:r w:rsidR="000D699E" w:rsidRPr="006037D6">
              <w:rPr>
                <w:noProof/>
                <w:webHidden/>
              </w:rPr>
            </w:r>
            <w:r w:rsidR="000D699E" w:rsidRPr="006037D6">
              <w:rPr>
                <w:noProof/>
                <w:webHidden/>
              </w:rPr>
              <w:fldChar w:fldCharType="separate"/>
            </w:r>
            <w:r w:rsidR="000D699E" w:rsidRPr="006037D6">
              <w:rPr>
                <w:noProof/>
                <w:webHidden/>
              </w:rPr>
              <w:t>29</w:t>
            </w:r>
            <w:r w:rsidR="000D699E" w:rsidRPr="006037D6">
              <w:rPr>
                <w:noProof/>
                <w:webHidden/>
              </w:rPr>
              <w:fldChar w:fldCharType="end"/>
            </w:r>
          </w:hyperlink>
        </w:p>
        <w:p w14:paraId="642A44CE" w14:textId="2A4DDE0E" w:rsidR="000D699E" w:rsidRPr="006037D6" w:rsidRDefault="00000000" w:rsidP="00B6668B">
          <w:pPr>
            <w:pStyle w:val="TDC1"/>
            <w:rPr>
              <w:rFonts w:eastAsiaTheme="minorEastAsia"/>
              <w:noProof/>
              <w:kern w:val="2"/>
              <w:lang w:eastAsia="es-ES"/>
              <w14:ligatures w14:val="standardContextual"/>
            </w:rPr>
          </w:pPr>
          <w:hyperlink w:anchor="_Toc137811632" w:history="1">
            <w:r w:rsidR="000D699E" w:rsidRPr="006037D6">
              <w:rPr>
                <w:rStyle w:val="Hipervnculo"/>
                <w:rFonts w:ascii="Times New Roman" w:hAnsi="Times New Roman" w:cs="Times New Roman"/>
                <w:noProof/>
                <w:lang w:bidi="yi-Hebr"/>
              </w:rPr>
              <w:t>Anexo B</w:t>
            </w:r>
            <w:r w:rsidR="000D699E" w:rsidRPr="006037D6">
              <w:rPr>
                <w:noProof/>
                <w:webHidden/>
              </w:rPr>
              <w:tab/>
            </w:r>
          </w:hyperlink>
          <w:r w:rsidR="00695BEE">
            <w:rPr>
              <w:noProof/>
            </w:rPr>
            <w:t>30</w:t>
          </w:r>
        </w:p>
        <w:p w14:paraId="36949B60" w14:textId="6F6B1883" w:rsidR="000D699E" w:rsidRPr="006037D6" w:rsidRDefault="000D699E" w:rsidP="006037D6">
          <w:r w:rsidRPr="006037D6">
            <w:rPr>
              <w:rFonts w:ascii="Times New Roman" w:hAnsi="Times New Roman" w:cs="Times New Roman"/>
              <w:b/>
              <w:bCs/>
              <w:sz w:val="24"/>
              <w:szCs w:val="24"/>
            </w:rPr>
            <w:fldChar w:fldCharType="end"/>
          </w:r>
        </w:p>
      </w:sdtContent>
    </w:sdt>
    <w:bookmarkStart w:id="0" w:name="_Toc137811615" w:displacedByCustomXml="prev"/>
    <w:p w14:paraId="46DDAA0E" w14:textId="77777777" w:rsidR="000D699E" w:rsidRDefault="000D699E" w:rsidP="000D699E">
      <w:pPr>
        <w:pStyle w:val="Ttulo1"/>
        <w:jc w:val="center"/>
        <w:rPr>
          <w:rFonts w:ascii="Times New Roman" w:hAnsi="Times New Roman" w:cs="Times New Roman"/>
          <w:b/>
          <w:bCs/>
          <w:sz w:val="24"/>
          <w:szCs w:val="24"/>
        </w:rPr>
      </w:pPr>
    </w:p>
    <w:bookmarkEnd w:id="0"/>
    <w:p w14:paraId="70E84698" w14:textId="528DAD3E" w:rsidR="000D699E" w:rsidRPr="006037D6" w:rsidRDefault="000D699E" w:rsidP="006037D6">
      <w:pPr>
        <w:pStyle w:val="Ttulo1"/>
        <w:jc w:val="center"/>
        <w:rPr>
          <w:rFonts w:ascii="Times New Roman" w:hAnsi="Times New Roman" w:cs="Times New Roman"/>
          <w:b/>
          <w:bCs/>
          <w:sz w:val="24"/>
          <w:szCs w:val="24"/>
        </w:rPr>
      </w:pPr>
    </w:p>
    <w:p w14:paraId="09CDA1DA" w14:textId="77777777" w:rsidR="000D699E" w:rsidRDefault="000D699E" w:rsidP="001C6D23">
      <w:pPr>
        <w:spacing w:before="240" w:after="240" w:line="480" w:lineRule="auto"/>
        <w:ind w:firstLine="708"/>
        <w:rPr>
          <w:rFonts w:asciiTheme="majorBidi" w:hAnsiTheme="majorBidi" w:cstheme="majorBidi"/>
          <w:sz w:val="24"/>
          <w:szCs w:val="24"/>
          <w:lang w:val="es-ES_tradnl"/>
        </w:rPr>
      </w:pPr>
    </w:p>
    <w:p w14:paraId="4610C590" w14:textId="57434D99" w:rsidR="000D699E" w:rsidRPr="006037D6" w:rsidRDefault="000D699E" w:rsidP="006037D6">
      <w:pPr>
        <w:spacing w:before="240" w:after="240" w:line="480" w:lineRule="auto"/>
        <w:ind w:firstLine="708"/>
        <w:jc w:val="center"/>
        <w:rPr>
          <w:rFonts w:asciiTheme="majorBidi" w:hAnsiTheme="majorBidi" w:cstheme="majorBidi"/>
          <w:b/>
          <w:bCs/>
          <w:sz w:val="24"/>
          <w:szCs w:val="24"/>
          <w:lang w:val="es-ES_tradnl"/>
        </w:rPr>
      </w:pPr>
      <w:r w:rsidRPr="006037D6">
        <w:rPr>
          <w:rFonts w:asciiTheme="majorBidi" w:hAnsiTheme="majorBidi" w:cstheme="majorBidi"/>
          <w:b/>
          <w:bCs/>
          <w:sz w:val="24"/>
          <w:szCs w:val="24"/>
          <w:lang w:val="es-ES_tradnl"/>
        </w:rPr>
        <w:lastRenderedPageBreak/>
        <w:t>Introducción</w:t>
      </w:r>
    </w:p>
    <w:p w14:paraId="0E65478C" w14:textId="45416EC3" w:rsidR="00707FED" w:rsidRPr="004B697B" w:rsidRDefault="00707FED" w:rsidP="001C6D23">
      <w:pPr>
        <w:spacing w:before="240" w:after="240" w:line="480" w:lineRule="auto"/>
        <w:ind w:firstLine="708"/>
        <w:rPr>
          <w:rFonts w:asciiTheme="majorBidi" w:eastAsia="Times New Roman" w:hAnsiTheme="majorBidi" w:cstheme="majorBidi"/>
          <w:color w:val="000000" w:themeColor="text1"/>
          <w:sz w:val="24"/>
          <w:szCs w:val="24"/>
        </w:rPr>
      </w:pPr>
      <w:r w:rsidRPr="004B697B">
        <w:rPr>
          <w:rFonts w:asciiTheme="majorBidi" w:hAnsiTheme="majorBidi" w:cstheme="majorBidi"/>
          <w:sz w:val="24"/>
          <w:szCs w:val="24"/>
          <w:lang w:val="es-ES_tradnl"/>
        </w:rPr>
        <w:t xml:space="preserve">La prevalencia del síndrome de </w:t>
      </w:r>
      <w:r w:rsidRPr="004B697B">
        <w:rPr>
          <w:rFonts w:asciiTheme="majorBidi" w:hAnsiTheme="majorBidi" w:cstheme="majorBidi"/>
          <w:i/>
          <w:iCs/>
          <w:sz w:val="24"/>
          <w:szCs w:val="24"/>
          <w:lang w:val="es-ES_tradnl"/>
        </w:rPr>
        <w:t>burnout</w:t>
      </w:r>
      <w:r w:rsidRPr="004B697B">
        <w:rPr>
          <w:rFonts w:asciiTheme="majorBidi" w:hAnsiTheme="majorBidi" w:cstheme="majorBidi"/>
          <w:sz w:val="24"/>
          <w:szCs w:val="24"/>
          <w:lang w:val="es-ES_tradnl"/>
        </w:rPr>
        <w:t xml:space="preserve"> ha crecido exponencialmente en los últimos años</w:t>
      </w:r>
      <w:r w:rsidR="00BF7ACC">
        <w:rPr>
          <w:rFonts w:asciiTheme="majorBidi" w:hAnsiTheme="majorBidi" w:cstheme="majorBidi"/>
          <w:sz w:val="24"/>
          <w:szCs w:val="24"/>
          <w:lang w:val="es-ES_tradnl"/>
        </w:rPr>
        <w:t>.</w:t>
      </w:r>
      <w:r w:rsidRPr="004B697B">
        <w:rPr>
          <w:rFonts w:asciiTheme="majorBidi" w:hAnsiTheme="majorBidi" w:cstheme="majorBidi"/>
          <w:sz w:val="24"/>
          <w:szCs w:val="24"/>
          <w:lang w:val="es-ES_tradnl"/>
        </w:rPr>
        <w:t xml:space="preserve"> </w:t>
      </w:r>
      <w:r w:rsidR="004835C9">
        <w:rPr>
          <w:rFonts w:asciiTheme="majorBidi" w:hAnsiTheme="majorBidi" w:cstheme="majorBidi"/>
          <w:sz w:val="24"/>
          <w:szCs w:val="24"/>
          <w:lang w:val="es-ES_tradnl"/>
        </w:rPr>
        <w:t>En la actualidad</w:t>
      </w:r>
      <w:r w:rsidRPr="004B697B">
        <w:rPr>
          <w:rFonts w:asciiTheme="majorBidi" w:hAnsiTheme="majorBidi" w:cstheme="majorBidi"/>
          <w:sz w:val="24"/>
          <w:szCs w:val="24"/>
          <w:lang w:val="es-ES_tradnl"/>
        </w:rPr>
        <w:t xml:space="preserve">, el 10% de los trabajadores de todo el mundo lo </w:t>
      </w:r>
      <w:r w:rsidR="00501BA2" w:rsidRPr="004B697B">
        <w:rPr>
          <w:rFonts w:asciiTheme="majorBidi" w:hAnsiTheme="majorBidi" w:cstheme="majorBidi"/>
          <w:sz w:val="24"/>
          <w:szCs w:val="24"/>
          <w:lang w:val="es-ES_tradnl"/>
        </w:rPr>
        <w:t>sufren</w:t>
      </w:r>
      <w:r w:rsidRPr="004B697B">
        <w:rPr>
          <w:rFonts w:asciiTheme="majorBidi" w:hAnsiTheme="majorBidi" w:cstheme="majorBidi"/>
          <w:sz w:val="24"/>
          <w:szCs w:val="24"/>
          <w:lang w:val="es-ES_tradnl"/>
        </w:rPr>
        <w:t xml:space="preserve">, </w:t>
      </w:r>
      <w:r w:rsidR="00B0758C">
        <w:rPr>
          <w:rFonts w:asciiTheme="majorBidi" w:hAnsiTheme="majorBidi" w:cstheme="majorBidi"/>
          <w:sz w:val="24"/>
          <w:szCs w:val="24"/>
          <w:lang w:val="es-ES_tradnl"/>
        </w:rPr>
        <w:t xml:space="preserve">y entre el 2 y el 5% </w:t>
      </w:r>
      <w:r w:rsidR="004C6A4E">
        <w:rPr>
          <w:rFonts w:asciiTheme="majorBidi" w:hAnsiTheme="majorBidi" w:cstheme="majorBidi"/>
          <w:sz w:val="24"/>
          <w:szCs w:val="24"/>
          <w:lang w:val="es-ES_tradnl"/>
        </w:rPr>
        <w:t xml:space="preserve">padecen </w:t>
      </w:r>
      <w:r w:rsidR="00B0758C">
        <w:rPr>
          <w:rFonts w:asciiTheme="majorBidi" w:hAnsiTheme="majorBidi" w:cstheme="majorBidi"/>
          <w:sz w:val="24"/>
          <w:szCs w:val="24"/>
          <w:lang w:val="es-ES_tradnl"/>
        </w:rPr>
        <w:t>los síntomas asociados al burnout de manera más grave, es decir, con mayor intensidad (</w:t>
      </w:r>
      <w:r w:rsidRPr="004B697B">
        <w:rPr>
          <w:rFonts w:asciiTheme="majorBidi" w:hAnsiTheme="majorBidi" w:cstheme="majorBidi"/>
          <w:sz w:val="24"/>
          <w:szCs w:val="24"/>
          <w:lang w:val="es-ES_tradnl"/>
        </w:rPr>
        <w:t xml:space="preserve">Mouso, 2019). </w:t>
      </w:r>
      <w:r w:rsidRPr="004B697B">
        <w:rPr>
          <w:rFonts w:asciiTheme="majorBidi" w:eastAsia="Times New Roman" w:hAnsiTheme="majorBidi" w:cstheme="majorBidi"/>
          <w:color w:val="000000" w:themeColor="text1"/>
          <w:sz w:val="24"/>
          <w:szCs w:val="24"/>
        </w:rPr>
        <w:t xml:space="preserve">Aunque el burnout está presente en un amplio abanico de profesiones, </w:t>
      </w:r>
      <w:r w:rsidRPr="004B697B">
        <w:rPr>
          <w:rFonts w:asciiTheme="majorBidi" w:hAnsiTheme="majorBidi" w:cstheme="majorBidi"/>
          <w:sz w:val="24"/>
          <w:szCs w:val="24"/>
          <w:lang w:val="es-ES_tradnl"/>
        </w:rPr>
        <w:t xml:space="preserve">la </w:t>
      </w:r>
      <w:r w:rsidR="00E8536D">
        <w:rPr>
          <w:rFonts w:asciiTheme="majorBidi" w:hAnsiTheme="majorBidi" w:cstheme="majorBidi"/>
          <w:sz w:val="24"/>
          <w:szCs w:val="24"/>
          <w:lang w:val="es-ES_tradnl"/>
        </w:rPr>
        <w:t>prevalencia</w:t>
      </w:r>
      <w:r w:rsidR="00E8536D" w:rsidRPr="004B697B">
        <w:rPr>
          <w:rFonts w:asciiTheme="majorBidi" w:hAnsiTheme="majorBidi" w:cstheme="majorBidi"/>
          <w:sz w:val="24"/>
          <w:szCs w:val="24"/>
          <w:lang w:val="es-ES_tradnl"/>
        </w:rPr>
        <w:t xml:space="preserve"> </w:t>
      </w:r>
      <w:r w:rsidRPr="004B697B">
        <w:rPr>
          <w:rFonts w:asciiTheme="majorBidi" w:hAnsiTheme="majorBidi" w:cstheme="majorBidi"/>
          <w:sz w:val="24"/>
          <w:szCs w:val="24"/>
          <w:lang w:val="es-ES_tradnl"/>
        </w:rPr>
        <w:t>es mayor en el ámbito sanitario</w:t>
      </w:r>
      <w:r w:rsidRPr="004B697B">
        <w:rPr>
          <w:rFonts w:asciiTheme="majorBidi" w:eastAsia="Times New Roman" w:hAnsiTheme="majorBidi" w:cstheme="majorBidi"/>
          <w:color w:val="000000" w:themeColor="text1"/>
          <w:sz w:val="24"/>
          <w:szCs w:val="24"/>
        </w:rPr>
        <w:t xml:space="preserve">. </w:t>
      </w:r>
      <w:r w:rsidR="00B0758C">
        <w:rPr>
          <w:rFonts w:asciiTheme="majorBidi" w:eastAsia="Times New Roman" w:hAnsiTheme="majorBidi" w:cstheme="majorBidi"/>
          <w:color w:val="000000" w:themeColor="text1"/>
          <w:sz w:val="24"/>
          <w:szCs w:val="24"/>
        </w:rPr>
        <w:t xml:space="preserve">En países como España </w:t>
      </w:r>
      <w:r w:rsidRPr="004B697B">
        <w:rPr>
          <w:rFonts w:asciiTheme="majorBidi" w:hAnsiTheme="majorBidi" w:cstheme="majorBidi"/>
          <w:sz w:val="24"/>
          <w:szCs w:val="24"/>
          <w:lang w:val="es-ES_tradnl"/>
        </w:rPr>
        <w:t xml:space="preserve">un 56,8% de la población sanitaria encuestada presenta burnout (García-Molina et al., 2022), </w:t>
      </w:r>
      <w:r w:rsidR="001C6D23" w:rsidRPr="004B697B">
        <w:rPr>
          <w:rFonts w:asciiTheme="majorBidi" w:hAnsiTheme="majorBidi" w:cstheme="majorBidi"/>
          <w:sz w:val="24"/>
          <w:szCs w:val="24"/>
          <w:lang w:val="es-ES_tradnl"/>
        </w:rPr>
        <w:t xml:space="preserve">porcentaje algo mayor </w:t>
      </w:r>
      <w:r w:rsidR="001C6D23">
        <w:rPr>
          <w:rFonts w:asciiTheme="majorBidi" w:hAnsiTheme="majorBidi" w:cstheme="majorBidi"/>
          <w:sz w:val="24"/>
          <w:szCs w:val="24"/>
          <w:lang w:val="es-ES_tradnl"/>
        </w:rPr>
        <w:t>que en México</w:t>
      </w:r>
      <w:r w:rsidR="001C6D23" w:rsidRPr="004B697B">
        <w:rPr>
          <w:rFonts w:asciiTheme="majorBidi" w:hAnsiTheme="majorBidi" w:cstheme="majorBidi"/>
          <w:sz w:val="24"/>
          <w:szCs w:val="24"/>
          <w:lang w:val="es-ES_tradnl"/>
        </w:rPr>
        <w:t xml:space="preserve">, cuyos datos indicaron la presencia del síndrome en un 52,6% de la población encuestada </w:t>
      </w:r>
      <w:r w:rsidR="001C6D23" w:rsidRPr="004B697B">
        <w:rPr>
          <w:rFonts w:asciiTheme="majorBidi" w:eastAsia="Times New Roman" w:hAnsiTheme="majorBidi" w:cstheme="majorBidi"/>
          <w:color w:val="000000" w:themeColor="text1"/>
          <w:sz w:val="24"/>
          <w:szCs w:val="24"/>
        </w:rPr>
        <w:t xml:space="preserve">(Ocampo Valencia et al., 2022). </w:t>
      </w:r>
    </w:p>
    <w:p w14:paraId="6448F39B" w14:textId="52D2A24C" w:rsidR="00FE533E" w:rsidRDefault="00707FED" w:rsidP="004B697B">
      <w:pPr>
        <w:spacing w:before="240" w:after="240" w:line="480" w:lineRule="auto"/>
        <w:ind w:firstLine="708"/>
        <w:rPr>
          <w:rFonts w:asciiTheme="majorBidi" w:hAnsiTheme="majorBidi" w:cstheme="majorBidi"/>
          <w:sz w:val="24"/>
          <w:szCs w:val="24"/>
          <w:lang w:val="es-ES_tradnl"/>
        </w:rPr>
      </w:pPr>
      <w:r w:rsidRPr="004B697B">
        <w:rPr>
          <w:rFonts w:asciiTheme="majorBidi" w:eastAsia="Times New Roman" w:hAnsiTheme="majorBidi" w:cstheme="majorBidi"/>
          <w:color w:val="000000" w:themeColor="text1"/>
          <w:sz w:val="24"/>
          <w:szCs w:val="24"/>
        </w:rPr>
        <w:t xml:space="preserve">El estrés </w:t>
      </w:r>
      <w:r w:rsidR="00CA2D81">
        <w:rPr>
          <w:rFonts w:asciiTheme="majorBidi" w:eastAsia="Times New Roman" w:hAnsiTheme="majorBidi" w:cstheme="majorBidi"/>
          <w:color w:val="000000" w:themeColor="text1"/>
          <w:sz w:val="24"/>
          <w:szCs w:val="24"/>
        </w:rPr>
        <w:t xml:space="preserve">en el ámbito laboral </w:t>
      </w:r>
      <w:r w:rsidRPr="004B697B">
        <w:rPr>
          <w:rFonts w:asciiTheme="majorBidi" w:eastAsia="Times New Roman" w:hAnsiTheme="majorBidi" w:cstheme="majorBidi"/>
          <w:color w:val="000000" w:themeColor="text1"/>
          <w:sz w:val="24"/>
          <w:szCs w:val="24"/>
        </w:rPr>
        <w:t xml:space="preserve">es una respuesta psicobiológica, que </w:t>
      </w:r>
      <w:r w:rsidR="00362D06">
        <w:rPr>
          <w:rFonts w:asciiTheme="majorBidi" w:eastAsia="Times New Roman" w:hAnsiTheme="majorBidi" w:cstheme="majorBidi"/>
          <w:color w:val="000000" w:themeColor="text1"/>
          <w:sz w:val="24"/>
          <w:szCs w:val="24"/>
        </w:rPr>
        <w:t>se manifiesta</w:t>
      </w:r>
      <w:r w:rsidRPr="004B697B">
        <w:rPr>
          <w:rFonts w:asciiTheme="majorBidi" w:eastAsia="Times New Roman" w:hAnsiTheme="majorBidi" w:cstheme="majorBidi"/>
          <w:color w:val="000000" w:themeColor="text1"/>
          <w:sz w:val="24"/>
          <w:szCs w:val="24"/>
        </w:rPr>
        <w:t xml:space="preserve"> cuando, en una situación específica, </w:t>
      </w:r>
      <w:r w:rsidR="00EA2D3C">
        <w:rPr>
          <w:rFonts w:asciiTheme="majorBidi" w:eastAsia="Times New Roman" w:hAnsiTheme="majorBidi" w:cstheme="majorBidi"/>
          <w:color w:val="000000" w:themeColor="text1"/>
          <w:sz w:val="24"/>
          <w:szCs w:val="24"/>
        </w:rPr>
        <w:t xml:space="preserve">los recursos, capacidades </w:t>
      </w:r>
      <w:r w:rsidRPr="004B697B">
        <w:rPr>
          <w:rFonts w:asciiTheme="majorBidi" w:eastAsia="Times New Roman" w:hAnsiTheme="majorBidi" w:cstheme="majorBidi"/>
          <w:color w:val="000000" w:themeColor="text1"/>
          <w:sz w:val="24"/>
          <w:szCs w:val="24"/>
        </w:rPr>
        <w:t xml:space="preserve">o necesidades del profesional no se ajustan a las exigencias laborales (Navinés </w:t>
      </w:r>
      <w:r w:rsidR="0073003E" w:rsidRPr="004B697B">
        <w:rPr>
          <w:rFonts w:asciiTheme="majorBidi" w:eastAsia="Times New Roman" w:hAnsiTheme="majorBidi" w:cstheme="majorBidi"/>
          <w:color w:val="000000" w:themeColor="text1"/>
          <w:sz w:val="24"/>
          <w:szCs w:val="24"/>
        </w:rPr>
        <w:t>et al.,</w:t>
      </w:r>
      <w:r w:rsidRPr="004B697B">
        <w:rPr>
          <w:rFonts w:asciiTheme="majorBidi" w:eastAsia="Times New Roman" w:hAnsiTheme="majorBidi" w:cstheme="majorBidi"/>
          <w:color w:val="000000" w:themeColor="text1"/>
          <w:sz w:val="24"/>
          <w:szCs w:val="24"/>
        </w:rPr>
        <w:t xml:space="preserve"> 2016). </w:t>
      </w:r>
      <w:r w:rsidRPr="004B697B">
        <w:rPr>
          <w:rFonts w:asciiTheme="majorBidi" w:hAnsiTheme="majorBidi" w:cstheme="majorBidi"/>
          <w:sz w:val="24"/>
          <w:szCs w:val="24"/>
          <w:lang w:val="es-ES_tradnl"/>
        </w:rPr>
        <w:t xml:space="preserve">La </w:t>
      </w:r>
      <w:r w:rsidR="004C6A4E">
        <w:rPr>
          <w:rFonts w:asciiTheme="majorBidi" w:hAnsiTheme="majorBidi" w:cstheme="majorBidi"/>
          <w:sz w:val="24"/>
          <w:szCs w:val="24"/>
          <w:lang w:val="es-ES_tradnl"/>
        </w:rPr>
        <w:t>diferencia</w:t>
      </w:r>
      <w:r w:rsidR="004C6A4E" w:rsidRPr="004B697B">
        <w:rPr>
          <w:rFonts w:asciiTheme="majorBidi" w:hAnsiTheme="majorBidi" w:cstheme="majorBidi"/>
          <w:sz w:val="24"/>
          <w:szCs w:val="24"/>
          <w:lang w:val="es-ES_tradnl"/>
        </w:rPr>
        <w:t xml:space="preserve"> </w:t>
      </w:r>
      <w:r w:rsidRPr="004B697B">
        <w:rPr>
          <w:rFonts w:asciiTheme="majorBidi" w:hAnsiTheme="majorBidi" w:cstheme="majorBidi"/>
          <w:sz w:val="24"/>
          <w:szCs w:val="24"/>
          <w:lang w:val="es-ES_tradnl"/>
        </w:rPr>
        <w:t>entre la</w:t>
      </w:r>
      <w:r w:rsidR="004C6A4E">
        <w:rPr>
          <w:rFonts w:asciiTheme="majorBidi" w:hAnsiTheme="majorBidi" w:cstheme="majorBidi"/>
          <w:sz w:val="24"/>
          <w:szCs w:val="24"/>
          <w:lang w:val="es-ES_tradnl"/>
        </w:rPr>
        <w:t>s</w:t>
      </w:r>
      <w:r w:rsidRPr="004B697B">
        <w:rPr>
          <w:rFonts w:asciiTheme="majorBidi" w:hAnsiTheme="majorBidi" w:cstheme="majorBidi"/>
          <w:sz w:val="24"/>
          <w:szCs w:val="24"/>
          <w:lang w:val="es-ES_tradnl"/>
        </w:rPr>
        <w:t xml:space="preserve"> demanda</w:t>
      </w:r>
      <w:r w:rsidR="004C6A4E">
        <w:rPr>
          <w:rFonts w:asciiTheme="majorBidi" w:hAnsiTheme="majorBidi" w:cstheme="majorBidi"/>
          <w:sz w:val="24"/>
          <w:szCs w:val="24"/>
          <w:lang w:val="es-ES_tradnl"/>
        </w:rPr>
        <w:t>s</w:t>
      </w:r>
      <w:r w:rsidRPr="004B697B">
        <w:rPr>
          <w:rFonts w:asciiTheme="majorBidi" w:hAnsiTheme="majorBidi" w:cstheme="majorBidi"/>
          <w:sz w:val="24"/>
          <w:szCs w:val="24"/>
          <w:lang w:val="es-ES_tradnl"/>
        </w:rPr>
        <w:t xml:space="preserve"> y exigencias del trabajo y la disminución del grado de control conllevan un aumento del nivel de estrés. El cual, unido a la falta de un periodo de recuperación tras </w:t>
      </w:r>
      <w:r w:rsidR="00442A34" w:rsidRPr="004B697B">
        <w:rPr>
          <w:rFonts w:asciiTheme="majorBidi" w:hAnsiTheme="majorBidi" w:cstheme="majorBidi"/>
          <w:sz w:val="24"/>
          <w:szCs w:val="24"/>
          <w:lang w:val="es-ES_tradnl"/>
        </w:rPr>
        <w:t xml:space="preserve">dicho </w:t>
      </w:r>
      <w:r w:rsidRPr="004B697B">
        <w:rPr>
          <w:rFonts w:asciiTheme="majorBidi" w:hAnsiTheme="majorBidi" w:cstheme="majorBidi"/>
          <w:sz w:val="24"/>
          <w:szCs w:val="24"/>
          <w:lang w:val="es-ES_tradnl"/>
        </w:rPr>
        <w:t>incremento y acumulado durante un largo periodo de tiempo, provoca en los sujetos la cronicidad. Con ello, el estrés crónico implicaría que la persona se siente amenazada y desbordada por el entorno. Es este desgaste o agotamiento lo que caracteriza principalmente el síndrome de burnout (Rodríguez Carvajal et al., 2011).</w:t>
      </w:r>
      <w:r w:rsidR="00FE533E" w:rsidRPr="00FE533E">
        <w:rPr>
          <w:rFonts w:asciiTheme="majorBidi" w:hAnsiTheme="majorBidi" w:cstheme="majorBidi"/>
          <w:sz w:val="24"/>
          <w:szCs w:val="24"/>
          <w:lang w:val="es-ES_tradnl"/>
        </w:rPr>
        <w:t xml:space="preserve"> </w:t>
      </w:r>
    </w:p>
    <w:p w14:paraId="4525AECE" w14:textId="1B925445" w:rsidR="00707FED" w:rsidRPr="004B697B" w:rsidRDefault="00FE533E" w:rsidP="006037D6">
      <w:pPr>
        <w:spacing w:line="480" w:lineRule="auto"/>
        <w:ind w:firstLine="708"/>
        <w:rPr>
          <w:rFonts w:asciiTheme="majorBidi" w:eastAsia="Times New Roman" w:hAnsiTheme="majorBidi" w:cstheme="majorBidi"/>
          <w:color w:val="000000" w:themeColor="text1"/>
          <w:sz w:val="24"/>
          <w:szCs w:val="24"/>
        </w:rPr>
      </w:pPr>
      <w:r>
        <w:rPr>
          <w:rFonts w:asciiTheme="majorBidi" w:hAnsiTheme="majorBidi" w:cstheme="majorBidi"/>
          <w:sz w:val="24"/>
          <w:szCs w:val="24"/>
          <w:lang w:val="es-ES_tradnl"/>
        </w:rPr>
        <w:t>L</w:t>
      </w:r>
      <w:r w:rsidRPr="004B697B">
        <w:rPr>
          <w:rFonts w:asciiTheme="majorBidi" w:hAnsiTheme="majorBidi" w:cstheme="majorBidi"/>
          <w:sz w:val="24"/>
          <w:szCs w:val="24"/>
          <w:lang w:val="es-ES_tradnl"/>
        </w:rPr>
        <w:t xml:space="preserve">a teoría de la tridimensionalidad </w:t>
      </w:r>
      <w:r>
        <w:rPr>
          <w:rFonts w:asciiTheme="majorBidi" w:hAnsiTheme="majorBidi" w:cstheme="majorBidi"/>
          <w:sz w:val="24"/>
          <w:szCs w:val="24"/>
          <w:lang w:val="es-ES_tradnl"/>
        </w:rPr>
        <w:t>(</w:t>
      </w:r>
      <w:r w:rsidRPr="004B697B">
        <w:rPr>
          <w:rFonts w:asciiTheme="majorBidi" w:hAnsiTheme="majorBidi" w:cstheme="majorBidi"/>
          <w:color w:val="000000" w:themeColor="text1"/>
          <w:sz w:val="24"/>
          <w:szCs w:val="24"/>
          <w:lang w:val="es-ES_tradnl"/>
        </w:rPr>
        <w:t>Maslash</w:t>
      </w:r>
      <w:r w:rsidRPr="004B697B">
        <w:rPr>
          <w:rFonts w:asciiTheme="majorBidi" w:hAnsiTheme="majorBidi" w:cstheme="majorBidi"/>
          <w:sz w:val="24"/>
          <w:szCs w:val="24"/>
          <w:lang w:val="es-ES_tradnl"/>
        </w:rPr>
        <w:t xml:space="preserve"> y Jackson</w:t>
      </w:r>
      <w:r>
        <w:rPr>
          <w:rFonts w:asciiTheme="majorBidi" w:hAnsiTheme="majorBidi" w:cstheme="majorBidi"/>
          <w:sz w:val="24"/>
          <w:szCs w:val="24"/>
          <w:lang w:val="es-ES_tradnl"/>
        </w:rPr>
        <w:t>, 1981) expone que el síndrome de burnout presenta</w:t>
      </w:r>
      <w:r w:rsidRPr="004B697B">
        <w:rPr>
          <w:rFonts w:asciiTheme="majorBidi" w:hAnsiTheme="majorBidi" w:cstheme="majorBidi"/>
          <w:sz w:val="24"/>
          <w:szCs w:val="24"/>
          <w:lang w:val="es-ES_tradnl"/>
        </w:rPr>
        <w:t xml:space="preserve"> tres dimensiones: el agotamiento emocional, caracterizado por la pérdida de energía y los obstáculos que ello conlleva para realizar las demandas de tu trabajo; la falta de realización personal, que conlleva una gran autocrítica y pensamientos negativos hacia el trabajo y la despersonalización o el trato frío o distante hacia los clientes o consumidores (Martínez Pérez, 2010).</w:t>
      </w:r>
      <w:r>
        <w:rPr>
          <w:rFonts w:asciiTheme="majorBidi" w:hAnsiTheme="majorBidi" w:cstheme="majorBidi"/>
          <w:sz w:val="24"/>
          <w:szCs w:val="24"/>
          <w:lang w:val="es-ES_tradnl"/>
        </w:rPr>
        <w:t xml:space="preserve"> </w:t>
      </w:r>
      <w:r w:rsidR="005600C9">
        <w:rPr>
          <w:rFonts w:asciiTheme="majorBidi" w:hAnsiTheme="majorBidi" w:cstheme="majorBidi"/>
          <w:sz w:val="24"/>
          <w:szCs w:val="24"/>
          <w:lang w:val="es-ES_tradnl"/>
        </w:rPr>
        <w:t>La presencia de estas tres dimensiones se manifiesta</w:t>
      </w:r>
      <w:r>
        <w:rPr>
          <w:rFonts w:asciiTheme="majorBidi" w:hAnsiTheme="majorBidi" w:cstheme="majorBidi"/>
          <w:sz w:val="24"/>
          <w:szCs w:val="24"/>
          <w:lang w:val="es-ES_tradnl"/>
        </w:rPr>
        <w:t xml:space="preserve"> en </w:t>
      </w:r>
      <w:r w:rsidR="00707FED" w:rsidRPr="004B697B">
        <w:rPr>
          <w:rFonts w:asciiTheme="majorBidi" w:hAnsiTheme="majorBidi" w:cstheme="majorBidi"/>
          <w:sz w:val="24"/>
          <w:szCs w:val="24"/>
          <w:lang w:val="es-ES_tradnl"/>
        </w:rPr>
        <w:t xml:space="preserve">síntomas </w:t>
      </w:r>
      <w:r w:rsidR="00707FED" w:rsidRPr="004B697B">
        <w:rPr>
          <w:rFonts w:asciiTheme="majorBidi" w:hAnsiTheme="majorBidi" w:cstheme="majorBidi"/>
          <w:sz w:val="24"/>
          <w:szCs w:val="24"/>
          <w:lang w:val="es-ES_tradnl"/>
        </w:rPr>
        <w:lastRenderedPageBreak/>
        <w:t xml:space="preserve">psicosomáticos y psicológico-emocionales. </w:t>
      </w:r>
      <w:r w:rsidR="002C6149" w:rsidRPr="004B697B">
        <w:rPr>
          <w:rFonts w:asciiTheme="majorBidi" w:hAnsiTheme="majorBidi" w:cstheme="majorBidi"/>
          <w:sz w:val="24"/>
          <w:szCs w:val="24"/>
          <w:lang w:val="es-ES_tradnl"/>
        </w:rPr>
        <w:t xml:space="preserve">Estos </w:t>
      </w:r>
      <w:r>
        <w:rPr>
          <w:rFonts w:asciiTheme="majorBidi" w:hAnsiTheme="majorBidi" w:cstheme="majorBidi"/>
          <w:sz w:val="24"/>
          <w:szCs w:val="24"/>
          <w:lang w:val="es-ES_tradnl"/>
        </w:rPr>
        <w:t xml:space="preserve">síntomas psicosomáticos </w:t>
      </w:r>
      <w:r w:rsidR="00707FED" w:rsidRPr="004B697B">
        <w:rPr>
          <w:rFonts w:asciiTheme="majorBidi" w:hAnsiTheme="majorBidi" w:cstheme="majorBidi"/>
          <w:sz w:val="24"/>
          <w:szCs w:val="24"/>
          <w:lang w:val="es-ES_tradnl"/>
        </w:rPr>
        <w:t xml:space="preserve">son muy variados </w:t>
      </w:r>
      <w:r w:rsidR="002C6149" w:rsidRPr="004B697B">
        <w:rPr>
          <w:rFonts w:asciiTheme="majorBidi" w:hAnsiTheme="majorBidi" w:cstheme="majorBidi"/>
          <w:sz w:val="24"/>
          <w:szCs w:val="24"/>
          <w:lang w:val="es-ES_tradnl"/>
        </w:rPr>
        <w:t xml:space="preserve">y oscilan </w:t>
      </w:r>
      <w:r w:rsidR="00707FED" w:rsidRPr="004B697B">
        <w:rPr>
          <w:rFonts w:asciiTheme="majorBidi" w:hAnsiTheme="majorBidi" w:cstheme="majorBidi"/>
          <w:sz w:val="24"/>
          <w:szCs w:val="24"/>
          <w:lang w:val="es-ES_tradnl"/>
        </w:rPr>
        <w:t xml:space="preserve">desde alteraciones gastrointestinales, dolores localizados en el cuerpo y cefaleas hasta dificultades en la atención y la concentración. </w:t>
      </w:r>
      <w:r w:rsidR="004C6A4E">
        <w:rPr>
          <w:rFonts w:asciiTheme="majorBidi" w:hAnsiTheme="majorBidi" w:cstheme="majorBidi"/>
          <w:sz w:val="24"/>
          <w:szCs w:val="24"/>
          <w:lang w:val="es-ES_tradnl"/>
        </w:rPr>
        <w:t xml:space="preserve">A su vez, las </w:t>
      </w:r>
      <w:r>
        <w:rPr>
          <w:rFonts w:asciiTheme="majorBidi" w:hAnsiTheme="majorBidi" w:cstheme="majorBidi"/>
          <w:sz w:val="24"/>
          <w:szCs w:val="24"/>
          <w:lang w:val="es-ES_tradnl"/>
        </w:rPr>
        <w:t>manifestaciones sintomáticas presentan</w:t>
      </w:r>
      <w:r w:rsidRPr="004B697B">
        <w:rPr>
          <w:rFonts w:asciiTheme="majorBidi" w:hAnsiTheme="majorBidi" w:cstheme="majorBidi"/>
          <w:sz w:val="24"/>
          <w:szCs w:val="24"/>
          <w:lang w:val="es-ES_tradnl"/>
        </w:rPr>
        <w:t xml:space="preserve"> una serie de consecuencias </w:t>
      </w:r>
      <w:r>
        <w:rPr>
          <w:rFonts w:asciiTheme="majorBidi" w:hAnsiTheme="majorBidi" w:cstheme="majorBidi"/>
          <w:sz w:val="24"/>
          <w:szCs w:val="24"/>
          <w:lang w:val="es-ES_tradnl"/>
        </w:rPr>
        <w:t xml:space="preserve">emocionales como cambios de humor, </w:t>
      </w:r>
      <w:r w:rsidRPr="004B697B">
        <w:rPr>
          <w:rFonts w:asciiTheme="majorBidi" w:hAnsiTheme="majorBidi" w:cstheme="majorBidi"/>
          <w:sz w:val="24"/>
          <w:szCs w:val="24"/>
          <w:lang w:val="es-ES_tradnl"/>
        </w:rPr>
        <w:t xml:space="preserve">desmotivación, pérdida de interés por las labores que desarrollan los profesionales, pérdida del sentido de la responsabilidad, agotamiento, baja autoestima, tristeza e incluso trastornos del estado del ánimo. </w:t>
      </w:r>
      <w:r w:rsidR="004C6A4E">
        <w:rPr>
          <w:rFonts w:asciiTheme="majorBidi" w:hAnsiTheme="majorBidi" w:cstheme="majorBidi"/>
          <w:sz w:val="24"/>
          <w:szCs w:val="24"/>
          <w:lang w:val="es-ES_tradnl"/>
        </w:rPr>
        <w:t>Ambos síntomas</w:t>
      </w:r>
      <w:r w:rsidRPr="004B697B">
        <w:rPr>
          <w:rFonts w:asciiTheme="majorBidi" w:hAnsiTheme="majorBidi" w:cstheme="majorBidi"/>
          <w:sz w:val="24"/>
          <w:szCs w:val="24"/>
          <w:lang w:val="es-ES_tradnl"/>
        </w:rPr>
        <w:t xml:space="preserve"> afecta</w:t>
      </w:r>
      <w:r w:rsidR="004C6A4E">
        <w:rPr>
          <w:rFonts w:asciiTheme="majorBidi" w:hAnsiTheme="majorBidi" w:cstheme="majorBidi"/>
          <w:sz w:val="24"/>
          <w:szCs w:val="24"/>
          <w:lang w:val="es-ES_tradnl"/>
        </w:rPr>
        <w:t>n</w:t>
      </w:r>
      <w:r w:rsidRPr="004B697B">
        <w:rPr>
          <w:rFonts w:asciiTheme="majorBidi" w:hAnsiTheme="majorBidi" w:cstheme="majorBidi"/>
          <w:sz w:val="24"/>
          <w:szCs w:val="24"/>
          <w:lang w:val="es-ES_tradnl"/>
        </w:rPr>
        <w:t xml:space="preserve"> al desempeño laboral, </w:t>
      </w:r>
      <w:r w:rsidR="004B2B52">
        <w:rPr>
          <w:rFonts w:asciiTheme="majorBidi" w:hAnsiTheme="majorBidi" w:cstheme="majorBidi"/>
          <w:sz w:val="24"/>
          <w:szCs w:val="24"/>
          <w:lang w:val="es-ES_tradnl"/>
        </w:rPr>
        <w:t>generando una</w:t>
      </w:r>
      <w:r w:rsidRPr="004B697B">
        <w:rPr>
          <w:rFonts w:asciiTheme="majorBidi" w:hAnsiTheme="majorBidi" w:cstheme="majorBidi"/>
          <w:sz w:val="24"/>
          <w:szCs w:val="24"/>
          <w:lang w:val="es-ES_tradnl"/>
        </w:rPr>
        <w:t xml:space="preserve"> menor eficacia y eficiencia laboral y un mayor absentismo laboral (</w:t>
      </w:r>
      <w:r>
        <w:rPr>
          <w:rFonts w:asciiTheme="majorBidi" w:hAnsiTheme="majorBidi" w:cstheme="majorBidi"/>
          <w:sz w:val="24"/>
          <w:szCs w:val="24"/>
          <w:lang w:val="es-ES_tradnl"/>
        </w:rPr>
        <w:t xml:space="preserve">Olivar et al., 2022 y </w:t>
      </w:r>
      <w:r w:rsidRPr="004B697B">
        <w:rPr>
          <w:rFonts w:asciiTheme="majorBidi" w:hAnsiTheme="majorBidi" w:cstheme="majorBidi"/>
          <w:sz w:val="24"/>
          <w:szCs w:val="24"/>
          <w:lang w:val="es-ES_tradnl"/>
        </w:rPr>
        <w:t>Navinés et al., 2016).</w:t>
      </w:r>
      <w:r w:rsidRPr="004B697B" w:rsidDel="00CE0F44">
        <w:rPr>
          <w:rFonts w:asciiTheme="majorBidi" w:eastAsia="Times New Roman" w:hAnsiTheme="majorBidi" w:cstheme="majorBidi"/>
          <w:color w:val="000000" w:themeColor="text1"/>
          <w:sz w:val="24"/>
          <w:szCs w:val="24"/>
        </w:rPr>
        <w:t xml:space="preserve"> </w:t>
      </w:r>
      <w:r w:rsidR="005B5BF0">
        <w:rPr>
          <w:rFonts w:asciiTheme="majorBidi" w:hAnsiTheme="majorBidi" w:cstheme="majorBidi"/>
          <w:sz w:val="24"/>
          <w:szCs w:val="24"/>
          <w:lang w:val="es-ES_tradnl"/>
        </w:rPr>
        <w:t>E</w:t>
      </w:r>
      <w:r w:rsidRPr="004B697B">
        <w:rPr>
          <w:rFonts w:asciiTheme="majorBidi" w:hAnsiTheme="majorBidi" w:cstheme="majorBidi"/>
          <w:sz w:val="24"/>
          <w:szCs w:val="24"/>
          <w:lang w:val="es-ES_tradnl"/>
        </w:rPr>
        <w:t xml:space="preserve">l síndrome encuentra su origen en el estrés crónico que las condiciones laborales generan en los sujetos, </w:t>
      </w:r>
      <w:r w:rsidR="005B5BF0">
        <w:rPr>
          <w:rFonts w:asciiTheme="majorBidi" w:hAnsiTheme="majorBidi" w:cstheme="majorBidi"/>
          <w:sz w:val="24"/>
          <w:szCs w:val="24"/>
          <w:lang w:val="es-ES_tradnl"/>
        </w:rPr>
        <w:t xml:space="preserve">siendo </w:t>
      </w:r>
      <w:r w:rsidRPr="004B697B">
        <w:rPr>
          <w:rFonts w:asciiTheme="majorBidi" w:hAnsiTheme="majorBidi" w:cstheme="majorBidi"/>
          <w:sz w:val="24"/>
          <w:szCs w:val="24"/>
          <w:lang w:val="es-ES_tradnl"/>
        </w:rPr>
        <w:t xml:space="preserve">evidente que su causa sería el trabajo, </w:t>
      </w:r>
      <w:r w:rsidR="005B5BF0">
        <w:rPr>
          <w:rFonts w:asciiTheme="majorBidi" w:hAnsiTheme="majorBidi" w:cstheme="majorBidi"/>
          <w:sz w:val="24"/>
          <w:szCs w:val="24"/>
          <w:lang w:val="es-ES_tradnl"/>
        </w:rPr>
        <w:t xml:space="preserve">sin embargo, las </w:t>
      </w:r>
      <w:r w:rsidRPr="004B697B">
        <w:rPr>
          <w:rFonts w:asciiTheme="majorBidi" w:hAnsiTheme="majorBidi" w:cstheme="majorBidi"/>
          <w:sz w:val="24"/>
          <w:szCs w:val="24"/>
          <w:lang w:val="es-ES_tradnl"/>
        </w:rPr>
        <w:t xml:space="preserve">características físicas y psicológicas del profesional </w:t>
      </w:r>
      <w:r w:rsidR="005B5BF0">
        <w:rPr>
          <w:rFonts w:asciiTheme="majorBidi" w:hAnsiTheme="majorBidi" w:cstheme="majorBidi"/>
          <w:sz w:val="24"/>
          <w:szCs w:val="24"/>
          <w:lang w:val="es-ES_tradnl"/>
        </w:rPr>
        <w:t xml:space="preserve">también influyen en su desarrollo </w:t>
      </w:r>
      <w:r w:rsidRPr="004B697B">
        <w:rPr>
          <w:rFonts w:asciiTheme="majorBidi" w:hAnsiTheme="majorBidi" w:cstheme="majorBidi"/>
          <w:sz w:val="24"/>
          <w:szCs w:val="24"/>
          <w:lang w:val="es-ES_tradnl"/>
        </w:rPr>
        <w:t>(Merino-Plaza et al., 2018).</w:t>
      </w:r>
    </w:p>
    <w:p w14:paraId="29814491" w14:textId="771E27F8" w:rsidR="00707FED" w:rsidRPr="004B697B" w:rsidRDefault="00707FED" w:rsidP="00A368C6">
      <w:pPr>
        <w:spacing w:line="480" w:lineRule="auto"/>
        <w:rPr>
          <w:rFonts w:asciiTheme="majorBidi" w:eastAsiaTheme="minorHAnsi" w:hAnsiTheme="majorBidi" w:cstheme="majorBidi"/>
          <w:kern w:val="2"/>
          <w:sz w:val="24"/>
          <w:szCs w:val="24"/>
          <w:lang w:val="es-ES_tradnl" w:eastAsia="en-US"/>
          <w14:ligatures w14:val="standardContextual"/>
        </w:rPr>
      </w:pPr>
      <w:r w:rsidRPr="004B697B">
        <w:rPr>
          <w:rFonts w:asciiTheme="majorBidi" w:eastAsia="Times New Roman" w:hAnsiTheme="majorBidi" w:cstheme="majorBidi"/>
          <w:color w:val="000000" w:themeColor="text1"/>
          <w:sz w:val="24"/>
          <w:szCs w:val="24"/>
        </w:rPr>
        <w:tab/>
      </w:r>
      <w:r w:rsidR="007A1E7F">
        <w:rPr>
          <w:rFonts w:asciiTheme="majorBidi" w:hAnsiTheme="majorBidi" w:cstheme="majorBidi"/>
          <w:sz w:val="24"/>
          <w:szCs w:val="24"/>
          <w:lang w:val="es-ES_tradnl"/>
        </w:rPr>
        <w:t>El síndrome de burnout, y su sintomatología psicosomática y emocional asociada,</w:t>
      </w:r>
      <w:r w:rsidRPr="004B697B">
        <w:rPr>
          <w:rFonts w:asciiTheme="majorBidi" w:hAnsiTheme="majorBidi" w:cstheme="majorBidi"/>
          <w:sz w:val="24"/>
          <w:szCs w:val="24"/>
          <w:lang w:val="es-ES_tradnl"/>
        </w:rPr>
        <w:t xml:space="preserve"> es más característic</w:t>
      </w:r>
      <w:r w:rsidR="007A1E7F">
        <w:rPr>
          <w:rFonts w:asciiTheme="majorBidi" w:hAnsiTheme="majorBidi" w:cstheme="majorBidi"/>
          <w:sz w:val="24"/>
          <w:szCs w:val="24"/>
          <w:lang w:val="es-ES_tradnl"/>
        </w:rPr>
        <w:t>o</w:t>
      </w:r>
      <w:r w:rsidRPr="004B697B">
        <w:rPr>
          <w:rFonts w:asciiTheme="majorBidi" w:hAnsiTheme="majorBidi" w:cstheme="majorBidi"/>
          <w:sz w:val="24"/>
          <w:szCs w:val="24"/>
          <w:lang w:val="es-ES_tradnl"/>
        </w:rPr>
        <w:t xml:space="preserve"> en aquellas profesiones cuyas tareas incluyen el cuidado o la prestación de servicios de ayuda a otras personas (Cañadas</w:t>
      </w:r>
      <w:r w:rsidR="003A1962" w:rsidRPr="004B697B">
        <w:rPr>
          <w:rFonts w:asciiTheme="majorBidi" w:hAnsiTheme="majorBidi" w:cstheme="majorBidi"/>
          <w:sz w:val="24"/>
          <w:szCs w:val="24"/>
          <w:lang w:val="es-ES_tradnl"/>
        </w:rPr>
        <w:t xml:space="preserve"> </w:t>
      </w:r>
      <w:r w:rsidRPr="004B697B">
        <w:rPr>
          <w:rFonts w:asciiTheme="majorBidi" w:hAnsiTheme="majorBidi" w:cstheme="majorBidi"/>
          <w:sz w:val="24"/>
          <w:szCs w:val="24"/>
          <w:lang w:val="es-ES_tradnl"/>
        </w:rPr>
        <w:t xml:space="preserve">de la Fuente et al., 2018; Navinés et al., 2016). </w:t>
      </w:r>
      <w:r w:rsidR="008F13ED">
        <w:rPr>
          <w:rFonts w:asciiTheme="majorBidi" w:hAnsiTheme="majorBidi" w:cstheme="majorBidi"/>
          <w:sz w:val="24"/>
          <w:szCs w:val="24"/>
          <w:lang w:val="es-ES_tradnl"/>
        </w:rPr>
        <w:t xml:space="preserve">Los </w:t>
      </w:r>
      <w:r w:rsidR="008F13ED" w:rsidRPr="004B697B">
        <w:rPr>
          <w:rFonts w:asciiTheme="majorBidi" w:hAnsiTheme="majorBidi" w:cstheme="majorBidi"/>
          <w:sz w:val="24"/>
          <w:szCs w:val="24"/>
          <w:lang w:val="es-ES_tradnl"/>
        </w:rPr>
        <w:t>trabajadores sanitarios</w:t>
      </w:r>
      <w:r w:rsidR="008F13ED">
        <w:rPr>
          <w:rFonts w:asciiTheme="majorBidi" w:hAnsiTheme="majorBidi" w:cstheme="majorBidi"/>
          <w:sz w:val="24"/>
          <w:szCs w:val="24"/>
          <w:lang w:val="es-ES_tradnl"/>
        </w:rPr>
        <w:t xml:space="preserve"> son </w:t>
      </w:r>
      <w:r w:rsidR="008F13ED" w:rsidRPr="004B697B">
        <w:rPr>
          <w:rFonts w:asciiTheme="majorBidi" w:hAnsiTheme="majorBidi" w:cstheme="majorBidi"/>
          <w:sz w:val="24"/>
          <w:szCs w:val="24"/>
          <w:lang w:val="es-ES_tradnl"/>
        </w:rPr>
        <w:t xml:space="preserve">aquellos profesionales cuya tarea principal es </w:t>
      </w:r>
      <w:r w:rsidR="00995535">
        <w:rPr>
          <w:rFonts w:asciiTheme="majorBidi" w:hAnsiTheme="majorBidi" w:cstheme="majorBidi"/>
          <w:sz w:val="24"/>
          <w:szCs w:val="24"/>
          <w:lang w:val="es-ES_tradnl"/>
        </w:rPr>
        <w:t xml:space="preserve">procurar la salud y el bienestar. </w:t>
      </w:r>
      <w:r w:rsidR="004B2B52">
        <w:rPr>
          <w:rFonts w:asciiTheme="majorBidi" w:hAnsiTheme="majorBidi" w:cstheme="majorBidi"/>
          <w:sz w:val="24"/>
          <w:szCs w:val="24"/>
          <w:lang w:val="es-ES_tradnl"/>
        </w:rPr>
        <w:t>Por ello están</w:t>
      </w:r>
      <w:r w:rsidR="008F13ED" w:rsidRPr="004B697B">
        <w:rPr>
          <w:rFonts w:asciiTheme="majorBidi" w:hAnsiTheme="majorBidi" w:cstheme="majorBidi"/>
          <w:sz w:val="24"/>
          <w:szCs w:val="24"/>
          <w:lang w:val="es-ES_tradnl"/>
        </w:rPr>
        <w:t xml:space="preserve"> más expuestos a un trabajo demandante, desafiante y complejo que puede llevar al límite sus energías y capacidades (Geiger et al., 2016</w:t>
      </w:r>
      <w:r w:rsidR="008F13ED">
        <w:rPr>
          <w:rFonts w:asciiTheme="majorBidi" w:hAnsiTheme="majorBidi" w:cstheme="majorBidi"/>
          <w:sz w:val="24"/>
          <w:szCs w:val="24"/>
          <w:lang w:val="es-ES_tradnl"/>
        </w:rPr>
        <w:t xml:space="preserve">). </w:t>
      </w:r>
      <w:r w:rsidR="008F13ED" w:rsidRPr="004B697B">
        <w:rPr>
          <w:rFonts w:asciiTheme="majorBidi" w:hAnsiTheme="majorBidi" w:cstheme="majorBidi"/>
          <w:sz w:val="24"/>
          <w:szCs w:val="24"/>
          <w:lang w:val="es-ES_tradnl"/>
        </w:rPr>
        <w:t xml:space="preserve">Este síndrome se debe a que </w:t>
      </w:r>
      <w:r w:rsidR="008F13ED" w:rsidRPr="00214A42">
        <w:rPr>
          <w:rFonts w:asciiTheme="majorBidi" w:hAnsiTheme="majorBidi" w:cstheme="majorBidi"/>
          <w:color w:val="000000" w:themeColor="text1"/>
          <w:sz w:val="24"/>
          <w:szCs w:val="24"/>
          <w:lang w:val="es-ES_tradnl"/>
        </w:rPr>
        <w:t xml:space="preserve">los profesionales sanitarios </w:t>
      </w:r>
      <w:r w:rsidR="00F17056">
        <w:rPr>
          <w:rFonts w:asciiTheme="majorBidi" w:hAnsiTheme="majorBidi" w:cstheme="majorBidi"/>
          <w:color w:val="000000" w:themeColor="text1"/>
          <w:sz w:val="24"/>
          <w:szCs w:val="24"/>
          <w:lang w:val="es-ES_tradnl"/>
        </w:rPr>
        <w:t>realizan</w:t>
      </w:r>
      <w:r w:rsidR="008F13ED" w:rsidRPr="00214A42">
        <w:rPr>
          <w:rFonts w:asciiTheme="majorBidi" w:hAnsiTheme="majorBidi" w:cstheme="majorBidi"/>
          <w:color w:val="000000" w:themeColor="text1"/>
          <w:sz w:val="24"/>
          <w:szCs w:val="24"/>
          <w:lang w:val="es-ES_tradnl"/>
        </w:rPr>
        <w:t xml:space="preserve"> </w:t>
      </w:r>
      <w:r w:rsidR="00FB7D5C">
        <w:rPr>
          <w:rFonts w:asciiTheme="majorBidi" w:hAnsiTheme="majorBidi" w:cstheme="majorBidi"/>
          <w:color w:val="000000" w:themeColor="text1"/>
          <w:sz w:val="24"/>
          <w:szCs w:val="24"/>
          <w:lang w:val="es-ES_tradnl"/>
        </w:rPr>
        <w:t xml:space="preserve">de manera habitual </w:t>
      </w:r>
      <w:r w:rsidR="008F13ED" w:rsidRPr="00214A42">
        <w:rPr>
          <w:rFonts w:asciiTheme="majorBidi" w:hAnsiTheme="majorBidi" w:cstheme="majorBidi"/>
          <w:color w:val="000000" w:themeColor="text1"/>
          <w:sz w:val="24"/>
          <w:szCs w:val="24"/>
          <w:lang w:val="es-ES_tradnl"/>
        </w:rPr>
        <w:t xml:space="preserve">una tarea asistencial que </w:t>
      </w:r>
      <w:r w:rsidR="00524F8D" w:rsidRPr="00214A42">
        <w:rPr>
          <w:rFonts w:asciiTheme="majorBidi" w:hAnsiTheme="majorBidi" w:cstheme="majorBidi"/>
          <w:color w:val="000000" w:themeColor="text1"/>
          <w:sz w:val="24"/>
          <w:szCs w:val="24"/>
          <w:lang w:val="es-ES_tradnl"/>
        </w:rPr>
        <w:t xml:space="preserve">afecta </w:t>
      </w:r>
      <w:r w:rsidR="008F13ED" w:rsidRPr="00214A42">
        <w:rPr>
          <w:rFonts w:asciiTheme="majorBidi" w:hAnsiTheme="majorBidi" w:cstheme="majorBidi"/>
          <w:color w:val="000000" w:themeColor="text1"/>
          <w:sz w:val="24"/>
          <w:szCs w:val="24"/>
          <w:lang w:val="es-ES_tradnl"/>
        </w:rPr>
        <w:t xml:space="preserve">en su calidad de vida </w:t>
      </w:r>
      <w:r w:rsidR="008F13ED" w:rsidRPr="004B697B">
        <w:rPr>
          <w:rFonts w:asciiTheme="majorBidi" w:hAnsiTheme="majorBidi" w:cstheme="majorBidi"/>
          <w:sz w:val="24"/>
          <w:szCs w:val="24"/>
          <w:lang w:val="es-ES_tradnl"/>
        </w:rPr>
        <w:t>como causa de la presión y el estrés laboral al que están sometidos (Barragán et al., 2015). Esta escena se caracteriza por</w:t>
      </w:r>
      <w:r w:rsidR="005B5BF0">
        <w:rPr>
          <w:rFonts w:asciiTheme="majorBidi" w:hAnsiTheme="majorBidi" w:cstheme="majorBidi"/>
          <w:sz w:val="24"/>
          <w:szCs w:val="24"/>
          <w:lang w:val="es-ES_tradnl"/>
        </w:rPr>
        <w:t xml:space="preserve"> </w:t>
      </w:r>
      <w:r w:rsidR="008F13ED" w:rsidRPr="004B697B">
        <w:rPr>
          <w:rFonts w:asciiTheme="majorBidi" w:hAnsiTheme="majorBidi" w:cstheme="majorBidi"/>
          <w:sz w:val="24"/>
          <w:szCs w:val="24"/>
          <w:lang w:val="es-ES_tradnl"/>
        </w:rPr>
        <w:t xml:space="preserve">la inestabilidad, generando en los trabajadores frustración y un </w:t>
      </w:r>
      <w:r w:rsidR="00227A37">
        <w:rPr>
          <w:rFonts w:asciiTheme="majorBidi" w:hAnsiTheme="majorBidi" w:cstheme="majorBidi"/>
          <w:sz w:val="24"/>
          <w:szCs w:val="24"/>
          <w:lang w:val="es-ES_tradnl"/>
        </w:rPr>
        <w:t>elevado</w:t>
      </w:r>
      <w:r w:rsidR="008F13ED" w:rsidRPr="004B697B">
        <w:rPr>
          <w:rFonts w:asciiTheme="majorBidi" w:hAnsiTheme="majorBidi" w:cstheme="majorBidi"/>
          <w:sz w:val="24"/>
          <w:szCs w:val="24"/>
          <w:lang w:val="es-ES_tradnl"/>
        </w:rPr>
        <w:t xml:space="preserve"> grado de tensión emocional, lo que </w:t>
      </w:r>
      <w:r w:rsidR="0046279A">
        <w:rPr>
          <w:rFonts w:asciiTheme="majorBidi" w:hAnsiTheme="majorBidi" w:cstheme="majorBidi"/>
          <w:sz w:val="24"/>
          <w:szCs w:val="24"/>
          <w:lang w:val="es-ES_tradnl"/>
        </w:rPr>
        <w:t>acrecienta</w:t>
      </w:r>
      <w:r w:rsidR="00227A37">
        <w:rPr>
          <w:rFonts w:asciiTheme="majorBidi" w:hAnsiTheme="majorBidi" w:cstheme="majorBidi"/>
          <w:sz w:val="24"/>
          <w:szCs w:val="24"/>
          <w:lang w:val="es-ES_tradnl"/>
        </w:rPr>
        <w:t xml:space="preserve"> el </w:t>
      </w:r>
      <w:r w:rsidR="008F13ED" w:rsidRPr="004B697B">
        <w:rPr>
          <w:rFonts w:asciiTheme="majorBidi" w:hAnsiTheme="majorBidi" w:cstheme="majorBidi"/>
          <w:sz w:val="24"/>
          <w:szCs w:val="24"/>
          <w:lang w:val="es-ES_tradnl"/>
        </w:rPr>
        <w:t xml:space="preserve">número de personas que sufren estrés laboral y burnout (Rodríguez Carvajal et al., 2011). </w:t>
      </w:r>
      <w:r w:rsidRPr="004B697B">
        <w:rPr>
          <w:rFonts w:asciiTheme="majorBidi" w:hAnsiTheme="majorBidi" w:cstheme="majorBidi"/>
          <w:sz w:val="24"/>
          <w:szCs w:val="24"/>
          <w:lang w:val="es-ES_tradnl"/>
        </w:rPr>
        <w:t>P</w:t>
      </w:r>
      <w:r w:rsidR="007A1E7F">
        <w:rPr>
          <w:rFonts w:asciiTheme="majorBidi" w:hAnsiTheme="majorBidi" w:cstheme="majorBidi"/>
          <w:sz w:val="24"/>
          <w:szCs w:val="24"/>
          <w:lang w:val="es-ES_tradnl"/>
        </w:rPr>
        <w:t>or</w:t>
      </w:r>
      <w:r w:rsidRPr="004B697B">
        <w:rPr>
          <w:rFonts w:asciiTheme="majorBidi" w:hAnsiTheme="majorBidi" w:cstheme="majorBidi"/>
          <w:sz w:val="24"/>
          <w:szCs w:val="24"/>
          <w:lang w:val="es-ES_tradnl"/>
        </w:rPr>
        <w:t xml:space="preserve"> ello, </w:t>
      </w:r>
      <w:r w:rsidR="007A1E7F">
        <w:rPr>
          <w:rFonts w:asciiTheme="majorBidi" w:hAnsiTheme="majorBidi" w:cstheme="majorBidi"/>
          <w:sz w:val="24"/>
          <w:szCs w:val="24"/>
          <w:lang w:val="es-ES_tradnl"/>
        </w:rPr>
        <w:t>es</w:t>
      </w:r>
      <w:r w:rsidRPr="004B697B">
        <w:rPr>
          <w:rFonts w:asciiTheme="majorBidi" w:hAnsiTheme="majorBidi" w:cstheme="majorBidi"/>
          <w:sz w:val="24"/>
          <w:szCs w:val="24"/>
          <w:lang w:val="es-ES_tradnl"/>
        </w:rPr>
        <w:t xml:space="preserve"> muy pertinente delimitar los factores de riesgo y de protección </w:t>
      </w:r>
      <w:r w:rsidR="00D149BE">
        <w:rPr>
          <w:rFonts w:asciiTheme="majorBidi" w:hAnsiTheme="majorBidi" w:cstheme="majorBidi"/>
          <w:sz w:val="24"/>
          <w:szCs w:val="24"/>
          <w:lang w:val="es-ES_tradnl"/>
        </w:rPr>
        <w:t xml:space="preserve">ligados </w:t>
      </w:r>
      <w:r w:rsidRPr="004B697B">
        <w:rPr>
          <w:rFonts w:asciiTheme="majorBidi" w:hAnsiTheme="majorBidi" w:cstheme="majorBidi"/>
          <w:sz w:val="24"/>
          <w:szCs w:val="24"/>
          <w:lang w:val="es-ES_tradnl"/>
        </w:rPr>
        <w:t xml:space="preserve">al síndrome de burnout </w:t>
      </w:r>
      <w:r w:rsidR="00546D7A">
        <w:rPr>
          <w:rFonts w:asciiTheme="majorBidi" w:hAnsiTheme="majorBidi" w:cstheme="majorBidi"/>
          <w:sz w:val="24"/>
          <w:szCs w:val="24"/>
          <w:lang w:val="es-ES_tradnl"/>
        </w:rPr>
        <w:t>para</w:t>
      </w:r>
      <w:r w:rsidR="004C6522" w:rsidRPr="004B697B">
        <w:rPr>
          <w:rFonts w:asciiTheme="majorBidi" w:hAnsiTheme="majorBidi" w:cstheme="majorBidi"/>
          <w:sz w:val="24"/>
          <w:szCs w:val="24"/>
          <w:lang w:val="es-ES_tradnl"/>
        </w:rPr>
        <w:t xml:space="preserve"> </w:t>
      </w:r>
      <w:r w:rsidRPr="004B697B">
        <w:rPr>
          <w:rFonts w:asciiTheme="majorBidi" w:hAnsiTheme="majorBidi" w:cstheme="majorBidi"/>
          <w:sz w:val="24"/>
          <w:szCs w:val="24"/>
          <w:lang w:val="es-ES_tradnl"/>
        </w:rPr>
        <w:t xml:space="preserve">establecer estrategias concretas que tengan en cuenta el bienestar </w:t>
      </w:r>
      <w:r w:rsidRPr="004B697B">
        <w:rPr>
          <w:rFonts w:asciiTheme="majorBidi" w:hAnsiTheme="majorBidi" w:cstheme="majorBidi"/>
          <w:sz w:val="24"/>
          <w:szCs w:val="24"/>
          <w:lang w:val="es-ES_tradnl"/>
        </w:rPr>
        <w:lastRenderedPageBreak/>
        <w:t xml:space="preserve">de los </w:t>
      </w:r>
      <w:r w:rsidR="00FA4491">
        <w:rPr>
          <w:rFonts w:asciiTheme="majorBidi" w:hAnsiTheme="majorBidi" w:cstheme="majorBidi"/>
          <w:sz w:val="24"/>
          <w:szCs w:val="24"/>
          <w:lang w:val="es-ES_tradnl"/>
        </w:rPr>
        <w:t xml:space="preserve">sanitarios </w:t>
      </w:r>
      <w:r w:rsidR="007A1E7F">
        <w:rPr>
          <w:rFonts w:asciiTheme="majorBidi" w:hAnsiTheme="majorBidi" w:cstheme="majorBidi"/>
          <w:sz w:val="24"/>
          <w:szCs w:val="24"/>
          <w:lang w:val="es-ES_tradnl"/>
        </w:rPr>
        <w:t>con el objetivo último de</w:t>
      </w:r>
      <w:r w:rsidRPr="004B697B">
        <w:rPr>
          <w:rFonts w:asciiTheme="majorBidi" w:hAnsiTheme="majorBidi" w:cstheme="majorBidi"/>
          <w:sz w:val="24"/>
          <w:szCs w:val="24"/>
          <w:lang w:val="es-ES_tradnl"/>
        </w:rPr>
        <w:t xml:space="preserve"> reducir la ineficacia, los errores y los costes que, debido a la naturaleza del trabajo, pueden suponer la diferencia entre la satisfacción de los pacientes y de ellos mismos (Asante et al., 2019). </w:t>
      </w:r>
    </w:p>
    <w:p w14:paraId="0AB889CA" w14:textId="680F8E02" w:rsidR="00AC4712" w:rsidRPr="004D621E" w:rsidRDefault="007A1E7F" w:rsidP="00A368C6">
      <w:pPr>
        <w:spacing w:before="240" w:after="240" w:line="480" w:lineRule="auto"/>
        <w:ind w:firstLine="708"/>
        <w:rPr>
          <w:rFonts w:asciiTheme="majorBidi" w:eastAsia="Times New Roman" w:hAnsiTheme="majorBidi" w:cstheme="majorBidi"/>
          <w:color w:val="000000" w:themeColor="text1"/>
          <w:sz w:val="24"/>
          <w:szCs w:val="24"/>
        </w:rPr>
      </w:pPr>
      <w:r>
        <w:rPr>
          <w:rFonts w:asciiTheme="majorBidi" w:hAnsiTheme="majorBidi" w:cstheme="majorBidi"/>
          <w:sz w:val="24"/>
          <w:szCs w:val="24"/>
          <w:lang w:val="es-ES_tradnl"/>
        </w:rPr>
        <w:t>E</w:t>
      </w:r>
      <w:r w:rsidR="00707FED" w:rsidRPr="004B697B">
        <w:rPr>
          <w:rFonts w:asciiTheme="majorBidi" w:hAnsiTheme="majorBidi" w:cstheme="majorBidi"/>
          <w:sz w:val="24"/>
          <w:szCs w:val="24"/>
          <w:lang w:val="es-ES_tradnl"/>
        </w:rPr>
        <w:t>l Instituto Nacional de Estadística (INE) define los factores de riesgo como “cualquier característica o circunstancia detectable de una persona o grupo de personas que se sabe asociada con un aumento en la probabilidad de padecer, desarrollar o estar especialmente expuesto a una enfermedad” (INE, 2022).</w:t>
      </w:r>
      <w:r w:rsidR="00546D7A">
        <w:rPr>
          <w:rFonts w:asciiTheme="majorBidi" w:hAnsiTheme="majorBidi" w:cstheme="majorBidi"/>
          <w:sz w:val="24"/>
          <w:szCs w:val="24"/>
          <w:lang w:val="es-ES_tradnl"/>
        </w:rPr>
        <w:t xml:space="preserve"> Por otro lado,</w:t>
      </w:r>
      <w:r w:rsidR="00707FED" w:rsidRPr="004B697B">
        <w:rPr>
          <w:rFonts w:asciiTheme="majorBidi" w:hAnsiTheme="majorBidi" w:cstheme="majorBidi"/>
          <w:sz w:val="24"/>
          <w:szCs w:val="24"/>
          <w:lang w:val="es-ES_tradnl"/>
        </w:rPr>
        <w:t xml:space="preserve"> </w:t>
      </w:r>
      <w:r w:rsidR="00546D7A">
        <w:rPr>
          <w:rFonts w:asciiTheme="majorBidi" w:hAnsiTheme="majorBidi" w:cstheme="majorBidi"/>
          <w:sz w:val="24"/>
          <w:szCs w:val="24"/>
          <w:lang w:val="es-ES_tradnl"/>
        </w:rPr>
        <w:t>l</w:t>
      </w:r>
      <w:r w:rsidR="00707FED" w:rsidRPr="004B697B">
        <w:rPr>
          <w:rFonts w:asciiTheme="majorBidi" w:hAnsiTheme="majorBidi" w:cstheme="majorBidi"/>
          <w:sz w:val="24"/>
          <w:szCs w:val="24"/>
          <w:lang w:val="es-ES_tradnl"/>
        </w:rPr>
        <w:t>os factores de protección serían cualquier circunstancia o característica que, “vinculad</w:t>
      </w:r>
      <w:r w:rsidR="002877BF" w:rsidRPr="004B697B">
        <w:rPr>
          <w:rFonts w:asciiTheme="majorBidi" w:hAnsiTheme="majorBidi" w:cstheme="majorBidi"/>
          <w:sz w:val="24"/>
          <w:szCs w:val="24"/>
          <w:lang w:val="es-ES_tradnl"/>
        </w:rPr>
        <w:t>a</w:t>
      </w:r>
      <w:r w:rsidR="00707FED" w:rsidRPr="004B697B">
        <w:rPr>
          <w:rFonts w:asciiTheme="majorBidi" w:hAnsiTheme="majorBidi" w:cstheme="majorBidi"/>
          <w:sz w:val="24"/>
          <w:szCs w:val="24"/>
          <w:lang w:val="es-ES_tradnl"/>
        </w:rPr>
        <w:t xml:space="preserve">s al comportamiento prosocial”, fortalecieran las </w:t>
      </w:r>
      <w:r w:rsidR="00CC02EF">
        <w:rPr>
          <w:rFonts w:asciiTheme="majorBidi" w:hAnsiTheme="majorBidi" w:cstheme="majorBidi"/>
          <w:sz w:val="24"/>
          <w:szCs w:val="24"/>
          <w:lang w:val="es-ES_tradnl"/>
        </w:rPr>
        <w:t>aptitudes</w:t>
      </w:r>
      <w:r w:rsidR="00707FED" w:rsidRPr="004B697B">
        <w:rPr>
          <w:rFonts w:asciiTheme="majorBidi" w:hAnsiTheme="majorBidi" w:cstheme="majorBidi"/>
          <w:sz w:val="24"/>
          <w:szCs w:val="24"/>
          <w:lang w:val="es-ES_tradnl"/>
        </w:rPr>
        <w:t xml:space="preserve"> de las personas para enfrentarse </w:t>
      </w:r>
      <w:r w:rsidR="0037630F">
        <w:rPr>
          <w:rFonts w:asciiTheme="majorBidi" w:hAnsiTheme="majorBidi" w:cstheme="majorBidi"/>
          <w:sz w:val="24"/>
          <w:szCs w:val="24"/>
          <w:lang w:val="es-ES_tradnl"/>
        </w:rPr>
        <w:t>de manera exitosa</w:t>
      </w:r>
      <w:r w:rsidR="00707FED" w:rsidRPr="004B697B">
        <w:rPr>
          <w:rFonts w:asciiTheme="majorBidi" w:hAnsiTheme="majorBidi" w:cstheme="majorBidi"/>
          <w:sz w:val="24"/>
          <w:szCs w:val="24"/>
          <w:lang w:val="es-ES_tradnl"/>
        </w:rPr>
        <w:t xml:space="preserve"> a situaciones desfavorables (Abágair</w:t>
      </w:r>
      <w:r w:rsidR="00EB5EA7" w:rsidRPr="004B697B">
        <w:rPr>
          <w:rFonts w:asciiTheme="majorBidi" w:hAnsiTheme="majorBidi" w:cstheme="majorBidi"/>
          <w:sz w:val="24"/>
          <w:szCs w:val="24"/>
          <w:lang w:val="es-ES_tradnl"/>
        </w:rPr>
        <w:t>,</w:t>
      </w:r>
      <w:r w:rsidR="00707FED" w:rsidRPr="004B697B">
        <w:rPr>
          <w:rFonts w:asciiTheme="majorBidi" w:hAnsiTheme="majorBidi" w:cstheme="majorBidi"/>
          <w:sz w:val="24"/>
          <w:szCs w:val="24"/>
          <w:lang w:val="es-ES_tradnl"/>
        </w:rPr>
        <w:t xml:space="preserve"> 2017)</w:t>
      </w:r>
      <w:r w:rsidR="00B87DA9" w:rsidRPr="004B697B">
        <w:rPr>
          <w:rFonts w:asciiTheme="majorBidi" w:hAnsiTheme="majorBidi" w:cstheme="majorBidi"/>
          <w:sz w:val="24"/>
          <w:szCs w:val="24"/>
          <w:lang w:val="es-ES_tradnl"/>
        </w:rPr>
        <w:t xml:space="preserve">, </w:t>
      </w:r>
      <w:r w:rsidR="00514D3B" w:rsidRPr="004B697B">
        <w:rPr>
          <w:rFonts w:asciiTheme="majorBidi" w:hAnsiTheme="majorBidi" w:cstheme="majorBidi"/>
          <w:sz w:val="24"/>
          <w:szCs w:val="24"/>
          <w:lang w:val="es-ES_tradnl"/>
        </w:rPr>
        <w:t xml:space="preserve">disminuyendo </w:t>
      </w:r>
      <w:r w:rsidR="00656E8B" w:rsidRPr="004B697B">
        <w:rPr>
          <w:rFonts w:asciiTheme="majorBidi" w:hAnsiTheme="majorBidi" w:cstheme="majorBidi"/>
          <w:sz w:val="24"/>
          <w:szCs w:val="24"/>
          <w:lang w:val="es-ES_tradnl"/>
        </w:rPr>
        <w:t xml:space="preserve">u oponiéndose </w:t>
      </w:r>
      <w:r w:rsidR="00707FED" w:rsidRPr="004B697B">
        <w:rPr>
          <w:rFonts w:asciiTheme="majorBidi" w:hAnsiTheme="majorBidi" w:cstheme="majorBidi"/>
          <w:sz w:val="24"/>
          <w:szCs w:val="24"/>
          <w:lang w:val="es-ES_tradnl"/>
        </w:rPr>
        <w:t xml:space="preserve">a los factores de riesgo identificados (Giménez Lozano et al., 2021). </w:t>
      </w:r>
      <w:r w:rsidRPr="006037D6">
        <w:rPr>
          <w:rFonts w:asciiTheme="majorBidi" w:hAnsiTheme="majorBidi" w:cstheme="majorBidi"/>
          <w:color w:val="000000" w:themeColor="text1"/>
          <w:sz w:val="24"/>
          <w:szCs w:val="24"/>
          <w:lang w:val="es-ES_tradnl"/>
        </w:rPr>
        <w:t xml:space="preserve">Los factores de riesgo y protección </w:t>
      </w:r>
      <w:r w:rsidR="002771FF" w:rsidRPr="006037D6">
        <w:rPr>
          <w:rFonts w:asciiTheme="majorBidi" w:hAnsiTheme="majorBidi" w:cstheme="majorBidi"/>
          <w:color w:val="000000" w:themeColor="text1"/>
          <w:sz w:val="24"/>
          <w:szCs w:val="24"/>
          <w:lang w:val="es-ES_tradnl"/>
        </w:rPr>
        <w:t xml:space="preserve">que se consideran </w:t>
      </w:r>
      <w:r w:rsidRPr="006037D6">
        <w:rPr>
          <w:rFonts w:asciiTheme="majorBidi" w:hAnsiTheme="majorBidi" w:cstheme="majorBidi"/>
          <w:color w:val="000000" w:themeColor="text1"/>
          <w:sz w:val="24"/>
          <w:szCs w:val="24"/>
          <w:lang w:val="es-ES_tradnl"/>
        </w:rPr>
        <w:t>más determinantes en el desarrollo del burnout</w:t>
      </w:r>
      <w:r w:rsidR="00E0797A" w:rsidRPr="006037D6">
        <w:rPr>
          <w:rFonts w:asciiTheme="majorBidi" w:hAnsiTheme="majorBidi" w:cstheme="majorBidi"/>
          <w:color w:val="000000" w:themeColor="text1"/>
          <w:sz w:val="24"/>
          <w:szCs w:val="24"/>
          <w:lang w:val="es-ES_tradnl"/>
        </w:rPr>
        <w:t xml:space="preserve"> en el personal sanitario</w:t>
      </w:r>
      <w:r w:rsidRPr="006037D6">
        <w:rPr>
          <w:rFonts w:asciiTheme="majorBidi" w:hAnsiTheme="majorBidi" w:cstheme="majorBidi"/>
          <w:color w:val="000000" w:themeColor="text1"/>
          <w:sz w:val="24"/>
          <w:szCs w:val="24"/>
          <w:lang w:val="es-ES_tradnl"/>
        </w:rPr>
        <w:t xml:space="preserve"> </w:t>
      </w:r>
      <w:r w:rsidR="002771FF" w:rsidRPr="006037D6">
        <w:rPr>
          <w:rFonts w:asciiTheme="majorBidi" w:hAnsiTheme="majorBidi" w:cstheme="majorBidi"/>
          <w:color w:val="000000" w:themeColor="text1"/>
          <w:sz w:val="24"/>
          <w:szCs w:val="24"/>
          <w:lang w:val="es-ES_tradnl"/>
        </w:rPr>
        <w:t>pueden dividirse en</w:t>
      </w:r>
      <w:r w:rsidR="00546D7A">
        <w:rPr>
          <w:rFonts w:asciiTheme="majorBidi" w:hAnsiTheme="majorBidi" w:cstheme="majorBidi"/>
          <w:color w:val="000000" w:themeColor="text1"/>
          <w:sz w:val="24"/>
          <w:szCs w:val="24"/>
          <w:lang w:val="es-ES_tradnl"/>
        </w:rPr>
        <w:t>:</w:t>
      </w:r>
      <w:r w:rsidR="002771FF" w:rsidRPr="006037D6">
        <w:rPr>
          <w:rFonts w:asciiTheme="majorBidi" w:hAnsiTheme="majorBidi" w:cstheme="majorBidi"/>
          <w:color w:val="000000" w:themeColor="text1"/>
          <w:sz w:val="24"/>
          <w:szCs w:val="24"/>
          <w:lang w:val="es-ES_tradnl"/>
        </w:rPr>
        <w:t xml:space="preserve"> </w:t>
      </w:r>
      <w:r w:rsidR="002771FF">
        <w:rPr>
          <w:rFonts w:asciiTheme="majorBidi" w:hAnsiTheme="majorBidi" w:cstheme="majorBidi"/>
          <w:color w:val="000000" w:themeColor="text1"/>
          <w:sz w:val="24"/>
          <w:szCs w:val="24"/>
          <w:lang w:val="es-ES_tradnl"/>
        </w:rPr>
        <w:t xml:space="preserve">(1) </w:t>
      </w:r>
      <w:r w:rsidR="002771FF" w:rsidRPr="006037D6">
        <w:rPr>
          <w:rFonts w:asciiTheme="majorBidi" w:hAnsiTheme="majorBidi" w:cstheme="majorBidi"/>
          <w:color w:val="000000" w:themeColor="text1"/>
          <w:sz w:val="24"/>
          <w:szCs w:val="24"/>
          <w:lang w:val="es-ES_tradnl"/>
        </w:rPr>
        <w:t xml:space="preserve">factores personales: la edad, el sexo, la satisfacción laboral, </w:t>
      </w:r>
      <w:r w:rsidR="002771FF">
        <w:rPr>
          <w:rFonts w:asciiTheme="majorBidi" w:hAnsiTheme="majorBidi" w:cstheme="majorBidi"/>
          <w:color w:val="000000" w:themeColor="text1"/>
          <w:sz w:val="24"/>
          <w:szCs w:val="24"/>
          <w:lang w:val="es-ES_tradnl"/>
        </w:rPr>
        <w:t xml:space="preserve">el apoyo familiar y personal, el ser padre o madre, </w:t>
      </w:r>
      <w:r w:rsidR="002771FF" w:rsidRPr="006037D6">
        <w:rPr>
          <w:rFonts w:asciiTheme="majorBidi" w:hAnsiTheme="majorBidi" w:cstheme="majorBidi"/>
          <w:color w:val="000000" w:themeColor="text1"/>
          <w:sz w:val="24"/>
          <w:szCs w:val="24"/>
          <w:lang w:val="es-ES_tradnl"/>
        </w:rPr>
        <w:t>las estrategias de afrontamiento, la autoeficacia y la empatí</w:t>
      </w:r>
      <w:r w:rsidR="002771FF">
        <w:rPr>
          <w:rFonts w:asciiTheme="majorBidi" w:hAnsiTheme="majorBidi" w:cstheme="majorBidi"/>
          <w:color w:val="000000" w:themeColor="text1"/>
          <w:sz w:val="24"/>
          <w:szCs w:val="24"/>
          <w:lang w:val="es-ES_tradnl"/>
        </w:rPr>
        <w:t xml:space="preserve">a </w:t>
      </w:r>
      <w:r w:rsidR="002771FF" w:rsidRPr="000674FF">
        <w:rPr>
          <w:rFonts w:asciiTheme="majorBidi" w:hAnsiTheme="majorBidi" w:cstheme="majorBidi"/>
          <w:color w:val="000000" w:themeColor="text1"/>
          <w:sz w:val="24"/>
          <w:szCs w:val="24"/>
          <w:lang w:val="es-ES_tradnl"/>
        </w:rPr>
        <w:t>como factor de protección predominante contra el burnout, ya que implica la comprensión de la situación, las necesidades y preocupaciones de los pacientes. La empatía y sus beneficios orientan a una mayor satisfacción por parte del paciente y, por tanto, mejoran los resultados clínicos</w:t>
      </w:r>
      <w:r w:rsidR="00546D7A">
        <w:rPr>
          <w:rFonts w:asciiTheme="majorBidi" w:hAnsiTheme="majorBidi" w:cstheme="majorBidi"/>
          <w:color w:val="000000" w:themeColor="text1"/>
          <w:sz w:val="24"/>
          <w:szCs w:val="24"/>
          <w:lang w:val="es-ES_tradnl"/>
        </w:rPr>
        <w:t>,</w:t>
      </w:r>
      <w:r w:rsidR="002771FF" w:rsidRPr="000674FF">
        <w:rPr>
          <w:rFonts w:asciiTheme="majorBidi" w:hAnsiTheme="majorBidi" w:cstheme="majorBidi"/>
          <w:color w:val="FF0000"/>
          <w:sz w:val="24"/>
          <w:szCs w:val="24"/>
          <w:lang w:val="es-ES_tradnl"/>
        </w:rPr>
        <w:t xml:space="preserve"> </w:t>
      </w:r>
      <w:r w:rsidR="002771FF" w:rsidRPr="006037D6">
        <w:rPr>
          <w:rFonts w:asciiTheme="majorBidi" w:hAnsiTheme="majorBidi" w:cstheme="majorBidi"/>
          <w:color w:val="000000" w:themeColor="text1"/>
          <w:sz w:val="24"/>
          <w:szCs w:val="24"/>
          <w:lang w:val="es-ES_tradnl"/>
        </w:rPr>
        <w:t xml:space="preserve">(2) los factores sociales: el apoyo social, las relaciones sociales y las actividades de ocio </w:t>
      </w:r>
      <w:r w:rsidR="00974D58">
        <w:rPr>
          <w:rFonts w:asciiTheme="majorBidi" w:hAnsiTheme="majorBidi" w:cstheme="majorBidi"/>
          <w:color w:val="000000" w:themeColor="text1"/>
          <w:sz w:val="24"/>
          <w:szCs w:val="24"/>
          <w:lang w:val="es-ES_tradnl"/>
        </w:rPr>
        <w:t>de exterior</w:t>
      </w:r>
      <w:r w:rsidR="00546D7A">
        <w:rPr>
          <w:rFonts w:asciiTheme="majorBidi" w:hAnsiTheme="majorBidi" w:cstheme="majorBidi"/>
          <w:color w:val="000000" w:themeColor="text1"/>
          <w:sz w:val="24"/>
          <w:szCs w:val="24"/>
          <w:lang w:val="es-ES_tradnl"/>
        </w:rPr>
        <w:t xml:space="preserve"> y</w:t>
      </w:r>
      <w:r w:rsidR="002771FF" w:rsidRPr="006037D6">
        <w:rPr>
          <w:rFonts w:asciiTheme="majorBidi" w:hAnsiTheme="majorBidi" w:cstheme="majorBidi"/>
          <w:color w:val="000000" w:themeColor="text1"/>
          <w:sz w:val="24"/>
          <w:szCs w:val="24"/>
          <w:lang w:val="es-ES_tradnl"/>
        </w:rPr>
        <w:t xml:space="preserve"> (3) las condiciones laborales: las condiciones del </w:t>
      </w:r>
      <w:r w:rsidR="002771FF" w:rsidRPr="002771FF">
        <w:rPr>
          <w:rFonts w:asciiTheme="majorBidi" w:hAnsiTheme="majorBidi" w:cstheme="majorBidi"/>
          <w:color w:val="000000" w:themeColor="text1"/>
          <w:sz w:val="24"/>
          <w:szCs w:val="24"/>
          <w:lang w:val="es-ES_tradnl"/>
        </w:rPr>
        <w:t>contrato</w:t>
      </w:r>
      <w:r w:rsidR="002771FF" w:rsidRPr="006037D6">
        <w:rPr>
          <w:rFonts w:asciiTheme="majorBidi" w:hAnsiTheme="majorBidi" w:cstheme="majorBidi"/>
          <w:color w:val="000000" w:themeColor="text1"/>
          <w:sz w:val="24"/>
          <w:szCs w:val="24"/>
          <w:lang w:val="es-ES_tradnl"/>
        </w:rPr>
        <w:t xml:space="preserve"> laboral, la </w:t>
      </w:r>
      <w:r w:rsidR="00894DE5" w:rsidRPr="00894DE5">
        <w:rPr>
          <w:rFonts w:asciiTheme="majorBidi" w:hAnsiTheme="majorBidi" w:cstheme="majorBidi"/>
          <w:color w:val="000000" w:themeColor="text1"/>
          <w:sz w:val="24"/>
          <w:szCs w:val="24"/>
          <w:lang w:val="es-ES_tradnl"/>
        </w:rPr>
        <w:t>calidad</w:t>
      </w:r>
      <w:r w:rsidR="002771FF" w:rsidRPr="006037D6">
        <w:rPr>
          <w:rFonts w:asciiTheme="majorBidi" w:hAnsiTheme="majorBidi" w:cstheme="majorBidi"/>
          <w:color w:val="000000" w:themeColor="text1"/>
          <w:sz w:val="24"/>
          <w:szCs w:val="24"/>
          <w:lang w:val="es-ES_tradnl"/>
        </w:rPr>
        <w:t xml:space="preserve"> del entorno laboral, el </w:t>
      </w:r>
      <w:r w:rsidR="00894DE5" w:rsidRPr="00894DE5">
        <w:rPr>
          <w:rFonts w:asciiTheme="majorBidi" w:hAnsiTheme="majorBidi" w:cstheme="majorBidi"/>
          <w:color w:val="000000" w:themeColor="text1"/>
          <w:sz w:val="24"/>
          <w:szCs w:val="24"/>
          <w:lang w:val="es-ES_tradnl"/>
        </w:rPr>
        <w:t>apoyo</w:t>
      </w:r>
      <w:r w:rsidR="002771FF" w:rsidRPr="006037D6">
        <w:rPr>
          <w:rFonts w:asciiTheme="majorBidi" w:hAnsiTheme="majorBidi" w:cstheme="majorBidi"/>
          <w:color w:val="000000" w:themeColor="text1"/>
          <w:sz w:val="24"/>
          <w:szCs w:val="24"/>
          <w:lang w:val="es-ES_tradnl"/>
        </w:rPr>
        <w:t xml:space="preserve"> social de los compañeros de trabajo, tener oportunidades de desarrollo laboral, la presencia de </w:t>
      </w:r>
      <w:r w:rsidR="00894DE5" w:rsidRPr="00894DE5">
        <w:rPr>
          <w:rFonts w:asciiTheme="majorBidi" w:hAnsiTheme="majorBidi" w:cstheme="majorBidi"/>
          <w:color w:val="000000" w:themeColor="text1"/>
          <w:sz w:val="24"/>
          <w:szCs w:val="24"/>
          <w:lang w:val="es-ES_tradnl"/>
        </w:rPr>
        <w:t>conflictos</w:t>
      </w:r>
      <w:r w:rsidR="002771FF" w:rsidRPr="006037D6">
        <w:rPr>
          <w:rFonts w:asciiTheme="majorBidi" w:hAnsiTheme="majorBidi" w:cstheme="majorBidi"/>
          <w:color w:val="000000" w:themeColor="text1"/>
          <w:sz w:val="24"/>
          <w:szCs w:val="24"/>
          <w:lang w:val="es-ES_tradnl"/>
        </w:rPr>
        <w:t xml:space="preserve"> laborales, un salario bajo y una menor exigencia emocional en el trabajo, </w:t>
      </w:r>
      <w:r w:rsidR="00D737C0">
        <w:rPr>
          <w:rFonts w:asciiTheme="majorBidi" w:hAnsiTheme="majorBidi" w:cstheme="majorBidi"/>
          <w:color w:val="000000" w:themeColor="text1"/>
          <w:sz w:val="24"/>
          <w:szCs w:val="24"/>
          <w:lang w:val="es-ES_tradnl"/>
        </w:rPr>
        <w:t xml:space="preserve">y </w:t>
      </w:r>
      <w:r w:rsidR="00B50BDB" w:rsidRPr="006037D6">
        <w:rPr>
          <w:rFonts w:asciiTheme="majorBidi" w:hAnsiTheme="majorBidi" w:cstheme="majorBidi"/>
          <w:color w:val="000000" w:themeColor="text1"/>
          <w:sz w:val="24"/>
          <w:szCs w:val="24"/>
          <w:lang w:val="es-ES_tradnl"/>
        </w:rPr>
        <w:t>conseguir un</w:t>
      </w:r>
      <w:r w:rsidR="0085452A">
        <w:rPr>
          <w:rFonts w:asciiTheme="majorBidi" w:hAnsiTheme="majorBidi" w:cstheme="majorBidi"/>
          <w:color w:val="000000" w:themeColor="text1"/>
          <w:sz w:val="24"/>
          <w:szCs w:val="24"/>
          <w:lang w:val="es-ES_tradnl"/>
        </w:rPr>
        <w:t xml:space="preserve">a buena armonía </w:t>
      </w:r>
      <w:r w:rsidR="00B50BDB" w:rsidRPr="006037D6">
        <w:rPr>
          <w:rFonts w:asciiTheme="majorBidi" w:hAnsiTheme="majorBidi" w:cstheme="majorBidi"/>
          <w:color w:val="000000" w:themeColor="text1"/>
          <w:sz w:val="24"/>
          <w:szCs w:val="24"/>
          <w:lang w:val="es-ES_tradnl"/>
        </w:rPr>
        <w:t xml:space="preserve">entre </w:t>
      </w:r>
      <w:r w:rsidR="00A46DAA">
        <w:rPr>
          <w:rFonts w:asciiTheme="majorBidi" w:hAnsiTheme="majorBidi" w:cstheme="majorBidi"/>
          <w:color w:val="000000" w:themeColor="text1"/>
          <w:sz w:val="24"/>
          <w:szCs w:val="24"/>
          <w:lang w:val="es-ES_tradnl"/>
        </w:rPr>
        <w:t>“</w:t>
      </w:r>
      <w:r w:rsidR="00B50BDB" w:rsidRPr="006037D6">
        <w:rPr>
          <w:rFonts w:asciiTheme="majorBidi" w:hAnsiTheme="majorBidi" w:cstheme="majorBidi"/>
          <w:color w:val="000000" w:themeColor="text1"/>
          <w:sz w:val="24"/>
          <w:szCs w:val="24"/>
          <w:lang w:val="es-ES_tradnl"/>
        </w:rPr>
        <w:t xml:space="preserve">la vida privada </w:t>
      </w:r>
      <w:r w:rsidR="00D737C0">
        <w:rPr>
          <w:rFonts w:asciiTheme="majorBidi" w:hAnsiTheme="majorBidi" w:cstheme="majorBidi"/>
          <w:color w:val="000000" w:themeColor="text1"/>
          <w:sz w:val="24"/>
          <w:szCs w:val="24"/>
          <w:lang w:val="es-ES_tradnl"/>
        </w:rPr>
        <w:t xml:space="preserve">y </w:t>
      </w:r>
      <w:r w:rsidR="00B50BDB" w:rsidRPr="006037D6">
        <w:rPr>
          <w:rFonts w:asciiTheme="majorBidi" w:hAnsiTheme="majorBidi" w:cstheme="majorBidi"/>
          <w:color w:val="000000" w:themeColor="text1"/>
          <w:sz w:val="24"/>
          <w:szCs w:val="24"/>
          <w:lang w:val="es-ES_tradnl"/>
        </w:rPr>
        <w:t>la vida laboral</w:t>
      </w:r>
      <w:r w:rsidR="00A46DAA">
        <w:rPr>
          <w:rFonts w:asciiTheme="majorBidi" w:hAnsiTheme="majorBidi" w:cstheme="majorBidi"/>
          <w:color w:val="000000" w:themeColor="text1"/>
          <w:sz w:val="24"/>
          <w:szCs w:val="24"/>
          <w:lang w:val="es-ES_tradnl"/>
        </w:rPr>
        <w:t>”</w:t>
      </w:r>
      <w:r w:rsidR="004D621E" w:rsidRPr="004D621E">
        <w:rPr>
          <w:rFonts w:asciiTheme="majorBidi" w:eastAsia="Times New Roman" w:hAnsiTheme="majorBidi" w:cstheme="majorBidi"/>
          <w:color w:val="000000" w:themeColor="text1"/>
          <w:sz w:val="24"/>
          <w:szCs w:val="24"/>
        </w:rPr>
        <w:t xml:space="preserve"> (A</w:t>
      </w:r>
      <w:r w:rsidR="00AC4712" w:rsidRPr="006037D6">
        <w:rPr>
          <w:rFonts w:asciiTheme="majorBidi" w:hAnsiTheme="majorBidi" w:cstheme="majorBidi"/>
          <w:color w:val="000000" w:themeColor="text1"/>
          <w:sz w:val="24"/>
          <w:szCs w:val="24"/>
          <w:lang w:val="es-ES_tradnl"/>
        </w:rPr>
        <w:t>sante et al., 2019; Faivre et al., 2019 y Huang et al., 2020</w:t>
      </w:r>
      <w:r w:rsidR="004D621E" w:rsidRPr="006037D6">
        <w:rPr>
          <w:rFonts w:asciiTheme="majorBidi" w:hAnsiTheme="majorBidi" w:cstheme="majorBidi"/>
          <w:color w:val="000000" w:themeColor="text1"/>
          <w:sz w:val="24"/>
          <w:szCs w:val="24"/>
          <w:lang w:val="es-ES_tradnl"/>
        </w:rPr>
        <w:t xml:space="preserve">). </w:t>
      </w:r>
    </w:p>
    <w:p w14:paraId="07CDA82E" w14:textId="4FCCFE58" w:rsidR="001207C2" w:rsidRDefault="00707FED" w:rsidP="001207C2">
      <w:pPr>
        <w:spacing w:before="240" w:after="240" w:line="480" w:lineRule="auto"/>
        <w:ind w:firstLine="708"/>
        <w:rPr>
          <w:rFonts w:asciiTheme="majorBidi" w:hAnsiTheme="majorBidi" w:cstheme="majorBidi"/>
          <w:sz w:val="24"/>
          <w:szCs w:val="24"/>
          <w:lang w:val="es-ES_tradnl"/>
        </w:rPr>
      </w:pPr>
      <w:r w:rsidRPr="004B697B">
        <w:rPr>
          <w:rFonts w:asciiTheme="majorBidi" w:eastAsia="Times New Roman" w:hAnsiTheme="majorBidi" w:cstheme="majorBidi"/>
          <w:sz w:val="24"/>
          <w:szCs w:val="24"/>
        </w:rPr>
        <w:lastRenderedPageBreak/>
        <w:t>Los factores de riesgo son uno de los grandes problemas</w:t>
      </w:r>
      <w:r w:rsidR="00A37DAF">
        <w:rPr>
          <w:rFonts w:asciiTheme="majorBidi" w:eastAsia="Times New Roman" w:hAnsiTheme="majorBidi" w:cstheme="majorBidi"/>
          <w:sz w:val="24"/>
          <w:szCs w:val="24"/>
        </w:rPr>
        <w:t xml:space="preserve"> </w:t>
      </w:r>
      <w:r w:rsidRPr="004B697B">
        <w:rPr>
          <w:rFonts w:asciiTheme="majorBidi" w:eastAsia="Times New Roman" w:hAnsiTheme="majorBidi" w:cstheme="majorBidi"/>
          <w:sz w:val="24"/>
          <w:szCs w:val="24"/>
        </w:rPr>
        <w:t xml:space="preserve">a los que se </w:t>
      </w:r>
      <w:r w:rsidR="00A37DAF">
        <w:rPr>
          <w:rFonts w:asciiTheme="majorBidi" w:eastAsia="Times New Roman" w:hAnsiTheme="majorBidi" w:cstheme="majorBidi"/>
          <w:sz w:val="24"/>
          <w:szCs w:val="24"/>
        </w:rPr>
        <w:t xml:space="preserve">deben enfrentar </w:t>
      </w:r>
      <w:r w:rsidRPr="004B697B">
        <w:rPr>
          <w:rFonts w:asciiTheme="majorBidi" w:eastAsia="Times New Roman" w:hAnsiTheme="majorBidi" w:cstheme="majorBidi"/>
          <w:sz w:val="24"/>
          <w:szCs w:val="24"/>
        </w:rPr>
        <w:t>los trabajadores</w:t>
      </w:r>
      <w:r w:rsidR="00A37DAF">
        <w:rPr>
          <w:rFonts w:asciiTheme="majorBidi" w:eastAsia="Times New Roman" w:hAnsiTheme="majorBidi" w:cstheme="majorBidi"/>
          <w:sz w:val="24"/>
          <w:szCs w:val="24"/>
        </w:rPr>
        <w:t xml:space="preserve"> del ámbito de la salud</w:t>
      </w:r>
      <w:r w:rsidRPr="004B697B">
        <w:rPr>
          <w:rFonts w:asciiTheme="majorBidi" w:eastAsia="Times New Roman" w:hAnsiTheme="majorBidi" w:cstheme="majorBidi"/>
          <w:sz w:val="24"/>
          <w:szCs w:val="24"/>
        </w:rPr>
        <w:t xml:space="preserve">, pues afectan tanto a la salud física como psicológica y a la calidad </w:t>
      </w:r>
      <w:r w:rsidRPr="004B697B">
        <w:rPr>
          <w:rFonts w:asciiTheme="majorBidi" w:eastAsia="Times New Roman" w:hAnsiTheme="majorBidi" w:cstheme="majorBidi"/>
          <w:color w:val="000000" w:themeColor="text1"/>
          <w:sz w:val="24"/>
          <w:szCs w:val="24"/>
        </w:rPr>
        <w:t xml:space="preserve">de vida de los profesionales. </w:t>
      </w:r>
      <w:r w:rsidR="0063429A" w:rsidRPr="004B697B">
        <w:rPr>
          <w:rFonts w:asciiTheme="majorBidi" w:eastAsia="Times New Roman" w:hAnsiTheme="majorBidi" w:cstheme="majorBidi"/>
          <w:color w:val="000000" w:themeColor="text1"/>
          <w:sz w:val="24"/>
          <w:szCs w:val="24"/>
        </w:rPr>
        <w:t>Un</w:t>
      </w:r>
      <w:r w:rsidRPr="004B697B">
        <w:rPr>
          <w:rFonts w:asciiTheme="majorBidi" w:eastAsia="Times New Roman" w:hAnsiTheme="majorBidi" w:cstheme="majorBidi"/>
          <w:color w:val="000000" w:themeColor="text1"/>
          <w:sz w:val="24"/>
          <w:szCs w:val="24"/>
        </w:rPr>
        <w:t xml:space="preserve">a función de los centros </w:t>
      </w:r>
      <w:r w:rsidR="00062B16">
        <w:rPr>
          <w:rFonts w:asciiTheme="majorBidi" w:eastAsia="Times New Roman" w:hAnsiTheme="majorBidi" w:cstheme="majorBidi"/>
          <w:color w:val="000000" w:themeColor="text1"/>
          <w:sz w:val="24"/>
          <w:szCs w:val="24"/>
        </w:rPr>
        <w:t xml:space="preserve">de salud </w:t>
      </w:r>
      <w:r w:rsidR="0063429A" w:rsidRPr="004B697B">
        <w:rPr>
          <w:rFonts w:asciiTheme="majorBidi" w:eastAsia="Times New Roman" w:hAnsiTheme="majorBidi" w:cstheme="majorBidi"/>
          <w:color w:val="000000" w:themeColor="text1"/>
          <w:sz w:val="24"/>
          <w:szCs w:val="24"/>
        </w:rPr>
        <w:t xml:space="preserve">es </w:t>
      </w:r>
      <w:r w:rsidRPr="004B697B">
        <w:rPr>
          <w:rFonts w:asciiTheme="majorBidi" w:eastAsia="Times New Roman" w:hAnsiTheme="majorBidi" w:cstheme="majorBidi"/>
          <w:color w:val="000000" w:themeColor="text1"/>
          <w:sz w:val="24"/>
          <w:szCs w:val="24"/>
        </w:rPr>
        <w:t xml:space="preserve">poner en marcha acciones para fortalecer el bienestar de los sanitarios con el </w:t>
      </w:r>
      <w:r w:rsidR="001E7EB9">
        <w:rPr>
          <w:rFonts w:asciiTheme="majorBidi" w:eastAsia="Times New Roman" w:hAnsiTheme="majorBidi" w:cstheme="majorBidi"/>
          <w:color w:val="000000" w:themeColor="text1"/>
          <w:sz w:val="24"/>
          <w:szCs w:val="24"/>
        </w:rPr>
        <w:t>fin</w:t>
      </w:r>
      <w:r w:rsidRPr="004B697B">
        <w:rPr>
          <w:rFonts w:asciiTheme="majorBidi" w:eastAsia="Times New Roman" w:hAnsiTheme="majorBidi" w:cstheme="majorBidi"/>
          <w:color w:val="000000" w:themeColor="text1"/>
          <w:sz w:val="24"/>
          <w:szCs w:val="24"/>
        </w:rPr>
        <w:t xml:space="preserve"> de mejorar </w:t>
      </w:r>
      <w:r w:rsidR="001C32D4">
        <w:rPr>
          <w:rFonts w:asciiTheme="majorBidi" w:eastAsia="Times New Roman" w:hAnsiTheme="majorBidi" w:cstheme="majorBidi"/>
          <w:color w:val="000000" w:themeColor="text1"/>
          <w:sz w:val="24"/>
          <w:szCs w:val="24"/>
        </w:rPr>
        <w:t xml:space="preserve">el rendimiento </w:t>
      </w:r>
      <w:r w:rsidRPr="004B697B">
        <w:rPr>
          <w:rFonts w:asciiTheme="majorBidi" w:eastAsia="Times New Roman" w:hAnsiTheme="majorBidi" w:cstheme="majorBidi"/>
          <w:color w:val="000000" w:themeColor="text1"/>
          <w:sz w:val="24"/>
          <w:szCs w:val="24"/>
        </w:rPr>
        <w:t xml:space="preserve">y la calidad de su desempeño laboral (Asante et al., 2019). Sin embargo, </w:t>
      </w:r>
      <w:r w:rsidRPr="004B697B">
        <w:rPr>
          <w:rFonts w:asciiTheme="majorBidi" w:hAnsiTheme="majorBidi" w:cstheme="majorBidi"/>
          <w:sz w:val="24"/>
          <w:szCs w:val="24"/>
          <w:lang w:val="es-ES_tradnl"/>
        </w:rPr>
        <w:t xml:space="preserve">existen pocos planes de acción para prevenir el desarrollo del síndrome de burnout que pueden llegar a experimentar los sanitarios durante su vida laboral. </w:t>
      </w:r>
      <w:r w:rsidR="00546D7A">
        <w:rPr>
          <w:rFonts w:asciiTheme="majorBidi" w:hAnsiTheme="majorBidi" w:cstheme="majorBidi"/>
          <w:sz w:val="24"/>
          <w:szCs w:val="24"/>
          <w:lang w:val="es-ES_tradnl"/>
        </w:rPr>
        <w:t>A</w:t>
      </w:r>
      <w:r w:rsidRPr="004B697B">
        <w:rPr>
          <w:rFonts w:asciiTheme="majorBidi" w:hAnsiTheme="majorBidi" w:cstheme="majorBidi"/>
          <w:sz w:val="24"/>
          <w:szCs w:val="24"/>
          <w:lang w:val="es-ES_tradnl"/>
        </w:rPr>
        <w:t xml:space="preserve"> pesar de que cada vez hay más conocimientos sobre el tema, la información sigue siendo insuficiente, lo que añade necesidad a la presente investigación. Es esencial una política laboral que promueva y mantenga los factores de protección encontrados, enfocados a mejorar la calidad de vida y bienestar del personal sanitario (Giménez Lozano et al., 2021). Cuando el entorno laboral es percibido como hostil, estresante e insatisfactorio, la productividad y el cuidado de los pacientes se verá afectado. </w:t>
      </w:r>
    </w:p>
    <w:p w14:paraId="2A0A7BC7" w14:textId="47067C40" w:rsidR="00B73DF0" w:rsidRDefault="001207C2" w:rsidP="000D699E">
      <w:pPr>
        <w:spacing w:before="240" w:after="240" w:line="480" w:lineRule="auto"/>
        <w:ind w:firstLine="708"/>
        <w:rPr>
          <w:rFonts w:asciiTheme="majorBidi" w:hAnsiTheme="majorBidi" w:cstheme="majorBidi"/>
          <w:sz w:val="24"/>
          <w:szCs w:val="24"/>
          <w:lang w:val="es-ES_tradnl"/>
        </w:rPr>
      </w:pPr>
      <w:r>
        <w:rPr>
          <w:rFonts w:asciiTheme="majorBidi" w:hAnsiTheme="majorBidi" w:cstheme="majorBidi"/>
          <w:sz w:val="24"/>
          <w:szCs w:val="24"/>
          <w:lang w:val="es-ES_tradnl"/>
        </w:rPr>
        <w:t>E</w:t>
      </w:r>
      <w:r w:rsidR="00707FED" w:rsidRPr="004B697B">
        <w:rPr>
          <w:rFonts w:asciiTheme="majorBidi" w:hAnsiTheme="majorBidi" w:cstheme="majorBidi"/>
          <w:sz w:val="24"/>
          <w:szCs w:val="24"/>
          <w:lang w:val="es-ES_tradnl"/>
        </w:rPr>
        <w:t xml:space="preserve">l objetivo de la revisión sistemática es </w:t>
      </w:r>
      <w:r w:rsidR="00EB2018">
        <w:rPr>
          <w:rFonts w:asciiTheme="majorBidi" w:hAnsiTheme="majorBidi" w:cstheme="majorBidi"/>
          <w:sz w:val="24"/>
          <w:szCs w:val="24"/>
          <w:lang w:val="es-ES_tradnl"/>
        </w:rPr>
        <w:t xml:space="preserve">conocer </w:t>
      </w:r>
      <w:r w:rsidR="00707FED" w:rsidRPr="004B697B">
        <w:rPr>
          <w:rFonts w:asciiTheme="majorBidi" w:hAnsiTheme="majorBidi" w:cstheme="majorBidi"/>
          <w:sz w:val="24"/>
          <w:szCs w:val="24"/>
          <w:lang w:val="es-ES_tradnl"/>
        </w:rPr>
        <w:t xml:space="preserve">los factores de riesgo y protección (laborales y personales) del burnout más prevalentes en el personal sanitario. Solo de este modo se podrá mejorar la salud de los trabajadores sanitarios </w:t>
      </w:r>
      <w:r w:rsidR="00707FED" w:rsidRPr="00571F57">
        <w:rPr>
          <w:rFonts w:asciiTheme="majorBidi" w:hAnsiTheme="majorBidi" w:cstheme="majorBidi"/>
          <w:color w:val="000000" w:themeColor="text1"/>
          <w:sz w:val="24"/>
          <w:szCs w:val="24"/>
          <w:lang w:val="es-ES_tradnl"/>
        </w:rPr>
        <w:t xml:space="preserve">para aumentar </w:t>
      </w:r>
      <w:r w:rsidR="00707FED" w:rsidRPr="004B697B">
        <w:rPr>
          <w:rFonts w:asciiTheme="majorBidi" w:hAnsiTheme="majorBidi" w:cstheme="majorBidi"/>
          <w:sz w:val="24"/>
          <w:szCs w:val="24"/>
          <w:lang w:val="es-ES_tradnl"/>
        </w:rPr>
        <w:t xml:space="preserve">la eficiencia, la productividad laboral y </w:t>
      </w:r>
      <w:r w:rsidR="004133E6" w:rsidRPr="004B697B">
        <w:rPr>
          <w:rFonts w:asciiTheme="majorBidi" w:hAnsiTheme="majorBidi" w:cstheme="majorBidi"/>
          <w:sz w:val="24"/>
          <w:szCs w:val="24"/>
          <w:lang w:val="es-ES_tradnl"/>
        </w:rPr>
        <w:t xml:space="preserve">para </w:t>
      </w:r>
      <w:r w:rsidR="00707FED" w:rsidRPr="004B697B">
        <w:rPr>
          <w:rFonts w:asciiTheme="majorBidi" w:hAnsiTheme="majorBidi" w:cstheme="majorBidi"/>
          <w:sz w:val="24"/>
          <w:szCs w:val="24"/>
          <w:lang w:val="es-ES_tradnl"/>
        </w:rPr>
        <w:t xml:space="preserve">que mantengan una actitud positiva para que la calidad de sus cuidados no se vea afectada (Pollock y Seymour, 2018 y Asante et al., 2019).  </w:t>
      </w:r>
    </w:p>
    <w:p w14:paraId="080A0488" w14:textId="77777777" w:rsidR="000D699E" w:rsidRPr="00571F57" w:rsidRDefault="000D699E" w:rsidP="00A368C6">
      <w:pPr>
        <w:spacing w:before="240" w:after="240" w:line="480" w:lineRule="auto"/>
        <w:ind w:firstLine="708"/>
        <w:rPr>
          <w:rFonts w:asciiTheme="majorBidi" w:hAnsiTheme="majorBidi" w:cstheme="majorBidi"/>
          <w:sz w:val="24"/>
          <w:szCs w:val="24"/>
          <w:lang w:val="es-ES_tradnl"/>
        </w:rPr>
      </w:pPr>
    </w:p>
    <w:p w14:paraId="362C4EB1" w14:textId="5ED972F9" w:rsidR="00707FED" w:rsidRPr="006037D6" w:rsidRDefault="000D699E" w:rsidP="006037D6">
      <w:pPr>
        <w:spacing w:before="240" w:after="240" w:line="480" w:lineRule="auto"/>
        <w:ind w:firstLine="708"/>
        <w:jc w:val="center"/>
        <w:rPr>
          <w:rFonts w:ascii="Times New Roman" w:hAnsi="Times New Roman" w:cs="Times New Roman"/>
          <w:b/>
          <w:bCs/>
          <w:sz w:val="24"/>
          <w:szCs w:val="24"/>
        </w:rPr>
      </w:pPr>
      <w:bookmarkStart w:id="1" w:name="_Toc137811616"/>
      <w:r w:rsidRPr="006037D6">
        <w:rPr>
          <w:rFonts w:ascii="Times New Roman" w:hAnsi="Times New Roman" w:cs="Times New Roman"/>
          <w:b/>
          <w:bCs/>
          <w:sz w:val="24"/>
          <w:szCs w:val="24"/>
        </w:rPr>
        <w:t>Metodología</w:t>
      </w:r>
      <w:bookmarkEnd w:id="1"/>
    </w:p>
    <w:p w14:paraId="639AD46E" w14:textId="2DF2620A" w:rsidR="00B73DF0" w:rsidRPr="005D2F71" w:rsidRDefault="000D699E" w:rsidP="006037D6">
      <w:pPr>
        <w:spacing w:line="480" w:lineRule="auto"/>
        <w:rPr>
          <w:rFonts w:ascii="Times New Roman" w:eastAsia="Times New Roman" w:hAnsi="Times New Roman" w:cs="Times New Roman"/>
          <w:color w:val="000000" w:themeColor="text1"/>
          <w:sz w:val="24"/>
          <w:szCs w:val="24"/>
        </w:rPr>
      </w:pPr>
      <w:bookmarkStart w:id="2" w:name="_Toc137811617"/>
      <w:r w:rsidRPr="005D2F71">
        <w:rPr>
          <w:rFonts w:ascii="Times New Roman" w:eastAsiaTheme="majorEastAsia" w:hAnsi="Times New Roman" w:cs="Times New Roman"/>
          <w:i/>
          <w:iCs/>
          <w:color w:val="000000" w:themeColor="text1"/>
          <w:kern w:val="2"/>
          <w:sz w:val="24"/>
          <w:szCs w:val="24"/>
          <w:lang w:val="es-ES" w:eastAsia="en-US"/>
          <w14:ligatures w14:val="standardContextual"/>
        </w:rPr>
        <w:t>Estrategias de Búsqueda</w:t>
      </w:r>
      <w:bookmarkEnd w:id="2"/>
    </w:p>
    <w:p w14:paraId="64C3B20C" w14:textId="46A7F87E" w:rsidR="00B73DF0" w:rsidRPr="004B697B" w:rsidRDefault="00B73DF0" w:rsidP="00B73DF0">
      <w:pPr>
        <w:spacing w:line="480" w:lineRule="auto"/>
        <w:ind w:firstLine="720"/>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Esta revisión sistemática se llevó a cabo cumplimentando la lista de comprobación para la revisión de artículos científicos establecida por la declaración PRISMA (</w:t>
      </w:r>
      <w:r w:rsidRPr="004B697B">
        <w:rPr>
          <w:rFonts w:ascii="Times New Roman" w:eastAsia="Times New Roman" w:hAnsi="Times New Roman" w:cs="Times New Roman"/>
          <w:i/>
          <w:iCs/>
          <w:sz w:val="24"/>
          <w:szCs w:val="24"/>
          <w:lang w:val="es-ES" w:eastAsia="es-ES_tradnl" w:bidi="ar-SA"/>
        </w:rPr>
        <w:t>Preferred Reporting Items for Systematic Reviews and Meta-Analysis</w:t>
      </w:r>
      <w:r w:rsidRPr="004B697B">
        <w:rPr>
          <w:rFonts w:ascii="Times New Roman" w:eastAsia="Times New Roman" w:hAnsi="Times New Roman" w:cs="Times New Roman"/>
          <w:sz w:val="24"/>
          <w:szCs w:val="24"/>
        </w:rPr>
        <w:t xml:space="preserve">) (Urrútia y Bonfill, 2010). La </w:t>
      </w:r>
      <w:r w:rsidRPr="004B697B">
        <w:rPr>
          <w:rFonts w:ascii="Times New Roman" w:eastAsia="Times New Roman" w:hAnsi="Times New Roman" w:cs="Times New Roman"/>
          <w:sz w:val="24"/>
          <w:szCs w:val="24"/>
        </w:rPr>
        <w:lastRenderedPageBreak/>
        <w:t>búsqueda y selección de los artículos científicos finalizó el 6 de abril de 2023, y se tuvieron en cuenta los artículos publicados en los últimos 5 años hasta esa fecha. Las bases de datos consultadas fueron PubMed y PsycInfo.</w:t>
      </w:r>
    </w:p>
    <w:p w14:paraId="61B9EDA9" w14:textId="5F512410" w:rsidR="00707FED" w:rsidRDefault="00707FED" w:rsidP="004B697B">
      <w:pPr>
        <w:spacing w:before="240" w:after="240" w:line="480" w:lineRule="auto"/>
        <w:ind w:firstLine="720"/>
        <w:jc w:val="both"/>
        <w:rPr>
          <w:rFonts w:asciiTheme="majorBidi" w:hAnsiTheme="majorBidi" w:cstheme="majorBidi"/>
          <w:sz w:val="24"/>
          <w:szCs w:val="24"/>
        </w:rPr>
      </w:pPr>
      <w:r w:rsidRPr="004B697B">
        <w:rPr>
          <w:rFonts w:ascii="Times New Roman" w:eastAsia="Times New Roman" w:hAnsi="Times New Roman" w:cs="Times New Roman"/>
          <w:sz w:val="24"/>
          <w:szCs w:val="24"/>
        </w:rPr>
        <w:t xml:space="preserve">La búsqueda sistemática se realizó a partir de los siguientes términos del lenguaje documental (en inglés): </w:t>
      </w:r>
      <w:r w:rsidRPr="004B697B">
        <w:rPr>
          <w:rFonts w:ascii="Times New Roman" w:eastAsia="Times New Roman" w:hAnsi="Times New Roman" w:cs="Times New Roman"/>
          <w:i/>
          <w:iCs/>
          <w:sz w:val="24"/>
          <w:szCs w:val="24"/>
        </w:rPr>
        <w:t xml:space="preserve">health personnel, burnout </w:t>
      </w:r>
      <w:r w:rsidRPr="004B697B">
        <w:rPr>
          <w:rFonts w:ascii="Times New Roman" w:eastAsia="Times New Roman" w:hAnsi="Times New Roman" w:cs="Times New Roman"/>
          <w:sz w:val="24"/>
          <w:szCs w:val="24"/>
        </w:rPr>
        <w:t>y</w:t>
      </w:r>
      <w:r w:rsidRPr="004B697B">
        <w:rPr>
          <w:rFonts w:ascii="Times New Roman" w:eastAsia="Times New Roman" w:hAnsi="Times New Roman" w:cs="Times New Roman"/>
          <w:i/>
          <w:iCs/>
          <w:sz w:val="24"/>
          <w:szCs w:val="24"/>
        </w:rPr>
        <w:t xml:space="preserve"> risk factors</w:t>
      </w:r>
      <w:r w:rsidRPr="004B697B">
        <w:rPr>
          <w:rFonts w:ascii="Times New Roman" w:eastAsia="Times New Roman" w:hAnsi="Times New Roman" w:cs="Times New Roman"/>
          <w:sz w:val="24"/>
          <w:szCs w:val="24"/>
        </w:rPr>
        <w:t>, con el fin de realizar una búsqueda bibliográfica lo más precisa posible</w:t>
      </w:r>
      <w:r w:rsidR="00C13B36"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w:t>
      </w:r>
      <w:r w:rsidR="0043159F" w:rsidRPr="004B697B">
        <w:rPr>
          <w:rFonts w:ascii="Times New Roman" w:eastAsia="Times New Roman" w:hAnsi="Times New Roman" w:cs="Times New Roman"/>
          <w:sz w:val="24"/>
          <w:szCs w:val="24"/>
        </w:rPr>
        <w:t xml:space="preserve">También se emplearon </w:t>
      </w:r>
      <w:r w:rsidRPr="004B697B">
        <w:rPr>
          <w:rFonts w:ascii="Times New Roman" w:eastAsia="Times New Roman" w:hAnsi="Times New Roman" w:cs="Times New Roman"/>
          <w:sz w:val="24"/>
          <w:szCs w:val="24"/>
        </w:rPr>
        <w:t xml:space="preserve">operadores (“OR” y “AND”), </w:t>
      </w:r>
      <w:r w:rsidR="0043159F" w:rsidRPr="004B697B">
        <w:rPr>
          <w:rFonts w:ascii="Times New Roman" w:eastAsia="Times New Roman" w:hAnsi="Times New Roman" w:cs="Times New Roman"/>
          <w:sz w:val="24"/>
          <w:szCs w:val="24"/>
        </w:rPr>
        <w:t xml:space="preserve">como </w:t>
      </w:r>
      <w:r w:rsidRPr="004B697B">
        <w:rPr>
          <w:rFonts w:ascii="Times New Roman" w:eastAsia="Times New Roman" w:hAnsi="Times New Roman" w:cs="Times New Roman"/>
          <w:sz w:val="24"/>
          <w:szCs w:val="24"/>
        </w:rPr>
        <w:t xml:space="preserve">se recoge en </w:t>
      </w:r>
      <w:r w:rsidR="00C26D6E">
        <w:rPr>
          <w:rFonts w:ascii="Times New Roman" w:eastAsia="Times New Roman" w:hAnsi="Times New Roman" w:cs="Times New Roman"/>
          <w:sz w:val="24"/>
          <w:szCs w:val="24"/>
        </w:rPr>
        <w:t>el anexo, concretamente en la tabla A</w:t>
      </w:r>
      <w:r w:rsidRPr="004B697B">
        <w:rPr>
          <w:rFonts w:ascii="Times New Roman" w:eastAsia="Times New Roman" w:hAnsi="Times New Roman" w:cs="Times New Roman"/>
          <w:sz w:val="24"/>
          <w:szCs w:val="24"/>
        </w:rPr>
        <w:t xml:space="preserve">. El siguiente paso fue buscar la correspondencia del lenguaje documental en las diferentes bases de datos. </w:t>
      </w:r>
      <w:r w:rsidR="006B4DC8">
        <w:rPr>
          <w:rFonts w:asciiTheme="majorBidi" w:hAnsiTheme="majorBidi" w:cstheme="majorBidi"/>
          <w:sz w:val="24"/>
          <w:szCs w:val="24"/>
        </w:rPr>
        <w:t xml:space="preserve">En </w:t>
      </w:r>
      <w:r w:rsidRPr="004B697B">
        <w:rPr>
          <w:rFonts w:asciiTheme="majorBidi" w:hAnsiTheme="majorBidi" w:cstheme="majorBidi"/>
          <w:sz w:val="24"/>
          <w:szCs w:val="24"/>
        </w:rPr>
        <w:t xml:space="preserve">cada base de datos se </w:t>
      </w:r>
      <w:r w:rsidR="006B4DC8">
        <w:rPr>
          <w:rFonts w:asciiTheme="majorBidi" w:hAnsiTheme="majorBidi" w:cstheme="majorBidi"/>
          <w:sz w:val="24"/>
          <w:szCs w:val="24"/>
        </w:rPr>
        <w:t xml:space="preserve">empleó </w:t>
      </w:r>
      <w:r w:rsidRPr="004B697B">
        <w:rPr>
          <w:rFonts w:asciiTheme="majorBidi" w:hAnsiTheme="majorBidi" w:cstheme="majorBidi"/>
          <w:sz w:val="24"/>
          <w:szCs w:val="24"/>
        </w:rPr>
        <w:t xml:space="preserve">una ecuación de búsqueda (recogidas en </w:t>
      </w:r>
      <w:r w:rsidR="002D73F8" w:rsidRPr="004B697B">
        <w:rPr>
          <w:rFonts w:asciiTheme="majorBidi" w:hAnsiTheme="majorBidi" w:cstheme="majorBidi"/>
          <w:sz w:val="24"/>
          <w:szCs w:val="24"/>
        </w:rPr>
        <w:t>la tabla</w:t>
      </w:r>
      <w:r w:rsidRPr="004B697B">
        <w:rPr>
          <w:rFonts w:asciiTheme="majorBidi" w:hAnsiTheme="majorBidi" w:cstheme="majorBidi"/>
          <w:sz w:val="24"/>
          <w:szCs w:val="24"/>
        </w:rPr>
        <w:t xml:space="preserve"> 1)</w:t>
      </w:r>
      <w:r w:rsidR="00F15EBB" w:rsidRPr="004B697B">
        <w:rPr>
          <w:rFonts w:asciiTheme="majorBidi" w:hAnsiTheme="majorBidi" w:cstheme="majorBidi"/>
          <w:sz w:val="24"/>
          <w:szCs w:val="24"/>
        </w:rPr>
        <w:t>,</w:t>
      </w:r>
      <w:r w:rsidRPr="004B697B">
        <w:rPr>
          <w:rFonts w:asciiTheme="majorBidi" w:hAnsiTheme="majorBidi" w:cstheme="majorBidi"/>
          <w:sz w:val="24"/>
          <w:szCs w:val="24"/>
        </w:rPr>
        <w:t xml:space="preserve"> a</w:t>
      </w:r>
      <w:r w:rsidR="00C7094A">
        <w:rPr>
          <w:rFonts w:asciiTheme="majorBidi" w:hAnsiTheme="majorBidi" w:cstheme="majorBidi"/>
          <w:sz w:val="24"/>
          <w:szCs w:val="24"/>
        </w:rPr>
        <w:t>justando</w:t>
      </w:r>
      <w:r w:rsidRPr="004B697B">
        <w:rPr>
          <w:rFonts w:asciiTheme="majorBidi" w:hAnsiTheme="majorBidi" w:cstheme="majorBidi"/>
          <w:sz w:val="24"/>
          <w:szCs w:val="24"/>
        </w:rPr>
        <w:t xml:space="preserve"> los términos de búsqueda y sus di</w:t>
      </w:r>
      <w:r w:rsidR="00C7094A">
        <w:rPr>
          <w:rFonts w:asciiTheme="majorBidi" w:hAnsiTheme="majorBidi" w:cstheme="majorBidi"/>
          <w:sz w:val="24"/>
          <w:szCs w:val="24"/>
        </w:rPr>
        <w:t>stintas</w:t>
      </w:r>
      <w:r w:rsidRPr="004B697B">
        <w:rPr>
          <w:rFonts w:asciiTheme="majorBidi" w:hAnsiTheme="majorBidi" w:cstheme="majorBidi"/>
          <w:sz w:val="24"/>
          <w:szCs w:val="24"/>
        </w:rPr>
        <w:t xml:space="preserve"> combinaciones. </w:t>
      </w:r>
    </w:p>
    <w:p w14:paraId="46461E2B" w14:textId="77777777" w:rsidR="008C5A2C" w:rsidRPr="004B697B" w:rsidRDefault="008C5A2C" w:rsidP="008C5A2C">
      <w:pPr>
        <w:spacing w:before="240" w:after="240" w:line="480" w:lineRule="auto"/>
        <w:jc w:val="both"/>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Tabla 1</w:t>
      </w:r>
    </w:p>
    <w:p w14:paraId="34B9500E" w14:textId="0A8CE098" w:rsidR="008C5A2C" w:rsidRDefault="008C5A2C" w:rsidP="008C5A2C">
      <w:pPr>
        <w:spacing w:before="240" w:after="240" w:line="480" w:lineRule="auto"/>
        <w:ind w:firstLine="720"/>
        <w:jc w:val="both"/>
        <w:rPr>
          <w:rFonts w:ascii="Times New Roman" w:eastAsia="Times New Roman" w:hAnsi="Times New Roman" w:cs="Times New Roman"/>
          <w:i/>
          <w:sz w:val="24"/>
          <w:szCs w:val="24"/>
        </w:rPr>
      </w:pPr>
      <w:r w:rsidRPr="004B697B">
        <w:rPr>
          <w:rFonts w:ascii="Times New Roman" w:eastAsia="Times New Roman" w:hAnsi="Times New Roman" w:cs="Times New Roman"/>
          <w:i/>
          <w:sz w:val="24"/>
          <w:szCs w:val="24"/>
        </w:rPr>
        <w:t>Ecuaciones de búsqueda y número de registros de cada base de datos</w:t>
      </w:r>
    </w:p>
    <w:tbl>
      <w:tblPr>
        <w:tblStyle w:val="Tablanormal2"/>
        <w:tblW w:w="9029" w:type="dxa"/>
        <w:tblLayout w:type="fixed"/>
        <w:tblLook w:val="0660" w:firstRow="1" w:lastRow="1" w:firstColumn="0" w:lastColumn="0" w:noHBand="1" w:noVBand="1"/>
      </w:tblPr>
      <w:tblGrid>
        <w:gridCol w:w="3009"/>
        <w:gridCol w:w="3010"/>
        <w:gridCol w:w="3010"/>
      </w:tblGrid>
      <w:tr w:rsidR="008C5A2C" w:rsidRPr="004B697B" w14:paraId="0CAF83C0" w14:textId="77777777" w:rsidTr="00CC033D">
        <w:trPr>
          <w:cnfStyle w:val="100000000000" w:firstRow="1" w:lastRow="0" w:firstColumn="0" w:lastColumn="0" w:oddVBand="0" w:evenVBand="0" w:oddHBand="0" w:evenHBand="0" w:firstRowFirstColumn="0" w:firstRowLastColumn="0" w:lastRowFirstColumn="0" w:lastRowLastColumn="0"/>
        </w:trPr>
        <w:tc>
          <w:tcPr>
            <w:tcW w:w="3009" w:type="dxa"/>
          </w:tcPr>
          <w:p w14:paraId="045EE669"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rPr>
            </w:pPr>
            <w:r w:rsidRPr="00BF0B9A">
              <w:rPr>
                <w:rFonts w:ascii="Times New Roman" w:eastAsia="Times New Roman" w:hAnsi="Times New Roman" w:cs="Times New Roman"/>
                <w:b w:val="0"/>
                <w:bCs w:val="0"/>
                <w:sz w:val="24"/>
                <w:szCs w:val="24"/>
              </w:rPr>
              <w:t xml:space="preserve">Base de Datos </w:t>
            </w:r>
          </w:p>
        </w:tc>
        <w:tc>
          <w:tcPr>
            <w:tcW w:w="3009" w:type="dxa"/>
          </w:tcPr>
          <w:p w14:paraId="47B9FEF8"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rPr>
            </w:pPr>
            <w:r w:rsidRPr="00BF0B9A">
              <w:rPr>
                <w:rFonts w:ascii="Times New Roman" w:eastAsia="Times New Roman" w:hAnsi="Times New Roman" w:cs="Times New Roman"/>
                <w:b w:val="0"/>
                <w:bCs w:val="0"/>
                <w:sz w:val="24"/>
                <w:szCs w:val="24"/>
              </w:rPr>
              <w:t xml:space="preserve">Ecuación de Búsqueda </w:t>
            </w:r>
          </w:p>
        </w:tc>
        <w:tc>
          <w:tcPr>
            <w:tcW w:w="3009" w:type="dxa"/>
          </w:tcPr>
          <w:p w14:paraId="45774C1B"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rPr>
            </w:pPr>
            <w:r w:rsidRPr="00BF0B9A">
              <w:rPr>
                <w:rFonts w:ascii="Times New Roman" w:eastAsia="Times New Roman" w:hAnsi="Times New Roman" w:cs="Times New Roman"/>
                <w:b w:val="0"/>
                <w:bCs w:val="0"/>
                <w:sz w:val="24"/>
                <w:szCs w:val="24"/>
              </w:rPr>
              <w:t>Nº de referencias encontradas</w:t>
            </w:r>
          </w:p>
        </w:tc>
      </w:tr>
      <w:tr w:rsidR="008C5A2C" w:rsidRPr="004B697B" w14:paraId="2F103511" w14:textId="77777777" w:rsidTr="00CC033D">
        <w:tc>
          <w:tcPr>
            <w:tcW w:w="3009" w:type="dxa"/>
          </w:tcPr>
          <w:p w14:paraId="445E0B5B"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sz w:val="24"/>
                <w:szCs w:val="24"/>
              </w:rPr>
            </w:pPr>
            <w:r w:rsidRPr="00BF0B9A">
              <w:rPr>
                <w:rFonts w:ascii="Times New Roman" w:eastAsia="Times New Roman" w:hAnsi="Times New Roman" w:cs="Times New Roman"/>
                <w:sz w:val="24"/>
                <w:szCs w:val="24"/>
              </w:rPr>
              <w:t>PubMed</w:t>
            </w:r>
          </w:p>
        </w:tc>
        <w:tc>
          <w:tcPr>
            <w:tcW w:w="3009" w:type="dxa"/>
          </w:tcPr>
          <w:p w14:paraId="66E67B25" w14:textId="77777777" w:rsidR="008C5A2C" w:rsidRPr="006037D6" w:rsidRDefault="008C5A2C" w:rsidP="00CC033D">
            <w:pPr>
              <w:widowControl w:val="0"/>
              <w:spacing w:before="240" w:after="240"/>
              <w:rPr>
                <w:rFonts w:ascii="Times New Roman" w:eastAsia="Times New Roman" w:hAnsi="Times New Roman" w:cs="Times New Roman"/>
                <w:sz w:val="24"/>
                <w:szCs w:val="24"/>
                <w:lang w:val="en-US"/>
              </w:rPr>
            </w:pPr>
            <w:r w:rsidRPr="006037D6">
              <w:rPr>
                <w:rFonts w:ascii="Times New Roman" w:eastAsia="Times New Roman" w:hAnsi="Times New Roman" w:cs="Times New Roman"/>
                <w:sz w:val="24"/>
                <w:szCs w:val="24"/>
                <w:lang w:val="en-US"/>
              </w:rPr>
              <w:t>("Health Personnel"[Mesh] OR "Attitude of Health Personnel"[Mesh]) AND "Burnout, Psychological"[Mesh] AND "Risk Factors"[Mesh]</w:t>
            </w:r>
          </w:p>
          <w:p w14:paraId="330F3985" w14:textId="77777777" w:rsidR="008C5A2C" w:rsidRPr="006037D6" w:rsidRDefault="008C5A2C" w:rsidP="00CC033D">
            <w:pPr>
              <w:widowControl w:val="0"/>
              <w:pBdr>
                <w:top w:val="nil"/>
                <w:left w:val="nil"/>
                <w:bottom w:val="nil"/>
                <w:right w:val="nil"/>
                <w:between w:val="nil"/>
              </w:pBdr>
              <w:rPr>
                <w:rFonts w:ascii="Times New Roman" w:eastAsia="Times New Roman" w:hAnsi="Times New Roman" w:cs="Times New Roman"/>
                <w:sz w:val="24"/>
                <w:szCs w:val="24"/>
                <w:lang w:val="en-US"/>
              </w:rPr>
            </w:pPr>
          </w:p>
        </w:tc>
        <w:tc>
          <w:tcPr>
            <w:tcW w:w="3009" w:type="dxa"/>
          </w:tcPr>
          <w:p w14:paraId="6A1E7F8D"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sz w:val="24"/>
                <w:szCs w:val="24"/>
              </w:rPr>
            </w:pPr>
            <w:r w:rsidRPr="00BF0B9A">
              <w:rPr>
                <w:rFonts w:ascii="Times New Roman" w:eastAsia="Times New Roman" w:hAnsi="Times New Roman" w:cs="Times New Roman"/>
                <w:sz w:val="24"/>
                <w:szCs w:val="24"/>
              </w:rPr>
              <w:t>199</w:t>
            </w:r>
          </w:p>
        </w:tc>
      </w:tr>
      <w:tr w:rsidR="008C5A2C" w:rsidRPr="004B697B" w14:paraId="16DDC619" w14:textId="77777777" w:rsidTr="00CC033D">
        <w:trPr>
          <w:cnfStyle w:val="010000000000" w:firstRow="0" w:lastRow="1" w:firstColumn="0" w:lastColumn="0" w:oddVBand="0" w:evenVBand="0" w:oddHBand="0" w:evenHBand="0" w:firstRowFirstColumn="0" w:firstRowLastColumn="0" w:lastRowFirstColumn="0" w:lastRowLastColumn="0"/>
        </w:trPr>
        <w:tc>
          <w:tcPr>
            <w:tcW w:w="3009" w:type="dxa"/>
          </w:tcPr>
          <w:p w14:paraId="1BD095C9"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rPr>
            </w:pPr>
            <w:r w:rsidRPr="00BF0B9A">
              <w:rPr>
                <w:rFonts w:ascii="Times New Roman" w:eastAsia="Times New Roman" w:hAnsi="Times New Roman" w:cs="Times New Roman"/>
                <w:b w:val="0"/>
                <w:bCs w:val="0"/>
                <w:sz w:val="24"/>
                <w:szCs w:val="24"/>
              </w:rPr>
              <w:t>PsycInfo</w:t>
            </w:r>
          </w:p>
        </w:tc>
        <w:tc>
          <w:tcPr>
            <w:tcW w:w="3009" w:type="dxa"/>
          </w:tcPr>
          <w:p w14:paraId="2C0EF3DF" w14:textId="77777777" w:rsidR="008C5A2C" w:rsidRPr="00621827" w:rsidRDefault="008C5A2C" w:rsidP="00CC033D">
            <w:pPr>
              <w:widowControl w:val="0"/>
              <w:spacing w:before="240" w:after="240"/>
              <w:rPr>
                <w:rFonts w:ascii="Times New Roman" w:eastAsia="Times New Roman" w:hAnsi="Times New Roman" w:cs="Times New Roman"/>
                <w:b w:val="0"/>
                <w:bCs w:val="0"/>
                <w:sz w:val="24"/>
                <w:szCs w:val="24"/>
                <w:lang w:val="en-US"/>
              </w:rPr>
            </w:pPr>
            <w:r w:rsidRPr="00621827">
              <w:rPr>
                <w:rFonts w:ascii="Times New Roman" w:eastAsia="Times New Roman" w:hAnsi="Times New Roman" w:cs="Times New Roman"/>
                <w:b w:val="0"/>
                <w:bCs w:val="0"/>
                <w:sz w:val="24"/>
                <w:szCs w:val="24"/>
                <w:lang w:val="en-US"/>
              </w:rPr>
              <w:t>(DE "Health Personnel" OR DE "Health Personnel Attitudes") AND (DE "Burnout") AND (DE "Risk Factors")</w:t>
            </w:r>
          </w:p>
          <w:p w14:paraId="54AE8029" w14:textId="77777777" w:rsidR="008C5A2C" w:rsidRPr="006037D6"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lang w:val="en-US"/>
              </w:rPr>
            </w:pPr>
          </w:p>
        </w:tc>
        <w:tc>
          <w:tcPr>
            <w:tcW w:w="3009" w:type="dxa"/>
          </w:tcPr>
          <w:p w14:paraId="4577900B" w14:textId="77777777" w:rsidR="008C5A2C" w:rsidRPr="00BF0B9A" w:rsidRDefault="008C5A2C" w:rsidP="00CC033D">
            <w:pPr>
              <w:widowControl w:val="0"/>
              <w:pBdr>
                <w:top w:val="nil"/>
                <w:left w:val="nil"/>
                <w:bottom w:val="nil"/>
                <w:right w:val="nil"/>
                <w:between w:val="nil"/>
              </w:pBdr>
              <w:rPr>
                <w:rFonts w:ascii="Times New Roman" w:eastAsia="Times New Roman" w:hAnsi="Times New Roman" w:cs="Times New Roman"/>
                <w:b w:val="0"/>
                <w:bCs w:val="0"/>
                <w:sz w:val="24"/>
                <w:szCs w:val="24"/>
              </w:rPr>
            </w:pPr>
            <w:r w:rsidRPr="00BF0B9A">
              <w:rPr>
                <w:rFonts w:ascii="Times New Roman" w:eastAsia="Times New Roman" w:hAnsi="Times New Roman" w:cs="Times New Roman"/>
                <w:b w:val="0"/>
                <w:bCs w:val="0"/>
                <w:sz w:val="24"/>
                <w:szCs w:val="24"/>
              </w:rPr>
              <w:t>6</w:t>
            </w:r>
          </w:p>
        </w:tc>
      </w:tr>
    </w:tbl>
    <w:p w14:paraId="11045854" w14:textId="0CD5E1D0" w:rsidR="008C5A2C" w:rsidRPr="004B697B" w:rsidRDefault="008C5A2C" w:rsidP="008C5A2C">
      <w:pPr>
        <w:spacing w:before="240" w:after="240" w:line="480" w:lineRule="auto"/>
        <w:jc w:val="both"/>
        <w:rPr>
          <w:rFonts w:ascii="Times New Roman" w:eastAsia="Times New Roman" w:hAnsi="Times New Roman" w:cs="Times New Roman"/>
          <w:i/>
          <w:sz w:val="24"/>
          <w:szCs w:val="24"/>
        </w:rPr>
      </w:pPr>
    </w:p>
    <w:p w14:paraId="34DF6089" w14:textId="34298FC9" w:rsidR="00707FED" w:rsidRPr="004B697B" w:rsidRDefault="00707FED" w:rsidP="006037D6">
      <w:pPr>
        <w:spacing w:line="480" w:lineRule="auto"/>
        <w:ind w:firstLine="708"/>
        <w:rPr>
          <w:rFonts w:asciiTheme="majorBidi" w:hAnsiTheme="majorBidi" w:cstheme="majorBidi"/>
          <w:sz w:val="24"/>
          <w:szCs w:val="24"/>
        </w:rPr>
      </w:pPr>
      <w:r w:rsidRPr="004B697B">
        <w:rPr>
          <w:rFonts w:asciiTheme="majorBidi" w:eastAsia="Times New Roman" w:hAnsiTheme="majorBidi" w:cstheme="majorBidi"/>
          <w:sz w:val="24"/>
          <w:szCs w:val="24"/>
        </w:rPr>
        <w:lastRenderedPageBreak/>
        <w:t xml:space="preserve">Los criterios de </w:t>
      </w:r>
      <w:r w:rsidR="00FF5288">
        <w:rPr>
          <w:rFonts w:asciiTheme="majorBidi" w:eastAsia="Times New Roman" w:hAnsiTheme="majorBidi" w:cstheme="majorBidi"/>
          <w:sz w:val="24"/>
          <w:szCs w:val="24"/>
        </w:rPr>
        <w:t>elegibilidad</w:t>
      </w:r>
      <w:r w:rsidRPr="004B697B">
        <w:rPr>
          <w:rFonts w:asciiTheme="majorBidi" w:eastAsia="Times New Roman" w:hAnsiTheme="majorBidi" w:cstheme="majorBidi"/>
          <w:sz w:val="24"/>
          <w:szCs w:val="24"/>
        </w:rPr>
        <w:t xml:space="preserve"> establecidos para la revisión sistemática son los siguientes:  </w:t>
      </w:r>
      <w:r w:rsidRPr="004B697B">
        <w:rPr>
          <w:rFonts w:asciiTheme="majorBidi" w:hAnsiTheme="majorBidi" w:cstheme="majorBidi"/>
          <w:sz w:val="24"/>
          <w:szCs w:val="24"/>
        </w:rPr>
        <w:t xml:space="preserve"> (a) estudios empíricos, (b) enfocados a población perteneciente al ámbito sanitario, (c) enfocada en </w:t>
      </w:r>
      <w:r w:rsidRPr="004B697B">
        <w:rPr>
          <w:rFonts w:asciiTheme="majorBidi" w:eastAsia="Times New Roman" w:hAnsiTheme="majorBidi" w:cstheme="majorBidi"/>
          <w:sz w:val="24"/>
          <w:szCs w:val="24"/>
        </w:rPr>
        <w:t>profesionales con alto nivel de formación en el ámbito de la salud física, (d) en sujetos mayores de 18 años, (e) entendiendo los factores de riesgo y protección y el burnout en el personal sanitario, (f) en situaciones de carácter sanitario, (g) excluyendo el burnout debido al COVID-19</w:t>
      </w:r>
      <w:r w:rsidRPr="004B697B">
        <w:rPr>
          <w:rFonts w:asciiTheme="majorBidi" w:hAnsiTheme="majorBidi" w:cstheme="majorBidi"/>
          <w:sz w:val="24"/>
          <w:szCs w:val="24"/>
        </w:rPr>
        <w:t xml:space="preserve">, (h) en español o en inglés, (i) en artículos de no </w:t>
      </w:r>
      <w:r w:rsidR="00990576" w:rsidRPr="004B697B">
        <w:rPr>
          <w:rFonts w:asciiTheme="majorBidi" w:hAnsiTheme="majorBidi" w:cstheme="majorBidi"/>
          <w:sz w:val="24"/>
          <w:szCs w:val="24"/>
        </w:rPr>
        <w:t>más</w:t>
      </w:r>
      <w:r w:rsidRPr="004B697B">
        <w:rPr>
          <w:rFonts w:asciiTheme="majorBidi" w:hAnsiTheme="majorBidi" w:cstheme="majorBidi"/>
          <w:sz w:val="24"/>
          <w:szCs w:val="24"/>
        </w:rPr>
        <w:t xml:space="preserve"> de cinco años de antigüedad </w:t>
      </w:r>
      <w:r w:rsidR="006603D7" w:rsidRPr="004B697B">
        <w:rPr>
          <w:rFonts w:asciiTheme="majorBidi" w:hAnsiTheme="majorBidi" w:cstheme="majorBidi"/>
          <w:sz w:val="24"/>
          <w:szCs w:val="24"/>
        </w:rPr>
        <w:t xml:space="preserve">y </w:t>
      </w:r>
      <w:r w:rsidRPr="004B697B">
        <w:rPr>
          <w:rFonts w:asciiTheme="majorBidi" w:hAnsiTheme="majorBidi" w:cstheme="majorBidi"/>
          <w:sz w:val="24"/>
          <w:szCs w:val="24"/>
        </w:rPr>
        <w:t xml:space="preserve">(j) de acceso abierto. </w:t>
      </w:r>
    </w:p>
    <w:p w14:paraId="754C2D9A" w14:textId="29422B10" w:rsidR="00707FED" w:rsidRPr="004B697B" w:rsidRDefault="00707FED" w:rsidP="006037D6">
      <w:pPr>
        <w:pStyle w:val="Ttulo2"/>
      </w:pPr>
    </w:p>
    <w:p w14:paraId="169BD78E" w14:textId="77777777" w:rsidR="00B73DF0" w:rsidRPr="006037D6" w:rsidRDefault="00B73DF0" w:rsidP="006037D6">
      <w:pPr>
        <w:spacing w:line="480" w:lineRule="auto"/>
        <w:rPr>
          <w:rFonts w:ascii="Times New Roman" w:eastAsia="Times New Roman" w:hAnsi="Times New Roman" w:cs="Times New Roman"/>
          <w:i/>
          <w:iCs/>
          <w:sz w:val="24"/>
          <w:szCs w:val="24"/>
        </w:rPr>
      </w:pPr>
      <w:r w:rsidRPr="006037D6">
        <w:rPr>
          <w:rFonts w:ascii="Times New Roman" w:eastAsia="Times New Roman" w:hAnsi="Times New Roman" w:cs="Times New Roman"/>
          <w:i/>
          <w:iCs/>
          <w:sz w:val="24"/>
          <w:szCs w:val="24"/>
        </w:rPr>
        <w:t>Variables</w:t>
      </w:r>
    </w:p>
    <w:p w14:paraId="067E71F2" w14:textId="0A745158" w:rsidR="00707FED" w:rsidRPr="004B697B" w:rsidRDefault="00707FED" w:rsidP="004B697B">
      <w:pPr>
        <w:spacing w:line="480" w:lineRule="auto"/>
        <w:ind w:firstLine="720"/>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En la revisión se ha establecido como variable de resultado el burnout. El burnout se define como el estado que se caracteriza por agotamiento emocional, despersonalización y baja realización personal</w:t>
      </w:r>
      <w:r w:rsidR="005A2B08">
        <w:rPr>
          <w:rFonts w:ascii="Times New Roman" w:eastAsia="Times New Roman" w:hAnsi="Times New Roman" w:cs="Times New Roman"/>
          <w:sz w:val="24"/>
          <w:szCs w:val="24"/>
        </w:rPr>
        <w:t xml:space="preserve"> </w:t>
      </w:r>
      <w:r w:rsidR="005A2B08">
        <w:rPr>
          <w:rFonts w:asciiTheme="majorBidi" w:hAnsiTheme="majorBidi" w:cstheme="majorBidi"/>
          <w:sz w:val="24"/>
          <w:szCs w:val="24"/>
          <w:lang w:val="es-ES_tradnl"/>
        </w:rPr>
        <w:t>(</w:t>
      </w:r>
      <w:r w:rsidR="005A2B08" w:rsidRPr="004B697B">
        <w:rPr>
          <w:rFonts w:asciiTheme="majorBidi" w:hAnsiTheme="majorBidi" w:cstheme="majorBidi"/>
          <w:color w:val="000000" w:themeColor="text1"/>
          <w:sz w:val="24"/>
          <w:szCs w:val="24"/>
          <w:lang w:val="es-ES_tradnl"/>
        </w:rPr>
        <w:t>Maslash</w:t>
      </w:r>
      <w:r w:rsidR="005A2B08" w:rsidRPr="004B697B">
        <w:rPr>
          <w:rFonts w:asciiTheme="majorBidi" w:hAnsiTheme="majorBidi" w:cstheme="majorBidi"/>
          <w:sz w:val="24"/>
          <w:szCs w:val="24"/>
          <w:lang w:val="es-ES_tradnl"/>
        </w:rPr>
        <w:t xml:space="preserve"> y Jackson</w:t>
      </w:r>
      <w:r w:rsidR="005A2B08">
        <w:rPr>
          <w:rFonts w:asciiTheme="majorBidi" w:hAnsiTheme="majorBidi" w:cstheme="majorBidi"/>
          <w:sz w:val="24"/>
          <w:szCs w:val="24"/>
          <w:lang w:val="es-ES_tradnl"/>
        </w:rPr>
        <w:t>, 1981)</w:t>
      </w:r>
      <w:r w:rsidRPr="004B697B">
        <w:rPr>
          <w:rFonts w:ascii="Times New Roman" w:eastAsia="Times New Roman" w:hAnsi="Times New Roman" w:cs="Times New Roman"/>
          <w:sz w:val="24"/>
          <w:szCs w:val="24"/>
        </w:rPr>
        <w:t xml:space="preserve">. El síndrome de burnout se produce debido a la exposición </w:t>
      </w:r>
      <w:r w:rsidR="001271F6">
        <w:rPr>
          <w:rFonts w:ascii="Times New Roman" w:eastAsia="Times New Roman" w:hAnsi="Times New Roman" w:cs="Times New Roman"/>
          <w:sz w:val="24"/>
          <w:szCs w:val="24"/>
        </w:rPr>
        <w:t xml:space="preserve">continua y prolongada en el tiempo </w:t>
      </w:r>
      <w:r w:rsidRPr="004B697B">
        <w:rPr>
          <w:rFonts w:ascii="Times New Roman" w:eastAsia="Times New Roman" w:hAnsi="Times New Roman" w:cs="Times New Roman"/>
          <w:sz w:val="24"/>
          <w:szCs w:val="24"/>
        </w:rPr>
        <w:t>de un sujeto a situaciones que provocan estrés. El burnout altera la salud física</w:t>
      </w:r>
      <w:r w:rsidR="001E7C53">
        <w:rPr>
          <w:rFonts w:ascii="Times New Roman" w:eastAsia="Times New Roman" w:hAnsi="Times New Roman" w:cs="Times New Roman"/>
          <w:sz w:val="24"/>
          <w:szCs w:val="24"/>
        </w:rPr>
        <w:t xml:space="preserve"> y emocional</w:t>
      </w:r>
      <w:r w:rsidRPr="004B697B">
        <w:rPr>
          <w:rFonts w:ascii="Times New Roman" w:eastAsia="Times New Roman" w:hAnsi="Times New Roman" w:cs="Times New Roman"/>
          <w:sz w:val="24"/>
          <w:szCs w:val="24"/>
        </w:rPr>
        <w:t xml:space="preserve"> de las personas </w:t>
      </w:r>
      <w:r w:rsidR="001E7C53">
        <w:rPr>
          <w:rFonts w:ascii="Times New Roman" w:eastAsia="Times New Roman" w:hAnsi="Times New Roman" w:cs="Times New Roman"/>
          <w:sz w:val="24"/>
          <w:szCs w:val="24"/>
        </w:rPr>
        <w:t xml:space="preserve">lo que repercute negativamente en </w:t>
      </w:r>
      <w:r w:rsidRPr="004B697B">
        <w:rPr>
          <w:rFonts w:ascii="Times New Roman" w:eastAsia="Times New Roman" w:hAnsi="Times New Roman" w:cs="Times New Roman"/>
          <w:sz w:val="24"/>
          <w:szCs w:val="24"/>
        </w:rPr>
        <w:t>la calidad de l</w:t>
      </w:r>
      <w:r w:rsidR="009A1B1F">
        <w:rPr>
          <w:rFonts w:ascii="Times New Roman" w:eastAsia="Times New Roman" w:hAnsi="Times New Roman" w:cs="Times New Roman"/>
          <w:sz w:val="24"/>
          <w:szCs w:val="24"/>
        </w:rPr>
        <w:t xml:space="preserve">a asistencia </w:t>
      </w:r>
      <w:r w:rsidRPr="004B697B">
        <w:rPr>
          <w:rFonts w:ascii="Times New Roman" w:eastAsia="Times New Roman" w:hAnsi="Times New Roman" w:cs="Times New Roman"/>
          <w:sz w:val="24"/>
          <w:szCs w:val="24"/>
        </w:rPr>
        <w:t>ofrecid</w:t>
      </w:r>
      <w:r w:rsidR="009A1B1F">
        <w:rPr>
          <w:rFonts w:ascii="Times New Roman" w:eastAsia="Times New Roman" w:hAnsi="Times New Roman" w:cs="Times New Roman"/>
          <w:sz w:val="24"/>
          <w:szCs w:val="24"/>
        </w:rPr>
        <w:t>a</w:t>
      </w:r>
      <w:r w:rsidRPr="004B697B">
        <w:rPr>
          <w:rFonts w:ascii="Times New Roman" w:eastAsia="Times New Roman" w:hAnsi="Times New Roman" w:cs="Times New Roman"/>
          <w:sz w:val="24"/>
          <w:szCs w:val="24"/>
        </w:rPr>
        <w:t xml:space="preserve"> por los profesionales, en este caso</w:t>
      </w:r>
      <w:r w:rsidR="00040101"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del personal sanitario. </w:t>
      </w:r>
    </w:p>
    <w:p w14:paraId="3BE61446" w14:textId="01CE971E" w:rsidR="00707FED" w:rsidRPr="006037D6" w:rsidRDefault="00707FED" w:rsidP="004B697B">
      <w:pPr>
        <w:spacing w:line="480" w:lineRule="auto"/>
        <w:ind w:firstLine="360"/>
        <w:rPr>
          <w:rFonts w:ascii="Times New Roman" w:eastAsia="Times New Roman" w:hAnsi="Times New Roman" w:cs="Times New Roman"/>
          <w:sz w:val="24"/>
          <w:szCs w:val="24"/>
          <w:lang w:val="es-ES"/>
        </w:rPr>
      </w:pPr>
      <w:r w:rsidRPr="006037D6">
        <w:rPr>
          <w:rFonts w:ascii="Times New Roman" w:eastAsia="Times New Roman" w:hAnsi="Times New Roman" w:cs="Times New Roman"/>
          <w:sz w:val="24"/>
          <w:szCs w:val="24"/>
          <w:lang w:val="es-ES"/>
        </w:rPr>
        <w:t xml:space="preserve">Como </w:t>
      </w:r>
      <w:r w:rsidRPr="004B697B">
        <w:rPr>
          <w:rFonts w:ascii="Times New Roman" w:eastAsia="Times New Roman" w:hAnsi="Times New Roman" w:cs="Times New Roman"/>
          <w:sz w:val="24"/>
          <w:szCs w:val="24"/>
          <w:lang w:val="es-ES"/>
        </w:rPr>
        <w:t xml:space="preserve">variables metodológicas del estudio, se han recogido el tipo de diseño utilizado, el tipo de </w:t>
      </w:r>
      <w:r w:rsidR="00A86918">
        <w:rPr>
          <w:rFonts w:ascii="Times New Roman" w:eastAsia="Times New Roman" w:hAnsi="Times New Roman" w:cs="Times New Roman"/>
          <w:sz w:val="24"/>
          <w:szCs w:val="24"/>
          <w:lang w:val="es-ES"/>
        </w:rPr>
        <w:t xml:space="preserve">análisis estadístico </w:t>
      </w:r>
      <w:r w:rsidRPr="004B697B">
        <w:rPr>
          <w:rFonts w:ascii="Times New Roman" w:eastAsia="Times New Roman" w:hAnsi="Times New Roman" w:cs="Times New Roman"/>
          <w:sz w:val="24"/>
          <w:szCs w:val="24"/>
          <w:lang w:val="es-ES"/>
        </w:rPr>
        <w:t>empleado en los diferentes artículos, el tamaño de la muestra, el número de grupos y el instrumento empleado para medir el burnout</w:t>
      </w:r>
      <w:r w:rsidRPr="006037D6">
        <w:rPr>
          <w:rFonts w:ascii="Times New Roman" w:eastAsia="Times New Roman" w:hAnsi="Times New Roman" w:cs="Times New Roman"/>
          <w:sz w:val="24"/>
          <w:szCs w:val="24"/>
          <w:lang w:val="es-ES"/>
        </w:rPr>
        <w:t xml:space="preserve">. </w:t>
      </w:r>
      <w:r w:rsidRPr="006037D6" w:rsidDel="00D425D3">
        <w:rPr>
          <w:rFonts w:ascii="Times New Roman" w:eastAsia="Times New Roman" w:hAnsi="Times New Roman" w:cs="Times New Roman"/>
          <w:sz w:val="24"/>
          <w:szCs w:val="24"/>
          <w:lang w:val="es-ES"/>
        </w:rPr>
        <w:t xml:space="preserve"> </w:t>
      </w:r>
    </w:p>
    <w:p w14:paraId="04A4A696" w14:textId="70C80A0D" w:rsidR="00707FED" w:rsidRPr="00361C9E" w:rsidRDefault="00707FED" w:rsidP="004B697B">
      <w:pPr>
        <w:spacing w:line="480" w:lineRule="auto"/>
        <w:ind w:firstLine="360"/>
        <w:rPr>
          <w:rFonts w:ascii="Times New Roman" w:eastAsia="Times New Roman" w:hAnsi="Times New Roman" w:cs="Times New Roman"/>
          <w:sz w:val="24"/>
          <w:szCs w:val="24"/>
          <w:lang w:val="es-ES"/>
        </w:rPr>
      </w:pPr>
      <w:r w:rsidRPr="00EB2018">
        <w:rPr>
          <w:rFonts w:ascii="Times New Roman" w:eastAsia="Times New Roman" w:hAnsi="Times New Roman" w:cs="Times New Roman"/>
          <w:sz w:val="24"/>
          <w:szCs w:val="24"/>
          <w:lang w:val="es-ES"/>
        </w:rPr>
        <w:t>Además, se han analizado características de la muestra que pueden afectar a la generali</w:t>
      </w:r>
      <w:r w:rsidR="00543536">
        <w:rPr>
          <w:rFonts w:ascii="Times New Roman" w:eastAsia="Times New Roman" w:hAnsi="Times New Roman" w:cs="Times New Roman"/>
          <w:sz w:val="24"/>
          <w:szCs w:val="24"/>
          <w:lang w:val="es-ES"/>
        </w:rPr>
        <w:t>zación</w:t>
      </w:r>
      <w:r w:rsidRPr="00EB2018">
        <w:rPr>
          <w:rFonts w:ascii="Times New Roman" w:eastAsia="Times New Roman" w:hAnsi="Times New Roman" w:cs="Times New Roman"/>
          <w:sz w:val="24"/>
          <w:szCs w:val="24"/>
          <w:lang w:val="es-ES"/>
        </w:rPr>
        <w:t xml:space="preserve"> de los resultados, como el tipo de población, el rango de edad, </w:t>
      </w:r>
      <w:r w:rsidR="00E93AA5" w:rsidRPr="00EB2018">
        <w:rPr>
          <w:rFonts w:ascii="Times New Roman" w:eastAsia="Times New Roman" w:hAnsi="Times New Roman" w:cs="Times New Roman"/>
          <w:sz w:val="24"/>
          <w:szCs w:val="24"/>
          <w:lang w:val="es-ES"/>
        </w:rPr>
        <w:t xml:space="preserve">la </w:t>
      </w:r>
      <w:r w:rsidRPr="00EB2018">
        <w:rPr>
          <w:rFonts w:ascii="Times New Roman" w:eastAsia="Times New Roman" w:hAnsi="Times New Roman" w:cs="Times New Roman"/>
          <w:sz w:val="24"/>
          <w:szCs w:val="24"/>
          <w:lang w:val="es-ES"/>
        </w:rPr>
        <w:t xml:space="preserve">proporción de sexos, </w:t>
      </w:r>
      <w:r w:rsidR="00E93AA5" w:rsidRPr="00EB2018">
        <w:rPr>
          <w:rFonts w:ascii="Times New Roman" w:eastAsia="Times New Roman" w:hAnsi="Times New Roman" w:cs="Times New Roman"/>
          <w:sz w:val="24"/>
          <w:szCs w:val="24"/>
          <w:lang w:val="es-ES"/>
        </w:rPr>
        <w:t xml:space="preserve">el </w:t>
      </w:r>
      <w:r w:rsidRPr="00EB2018">
        <w:rPr>
          <w:rFonts w:ascii="Times New Roman" w:eastAsia="Times New Roman" w:hAnsi="Times New Roman" w:cs="Times New Roman"/>
          <w:sz w:val="24"/>
          <w:szCs w:val="24"/>
          <w:lang w:val="es-ES"/>
        </w:rPr>
        <w:t>país de procedencia y la especialidad sanitaria de los profesionales.</w:t>
      </w:r>
      <w:r w:rsidR="00361C9E">
        <w:rPr>
          <w:rFonts w:ascii="Times New Roman" w:eastAsia="Times New Roman" w:hAnsi="Times New Roman" w:cs="Times New Roman"/>
          <w:sz w:val="24"/>
          <w:szCs w:val="24"/>
          <w:lang w:val="es-ES"/>
        </w:rPr>
        <w:t xml:space="preserve"> </w:t>
      </w:r>
      <w:r w:rsidR="00361C9E" w:rsidRPr="00361C9E">
        <w:rPr>
          <w:rFonts w:ascii="Times New Roman" w:eastAsia="Times New Roman" w:hAnsi="Times New Roman" w:cs="Times New Roman"/>
          <w:sz w:val="24"/>
          <w:szCs w:val="24"/>
          <w:lang w:val="es-ES"/>
        </w:rPr>
        <w:t>También</w:t>
      </w:r>
      <w:r w:rsidRPr="006037D6">
        <w:rPr>
          <w:rFonts w:ascii="Times New Roman" w:eastAsia="Times New Roman" w:hAnsi="Times New Roman" w:cs="Times New Roman"/>
          <w:sz w:val="24"/>
          <w:szCs w:val="24"/>
          <w:lang w:val="es-ES"/>
        </w:rPr>
        <w:t xml:space="preserve"> se ha registrado la existencia (sí/no) de un grupo control. </w:t>
      </w:r>
    </w:p>
    <w:p w14:paraId="3B978436" w14:textId="1987A8BC" w:rsidR="00707FED" w:rsidRPr="004B697B" w:rsidRDefault="00707FED" w:rsidP="004B697B">
      <w:pPr>
        <w:spacing w:line="480" w:lineRule="auto"/>
        <w:ind w:firstLine="360"/>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Por último, se han registrado los factores de riesgo y protección que influyen en la aparición de</w:t>
      </w:r>
      <w:r w:rsidR="00CE73FE" w:rsidRPr="004B697B">
        <w:rPr>
          <w:rFonts w:ascii="Times New Roman" w:eastAsia="Times New Roman" w:hAnsi="Times New Roman" w:cs="Times New Roman"/>
          <w:sz w:val="24"/>
          <w:szCs w:val="24"/>
        </w:rPr>
        <w:t>l</w:t>
      </w:r>
      <w:r w:rsidRPr="004B697B">
        <w:rPr>
          <w:rFonts w:ascii="Times New Roman" w:eastAsia="Times New Roman" w:hAnsi="Times New Roman" w:cs="Times New Roman"/>
          <w:sz w:val="24"/>
          <w:szCs w:val="24"/>
        </w:rPr>
        <w:t xml:space="preserve"> burnout. Algunos de ellos son: el género, la edad, la satisfacción laboral, la </w:t>
      </w:r>
      <w:r w:rsidRPr="004B697B">
        <w:rPr>
          <w:rFonts w:ascii="Times New Roman" w:eastAsia="Times New Roman" w:hAnsi="Times New Roman" w:cs="Times New Roman"/>
          <w:sz w:val="24"/>
          <w:szCs w:val="24"/>
        </w:rPr>
        <w:lastRenderedPageBreak/>
        <w:t>carga de trabajo, tener o no pareja estable (apoyo en casa), los recursos de los que disponen los sanitarios</w:t>
      </w:r>
      <w:r w:rsidR="00CE73FE" w:rsidRPr="004B697B">
        <w:rPr>
          <w:rFonts w:ascii="Times New Roman" w:eastAsia="Times New Roman" w:hAnsi="Times New Roman" w:cs="Times New Roman"/>
          <w:sz w:val="24"/>
          <w:szCs w:val="24"/>
        </w:rPr>
        <w:t xml:space="preserve"> y</w:t>
      </w:r>
      <w:r w:rsidRPr="004B697B">
        <w:rPr>
          <w:rFonts w:ascii="Times New Roman" w:eastAsia="Times New Roman" w:hAnsi="Times New Roman" w:cs="Times New Roman"/>
          <w:sz w:val="24"/>
          <w:szCs w:val="24"/>
        </w:rPr>
        <w:t xml:space="preserve"> el ambiente laboral, entre otros. </w:t>
      </w:r>
    </w:p>
    <w:p w14:paraId="56939E48" w14:textId="453675FB" w:rsidR="00B73DF0" w:rsidRPr="005D2F71" w:rsidRDefault="00B73DF0" w:rsidP="005D2F71">
      <w:pPr>
        <w:pStyle w:val="Ttulo2"/>
        <w:spacing w:line="480" w:lineRule="auto"/>
        <w:rPr>
          <w:color w:val="000000" w:themeColor="text1"/>
        </w:rPr>
      </w:pPr>
      <w:r w:rsidRPr="005D2F71">
        <w:rPr>
          <w:rFonts w:asciiTheme="majorBidi" w:hAnsiTheme="majorBidi"/>
          <w:i/>
          <w:iCs/>
          <w:color w:val="000000" w:themeColor="text1"/>
          <w:sz w:val="24"/>
          <w:szCs w:val="24"/>
        </w:rPr>
        <w:t>Análisis de Datos</w:t>
      </w:r>
    </w:p>
    <w:p w14:paraId="112EDDC0" w14:textId="58E6B264" w:rsidR="00707FED" w:rsidRPr="004B697B" w:rsidRDefault="00707FED" w:rsidP="005D2F71">
      <w:pPr>
        <w:spacing w:line="480" w:lineRule="auto"/>
        <w:ind w:firstLine="360"/>
        <w:rPr>
          <w:rFonts w:ascii="Times New Roman" w:eastAsia="Times New Roman" w:hAnsi="Times New Roman" w:cs="Times New Roman"/>
          <w:sz w:val="24"/>
          <w:szCs w:val="24"/>
        </w:rPr>
      </w:pPr>
      <w:r w:rsidRPr="004B697B">
        <w:rPr>
          <w:rFonts w:asciiTheme="majorBidi" w:hAnsiTheme="majorBidi" w:cstheme="majorBidi"/>
          <w:sz w:val="24"/>
          <w:szCs w:val="24"/>
        </w:rPr>
        <w:t xml:space="preserve">Para analizar la relación entre los distintos factores de riesgo y protección y el burnout, se </w:t>
      </w:r>
      <w:r w:rsidR="008615A7">
        <w:rPr>
          <w:rFonts w:asciiTheme="majorBidi" w:hAnsiTheme="majorBidi" w:cstheme="majorBidi"/>
          <w:sz w:val="24"/>
          <w:szCs w:val="24"/>
        </w:rPr>
        <w:t xml:space="preserve">clasificaron </w:t>
      </w:r>
      <w:r w:rsidRPr="004B697B">
        <w:rPr>
          <w:rFonts w:asciiTheme="majorBidi" w:hAnsiTheme="majorBidi" w:cstheme="majorBidi"/>
          <w:sz w:val="24"/>
          <w:szCs w:val="24"/>
        </w:rPr>
        <w:t>los datos en las di</w:t>
      </w:r>
      <w:r w:rsidR="008615A7">
        <w:rPr>
          <w:rFonts w:asciiTheme="majorBidi" w:hAnsiTheme="majorBidi" w:cstheme="majorBidi"/>
          <w:sz w:val="24"/>
          <w:szCs w:val="24"/>
        </w:rPr>
        <w:t xml:space="preserve">ferentes </w:t>
      </w:r>
      <w:r w:rsidRPr="004B697B">
        <w:rPr>
          <w:rFonts w:asciiTheme="majorBidi" w:hAnsiTheme="majorBidi" w:cstheme="majorBidi"/>
          <w:sz w:val="24"/>
          <w:szCs w:val="24"/>
        </w:rPr>
        <w:t xml:space="preserve">categorías indicadas </w:t>
      </w:r>
      <w:r w:rsidR="0080721C">
        <w:rPr>
          <w:rFonts w:asciiTheme="majorBidi" w:hAnsiTheme="majorBidi" w:cstheme="majorBidi"/>
          <w:sz w:val="24"/>
          <w:szCs w:val="24"/>
        </w:rPr>
        <w:t xml:space="preserve">previamente </w:t>
      </w:r>
      <w:r w:rsidRPr="004B697B">
        <w:rPr>
          <w:rFonts w:asciiTheme="majorBidi" w:hAnsiTheme="majorBidi" w:cstheme="majorBidi"/>
          <w:sz w:val="24"/>
          <w:szCs w:val="24"/>
        </w:rPr>
        <w:t>en las variables metodológicas y de la muestra.</w:t>
      </w:r>
      <w:r w:rsidRPr="004B697B">
        <w:t xml:space="preserve"> </w:t>
      </w:r>
      <w:r w:rsidRPr="004B697B">
        <w:rPr>
          <w:rFonts w:ascii="Times New Roman" w:eastAsia="Times New Roman" w:hAnsi="Times New Roman" w:cs="Times New Roman"/>
          <w:sz w:val="24"/>
          <w:szCs w:val="24"/>
        </w:rPr>
        <w:t xml:space="preserve">La estrategia empleada para la síntesis de los resultados se hizo con </w:t>
      </w:r>
      <w:r w:rsidRPr="004B697B">
        <w:rPr>
          <w:rFonts w:ascii="Times New Roman" w:eastAsia="Times New Roman" w:hAnsi="Times New Roman" w:cs="Times New Roman"/>
          <w:i/>
          <w:iCs/>
          <w:sz w:val="24"/>
          <w:szCs w:val="24"/>
        </w:rPr>
        <w:t>odds ratio</w:t>
      </w:r>
      <w:r w:rsidRPr="004B697B">
        <w:rPr>
          <w:rFonts w:ascii="Times New Roman" w:eastAsia="Times New Roman" w:hAnsi="Times New Roman" w:cs="Times New Roman"/>
          <w:sz w:val="24"/>
          <w:szCs w:val="24"/>
        </w:rPr>
        <w:t xml:space="preserve">, porcentajes de probabilidad, </w:t>
      </w:r>
      <w:r w:rsidR="00C12AC8">
        <w:rPr>
          <w:rFonts w:ascii="Times New Roman" w:eastAsia="Times New Roman" w:hAnsi="Times New Roman" w:cs="Times New Roman"/>
          <w:sz w:val="24"/>
          <w:szCs w:val="24"/>
        </w:rPr>
        <w:t>la prueba</w:t>
      </w:r>
      <w:r w:rsidR="00C0484C" w:rsidRPr="004B697B">
        <w:rPr>
          <w:rFonts w:ascii="Times New Roman" w:eastAsia="Times New Roman" w:hAnsi="Times New Roman" w:cs="Times New Roman"/>
          <w:sz w:val="24"/>
          <w:szCs w:val="24"/>
        </w:rPr>
        <w:t xml:space="preserve"> </w:t>
      </w:r>
      <w:r w:rsidRPr="004B697B">
        <w:rPr>
          <w:rFonts w:ascii="Times New Roman" w:eastAsia="Times New Roman" w:hAnsi="Times New Roman" w:cs="Times New Roman"/>
          <w:sz w:val="24"/>
          <w:szCs w:val="24"/>
        </w:rPr>
        <w:t xml:space="preserve">chi cuadrado de Pearson y la correlación de Spearman. </w:t>
      </w:r>
    </w:p>
    <w:p w14:paraId="5A33DF16" w14:textId="390C6C32" w:rsidR="00707FED" w:rsidRPr="004B697B" w:rsidRDefault="00707FED" w:rsidP="006037D6">
      <w:pPr>
        <w:spacing w:before="240" w:after="240" w:line="480" w:lineRule="auto"/>
        <w:ind w:firstLine="360"/>
        <w:jc w:val="both"/>
        <w:rPr>
          <w:rFonts w:ascii="Times New Roman" w:eastAsia="Times New Roman" w:hAnsi="Times New Roman" w:cs="Times New Roman"/>
          <w:i/>
          <w:sz w:val="24"/>
          <w:szCs w:val="24"/>
        </w:rPr>
      </w:pPr>
      <w:r w:rsidRPr="004B697B">
        <w:rPr>
          <w:rFonts w:ascii="Times New Roman" w:eastAsia="Times New Roman" w:hAnsi="Times New Roman" w:cs="Times New Roman"/>
          <w:sz w:val="24"/>
          <w:szCs w:val="24"/>
        </w:rPr>
        <w:t xml:space="preserve">Se evaluó la dirección del efecto (positivo, negativo o nulo) mediante el recuento de votos, en los que se </w:t>
      </w:r>
      <w:r w:rsidR="008971D2" w:rsidRPr="004B697B">
        <w:rPr>
          <w:rFonts w:ascii="Times New Roman" w:eastAsia="Times New Roman" w:hAnsi="Times New Roman" w:cs="Times New Roman"/>
          <w:sz w:val="24"/>
          <w:szCs w:val="24"/>
        </w:rPr>
        <w:t>detalla</w:t>
      </w:r>
      <w:r w:rsidRPr="004B697B">
        <w:rPr>
          <w:rFonts w:ascii="Times New Roman" w:eastAsia="Times New Roman" w:hAnsi="Times New Roman" w:cs="Times New Roman"/>
          <w:sz w:val="24"/>
          <w:szCs w:val="24"/>
        </w:rPr>
        <w:t xml:space="preserve"> en cu</w:t>
      </w:r>
      <w:r w:rsidR="008971D2" w:rsidRPr="004B697B">
        <w:rPr>
          <w:rFonts w:ascii="Times New Roman" w:eastAsia="Times New Roman" w:hAnsi="Times New Roman" w:cs="Times New Roman"/>
          <w:sz w:val="24"/>
          <w:szCs w:val="24"/>
        </w:rPr>
        <w:t>á</w:t>
      </w:r>
      <w:r w:rsidRPr="004B697B">
        <w:rPr>
          <w:rFonts w:ascii="Times New Roman" w:eastAsia="Times New Roman" w:hAnsi="Times New Roman" w:cs="Times New Roman"/>
          <w:sz w:val="24"/>
          <w:szCs w:val="24"/>
        </w:rPr>
        <w:t xml:space="preserve">ntos estudios se encuentra la aparición del burnout debido a los factores de riesgo. </w:t>
      </w:r>
    </w:p>
    <w:p w14:paraId="56D0D7A1" w14:textId="77777777" w:rsidR="00B73DF0" w:rsidRPr="006037D6" w:rsidRDefault="00B73DF0" w:rsidP="006037D6">
      <w:pPr>
        <w:pStyle w:val="Ttulo1"/>
        <w:spacing w:line="480" w:lineRule="auto"/>
        <w:jc w:val="center"/>
        <w:rPr>
          <w:rFonts w:ascii="Times New Roman" w:hAnsi="Times New Roman" w:cs="Times New Roman"/>
          <w:b/>
          <w:bCs/>
          <w:sz w:val="24"/>
          <w:szCs w:val="24"/>
        </w:rPr>
      </w:pPr>
      <w:r w:rsidRPr="006037D6">
        <w:rPr>
          <w:rFonts w:ascii="Times New Roman" w:hAnsi="Times New Roman" w:cs="Times New Roman"/>
          <w:b/>
          <w:bCs/>
          <w:sz w:val="24"/>
          <w:szCs w:val="24"/>
        </w:rPr>
        <w:t>Resultados</w:t>
      </w:r>
    </w:p>
    <w:p w14:paraId="51581D19" w14:textId="088E4F4E" w:rsidR="00361C9E" w:rsidRPr="004B697B" w:rsidRDefault="001B33CB" w:rsidP="00B73DF0">
      <w:pPr>
        <w:spacing w:line="480" w:lineRule="auto"/>
        <w:ind w:firstLine="720"/>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Se obtuvieron un total de 205 artículos de las bases de datos.  </w:t>
      </w:r>
      <w:r w:rsidR="003F2DD9">
        <w:rPr>
          <w:rFonts w:ascii="Times New Roman" w:eastAsia="Times New Roman" w:hAnsi="Times New Roman" w:cs="Times New Roman"/>
          <w:sz w:val="24"/>
          <w:szCs w:val="24"/>
        </w:rPr>
        <w:t xml:space="preserve">Para el primer cribado se tuvieron en cuenta </w:t>
      </w:r>
      <w:r w:rsidRPr="004B697B">
        <w:rPr>
          <w:rFonts w:ascii="Times New Roman" w:eastAsia="Times New Roman" w:hAnsi="Times New Roman" w:cs="Times New Roman"/>
          <w:sz w:val="24"/>
          <w:szCs w:val="24"/>
        </w:rPr>
        <w:t>la lectura del título y el resumen</w:t>
      </w:r>
      <w:r w:rsidR="003F2DD9">
        <w:rPr>
          <w:rFonts w:ascii="Times New Roman" w:eastAsia="Times New Roman" w:hAnsi="Times New Roman" w:cs="Times New Roman"/>
          <w:sz w:val="24"/>
          <w:szCs w:val="24"/>
        </w:rPr>
        <w:t xml:space="preserve"> cada artículo</w:t>
      </w:r>
      <w:r w:rsidRPr="004B697B">
        <w:rPr>
          <w:rFonts w:ascii="Times New Roman" w:eastAsia="Times New Roman" w:hAnsi="Times New Roman" w:cs="Times New Roman"/>
          <w:sz w:val="24"/>
          <w:szCs w:val="24"/>
        </w:rPr>
        <w:t xml:space="preserve">, </w:t>
      </w:r>
      <w:r w:rsidR="003F2DD9">
        <w:rPr>
          <w:rFonts w:ascii="Times New Roman" w:eastAsia="Times New Roman" w:hAnsi="Times New Roman" w:cs="Times New Roman"/>
          <w:sz w:val="24"/>
          <w:szCs w:val="24"/>
        </w:rPr>
        <w:t xml:space="preserve">para así descartar </w:t>
      </w:r>
      <w:r w:rsidRPr="004B697B">
        <w:rPr>
          <w:rFonts w:ascii="Times New Roman" w:eastAsia="Times New Roman" w:hAnsi="Times New Roman" w:cs="Times New Roman"/>
          <w:sz w:val="24"/>
          <w:szCs w:val="24"/>
        </w:rPr>
        <w:t xml:space="preserve">todos </w:t>
      </w:r>
      <w:r w:rsidR="0072608C">
        <w:rPr>
          <w:rFonts w:ascii="Times New Roman" w:eastAsia="Times New Roman" w:hAnsi="Times New Roman" w:cs="Times New Roman"/>
          <w:sz w:val="24"/>
          <w:szCs w:val="24"/>
        </w:rPr>
        <w:t xml:space="preserve">los </w:t>
      </w:r>
      <w:r w:rsidRPr="004B697B">
        <w:rPr>
          <w:rFonts w:ascii="Times New Roman" w:eastAsia="Times New Roman" w:hAnsi="Times New Roman" w:cs="Times New Roman"/>
          <w:sz w:val="24"/>
          <w:szCs w:val="24"/>
        </w:rPr>
        <w:t xml:space="preserve">artículos que: (1) no fuesen estudios empíricos, (2) fueran </w:t>
      </w:r>
      <w:r w:rsidR="00B24524">
        <w:rPr>
          <w:rFonts w:ascii="Times New Roman" w:eastAsia="Times New Roman" w:hAnsi="Times New Roman" w:cs="Times New Roman"/>
          <w:sz w:val="24"/>
          <w:szCs w:val="24"/>
        </w:rPr>
        <w:t xml:space="preserve">estudios </w:t>
      </w:r>
      <w:r w:rsidRPr="004B697B">
        <w:rPr>
          <w:rFonts w:ascii="Times New Roman" w:eastAsia="Times New Roman" w:hAnsi="Times New Roman" w:cs="Times New Roman"/>
          <w:sz w:val="24"/>
          <w:szCs w:val="24"/>
        </w:rPr>
        <w:t xml:space="preserve">cualitativos, (3) fueran metaanálisis, (4) fueran revisiones sistemáticas, (5) estuvieran en un idioma diferente al español o el inglés y (6) no se obtuvo acceso al texto completo. </w:t>
      </w:r>
      <w:r w:rsidR="00A97A5F">
        <w:rPr>
          <w:rFonts w:ascii="Times New Roman" w:eastAsia="Times New Roman" w:hAnsi="Times New Roman" w:cs="Times New Roman"/>
          <w:sz w:val="24"/>
          <w:szCs w:val="24"/>
        </w:rPr>
        <w:t xml:space="preserve">Tras el primer cribado, se obtuvieron </w:t>
      </w:r>
      <w:r w:rsidRPr="004B697B">
        <w:rPr>
          <w:rFonts w:ascii="Times New Roman" w:eastAsia="Times New Roman" w:hAnsi="Times New Roman" w:cs="Times New Roman"/>
          <w:sz w:val="24"/>
          <w:szCs w:val="24"/>
        </w:rPr>
        <w:t xml:space="preserve">70 artículos, de los cuales, tras excluir dos artículos duplicados, 18 </w:t>
      </w:r>
      <w:r w:rsidR="00292FFB">
        <w:rPr>
          <w:rFonts w:ascii="Times New Roman" w:eastAsia="Times New Roman" w:hAnsi="Times New Roman" w:cs="Times New Roman"/>
          <w:sz w:val="24"/>
          <w:szCs w:val="24"/>
        </w:rPr>
        <w:t xml:space="preserve">artículos se </w:t>
      </w:r>
      <w:r w:rsidRPr="004B697B">
        <w:rPr>
          <w:rFonts w:ascii="Times New Roman" w:eastAsia="Times New Roman" w:hAnsi="Times New Roman" w:cs="Times New Roman"/>
          <w:sz w:val="24"/>
          <w:szCs w:val="24"/>
        </w:rPr>
        <w:t>seleccion</w:t>
      </w:r>
      <w:r w:rsidR="00292FFB">
        <w:rPr>
          <w:rFonts w:ascii="Times New Roman" w:eastAsia="Times New Roman" w:hAnsi="Times New Roman" w:cs="Times New Roman"/>
          <w:sz w:val="24"/>
          <w:szCs w:val="24"/>
        </w:rPr>
        <w:t xml:space="preserve">aron </w:t>
      </w:r>
      <w:r w:rsidRPr="004B697B">
        <w:rPr>
          <w:rFonts w:ascii="Times New Roman" w:eastAsia="Times New Roman" w:hAnsi="Times New Roman" w:cs="Times New Roman"/>
          <w:sz w:val="24"/>
          <w:szCs w:val="24"/>
        </w:rPr>
        <w:t>al comprobar que cumpl</w:t>
      </w:r>
      <w:r w:rsidR="00B037C8" w:rsidRPr="004B697B">
        <w:rPr>
          <w:rFonts w:ascii="Times New Roman" w:eastAsia="Times New Roman" w:hAnsi="Times New Roman" w:cs="Times New Roman"/>
          <w:sz w:val="24"/>
          <w:szCs w:val="24"/>
        </w:rPr>
        <w:t xml:space="preserve">ían </w:t>
      </w:r>
      <w:r w:rsidRPr="004B697B">
        <w:rPr>
          <w:rFonts w:ascii="Times New Roman" w:eastAsia="Times New Roman" w:hAnsi="Times New Roman" w:cs="Times New Roman"/>
          <w:sz w:val="24"/>
          <w:szCs w:val="24"/>
        </w:rPr>
        <w:t xml:space="preserve">con todos los criterios de elegibilidad (Figura 1). </w:t>
      </w:r>
    </w:p>
    <w:p w14:paraId="3BB14579" w14:textId="3052CD0E" w:rsidR="00BF0B9A" w:rsidRDefault="00BF0B9A" w:rsidP="00C12AC8">
      <w:pPr>
        <w:spacing w:line="480" w:lineRule="auto"/>
        <w:ind w:firstLine="720"/>
        <w:rPr>
          <w:rFonts w:ascii="Times New Roman" w:eastAsia="Times New Roman" w:hAnsi="Times New Roman" w:cs="Times New Roman"/>
          <w:sz w:val="24"/>
          <w:szCs w:val="24"/>
        </w:rPr>
      </w:pPr>
    </w:p>
    <w:p w14:paraId="73915D46" w14:textId="2AB43E0E" w:rsidR="00031DD8" w:rsidRDefault="00031DD8" w:rsidP="00C12AC8">
      <w:pPr>
        <w:spacing w:line="480" w:lineRule="auto"/>
        <w:ind w:firstLine="720"/>
        <w:rPr>
          <w:rFonts w:ascii="Times New Roman" w:eastAsia="Times New Roman" w:hAnsi="Times New Roman" w:cs="Times New Roman"/>
          <w:sz w:val="24"/>
          <w:szCs w:val="24"/>
        </w:rPr>
      </w:pPr>
    </w:p>
    <w:p w14:paraId="5FBD6571" w14:textId="7FE98F64" w:rsidR="00031DD8" w:rsidRDefault="00031DD8" w:rsidP="00C12AC8">
      <w:pPr>
        <w:spacing w:line="480" w:lineRule="auto"/>
        <w:ind w:firstLine="720"/>
        <w:rPr>
          <w:rFonts w:ascii="Times New Roman" w:eastAsia="Times New Roman" w:hAnsi="Times New Roman" w:cs="Times New Roman"/>
          <w:sz w:val="24"/>
          <w:szCs w:val="24"/>
        </w:rPr>
      </w:pPr>
    </w:p>
    <w:p w14:paraId="3E2EEC62" w14:textId="292F4B96" w:rsidR="00031DD8" w:rsidRDefault="00031DD8" w:rsidP="00C12AC8">
      <w:pPr>
        <w:spacing w:line="480" w:lineRule="auto"/>
        <w:ind w:firstLine="720"/>
        <w:rPr>
          <w:rFonts w:ascii="Times New Roman" w:eastAsia="Times New Roman" w:hAnsi="Times New Roman" w:cs="Times New Roman"/>
          <w:sz w:val="24"/>
          <w:szCs w:val="24"/>
        </w:rPr>
      </w:pPr>
    </w:p>
    <w:p w14:paraId="49ADA8F2" w14:textId="77777777" w:rsidR="00031DD8" w:rsidRDefault="00031DD8" w:rsidP="001F5956">
      <w:pPr>
        <w:spacing w:line="480" w:lineRule="auto"/>
        <w:rPr>
          <w:rFonts w:ascii="Times New Roman" w:eastAsia="Times New Roman" w:hAnsi="Times New Roman" w:cs="Times New Roman"/>
          <w:sz w:val="24"/>
          <w:szCs w:val="24"/>
        </w:rPr>
      </w:pPr>
    </w:p>
    <w:p w14:paraId="182B0B36" w14:textId="1D478166" w:rsidR="001B33CB" w:rsidRPr="004B697B" w:rsidRDefault="001B33CB" w:rsidP="004B697B">
      <w:pPr>
        <w:spacing w:line="480" w:lineRule="auto"/>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lastRenderedPageBreak/>
        <w:t>Figura 1</w:t>
      </w:r>
    </w:p>
    <w:p w14:paraId="4659CD3D" w14:textId="77777777" w:rsidR="001B33CB" w:rsidRPr="00FE1E0F" w:rsidRDefault="001B33CB" w:rsidP="004B697B">
      <w:pPr>
        <w:spacing w:line="480" w:lineRule="auto"/>
        <w:rPr>
          <w:rFonts w:ascii="Times New Roman" w:eastAsia="Times New Roman" w:hAnsi="Times New Roman" w:cs="Times New Roman"/>
          <w:i/>
          <w:sz w:val="24"/>
          <w:szCs w:val="24"/>
        </w:rPr>
      </w:pPr>
      <w:r w:rsidRPr="00FE1E0F">
        <w:rPr>
          <w:rFonts w:ascii="Times New Roman" w:eastAsia="Times New Roman" w:hAnsi="Times New Roman" w:cs="Times New Roman"/>
          <w:i/>
          <w:sz w:val="24"/>
          <w:szCs w:val="24"/>
        </w:rPr>
        <w:t>Diagrama de flujo sobre el proceso de selección de artículos</w:t>
      </w:r>
    </w:p>
    <w:p w14:paraId="33FD5120" w14:textId="2DC4225F" w:rsidR="001B33CB" w:rsidRDefault="00BB69CE" w:rsidP="004B697B">
      <w:pPr>
        <w:spacing w:line="480" w:lineRule="auto"/>
        <w:rPr>
          <w:rFonts w:ascii="Times New Roman" w:eastAsia="Times New Roman" w:hAnsi="Times New Roman" w:cs="Times New Roman"/>
          <w:i/>
          <w:sz w:val="24"/>
          <w:szCs w:val="24"/>
        </w:rPr>
      </w:pPr>
      <w:r w:rsidRPr="004B697B">
        <w:rPr>
          <w:noProof/>
          <w14:ligatures w14:val="standardContextual"/>
        </w:rPr>
        <w:drawing>
          <wp:inline distT="0" distB="0" distL="0" distR="0" wp14:anchorId="15462482" wp14:editId="07B386D9">
            <wp:extent cx="6107124" cy="5600093"/>
            <wp:effectExtent l="0" t="0" r="8255" b="635"/>
            <wp:docPr id="17767576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757659" name=""/>
                    <pic:cNvPicPr/>
                  </pic:nvPicPr>
                  <pic:blipFill rotWithShape="1">
                    <a:blip r:embed="rId9"/>
                    <a:srcRect l="33294" t="25463" r="34576" b="22162"/>
                    <a:stretch/>
                  </pic:blipFill>
                  <pic:spPr bwMode="auto">
                    <a:xfrm>
                      <a:off x="0" y="0"/>
                      <a:ext cx="6136636" cy="5627154"/>
                    </a:xfrm>
                    <a:prstGeom prst="rect">
                      <a:avLst/>
                    </a:prstGeom>
                    <a:ln>
                      <a:noFill/>
                    </a:ln>
                    <a:extLst>
                      <a:ext uri="{53640926-AAD7-44D8-BBD7-CCE9431645EC}">
                        <a14:shadowObscured xmlns:a14="http://schemas.microsoft.com/office/drawing/2010/main"/>
                      </a:ext>
                    </a:extLst>
                  </pic:spPr>
                </pic:pic>
              </a:graphicData>
            </a:graphic>
          </wp:inline>
        </w:drawing>
      </w:r>
    </w:p>
    <w:p w14:paraId="586763E9" w14:textId="77777777" w:rsidR="00031DD8" w:rsidRPr="00031DD8" w:rsidRDefault="00031DD8" w:rsidP="004B697B">
      <w:pPr>
        <w:spacing w:line="480" w:lineRule="auto"/>
        <w:rPr>
          <w:rFonts w:ascii="Times New Roman" w:eastAsia="Times New Roman" w:hAnsi="Times New Roman" w:cs="Times New Roman"/>
          <w:i/>
          <w:sz w:val="24"/>
          <w:szCs w:val="24"/>
        </w:rPr>
      </w:pPr>
    </w:p>
    <w:p w14:paraId="14560B9E" w14:textId="4A989641" w:rsidR="00222A87" w:rsidRDefault="00222A87" w:rsidP="004B697B">
      <w:pPr>
        <w:spacing w:line="480" w:lineRule="auto"/>
        <w:rPr>
          <w:rFonts w:ascii="Times New Roman" w:eastAsia="Times New Roman" w:hAnsi="Times New Roman" w:cs="Times New Roman"/>
          <w:i/>
          <w:sz w:val="24"/>
          <w:szCs w:val="24"/>
        </w:rPr>
      </w:pPr>
    </w:p>
    <w:p w14:paraId="21FA1B17" w14:textId="0A0D421F" w:rsidR="00B73DF0" w:rsidRDefault="00B73DF0" w:rsidP="004B697B">
      <w:pPr>
        <w:spacing w:line="480" w:lineRule="auto"/>
        <w:rPr>
          <w:rFonts w:ascii="Times New Roman" w:eastAsia="Times New Roman" w:hAnsi="Times New Roman" w:cs="Times New Roman"/>
          <w:i/>
          <w:sz w:val="24"/>
          <w:szCs w:val="24"/>
        </w:rPr>
      </w:pPr>
      <w:r w:rsidRPr="006037D6">
        <w:rPr>
          <w:rFonts w:ascii="Times New Roman" w:hAnsi="Times New Roman" w:cs="Times New Roman"/>
          <w:i/>
          <w:iCs/>
          <w:sz w:val="24"/>
          <w:szCs w:val="24"/>
        </w:rPr>
        <w:t>Características Metodológicas</w:t>
      </w:r>
      <w:r>
        <w:tab/>
      </w:r>
    </w:p>
    <w:p w14:paraId="32431130" w14:textId="7E46232D" w:rsidR="001B33CB" w:rsidRPr="004B697B" w:rsidRDefault="00B73DF0" w:rsidP="00B73DF0">
      <w:pPr>
        <w:spacing w:line="480" w:lineRule="auto"/>
        <w:rPr>
          <w:rFonts w:ascii="Times New Roman" w:eastAsia="Times New Roman" w:hAnsi="Times New Roman" w:cs="Times New Roman"/>
          <w:color w:val="FF0000"/>
          <w:sz w:val="24"/>
          <w:szCs w:val="24"/>
        </w:rPr>
      </w:pPr>
      <w:bookmarkStart w:id="3" w:name="_Toc137811621"/>
      <w:r>
        <w:tab/>
      </w:r>
      <w:bookmarkEnd w:id="3"/>
      <w:r w:rsidR="001B33CB" w:rsidRPr="004B697B">
        <w:rPr>
          <w:rFonts w:ascii="Times New Roman" w:eastAsia="Times New Roman" w:hAnsi="Times New Roman" w:cs="Times New Roman"/>
          <w:sz w:val="24"/>
          <w:szCs w:val="24"/>
        </w:rPr>
        <w:t xml:space="preserve">Los artículos incluidos tras el cribado son 18, el 89% </w:t>
      </w:r>
      <w:r w:rsidR="006170CB" w:rsidRPr="004B697B">
        <w:rPr>
          <w:rFonts w:ascii="Times New Roman" w:eastAsia="Times New Roman" w:hAnsi="Times New Roman" w:cs="Times New Roman"/>
          <w:sz w:val="24"/>
          <w:szCs w:val="24"/>
        </w:rPr>
        <w:t xml:space="preserve">de ellos </w:t>
      </w:r>
      <w:r w:rsidR="001B33CB" w:rsidRPr="004B697B">
        <w:rPr>
          <w:rFonts w:ascii="Times New Roman" w:eastAsia="Times New Roman" w:hAnsi="Times New Roman" w:cs="Times New Roman"/>
          <w:sz w:val="24"/>
          <w:szCs w:val="24"/>
        </w:rPr>
        <w:t>son estudios</w:t>
      </w:r>
      <w:r w:rsidR="001B33CB" w:rsidRPr="004B697B">
        <w:rPr>
          <w:rFonts w:ascii="Times New Roman" w:eastAsia="Times New Roman" w:hAnsi="Times New Roman" w:cs="Times New Roman"/>
          <w:color w:val="FF0000"/>
          <w:sz w:val="24"/>
          <w:szCs w:val="24"/>
        </w:rPr>
        <w:t xml:space="preserve"> </w:t>
      </w:r>
      <w:r w:rsidR="001B33CB" w:rsidRPr="004B697B">
        <w:rPr>
          <w:rFonts w:ascii="Times New Roman" w:eastAsia="Times New Roman" w:hAnsi="Times New Roman" w:cs="Times New Roman"/>
          <w:i/>
          <w:iCs/>
          <w:sz w:val="24"/>
          <w:szCs w:val="24"/>
        </w:rPr>
        <w:t>expostfacto</w:t>
      </w:r>
      <w:r w:rsidR="001B33CB" w:rsidRPr="004B697B">
        <w:rPr>
          <w:rFonts w:ascii="Times New Roman" w:eastAsia="Times New Roman" w:hAnsi="Times New Roman" w:cs="Times New Roman"/>
          <w:sz w:val="24"/>
          <w:szCs w:val="24"/>
        </w:rPr>
        <w:t xml:space="preserve"> retrospectivos (Castañeda-Aguilera et al., 2020; De Marchis et al., 2019; Elay et al., 2019; Hain et al., 2019; Lee et al., 2020; Li et al., 2019; Merces et al., 2020; Merino-Plaza et al., 2018; Nowacka et al., 2018; Paiva et al., 2018; Zarei et al., 2019; Zétola et al., 2019; Zhang et </w:t>
      </w:r>
      <w:r w:rsidR="001B33CB" w:rsidRPr="004B697B">
        <w:rPr>
          <w:rFonts w:ascii="Times New Roman" w:eastAsia="Times New Roman" w:hAnsi="Times New Roman" w:cs="Times New Roman"/>
          <w:sz w:val="24"/>
          <w:szCs w:val="24"/>
        </w:rPr>
        <w:lastRenderedPageBreak/>
        <w:t xml:space="preserve">al., 2023; Afonso et al., 2021; Gan et al., 2019; y De la Fuente-Solana et al., 2021) y un 11% son estudios </w:t>
      </w:r>
      <w:r w:rsidR="00A34879" w:rsidRPr="004B697B">
        <w:rPr>
          <w:rFonts w:ascii="Times New Roman" w:eastAsia="Times New Roman" w:hAnsi="Times New Roman" w:cs="Times New Roman"/>
          <w:i/>
          <w:iCs/>
          <w:sz w:val="24"/>
          <w:szCs w:val="24"/>
        </w:rPr>
        <w:t>expostfacto</w:t>
      </w:r>
      <w:r w:rsidR="001B33CB" w:rsidRPr="004B697B">
        <w:rPr>
          <w:rFonts w:ascii="Times New Roman" w:eastAsia="Times New Roman" w:hAnsi="Times New Roman" w:cs="Times New Roman"/>
          <w:sz w:val="24"/>
          <w:szCs w:val="24"/>
        </w:rPr>
        <w:t xml:space="preserve"> prospectivos (Iyer et al., 2022; y Faivre et al., 2019) (Tabla A1</w:t>
      </w:r>
      <w:r w:rsidR="00405D8D">
        <w:rPr>
          <w:rFonts w:ascii="Times New Roman" w:eastAsia="Times New Roman" w:hAnsi="Times New Roman" w:cs="Times New Roman"/>
          <w:sz w:val="24"/>
          <w:szCs w:val="24"/>
        </w:rPr>
        <w:t xml:space="preserve"> del anexo</w:t>
      </w:r>
      <w:r w:rsidR="001B33CB" w:rsidRPr="004B697B">
        <w:rPr>
          <w:rFonts w:ascii="Times New Roman" w:eastAsia="Times New Roman" w:hAnsi="Times New Roman" w:cs="Times New Roman"/>
          <w:sz w:val="24"/>
          <w:szCs w:val="24"/>
        </w:rPr>
        <w:t xml:space="preserve">). El tamaño de la muestra de los participantes entre los estudios osciló entre 67 y 3.898. </w:t>
      </w:r>
    </w:p>
    <w:p w14:paraId="082BF09E" w14:textId="63C05E8C" w:rsidR="00222A87" w:rsidRPr="004B697B" w:rsidRDefault="001B33CB" w:rsidP="004B697B">
      <w:pPr>
        <w:spacing w:line="480" w:lineRule="auto"/>
        <w:ind w:firstLine="720"/>
        <w:rPr>
          <w:rFonts w:ascii="Times New Roman" w:eastAsia="Times New Roman" w:hAnsi="Times New Roman" w:cs="Times New Roman"/>
          <w:i/>
          <w:sz w:val="24"/>
          <w:szCs w:val="24"/>
        </w:rPr>
      </w:pPr>
      <w:r w:rsidRPr="004B697B">
        <w:rPr>
          <w:rFonts w:ascii="Times New Roman" w:eastAsia="Times New Roman" w:hAnsi="Times New Roman" w:cs="Times New Roman"/>
          <w:sz w:val="24"/>
          <w:szCs w:val="24"/>
        </w:rPr>
        <w:t>Para medir el burnout</w:t>
      </w:r>
      <w:r w:rsidR="008922ED"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los estudios emplearon principalmente la </w:t>
      </w:r>
      <w:r w:rsidRPr="004B697B">
        <w:rPr>
          <w:rFonts w:ascii="Times New Roman" w:eastAsia="Times New Roman" w:hAnsi="Times New Roman" w:cs="Times New Roman"/>
          <w:i/>
          <w:sz w:val="24"/>
          <w:szCs w:val="24"/>
        </w:rPr>
        <w:t xml:space="preserve">Encuesta de Servicios </w:t>
      </w:r>
      <w:r w:rsidRPr="004B697B">
        <w:rPr>
          <w:rFonts w:ascii="Times New Roman" w:eastAsia="Times New Roman" w:hAnsi="Times New Roman" w:cs="Times New Roman"/>
          <w:i/>
          <w:sz w:val="24"/>
          <w:szCs w:val="24"/>
        </w:rPr>
        <w:softHyphen/>
        <w:t xml:space="preserve">Humanos del Inventario de Agotamiento de Maslach </w:t>
      </w:r>
      <w:r w:rsidRPr="004B697B">
        <w:rPr>
          <w:rFonts w:ascii="Times New Roman" w:eastAsia="Times New Roman" w:hAnsi="Times New Roman" w:cs="Times New Roman"/>
          <w:sz w:val="24"/>
          <w:szCs w:val="24"/>
        </w:rPr>
        <w:t xml:space="preserve">(Maslach y Jackson, 1981), y en un estudio se empleó el </w:t>
      </w:r>
      <w:r w:rsidRPr="004B697B">
        <w:rPr>
          <w:rFonts w:ascii="Times New Roman" w:eastAsia="Times New Roman" w:hAnsi="Times New Roman" w:cs="Times New Roman"/>
          <w:i/>
          <w:sz w:val="24"/>
          <w:szCs w:val="24"/>
        </w:rPr>
        <w:t xml:space="preserve">Cuestionario demográfico para la práctica de la Certificación en Medicina Familiar de la ABFM </w:t>
      </w:r>
      <w:r w:rsidRPr="004B697B">
        <w:rPr>
          <w:rFonts w:ascii="Times New Roman" w:eastAsia="Times New Roman" w:hAnsi="Times New Roman" w:cs="Times New Roman"/>
          <w:sz w:val="24"/>
          <w:szCs w:val="24"/>
        </w:rPr>
        <w:t>(ABFM, 2016)</w:t>
      </w:r>
      <w:r w:rsidRPr="004B697B">
        <w:rPr>
          <w:rFonts w:ascii="Times New Roman" w:eastAsia="Times New Roman" w:hAnsi="Times New Roman" w:cs="Times New Roman"/>
          <w:i/>
          <w:sz w:val="24"/>
          <w:szCs w:val="24"/>
        </w:rPr>
        <w:t xml:space="preserve">. </w:t>
      </w:r>
    </w:p>
    <w:p w14:paraId="610313EE" w14:textId="4D84CD68" w:rsidR="001B33CB" w:rsidRPr="004B697B" w:rsidRDefault="001B33CB" w:rsidP="006037D6">
      <w:pPr>
        <w:pStyle w:val="Ttulo2"/>
        <w:rPr>
          <w:rFonts w:eastAsia="Times New Roman"/>
        </w:rPr>
      </w:pPr>
    </w:p>
    <w:p w14:paraId="5B017AD9" w14:textId="77777777" w:rsidR="00B73DF0" w:rsidRPr="006037D6" w:rsidRDefault="00B73DF0" w:rsidP="006037D6">
      <w:pPr>
        <w:spacing w:line="480" w:lineRule="auto"/>
        <w:rPr>
          <w:rFonts w:ascii="Times New Roman" w:eastAsia="Times New Roman" w:hAnsi="Times New Roman" w:cs="Times New Roman"/>
          <w:i/>
          <w:iCs/>
          <w:sz w:val="24"/>
          <w:szCs w:val="24"/>
        </w:rPr>
      </w:pPr>
      <w:r w:rsidRPr="006037D6">
        <w:rPr>
          <w:rFonts w:ascii="Times New Roman" w:eastAsia="Times New Roman" w:hAnsi="Times New Roman" w:cs="Times New Roman"/>
          <w:i/>
          <w:iCs/>
          <w:sz w:val="24"/>
          <w:szCs w:val="24"/>
        </w:rPr>
        <w:t>Características de la Muestra</w:t>
      </w:r>
    </w:p>
    <w:p w14:paraId="4E208E84" w14:textId="6AF88489" w:rsidR="001B33CB" w:rsidRPr="004B697B" w:rsidRDefault="001B33CB" w:rsidP="004B697B">
      <w:pPr>
        <w:spacing w:line="480" w:lineRule="auto"/>
        <w:ind w:firstLine="720"/>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Las muestras de los estudios están compuestas por poblaciones cuya media de edad oscila entre los 29 </w:t>
      </w:r>
      <w:r w:rsidR="002339E9" w:rsidRPr="004B697B">
        <w:rPr>
          <w:rFonts w:ascii="Times New Roman" w:eastAsia="Times New Roman" w:hAnsi="Times New Roman" w:cs="Times New Roman"/>
          <w:sz w:val="24"/>
          <w:szCs w:val="24"/>
        </w:rPr>
        <w:t>y</w:t>
      </w:r>
      <w:r w:rsidRPr="004B697B">
        <w:rPr>
          <w:rFonts w:ascii="Times New Roman" w:eastAsia="Times New Roman" w:hAnsi="Times New Roman" w:cs="Times New Roman"/>
          <w:sz w:val="24"/>
          <w:szCs w:val="24"/>
        </w:rPr>
        <w:t xml:space="preserve"> los 52 años. El porcentaje de hombres y mujeres está muy nivelado en los estudios, excepto en cuatro estudios que la diferencia era significativa. En tres de ellos</w:t>
      </w:r>
      <w:r w:rsidR="000D735E"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la mayoría de la muestra está compuesta por mujeres (De la Fuente-Solana et al., 2021; Merces et al., 2020; y Zhang et al. 2023) y en solo un estudio está compuesto en su mayoría por hombres (Faivre et al., 2019). Del total de estudios</w:t>
      </w:r>
      <w:r w:rsidR="00A733CE"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la población es en su mayoría internacional, un 17% son brasileños (Merces et al., 2020; Paiva et al., 2018; y Zétola et al., 2019), un 11% son estadounidenses (Afonso et al., 2021; y De Marchis et al., 2019), otro 11% chinos (Gan et al., 2019; y Li et al., 2019), un 11% son españoles (De la Fuente-Solana et al., 2021; y Merino-Plaza et al., 2020), un 5,6% son mexicanos (Castañeda-Aguilera et al., 2020), un 5,6%</w:t>
      </w:r>
      <w:r w:rsidR="00BA48A5"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turcos (Elay et al., 2019),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franceses (Faivre et al., 2019),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sudafricanos (Hain et al., 2021),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tanzanos (Iyer et al., 2022),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coreanos (Lee et al., 2020),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polacos (Nowacka et al., 2018) y</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por último</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un 5,6%</w:t>
      </w:r>
      <w:r w:rsidR="00F50AF2"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iraníes (Zarei et al., 2019). La población de la muestra está compuesta en su totalidad por profesionales sanitarios, pero dentro de ellos distinguimos distintas especialidades. En el total de la muestra</w:t>
      </w:r>
      <w:r w:rsidR="00AD34B6"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un 22% son enfermeros/as (De la Fuente-Solana et al., 2021; Merces et al., </w:t>
      </w:r>
      <w:r w:rsidRPr="004B697B">
        <w:rPr>
          <w:rFonts w:ascii="Times New Roman" w:eastAsia="Times New Roman" w:hAnsi="Times New Roman" w:cs="Times New Roman"/>
          <w:sz w:val="24"/>
          <w:szCs w:val="24"/>
        </w:rPr>
        <w:lastRenderedPageBreak/>
        <w:t>2020; Nowacka et al., 2018;  y Zhang et al. 2023), otro 22% son médicos/as de atención primaria (De Marchis et al., 2019; Gan et al., 2019;  Li et al., 2019; y Zarei et al. (2019), un 11%</w:t>
      </w:r>
      <w:r w:rsidR="00B20F90" w:rsidRPr="004B697B">
        <w:rPr>
          <w:rFonts w:ascii="Times New Roman" w:eastAsia="Times New Roman" w:hAnsi="Times New Roman" w:cs="Times New Roman"/>
          <w:sz w:val="24"/>
          <w:szCs w:val="24"/>
        </w:rPr>
        <w:t xml:space="preserve"> son </w:t>
      </w:r>
      <w:r w:rsidRPr="004B697B">
        <w:rPr>
          <w:rFonts w:ascii="Times New Roman" w:eastAsia="Times New Roman" w:hAnsi="Times New Roman" w:cs="Times New Roman"/>
          <w:sz w:val="24"/>
          <w:szCs w:val="24"/>
        </w:rPr>
        <w:t>cirujanos/as (Castañeda-Aguilera et al., 2020; Faivre et al., 2019), un 11%</w:t>
      </w:r>
      <w:r w:rsidR="00B20F90" w:rsidRPr="004B697B">
        <w:rPr>
          <w:rFonts w:ascii="Times New Roman" w:eastAsia="Times New Roman" w:hAnsi="Times New Roman" w:cs="Times New Roman"/>
          <w:sz w:val="24"/>
          <w:szCs w:val="24"/>
        </w:rPr>
        <w:t xml:space="preserve"> son</w:t>
      </w:r>
      <w:r w:rsidRPr="004B697B">
        <w:rPr>
          <w:rFonts w:ascii="Times New Roman" w:eastAsia="Times New Roman" w:hAnsi="Times New Roman" w:cs="Times New Roman"/>
          <w:sz w:val="24"/>
          <w:szCs w:val="24"/>
        </w:rPr>
        <w:t xml:space="preserve"> médicos/as oncólogos/as (Lee et al., 2020; y Paiva et al., 2018), un 5% </w:t>
      </w:r>
      <w:r w:rsidR="00B20F90" w:rsidRPr="004B697B">
        <w:rPr>
          <w:rFonts w:ascii="Times New Roman" w:eastAsia="Times New Roman" w:hAnsi="Times New Roman" w:cs="Times New Roman"/>
          <w:sz w:val="24"/>
          <w:szCs w:val="24"/>
        </w:rPr>
        <w:t xml:space="preserve">son </w:t>
      </w:r>
      <w:r w:rsidRPr="004B697B">
        <w:rPr>
          <w:rFonts w:ascii="Times New Roman" w:eastAsia="Times New Roman" w:hAnsi="Times New Roman" w:cs="Times New Roman"/>
          <w:sz w:val="24"/>
          <w:szCs w:val="24"/>
        </w:rPr>
        <w:t xml:space="preserve">anestesiólogos/as (Afonso et al., 2021), un 5% </w:t>
      </w:r>
      <w:r w:rsidR="00B20F90" w:rsidRPr="004B697B">
        <w:rPr>
          <w:rFonts w:ascii="Times New Roman" w:eastAsia="Times New Roman" w:hAnsi="Times New Roman" w:cs="Times New Roman"/>
          <w:sz w:val="24"/>
          <w:szCs w:val="24"/>
        </w:rPr>
        <w:t xml:space="preserve">son </w:t>
      </w:r>
      <w:r w:rsidRPr="004B697B">
        <w:rPr>
          <w:rFonts w:ascii="Times New Roman" w:eastAsia="Times New Roman" w:hAnsi="Times New Roman" w:cs="Times New Roman"/>
          <w:sz w:val="24"/>
          <w:szCs w:val="24"/>
        </w:rPr>
        <w:t xml:space="preserve">médicos/as de UCI (Elay et al., 2019) , un 5% </w:t>
      </w:r>
      <w:r w:rsidR="00A47B5E" w:rsidRPr="004B697B">
        <w:rPr>
          <w:rFonts w:ascii="Times New Roman" w:eastAsia="Times New Roman" w:hAnsi="Times New Roman" w:cs="Times New Roman"/>
          <w:sz w:val="24"/>
          <w:szCs w:val="24"/>
        </w:rPr>
        <w:t xml:space="preserve">son </w:t>
      </w:r>
      <w:r w:rsidRPr="004B697B">
        <w:rPr>
          <w:rFonts w:ascii="Times New Roman" w:eastAsia="Times New Roman" w:hAnsi="Times New Roman" w:cs="Times New Roman"/>
          <w:sz w:val="24"/>
          <w:szCs w:val="24"/>
        </w:rPr>
        <w:t xml:space="preserve">doctores rurales (Hain et al., 2021), un 5% </w:t>
      </w:r>
      <w:r w:rsidR="00A47B5E" w:rsidRPr="004B697B">
        <w:rPr>
          <w:rFonts w:ascii="Times New Roman" w:eastAsia="Times New Roman" w:hAnsi="Times New Roman" w:cs="Times New Roman"/>
          <w:sz w:val="24"/>
          <w:szCs w:val="24"/>
        </w:rPr>
        <w:t xml:space="preserve">son </w:t>
      </w:r>
      <w:r w:rsidRPr="004B697B">
        <w:rPr>
          <w:rFonts w:ascii="Times New Roman" w:eastAsia="Times New Roman" w:hAnsi="Times New Roman" w:cs="Times New Roman"/>
          <w:sz w:val="24"/>
          <w:szCs w:val="24"/>
        </w:rPr>
        <w:t xml:space="preserve">médicos/as de emergencia (Iyer et al., 2022), un 5% </w:t>
      </w:r>
      <w:r w:rsidR="00A47B5E" w:rsidRPr="004B697B">
        <w:rPr>
          <w:rFonts w:ascii="Times New Roman" w:eastAsia="Times New Roman" w:hAnsi="Times New Roman" w:cs="Times New Roman"/>
          <w:sz w:val="24"/>
          <w:szCs w:val="24"/>
        </w:rPr>
        <w:t xml:space="preserve">son </w:t>
      </w:r>
      <w:r w:rsidRPr="004B697B">
        <w:rPr>
          <w:rFonts w:ascii="Times New Roman" w:eastAsia="Times New Roman" w:hAnsi="Times New Roman" w:cs="Times New Roman"/>
          <w:sz w:val="24"/>
          <w:szCs w:val="24"/>
        </w:rPr>
        <w:t>neurólogos (Zétola et al., 2019) y, por último,  un 11% no especifican la especialidad</w:t>
      </w:r>
      <w:r w:rsidR="00A47B5E"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pero si donde realizan su función: clínica especializada u hospital (Merino-Plaza et al., 2018; e Iyer et al., 2022). </w:t>
      </w:r>
    </w:p>
    <w:p w14:paraId="52083DDC" w14:textId="070296D4" w:rsidR="001B33CB" w:rsidRPr="004B697B" w:rsidRDefault="001B33CB" w:rsidP="006037D6">
      <w:pPr>
        <w:spacing w:line="480" w:lineRule="auto"/>
        <w:ind w:firstLine="708"/>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Todos los artículos </w:t>
      </w:r>
      <w:r w:rsidR="00AE5C75" w:rsidRPr="004B697B">
        <w:rPr>
          <w:rFonts w:ascii="Times New Roman" w:eastAsia="Times New Roman" w:hAnsi="Times New Roman" w:cs="Times New Roman"/>
          <w:sz w:val="24"/>
          <w:szCs w:val="24"/>
        </w:rPr>
        <w:t xml:space="preserve">incluyen al menos </w:t>
      </w:r>
      <w:r w:rsidRPr="004B697B">
        <w:rPr>
          <w:rFonts w:ascii="Times New Roman" w:eastAsia="Times New Roman" w:hAnsi="Times New Roman" w:cs="Times New Roman"/>
          <w:sz w:val="24"/>
          <w:szCs w:val="24"/>
        </w:rPr>
        <w:t xml:space="preserve">un grupo control, </w:t>
      </w:r>
      <w:r w:rsidR="00AE5C75" w:rsidRPr="004B697B">
        <w:rPr>
          <w:rFonts w:ascii="Times New Roman" w:eastAsia="Times New Roman" w:hAnsi="Times New Roman" w:cs="Times New Roman"/>
          <w:sz w:val="24"/>
          <w:szCs w:val="24"/>
        </w:rPr>
        <w:t xml:space="preserve">pero </w:t>
      </w:r>
      <w:r w:rsidRPr="004B697B">
        <w:rPr>
          <w:rFonts w:ascii="Times New Roman" w:eastAsia="Times New Roman" w:hAnsi="Times New Roman" w:cs="Times New Roman"/>
          <w:sz w:val="24"/>
          <w:szCs w:val="24"/>
        </w:rPr>
        <w:t xml:space="preserve">un 17% de </w:t>
      </w:r>
      <w:r w:rsidR="00AE5C75" w:rsidRPr="004B697B">
        <w:rPr>
          <w:rFonts w:ascii="Times New Roman" w:eastAsia="Times New Roman" w:hAnsi="Times New Roman" w:cs="Times New Roman"/>
          <w:sz w:val="24"/>
          <w:szCs w:val="24"/>
        </w:rPr>
        <w:t xml:space="preserve">ellos </w:t>
      </w:r>
      <w:r w:rsidRPr="004B697B">
        <w:rPr>
          <w:rFonts w:ascii="Times New Roman" w:eastAsia="Times New Roman" w:hAnsi="Times New Roman" w:cs="Times New Roman"/>
          <w:sz w:val="24"/>
          <w:szCs w:val="24"/>
        </w:rPr>
        <w:t xml:space="preserve">tienen más de un grupo control, debido a que existen dos estudios diferentes dentro del mismo artículo (Ieyer et., 2022; y Zétola et al., 2019). </w:t>
      </w:r>
    </w:p>
    <w:p w14:paraId="0BC34D46" w14:textId="01DE20BD" w:rsidR="00C41B6C" w:rsidRPr="004B697B" w:rsidRDefault="001B33CB" w:rsidP="006037D6">
      <w:pPr>
        <w:spacing w:line="480" w:lineRule="auto"/>
        <w:ind w:firstLine="708"/>
        <w:rPr>
          <w:rFonts w:ascii="Times New Roman" w:eastAsia="Times New Roman" w:hAnsi="Times New Roman" w:cs="Times New Roman"/>
          <w:i/>
          <w:sz w:val="24"/>
          <w:szCs w:val="24"/>
        </w:rPr>
      </w:pPr>
      <w:r w:rsidRPr="004B697B">
        <w:rPr>
          <w:rFonts w:ascii="Times New Roman" w:eastAsia="Times New Roman" w:hAnsi="Times New Roman" w:cs="Times New Roman"/>
          <w:sz w:val="24"/>
          <w:szCs w:val="24"/>
        </w:rPr>
        <w:t xml:space="preserve">Toda la información aquí explicada se recoge de manera más detallada en </w:t>
      </w:r>
      <w:r w:rsidR="002D73F8" w:rsidRPr="004B697B">
        <w:rPr>
          <w:rFonts w:ascii="Times New Roman" w:eastAsia="Times New Roman" w:hAnsi="Times New Roman" w:cs="Times New Roman"/>
          <w:sz w:val="24"/>
          <w:szCs w:val="24"/>
        </w:rPr>
        <w:t>la tabla</w:t>
      </w:r>
      <w:r w:rsidRPr="004B697B">
        <w:rPr>
          <w:rFonts w:ascii="Times New Roman" w:eastAsia="Times New Roman" w:hAnsi="Times New Roman" w:cs="Times New Roman"/>
          <w:sz w:val="24"/>
          <w:szCs w:val="24"/>
        </w:rPr>
        <w:t xml:space="preserve"> B1</w:t>
      </w:r>
      <w:r w:rsidR="00405D8D">
        <w:rPr>
          <w:rFonts w:ascii="Times New Roman" w:eastAsia="Times New Roman" w:hAnsi="Times New Roman" w:cs="Times New Roman"/>
          <w:sz w:val="24"/>
          <w:szCs w:val="24"/>
        </w:rPr>
        <w:t xml:space="preserve"> del anexo</w:t>
      </w:r>
      <w:r w:rsidRPr="004B697B">
        <w:rPr>
          <w:rFonts w:ascii="Times New Roman" w:eastAsia="Times New Roman" w:hAnsi="Times New Roman" w:cs="Times New Roman"/>
          <w:sz w:val="24"/>
          <w:szCs w:val="24"/>
        </w:rPr>
        <w:t xml:space="preserve">. </w:t>
      </w:r>
    </w:p>
    <w:p w14:paraId="67634AFD" w14:textId="251918A7" w:rsidR="001B33CB" w:rsidRPr="00360AA1" w:rsidRDefault="001B33CB" w:rsidP="006037D6">
      <w:pPr>
        <w:pStyle w:val="Ttulo2"/>
        <w:rPr>
          <w:rFonts w:eastAsia="Times New Roman"/>
        </w:rPr>
      </w:pPr>
    </w:p>
    <w:p w14:paraId="2AAAE6F2" w14:textId="77777777" w:rsidR="00B73DF0" w:rsidRPr="006037D6" w:rsidRDefault="00B73DF0" w:rsidP="006037D6">
      <w:pPr>
        <w:spacing w:line="480" w:lineRule="auto"/>
        <w:rPr>
          <w:rFonts w:ascii="Times New Roman" w:eastAsia="Times New Roman" w:hAnsi="Times New Roman" w:cs="Times New Roman"/>
          <w:i/>
          <w:iCs/>
          <w:sz w:val="24"/>
          <w:szCs w:val="24"/>
        </w:rPr>
      </w:pPr>
      <w:r w:rsidRPr="006037D6">
        <w:rPr>
          <w:rFonts w:ascii="Times New Roman" w:eastAsia="Times New Roman" w:hAnsi="Times New Roman" w:cs="Times New Roman"/>
          <w:i/>
          <w:iCs/>
          <w:sz w:val="24"/>
          <w:szCs w:val="24"/>
        </w:rPr>
        <w:t>Resultados</w:t>
      </w:r>
    </w:p>
    <w:p w14:paraId="6740AD51" w14:textId="1170D3D7" w:rsidR="001B33CB" w:rsidRDefault="001B33CB" w:rsidP="004B697B">
      <w:pPr>
        <w:spacing w:line="480" w:lineRule="auto"/>
        <w:ind w:firstLine="720"/>
        <w:rPr>
          <w:rFonts w:ascii="Times New Roman" w:eastAsia="Times New Roman" w:hAnsi="Times New Roman" w:cs="Times New Roman"/>
          <w:color w:val="000000" w:themeColor="text1"/>
          <w:sz w:val="24"/>
          <w:szCs w:val="24"/>
        </w:rPr>
      </w:pPr>
      <w:r w:rsidRPr="004B697B">
        <w:rPr>
          <w:rFonts w:ascii="Times New Roman" w:eastAsia="Times New Roman" w:hAnsi="Times New Roman" w:cs="Times New Roman"/>
          <w:sz w:val="24"/>
          <w:szCs w:val="24"/>
        </w:rPr>
        <w:t>En los estudios se consiguieron resultados de las correlaciones del burnout con los factores de riesgo y de protección específicos de cada estudio. En el conjunto de estudios hay una serie de factores que se repiten y que suponen una mayor amenaza o protección para el bienestar del profesional sanitario</w:t>
      </w:r>
      <w:r w:rsidR="00772C33"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w:t>
      </w:r>
      <w:r w:rsidR="00772C33" w:rsidRPr="004B697B">
        <w:rPr>
          <w:rFonts w:ascii="Times New Roman" w:eastAsia="Times New Roman" w:hAnsi="Times New Roman" w:cs="Times New Roman"/>
          <w:sz w:val="24"/>
          <w:szCs w:val="24"/>
        </w:rPr>
        <w:t>S</w:t>
      </w:r>
      <w:r w:rsidRPr="004B697B">
        <w:rPr>
          <w:rFonts w:ascii="Times New Roman" w:eastAsia="Times New Roman" w:hAnsi="Times New Roman" w:cs="Times New Roman"/>
          <w:sz w:val="24"/>
          <w:szCs w:val="24"/>
        </w:rPr>
        <w:t xml:space="preserve">e recogen en </w:t>
      </w:r>
      <w:r w:rsidR="002D73F8" w:rsidRPr="004B697B">
        <w:rPr>
          <w:rFonts w:ascii="Times New Roman" w:eastAsia="Times New Roman" w:hAnsi="Times New Roman" w:cs="Times New Roman"/>
          <w:color w:val="000000" w:themeColor="text1"/>
          <w:sz w:val="24"/>
          <w:szCs w:val="24"/>
        </w:rPr>
        <w:t>la tabla</w:t>
      </w:r>
      <w:r w:rsidRPr="004B697B">
        <w:rPr>
          <w:rFonts w:ascii="Times New Roman" w:eastAsia="Times New Roman" w:hAnsi="Times New Roman" w:cs="Times New Roman"/>
          <w:color w:val="000000" w:themeColor="text1"/>
          <w:sz w:val="24"/>
          <w:szCs w:val="24"/>
        </w:rPr>
        <w:t xml:space="preserve"> 3. </w:t>
      </w:r>
    </w:p>
    <w:p w14:paraId="307B8BB0" w14:textId="0EAABBB4" w:rsidR="00031DD8" w:rsidRDefault="00031DD8" w:rsidP="004B697B">
      <w:pPr>
        <w:spacing w:line="480" w:lineRule="auto"/>
        <w:ind w:firstLine="720"/>
        <w:rPr>
          <w:rFonts w:ascii="Times New Roman" w:eastAsia="Times New Roman" w:hAnsi="Times New Roman" w:cs="Times New Roman"/>
          <w:color w:val="000000" w:themeColor="text1"/>
          <w:sz w:val="24"/>
          <w:szCs w:val="24"/>
        </w:rPr>
      </w:pPr>
    </w:p>
    <w:p w14:paraId="46EF96EC" w14:textId="707DADDA" w:rsidR="00031DD8" w:rsidRDefault="00031DD8" w:rsidP="004B697B">
      <w:pPr>
        <w:spacing w:line="480" w:lineRule="auto"/>
        <w:ind w:firstLine="720"/>
        <w:rPr>
          <w:rFonts w:ascii="Times New Roman" w:eastAsia="Times New Roman" w:hAnsi="Times New Roman" w:cs="Times New Roman"/>
          <w:color w:val="000000" w:themeColor="text1"/>
          <w:sz w:val="24"/>
          <w:szCs w:val="24"/>
        </w:rPr>
      </w:pPr>
    </w:p>
    <w:p w14:paraId="20838766" w14:textId="70EE09A0" w:rsidR="00031DD8" w:rsidRDefault="00031DD8" w:rsidP="004B697B">
      <w:pPr>
        <w:spacing w:line="480" w:lineRule="auto"/>
        <w:ind w:firstLine="720"/>
        <w:rPr>
          <w:rFonts w:ascii="Times New Roman" w:eastAsia="Times New Roman" w:hAnsi="Times New Roman" w:cs="Times New Roman"/>
          <w:color w:val="000000" w:themeColor="text1"/>
          <w:sz w:val="24"/>
          <w:szCs w:val="24"/>
        </w:rPr>
      </w:pPr>
    </w:p>
    <w:p w14:paraId="76F43A74" w14:textId="127373BF" w:rsidR="00031DD8" w:rsidRDefault="00031DD8" w:rsidP="004B697B">
      <w:pPr>
        <w:spacing w:line="480" w:lineRule="auto"/>
        <w:ind w:firstLine="720"/>
        <w:rPr>
          <w:rFonts w:ascii="Times New Roman" w:eastAsia="Times New Roman" w:hAnsi="Times New Roman" w:cs="Times New Roman"/>
          <w:color w:val="000000" w:themeColor="text1"/>
          <w:sz w:val="24"/>
          <w:szCs w:val="24"/>
        </w:rPr>
      </w:pPr>
    </w:p>
    <w:p w14:paraId="3DBF29BD" w14:textId="77777777" w:rsidR="00031DD8" w:rsidRDefault="00031DD8" w:rsidP="00146B38">
      <w:pPr>
        <w:spacing w:line="480" w:lineRule="auto"/>
        <w:rPr>
          <w:rFonts w:ascii="Times New Roman" w:eastAsia="Times New Roman" w:hAnsi="Times New Roman" w:cs="Times New Roman"/>
          <w:color w:val="000000" w:themeColor="text1"/>
          <w:sz w:val="24"/>
          <w:szCs w:val="24"/>
        </w:rPr>
      </w:pPr>
    </w:p>
    <w:p w14:paraId="6313EBC4" w14:textId="77777777" w:rsidR="0082103F" w:rsidRDefault="0082103F" w:rsidP="00146B38">
      <w:pPr>
        <w:spacing w:line="480" w:lineRule="auto"/>
        <w:rPr>
          <w:rFonts w:ascii="Times New Roman" w:eastAsia="Times New Roman" w:hAnsi="Times New Roman" w:cs="Times New Roman"/>
          <w:color w:val="000000" w:themeColor="text1"/>
          <w:sz w:val="24"/>
          <w:szCs w:val="24"/>
        </w:rPr>
      </w:pPr>
    </w:p>
    <w:p w14:paraId="7FB62944" w14:textId="77777777" w:rsidR="008C6CDA" w:rsidRPr="004B697B" w:rsidRDefault="008C6CDA" w:rsidP="008C6CDA">
      <w:pPr>
        <w:spacing w:line="480" w:lineRule="auto"/>
        <w:rPr>
          <w:rFonts w:ascii="Times New Roman" w:eastAsia="Times New Roman" w:hAnsi="Times New Roman" w:cs="Times New Roman"/>
          <w:bCs/>
          <w:color w:val="000000" w:themeColor="text1"/>
          <w:sz w:val="24"/>
          <w:szCs w:val="24"/>
        </w:rPr>
      </w:pPr>
      <w:r w:rsidRPr="004B697B">
        <w:rPr>
          <w:rFonts w:ascii="Times New Roman" w:eastAsia="Times New Roman" w:hAnsi="Times New Roman" w:cs="Times New Roman"/>
          <w:bCs/>
          <w:color w:val="000000" w:themeColor="text1"/>
          <w:sz w:val="24"/>
          <w:szCs w:val="24"/>
        </w:rPr>
        <w:lastRenderedPageBreak/>
        <w:t>Tabla 3</w:t>
      </w:r>
    </w:p>
    <w:p w14:paraId="0848D392" w14:textId="3D0C2BAC" w:rsidR="008C6CDA" w:rsidRDefault="008C6CDA" w:rsidP="008C6CDA">
      <w:pPr>
        <w:spacing w:line="480" w:lineRule="auto"/>
        <w:ind w:firstLine="720"/>
        <w:rPr>
          <w:rFonts w:ascii="Times New Roman" w:eastAsia="Times New Roman" w:hAnsi="Times New Roman" w:cs="Times New Roman"/>
          <w:bCs/>
          <w:i/>
          <w:iCs/>
          <w:color w:val="000000" w:themeColor="text1"/>
          <w:sz w:val="24"/>
          <w:szCs w:val="24"/>
        </w:rPr>
      </w:pPr>
      <w:r w:rsidRPr="004B697B">
        <w:rPr>
          <w:rFonts w:ascii="Times New Roman" w:eastAsia="Times New Roman" w:hAnsi="Times New Roman" w:cs="Times New Roman"/>
          <w:bCs/>
          <w:i/>
          <w:iCs/>
          <w:color w:val="000000" w:themeColor="text1"/>
          <w:sz w:val="24"/>
          <w:szCs w:val="24"/>
        </w:rPr>
        <w:t>Factores de riesgo del burnout comunes</w:t>
      </w:r>
    </w:p>
    <w:tbl>
      <w:tblPr>
        <w:tblStyle w:val="Tablanormal2"/>
        <w:tblW w:w="0" w:type="auto"/>
        <w:tblLook w:val="0660" w:firstRow="1" w:lastRow="1" w:firstColumn="0" w:lastColumn="0" w:noHBand="1" w:noVBand="1"/>
      </w:tblPr>
      <w:tblGrid>
        <w:gridCol w:w="2254"/>
        <w:gridCol w:w="2255"/>
        <w:gridCol w:w="2255"/>
        <w:gridCol w:w="2255"/>
      </w:tblGrid>
      <w:tr w:rsidR="008C6CDA" w:rsidRPr="00031DD8" w14:paraId="45986B22" w14:textId="77777777" w:rsidTr="00CC033D">
        <w:trPr>
          <w:cnfStyle w:val="100000000000" w:firstRow="1" w:lastRow="0" w:firstColumn="0" w:lastColumn="0" w:oddVBand="0" w:evenVBand="0" w:oddHBand="0" w:evenHBand="0" w:firstRowFirstColumn="0" w:firstRowLastColumn="0" w:lastRowFirstColumn="0" w:lastRowLastColumn="0"/>
        </w:trPr>
        <w:tc>
          <w:tcPr>
            <w:tcW w:w="2254" w:type="dxa"/>
          </w:tcPr>
          <w:p w14:paraId="3A0DEBF8" w14:textId="77777777" w:rsidR="008C6CDA" w:rsidRPr="00031DD8" w:rsidRDefault="008C6CDA" w:rsidP="00CC033D">
            <w:pPr>
              <w:jc w:val="cente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Factores</w:t>
            </w:r>
          </w:p>
        </w:tc>
        <w:tc>
          <w:tcPr>
            <w:tcW w:w="2255" w:type="dxa"/>
          </w:tcPr>
          <w:p w14:paraId="43225479" w14:textId="77777777" w:rsidR="008C6CDA" w:rsidRPr="00031DD8" w:rsidRDefault="008C6CDA" w:rsidP="00CC033D">
            <w:pPr>
              <w:jc w:val="cente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Riesgo (+)</w:t>
            </w:r>
          </w:p>
        </w:tc>
        <w:tc>
          <w:tcPr>
            <w:tcW w:w="2255" w:type="dxa"/>
          </w:tcPr>
          <w:p w14:paraId="170F7575" w14:textId="77777777" w:rsidR="008C6CDA" w:rsidRPr="00031DD8" w:rsidRDefault="008C6CDA" w:rsidP="00CC033D">
            <w:pPr>
              <w:jc w:val="cente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Protección (-)</w:t>
            </w:r>
          </w:p>
        </w:tc>
        <w:tc>
          <w:tcPr>
            <w:tcW w:w="2255" w:type="dxa"/>
          </w:tcPr>
          <w:p w14:paraId="4719D8A1" w14:textId="77777777" w:rsidR="008C6CDA" w:rsidRPr="00031DD8" w:rsidRDefault="008C6CDA" w:rsidP="00CC033D">
            <w:pPr>
              <w:jc w:val="cente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Conclusiones</w:t>
            </w:r>
          </w:p>
        </w:tc>
      </w:tr>
      <w:tr w:rsidR="008C6CDA" w:rsidRPr="00031DD8" w14:paraId="052A0B29" w14:textId="77777777" w:rsidTr="00CC033D">
        <w:tc>
          <w:tcPr>
            <w:tcW w:w="2254" w:type="dxa"/>
          </w:tcPr>
          <w:p w14:paraId="0352DE9B"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Sexo Femenino</w:t>
            </w:r>
          </w:p>
        </w:tc>
        <w:tc>
          <w:tcPr>
            <w:tcW w:w="2255" w:type="dxa"/>
          </w:tcPr>
          <w:p w14:paraId="1D329F5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Castañeda-Aguilera et al. (2020)</w:t>
            </w:r>
          </w:p>
          <w:p w14:paraId="3A1703C7"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Elay et al. (2019)</w:t>
            </w:r>
          </w:p>
          <w:p w14:paraId="1FF8C4DC"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Hain et al. (2020)</w:t>
            </w:r>
          </w:p>
          <w:p w14:paraId="25A4DE0D"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Zétola et al. (2019)</w:t>
            </w:r>
          </w:p>
          <w:p w14:paraId="40E7600E"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Faivre et al. (2019)</w:t>
            </w:r>
          </w:p>
          <w:p w14:paraId="075CCFEE" w14:textId="77777777" w:rsidR="008C6CDA" w:rsidRPr="00031DD8" w:rsidRDefault="008C6CDA" w:rsidP="00CC033D">
            <w:pPr>
              <w:rPr>
                <w:rFonts w:ascii="Times New Roman" w:eastAsia="Times New Roman" w:hAnsi="Times New Roman" w:cs="Times New Roman"/>
              </w:rPr>
            </w:pPr>
          </w:p>
        </w:tc>
        <w:tc>
          <w:tcPr>
            <w:tcW w:w="2255" w:type="dxa"/>
          </w:tcPr>
          <w:p w14:paraId="0EA1A4F2" w14:textId="77777777" w:rsidR="008C6CDA" w:rsidRPr="00031DD8" w:rsidRDefault="008C6CDA" w:rsidP="00CC033D">
            <w:pPr>
              <w:rPr>
                <w:rFonts w:ascii="Times New Roman" w:eastAsia="Times New Roman" w:hAnsi="Times New Roman" w:cs="Times New Roman"/>
              </w:rPr>
            </w:pPr>
          </w:p>
          <w:p w14:paraId="6A419654" w14:textId="77777777" w:rsidR="008C6CDA" w:rsidRPr="00031DD8" w:rsidRDefault="008C6CDA" w:rsidP="00CC033D">
            <w:pPr>
              <w:rPr>
                <w:rFonts w:ascii="Times New Roman" w:eastAsia="Times New Roman" w:hAnsi="Times New Roman" w:cs="Times New Roman"/>
              </w:rPr>
            </w:pPr>
          </w:p>
          <w:p w14:paraId="7130FA1E" w14:textId="77777777" w:rsidR="008C6CDA" w:rsidRPr="00031DD8" w:rsidRDefault="008C6CDA" w:rsidP="00CC033D">
            <w:pPr>
              <w:rPr>
                <w:rFonts w:ascii="Times New Roman" w:eastAsia="Times New Roman" w:hAnsi="Times New Roman" w:cs="Times New Roman"/>
              </w:rPr>
            </w:pPr>
          </w:p>
          <w:p w14:paraId="7EF8366C"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134CD23C"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Riesgo</w:t>
            </w:r>
          </w:p>
        </w:tc>
      </w:tr>
      <w:tr w:rsidR="008C6CDA" w:rsidRPr="00031DD8" w14:paraId="6D19D2B9" w14:textId="77777777" w:rsidTr="00CC033D">
        <w:tc>
          <w:tcPr>
            <w:tcW w:w="2254" w:type="dxa"/>
          </w:tcPr>
          <w:p w14:paraId="38FAE2AF"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Edad &lt; 40</w:t>
            </w:r>
          </w:p>
        </w:tc>
        <w:tc>
          <w:tcPr>
            <w:tcW w:w="2255" w:type="dxa"/>
          </w:tcPr>
          <w:p w14:paraId="0BD735A9"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Castañeda-Aguilera et al. (2020)</w:t>
            </w:r>
          </w:p>
          <w:p w14:paraId="5A323EF4"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Lee et al. (2020)</w:t>
            </w:r>
          </w:p>
          <w:p w14:paraId="54A5F71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Zarei et al. (2019)</w:t>
            </w:r>
          </w:p>
          <w:p w14:paraId="7E0464F9"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Zétola et al. (2023)</w:t>
            </w:r>
          </w:p>
          <w:p w14:paraId="09A292D4" w14:textId="77777777" w:rsidR="008C6CDA" w:rsidRPr="00031DD8" w:rsidRDefault="008C6CDA" w:rsidP="00CC033D">
            <w:pPr>
              <w:rPr>
                <w:rFonts w:ascii="Times New Roman" w:eastAsia="Times New Roman" w:hAnsi="Times New Roman" w:cs="Times New Roman"/>
              </w:rPr>
            </w:pPr>
          </w:p>
        </w:tc>
        <w:tc>
          <w:tcPr>
            <w:tcW w:w="2255" w:type="dxa"/>
          </w:tcPr>
          <w:p w14:paraId="3CE797EC" w14:textId="77777777" w:rsidR="008C6CDA" w:rsidRPr="00031DD8" w:rsidRDefault="008C6CDA" w:rsidP="00CC033D">
            <w:pPr>
              <w:jc w:val="center"/>
              <w:rPr>
                <w:rFonts w:ascii="Times New Roman" w:eastAsia="Times New Roman" w:hAnsi="Times New Roman" w:cs="Times New Roman"/>
              </w:rPr>
            </w:pPr>
          </w:p>
          <w:p w14:paraId="1BBC0876" w14:textId="77777777" w:rsidR="008C6CDA" w:rsidRPr="00031DD8" w:rsidRDefault="008C6CDA" w:rsidP="00CC033D">
            <w:pPr>
              <w:jc w:val="center"/>
              <w:rPr>
                <w:rFonts w:ascii="Times New Roman" w:eastAsia="Times New Roman" w:hAnsi="Times New Roman" w:cs="Times New Roman"/>
              </w:rPr>
            </w:pPr>
          </w:p>
          <w:p w14:paraId="179D5489"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p w14:paraId="09C0D20E" w14:textId="77777777" w:rsidR="008C6CDA" w:rsidRPr="00031DD8" w:rsidRDefault="008C6CDA" w:rsidP="00CC033D">
            <w:pPr>
              <w:jc w:val="center"/>
              <w:rPr>
                <w:rFonts w:ascii="Times New Roman" w:eastAsia="Times New Roman" w:hAnsi="Times New Roman" w:cs="Times New Roman"/>
              </w:rPr>
            </w:pPr>
          </w:p>
          <w:p w14:paraId="45472519" w14:textId="77777777" w:rsidR="008C6CDA" w:rsidRPr="00031DD8" w:rsidRDefault="008C6CDA" w:rsidP="00CC033D">
            <w:pPr>
              <w:jc w:val="center"/>
              <w:rPr>
                <w:rFonts w:ascii="Times New Roman" w:eastAsia="Times New Roman" w:hAnsi="Times New Roman" w:cs="Times New Roman"/>
              </w:rPr>
            </w:pPr>
          </w:p>
        </w:tc>
        <w:tc>
          <w:tcPr>
            <w:tcW w:w="2255" w:type="dxa"/>
          </w:tcPr>
          <w:p w14:paraId="55670AE5"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Riesgo</w:t>
            </w:r>
          </w:p>
        </w:tc>
      </w:tr>
      <w:tr w:rsidR="008C6CDA" w:rsidRPr="00031DD8" w14:paraId="62A4DE0D" w14:textId="77777777" w:rsidTr="00CC033D">
        <w:tc>
          <w:tcPr>
            <w:tcW w:w="2254" w:type="dxa"/>
          </w:tcPr>
          <w:p w14:paraId="12B5F3C1"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Tener Pareja Estable (Apoyo en casa)</w:t>
            </w:r>
          </w:p>
        </w:tc>
        <w:tc>
          <w:tcPr>
            <w:tcW w:w="2255" w:type="dxa"/>
          </w:tcPr>
          <w:p w14:paraId="6954DFFE"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 xml:space="preserve"> </w:t>
            </w:r>
          </w:p>
          <w:p w14:paraId="78220BE8" w14:textId="77777777" w:rsidR="008C6CDA" w:rsidRPr="00031DD8" w:rsidRDefault="008C6CDA" w:rsidP="00CC033D">
            <w:pPr>
              <w:rPr>
                <w:rFonts w:ascii="Times New Roman" w:eastAsia="Times New Roman" w:hAnsi="Times New Roman" w:cs="Times New Roman"/>
              </w:rPr>
            </w:pPr>
          </w:p>
          <w:p w14:paraId="4D2FAE0E" w14:textId="77777777" w:rsidR="008C6CDA" w:rsidRPr="00031DD8" w:rsidRDefault="008C6CDA" w:rsidP="00CC033D">
            <w:pPr>
              <w:rPr>
                <w:rFonts w:ascii="Times New Roman" w:eastAsia="Times New Roman" w:hAnsi="Times New Roman" w:cs="Times New Roman"/>
              </w:rPr>
            </w:pPr>
          </w:p>
          <w:p w14:paraId="393522C8"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46842860"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Gan et al. (2019)</w:t>
            </w:r>
          </w:p>
          <w:p w14:paraId="570DBCEC"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Lee et al. (2020)</w:t>
            </w:r>
          </w:p>
          <w:p w14:paraId="45157F9A"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Afonso et al. (2021)</w:t>
            </w:r>
          </w:p>
          <w:p w14:paraId="64CD16ED"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Nowacka et al. (2018)</w:t>
            </w:r>
          </w:p>
          <w:p w14:paraId="2AF57617"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Zarei et al. (2019)</w:t>
            </w:r>
          </w:p>
          <w:p w14:paraId="25C00ABA" w14:textId="77777777" w:rsidR="008C6CDA" w:rsidRPr="00031DD8" w:rsidRDefault="008C6CDA" w:rsidP="00CC033D">
            <w:pPr>
              <w:rPr>
                <w:rFonts w:ascii="Times New Roman" w:eastAsia="Times New Roman" w:hAnsi="Times New Roman" w:cs="Times New Roman"/>
              </w:rPr>
            </w:pPr>
          </w:p>
        </w:tc>
        <w:tc>
          <w:tcPr>
            <w:tcW w:w="2255" w:type="dxa"/>
          </w:tcPr>
          <w:p w14:paraId="53684827"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Protección</w:t>
            </w:r>
          </w:p>
        </w:tc>
      </w:tr>
      <w:tr w:rsidR="008C6CDA" w:rsidRPr="00031DD8" w14:paraId="4935B781" w14:textId="77777777" w:rsidTr="00CC033D">
        <w:tc>
          <w:tcPr>
            <w:tcW w:w="2254" w:type="dxa"/>
          </w:tcPr>
          <w:p w14:paraId="69E7896A"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Tener Apoyo en el Trabajo</w:t>
            </w:r>
          </w:p>
        </w:tc>
        <w:tc>
          <w:tcPr>
            <w:tcW w:w="2255" w:type="dxa"/>
          </w:tcPr>
          <w:p w14:paraId="728F888A" w14:textId="77777777" w:rsidR="008C6CDA" w:rsidRPr="00031DD8" w:rsidRDefault="008C6CDA" w:rsidP="00CC033D">
            <w:pPr>
              <w:jc w:val="center"/>
              <w:rPr>
                <w:rFonts w:ascii="Times New Roman" w:eastAsia="Times New Roman" w:hAnsi="Times New Roman" w:cs="Times New Roman"/>
              </w:rPr>
            </w:pPr>
          </w:p>
          <w:p w14:paraId="0775F898"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53CE8668"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Li et al. (2019)</w:t>
            </w:r>
          </w:p>
          <w:p w14:paraId="35071D8C"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Afonso et al. (2021)</w:t>
            </w:r>
          </w:p>
          <w:p w14:paraId="6D054E8F" w14:textId="77777777" w:rsidR="008C6CDA" w:rsidRPr="00031DD8" w:rsidRDefault="008C6CDA" w:rsidP="00CC033D">
            <w:pPr>
              <w:rPr>
                <w:rFonts w:ascii="Times New Roman" w:eastAsia="Times New Roman" w:hAnsi="Times New Roman" w:cs="Times New Roman"/>
              </w:rPr>
            </w:pPr>
          </w:p>
        </w:tc>
        <w:tc>
          <w:tcPr>
            <w:tcW w:w="2255" w:type="dxa"/>
          </w:tcPr>
          <w:p w14:paraId="7FA3C7D2"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 xml:space="preserve">Protección </w:t>
            </w:r>
          </w:p>
        </w:tc>
      </w:tr>
      <w:tr w:rsidR="008C6CDA" w:rsidRPr="00031DD8" w14:paraId="1F9B13F0" w14:textId="77777777" w:rsidTr="00CC033D">
        <w:tc>
          <w:tcPr>
            <w:tcW w:w="2254" w:type="dxa"/>
          </w:tcPr>
          <w:p w14:paraId="2CCD9F37"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Tiempo de Trabajo</w:t>
            </w:r>
          </w:p>
        </w:tc>
        <w:tc>
          <w:tcPr>
            <w:tcW w:w="2255" w:type="dxa"/>
          </w:tcPr>
          <w:p w14:paraId="6761C22A"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Afonso et al. (2021)</w:t>
            </w:r>
          </w:p>
          <w:p w14:paraId="2C62C68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Nowacka et al. (2018)</w:t>
            </w:r>
          </w:p>
          <w:p w14:paraId="64664FBA" w14:textId="77777777" w:rsidR="008C6CDA" w:rsidRPr="00031DD8" w:rsidRDefault="008C6CDA" w:rsidP="00CC033D">
            <w:pPr>
              <w:rPr>
                <w:rFonts w:ascii="Times New Roman" w:eastAsia="Times New Roman" w:hAnsi="Times New Roman" w:cs="Times New Roman"/>
              </w:rPr>
            </w:pPr>
          </w:p>
        </w:tc>
        <w:tc>
          <w:tcPr>
            <w:tcW w:w="2255" w:type="dxa"/>
          </w:tcPr>
          <w:p w14:paraId="440D7EFE" w14:textId="77777777" w:rsidR="008C6CDA" w:rsidRPr="00031DD8" w:rsidRDefault="008C6CDA" w:rsidP="00CC033D">
            <w:pPr>
              <w:jc w:val="center"/>
              <w:rPr>
                <w:rFonts w:ascii="Times New Roman" w:eastAsia="Times New Roman" w:hAnsi="Times New Roman" w:cs="Times New Roman"/>
              </w:rPr>
            </w:pPr>
          </w:p>
          <w:p w14:paraId="54CDA9BE"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70F5C532"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Riesgo</w:t>
            </w:r>
          </w:p>
        </w:tc>
      </w:tr>
      <w:tr w:rsidR="008C6CDA" w:rsidRPr="00031DD8" w14:paraId="56E13E85" w14:textId="77777777" w:rsidTr="00CC033D">
        <w:tc>
          <w:tcPr>
            <w:tcW w:w="2254" w:type="dxa"/>
          </w:tcPr>
          <w:p w14:paraId="1B58B2EF"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Carga de Trabajo</w:t>
            </w:r>
          </w:p>
        </w:tc>
        <w:tc>
          <w:tcPr>
            <w:tcW w:w="2255" w:type="dxa"/>
          </w:tcPr>
          <w:p w14:paraId="34D53F0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Li et al. (2019)</w:t>
            </w:r>
          </w:p>
          <w:p w14:paraId="73DF14CD"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Paiva et al. (2018)</w:t>
            </w:r>
          </w:p>
          <w:p w14:paraId="502DFDF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Zhang et al. (2019)</w:t>
            </w:r>
          </w:p>
          <w:p w14:paraId="0F742853" w14:textId="77777777" w:rsidR="008C6CDA" w:rsidRPr="00031DD8" w:rsidRDefault="008C6CDA" w:rsidP="00CC033D">
            <w:pPr>
              <w:rPr>
                <w:rFonts w:ascii="Times New Roman" w:eastAsia="Times New Roman" w:hAnsi="Times New Roman" w:cs="Times New Roman"/>
              </w:rPr>
            </w:pPr>
          </w:p>
        </w:tc>
        <w:tc>
          <w:tcPr>
            <w:tcW w:w="2255" w:type="dxa"/>
          </w:tcPr>
          <w:p w14:paraId="763BB1D8" w14:textId="77777777" w:rsidR="008C6CDA" w:rsidRPr="00031DD8" w:rsidRDefault="008C6CDA" w:rsidP="00CC033D">
            <w:pPr>
              <w:jc w:val="center"/>
              <w:rPr>
                <w:rFonts w:ascii="Times New Roman" w:eastAsia="Times New Roman" w:hAnsi="Times New Roman" w:cs="Times New Roman"/>
              </w:rPr>
            </w:pPr>
          </w:p>
          <w:p w14:paraId="6B22A66C"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2B578049"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Riesgo</w:t>
            </w:r>
          </w:p>
        </w:tc>
      </w:tr>
      <w:tr w:rsidR="008C6CDA" w:rsidRPr="00031DD8" w14:paraId="16B0F12E" w14:textId="77777777" w:rsidTr="00CC033D">
        <w:tc>
          <w:tcPr>
            <w:tcW w:w="2254" w:type="dxa"/>
          </w:tcPr>
          <w:p w14:paraId="1A285188"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Ambiente Laboral</w:t>
            </w:r>
          </w:p>
        </w:tc>
        <w:tc>
          <w:tcPr>
            <w:tcW w:w="2255" w:type="dxa"/>
          </w:tcPr>
          <w:p w14:paraId="17CC8063"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1B660F5D"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Zhang et al. (2019)</w:t>
            </w:r>
          </w:p>
          <w:p w14:paraId="35681B82"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Gan et al. (2019)</w:t>
            </w:r>
          </w:p>
          <w:p w14:paraId="75F410F5" w14:textId="77777777" w:rsidR="008C6CDA" w:rsidRPr="00031DD8" w:rsidRDefault="008C6CDA" w:rsidP="00CC033D">
            <w:pPr>
              <w:rPr>
                <w:rFonts w:ascii="Times New Roman" w:eastAsia="Times New Roman" w:hAnsi="Times New Roman" w:cs="Times New Roman"/>
              </w:rPr>
            </w:pPr>
          </w:p>
        </w:tc>
        <w:tc>
          <w:tcPr>
            <w:tcW w:w="2255" w:type="dxa"/>
          </w:tcPr>
          <w:p w14:paraId="2F3B72D4"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Protección</w:t>
            </w:r>
          </w:p>
        </w:tc>
      </w:tr>
      <w:tr w:rsidR="008C6CDA" w:rsidRPr="00031DD8" w14:paraId="4450B96D" w14:textId="77777777" w:rsidTr="00CC033D">
        <w:tc>
          <w:tcPr>
            <w:tcW w:w="2254" w:type="dxa"/>
          </w:tcPr>
          <w:p w14:paraId="1D21341A"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Satisfacción Laboral</w:t>
            </w:r>
          </w:p>
        </w:tc>
        <w:tc>
          <w:tcPr>
            <w:tcW w:w="2255" w:type="dxa"/>
          </w:tcPr>
          <w:p w14:paraId="1DD87A60"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Gan et al. (2019)</w:t>
            </w:r>
          </w:p>
          <w:p w14:paraId="14DB7FCE"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Iyer et al. (2022)</w:t>
            </w:r>
          </w:p>
          <w:p w14:paraId="43C2CDE3"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Merces et al. (2020)</w:t>
            </w:r>
          </w:p>
          <w:p w14:paraId="23616551"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Merino-Plaza et al. (2019)</w:t>
            </w:r>
          </w:p>
          <w:p w14:paraId="6A78A4D2"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Zhang et al. (2019)</w:t>
            </w:r>
          </w:p>
          <w:p w14:paraId="315808AC" w14:textId="77777777" w:rsidR="008C6CDA" w:rsidRPr="00031DD8" w:rsidRDefault="008C6CDA" w:rsidP="00CC033D">
            <w:pPr>
              <w:rPr>
                <w:rFonts w:ascii="Times New Roman" w:eastAsia="Times New Roman" w:hAnsi="Times New Roman" w:cs="Times New Roman"/>
              </w:rPr>
            </w:pPr>
          </w:p>
        </w:tc>
        <w:tc>
          <w:tcPr>
            <w:tcW w:w="2255" w:type="dxa"/>
          </w:tcPr>
          <w:p w14:paraId="1951760B" w14:textId="77777777" w:rsidR="008C6CDA" w:rsidRPr="00031DD8" w:rsidRDefault="008C6CDA" w:rsidP="00CC033D">
            <w:pPr>
              <w:rPr>
                <w:rFonts w:ascii="Times New Roman" w:eastAsia="Times New Roman" w:hAnsi="Times New Roman" w:cs="Times New Roman"/>
              </w:rPr>
            </w:pPr>
          </w:p>
          <w:p w14:paraId="652A4961" w14:textId="77777777" w:rsidR="008C6CDA" w:rsidRPr="00031DD8" w:rsidRDefault="008C6CDA" w:rsidP="00CC033D">
            <w:pPr>
              <w:rPr>
                <w:rFonts w:ascii="Times New Roman" w:eastAsia="Times New Roman" w:hAnsi="Times New Roman" w:cs="Times New Roman"/>
              </w:rPr>
            </w:pPr>
          </w:p>
          <w:p w14:paraId="224DEFB9" w14:textId="77777777" w:rsidR="008C6CDA" w:rsidRPr="00031DD8" w:rsidRDefault="008C6CDA" w:rsidP="00CC033D">
            <w:pPr>
              <w:jc w:val="center"/>
              <w:rPr>
                <w:rFonts w:ascii="Times New Roman" w:eastAsia="Times New Roman" w:hAnsi="Times New Roman" w:cs="Times New Roman"/>
              </w:rPr>
            </w:pPr>
            <w:r w:rsidRPr="00031DD8">
              <w:rPr>
                <w:rFonts w:ascii="Times New Roman" w:eastAsia="Times New Roman" w:hAnsi="Times New Roman" w:cs="Times New Roman"/>
              </w:rPr>
              <w:t>-</w:t>
            </w:r>
          </w:p>
        </w:tc>
        <w:tc>
          <w:tcPr>
            <w:tcW w:w="2255" w:type="dxa"/>
          </w:tcPr>
          <w:p w14:paraId="22F24BC0"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rPr>
              <w:t>Riesgo</w:t>
            </w:r>
          </w:p>
        </w:tc>
      </w:tr>
      <w:tr w:rsidR="008C6CDA" w:rsidRPr="00031DD8" w14:paraId="778BE61A" w14:textId="77777777" w:rsidTr="00CC033D">
        <w:trPr>
          <w:cnfStyle w:val="010000000000" w:firstRow="0" w:lastRow="1" w:firstColumn="0" w:lastColumn="0" w:oddVBand="0" w:evenVBand="0" w:oddHBand="0" w:evenHBand="0" w:firstRowFirstColumn="0" w:firstRowLastColumn="0" w:lastRowFirstColumn="0" w:lastRowLastColumn="0"/>
        </w:trPr>
        <w:tc>
          <w:tcPr>
            <w:tcW w:w="2254" w:type="dxa"/>
          </w:tcPr>
          <w:p w14:paraId="67E658AC" w14:textId="77777777" w:rsidR="008C6CDA" w:rsidRPr="00031DD8" w:rsidRDefault="008C6CDA" w:rsidP="00CC033D">
            <w:pP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N.º de Médicos (Recursos)</w:t>
            </w:r>
          </w:p>
        </w:tc>
        <w:tc>
          <w:tcPr>
            <w:tcW w:w="2255" w:type="dxa"/>
          </w:tcPr>
          <w:p w14:paraId="0AE4A2AB" w14:textId="77777777" w:rsidR="008C6CDA" w:rsidRPr="00031DD8" w:rsidRDefault="008C6CDA" w:rsidP="00CC033D">
            <w:pPr>
              <w:rPr>
                <w:rFonts w:ascii="Times New Roman" w:eastAsia="Times New Roman" w:hAnsi="Times New Roman" w:cs="Times New Roman"/>
              </w:rPr>
            </w:pPr>
          </w:p>
          <w:p w14:paraId="004127FB" w14:textId="77777777" w:rsidR="008C6CDA" w:rsidRPr="00031DD8" w:rsidRDefault="008C6CDA" w:rsidP="00CC033D">
            <w:pPr>
              <w:jc w:val="cente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w:t>
            </w:r>
          </w:p>
        </w:tc>
        <w:tc>
          <w:tcPr>
            <w:tcW w:w="2255" w:type="dxa"/>
          </w:tcPr>
          <w:p w14:paraId="5EA781F4" w14:textId="77777777" w:rsidR="008C6CDA" w:rsidRPr="00031DD8" w:rsidRDefault="008C6CDA" w:rsidP="00CC033D">
            <w:pPr>
              <w:rPr>
                <w:rFonts w:ascii="Times New Roman" w:eastAsia="Times New Roman" w:hAnsi="Times New Roman" w:cs="Times New Roman"/>
              </w:rPr>
            </w:pPr>
            <w:r w:rsidRPr="00031DD8">
              <w:rPr>
                <w:rFonts w:ascii="Times New Roman" w:eastAsia="Times New Roman" w:hAnsi="Times New Roman" w:cs="Times New Roman"/>
                <w:b w:val="0"/>
                <w:bCs w:val="0"/>
              </w:rPr>
              <w:t>De Marchis et al. (2019)</w:t>
            </w:r>
          </w:p>
          <w:p w14:paraId="5B314934" w14:textId="77777777" w:rsidR="008C6CDA" w:rsidRPr="00031DD8" w:rsidRDefault="008C6CDA" w:rsidP="00CC033D">
            <w:pP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Hain et al. (2021)</w:t>
            </w:r>
          </w:p>
        </w:tc>
        <w:tc>
          <w:tcPr>
            <w:tcW w:w="2255" w:type="dxa"/>
          </w:tcPr>
          <w:p w14:paraId="0CD236C5" w14:textId="77777777" w:rsidR="008C6CDA" w:rsidRPr="00031DD8" w:rsidRDefault="008C6CDA" w:rsidP="00CC033D">
            <w:pPr>
              <w:rPr>
                <w:rFonts w:ascii="Times New Roman" w:eastAsia="Times New Roman" w:hAnsi="Times New Roman" w:cs="Times New Roman"/>
                <w:b w:val="0"/>
                <w:bCs w:val="0"/>
              </w:rPr>
            </w:pPr>
            <w:r w:rsidRPr="00031DD8">
              <w:rPr>
                <w:rFonts w:ascii="Times New Roman" w:eastAsia="Times New Roman" w:hAnsi="Times New Roman" w:cs="Times New Roman"/>
                <w:b w:val="0"/>
                <w:bCs w:val="0"/>
              </w:rPr>
              <w:t>Protección</w:t>
            </w:r>
          </w:p>
        </w:tc>
      </w:tr>
    </w:tbl>
    <w:p w14:paraId="16F42B8C" w14:textId="77777777" w:rsidR="008C6CDA" w:rsidRPr="004B697B" w:rsidRDefault="008C6CDA" w:rsidP="008C6CDA">
      <w:pPr>
        <w:spacing w:line="480" w:lineRule="auto"/>
        <w:ind w:firstLine="720"/>
        <w:rPr>
          <w:rFonts w:ascii="Times New Roman" w:eastAsia="Times New Roman" w:hAnsi="Times New Roman" w:cs="Times New Roman"/>
          <w:color w:val="000000" w:themeColor="text1"/>
          <w:sz w:val="24"/>
          <w:szCs w:val="24"/>
        </w:rPr>
      </w:pPr>
    </w:p>
    <w:p w14:paraId="1FD145EF" w14:textId="4ED39343" w:rsidR="0001662A" w:rsidRPr="00360AA1" w:rsidRDefault="001B33CB" w:rsidP="00222A87">
      <w:pPr>
        <w:spacing w:line="480" w:lineRule="auto"/>
        <w:ind w:firstLine="720"/>
        <w:rPr>
          <w:rFonts w:ascii="Times New Roman" w:eastAsia="Times New Roman" w:hAnsi="Times New Roman" w:cs="Times New Roman"/>
          <w:sz w:val="24"/>
          <w:szCs w:val="24"/>
        </w:rPr>
      </w:pPr>
      <w:r w:rsidRPr="004B697B">
        <w:rPr>
          <w:rFonts w:ascii="Times New Roman" w:eastAsia="Times New Roman" w:hAnsi="Times New Roman" w:cs="Times New Roman"/>
          <w:color w:val="000000" w:themeColor="text1"/>
          <w:sz w:val="24"/>
          <w:szCs w:val="24"/>
        </w:rPr>
        <w:lastRenderedPageBreak/>
        <w:t xml:space="preserve">El primero factor que encontramos es pertenecer </w:t>
      </w:r>
      <w:r w:rsidRPr="004B697B">
        <w:rPr>
          <w:rFonts w:ascii="Times New Roman" w:eastAsia="Times New Roman" w:hAnsi="Times New Roman" w:cs="Times New Roman"/>
          <w:sz w:val="24"/>
          <w:szCs w:val="24"/>
        </w:rPr>
        <w:t xml:space="preserve">al sexo femenino (Castañeda-Aguilera et al., 2020; Elay et al., 2019; Hain et al., 2020; Zétola et al., 2019; y Faivre et al., 2019. También encontramos como factor común tener menos de 40 años de edad. El siguiente factor es la presencia de una pareja estable, persona en la que pueden confiar en su vida personal y </w:t>
      </w:r>
      <w:r w:rsidR="00772C33" w:rsidRPr="004B697B">
        <w:rPr>
          <w:rFonts w:ascii="Times New Roman" w:eastAsia="Times New Roman" w:hAnsi="Times New Roman" w:cs="Times New Roman"/>
          <w:sz w:val="24"/>
          <w:szCs w:val="24"/>
        </w:rPr>
        <w:t xml:space="preserve">que </w:t>
      </w:r>
      <w:r w:rsidRPr="004B697B">
        <w:rPr>
          <w:rFonts w:ascii="Times New Roman" w:eastAsia="Times New Roman" w:hAnsi="Times New Roman" w:cs="Times New Roman"/>
          <w:sz w:val="24"/>
          <w:szCs w:val="24"/>
        </w:rPr>
        <w:t>les ayuda a lidiar con las desavenencias de su día a día Castañeda-Aguilera et al., 2020; Lee et al., 2020; Zarei et al., 2019; y Zétola et al., 2023. Así mismo, otro factor común es tener apoyo en el trabajo</w:t>
      </w:r>
      <w:r w:rsidR="00CC4C86" w:rsidRPr="004B697B">
        <w:rPr>
          <w:rFonts w:ascii="Times New Roman" w:eastAsia="Times New Roman" w:hAnsi="Times New Roman" w:cs="Times New Roman"/>
          <w:sz w:val="24"/>
          <w:szCs w:val="24"/>
        </w:rPr>
        <w:t>,</w:t>
      </w:r>
      <w:r w:rsidRPr="004B697B">
        <w:rPr>
          <w:rFonts w:ascii="Times New Roman" w:eastAsia="Times New Roman" w:hAnsi="Times New Roman" w:cs="Times New Roman"/>
          <w:sz w:val="24"/>
          <w:szCs w:val="24"/>
        </w:rPr>
        <w:t xml:space="preserve"> </w:t>
      </w:r>
      <w:r w:rsidR="00CC4C86" w:rsidRPr="004B697B">
        <w:rPr>
          <w:rFonts w:ascii="Times New Roman" w:eastAsia="Times New Roman" w:hAnsi="Times New Roman" w:cs="Times New Roman"/>
          <w:sz w:val="24"/>
          <w:szCs w:val="24"/>
        </w:rPr>
        <w:t>es decir</w:t>
      </w:r>
      <w:r w:rsidRPr="004B697B">
        <w:rPr>
          <w:rFonts w:ascii="Times New Roman" w:eastAsia="Times New Roman" w:hAnsi="Times New Roman" w:cs="Times New Roman"/>
          <w:sz w:val="24"/>
          <w:szCs w:val="24"/>
        </w:rPr>
        <w:t>, la persona tiene un referente/es o apoyo/s en al ámbito laboral (Afonso et al., 2021; y Li et al., 2019). Otro factor que se encuentra en los artículos</w:t>
      </w:r>
      <w:r w:rsidRPr="004B697B">
        <w:rPr>
          <w:rFonts w:ascii="Times New Roman" w:eastAsia="Times New Roman" w:hAnsi="Times New Roman" w:cs="Times New Roman"/>
          <w:color w:val="FF0000"/>
          <w:sz w:val="24"/>
          <w:szCs w:val="24"/>
        </w:rPr>
        <w:t xml:space="preserve"> </w:t>
      </w:r>
      <w:r w:rsidRPr="004B697B">
        <w:rPr>
          <w:rFonts w:ascii="Times New Roman" w:eastAsia="Times New Roman" w:hAnsi="Times New Roman" w:cs="Times New Roman"/>
          <w:sz w:val="24"/>
          <w:szCs w:val="24"/>
        </w:rPr>
        <w:t>es el tiempo de trabajo, que se mide en la cantidad de horas (horario laboral) que trabaja el sanitario (</w:t>
      </w:r>
      <w:r w:rsidRPr="004B697B">
        <w:rPr>
          <w:rFonts w:ascii="Times New Roman" w:eastAsia="Times New Roman" w:hAnsi="Times New Roman" w:cs="Times New Roman"/>
          <w:color w:val="000000" w:themeColor="text1"/>
          <w:sz w:val="24"/>
          <w:szCs w:val="24"/>
        </w:rPr>
        <w:t>Afonso et al., 202</w:t>
      </w:r>
      <w:r w:rsidR="003801C3" w:rsidRPr="004B697B">
        <w:rPr>
          <w:rFonts w:ascii="Times New Roman" w:eastAsia="Times New Roman" w:hAnsi="Times New Roman" w:cs="Times New Roman"/>
          <w:color w:val="000000" w:themeColor="text1"/>
          <w:sz w:val="24"/>
          <w:szCs w:val="24"/>
        </w:rPr>
        <w:t>1</w:t>
      </w:r>
      <w:r w:rsidRPr="004B697B">
        <w:rPr>
          <w:rFonts w:ascii="Times New Roman" w:eastAsia="Times New Roman" w:hAnsi="Times New Roman" w:cs="Times New Roman"/>
          <w:sz w:val="24"/>
          <w:szCs w:val="24"/>
        </w:rPr>
        <w:t xml:space="preserve">; y Nowacka et al., 2018). Un factor parecido es la carga de trabajo, que se entiende como la cantidad de funciones y obligaciones que cumplen los profesionales en su jornada laboral (Li et al., 2019; Paiva et al., 2018; y Zhang et al., 2019). Otro factor común es el ambiente laboral, que es la </w:t>
      </w:r>
      <w:r w:rsidRPr="004B697B">
        <w:rPr>
          <w:rFonts w:asciiTheme="majorBidi" w:hAnsiTheme="majorBidi" w:cstheme="majorBidi"/>
          <w:color w:val="040C28"/>
          <w:sz w:val="24"/>
          <w:szCs w:val="24"/>
        </w:rPr>
        <w:t>percepción de los sanitarios respecto a la calidad de su experiencia (sobre todo</w:t>
      </w:r>
      <w:r w:rsidR="003801C3" w:rsidRPr="004B697B">
        <w:rPr>
          <w:rFonts w:asciiTheme="majorBidi" w:hAnsiTheme="majorBidi" w:cstheme="majorBidi"/>
          <w:color w:val="040C28"/>
          <w:sz w:val="24"/>
          <w:szCs w:val="24"/>
        </w:rPr>
        <w:t>,</w:t>
      </w:r>
      <w:r w:rsidRPr="004B697B">
        <w:rPr>
          <w:rFonts w:asciiTheme="majorBidi" w:hAnsiTheme="majorBidi" w:cstheme="majorBidi"/>
          <w:color w:val="040C28"/>
          <w:sz w:val="24"/>
          <w:szCs w:val="24"/>
        </w:rPr>
        <w:t xml:space="preserve"> </w:t>
      </w:r>
      <w:r w:rsidR="003801C3" w:rsidRPr="004B697B">
        <w:rPr>
          <w:rFonts w:asciiTheme="majorBidi" w:hAnsiTheme="majorBidi" w:cstheme="majorBidi"/>
          <w:color w:val="040C28"/>
          <w:sz w:val="24"/>
          <w:szCs w:val="24"/>
        </w:rPr>
        <w:t xml:space="preserve">respecto </w:t>
      </w:r>
      <w:r w:rsidRPr="004B697B">
        <w:rPr>
          <w:rFonts w:asciiTheme="majorBidi" w:hAnsiTheme="majorBidi" w:cstheme="majorBidi"/>
          <w:color w:val="040C28"/>
          <w:sz w:val="24"/>
          <w:szCs w:val="24"/>
        </w:rPr>
        <w:t>a las relaciones con sus compañeros) en su lugar de trabajo (</w:t>
      </w:r>
      <w:r w:rsidRPr="004B697B">
        <w:rPr>
          <w:rFonts w:ascii="Times New Roman" w:eastAsia="Times New Roman" w:hAnsi="Times New Roman" w:cs="Times New Roman"/>
          <w:sz w:val="24"/>
          <w:szCs w:val="24"/>
        </w:rPr>
        <w:t>Zhang et al., 2019; y Gan et al., 2019)</w:t>
      </w:r>
      <w:r w:rsidRPr="004B697B">
        <w:rPr>
          <w:rFonts w:asciiTheme="majorBidi" w:hAnsiTheme="majorBidi" w:cstheme="majorBidi"/>
          <w:color w:val="040C28"/>
          <w:sz w:val="24"/>
          <w:szCs w:val="24"/>
        </w:rPr>
        <w:t>. El siguiente factor común es el grado de satisfacción que sienten los profesionales por su trabajo y desempeño laboral (</w:t>
      </w:r>
      <w:r w:rsidRPr="004B697B">
        <w:rPr>
          <w:rFonts w:ascii="Times New Roman" w:eastAsia="Times New Roman" w:hAnsi="Times New Roman" w:cs="Times New Roman"/>
          <w:sz w:val="24"/>
          <w:szCs w:val="24"/>
        </w:rPr>
        <w:t xml:space="preserve">Gan et al., 2019; Iyer et al., 2022; Merces et al., 2020; Merino-Plaza et al., 2019; y Zhang et al., 2019). </w:t>
      </w:r>
      <w:r w:rsidRPr="004B697B">
        <w:rPr>
          <w:rFonts w:asciiTheme="majorBidi" w:hAnsiTheme="majorBidi" w:cstheme="majorBidi"/>
          <w:color w:val="040C28"/>
          <w:sz w:val="24"/>
          <w:szCs w:val="24"/>
        </w:rPr>
        <w:t>Por último, observamos el factor del número de médicos, que se refiere a que hay suficientes recursos, es decir</w:t>
      </w:r>
      <w:r w:rsidR="001774F4" w:rsidRPr="004B697B">
        <w:rPr>
          <w:rFonts w:asciiTheme="majorBidi" w:hAnsiTheme="majorBidi" w:cstheme="majorBidi"/>
          <w:color w:val="040C28"/>
          <w:sz w:val="24"/>
          <w:szCs w:val="24"/>
        </w:rPr>
        <w:t>,</w:t>
      </w:r>
      <w:r w:rsidRPr="004B697B">
        <w:rPr>
          <w:rFonts w:asciiTheme="majorBidi" w:hAnsiTheme="majorBidi" w:cstheme="majorBidi"/>
          <w:color w:val="040C28"/>
          <w:sz w:val="24"/>
          <w:szCs w:val="24"/>
        </w:rPr>
        <w:t xml:space="preserve"> un completo equipo de sanitarios para hacer frente a las demandas de la jornada laboral (</w:t>
      </w:r>
      <w:r w:rsidRPr="004B697B">
        <w:rPr>
          <w:rFonts w:ascii="Times New Roman" w:eastAsia="Times New Roman" w:hAnsi="Times New Roman" w:cs="Times New Roman"/>
          <w:sz w:val="24"/>
          <w:szCs w:val="24"/>
        </w:rPr>
        <w:t xml:space="preserve">De Marchis et al., 2019; Hain et al., 2021). </w:t>
      </w:r>
    </w:p>
    <w:p w14:paraId="464A1CD4" w14:textId="2DE953A0" w:rsidR="001B33CB" w:rsidRPr="004B697B" w:rsidRDefault="001B33CB" w:rsidP="004B697B">
      <w:pPr>
        <w:spacing w:line="480" w:lineRule="auto"/>
        <w:ind w:firstLine="720"/>
        <w:rPr>
          <w:rFonts w:ascii="Times New Roman" w:eastAsia="Times New Roman" w:hAnsi="Times New Roman" w:cs="Times New Roman"/>
          <w:color w:val="000000" w:themeColor="text1"/>
          <w:sz w:val="24"/>
          <w:szCs w:val="24"/>
        </w:rPr>
      </w:pPr>
      <w:r w:rsidRPr="004B697B">
        <w:rPr>
          <w:rFonts w:ascii="Times New Roman" w:eastAsia="Times New Roman" w:hAnsi="Times New Roman" w:cs="Times New Roman"/>
          <w:color w:val="000000" w:themeColor="text1"/>
          <w:sz w:val="24"/>
          <w:szCs w:val="24"/>
        </w:rPr>
        <w:t>Del conjunto de estudios</w:t>
      </w:r>
      <w:r w:rsidR="001774F4" w:rsidRPr="004B697B">
        <w:rPr>
          <w:rFonts w:ascii="Times New Roman" w:eastAsia="Times New Roman" w:hAnsi="Times New Roman" w:cs="Times New Roman"/>
          <w:color w:val="000000" w:themeColor="text1"/>
          <w:sz w:val="24"/>
          <w:szCs w:val="24"/>
        </w:rPr>
        <w:t>,</w:t>
      </w:r>
      <w:r w:rsidRPr="004B697B">
        <w:rPr>
          <w:rFonts w:ascii="Times New Roman" w:eastAsia="Times New Roman" w:hAnsi="Times New Roman" w:cs="Times New Roman"/>
          <w:color w:val="000000" w:themeColor="text1"/>
          <w:sz w:val="24"/>
          <w:szCs w:val="24"/>
        </w:rPr>
        <w:t xml:space="preserve"> un 33% identifica el hecho de ser mujer como un factor de riesgo para desarrollar síndrome de burnout. Además, un 33% de los estudios también señalan que </w:t>
      </w:r>
      <w:r w:rsidR="00997511" w:rsidRPr="004B697B">
        <w:rPr>
          <w:rFonts w:ascii="Times New Roman" w:eastAsia="Times New Roman" w:hAnsi="Times New Roman" w:cs="Times New Roman"/>
          <w:color w:val="000000" w:themeColor="text1"/>
          <w:sz w:val="24"/>
          <w:szCs w:val="24"/>
        </w:rPr>
        <w:t>los sanitarios con una edad menor a 40 años tienen</w:t>
      </w:r>
      <w:r w:rsidRPr="004B697B">
        <w:rPr>
          <w:rFonts w:ascii="Times New Roman" w:eastAsia="Times New Roman" w:hAnsi="Times New Roman" w:cs="Times New Roman"/>
          <w:color w:val="000000" w:themeColor="text1"/>
          <w:sz w:val="24"/>
          <w:szCs w:val="24"/>
        </w:rPr>
        <w:t xml:space="preserve"> mayor riesgo de padecer burnout. Se identifica a su vez una correlación positiva entre la carga de trabajo y el burnout </w:t>
      </w:r>
      <w:r w:rsidRPr="004B697B">
        <w:rPr>
          <w:rFonts w:ascii="Times New Roman" w:eastAsia="Times New Roman" w:hAnsi="Times New Roman" w:cs="Times New Roman"/>
          <w:color w:val="000000" w:themeColor="text1"/>
          <w:sz w:val="24"/>
          <w:szCs w:val="24"/>
        </w:rPr>
        <w:lastRenderedPageBreak/>
        <w:t xml:space="preserve">en un 22% del conjunto de estudios, además de la asociación positiva del tiempo de trabajo y el desarrollo del síndrome en un 11% de los estudios. </w:t>
      </w:r>
    </w:p>
    <w:p w14:paraId="02933F65" w14:textId="60FED29D" w:rsidR="001B33CB" w:rsidRPr="004B697B" w:rsidRDefault="001B33CB" w:rsidP="006037D6">
      <w:pPr>
        <w:spacing w:line="480" w:lineRule="auto"/>
        <w:ind w:firstLine="720"/>
        <w:rPr>
          <w:rFonts w:ascii="Times New Roman" w:eastAsia="Times New Roman" w:hAnsi="Times New Roman" w:cs="Times New Roman"/>
          <w:bCs/>
          <w:i/>
          <w:iCs/>
          <w:color w:val="000000" w:themeColor="text1"/>
          <w:sz w:val="24"/>
          <w:szCs w:val="24"/>
        </w:rPr>
      </w:pPr>
      <w:r w:rsidRPr="004B697B">
        <w:rPr>
          <w:rFonts w:ascii="Times New Roman" w:eastAsia="Times New Roman" w:hAnsi="Times New Roman" w:cs="Times New Roman"/>
          <w:color w:val="000000" w:themeColor="text1"/>
          <w:sz w:val="24"/>
          <w:szCs w:val="24"/>
        </w:rPr>
        <w:t>Sin embargo, no solo encontramos factores de riesgo,</w:t>
      </w:r>
      <w:r w:rsidR="00C47AAC">
        <w:rPr>
          <w:rFonts w:ascii="Times New Roman" w:eastAsia="Times New Roman" w:hAnsi="Times New Roman" w:cs="Times New Roman"/>
          <w:color w:val="000000" w:themeColor="text1"/>
          <w:sz w:val="24"/>
          <w:szCs w:val="24"/>
        </w:rPr>
        <w:t xml:space="preserve"> en un 28% las personas que presentan una mayor satisfacción laboral reducen la probabilidad de desarrollar sindrome de burnout,  </w:t>
      </w:r>
      <w:r w:rsidRPr="004B697B">
        <w:rPr>
          <w:rFonts w:ascii="Times New Roman" w:eastAsia="Times New Roman" w:hAnsi="Times New Roman" w:cs="Times New Roman"/>
          <w:color w:val="000000" w:themeColor="text1"/>
          <w:sz w:val="24"/>
          <w:szCs w:val="24"/>
        </w:rPr>
        <w:t xml:space="preserve">un 33% encuentra que los sujetos con una pareja estable tienen menos probabilidad de padecer burnout, al igual que un 11% indica que un buen ambiente laboral se correlaciona negativamente con el desarrollo del burnout, encontrándose también una asociación negativa entre el número de médicos disponibles (recursos) y el burnout en un 33% del conjunto de estudios. </w:t>
      </w:r>
    </w:p>
    <w:p w14:paraId="7260A9B8" w14:textId="742E7B51" w:rsidR="001B33CB" w:rsidRPr="004B697B" w:rsidRDefault="00CC033D" w:rsidP="00CC033D">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1B33CB" w:rsidRPr="004B697B">
        <w:rPr>
          <w:rFonts w:ascii="Times New Roman" w:eastAsia="Times New Roman" w:hAnsi="Times New Roman" w:cs="Times New Roman"/>
          <w:sz w:val="24"/>
          <w:szCs w:val="24"/>
        </w:rPr>
        <w:t xml:space="preserve">En la tabla 4 se muestra una selección de factores de riesgo que consideramos especialmente relevantes debido al elevado tamaño muestral de los artículos en los que se analizan. </w:t>
      </w:r>
      <w:r w:rsidR="00842CAC" w:rsidRPr="004B697B">
        <w:rPr>
          <w:rFonts w:ascii="Times New Roman" w:eastAsia="Times New Roman" w:hAnsi="Times New Roman" w:cs="Times New Roman"/>
          <w:sz w:val="24"/>
          <w:szCs w:val="24"/>
        </w:rPr>
        <w:t xml:space="preserve">En el </w:t>
      </w:r>
      <w:r w:rsidR="001B33CB" w:rsidRPr="004B697B">
        <w:rPr>
          <w:rFonts w:ascii="Times New Roman" w:eastAsia="Times New Roman" w:hAnsi="Times New Roman" w:cs="Times New Roman"/>
          <w:sz w:val="24"/>
          <w:szCs w:val="24"/>
        </w:rPr>
        <w:t>conjunto de estudios se observa que hay más probabilidades de padecer burnout con los factores de riesgo</w:t>
      </w:r>
      <w:r w:rsidR="00842CAC" w:rsidRPr="004B697B">
        <w:rPr>
          <w:rFonts w:ascii="Times New Roman" w:eastAsia="Times New Roman" w:hAnsi="Times New Roman" w:cs="Times New Roman"/>
          <w:sz w:val="24"/>
          <w:szCs w:val="24"/>
        </w:rPr>
        <w:t xml:space="preserve"> siguientes</w:t>
      </w:r>
      <w:r w:rsidR="001B33CB" w:rsidRPr="004B697B">
        <w:rPr>
          <w:rFonts w:ascii="Times New Roman" w:eastAsia="Times New Roman" w:hAnsi="Times New Roman" w:cs="Times New Roman"/>
          <w:sz w:val="24"/>
          <w:szCs w:val="24"/>
        </w:rPr>
        <w:t xml:space="preserve">: turnos en días alternos; </w:t>
      </w:r>
      <w:r w:rsidR="00C02B95" w:rsidRPr="004B697B">
        <w:rPr>
          <w:rFonts w:ascii="Times New Roman" w:eastAsia="Times New Roman" w:hAnsi="Times New Roman" w:cs="Times New Roman"/>
          <w:sz w:val="24"/>
          <w:szCs w:val="24"/>
        </w:rPr>
        <w:t>t</w:t>
      </w:r>
      <w:r w:rsidR="001B33CB" w:rsidRPr="004B697B">
        <w:rPr>
          <w:rFonts w:ascii="Times New Roman" w:eastAsia="Times New Roman" w:hAnsi="Times New Roman" w:cs="Times New Roman"/>
          <w:sz w:val="24"/>
          <w:szCs w:val="24"/>
        </w:rPr>
        <w:t xml:space="preserve">rabajar con pacientes al final de la vida; lugar de residencia </w:t>
      </w:r>
      <w:r w:rsidR="001B33CB" w:rsidRPr="004B697B">
        <w:rPr>
          <w:rFonts w:asciiTheme="majorBidi" w:hAnsiTheme="majorBidi" w:cstheme="majorBidi"/>
          <w:color w:val="000000"/>
          <w:sz w:val="24"/>
          <w:szCs w:val="24"/>
        </w:rPr>
        <w:t xml:space="preserve">(urbano o rural), siendo factor de riesgo vivir en una zona urbana; presencia </w:t>
      </w:r>
      <w:r w:rsidR="00911155" w:rsidRPr="004B697B">
        <w:rPr>
          <w:rFonts w:asciiTheme="majorBidi" w:hAnsiTheme="majorBidi" w:cstheme="majorBidi"/>
          <w:color w:val="000000"/>
          <w:sz w:val="24"/>
          <w:szCs w:val="24"/>
        </w:rPr>
        <w:t xml:space="preserve">o no </w:t>
      </w:r>
      <w:r w:rsidR="001B33CB" w:rsidRPr="004B697B">
        <w:rPr>
          <w:rFonts w:asciiTheme="majorBidi" w:hAnsiTheme="majorBidi" w:cstheme="majorBidi"/>
          <w:color w:val="000000"/>
          <w:sz w:val="24"/>
          <w:szCs w:val="24"/>
        </w:rPr>
        <w:t xml:space="preserve">de descansos; fumar tabaco y ausencia de actividad física. Asimismo, se identifica una menor probabilidad del desarrollo del síndrome </w:t>
      </w:r>
      <w:r w:rsidR="00911155" w:rsidRPr="004B697B">
        <w:rPr>
          <w:rFonts w:asciiTheme="majorBidi" w:hAnsiTheme="majorBidi" w:cstheme="majorBidi"/>
          <w:color w:val="000000"/>
          <w:sz w:val="24"/>
          <w:szCs w:val="24"/>
        </w:rPr>
        <w:t>co</w:t>
      </w:r>
      <w:r w:rsidR="001B33CB" w:rsidRPr="004B697B">
        <w:rPr>
          <w:rFonts w:asciiTheme="majorBidi" w:hAnsiTheme="majorBidi" w:cstheme="majorBidi"/>
          <w:color w:val="000000"/>
          <w:sz w:val="24"/>
          <w:szCs w:val="24"/>
        </w:rPr>
        <w:t xml:space="preserve">n los siguientes factores (protección): </w:t>
      </w:r>
      <w:r w:rsidR="001B33CB" w:rsidRPr="004B697B">
        <w:rPr>
          <w:rFonts w:ascii="Times New Roman" w:eastAsia="Times New Roman" w:hAnsi="Times New Roman" w:cs="Times New Roman"/>
          <w:sz w:val="24"/>
          <w:szCs w:val="24"/>
        </w:rPr>
        <w:t xml:space="preserve">presencia de un trabajador social en el hospital; trabajar en una clínica reconocida, que contará con más recursos y financiación; y tener autonomía en el trabajo, es decir, tener capacidad de toma de decisiones en tu puesto laboral. </w:t>
      </w:r>
    </w:p>
    <w:p w14:paraId="015BE94A" w14:textId="477ADE5F" w:rsidR="001B33CB" w:rsidRDefault="001B33CB" w:rsidP="004B697B">
      <w:pPr>
        <w:spacing w:line="480" w:lineRule="auto"/>
        <w:ind w:firstLine="720"/>
        <w:rPr>
          <w:rFonts w:ascii="Times New Roman" w:eastAsia="Times New Roman" w:hAnsi="Times New Roman" w:cs="Times New Roman"/>
          <w:sz w:val="24"/>
          <w:szCs w:val="24"/>
        </w:rPr>
      </w:pPr>
    </w:p>
    <w:p w14:paraId="4FB1C6EA" w14:textId="7228E821" w:rsidR="00031DD8" w:rsidRDefault="00031DD8" w:rsidP="004B697B">
      <w:pPr>
        <w:spacing w:line="480" w:lineRule="auto"/>
        <w:ind w:firstLine="720"/>
        <w:rPr>
          <w:rFonts w:ascii="Times New Roman" w:eastAsia="Times New Roman" w:hAnsi="Times New Roman" w:cs="Times New Roman"/>
          <w:sz w:val="24"/>
          <w:szCs w:val="24"/>
        </w:rPr>
      </w:pPr>
    </w:p>
    <w:p w14:paraId="265E3420" w14:textId="0702661A" w:rsidR="00031DD8" w:rsidRDefault="00031DD8" w:rsidP="004B697B">
      <w:pPr>
        <w:spacing w:line="480" w:lineRule="auto"/>
        <w:ind w:firstLine="720"/>
        <w:rPr>
          <w:rFonts w:ascii="Times New Roman" w:eastAsia="Times New Roman" w:hAnsi="Times New Roman" w:cs="Times New Roman"/>
          <w:sz w:val="24"/>
          <w:szCs w:val="24"/>
        </w:rPr>
      </w:pPr>
    </w:p>
    <w:p w14:paraId="0213A8F3" w14:textId="474519EA" w:rsidR="00031DD8" w:rsidRDefault="00031DD8" w:rsidP="004B697B">
      <w:pPr>
        <w:spacing w:line="480" w:lineRule="auto"/>
        <w:ind w:firstLine="720"/>
        <w:rPr>
          <w:rFonts w:ascii="Times New Roman" w:eastAsia="Times New Roman" w:hAnsi="Times New Roman" w:cs="Times New Roman"/>
          <w:sz w:val="24"/>
          <w:szCs w:val="24"/>
        </w:rPr>
      </w:pPr>
    </w:p>
    <w:p w14:paraId="41000339" w14:textId="38886AB0" w:rsidR="00031DD8" w:rsidRDefault="00031DD8" w:rsidP="004B697B">
      <w:pPr>
        <w:spacing w:line="480" w:lineRule="auto"/>
        <w:ind w:firstLine="720"/>
        <w:rPr>
          <w:rFonts w:ascii="Times New Roman" w:eastAsia="Times New Roman" w:hAnsi="Times New Roman" w:cs="Times New Roman"/>
          <w:sz w:val="24"/>
          <w:szCs w:val="24"/>
        </w:rPr>
      </w:pPr>
    </w:p>
    <w:p w14:paraId="6471B8A1" w14:textId="77777777" w:rsidR="00031DD8" w:rsidRPr="004B697B" w:rsidRDefault="00031DD8" w:rsidP="004B697B">
      <w:pPr>
        <w:spacing w:line="480" w:lineRule="auto"/>
        <w:ind w:firstLine="720"/>
        <w:rPr>
          <w:rFonts w:ascii="Times New Roman" w:eastAsia="Times New Roman" w:hAnsi="Times New Roman" w:cs="Times New Roman"/>
          <w:sz w:val="24"/>
          <w:szCs w:val="24"/>
        </w:rPr>
      </w:pPr>
    </w:p>
    <w:p w14:paraId="3E116FA9" w14:textId="77777777" w:rsidR="001B33CB" w:rsidRPr="004B697B" w:rsidRDefault="001B33CB" w:rsidP="004B697B">
      <w:pPr>
        <w:spacing w:line="480" w:lineRule="auto"/>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lastRenderedPageBreak/>
        <w:t>Tabla 4</w:t>
      </w:r>
    </w:p>
    <w:p w14:paraId="3DF56D94" w14:textId="77777777" w:rsidR="001B33CB" w:rsidRPr="004B697B" w:rsidRDefault="001B33CB" w:rsidP="004B697B">
      <w:pPr>
        <w:spacing w:line="480" w:lineRule="auto"/>
        <w:rPr>
          <w:rFonts w:ascii="Times New Roman" w:eastAsia="Times New Roman" w:hAnsi="Times New Roman" w:cs="Times New Roman"/>
          <w:bCs/>
          <w:i/>
          <w:iCs/>
          <w:color w:val="000000" w:themeColor="text1"/>
          <w:sz w:val="24"/>
          <w:szCs w:val="24"/>
        </w:rPr>
      </w:pPr>
      <w:r w:rsidRPr="004B697B">
        <w:rPr>
          <w:rFonts w:ascii="Times New Roman" w:eastAsia="Times New Roman" w:hAnsi="Times New Roman" w:cs="Times New Roman"/>
          <w:bCs/>
          <w:i/>
          <w:iCs/>
          <w:color w:val="000000" w:themeColor="text1"/>
          <w:sz w:val="24"/>
          <w:szCs w:val="24"/>
        </w:rPr>
        <w:t>Factores de riesgo del burnout específicos</w:t>
      </w:r>
    </w:p>
    <w:tbl>
      <w:tblPr>
        <w:tblStyle w:val="Tablanormal2"/>
        <w:tblW w:w="0" w:type="auto"/>
        <w:tblLook w:val="0660" w:firstRow="1" w:lastRow="1" w:firstColumn="0" w:lastColumn="0" w:noHBand="1" w:noVBand="1"/>
      </w:tblPr>
      <w:tblGrid>
        <w:gridCol w:w="2254"/>
        <w:gridCol w:w="2255"/>
        <w:gridCol w:w="2255"/>
        <w:gridCol w:w="2255"/>
      </w:tblGrid>
      <w:tr w:rsidR="001B33CB" w:rsidRPr="004B697B" w14:paraId="7341604D" w14:textId="77777777" w:rsidTr="004835C9">
        <w:trPr>
          <w:cnfStyle w:val="100000000000" w:firstRow="1" w:lastRow="0" w:firstColumn="0" w:lastColumn="0" w:oddVBand="0" w:evenVBand="0" w:oddHBand="0" w:evenHBand="0" w:firstRowFirstColumn="0" w:firstRowLastColumn="0" w:lastRowFirstColumn="0" w:lastRowLastColumn="0"/>
        </w:trPr>
        <w:tc>
          <w:tcPr>
            <w:tcW w:w="2254" w:type="dxa"/>
          </w:tcPr>
          <w:p w14:paraId="0B799B23" w14:textId="77777777" w:rsidR="001B33CB" w:rsidRPr="004B697B" w:rsidRDefault="001B33CB" w:rsidP="004B697B">
            <w:pPr>
              <w:spacing w:line="480" w:lineRule="auto"/>
              <w:rPr>
                <w:rFonts w:ascii="Times New Roman" w:eastAsia="Times New Roman" w:hAnsi="Times New Roman" w:cs="Times New Roman"/>
                <w:b w:val="0"/>
                <w:bCs w:val="0"/>
                <w:sz w:val="24"/>
                <w:szCs w:val="24"/>
              </w:rPr>
            </w:pPr>
            <w:bookmarkStart w:id="4" w:name="_Hlk133509817"/>
            <w:r w:rsidRPr="004B697B">
              <w:rPr>
                <w:rFonts w:ascii="Times New Roman" w:eastAsia="Times New Roman" w:hAnsi="Times New Roman" w:cs="Times New Roman"/>
                <w:b w:val="0"/>
                <w:bCs w:val="0"/>
                <w:sz w:val="24"/>
                <w:szCs w:val="24"/>
              </w:rPr>
              <w:t>Factores</w:t>
            </w:r>
          </w:p>
        </w:tc>
        <w:tc>
          <w:tcPr>
            <w:tcW w:w="2255" w:type="dxa"/>
          </w:tcPr>
          <w:p w14:paraId="5341556C" w14:textId="77777777" w:rsidR="001B33CB" w:rsidRPr="004B697B" w:rsidRDefault="001B33CB" w:rsidP="004B697B">
            <w:pPr>
              <w:spacing w:line="480" w:lineRule="auto"/>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Riesgo (+)</w:t>
            </w:r>
          </w:p>
        </w:tc>
        <w:tc>
          <w:tcPr>
            <w:tcW w:w="2255" w:type="dxa"/>
          </w:tcPr>
          <w:p w14:paraId="0C76E38F" w14:textId="77777777" w:rsidR="001B33CB" w:rsidRPr="004B697B" w:rsidRDefault="001B33CB" w:rsidP="004B697B">
            <w:pPr>
              <w:spacing w:line="480" w:lineRule="auto"/>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Protección (-)</w:t>
            </w:r>
          </w:p>
        </w:tc>
        <w:tc>
          <w:tcPr>
            <w:tcW w:w="2255" w:type="dxa"/>
          </w:tcPr>
          <w:p w14:paraId="480497D3" w14:textId="77777777" w:rsidR="001B33CB" w:rsidRPr="004B697B" w:rsidRDefault="001B33CB" w:rsidP="004B697B">
            <w:pPr>
              <w:spacing w:line="480" w:lineRule="auto"/>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Conclusiones</w:t>
            </w:r>
          </w:p>
        </w:tc>
      </w:tr>
      <w:tr w:rsidR="001B33CB" w:rsidRPr="004B697B" w14:paraId="06FDC156" w14:textId="77777777" w:rsidTr="004835C9">
        <w:tc>
          <w:tcPr>
            <w:tcW w:w="2254" w:type="dxa"/>
          </w:tcPr>
          <w:p w14:paraId="2E186455"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Presencia de un Trabajador Social</w:t>
            </w:r>
          </w:p>
          <w:p w14:paraId="78CDDC2E" w14:textId="77777777" w:rsidR="001B33CB" w:rsidRPr="004B697B" w:rsidRDefault="001B33CB" w:rsidP="004B697B">
            <w:pPr>
              <w:rPr>
                <w:rFonts w:ascii="Times New Roman" w:eastAsia="Times New Roman" w:hAnsi="Times New Roman" w:cs="Times New Roman"/>
                <w:sz w:val="24"/>
                <w:szCs w:val="24"/>
              </w:rPr>
            </w:pPr>
          </w:p>
        </w:tc>
        <w:tc>
          <w:tcPr>
            <w:tcW w:w="2255" w:type="dxa"/>
          </w:tcPr>
          <w:p w14:paraId="0C84BF9C"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5BB7708D"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De Marchis et al. (2019)</w:t>
            </w:r>
          </w:p>
        </w:tc>
        <w:tc>
          <w:tcPr>
            <w:tcW w:w="2255" w:type="dxa"/>
          </w:tcPr>
          <w:p w14:paraId="2765C9DC"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Protección</w:t>
            </w:r>
          </w:p>
        </w:tc>
      </w:tr>
      <w:tr w:rsidR="001B33CB" w:rsidRPr="004B697B" w14:paraId="0F3BC51E" w14:textId="77777777" w:rsidTr="004835C9">
        <w:tc>
          <w:tcPr>
            <w:tcW w:w="2254" w:type="dxa"/>
          </w:tcPr>
          <w:p w14:paraId="4FEEAD80"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Trabajar en una Clínica Reconocida</w:t>
            </w:r>
          </w:p>
          <w:p w14:paraId="1282D641" w14:textId="77777777" w:rsidR="001B33CB" w:rsidRPr="004B697B" w:rsidRDefault="001B33CB" w:rsidP="004B697B">
            <w:pPr>
              <w:rPr>
                <w:rFonts w:ascii="Times New Roman" w:eastAsia="Times New Roman" w:hAnsi="Times New Roman" w:cs="Times New Roman"/>
                <w:sz w:val="24"/>
                <w:szCs w:val="24"/>
              </w:rPr>
            </w:pPr>
          </w:p>
        </w:tc>
        <w:tc>
          <w:tcPr>
            <w:tcW w:w="2255" w:type="dxa"/>
          </w:tcPr>
          <w:p w14:paraId="40622B6B"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11287D5E"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De Marchis et al. (2019)</w:t>
            </w:r>
          </w:p>
        </w:tc>
        <w:tc>
          <w:tcPr>
            <w:tcW w:w="2255" w:type="dxa"/>
          </w:tcPr>
          <w:p w14:paraId="595E3C4A"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Protección </w:t>
            </w:r>
          </w:p>
        </w:tc>
      </w:tr>
      <w:tr w:rsidR="001B33CB" w:rsidRPr="004B697B" w14:paraId="41A693C9" w14:textId="77777777" w:rsidTr="004835C9">
        <w:tc>
          <w:tcPr>
            <w:tcW w:w="2254" w:type="dxa"/>
          </w:tcPr>
          <w:p w14:paraId="0305C866"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Turno en días alternos</w:t>
            </w:r>
          </w:p>
          <w:p w14:paraId="0FE5A2E3" w14:textId="77777777" w:rsidR="001B33CB" w:rsidRPr="004B697B" w:rsidRDefault="001B33CB" w:rsidP="004B697B">
            <w:pPr>
              <w:rPr>
                <w:rFonts w:ascii="Times New Roman" w:eastAsia="Times New Roman" w:hAnsi="Times New Roman" w:cs="Times New Roman"/>
                <w:sz w:val="24"/>
                <w:szCs w:val="24"/>
              </w:rPr>
            </w:pPr>
          </w:p>
        </w:tc>
        <w:tc>
          <w:tcPr>
            <w:tcW w:w="2255" w:type="dxa"/>
          </w:tcPr>
          <w:p w14:paraId="77A689EC"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Elay et al. (2019)</w:t>
            </w:r>
          </w:p>
        </w:tc>
        <w:tc>
          <w:tcPr>
            <w:tcW w:w="2255" w:type="dxa"/>
          </w:tcPr>
          <w:p w14:paraId="4B062110"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452F463E"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Riesgo</w:t>
            </w:r>
          </w:p>
        </w:tc>
      </w:tr>
      <w:tr w:rsidR="001B33CB" w:rsidRPr="004B697B" w14:paraId="34E3E614" w14:textId="77777777" w:rsidTr="004835C9">
        <w:tc>
          <w:tcPr>
            <w:tcW w:w="2254" w:type="dxa"/>
          </w:tcPr>
          <w:p w14:paraId="2E806900"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Trabajar con pacientes al final de la vida</w:t>
            </w:r>
          </w:p>
          <w:p w14:paraId="0F48FCD2" w14:textId="77777777" w:rsidR="001B33CB" w:rsidRPr="004B697B" w:rsidRDefault="001B33CB" w:rsidP="004B697B">
            <w:pPr>
              <w:rPr>
                <w:rFonts w:ascii="Times New Roman" w:eastAsia="Times New Roman" w:hAnsi="Times New Roman" w:cs="Times New Roman"/>
                <w:sz w:val="24"/>
                <w:szCs w:val="24"/>
              </w:rPr>
            </w:pPr>
          </w:p>
        </w:tc>
        <w:tc>
          <w:tcPr>
            <w:tcW w:w="2255" w:type="dxa"/>
          </w:tcPr>
          <w:p w14:paraId="7E17B344"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Elay et al. (2019)</w:t>
            </w:r>
          </w:p>
        </w:tc>
        <w:tc>
          <w:tcPr>
            <w:tcW w:w="2255" w:type="dxa"/>
          </w:tcPr>
          <w:p w14:paraId="6E4533A2"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6FDAB879"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Riesgo</w:t>
            </w:r>
          </w:p>
        </w:tc>
      </w:tr>
      <w:tr w:rsidR="001B33CB" w:rsidRPr="004B697B" w14:paraId="2351DFC3" w14:textId="77777777" w:rsidTr="004835C9">
        <w:tc>
          <w:tcPr>
            <w:tcW w:w="2254" w:type="dxa"/>
          </w:tcPr>
          <w:p w14:paraId="25FE6B4D"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Autonomía en el trabajo </w:t>
            </w:r>
          </w:p>
          <w:p w14:paraId="2C67413D" w14:textId="77777777" w:rsidR="001B33CB" w:rsidRPr="004B697B" w:rsidRDefault="001B33CB" w:rsidP="004B697B">
            <w:pPr>
              <w:rPr>
                <w:rFonts w:ascii="Times New Roman" w:eastAsia="Times New Roman" w:hAnsi="Times New Roman" w:cs="Times New Roman"/>
                <w:sz w:val="24"/>
                <w:szCs w:val="24"/>
              </w:rPr>
            </w:pPr>
          </w:p>
        </w:tc>
        <w:tc>
          <w:tcPr>
            <w:tcW w:w="2255" w:type="dxa"/>
          </w:tcPr>
          <w:p w14:paraId="103E99F4"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4CA4E27B"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Li et al. (2019)</w:t>
            </w:r>
          </w:p>
        </w:tc>
        <w:tc>
          <w:tcPr>
            <w:tcW w:w="2255" w:type="dxa"/>
          </w:tcPr>
          <w:p w14:paraId="6C917567"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 xml:space="preserve">Protección </w:t>
            </w:r>
          </w:p>
        </w:tc>
      </w:tr>
      <w:tr w:rsidR="001B33CB" w:rsidRPr="004B697B" w14:paraId="4C7F5AE8" w14:textId="77777777" w:rsidTr="004835C9">
        <w:tc>
          <w:tcPr>
            <w:tcW w:w="2254" w:type="dxa"/>
          </w:tcPr>
          <w:p w14:paraId="170212AF" w14:textId="77777777" w:rsidR="001B33CB" w:rsidRPr="004B697B" w:rsidRDefault="001B33CB" w:rsidP="004B697B">
            <w:pPr>
              <w:rPr>
                <w:rFonts w:asciiTheme="majorBidi" w:hAnsiTheme="majorBidi" w:cstheme="majorBidi"/>
                <w:color w:val="000000"/>
                <w:sz w:val="24"/>
                <w:szCs w:val="24"/>
              </w:rPr>
            </w:pPr>
            <w:r w:rsidRPr="004B697B">
              <w:rPr>
                <w:rFonts w:asciiTheme="majorBidi" w:hAnsiTheme="majorBidi" w:cstheme="majorBidi"/>
                <w:color w:val="000000"/>
                <w:sz w:val="24"/>
                <w:szCs w:val="24"/>
              </w:rPr>
              <w:t xml:space="preserve">Lugar de residencia </w:t>
            </w:r>
          </w:p>
          <w:p w14:paraId="45938B0E" w14:textId="77777777" w:rsidR="001B33CB" w:rsidRPr="004B697B" w:rsidRDefault="001B33CB" w:rsidP="004B697B">
            <w:pPr>
              <w:rPr>
                <w:rFonts w:asciiTheme="majorBidi" w:hAnsiTheme="majorBidi" w:cstheme="majorBidi"/>
                <w:color w:val="000000"/>
                <w:sz w:val="24"/>
                <w:szCs w:val="24"/>
              </w:rPr>
            </w:pPr>
          </w:p>
        </w:tc>
        <w:tc>
          <w:tcPr>
            <w:tcW w:w="2255" w:type="dxa"/>
          </w:tcPr>
          <w:p w14:paraId="484A7CDD"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Merces et al. (2020)</w:t>
            </w:r>
          </w:p>
        </w:tc>
        <w:tc>
          <w:tcPr>
            <w:tcW w:w="2255" w:type="dxa"/>
          </w:tcPr>
          <w:p w14:paraId="6CA50FE3"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135F5CFF"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Riesgo</w:t>
            </w:r>
          </w:p>
        </w:tc>
      </w:tr>
      <w:tr w:rsidR="001B33CB" w:rsidRPr="004B697B" w14:paraId="387DEAD6" w14:textId="77777777" w:rsidTr="004835C9">
        <w:tc>
          <w:tcPr>
            <w:tcW w:w="2254" w:type="dxa"/>
          </w:tcPr>
          <w:p w14:paraId="4CCF5FEE" w14:textId="77777777" w:rsidR="001B33CB" w:rsidRPr="004B697B" w:rsidRDefault="001B33CB" w:rsidP="004B697B">
            <w:pPr>
              <w:rPr>
                <w:rFonts w:asciiTheme="majorBidi" w:hAnsiTheme="majorBidi" w:cstheme="majorBidi"/>
                <w:color w:val="000000"/>
                <w:sz w:val="24"/>
                <w:szCs w:val="24"/>
              </w:rPr>
            </w:pPr>
            <w:r w:rsidRPr="004B697B">
              <w:rPr>
                <w:rFonts w:asciiTheme="majorBidi" w:hAnsiTheme="majorBidi" w:cstheme="majorBidi"/>
                <w:color w:val="000000"/>
                <w:sz w:val="24"/>
                <w:szCs w:val="24"/>
              </w:rPr>
              <w:t xml:space="preserve">Descansos </w:t>
            </w:r>
          </w:p>
          <w:p w14:paraId="4AA00BA5" w14:textId="77777777" w:rsidR="001B33CB" w:rsidRPr="004B697B" w:rsidRDefault="001B33CB" w:rsidP="004B697B">
            <w:pPr>
              <w:rPr>
                <w:rFonts w:asciiTheme="majorBidi" w:hAnsiTheme="majorBidi" w:cstheme="majorBidi"/>
                <w:color w:val="000000"/>
                <w:sz w:val="24"/>
                <w:szCs w:val="24"/>
              </w:rPr>
            </w:pPr>
          </w:p>
        </w:tc>
        <w:tc>
          <w:tcPr>
            <w:tcW w:w="2255" w:type="dxa"/>
          </w:tcPr>
          <w:p w14:paraId="78EB9F24"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Merces et al. (2020)</w:t>
            </w:r>
          </w:p>
        </w:tc>
        <w:tc>
          <w:tcPr>
            <w:tcW w:w="2255" w:type="dxa"/>
          </w:tcPr>
          <w:p w14:paraId="02451EFE"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30C2B3F1"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Riesgo</w:t>
            </w:r>
          </w:p>
        </w:tc>
      </w:tr>
      <w:tr w:rsidR="001B33CB" w:rsidRPr="004B697B" w14:paraId="3F4073FA" w14:textId="77777777" w:rsidTr="004835C9">
        <w:tc>
          <w:tcPr>
            <w:tcW w:w="2254" w:type="dxa"/>
          </w:tcPr>
          <w:p w14:paraId="51A6ECC2" w14:textId="77777777" w:rsidR="001B33CB" w:rsidRPr="004B697B" w:rsidRDefault="001B33CB" w:rsidP="004B697B">
            <w:pPr>
              <w:rPr>
                <w:rFonts w:asciiTheme="majorBidi" w:hAnsiTheme="majorBidi" w:cstheme="majorBidi"/>
                <w:color w:val="000000"/>
                <w:sz w:val="24"/>
                <w:szCs w:val="24"/>
              </w:rPr>
            </w:pPr>
            <w:r w:rsidRPr="004B697B">
              <w:rPr>
                <w:rFonts w:asciiTheme="majorBidi" w:hAnsiTheme="majorBidi" w:cstheme="majorBidi"/>
                <w:color w:val="000000"/>
                <w:sz w:val="24"/>
                <w:szCs w:val="24"/>
              </w:rPr>
              <w:t xml:space="preserve">Fumar tabaco </w:t>
            </w:r>
          </w:p>
          <w:p w14:paraId="0BD5A03A" w14:textId="77777777" w:rsidR="001B33CB" w:rsidRPr="004B697B" w:rsidRDefault="001B33CB" w:rsidP="004B697B">
            <w:pPr>
              <w:rPr>
                <w:rFonts w:asciiTheme="majorBidi" w:hAnsiTheme="majorBidi" w:cstheme="majorBidi"/>
                <w:color w:val="000000"/>
                <w:sz w:val="24"/>
                <w:szCs w:val="24"/>
              </w:rPr>
            </w:pPr>
          </w:p>
        </w:tc>
        <w:tc>
          <w:tcPr>
            <w:tcW w:w="2255" w:type="dxa"/>
          </w:tcPr>
          <w:p w14:paraId="1D708B11"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Merces et al. (2020)</w:t>
            </w:r>
          </w:p>
        </w:tc>
        <w:tc>
          <w:tcPr>
            <w:tcW w:w="2255" w:type="dxa"/>
          </w:tcPr>
          <w:p w14:paraId="0193D549" w14:textId="77777777" w:rsidR="001B33CB" w:rsidRPr="004B697B" w:rsidRDefault="001B33CB" w:rsidP="004B697B">
            <w:pPr>
              <w:jc w:val="cente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w:t>
            </w:r>
          </w:p>
        </w:tc>
        <w:tc>
          <w:tcPr>
            <w:tcW w:w="2255" w:type="dxa"/>
          </w:tcPr>
          <w:p w14:paraId="1F69F749" w14:textId="77777777" w:rsidR="001B33CB" w:rsidRPr="004B697B" w:rsidRDefault="001B33CB" w:rsidP="004B697B">
            <w:pPr>
              <w:rPr>
                <w:rFonts w:ascii="Times New Roman" w:eastAsia="Times New Roman" w:hAnsi="Times New Roman" w:cs="Times New Roman"/>
                <w:sz w:val="24"/>
                <w:szCs w:val="24"/>
              </w:rPr>
            </w:pPr>
            <w:r w:rsidRPr="004B697B">
              <w:rPr>
                <w:rFonts w:ascii="Times New Roman" w:eastAsia="Times New Roman" w:hAnsi="Times New Roman" w:cs="Times New Roman"/>
                <w:sz w:val="24"/>
                <w:szCs w:val="24"/>
              </w:rPr>
              <w:t>Riesgo</w:t>
            </w:r>
          </w:p>
        </w:tc>
      </w:tr>
      <w:tr w:rsidR="001B33CB" w:rsidRPr="004B697B" w14:paraId="27BFC6BE" w14:textId="77777777" w:rsidTr="004835C9">
        <w:trPr>
          <w:cnfStyle w:val="010000000000" w:firstRow="0" w:lastRow="1" w:firstColumn="0" w:lastColumn="0" w:oddVBand="0" w:evenVBand="0" w:oddHBand="0" w:evenHBand="0" w:firstRowFirstColumn="0" w:firstRowLastColumn="0" w:lastRowFirstColumn="0" w:lastRowLastColumn="0"/>
        </w:trPr>
        <w:tc>
          <w:tcPr>
            <w:tcW w:w="2254" w:type="dxa"/>
          </w:tcPr>
          <w:p w14:paraId="26AE159A" w14:textId="77777777" w:rsidR="001B33CB" w:rsidRPr="004B697B" w:rsidRDefault="001B33CB" w:rsidP="004B697B">
            <w:pPr>
              <w:rPr>
                <w:rFonts w:asciiTheme="majorBidi" w:hAnsiTheme="majorBidi" w:cstheme="majorBidi"/>
                <w:color w:val="000000"/>
                <w:sz w:val="24"/>
                <w:szCs w:val="24"/>
              </w:rPr>
            </w:pPr>
            <w:r w:rsidRPr="004B697B">
              <w:rPr>
                <w:rFonts w:asciiTheme="majorBidi" w:hAnsiTheme="majorBidi" w:cstheme="majorBidi"/>
                <w:b w:val="0"/>
                <w:bCs w:val="0"/>
                <w:color w:val="000000"/>
                <w:sz w:val="24"/>
                <w:szCs w:val="24"/>
              </w:rPr>
              <w:t xml:space="preserve">Actividad física </w:t>
            </w:r>
          </w:p>
          <w:p w14:paraId="7F7F7395" w14:textId="77777777" w:rsidR="001B33CB" w:rsidRPr="004B697B" w:rsidRDefault="001B33CB" w:rsidP="004B697B">
            <w:pPr>
              <w:rPr>
                <w:rFonts w:asciiTheme="majorBidi" w:hAnsiTheme="majorBidi" w:cstheme="majorBidi"/>
                <w:b w:val="0"/>
                <w:bCs w:val="0"/>
                <w:color w:val="000000"/>
                <w:sz w:val="24"/>
                <w:szCs w:val="24"/>
              </w:rPr>
            </w:pPr>
          </w:p>
        </w:tc>
        <w:tc>
          <w:tcPr>
            <w:tcW w:w="2255" w:type="dxa"/>
          </w:tcPr>
          <w:p w14:paraId="578215A3" w14:textId="77777777" w:rsidR="001B33CB" w:rsidRPr="004B697B" w:rsidRDefault="001B33CB" w:rsidP="004B697B">
            <w:pPr>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Merces et al. (2020)</w:t>
            </w:r>
          </w:p>
        </w:tc>
        <w:tc>
          <w:tcPr>
            <w:tcW w:w="2255" w:type="dxa"/>
          </w:tcPr>
          <w:p w14:paraId="3484E775" w14:textId="77777777" w:rsidR="001B33CB" w:rsidRPr="004B697B" w:rsidRDefault="001B33CB" w:rsidP="004B697B">
            <w:pPr>
              <w:jc w:val="center"/>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w:t>
            </w:r>
          </w:p>
        </w:tc>
        <w:tc>
          <w:tcPr>
            <w:tcW w:w="2255" w:type="dxa"/>
          </w:tcPr>
          <w:p w14:paraId="69B033CA" w14:textId="77777777" w:rsidR="001B33CB" w:rsidRPr="004B697B" w:rsidRDefault="001B33CB" w:rsidP="004B697B">
            <w:pPr>
              <w:rPr>
                <w:rFonts w:ascii="Times New Roman" w:eastAsia="Times New Roman" w:hAnsi="Times New Roman" w:cs="Times New Roman"/>
                <w:b w:val="0"/>
                <w:bCs w:val="0"/>
                <w:sz w:val="24"/>
                <w:szCs w:val="24"/>
              </w:rPr>
            </w:pPr>
            <w:r w:rsidRPr="004B697B">
              <w:rPr>
                <w:rFonts w:ascii="Times New Roman" w:eastAsia="Times New Roman" w:hAnsi="Times New Roman" w:cs="Times New Roman"/>
                <w:b w:val="0"/>
                <w:bCs w:val="0"/>
                <w:sz w:val="24"/>
                <w:szCs w:val="24"/>
              </w:rPr>
              <w:t>Riesgo</w:t>
            </w:r>
          </w:p>
        </w:tc>
      </w:tr>
      <w:bookmarkEnd w:id="4"/>
    </w:tbl>
    <w:p w14:paraId="5923EC7B" w14:textId="2721B09A" w:rsidR="00634636" w:rsidRPr="004B697B" w:rsidRDefault="00634636" w:rsidP="006037D6">
      <w:pPr>
        <w:pStyle w:val="Ttulo1"/>
        <w:rPr>
          <w:lang w:val="es-ES"/>
        </w:rPr>
      </w:pPr>
    </w:p>
    <w:p w14:paraId="523407BE" w14:textId="77777777" w:rsidR="00634636" w:rsidRPr="004B697B" w:rsidRDefault="00634636" w:rsidP="004B697B">
      <w:pPr>
        <w:spacing w:line="240" w:lineRule="auto"/>
        <w:rPr>
          <w:rFonts w:ascii="Times New Roman" w:eastAsia="Times New Roman" w:hAnsi="Times New Roman" w:cs="Times New Roman"/>
          <w:sz w:val="24"/>
          <w:szCs w:val="24"/>
          <w:lang w:val="es-ES"/>
        </w:rPr>
      </w:pPr>
    </w:p>
    <w:p w14:paraId="621A867B" w14:textId="77777777" w:rsidR="00B73DF0" w:rsidRPr="006037D6" w:rsidRDefault="00B73DF0" w:rsidP="006037D6">
      <w:pPr>
        <w:spacing w:line="480" w:lineRule="auto"/>
        <w:ind w:firstLine="720"/>
        <w:jc w:val="center"/>
        <w:rPr>
          <w:rFonts w:ascii="Times New Roman" w:eastAsia="Times New Roman" w:hAnsi="Times New Roman" w:cs="Times New Roman"/>
          <w:b/>
          <w:bCs/>
          <w:color w:val="000000"/>
          <w:sz w:val="24"/>
          <w:szCs w:val="24"/>
          <w:lang w:val="es-ES"/>
        </w:rPr>
      </w:pPr>
      <w:r w:rsidRPr="006037D6">
        <w:rPr>
          <w:rFonts w:ascii="Times New Roman" w:eastAsia="Times New Roman" w:hAnsi="Times New Roman" w:cs="Times New Roman"/>
          <w:b/>
          <w:bCs/>
          <w:color w:val="000000"/>
          <w:sz w:val="24"/>
          <w:szCs w:val="24"/>
          <w:lang w:val="es-ES"/>
        </w:rPr>
        <w:t>Discusión</w:t>
      </w:r>
    </w:p>
    <w:p w14:paraId="3119F4CB" w14:textId="6EC7E4E3" w:rsidR="00634636" w:rsidRPr="004B697B" w:rsidRDefault="00634636" w:rsidP="004B697B">
      <w:pPr>
        <w:spacing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El objetivo principal del estudio es </w:t>
      </w:r>
      <w:r w:rsidR="00EB2018">
        <w:rPr>
          <w:rFonts w:ascii="Times New Roman" w:eastAsia="Times New Roman" w:hAnsi="Times New Roman" w:cs="Times New Roman"/>
          <w:color w:val="000000"/>
          <w:sz w:val="24"/>
          <w:szCs w:val="24"/>
          <w:lang w:val="es-ES"/>
        </w:rPr>
        <w:t>conocer</w:t>
      </w:r>
      <w:r w:rsidR="00EB2018" w:rsidRPr="004B697B">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los factores de riesgo y protección (laborales y personales) del burnout más prevalentes en el personal sanitario</w:t>
      </w:r>
      <w:r w:rsidR="00E20E6B" w:rsidRPr="004B697B">
        <w:rPr>
          <w:rFonts w:ascii="Times New Roman" w:eastAsia="Times New Roman" w:hAnsi="Times New Roman" w:cs="Times New Roman"/>
          <w:color w:val="000000"/>
          <w:sz w:val="24"/>
          <w:szCs w:val="24"/>
          <w:lang w:val="es-ES"/>
        </w:rPr>
        <w:t>,</w:t>
      </w:r>
      <w:r w:rsidRPr="004B697B">
        <w:rPr>
          <w:rFonts w:ascii="Times New Roman" w:eastAsia="Times New Roman" w:hAnsi="Times New Roman" w:cs="Times New Roman"/>
          <w:color w:val="000000"/>
          <w:sz w:val="24"/>
          <w:szCs w:val="24"/>
          <w:lang w:val="es-ES"/>
        </w:rPr>
        <w:t xml:space="preserve"> a través de la revisión de la literatura existente. La </w:t>
      </w:r>
      <w:r w:rsidRPr="00B94453">
        <w:rPr>
          <w:rFonts w:ascii="Times New Roman" w:eastAsia="Times New Roman" w:hAnsi="Times New Roman" w:cs="Times New Roman"/>
          <w:color w:val="000000"/>
          <w:sz w:val="24"/>
          <w:szCs w:val="24"/>
          <w:lang w:val="es-ES"/>
        </w:rPr>
        <w:t>conclusión</w:t>
      </w:r>
      <w:r w:rsidRPr="004B697B">
        <w:rPr>
          <w:rFonts w:ascii="Times New Roman" w:eastAsia="Times New Roman" w:hAnsi="Times New Roman" w:cs="Times New Roman"/>
          <w:color w:val="000000"/>
          <w:sz w:val="24"/>
          <w:szCs w:val="24"/>
          <w:lang w:val="es-ES"/>
        </w:rPr>
        <w:t xml:space="preserve"> principal obtenida es que las características y condiciones del puesto de trabajo</w:t>
      </w:r>
      <w:r w:rsidR="004A0CC2">
        <w:rPr>
          <w:rFonts w:ascii="Times New Roman" w:eastAsia="Times New Roman" w:hAnsi="Times New Roman" w:cs="Times New Roman"/>
          <w:color w:val="000000"/>
          <w:sz w:val="24"/>
          <w:szCs w:val="24"/>
          <w:lang w:val="es-ES"/>
        </w:rPr>
        <w:t xml:space="preserve"> son </w:t>
      </w:r>
      <w:r w:rsidRPr="004B697B">
        <w:rPr>
          <w:rFonts w:ascii="Times New Roman" w:eastAsia="Times New Roman" w:hAnsi="Times New Roman" w:cs="Times New Roman"/>
          <w:color w:val="000000"/>
          <w:sz w:val="24"/>
          <w:szCs w:val="24"/>
          <w:lang w:val="es-ES"/>
        </w:rPr>
        <w:t>l</w:t>
      </w:r>
      <w:r w:rsidR="00E20E6B" w:rsidRPr="004B697B">
        <w:rPr>
          <w:rFonts w:ascii="Times New Roman" w:eastAsia="Times New Roman" w:hAnsi="Times New Roman" w:cs="Times New Roman"/>
          <w:color w:val="000000"/>
          <w:sz w:val="24"/>
          <w:szCs w:val="24"/>
          <w:lang w:val="es-ES"/>
        </w:rPr>
        <w:t>as</w:t>
      </w:r>
      <w:r w:rsidRPr="004B697B">
        <w:rPr>
          <w:rFonts w:ascii="Times New Roman" w:eastAsia="Times New Roman" w:hAnsi="Times New Roman" w:cs="Times New Roman"/>
          <w:color w:val="000000"/>
          <w:sz w:val="24"/>
          <w:szCs w:val="24"/>
          <w:lang w:val="es-ES"/>
        </w:rPr>
        <w:t xml:space="preserve"> que </w:t>
      </w:r>
      <w:r w:rsidR="004A0CC2">
        <w:rPr>
          <w:rFonts w:ascii="Times New Roman" w:eastAsia="Times New Roman" w:hAnsi="Times New Roman" w:cs="Times New Roman"/>
          <w:color w:val="000000"/>
          <w:sz w:val="24"/>
          <w:szCs w:val="24"/>
          <w:lang w:val="es-ES"/>
        </w:rPr>
        <w:t>influyen principalmente</w:t>
      </w:r>
      <w:r w:rsidR="004A0CC2" w:rsidRPr="004B697B">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a la hora de desarrollar burnout, sin embargo, también se asocia</w:t>
      </w:r>
      <w:r w:rsidR="00E20E6B" w:rsidRPr="004B697B">
        <w:rPr>
          <w:rFonts w:ascii="Times New Roman" w:eastAsia="Times New Roman" w:hAnsi="Times New Roman" w:cs="Times New Roman"/>
          <w:color w:val="000000"/>
          <w:sz w:val="24"/>
          <w:szCs w:val="24"/>
          <w:lang w:val="es-ES"/>
        </w:rPr>
        <w:t>n</w:t>
      </w:r>
      <w:r w:rsidRPr="004B697B">
        <w:rPr>
          <w:rFonts w:ascii="Times New Roman" w:eastAsia="Times New Roman" w:hAnsi="Times New Roman" w:cs="Times New Roman"/>
          <w:color w:val="000000"/>
          <w:sz w:val="24"/>
          <w:szCs w:val="24"/>
          <w:lang w:val="es-ES"/>
        </w:rPr>
        <w:t xml:space="preserve"> a la aparición del burnout algunas características </w:t>
      </w:r>
      <w:r w:rsidRPr="004B697B">
        <w:rPr>
          <w:rFonts w:ascii="Times New Roman" w:eastAsia="Times New Roman" w:hAnsi="Times New Roman" w:cs="Times New Roman"/>
          <w:color w:val="000000"/>
          <w:sz w:val="24"/>
          <w:szCs w:val="24"/>
          <w:lang w:val="es-ES"/>
        </w:rPr>
        <w:lastRenderedPageBreak/>
        <w:t>personales del trabajador (Merino-Plaza et al., 2018). La aparición del burnout es más característic</w:t>
      </w:r>
      <w:r w:rsidR="003D12DC" w:rsidRPr="004B697B">
        <w:rPr>
          <w:rFonts w:ascii="Times New Roman" w:eastAsia="Times New Roman" w:hAnsi="Times New Roman" w:cs="Times New Roman"/>
          <w:color w:val="000000"/>
          <w:sz w:val="24"/>
          <w:szCs w:val="24"/>
          <w:lang w:val="es-ES"/>
        </w:rPr>
        <w:t>a</w:t>
      </w:r>
      <w:r w:rsidRPr="004B697B">
        <w:rPr>
          <w:rFonts w:ascii="Times New Roman" w:eastAsia="Times New Roman" w:hAnsi="Times New Roman" w:cs="Times New Roman"/>
          <w:color w:val="000000"/>
          <w:sz w:val="24"/>
          <w:szCs w:val="24"/>
          <w:lang w:val="es-ES"/>
        </w:rPr>
        <w:t xml:space="preserve"> en aquellas profesiones cuyas tareas incluyen el cuidado o la prestación de servicios de ayuda a otras personas (Cañadas-de la Fuente et al., 2018; Navinés et al., 2016). Por ello, son los trabajadores sanitarios una de las profesiones que más desarrolla el síndrome, pues su tarea principal es el bienestar y la salud de sus pacientes, estando expuestos a un trabajo demandante, desafiante y complejo que puede llegar al límite de sus energías y capacidades (Geiger et al., 2016). </w:t>
      </w:r>
    </w:p>
    <w:p w14:paraId="781C9A85" w14:textId="558AB390" w:rsidR="00CC3365" w:rsidRPr="004B697B" w:rsidRDefault="00634636" w:rsidP="00CC3365">
      <w:pPr>
        <w:spacing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En la revisión sistemática se</w:t>
      </w:r>
      <w:r w:rsidR="00B07486">
        <w:rPr>
          <w:rFonts w:ascii="Times New Roman" w:eastAsia="Times New Roman" w:hAnsi="Times New Roman" w:cs="Times New Roman"/>
          <w:color w:val="000000"/>
          <w:sz w:val="24"/>
          <w:szCs w:val="24"/>
          <w:lang w:val="es-ES"/>
        </w:rPr>
        <w:t xml:space="preserve"> observa </w:t>
      </w:r>
      <w:r w:rsidRPr="004B697B">
        <w:rPr>
          <w:rFonts w:ascii="Times New Roman" w:eastAsia="Times New Roman" w:hAnsi="Times New Roman" w:cs="Times New Roman"/>
          <w:color w:val="000000"/>
          <w:sz w:val="24"/>
          <w:szCs w:val="24"/>
          <w:lang w:val="es-ES"/>
        </w:rPr>
        <w:t xml:space="preserve">que el burnout se ve influido por factores (de riesgo y de protección) humanos y laborales. </w:t>
      </w:r>
      <w:r w:rsidR="00CC3365" w:rsidRPr="004B697B">
        <w:rPr>
          <w:rFonts w:ascii="Times New Roman" w:eastAsia="Times New Roman" w:hAnsi="Times New Roman" w:cs="Times New Roman"/>
          <w:color w:val="000000"/>
          <w:sz w:val="24"/>
          <w:szCs w:val="24"/>
          <w:lang w:val="es-ES"/>
        </w:rPr>
        <w:t xml:space="preserve">Cabe destacar que en el conjunto de estudios hay una serie de factores </w:t>
      </w:r>
      <w:r w:rsidR="0054269E">
        <w:rPr>
          <w:rFonts w:ascii="Times New Roman" w:eastAsia="Times New Roman" w:hAnsi="Times New Roman" w:cs="Times New Roman"/>
          <w:color w:val="000000"/>
          <w:sz w:val="24"/>
          <w:szCs w:val="24"/>
          <w:lang w:val="es-ES"/>
        </w:rPr>
        <w:t xml:space="preserve">comunes </w:t>
      </w:r>
      <w:r w:rsidR="0054269E" w:rsidRPr="004B697B">
        <w:rPr>
          <w:rFonts w:ascii="Times New Roman" w:eastAsia="Times New Roman" w:hAnsi="Times New Roman" w:cs="Times New Roman"/>
          <w:color w:val="000000"/>
          <w:sz w:val="24"/>
          <w:szCs w:val="24"/>
          <w:lang w:val="es-ES"/>
        </w:rPr>
        <w:t>que</w:t>
      </w:r>
      <w:r w:rsidR="00CC3365" w:rsidRPr="004B697B">
        <w:rPr>
          <w:rFonts w:ascii="Times New Roman" w:eastAsia="Times New Roman" w:hAnsi="Times New Roman" w:cs="Times New Roman"/>
          <w:color w:val="000000"/>
          <w:sz w:val="24"/>
          <w:szCs w:val="24"/>
          <w:lang w:val="es-ES"/>
        </w:rPr>
        <w:t xml:space="preserve"> suponen un mayor riesgo o protección para el bienestar de los sanitarios, a pesar de que cada estudio evaluó la correlación del burnout con una serie de factores específicos. </w:t>
      </w:r>
      <w:r w:rsidR="00CC033D">
        <w:rPr>
          <w:rFonts w:ascii="Times New Roman" w:eastAsia="Times New Roman" w:hAnsi="Times New Roman" w:cs="Times New Roman"/>
          <w:color w:val="000000"/>
          <w:sz w:val="24"/>
          <w:szCs w:val="24"/>
          <w:lang w:val="es-ES"/>
        </w:rPr>
        <w:t>Además</w:t>
      </w:r>
      <w:r w:rsidR="00CC3365" w:rsidRPr="004B697B">
        <w:rPr>
          <w:rFonts w:ascii="Times New Roman" w:eastAsia="Times New Roman" w:hAnsi="Times New Roman" w:cs="Times New Roman"/>
          <w:color w:val="000000"/>
          <w:sz w:val="24"/>
          <w:szCs w:val="24"/>
          <w:lang w:val="es-ES"/>
        </w:rPr>
        <w:t>, se encuentra</w:t>
      </w:r>
      <w:r w:rsidR="00CC033D">
        <w:rPr>
          <w:rFonts w:ascii="Times New Roman" w:eastAsia="Times New Roman" w:hAnsi="Times New Roman" w:cs="Times New Roman"/>
          <w:color w:val="000000"/>
          <w:sz w:val="24"/>
          <w:szCs w:val="24"/>
          <w:lang w:val="es-ES"/>
        </w:rPr>
        <w:t>n</w:t>
      </w:r>
      <w:r w:rsidR="00CC3365" w:rsidRPr="004B697B">
        <w:rPr>
          <w:rFonts w:ascii="Times New Roman" w:eastAsia="Times New Roman" w:hAnsi="Times New Roman" w:cs="Times New Roman"/>
          <w:color w:val="000000"/>
          <w:sz w:val="24"/>
          <w:szCs w:val="24"/>
          <w:lang w:val="es-ES"/>
        </w:rPr>
        <w:t xml:space="preserve"> correlaci</w:t>
      </w:r>
      <w:r w:rsidR="00CC033D">
        <w:rPr>
          <w:rFonts w:ascii="Times New Roman" w:eastAsia="Times New Roman" w:hAnsi="Times New Roman" w:cs="Times New Roman"/>
          <w:color w:val="000000"/>
          <w:sz w:val="24"/>
          <w:szCs w:val="24"/>
          <w:lang w:val="es-ES"/>
        </w:rPr>
        <w:t>ones positivas</w:t>
      </w:r>
      <w:r w:rsidR="00CC3365" w:rsidRPr="004B697B">
        <w:rPr>
          <w:rFonts w:ascii="Times New Roman" w:eastAsia="Times New Roman" w:hAnsi="Times New Roman" w:cs="Times New Roman"/>
          <w:color w:val="000000"/>
          <w:sz w:val="24"/>
          <w:szCs w:val="24"/>
          <w:lang w:val="es-ES"/>
        </w:rPr>
        <w:t xml:space="preserve"> tanto en los factores de carácter humano, como en aquellos de carácter laboral. </w:t>
      </w:r>
    </w:p>
    <w:p w14:paraId="6D17CA09" w14:textId="582F0F2A" w:rsidR="00634636" w:rsidRPr="004B697B" w:rsidRDefault="00634636" w:rsidP="006037D6">
      <w:pPr>
        <w:spacing w:line="480" w:lineRule="auto"/>
        <w:ind w:firstLine="708"/>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Esta idea se refleja principalmente en el estudio de Giménez Lozano et al., 2021, en el que </w:t>
      </w:r>
      <w:r w:rsidR="00B372D5" w:rsidRPr="004B697B">
        <w:rPr>
          <w:rFonts w:ascii="Times New Roman" w:eastAsia="Times New Roman" w:hAnsi="Times New Roman" w:cs="Times New Roman"/>
          <w:color w:val="000000"/>
          <w:sz w:val="24"/>
          <w:szCs w:val="24"/>
          <w:lang w:val="es-ES"/>
        </w:rPr>
        <w:t xml:space="preserve">se </w:t>
      </w:r>
      <w:r w:rsidRPr="004B697B">
        <w:rPr>
          <w:rFonts w:ascii="Times New Roman" w:eastAsia="Times New Roman" w:hAnsi="Times New Roman" w:cs="Times New Roman"/>
          <w:color w:val="000000"/>
          <w:sz w:val="24"/>
          <w:szCs w:val="24"/>
          <w:lang w:val="es-ES"/>
        </w:rPr>
        <w:t>señala</w:t>
      </w:r>
      <w:r w:rsidR="00B372D5" w:rsidRPr="004B697B">
        <w:rPr>
          <w:rFonts w:ascii="Times New Roman" w:eastAsia="Times New Roman" w:hAnsi="Times New Roman" w:cs="Times New Roman"/>
          <w:color w:val="000000"/>
          <w:sz w:val="24"/>
          <w:szCs w:val="24"/>
          <w:lang w:val="es-ES"/>
        </w:rPr>
        <w:t>n</w:t>
      </w:r>
      <w:r w:rsidRPr="004B697B">
        <w:rPr>
          <w:rFonts w:ascii="Times New Roman" w:eastAsia="Times New Roman" w:hAnsi="Times New Roman" w:cs="Times New Roman"/>
          <w:color w:val="000000"/>
          <w:sz w:val="24"/>
          <w:szCs w:val="24"/>
          <w:lang w:val="es-ES"/>
        </w:rPr>
        <w:t xml:space="preserve"> los factores</w:t>
      </w:r>
      <w:r w:rsidR="00CC033D">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del entorno laboral del personal sanitario: el apoyo social de los compañeros en el trabajo, el apoyo familiar, las condiciones en el contrato de los sanitarios y la calidad del entorno laboral. Mientras que encuentra que los factores en el ámbito personal son: la edad, el sexo, la satisfacción laboral las estrategias de afrontamiento, la autoeficacia y la empatía.</w:t>
      </w:r>
      <w:r w:rsidR="000572E7">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 xml:space="preserve">Por un lado, los factores </w:t>
      </w:r>
      <w:r w:rsidR="0079503F">
        <w:rPr>
          <w:rFonts w:ascii="Times New Roman" w:eastAsia="Times New Roman" w:hAnsi="Times New Roman" w:cs="Times New Roman"/>
          <w:color w:val="000000"/>
          <w:sz w:val="24"/>
          <w:szCs w:val="24"/>
          <w:lang w:val="es-ES"/>
        </w:rPr>
        <w:t xml:space="preserve"> de riesgo </w:t>
      </w:r>
      <w:r w:rsidRPr="004B697B">
        <w:rPr>
          <w:rFonts w:ascii="Times New Roman" w:eastAsia="Times New Roman" w:hAnsi="Times New Roman" w:cs="Times New Roman"/>
          <w:color w:val="000000"/>
          <w:sz w:val="24"/>
          <w:szCs w:val="24"/>
          <w:lang w:val="es-ES"/>
        </w:rPr>
        <w:t xml:space="preserve">personales asociados al desarrollo del burnout son pertenecer al sexo femenino (Castañeda-Aguilera et al., 2020; Elay et al., 2019; Hain et al., 2020; Zétola et al., 2019; y Faivre et al., 2019); ser un sanitario con menos de 40 años de edad (Castañeda-Aguilera et al., 2020; Lee et al., 2020; Zarei et al., 2019; y Zétola et al., 2023) y la presencia de una pareja estable, que es un apoyo en su vida personal que les ayuda con las dificultades </w:t>
      </w:r>
      <w:r w:rsidR="001B1018" w:rsidRPr="004B697B">
        <w:rPr>
          <w:rFonts w:ascii="Times New Roman" w:eastAsia="Times New Roman" w:hAnsi="Times New Roman" w:cs="Times New Roman"/>
          <w:color w:val="000000"/>
          <w:sz w:val="24"/>
          <w:szCs w:val="24"/>
          <w:lang w:val="es-ES"/>
        </w:rPr>
        <w:t xml:space="preserve">del día a día </w:t>
      </w:r>
      <w:r w:rsidRPr="004B697B">
        <w:rPr>
          <w:rFonts w:ascii="Times New Roman" w:eastAsia="Times New Roman" w:hAnsi="Times New Roman" w:cs="Times New Roman"/>
          <w:color w:val="000000"/>
          <w:sz w:val="24"/>
          <w:szCs w:val="24"/>
          <w:lang w:val="es-ES"/>
        </w:rPr>
        <w:t xml:space="preserve">(Castañeda-Aguilera et al., 2020; Lee et al., 2020; Zarei et al., 2019; y Zétola et al., 2023). Asimismo, también se encuentra como factor de riesgo el </w:t>
      </w:r>
      <w:r w:rsidRPr="004B697B">
        <w:rPr>
          <w:rFonts w:ascii="Times New Roman" w:eastAsia="Times New Roman" w:hAnsi="Times New Roman" w:cs="Times New Roman"/>
          <w:color w:val="000000"/>
          <w:sz w:val="24"/>
          <w:szCs w:val="24"/>
          <w:lang w:val="es-ES"/>
        </w:rPr>
        <w:lastRenderedPageBreak/>
        <w:t xml:space="preserve">lugar de residencia (urbano o rural), siendo </w:t>
      </w:r>
      <w:r w:rsidR="001B1018" w:rsidRPr="004B697B">
        <w:rPr>
          <w:rFonts w:ascii="Times New Roman" w:eastAsia="Times New Roman" w:hAnsi="Times New Roman" w:cs="Times New Roman"/>
          <w:color w:val="000000"/>
          <w:sz w:val="24"/>
          <w:szCs w:val="24"/>
          <w:lang w:val="es-ES"/>
        </w:rPr>
        <w:t xml:space="preserve">un </w:t>
      </w:r>
      <w:r w:rsidRPr="004B697B">
        <w:rPr>
          <w:rFonts w:ascii="Times New Roman" w:eastAsia="Times New Roman" w:hAnsi="Times New Roman" w:cs="Times New Roman"/>
          <w:color w:val="000000"/>
          <w:sz w:val="24"/>
          <w:szCs w:val="24"/>
          <w:lang w:val="es-ES"/>
        </w:rPr>
        <w:t xml:space="preserve">factor de riesgo vivir en una zona urbana; fumar tabaco y </w:t>
      </w:r>
      <w:r w:rsidR="007A56A4" w:rsidRPr="004B697B">
        <w:rPr>
          <w:rFonts w:ascii="Times New Roman" w:eastAsia="Times New Roman" w:hAnsi="Times New Roman" w:cs="Times New Roman"/>
          <w:color w:val="000000"/>
          <w:sz w:val="24"/>
          <w:szCs w:val="24"/>
          <w:lang w:val="es-ES"/>
        </w:rPr>
        <w:t xml:space="preserve">no realizar </w:t>
      </w:r>
      <w:r w:rsidRPr="004B697B">
        <w:rPr>
          <w:rFonts w:ascii="Times New Roman" w:eastAsia="Times New Roman" w:hAnsi="Times New Roman" w:cs="Times New Roman"/>
          <w:color w:val="000000"/>
          <w:sz w:val="24"/>
          <w:szCs w:val="24"/>
          <w:lang w:val="es-ES"/>
        </w:rPr>
        <w:t>actividad física (Merces et al., 2020). En el conjunto de estudios</w:t>
      </w:r>
      <w:r w:rsidR="007A56A4" w:rsidRPr="004B697B">
        <w:rPr>
          <w:rFonts w:ascii="Times New Roman" w:eastAsia="Times New Roman" w:hAnsi="Times New Roman" w:cs="Times New Roman"/>
          <w:color w:val="000000"/>
          <w:sz w:val="24"/>
          <w:szCs w:val="24"/>
          <w:lang w:val="es-ES"/>
        </w:rPr>
        <w:t>,</w:t>
      </w:r>
      <w:r w:rsidRPr="004B697B">
        <w:rPr>
          <w:rFonts w:ascii="Times New Roman" w:eastAsia="Times New Roman" w:hAnsi="Times New Roman" w:cs="Times New Roman"/>
          <w:color w:val="000000"/>
          <w:sz w:val="24"/>
          <w:szCs w:val="24"/>
          <w:lang w:val="es-ES"/>
        </w:rPr>
        <w:t xml:space="preserve"> todos ellos se perciben como factores de riesgo, con peso a la hora de la aparición del síndrome del burnout, excepto la condición de tener pareja estable, que se identifica como factor protector para no padecer el síndrome. </w:t>
      </w:r>
      <w:r w:rsidR="000572E7">
        <w:rPr>
          <w:rFonts w:ascii="Times New Roman" w:eastAsia="Times New Roman" w:hAnsi="Times New Roman" w:cs="Times New Roman"/>
          <w:color w:val="000000"/>
          <w:sz w:val="24"/>
          <w:szCs w:val="24"/>
          <w:lang w:val="es-ES"/>
        </w:rPr>
        <w:t>Por último</w:t>
      </w:r>
      <w:r w:rsidRPr="004B697B">
        <w:rPr>
          <w:rFonts w:ascii="Times New Roman" w:eastAsia="Times New Roman" w:hAnsi="Times New Roman" w:cs="Times New Roman"/>
          <w:color w:val="000000"/>
          <w:sz w:val="24"/>
          <w:szCs w:val="24"/>
          <w:lang w:val="es-ES"/>
        </w:rPr>
        <w:t xml:space="preserve">, los factores laborales que influyen en el diagnóstico del burnout son el tiempo de trabajo o la cantidad de horas (horario laboral) que el sanitario cumple (Afonso et al., 202; y Nowacka et al., 2018); la carga de trabajo, es decir, el número de obligaciones que competen a un puesto de trabajo durante la jornada laboral (Li et al., 2019; Paiva et al., 2018; y Zhang et al., 2019); el grado de satisfacción que sienten los sanitarios por su desempeño laboral (Gan et al., 2019; Iyer et al., 2022; Merces et al., 2020; Merino-Plaza et al., 2019; y Zhang et al., 2019); tener turnos en días alternos en el horario laboral (Elay et al., 2019); trabajar con pacientes al final de la vida (Elay et al., 2019); y </w:t>
      </w:r>
      <w:r w:rsidR="001D4849" w:rsidRPr="004B697B">
        <w:rPr>
          <w:rFonts w:ascii="Times New Roman" w:eastAsia="Times New Roman" w:hAnsi="Times New Roman" w:cs="Times New Roman"/>
          <w:color w:val="000000"/>
          <w:sz w:val="24"/>
          <w:szCs w:val="24"/>
          <w:lang w:val="es-ES"/>
        </w:rPr>
        <w:t xml:space="preserve">no </w:t>
      </w:r>
      <w:r w:rsidR="00651EC8" w:rsidRPr="004B697B">
        <w:rPr>
          <w:rFonts w:ascii="Times New Roman" w:eastAsia="Times New Roman" w:hAnsi="Times New Roman" w:cs="Times New Roman"/>
          <w:color w:val="000000"/>
          <w:sz w:val="24"/>
          <w:szCs w:val="24"/>
          <w:lang w:val="es-ES"/>
        </w:rPr>
        <w:t xml:space="preserve">disfrutar </w:t>
      </w:r>
      <w:r w:rsidRPr="004B697B">
        <w:rPr>
          <w:rFonts w:ascii="Times New Roman" w:eastAsia="Times New Roman" w:hAnsi="Times New Roman" w:cs="Times New Roman"/>
          <w:color w:val="000000"/>
          <w:sz w:val="24"/>
          <w:szCs w:val="24"/>
          <w:lang w:val="es-ES"/>
        </w:rPr>
        <w:t xml:space="preserve">de </w:t>
      </w:r>
      <w:r w:rsidR="001D4849" w:rsidRPr="004B697B">
        <w:rPr>
          <w:rFonts w:ascii="Times New Roman" w:eastAsia="Times New Roman" w:hAnsi="Times New Roman" w:cs="Times New Roman"/>
          <w:color w:val="000000"/>
          <w:sz w:val="24"/>
          <w:szCs w:val="24"/>
          <w:lang w:val="es-ES"/>
        </w:rPr>
        <w:t xml:space="preserve">los </w:t>
      </w:r>
      <w:r w:rsidRPr="004B697B">
        <w:rPr>
          <w:rFonts w:ascii="Times New Roman" w:eastAsia="Times New Roman" w:hAnsi="Times New Roman" w:cs="Times New Roman"/>
          <w:color w:val="000000"/>
          <w:sz w:val="24"/>
          <w:szCs w:val="24"/>
          <w:lang w:val="es-ES"/>
        </w:rPr>
        <w:t xml:space="preserve">descansos necesarios </w:t>
      </w:r>
      <w:r w:rsidR="00B400A5" w:rsidRPr="004B697B">
        <w:rPr>
          <w:rFonts w:ascii="Times New Roman" w:eastAsia="Times New Roman" w:hAnsi="Times New Roman" w:cs="Times New Roman"/>
          <w:color w:val="000000"/>
          <w:sz w:val="24"/>
          <w:szCs w:val="24"/>
          <w:lang w:val="es-ES"/>
        </w:rPr>
        <w:t>por</w:t>
      </w:r>
      <w:r w:rsidRPr="004B697B">
        <w:rPr>
          <w:rFonts w:ascii="Times New Roman" w:eastAsia="Times New Roman" w:hAnsi="Times New Roman" w:cs="Times New Roman"/>
          <w:color w:val="000000"/>
          <w:sz w:val="24"/>
          <w:szCs w:val="24"/>
          <w:lang w:val="es-ES"/>
        </w:rPr>
        <w:t xml:space="preserve"> las exigencias de los puestos de trabajo (Merces et al., 2020). </w:t>
      </w:r>
    </w:p>
    <w:p w14:paraId="44AE9FF9" w14:textId="10D5C59A" w:rsidR="00634636" w:rsidRPr="004B697B" w:rsidRDefault="00634636" w:rsidP="004B697B">
      <w:pPr>
        <w:spacing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Asimismo, se encuentran como factores de protección, o de menor riesgo de padecer el síndrome</w:t>
      </w:r>
      <w:r w:rsidR="001D4353" w:rsidRPr="004B697B">
        <w:rPr>
          <w:rFonts w:ascii="Times New Roman" w:eastAsia="Times New Roman" w:hAnsi="Times New Roman" w:cs="Times New Roman"/>
          <w:color w:val="000000"/>
          <w:sz w:val="24"/>
          <w:szCs w:val="24"/>
          <w:lang w:val="es-ES"/>
        </w:rPr>
        <w:t>,</w:t>
      </w:r>
      <w:r w:rsidRPr="004B697B">
        <w:rPr>
          <w:rFonts w:ascii="Times New Roman" w:eastAsia="Times New Roman" w:hAnsi="Times New Roman" w:cs="Times New Roman"/>
          <w:color w:val="000000"/>
          <w:sz w:val="24"/>
          <w:szCs w:val="24"/>
          <w:lang w:val="es-ES"/>
        </w:rPr>
        <w:t xml:space="preserve"> las distintas condiciones laborales, que son  tener apoyo en el trabajo, en el que la persona tiene un referente/es o apoyo/s en al ámbito laboral (Afonso et al., 2021; y Li et al., 2019); el ambiente laboral o la percepción de los trabajadores respecto a sus condiciones laborales (Zhang et al., 2019; y Gan et al., 2019); el número de médicos o de equipo (De Marchis et al., 2019; Hain et al., 2021); la presencia de un trabajador social en el hospital (De Marchis et al., 2019); trabajar en una clínica reconocida, que contará con más recursos y financiación (De Marchis et al., 2019); y tener autonomía en el  trabajo o capacidad de toma de decisiones en </w:t>
      </w:r>
      <w:r w:rsidR="00AC48C8" w:rsidRPr="004B697B">
        <w:rPr>
          <w:rFonts w:ascii="Times New Roman" w:eastAsia="Times New Roman" w:hAnsi="Times New Roman" w:cs="Times New Roman"/>
          <w:color w:val="000000"/>
          <w:sz w:val="24"/>
          <w:szCs w:val="24"/>
          <w:lang w:val="es-ES"/>
        </w:rPr>
        <w:t>el</w:t>
      </w:r>
      <w:r w:rsidRPr="004B697B">
        <w:rPr>
          <w:rFonts w:ascii="Times New Roman" w:eastAsia="Times New Roman" w:hAnsi="Times New Roman" w:cs="Times New Roman"/>
          <w:color w:val="000000"/>
          <w:sz w:val="24"/>
          <w:szCs w:val="24"/>
          <w:lang w:val="es-ES"/>
        </w:rPr>
        <w:t xml:space="preserve"> puesto laboral (Li et al., 2019).  </w:t>
      </w:r>
    </w:p>
    <w:p w14:paraId="5DFB6373" w14:textId="7DE1E980" w:rsidR="00B73DF0" w:rsidRPr="004B697B" w:rsidRDefault="00634636" w:rsidP="006037D6">
      <w:pPr>
        <w:spacing w:before="240" w:after="240" w:line="480" w:lineRule="auto"/>
        <w:ind w:firstLine="700"/>
      </w:pPr>
      <w:r w:rsidRPr="004B697B">
        <w:rPr>
          <w:rFonts w:ascii="Times New Roman" w:eastAsia="Times New Roman" w:hAnsi="Times New Roman" w:cs="Times New Roman"/>
          <w:color w:val="000000"/>
          <w:sz w:val="24"/>
          <w:szCs w:val="24"/>
          <w:lang w:val="es-ES"/>
        </w:rPr>
        <w:t>Todas estas condiciones y factores asociad</w:t>
      </w:r>
      <w:r w:rsidR="00AC48C8" w:rsidRPr="004B697B">
        <w:rPr>
          <w:rFonts w:ascii="Times New Roman" w:eastAsia="Times New Roman" w:hAnsi="Times New Roman" w:cs="Times New Roman"/>
          <w:color w:val="000000"/>
          <w:sz w:val="24"/>
          <w:szCs w:val="24"/>
          <w:lang w:val="es-ES"/>
        </w:rPr>
        <w:t>os</w:t>
      </w:r>
      <w:r w:rsidRPr="004B697B">
        <w:rPr>
          <w:rFonts w:ascii="Times New Roman" w:eastAsia="Times New Roman" w:hAnsi="Times New Roman" w:cs="Times New Roman"/>
          <w:color w:val="000000"/>
          <w:sz w:val="24"/>
          <w:szCs w:val="24"/>
          <w:lang w:val="es-ES"/>
        </w:rPr>
        <w:t xml:space="preserve"> a la tarea asistencial de los sanitarios influye en su calidad de vida (Barragán et al., 2015), pues el trabajo como sanitario conlleva </w:t>
      </w:r>
      <w:r w:rsidRPr="004B697B">
        <w:rPr>
          <w:rFonts w:ascii="Times New Roman" w:eastAsia="Times New Roman" w:hAnsi="Times New Roman" w:cs="Times New Roman"/>
          <w:color w:val="000000"/>
          <w:sz w:val="24"/>
          <w:szCs w:val="24"/>
          <w:lang w:val="es-ES"/>
        </w:rPr>
        <w:lastRenderedPageBreak/>
        <w:t>una gran inestabilidad, que genera frustración y un alto grado de tensión emocional,</w:t>
      </w:r>
      <w:r w:rsidR="00C26D6E">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 xml:space="preserve">aumentando las probabilidades de padecer estrés laboral y burnout (Rodríguez Carvajal et al., 2011). Este estudio tiene varias limitaciones </w:t>
      </w:r>
      <w:r w:rsidR="00F73521">
        <w:rPr>
          <w:rFonts w:ascii="Times New Roman" w:eastAsia="Times New Roman" w:hAnsi="Times New Roman" w:cs="Times New Roman"/>
          <w:color w:val="000000"/>
          <w:sz w:val="24"/>
          <w:szCs w:val="24"/>
          <w:lang w:val="es-ES"/>
        </w:rPr>
        <w:t xml:space="preserve">a las que se debe prestar atención a la hora de </w:t>
      </w:r>
      <w:r w:rsidRPr="004B697B">
        <w:rPr>
          <w:rFonts w:ascii="Times New Roman" w:eastAsia="Times New Roman" w:hAnsi="Times New Roman" w:cs="Times New Roman"/>
          <w:color w:val="000000"/>
          <w:sz w:val="24"/>
          <w:szCs w:val="24"/>
          <w:lang w:val="es-ES"/>
        </w:rPr>
        <w:t>interpretar los resulta</w:t>
      </w:r>
      <w:r w:rsidR="00222A87">
        <w:rPr>
          <w:rFonts w:ascii="Times New Roman" w:eastAsia="Times New Roman" w:hAnsi="Times New Roman" w:cs="Times New Roman"/>
          <w:color w:val="000000"/>
          <w:sz w:val="24"/>
          <w:szCs w:val="24"/>
          <w:lang w:val="es-ES"/>
        </w:rPr>
        <w:t>d</w:t>
      </w:r>
      <w:r w:rsidRPr="004B697B">
        <w:rPr>
          <w:rFonts w:ascii="Times New Roman" w:eastAsia="Times New Roman" w:hAnsi="Times New Roman" w:cs="Times New Roman"/>
          <w:color w:val="000000"/>
          <w:sz w:val="24"/>
          <w:szCs w:val="24"/>
          <w:lang w:val="es-ES"/>
        </w:rPr>
        <w:t>os.</w:t>
      </w:r>
    </w:p>
    <w:p w14:paraId="3AFC5276" w14:textId="77777777" w:rsidR="00B73DF0" w:rsidRPr="006037D6" w:rsidRDefault="00B73DF0" w:rsidP="006037D6">
      <w:pPr>
        <w:spacing w:before="240" w:after="240" w:line="480" w:lineRule="auto"/>
        <w:rPr>
          <w:rFonts w:ascii="Times New Roman" w:eastAsia="Times New Roman" w:hAnsi="Times New Roman" w:cs="Times New Roman"/>
          <w:i/>
          <w:iCs/>
          <w:color w:val="000000"/>
          <w:sz w:val="24"/>
          <w:szCs w:val="24"/>
          <w:lang w:val="es-ES"/>
        </w:rPr>
      </w:pPr>
      <w:r w:rsidRPr="006037D6">
        <w:rPr>
          <w:rFonts w:ascii="Times New Roman" w:eastAsia="Times New Roman" w:hAnsi="Times New Roman" w:cs="Times New Roman"/>
          <w:i/>
          <w:iCs/>
          <w:color w:val="000000"/>
          <w:sz w:val="24"/>
          <w:szCs w:val="24"/>
          <w:lang w:val="es-ES"/>
        </w:rPr>
        <w:t>Limitaciones</w:t>
      </w:r>
    </w:p>
    <w:p w14:paraId="037A0ACF" w14:textId="3783C6A0" w:rsidR="00634636" w:rsidRPr="004B697B" w:rsidRDefault="00634636" w:rsidP="00222A87">
      <w:pPr>
        <w:spacing w:before="240" w:after="240"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En primer </w:t>
      </w:r>
      <w:r w:rsidR="00FE2C0F" w:rsidRPr="004B697B">
        <w:rPr>
          <w:rFonts w:ascii="Times New Roman" w:eastAsia="Times New Roman" w:hAnsi="Times New Roman" w:cs="Times New Roman"/>
          <w:color w:val="000000"/>
          <w:sz w:val="24"/>
          <w:szCs w:val="24"/>
          <w:lang w:val="es-ES"/>
        </w:rPr>
        <w:t>lugar</w:t>
      </w:r>
      <w:r w:rsidRPr="004B697B">
        <w:rPr>
          <w:rFonts w:ascii="Times New Roman" w:eastAsia="Times New Roman" w:hAnsi="Times New Roman" w:cs="Times New Roman"/>
          <w:color w:val="000000"/>
          <w:sz w:val="24"/>
          <w:szCs w:val="24"/>
          <w:lang w:val="es-ES"/>
        </w:rPr>
        <w:t xml:space="preserve">, la </w:t>
      </w:r>
      <w:r w:rsidR="0069394C">
        <w:rPr>
          <w:rFonts w:ascii="Times New Roman" w:eastAsia="Times New Roman" w:hAnsi="Times New Roman" w:cs="Times New Roman"/>
          <w:color w:val="000000"/>
          <w:sz w:val="24"/>
          <w:szCs w:val="24"/>
          <w:lang w:val="es-ES"/>
        </w:rPr>
        <w:t xml:space="preserve">divulgación </w:t>
      </w:r>
      <w:r w:rsidRPr="004B697B">
        <w:rPr>
          <w:rFonts w:ascii="Times New Roman" w:eastAsia="Times New Roman" w:hAnsi="Times New Roman" w:cs="Times New Roman"/>
          <w:color w:val="000000"/>
          <w:sz w:val="24"/>
          <w:szCs w:val="24"/>
          <w:lang w:val="es-ES"/>
        </w:rPr>
        <w:t xml:space="preserve">de los resultados </w:t>
      </w:r>
      <w:r w:rsidR="000D301D">
        <w:rPr>
          <w:rFonts w:ascii="Times New Roman" w:eastAsia="Times New Roman" w:hAnsi="Times New Roman" w:cs="Times New Roman"/>
          <w:color w:val="000000"/>
          <w:sz w:val="24"/>
          <w:szCs w:val="24"/>
          <w:lang w:val="es-ES"/>
        </w:rPr>
        <w:t xml:space="preserve">presenta como límite </w:t>
      </w:r>
      <w:r w:rsidRPr="004B697B">
        <w:rPr>
          <w:rFonts w:ascii="Times New Roman" w:eastAsia="Times New Roman" w:hAnsi="Times New Roman" w:cs="Times New Roman"/>
          <w:color w:val="000000"/>
          <w:sz w:val="24"/>
          <w:szCs w:val="24"/>
          <w:lang w:val="es-ES"/>
        </w:rPr>
        <w:t xml:space="preserve">las características de la población </w:t>
      </w:r>
      <w:r w:rsidR="001F56A4">
        <w:rPr>
          <w:rFonts w:ascii="Times New Roman" w:eastAsia="Times New Roman" w:hAnsi="Times New Roman" w:cs="Times New Roman"/>
          <w:color w:val="000000"/>
          <w:sz w:val="24"/>
          <w:szCs w:val="24"/>
          <w:lang w:val="es-ES"/>
        </w:rPr>
        <w:t xml:space="preserve">que conforman la </w:t>
      </w:r>
      <w:r w:rsidRPr="004B697B">
        <w:rPr>
          <w:rFonts w:ascii="Times New Roman" w:eastAsia="Times New Roman" w:hAnsi="Times New Roman" w:cs="Times New Roman"/>
          <w:color w:val="000000"/>
          <w:sz w:val="24"/>
          <w:szCs w:val="24"/>
          <w:lang w:val="es-ES"/>
        </w:rPr>
        <w:t>muestra</w:t>
      </w:r>
      <w:r w:rsidR="001F56A4">
        <w:rPr>
          <w:rFonts w:ascii="Times New Roman" w:eastAsia="Times New Roman" w:hAnsi="Times New Roman" w:cs="Times New Roman"/>
          <w:color w:val="000000"/>
          <w:sz w:val="24"/>
          <w:szCs w:val="24"/>
          <w:lang w:val="es-ES"/>
        </w:rPr>
        <w:t xml:space="preserve"> del estudio</w:t>
      </w:r>
      <w:r w:rsidRPr="004B697B">
        <w:rPr>
          <w:rFonts w:ascii="Times New Roman" w:eastAsia="Times New Roman" w:hAnsi="Times New Roman" w:cs="Times New Roman"/>
          <w:color w:val="000000"/>
          <w:sz w:val="24"/>
          <w:szCs w:val="24"/>
          <w:lang w:val="es-ES"/>
        </w:rPr>
        <w:t xml:space="preserve">, </w:t>
      </w:r>
      <w:r w:rsidR="000D301D">
        <w:rPr>
          <w:rFonts w:ascii="Times New Roman" w:eastAsia="Times New Roman" w:hAnsi="Times New Roman" w:cs="Times New Roman"/>
          <w:color w:val="000000"/>
          <w:sz w:val="24"/>
          <w:szCs w:val="24"/>
          <w:lang w:val="es-ES"/>
        </w:rPr>
        <w:t xml:space="preserve">pues son, </w:t>
      </w:r>
      <w:r w:rsidRPr="004B697B">
        <w:rPr>
          <w:rFonts w:ascii="Times New Roman" w:eastAsia="Times New Roman" w:hAnsi="Times New Roman" w:cs="Times New Roman"/>
          <w:color w:val="000000"/>
          <w:sz w:val="24"/>
          <w:szCs w:val="24"/>
          <w:lang w:val="es-ES"/>
        </w:rPr>
        <w:t>en su mayor</w:t>
      </w:r>
      <w:r w:rsidR="00361D73">
        <w:rPr>
          <w:rFonts w:ascii="Times New Roman" w:eastAsia="Times New Roman" w:hAnsi="Times New Roman" w:cs="Times New Roman"/>
          <w:color w:val="000000"/>
          <w:sz w:val="24"/>
          <w:szCs w:val="24"/>
          <w:lang w:val="es-ES"/>
        </w:rPr>
        <w:t xml:space="preserve"> parte, </w:t>
      </w:r>
      <w:r w:rsidRPr="004B697B">
        <w:rPr>
          <w:rFonts w:ascii="Times New Roman" w:eastAsia="Times New Roman" w:hAnsi="Times New Roman" w:cs="Times New Roman"/>
          <w:color w:val="000000"/>
          <w:sz w:val="24"/>
          <w:szCs w:val="24"/>
          <w:lang w:val="es-ES"/>
        </w:rPr>
        <w:t>personal sanitario con años de experiencia, sin contar con estudiantes del ámbito sanitario o residentes. Además, en los estudios</w:t>
      </w:r>
      <w:r w:rsidR="007E757A" w:rsidRPr="004B697B">
        <w:rPr>
          <w:rFonts w:ascii="Times New Roman" w:eastAsia="Times New Roman" w:hAnsi="Times New Roman" w:cs="Times New Roman"/>
          <w:color w:val="000000"/>
          <w:sz w:val="24"/>
          <w:szCs w:val="24"/>
          <w:lang w:val="es-ES"/>
        </w:rPr>
        <w:t>,</w:t>
      </w:r>
      <w:r w:rsidRPr="004B697B">
        <w:rPr>
          <w:rFonts w:ascii="Times New Roman" w:eastAsia="Times New Roman" w:hAnsi="Times New Roman" w:cs="Times New Roman"/>
          <w:color w:val="000000"/>
          <w:sz w:val="24"/>
          <w:szCs w:val="24"/>
          <w:lang w:val="es-ES"/>
        </w:rPr>
        <w:t xml:space="preserve"> la muestra está formada por médicos/as y enfermeros/as sin tener en cuenta otras profesiones del ámbito sanitario. </w:t>
      </w:r>
    </w:p>
    <w:p w14:paraId="7BFD4923" w14:textId="4B49E3A0" w:rsidR="00634636" w:rsidRPr="004B697B" w:rsidRDefault="00634636" w:rsidP="004B697B">
      <w:pPr>
        <w:spacing w:before="240" w:after="240"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En segundo lugar, debido a la baja tasa de respuesta, la muestra de algunos </w:t>
      </w:r>
      <w:r w:rsidR="007E757A" w:rsidRPr="004B697B">
        <w:rPr>
          <w:rFonts w:ascii="Times New Roman" w:eastAsia="Times New Roman" w:hAnsi="Times New Roman" w:cs="Times New Roman"/>
          <w:color w:val="000000"/>
          <w:sz w:val="24"/>
          <w:szCs w:val="24"/>
          <w:lang w:val="es-ES"/>
        </w:rPr>
        <w:t>estudios</w:t>
      </w:r>
      <w:r w:rsidRPr="004B697B">
        <w:rPr>
          <w:rFonts w:ascii="Times New Roman" w:eastAsia="Times New Roman" w:hAnsi="Times New Roman" w:cs="Times New Roman"/>
          <w:color w:val="000000"/>
          <w:sz w:val="24"/>
          <w:szCs w:val="24"/>
          <w:lang w:val="es-ES"/>
        </w:rPr>
        <w:t xml:space="preserve"> no es muy amplia, por lo que el tamaño de la muestra no es el óptimo. </w:t>
      </w:r>
    </w:p>
    <w:p w14:paraId="3EEBCEC8" w14:textId="56141073" w:rsidR="00634636" w:rsidRPr="004B697B" w:rsidRDefault="00634636" w:rsidP="004B697B">
      <w:pPr>
        <w:spacing w:before="240" w:after="240" w:line="480" w:lineRule="auto"/>
        <w:ind w:firstLine="720"/>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En tercer lugar, se empleó en muchos estudios un diseño transversal, lo que impidió evaluar la temporalidad y causalidad de las relaciones observadas, limitando </w:t>
      </w:r>
      <w:r w:rsidR="004A0CC2">
        <w:rPr>
          <w:rFonts w:ascii="Times New Roman" w:eastAsia="Times New Roman" w:hAnsi="Times New Roman" w:cs="Times New Roman"/>
          <w:color w:val="000000"/>
          <w:sz w:val="24"/>
          <w:szCs w:val="24"/>
          <w:lang w:val="es-ES"/>
        </w:rPr>
        <w:t>la</w:t>
      </w:r>
      <w:r w:rsidR="004A0CC2" w:rsidRPr="004B697B">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 xml:space="preserve">capacidad para extraer </w:t>
      </w:r>
      <w:r w:rsidR="004A0CC2">
        <w:rPr>
          <w:rFonts w:ascii="Times New Roman" w:eastAsia="Times New Roman" w:hAnsi="Times New Roman" w:cs="Times New Roman"/>
          <w:color w:val="000000"/>
          <w:sz w:val="24"/>
          <w:szCs w:val="24"/>
          <w:lang w:val="es-ES"/>
        </w:rPr>
        <w:t>relaciones</w:t>
      </w:r>
      <w:r w:rsidR="004A0CC2" w:rsidRPr="004B697B">
        <w:rPr>
          <w:rFonts w:ascii="Times New Roman" w:eastAsia="Times New Roman" w:hAnsi="Times New Roman" w:cs="Times New Roman"/>
          <w:color w:val="000000"/>
          <w:sz w:val="24"/>
          <w:szCs w:val="24"/>
          <w:lang w:val="es-ES"/>
        </w:rPr>
        <w:t xml:space="preserve"> </w:t>
      </w:r>
      <w:r w:rsidRPr="004B697B">
        <w:rPr>
          <w:rFonts w:ascii="Times New Roman" w:eastAsia="Times New Roman" w:hAnsi="Times New Roman" w:cs="Times New Roman"/>
          <w:color w:val="000000"/>
          <w:sz w:val="24"/>
          <w:szCs w:val="24"/>
          <w:lang w:val="es-ES"/>
        </w:rPr>
        <w:t xml:space="preserve">casuales, por lo que realizar un estudio longitudinal sería necesario para </w:t>
      </w:r>
      <w:r w:rsidR="007E757A" w:rsidRPr="004B697B">
        <w:rPr>
          <w:rFonts w:ascii="Times New Roman" w:eastAsia="Times New Roman" w:hAnsi="Times New Roman" w:cs="Times New Roman"/>
          <w:color w:val="000000"/>
          <w:sz w:val="24"/>
          <w:szCs w:val="24"/>
          <w:lang w:val="es-ES"/>
        </w:rPr>
        <w:t>ayudar</w:t>
      </w:r>
      <w:r w:rsidRPr="004B697B">
        <w:rPr>
          <w:rFonts w:ascii="Times New Roman" w:eastAsia="Times New Roman" w:hAnsi="Times New Roman" w:cs="Times New Roman"/>
          <w:color w:val="000000"/>
          <w:sz w:val="24"/>
          <w:szCs w:val="24"/>
          <w:lang w:val="es-ES"/>
        </w:rPr>
        <w:t xml:space="preserve"> a comprender mejor las relaciones entre las variables. </w:t>
      </w:r>
    </w:p>
    <w:p w14:paraId="2878FB27" w14:textId="4A66103F" w:rsidR="0001662A" w:rsidRPr="004B697B" w:rsidRDefault="00634636" w:rsidP="00F54BED">
      <w:pPr>
        <w:spacing w:before="240" w:after="240" w:line="480" w:lineRule="auto"/>
        <w:ind w:firstLine="708"/>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 xml:space="preserve">Por último, en la </w:t>
      </w:r>
      <w:r w:rsidR="007E757A" w:rsidRPr="004B697B">
        <w:rPr>
          <w:rFonts w:ascii="Times New Roman" w:eastAsia="Times New Roman" w:hAnsi="Times New Roman" w:cs="Times New Roman"/>
          <w:color w:val="000000"/>
          <w:sz w:val="24"/>
          <w:szCs w:val="24"/>
          <w:lang w:val="es-ES"/>
        </w:rPr>
        <w:t>mayoría</w:t>
      </w:r>
      <w:r w:rsidRPr="004B697B">
        <w:rPr>
          <w:rFonts w:ascii="Times New Roman" w:eastAsia="Times New Roman" w:hAnsi="Times New Roman" w:cs="Times New Roman"/>
          <w:color w:val="000000"/>
          <w:sz w:val="24"/>
          <w:szCs w:val="24"/>
          <w:lang w:val="es-ES"/>
        </w:rPr>
        <w:t xml:space="preserve"> de los estudios, emplear este tipo de instrumentos para evaluar los factores tiende a generar un sesgo de respuesta (sesgo de </w:t>
      </w:r>
      <w:r w:rsidRPr="0001662A">
        <w:rPr>
          <w:rFonts w:ascii="Times New Roman" w:eastAsia="Times New Roman" w:hAnsi="Times New Roman" w:cs="Times New Roman"/>
          <w:color w:val="000000" w:themeColor="text1"/>
          <w:sz w:val="24"/>
          <w:szCs w:val="24"/>
          <w:lang w:val="es-ES"/>
        </w:rPr>
        <w:t>des</w:t>
      </w:r>
      <w:r w:rsidR="00B26CCD" w:rsidRPr="0001662A">
        <w:rPr>
          <w:rFonts w:ascii="Times New Roman" w:eastAsia="Times New Roman" w:hAnsi="Times New Roman" w:cs="Times New Roman"/>
          <w:color w:val="000000" w:themeColor="text1"/>
          <w:sz w:val="24"/>
          <w:szCs w:val="24"/>
          <w:lang w:val="es-ES"/>
        </w:rPr>
        <w:t>e</w:t>
      </w:r>
      <w:r w:rsidRPr="0001662A">
        <w:rPr>
          <w:rFonts w:ascii="Times New Roman" w:eastAsia="Times New Roman" w:hAnsi="Times New Roman" w:cs="Times New Roman"/>
          <w:color w:val="000000" w:themeColor="text1"/>
          <w:sz w:val="24"/>
          <w:szCs w:val="24"/>
          <w:lang w:val="es-ES"/>
        </w:rPr>
        <w:t xml:space="preserve">abilidad </w:t>
      </w:r>
      <w:r w:rsidRPr="004B697B">
        <w:rPr>
          <w:rFonts w:ascii="Times New Roman" w:eastAsia="Times New Roman" w:hAnsi="Times New Roman" w:cs="Times New Roman"/>
          <w:color w:val="000000"/>
          <w:sz w:val="24"/>
          <w:szCs w:val="24"/>
          <w:lang w:val="es-ES"/>
        </w:rPr>
        <w:t>social, sesgo de recuerdo, sesgo de método común y sesgo de selección). </w:t>
      </w:r>
      <w:r w:rsidR="00171A56" w:rsidDel="00171A56">
        <w:rPr>
          <w:rFonts w:ascii="Times New Roman" w:eastAsia="Times New Roman" w:hAnsi="Times New Roman" w:cs="Times New Roman"/>
          <w:color w:val="000000"/>
          <w:sz w:val="24"/>
          <w:szCs w:val="24"/>
          <w:lang w:val="es-ES"/>
        </w:rPr>
        <w:t xml:space="preserve"> </w:t>
      </w:r>
    </w:p>
    <w:p w14:paraId="2E0EEF05" w14:textId="0A19010B" w:rsidR="00B73DF0" w:rsidRPr="006037D6" w:rsidRDefault="00B73DF0" w:rsidP="006037D6">
      <w:pPr>
        <w:pStyle w:val="Ttulo2"/>
        <w:rPr>
          <w:rFonts w:eastAsia="Times New Roman"/>
        </w:rPr>
      </w:pPr>
      <w:bookmarkStart w:id="5" w:name="_Toc137811626"/>
      <w:r w:rsidRPr="006037D6">
        <w:rPr>
          <w:rFonts w:ascii="Times New Roman" w:hAnsi="Times New Roman" w:cs="Times New Roman"/>
          <w:i/>
          <w:iCs/>
          <w:color w:val="000000" w:themeColor="text1"/>
          <w:sz w:val="24"/>
          <w:szCs w:val="24"/>
        </w:rPr>
        <w:t>Futuras Líneas de Investigación</w:t>
      </w:r>
      <w:bookmarkEnd w:id="5"/>
    </w:p>
    <w:p w14:paraId="16A28ACD" w14:textId="158B0480" w:rsidR="00634636" w:rsidRPr="004B697B" w:rsidRDefault="00634636" w:rsidP="006037D6">
      <w:pPr>
        <w:spacing w:before="240" w:after="240" w:line="480" w:lineRule="auto"/>
        <w:ind w:firstLine="708"/>
        <w:rPr>
          <w:rFonts w:ascii="Times New Roman" w:eastAsia="Times New Roman" w:hAnsi="Times New Roman" w:cs="Times New Roman"/>
          <w:sz w:val="24"/>
          <w:szCs w:val="24"/>
          <w:lang w:val="es-ES"/>
        </w:rPr>
      </w:pPr>
      <w:r w:rsidRPr="004B697B">
        <w:rPr>
          <w:rFonts w:ascii="Times New Roman" w:eastAsia="Times New Roman" w:hAnsi="Times New Roman" w:cs="Times New Roman"/>
          <w:color w:val="000000"/>
          <w:sz w:val="24"/>
          <w:szCs w:val="24"/>
          <w:lang w:val="es-ES"/>
        </w:rPr>
        <w:t>Las futuras líneas de investigación que se proponen son</w:t>
      </w:r>
      <w:r w:rsidR="00B26CCD" w:rsidRPr="004B697B">
        <w:rPr>
          <w:rFonts w:ascii="Times New Roman" w:eastAsia="Times New Roman" w:hAnsi="Times New Roman" w:cs="Times New Roman"/>
          <w:color w:val="000000"/>
          <w:sz w:val="24"/>
          <w:szCs w:val="24"/>
          <w:lang w:val="es-ES"/>
        </w:rPr>
        <w:t>,</w:t>
      </w:r>
      <w:r w:rsidRPr="004B697B">
        <w:rPr>
          <w:rFonts w:ascii="Times New Roman" w:eastAsia="Times New Roman" w:hAnsi="Times New Roman" w:cs="Times New Roman"/>
          <w:color w:val="000000"/>
          <w:sz w:val="24"/>
          <w:szCs w:val="24"/>
          <w:lang w:val="es-ES"/>
        </w:rPr>
        <w:t xml:space="preserve"> en primer lugar, realizar estudios con mayor </w:t>
      </w:r>
      <w:r w:rsidR="004A0CC2" w:rsidRPr="004B697B">
        <w:rPr>
          <w:rFonts w:ascii="Times New Roman" w:eastAsia="Times New Roman" w:hAnsi="Times New Roman" w:cs="Times New Roman"/>
          <w:color w:val="000000"/>
          <w:sz w:val="24"/>
          <w:szCs w:val="24"/>
          <w:lang w:val="es-ES"/>
        </w:rPr>
        <w:t>variabilidad</w:t>
      </w:r>
      <w:r w:rsidRPr="004B697B">
        <w:rPr>
          <w:rFonts w:ascii="Times New Roman" w:eastAsia="Times New Roman" w:hAnsi="Times New Roman" w:cs="Times New Roman"/>
          <w:color w:val="000000"/>
          <w:sz w:val="24"/>
          <w:szCs w:val="24"/>
          <w:lang w:val="es-ES"/>
        </w:rPr>
        <w:t xml:space="preserve"> del personal sanitario, </w:t>
      </w:r>
      <w:r w:rsidR="00B26CCD" w:rsidRPr="004B697B">
        <w:rPr>
          <w:rFonts w:ascii="Times New Roman" w:eastAsia="Times New Roman" w:hAnsi="Times New Roman" w:cs="Times New Roman"/>
          <w:color w:val="000000"/>
          <w:sz w:val="24"/>
          <w:szCs w:val="24"/>
          <w:lang w:val="es-ES"/>
        </w:rPr>
        <w:t>incluyendo</w:t>
      </w:r>
      <w:r w:rsidRPr="004B697B">
        <w:rPr>
          <w:rFonts w:ascii="Times New Roman" w:eastAsia="Times New Roman" w:hAnsi="Times New Roman" w:cs="Times New Roman"/>
          <w:color w:val="000000"/>
          <w:sz w:val="24"/>
          <w:szCs w:val="24"/>
          <w:lang w:val="es-ES"/>
        </w:rPr>
        <w:t xml:space="preserve"> más variedad de profesiones y </w:t>
      </w:r>
      <w:r w:rsidR="00B26CCD" w:rsidRPr="004B697B">
        <w:rPr>
          <w:rFonts w:ascii="Times New Roman" w:eastAsia="Times New Roman" w:hAnsi="Times New Roman" w:cs="Times New Roman"/>
          <w:color w:val="000000"/>
          <w:sz w:val="24"/>
          <w:szCs w:val="24"/>
          <w:lang w:val="es-ES"/>
        </w:rPr>
        <w:t>estudiantes</w:t>
      </w:r>
      <w:r w:rsidRPr="004B697B">
        <w:rPr>
          <w:rFonts w:ascii="Times New Roman" w:eastAsia="Times New Roman" w:hAnsi="Times New Roman" w:cs="Times New Roman"/>
          <w:color w:val="000000"/>
          <w:sz w:val="24"/>
          <w:szCs w:val="24"/>
          <w:lang w:val="es-ES"/>
        </w:rPr>
        <w:t>, así como aumentando el tamaño de la muestra. </w:t>
      </w:r>
    </w:p>
    <w:p w14:paraId="68F23C05" w14:textId="3AB19641" w:rsidR="00BD2262" w:rsidRPr="004B697B" w:rsidRDefault="00634636" w:rsidP="004B697B">
      <w:pPr>
        <w:spacing w:before="240" w:after="240" w:line="480" w:lineRule="auto"/>
        <w:ind w:firstLine="720"/>
        <w:rPr>
          <w:rFonts w:ascii="Times New Roman" w:eastAsia="Times New Roman" w:hAnsi="Times New Roman" w:cs="Times New Roman"/>
          <w:color w:val="000000"/>
          <w:sz w:val="24"/>
          <w:szCs w:val="24"/>
          <w:lang w:val="es-ES"/>
        </w:rPr>
      </w:pPr>
      <w:r w:rsidRPr="004B697B">
        <w:rPr>
          <w:rFonts w:ascii="Times New Roman" w:eastAsia="Times New Roman" w:hAnsi="Times New Roman" w:cs="Times New Roman"/>
          <w:color w:val="000000"/>
          <w:sz w:val="24"/>
          <w:szCs w:val="24"/>
          <w:lang w:val="es-ES"/>
        </w:rPr>
        <w:lastRenderedPageBreak/>
        <w:t xml:space="preserve">De igual manera, es necesario el empleo de estudios longitudinales </w:t>
      </w:r>
      <w:r w:rsidR="0044409B">
        <w:rPr>
          <w:rFonts w:ascii="Times New Roman" w:eastAsia="Times New Roman" w:hAnsi="Times New Roman" w:cs="Times New Roman"/>
          <w:color w:val="000000"/>
          <w:sz w:val="24"/>
          <w:szCs w:val="24"/>
          <w:lang w:val="es-ES"/>
        </w:rPr>
        <w:t xml:space="preserve">en futuras investigaciones, </w:t>
      </w:r>
      <w:r w:rsidRPr="004B697B">
        <w:rPr>
          <w:rFonts w:ascii="Times New Roman" w:eastAsia="Times New Roman" w:hAnsi="Times New Roman" w:cs="Times New Roman"/>
          <w:color w:val="000000"/>
          <w:sz w:val="24"/>
          <w:szCs w:val="24"/>
          <w:lang w:val="es-ES"/>
        </w:rPr>
        <w:t xml:space="preserve">para </w:t>
      </w:r>
      <w:r w:rsidR="00C93843">
        <w:rPr>
          <w:rFonts w:ascii="Times New Roman" w:eastAsia="Times New Roman" w:hAnsi="Times New Roman" w:cs="Times New Roman"/>
          <w:color w:val="000000"/>
          <w:sz w:val="24"/>
          <w:szCs w:val="24"/>
          <w:lang w:val="es-ES"/>
        </w:rPr>
        <w:t>garantizar</w:t>
      </w:r>
      <w:r w:rsidRPr="004B697B">
        <w:rPr>
          <w:rFonts w:ascii="Times New Roman" w:eastAsia="Times New Roman" w:hAnsi="Times New Roman" w:cs="Times New Roman"/>
          <w:color w:val="000000"/>
          <w:sz w:val="24"/>
          <w:szCs w:val="24"/>
          <w:lang w:val="es-ES"/>
        </w:rPr>
        <w:t xml:space="preserve"> el orden temporal de las </w:t>
      </w:r>
      <w:r w:rsidR="0044409B">
        <w:rPr>
          <w:rFonts w:ascii="Times New Roman" w:eastAsia="Times New Roman" w:hAnsi="Times New Roman" w:cs="Times New Roman"/>
          <w:color w:val="000000"/>
          <w:sz w:val="24"/>
          <w:szCs w:val="24"/>
          <w:lang w:val="es-ES"/>
        </w:rPr>
        <w:t xml:space="preserve">distintas </w:t>
      </w:r>
      <w:r w:rsidRPr="004B697B">
        <w:rPr>
          <w:rFonts w:ascii="Times New Roman" w:eastAsia="Times New Roman" w:hAnsi="Times New Roman" w:cs="Times New Roman"/>
          <w:color w:val="000000"/>
          <w:sz w:val="24"/>
          <w:szCs w:val="24"/>
          <w:lang w:val="es-ES"/>
        </w:rPr>
        <w:t xml:space="preserve">variables, </w:t>
      </w:r>
      <w:r w:rsidR="009A4F5A">
        <w:rPr>
          <w:rFonts w:ascii="Times New Roman" w:eastAsia="Times New Roman" w:hAnsi="Times New Roman" w:cs="Times New Roman"/>
          <w:color w:val="000000"/>
          <w:sz w:val="24"/>
          <w:szCs w:val="24"/>
          <w:lang w:val="es-ES"/>
        </w:rPr>
        <w:t xml:space="preserve">su causalidad, </w:t>
      </w:r>
      <w:r w:rsidR="0044409B">
        <w:rPr>
          <w:rFonts w:ascii="Times New Roman" w:eastAsia="Times New Roman" w:hAnsi="Times New Roman" w:cs="Times New Roman"/>
          <w:color w:val="000000"/>
          <w:sz w:val="24"/>
          <w:szCs w:val="24"/>
          <w:lang w:val="es-ES"/>
        </w:rPr>
        <w:t xml:space="preserve">las </w:t>
      </w:r>
      <w:r w:rsidR="009A4F5A">
        <w:rPr>
          <w:rFonts w:ascii="Times New Roman" w:eastAsia="Times New Roman" w:hAnsi="Times New Roman" w:cs="Times New Roman"/>
          <w:color w:val="000000"/>
          <w:sz w:val="24"/>
          <w:szCs w:val="24"/>
          <w:lang w:val="es-ES"/>
        </w:rPr>
        <w:t>relaciones</w:t>
      </w:r>
      <w:r w:rsidR="0044409B">
        <w:rPr>
          <w:rFonts w:ascii="Times New Roman" w:eastAsia="Times New Roman" w:hAnsi="Times New Roman" w:cs="Times New Roman"/>
          <w:color w:val="000000"/>
          <w:sz w:val="24"/>
          <w:szCs w:val="24"/>
          <w:lang w:val="es-ES"/>
        </w:rPr>
        <w:t xml:space="preserve"> existentes</w:t>
      </w:r>
      <w:r w:rsidRPr="004B697B">
        <w:rPr>
          <w:rFonts w:ascii="Times New Roman" w:eastAsia="Times New Roman" w:hAnsi="Times New Roman" w:cs="Times New Roman"/>
          <w:color w:val="000000"/>
          <w:sz w:val="24"/>
          <w:szCs w:val="24"/>
          <w:lang w:val="es-ES"/>
        </w:rPr>
        <w:t>, y un</w:t>
      </w:r>
      <w:r w:rsidR="00D02847">
        <w:rPr>
          <w:rFonts w:ascii="Times New Roman" w:eastAsia="Times New Roman" w:hAnsi="Times New Roman" w:cs="Times New Roman"/>
          <w:color w:val="000000"/>
          <w:sz w:val="24"/>
          <w:szCs w:val="24"/>
          <w:lang w:val="es-ES"/>
        </w:rPr>
        <w:t xml:space="preserve">a mejor comprensión </w:t>
      </w:r>
      <w:r w:rsidRPr="004B697B">
        <w:rPr>
          <w:rFonts w:ascii="Times New Roman" w:eastAsia="Times New Roman" w:hAnsi="Times New Roman" w:cs="Times New Roman"/>
          <w:color w:val="000000"/>
          <w:sz w:val="24"/>
          <w:szCs w:val="24"/>
          <w:lang w:val="es-ES"/>
        </w:rPr>
        <w:t xml:space="preserve">de los resultados. </w:t>
      </w:r>
    </w:p>
    <w:p w14:paraId="2A789100" w14:textId="0C95C6A4" w:rsidR="00634636" w:rsidRDefault="00634636" w:rsidP="004B697B">
      <w:pPr>
        <w:spacing w:before="240" w:after="240" w:line="480" w:lineRule="auto"/>
        <w:ind w:firstLine="720"/>
        <w:rPr>
          <w:rFonts w:ascii="Times New Roman" w:eastAsia="Times New Roman" w:hAnsi="Times New Roman" w:cs="Times New Roman"/>
          <w:color w:val="000000"/>
          <w:sz w:val="24"/>
          <w:szCs w:val="24"/>
          <w:lang w:val="es-ES"/>
        </w:rPr>
      </w:pPr>
      <w:r w:rsidRPr="004B697B">
        <w:rPr>
          <w:rFonts w:ascii="Times New Roman" w:eastAsia="Times New Roman" w:hAnsi="Times New Roman" w:cs="Times New Roman"/>
          <w:color w:val="000000"/>
          <w:sz w:val="24"/>
          <w:szCs w:val="24"/>
          <w:lang w:val="es-ES"/>
        </w:rPr>
        <w:t>Finalmente, se recomienda seguir investigando futuros planes de acción para prevenir el desarrollo del síndrome de burnout que pueden llegar a experimentar los sanitarios durante su vida laboral.</w:t>
      </w:r>
    </w:p>
    <w:p w14:paraId="30FBF585" w14:textId="751F9A70" w:rsidR="00B73DF0" w:rsidRDefault="00B73DF0" w:rsidP="006037D6">
      <w:pPr>
        <w:pStyle w:val="Ttulo1"/>
        <w:jc w:val="center"/>
        <w:rPr>
          <w:lang w:val="es-ES"/>
        </w:rPr>
      </w:pPr>
      <w:bookmarkStart w:id="6" w:name="_Toc137811627"/>
      <w:r w:rsidRPr="006037D6">
        <w:rPr>
          <w:rFonts w:ascii="Times New Roman" w:hAnsi="Times New Roman" w:cs="Times New Roman"/>
          <w:b/>
          <w:bCs/>
          <w:sz w:val="24"/>
          <w:szCs w:val="24"/>
          <w:lang w:val="es-ES"/>
        </w:rPr>
        <w:t>Conclusiones</w:t>
      </w:r>
      <w:bookmarkEnd w:id="6"/>
    </w:p>
    <w:p w14:paraId="27F92762" w14:textId="26A9EA25" w:rsidR="001B33CB" w:rsidRDefault="005B5BF0" w:rsidP="006037D6">
      <w:pPr>
        <w:spacing w:before="240" w:after="240" w:line="480" w:lineRule="auto"/>
        <w:ind w:firstLine="708"/>
      </w:pPr>
      <w:r>
        <w:rPr>
          <w:rFonts w:asciiTheme="majorBidi" w:hAnsiTheme="majorBidi" w:cstheme="majorBidi"/>
          <w:color w:val="080E2C"/>
          <w:sz w:val="24"/>
          <w:szCs w:val="24"/>
          <w:shd w:val="clear" w:color="auto" w:fill="FFFFFF"/>
        </w:rPr>
        <w:t>La inestabilidad de las condiciones del</w:t>
      </w:r>
      <w:r w:rsidR="00DF2CE6">
        <w:rPr>
          <w:rFonts w:asciiTheme="majorBidi" w:hAnsiTheme="majorBidi" w:cstheme="majorBidi"/>
          <w:color w:val="080E2C"/>
          <w:sz w:val="24"/>
          <w:szCs w:val="24"/>
          <w:shd w:val="clear" w:color="auto" w:fill="FFFFFF"/>
        </w:rPr>
        <w:t xml:space="preserve"> trabajo en el ámbito sanitario </w:t>
      </w:r>
      <w:r w:rsidR="00E66DDD" w:rsidRPr="006037D6">
        <w:rPr>
          <w:rFonts w:asciiTheme="majorBidi" w:hAnsiTheme="majorBidi" w:cstheme="majorBidi"/>
          <w:color w:val="080E2C"/>
          <w:sz w:val="24"/>
          <w:szCs w:val="24"/>
          <w:shd w:val="clear" w:color="auto" w:fill="FFFFFF"/>
        </w:rPr>
        <w:t>conlleva que una persona desarrolle el s</w:t>
      </w:r>
      <w:r w:rsidR="00E66DDD" w:rsidRPr="006037D6">
        <w:rPr>
          <w:rFonts w:asciiTheme="majorBidi" w:hAnsiTheme="majorBidi" w:cstheme="majorBidi" w:hint="eastAsia"/>
          <w:color w:val="080E2C"/>
          <w:sz w:val="24"/>
          <w:szCs w:val="24"/>
          <w:shd w:val="clear" w:color="auto" w:fill="FFFFFF"/>
        </w:rPr>
        <w:t>í</w:t>
      </w:r>
      <w:r w:rsidR="00E66DDD" w:rsidRPr="006037D6">
        <w:rPr>
          <w:rFonts w:asciiTheme="majorBidi" w:hAnsiTheme="majorBidi" w:cstheme="majorBidi"/>
          <w:color w:val="080E2C"/>
          <w:sz w:val="24"/>
          <w:szCs w:val="24"/>
          <w:shd w:val="clear" w:color="auto" w:fill="FFFFFF"/>
        </w:rPr>
        <w:t>ndrome del burnout</w:t>
      </w:r>
      <w:r w:rsidR="00287B02">
        <w:rPr>
          <w:rFonts w:asciiTheme="majorBidi" w:hAnsiTheme="majorBidi" w:cstheme="majorBidi"/>
          <w:color w:val="080E2C"/>
          <w:sz w:val="24"/>
          <w:szCs w:val="24"/>
          <w:shd w:val="clear" w:color="auto" w:fill="FFFFFF"/>
        </w:rPr>
        <w:t xml:space="preserve">. </w:t>
      </w:r>
      <w:r>
        <w:rPr>
          <w:rFonts w:asciiTheme="majorBidi" w:hAnsiTheme="majorBidi" w:cstheme="majorBidi"/>
          <w:color w:val="080E2C"/>
          <w:sz w:val="24"/>
          <w:szCs w:val="24"/>
          <w:shd w:val="clear" w:color="auto" w:fill="FFFFFF"/>
        </w:rPr>
        <w:t>A</w:t>
      </w:r>
      <w:r w:rsidR="00E01470">
        <w:rPr>
          <w:rFonts w:asciiTheme="majorBidi" w:hAnsiTheme="majorBidi" w:cstheme="majorBidi"/>
          <w:color w:val="080E2C"/>
          <w:sz w:val="24"/>
          <w:szCs w:val="24"/>
          <w:shd w:val="clear" w:color="auto" w:fill="FFFFFF"/>
        </w:rPr>
        <w:t xml:space="preserve"> lo largo de la revisión sistemática, </w:t>
      </w:r>
      <w:r w:rsidR="005A1970">
        <w:rPr>
          <w:rFonts w:asciiTheme="majorBidi" w:hAnsiTheme="majorBidi" w:cstheme="majorBidi"/>
          <w:sz w:val="24"/>
          <w:szCs w:val="24"/>
        </w:rPr>
        <w:t>se ha demostrado</w:t>
      </w:r>
      <w:r w:rsidR="000A76C0" w:rsidRPr="006037D6">
        <w:rPr>
          <w:rFonts w:asciiTheme="majorBidi" w:hAnsiTheme="majorBidi" w:cstheme="majorBidi"/>
          <w:sz w:val="24"/>
          <w:szCs w:val="24"/>
        </w:rPr>
        <w:t xml:space="preserve"> que, con la presencia de unas condiciones concretas (factores personales, factores sociales, condiciones laborales…) o factores de riesgo y de protección</w:t>
      </w:r>
      <w:r w:rsidR="005A2812">
        <w:rPr>
          <w:rFonts w:asciiTheme="majorBidi" w:hAnsiTheme="majorBidi" w:cstheme="majorBidi"/>
          <w:sz w:val="24"/>
          <w:szCs w:val="24"/>
        </w:rPr>
        <w:t xml:space="preserve"> </w:t>
      </w:r>
      <w:r>
        <w:rPr>
          <w:rFonts w:asciiTheme="majorBidi" w:hAnsiTheme="majorBidi" w:cstheme="majorBidi"/>
          <w:sz w:val="24"/>
          <w:szCs w:val="24"/>
        </w:rPr>
        <w:t xml:space="preserve">que han sido </w:t>
      </w:r>
      <w:r w:rsidR="005A2812">
        <w:rPr>
          <w:rFonts w:asciiTheme="majorBidi" w:hAnsiTheme="majorBidi" w:cstheme="majorBidi"/>
          <w:sz w:val="24"/>
          <w:szCs w:val="24"/>
        </w:rPr>
        <w:t xml:space="preserve">analizados </w:t>
      </w:r>
      <w:r w:rsidR="002D2C79" w:rsidRPr="006037D6">
        <w:rPr>
          <w:rFonts w:asciiTheme="majorBidi" w:hAnsiTheme="majorBidi" w:cstheme="majorBidi"/>
          <w:sz w:val="24"/>
          <w:szCs w:val="24"/>
        </w:rPr>
        <w:t>a lo largo del estudio</w:t>
      </w:r>
      <w:r w:rsidR="000A76C0" w:rsidRPr="006037D6">
        <w:rPr>
          <w:rFonts w:asciiTheme="majorBidi" w:hAnsiTheme="majorBidi" w:cstheme="majorBidi"/>
          <w:sz w:val="24"/>
          <w:szCs w:val="24"/>
        </w:rPr>
        <w:t>, cualquier sujeto puede desarrollar el síndrome, por lo que conviene prestar atención en el diseño de estrategias preventivas</w:t>
      </w:r>
      <w:r w:rsidR="000A76C0">
        <w:t xml:space="preserve">. </w:t>
      </w:r>
    </w:p>
    <w:p w14:paraId="059AB03F" w14:textId="77777777" w:rsidR="001D5676" w:rsidRPr="004B697B" w:rsidRDefault="001D5676" w:rsidP="006037D6">
      <w:pPr>
        <w:spacing w:before="240" w:after="240" w:line="480" w:lineRule="auto"/>
        <w:ind w:firstLine="708"/>
      </w:pPr>
    </w:p>
    <w:p w14:paraId="5DD9B3E6" w14:textId="33088540" w:rsidR="007E2AA6" w:rsidRPr="004B697B" w:rsidRDefault="00B73DF0" w:rsidP="006037D6">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Referencias</w:t>
      </w:r>
    </w:p>
    <w:p w14:paraId="7F166B44" w14:textId="77777777" w:rsidR="007E2AA6" w:rsidRPr="004B697B" w:rsidRDefault="007E2AA6" w:rsidP="00B73DF0">
      <w:pPr>
        <w:spacing w:before="240" w:after="240" w:line="480" w:lineRule="auto"/>
        <w:ind w:left="709" w:hanging="709"/>
        <w:rPr>
          <w:rFonts w:asciiTheme="majorBidi" w:eastAsia="Times New Roman" w:hAnsiTheme="majorBidi" w:cstheme="majorBidi"/>
          <w:color w:val="000000"/>
          <w:sz w:val="24"/>
          <w:szCs w:val="24"/>
        </w:rPr>
      </w:pPr>
      <w:r w:rsidRPr="00C26D6E">
        <w:rPr>
          <w:rFonts w:asciiTheme="majorBidi" w:eastAsia="Times New Roman" w:hAnsiTheme="majorBidi" w:cstheme="majorBidi"/>
          <w:color w:val="000000"/>
          <w:sz w:val="24"/>
          <w:szCs w:val="24"/>
        </w:rPr>
        <w:t xml:space="preserve">Abágair, L. L. (17 de julio de 2017). </w:t>
      </w:r>
      <w:r w:rsidRPr="00C26D6E">
        <w:rPr>
          <w:rFonts w:asciiTheme="majorBidi" w:eastAsia="Times New Roman" w:hAnsiTheme="majorBidi" w:cstheme="majorBidi"/>
          <w:i/>
          <w:iCs/>
          <w:color w:val="000000"/>
          <w:sz w:val="24"/>
          <w:szCs w:val="24"/>
        </w:rPr>
        <w:t>Factores de Protección</w:t>
      </w:r>
      <w:r w:rsidRPr="00C26D6E">
        <w:rPr>
          <w:rFonts w:asciiTheme="majorBidi" w:eastAsia="Times New Roman" w:hAnsiTheme="majorBidi" w:cstheme="majorBidi"/>
          <w:color w:val="000000"/>
          <w:sz w:val="24"/>
          <w:szCs w:val="24"/>
        </w:rPr>
        <w:t>. Cr</w:t>
      </w:r>
      <w:r w:rsidRPr="00405D8D">
        <w:rPr>
          <w:rFonts w:asciiTheme="majorBidi" w:eastAsia="Times New Roman" w:hAnsiTheme="majorBidi" w:cstheme="majorBidi"/>
          <w:color w:val="000000"/>
          <w:sz w:val="24"/>
          <w:szCs w:val="24"/>
        </w:rPr>
        <w:t>imipedia. Recuperado el 11 de mayo de 2023.</w:t>
      </w:r>
      <w:r w:rsidRPr="00C26D6E">
        <w:t xml:space="preserve"> </w:t>
      </w:r>
      <w:r w:rsidRPr="00C26D6E">
        <w:rPr>
          <w:rFonts w:asciiTheme="majorBidi" w:eastAsia="Times New Roman" w:hAnsiTheme="majorBidi" w:cstheme="majorBidi"/>
          <w:color w:val="000000"/>
          <w:sz w:val="24"/>
          <w:szCs w:val="24"/>
        </w:rPr>
        <w:t>https://crimipedia.umh.es/topics/factores-de-proteccion/</w:t>
      </w:r>
    </w:p>
    <w:p w14:paraId="1A1DFE00" w14:textId="77777777" w:rsidR="007E2AA6" w:rsidRPr="006037D6" w:rsidRDefault="007E2AA6" w:rsidP="004B697B">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Afonso, A. M., Cadwell, J. B., Staffa, S. J., Zurakowski, D., &amp; Vinson, A. E. (2021). Burnout Rate and Risk Factors among Anesthesiologists in the United States. </w:t>
      </w:r>
      <w:r w:rsidRPr="006037D6">
        <w:rPr>
          <w:rFonts w:asciiTheme="majorBidi" w:eastAsia="Times New Roman" w:hAnsiTheme="majorBidi" w:cstheme="majorBidi"/>
          <w:i/>
          <w:iCs/>
          <w:color w:val="000000"/>
          <w:sz w:val="24"/>
          <w:szCs w:val="24"/>
          <w:lang w:val="en-US"/>
        </w:rPr>
        <w:t>Anesthesiology</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134</w:t>
      </w:r>
      <w:r w:rsidRPr="006037D6">
        <w:rPr>
          <w:rFonts w:asciiTheme="majorBidi" w:eastAsia="Times New Roman" w:hAnsiTheme="majorBidi" w:cstheme="majorBidi"/>
          <w:color w:val="000000"/>
          <w:sz w:val="24"/>
          <w:szCs w:val="24"/>
          <w:lang w:val="en-US"/>
        </w:rPr>
        <w:t>(5), 683-696. https://doi.org/10.1097/ALN.0000000000003722</w:t>
      </w:r>
    </w:p>
    <w:p w14:paraId="0BA607DE" w14:textId="77777777" w:rsidR="007E2AA6" w:rsidRPr="006037D6" w:rsidRDefault="007E2AA6" w:rsidP="004B697B">
      <w:pPr>
        <w:spacing w:before="240" w:after="240" w:line="480" w:lineRule="auto"/>
        <w:ind w:left="709" w:hanging="709"/>
        <w:rPr>
          <w:rFonts w:asciiTheme="majorBidi" w:eastAsia="Times New Roman" w:hAnsiTheme="majorBidi" w:cstheme="majorBidi"/>
          <w:color w:val="000000"/>
          <w:sz w:val="24"/>
          <w:szCs w:val="24"/>
          <w:lang w:val="en-US"/>
        </w:rPr>
      </w:pPr>
      <w:r w:rsidRPr="006037D6">
        <w:rPr>
          <w:rFonts w:asciiTheme="majorBidi" w:eastAsia="Times New Roman" w:hAnsiTheme="majorBidi" w:cstheme="majorBidi"/>
          <w:color w:val="000000"/>
          <w:sz w:val="24"/>
          <w:szCs w:val="24"/>
          <w:lang w:val="en-US"/>
        </w:rPr>
        <w:t xml:space="preserve">Asante, J. O., Li, M. J., Liao, J., Huang, Y. X., &amp; Hao, Y. T. (2019). The relationship between psychosocial risk factors, burnout and quality of life among primary </w:t>
      </w:r>
      <w:r w:rsidRPr="006037D6">
        <w:rPr>
          <w:rFonts w:asciiTheme="majorBidi" w:eastAsia="Times New Roman" w:hAnsiTheme="majorBidi" w:cstheme="majorBidi"/>
          <w:color w:val="000000"/>
          <w:sz w:val="24"/>
          <w:szCs w:val="24"/>
          <w:lang w:val="en-US"/>
        </w:rPr>
        <w:lastRenderedPageBreak/>
        <w:t xml:space="preserve">healthcare workers in rural Guangdong province: A cross-sectional study. </w:t>
      </w:r>
      <w:r w:rsidRPr="006037D6">
        <w:rPr>
          <w:rFonts w:asciiTheme="majorBidi" w:eastAsia="Times New Roman" w:hAnsiTheme="majorBidi" w:cstheme="majorBidi"/>
          <w:i/>
          <w:iCs/>
          <w:color w:val="000000"/>
          <w:sz w:val="24"/>
          <w:szCs w:val="24"/>
          <w:lang w:val="en-US"/>
        </w:rPr>
        <w:t>BMC Health Services Research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19</w:t>
      </w:r>
      <w:r w:rsidRPr="006037D6">
        <w:rPr>
          <w:rFonts w:asciiTheme="majorBidi" w:eastAsia="Times New Roman" w:hAnsiTheme="majorBidi" w:cstheme="majorBidi"/>
          <w:color w:val="000000"/>
          <w:sz w:val="24"/>
          <w:szCs w:val="24"/>
          <w:lang w:val="en-US"/>
        </w:rPr>
        <w:t xml:space="preserve">(1), 447. </w:t>
      </w:r>
      <w:hyperlink r:id="rId10" w:history="1">
        <w:r w:rsidRPr="006037D6">
          <w:rPr>
            <w:rStyle w:val="Hipervnculo"/>
            <w:rFonts w:asciiTheme="majorBidi" w:eastAsia="Times New Roman" w:hAnsiTheme="majorBidi" w:cstheme="majorBidi"/>
            <w:sz w:val="24"/>
            <w:szCs w:val="24"/>
            <w:lang w:val="en-US"/>
          </w:rPr>
          <w:t>https://doi.org/10.1186/s12913-019-4278-8</w:t>
        </w:r>
      </w:hyperlink>
    </w:p>
    <w:p w14:paraId="7B887629" w14:textId="6C2F27E5" w:rsidR="007E2AA6" w:rsidRPr="004B697B" w:rsidRDefault="007E2AA6" w:rsidP="004B697B">
      <w:pPr>
        <w:spacing w:before="240" w:after="240" w:line="480" w:lineRule="auto"/>
        <w:ind w:left="709" w:hanging="709"/>
        <w:rPr>
          <w:rFonts w:asciiTheme="majorBidi" w:hAnsiTheme="majorBidi" w:cstheme="majorBidi"/>
          <w:sz w:val="24"/>
          <w:szCs w:val="24"/>
          <w:shd w:val="clear" w:color="auto" w:fill="FFFFFF"/>
        </w:rPr>
      </w:pPr>
      <w:r w:rsidRPr="006037D6">
        <w:rPr>
          <w:rFonts w:asciiTheme="majorBidi" w:eastAsia="Times New Roman" w:hAnsiTheme="majorBidi" w:cstheme="majorBidi"/>
          <w:color w:val="000000"/>
          <w:sz w:val="24"/>
          <w:szCs w:val="24"/>
          <w:lang w:val="en-US"/>
        </w:rPr>
        <w:t xml:space="preserve">Barragán, A. B., Martos, A., Cardila, F., Molero, M., Pérez-Fuentes, M. </w:t>
      </w:r>
      <w:r w:rsidR="001037A0" w:rsidRPr="006037D6">
        <w:rPr>
          <w:rFonts w:asciiTheme="majorBidi" w:eastAsia="Times New Roman" w:hAnsiTheme="majorBidi" w:cstheme="majorBidi"/>
          <w:color w:val="000000"/>
          <w:sz w:val="24"/>
          <w:szCs w:val="24"/>
          <w:lang w:val="en-US"/>
        </w:rPr>
        <w:t>&amp;</w:t>
      </w:r>
      <w:r w:rsidRPr="006037D6">
        <w:rPr>
          <w:rFonts w:asciiTheme="majorBidi" w:eastAsia="Times New Roman" w:hAnsiTheme="majorBidi" w:cstheme="majorBidi"/>
          <w:color w:val="000000"/>
          <w:sz w:val="24"/>
          <w:szCs w:val="24"/>
          <w:lang w:val="en-US"/>
        </w:rPr>
        <w:t xml:space="preserve"> Gázquez, J. J. (2015). </w:t>
      </w:r>
      <w:r w:rsidRPr="004B697B">
        <w:rPr>
          <w:rFonts w:asciiTheme="majorBidi" w:hAnsiTheme="majorBidi" w:cstheme="majorBidi"/>
          <w:sz w:val="24"/>
          <w:szCs w:val="24"/>
          <w:shd w:val="clear" w:color="auto" w:fill="FFFFFF"/>
        </w:rPr>
        <w:t xml:space="preserve">Variables relacionadas y prevalencia del burnouten profesionales sanitarios. </w:t>
      </w:r>
      <w:r w:rsidRPr="004B697B">
        <w:rPr>
          <w:rFonts w:asciiTheme="majorBidi" w:hAnsiTheme="majorBidi" w:cstheme="majorBidi"/>
          <w:i/>
          <w:iCs/>
          <w:sz w:val="24"/>
          <w:szCs w:val="24"/>
          <w:shd w:val="clear" w:color="auto" w:fill="FFFFFF"/>
        </w:rPr>
        <w:t>European Journal of Health Research, 1</w:t>
      </w:r>
      <w:r w:rsidRPr="004B697B">
        <w:rPr>
          <w:rFonts w:asciiTheme="majorBidi" w:hAnsiTheme="majorBidi" w:cstheme="majorBidi"/>
          <w:sz w:val="24"/>
          <w:szCs w:val="24"/>
          <w:shd w:val="clear" w:color="auto" w:fill="FFFFFF"/>
        </w:rPr>
        <w:t xml:space="preserve">(1), 5-15. </w:t>
      </w:r>
      <w:r w:rsidRPr="004B697B">
        <w:rPr>
          <w:rFonts w:asciiTheme="majorBidi" w:eastAsia="Times New Roman" w:hAnsiTheme="majorBidi" w:cstheme="majorBidi"/>
          <w:color w:val="000000"/>
          <w:sz w:val="24"/>
          <w:szCs w:val="24"/>
        </w:rPr>
        <w:t>https://doi.org/</w:t>
      </w:r>
      <w:r w:rsidRPr="004B697B">
        <w:rPr>
          <w:rFonts w:asciiTheme="majorBidi" w:hAnsiTheme="majorBidi" w:cstheme="majorBidi"/>
          <w:sz w:val="24"/>
          <w:szCs w:val="24"/>
          <w:shd w:val="clear" w:color="auto" w:fill="FFFFFF"/>
        </w:rPr>
        <w:t>10.1989/ejhr.v1i1.1</w:t>
      </w:r>
    </w:p>
    <w:p w14:paraId="3D29EAAC" w14:textId="77777777" w:rsidR="007E2AA6" w:rsidRPr="006037D6" w:rsidRDefault="007E2AA6" w:rsidP="004B697B">
      <w:pPr>
        <w:spacing w:before="240" w:after="240" w:line="480" w:lineRule="auto"/>
        <w:ind w:left="709" w:hanging="709"/>
        <w:rPr>
          <w:rFonts w:asciiTheme="majorBidi" w:eastAsia="Times New Roman" w:hAnsiTheme="majorBidi" w:cstheme="majorBidi"/>
          <w:sz w:val="24"/>
          <w:szCs w:val="24"/>
          <w:lang w:val="en-US"/>
        </w:rPr>
      </w:pPr>
      <w:r w:rsidRPr="004B697B">
        <w:rPr>
          <w:rFonts w:asciiTheme="majorBidi" w:eastAsia="Times New Roman" w:hAnsiTheme="majorBidi" w:cstheme="majorBidi"/>
          <w:color w:val="000000"/>
          <w:sz w:val="24"/>
          <w:szCs w:val="24"/>
        </w:rPr>
        <w:t xml:space="preserve">Cañadas-De la Fuente, G. A., Ortega, E., Ramirez-Baena, L., De la Fuente-Solana, E. I., Vargas, C., &amp; Gómez-Urquiza, J. L. (2018). </w:t>
      </w:r>
      <w:r w:rsidRPr="006037D6">
        <w:rPr>
          <w:rFonts w:asciiTheme="majorBidi" w:eastAsia="Times New Roman" w:hAnsiTheme="majorBidi" w:cstheme="majorBidi"/>
          <w:color w:val="000000"/>
          <w:sz w:val="24"/>
          <w:szCs w:val="24"/>
          <w:lang w:val="en-US"/>
        </w:rPr>
        <w:t xml:space="preserve">Gender, Marital Status, and Children as Risk Factors for Burnout in Nurses: A Meta-Analytic Study.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15</w:t>
      </w:r>
      <w:r w:rsidRPr="006037D6">
        <w:rPr>
          <w:rFonts w:asciiTheme="majorBidi" w:eastAsia="Times New Roman" w:hAnsiTheme="majorBidi" w:cstheme="majorBidi"/>
          <w:color w:val="000000"/>
          <w:sz w:val="24"/>
          <w:szCs w:val="24"/>
          <w:lang w:val="en-US"/>
        </w:rPr>
        <w:t>(10), 2102. https://doi.org/10.3390/ijerph15102102</w:t>
      </w:r>
    </w:p>
    <w:p w14:paraId="0C1C91FE" w14:textId="68B63CEE" w:rsidR="007E2AA6" w:rsidRPr="00140A45" w:rsidRDefault="007E2AA6" w:rsidP="004B697B">
      <w:pPr>
        <w:spacing w:before="240" w:after="240" w:line="480" w:lineRule="auto"/>
        <w:ind w:left="709" w:hanging="709"/>
        <w:rPr>
          <w:rFonts w:asciiTheme="majorBidi" w:eastAsia="Times New Roman" w:hAnsiTheme="majorBidi" w:cstheme="majorBidi"/>
          <w:sz w:val="24"/>
          <w:szCs w:val="24"/>
        </w:rPr>
      </w:pPr>
      <w:r w:rsidRPr="004B697B">
        <w:rPr>
          <w:rFonts w:asciiTheme="majorBidi" w:eastAsia="Times New Roman" w:hAnsiTheme="majorBidi" w:cstheme="majorBidi"/>
          <w:color w:val="000000"/>
          <w:sz w:val="24"/>
          <w:szCs w:val="24"/>
        </w:rPr>
        <w:t>Castañeda-Aguilera, E., &amp; García de</w:t>
      </w:r>
      <w:r w:rsidR="00630065" w:rsidRPr="004B697B">
        <w:rPr>
          <w:rFonts w:asciiTheme="majorBidi" w:eastAsia="Times New Roman" w:hAnsiTheme="majorBidi" w:cstheme="majorBidi"/>
          <w:color w:val="000000"/>
          <w:sz w:val="24"/>
          <w:szCs w:val="24"/>
        </w:rPr>
        <w:t xml:space="preserve"> </w:t>
      </w:r>
      <w:r w:rsidRPr="004B697B">
        <w:rPr>
          <w:rFonts w:asciiTheme="majorBidi" w:eastAsia="Times New Roman" w:hAnsiTheme="majorBidi" w:cstheme="majorBidi"/>
          <w:color w:val="000000"/>
          <w:sz w:val="24"/>
          <w:szCs w:val="24"/>
        </w:rPr>
        <w:t>Alba</w:t>
      </w:r>
      <w:r w:rsidR="00FB28EC" w:rsidRPr="004B697B">
        <w:rPr>
          <w:rFonts w:asciiTheme="majorBidi" w:eastAsia="Times New Roman" w:hAnsiTheme="majorBidi" w:cstheme="majorBidi"/>
          <w:color w:val="000000"/>
          <w:sz w:val="24"/>
          <w:szCs w:val="24"/>
        </w:rPr>
        <w:t>-</w:t>
      </w:r>
      <w:r w:rsidRPr="004B697B">
        <w:rPr>
          <w:rFonts w:asciiTheme="majorBidi" w:eastAsia="Times New Roman" w:hAnsiTheme="majorBidi" w:cstheme="majorBidi"/>
          <w:color w:val="000000"/>
          <w:sz w:val="24"/>
          <w:szCs w:val="24"/>
        </w:rPr>
        <w:t xml:space="preserve">García, J. E. (2020). </w:t>
      </w:r>
      <w:r w:rsidRPr="006037D6">
        <w:rPr>
          <w:rFonts w:asciiTheme="majorBidi" w:eastAsia="Times New Roman" w:hAnsiTheme="majorBidi" w:cstheme="majorBidi"/>
          <w:color w:val="000000"/>
          <w:sz w:val="24"/>
          <w:szCs w:val="24"/>
          <w:lang w:val="en-US"/>
        </w:rPr>
        <w:t xml:space="preserve">Professional burnout syndrome in specialist surgeons: Prevalence and risk factors. </w:t>
      </w:r>
      <w:r w:rsidRPr="004B697B">
        <w:rPr>
          <w:rFonts w:asciiTheme="majorBidi" w:eastAsia="Times New Roman" w:hAnsiTheme="majorBidi" w:cstheme="majorBidi"/>
          <w:i/>
          <w:iCs/>
          <w:color w:val="000000"/>
          <w:sz w:val="24"/>
          <w:szCs w:val="24"/>
        </w:rPr>
        <w:t xml:space="preserve">Cirugia </w:t>
      </w:r>
      <w:r w:rsidR="009E7A38" w:rsidRPr="004B697B">
        <w:rPr>
          <w:rFonts w:asciiTheme="majorBidi" w:eastAsia="Times New Roman" w:hAnsiTheme="majorBidi" w:cstheme="majorBidi"/>
          <w:i/>
          <w:iCs/>
          <w:color w:val="000000"/>
          <w:sz w:val="24"/>
          <w:szCs w:val="24"/>
        </w:rPr>
        <w:t>y</w:t>
      </w:r>
      <w:r w:rsidRPr="004B697B">
        <w:rPr>
          <w:rFonts w:asciiTheme="majorBidi" w:eastAsia="Times New Roman" w:hAnsiTheme="majorBidi" w:cstheme="majorBidi"/>
          <w:i/>
          <w:iCs/>
          <w:color w:val="000000"/>
          <w:sz w:val="24"/>
          <w:szCs w:val="24"/>
        </w:rPr>
        <w:t xml:space="preserve"> Cirujanos</w:t>
      </w:r>
      <w:r w:rsidRPr="004B697B">
        <w:rPr>
          <w:rFonts w:asciiTheme="majorBidi" w:eastAsia="Times New Roman" w:hAnsiTheme="majorBidi" w:cstheme="majorBidi"/>
          <w:color w:val="000000"/>
          <w:sz w:val="24"/>
          <w:szCs w:val="24"/>
        </w:rPr>
        <w:t xml:space="preserve">, </w:t>
      </w:r>
      <w:r w:rsidRPr="004B697B">
        <w:rPr>
          <w:rFonts w:asciiTheme="majorBidi" w:eastAsia="Times New Roman" w:hAnsiTheme="majorBidi" w:cstheme="majorBidi"/>
          <w:i/>
          <w:iCs/>
          <w:color w:val="000000"/>
          <w:sz w:val="24"/>
          <w:szCs w:val="24"/>
        </w:rPr>
        <w:t>88</w:t>
      </w:r>
      <w:r w:rsidRPr="004B697B">
        <w:rPr>
          <w:rFonts w:asciiTheme="majorBidi" w:eastAsia="Times New Roman" w:hAnsiTheme="majorBidi" w:cstheme="majorBidi"/>
          <w:color w:val="000000"/>
          <w:sz w:val="24"/>
          <w:szCs w:val="24"/>
        </w:rPr>
        <w:t>(3), 354-360. https://doi.org/10.24875/CIRU.19001502</w:t>
      </w:r>
    </w:p>
    <w:p w14:paraId="3F197805"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De la Fuente-Solana, E. I., Pradas-Hernández, L., González-Fernández, C. T., Velando-Soriano, A., Martos-Cabrera, M. B., Gómez-Urquiza, J. L., &amp; Cañadas-De la Fuente, G. A. (2021). </w:t>
      </w:r>
      <w:r w:rsidRPr="006037D6">
        <w:rPr>
          <w:rFonts w:asciiTheme="majorBidi" w:eastAsia="Times New Roman" w:hAnsiTheme="majorBidi" w:cstheme="majorBidi"/>
          <w:color w:val="000000"/>
          <w:sz w:val="24"/>
          <w:szCs w:val="24"/>
          <w:lang w:val="en-US"/>
        </w:rPr>
        <w:t xml:space="preserve">Burnout Syndrome in Paediatric Nurses: A Multi-Centre Study.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18</w:t>
      </w:r>
      <w:r w:rsidRPr="006037D6">
        <w:rPr>
          <w:rFonts w:asciiTheme="majorBidi" w:eastAsia="Times New Roman" w:hAnsiTheme="majorBidi" w:cstheme="majorBidi"/>
          <w:color w:val="000000"/>
          <w:sz w:val="24"/>
          <w:szCs w:val="24"/>
          <w:lang w:val="en-US"/>
        </w:rPr>
        <w:t>(3), 1324. https://doi.org/10.3390/ijerph18031324</w:t>
      </w:r>
    </w:p>
    <w:p w14:paraId="4F1E1AE0"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De Marchis, E., Knox, M., Hessler, D., Willard-Grace, R., Olayiwola, J. N., Peterson, L. E., Grumbach, K., &amp; Gottlieb, L. M. (2019). Physician Burnout and Higher Clinic Capacity to Address Patients’ Social Needs. </w:t>
      </w:r>
      <w:r w:rsidRPr="006037D6">
        <w:rPr>
          <w:rFonts w:asciiTheme="majorBidi" w:eastAsia="Times New Roman" w:hAnsiTheme="majorBidi" w:cstheme="majorBidi"/>
          <w:i/>
          <w:iCs/>
          <w:color w:val="000000"/>
          <w:sz w:val="24"/>
          <w:szCs w:val="24"/>
          <w:lang w:val="en-US"/>
        </w:rPr>
        <w:t>Journal of the American Board of Family Medicine: JABFM</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32</w:t>
      </w:r>
      <w:r w:rsidRPr="006037D6">
        <w:rPr>
          <w:rFonts w:asciiTheme="majorBidi" w:eastAsia="Times New Roman" w:hAnsiTheme="majorBidi" w:cstheme="majorBidi"/>
          <w:color w:val="000000"/>
          <w:sz w:val="24"/>
          <w:szCs w:val="24"/>
          <w:lang w:val="en-US"/>
        </w:rPr>
        <w:t>(1), 69-78. https://doi.org/10.3122/jabfm.2019.01.180104</w:t>
      </w:r>
    </w:p>
    <w:p w14:paraId="50F9F304" w14:textId="77777777" w:rsidR="007E2AA6" w:rsidRPr="00A373B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lastRenderedPageBreak/>
        <w:t xml:space="preserve">Elay, G., Bahar, I., Demirkiran, H., &amp; Oksüz, H. (2019). </w:t>
      </w:r>
      <w:r w:rsidRPr="006037D6">
        <w:rPr>
          <w:rFonts w:asciiTheme="majorBidi" w:eastAsia="Times New Roman" w:hAnsiTheme="majorBidi" w:cstheme="majorBidi"/>
          <w:color w:val="000000"/>
          <w:sz w:val="24"/>
          <w:szCs w:val="24"/>
          <w:lang w:val="en-US"/>
        </w:rPr>
        <w:t xml:space="preserve">Severe burnout among critical care workers in Turkey. </w:t>
      </w:r>
      <w:r w:rsidRPr="00A373B6">
        <w:rPr>
          <w:rFonts w:asciiTheme="majorBidi" w:eastAsia="Times New Roman" w:hAnsiTheme="majorBidi" w:cstheme="majorBidi"/>
          <w:i/>
          <w:iCs/>
          <w:color w:val="000000"/>
          <w:sz w:val="24"/>
          <w:szCs w:val="24"/>
          <w:lang w:val="en-US"/>
        </w:rPr>
        <w:t>Saudi Medical Journal</w:t>
      </w:r>
      <w:r w:rsidRPr="00A373B6">
        <w:rPr>
          <w:rFonts w:asciiTheme="majorBidi" w:eastAsia="Times New Roman" w:hAnsiTheme="majorBidi" w:cstheme="majorBidi"/>
          <w:color w:val="000000"/>
          <w:sz w:val="24"/>
          <w:szCs w:val="24"/>
          <w:lang w:val="en-US"/>
        </w:rPr>
        <w:t xml:space="preserve">, </w:t>
      </w:r>
      <w:r w:rsidRPr="00A373B6">
        <w:rPr>
          <w:rFonts w:asciiTheme="majorBidi" w:eastAsia="Times New Roman" w:hAnsiTheme="majorBidi" w:cstheme="majorBidi"/>
          <w:i/>
          <w:iCs/>
          <w:color w:val="000000"/>
          <w:sz w:val="24"/>
          <w:szCs w:val="24"/>
          <w:lang w:val="en-US"/>
        </w:rPr>
        <w:t>40</w:t>
      </w:r>
      <w:r w:rsidRPr="00A373B6">
        <w:rPr>
          <w:rFonts w:asciiTheme="majorBidi" w:eastAsia="Times New Roman" w:hAnsiTheme="majorBidi" w:cstheme="majorBidi"/>
          <w:color w:val="000000"/>
          <w:sz w:val="24"/>
          <w:szCs w:val="24"/>
          <w:lang w:val="en-US"/>
        </w:rPr>
        <w:t>(9), 943-948. https://doi.org/10.15537/smj.2019.9.24520</w:t>
      </w:r>
    </w:p>
    <w:p w14:paraId="1FECD305" w14:textId="1674E82A"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Faivre, G., Marillier, G., Nallet, J., Nezelof, S., Clment, I., &amp; Obert, L. (2019). </w:t>
      </w:r>
      <w:r w:rsidR="005555B0" w:rsidRPr="006037D6">
        <w:rPr>
          <w:rFonts w:asciiTheme="majorBidi" w:eastAsia="Times New Roman" w:hAnsiTheme="majorBidi" w:cstheme="majorBidi"/>
          <w:color w:val="000000"/>
          <w:sz w:val="24"/>
          <w:szCs w:val="24"/>
          <w:lang w:val="en-US"/>
        </w:rPr>
        <w:t>Are French orthopedic and trauma surgeons affected by burnout?</w:t>
      </w:r>
      <w:r w:rsidRPr="006037D6">
        <w:rPr>
          <w:rFonts w:asciiTheme="majorBidi" w:eastAsia="Times New Roman" w:hAnsiTheme="majorBidi" w:cstheme="majorBidi"/>
          <w:color w:val="000000"/>
          <w:sz w:val="24"/>
          <w:szCs w:val="24"/>
          <w:lang w:val="en-US"/>
        </w:rPr>
        <w:t xml:space="preserve"> Results of a nationwide survey. </w:t>
      </w:r>
      <w:r w:rsidRPr="006037D6">
        <w:rPr>
          <w:rFonts w:asciiTheme="majorBidi" w:eastAsia="Times New Roman" w:hAnsiTheme="majorBidi" w:cstheme="majorBidi"/>
          <w:i/>
          <w:iCs/>
          <w:color w:val="000000"/>
          <w:sz w:val="24"/>
          <w:szCs w:val="24"/>
          <w:lang w:val="en-US"/>
        </w:rPr>
        <w:t>Orthopaedics &amp; Traumatology, Surgery &amp; Research: OTSR</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105</w:t>
      </w:r>
      <w:r w:rsidRPr="006037D6">
        <w:rPr>
          <w:rFonts w:asciiTheme="majorBidi" w:eastAsia="Times New Roman" w:hAnsiTheme="majorBidi" w:cstheme="majorBidi"/>
          <w:color w:val="000000"/>
          <w:sz w:val="24"/>
          <w:szCs w:val="24"/>
          <w:lang w:val="en-US"/>
        </w:rPr>
        <w:t>(2), 395-399. https://doi.org/10.1016/j.otsr.2018.12.009</w:t>
      </w:r>
    </w:p>
    <w:p w14:paraId="5B68363D" w14:textId="77777777" w:rsidR="007E2AA6" w:rsidRDefault="007E2AA6" w:rsidP="007E2AA6">
      <w:pPr>
        <w:spacing w:before="240" w:after="240" w:line="480" w:lineRule="auto"/>
        <w:ind w:left="709" w:hanging="709"/>
        <w:rPr>
          <w:rFonts w:asciiTheme="majorBidi" w:eastAsia="Times New Roman" w:hAnsiTheme="majorBidi" w:cstheme="majorBidi"/>
          <w:color w:val="000000"/>
          <w:sz w:val="24"/>
          <w:szCs w:val="24"/>
        </w:rPr>
      </w:pPr>
      <w:r w:rsidRPr="006037D6">
        <w:rPr>
          <w:rFonts w:asciiTheme="majorBidi" w:eastAsia="Times New Roman" w:hAnsiTheme="majorBidi" w:cstheme="majorBidi"/>
          <w:color w:val="000000"/>
          <w:sz w:val="24"/>
          <w:szCs w:val="24"/>
          <w:lang w:val="en-US"/>
        </w:rPr>
        <w:t xml:space="preserve">Gan, Y., Jiang, H., Li, L., Yang, Y., Wang, C., Liu, J., Yang, T., Opoku, S., Hu, S., Xu, H., Herath, C., Chang, Y., Fang, P., &amp; Lu, Z. (2019). Prevalence of burnout and associated factors among general practitioners in Hubei, China: A cross-sectional study. </w:t>
      </w:r>
      <w:r w:rsidRPr="00140A45">
        <w:rPr>
          <w:rFonts w:asciiTheme="majorBidi" w:eastAsia="Times New Roman" w:hAnsiTheme="majorBidi" w:cstheme="majorBidi"/>
          <w:i/>
          <w:iCs/>
          <w:color w:val="000000"/>
          <w:sz w:val="24"/>
          <w:szCs w:val="24"/>
        </w:rPr>
        <w:t>BMC Public Health</w:t>
      </w:r>
      <w:r w:rsidRPr="00140A45">
        <w:rPr>
          <w:rFonts w:asciiTheme="majorBidi" w:eastAsia="Times New Roman" w:hAnsiTheme="majorBidi" w:cstheme="majorBidi"/>
          <w:color w:val="000000"/>
          <w:sz w:val="24"/>
          <w:szCs w:val="24"/>
        </w:rPr>
        <w:t xml:space="preserve">, </w:t>
      </w:r>
      <w:r w:rsidRPr="00140A45">
        <w:rPr>
          <w:rFonts w:asciiTheme="majorBidi" w:eastAsia="Times New Roman" w:hAnsiTheme="majorBidi" w:cstheme="majorBidi"/>
          <w:i/>
          <w:iCs/>
          <w:color w:val="000000"/>
          <w:sz w:val="24"/>
          <w:szCs w:val="24"/>
        </w:rPr>
        <w:t>19</w:t>
      </w:r>
      <w:r w:rsidRPr="00140A45">
        <w:rPr>
          <w:rFonts w:asciiTheme="majorBidi" w:eastAsia="Times New Roman" w:hAnsiTheme="majorBidi" w:cstheme="majorBidi"/>
          <w:color w:val="000000"/>
          <w:sz w:val="24"/>
          <w:szCs w:val="24"/>
        </w:rPr>
        <w:t xml:space="preserve">(1), 1607. </w:t>
      </w:r>
      <w:hyperlink r:id="rId11" w:history="1">
        <w:r w:rsidRPr="00140A45">
          <w:rPr>
            <w:rStyle w:val="Hipervnculo"/>
            <w:rFonts w:asciiTheme="majorBidi" w:eastAsia="Times New Roman" w:hAnsiTheme="majorBidi" w:cstheme="majorBidi"/>
            <w:sz w:val="24"/>
            <w:szCs w:val="24"/>
          </w:rPr>
          <w:t>https://doi.org/10.1186/s12889-019-7755-4</w:t>
        </w:r>
      </w:hyperlink>
    </w:p>
    <w:p w14:paraId="47F5B0AE" w14:textId="681A665D" w:rsidR="007E2AA6" w:rsidRPr="0074031A" w:rsidRDefault="007E2AA6" w:rsidP="007E2AA6">
      <w:pPr>
        <w:spacing w:before="240" w:after="240" w:line="480" w:lineRule="auto"/>
        <w:ind w:left="709" w:hanging="709"/>
        <w:rPr>
          <w:rFonts w:asciiTheme="majorBidi" w:eastAsia="Times New Roman" w:hAnsiTheme="majorBidi" w:cstheme="majorBidi"/>
          <w:color w:val="000000"/>
          <w:sz w:val="24"/>
          <w:szCs w:val="24"/>
        </w:rPr>
      </w:pPr>
      <w:r w:rsidRPr="0074031A">
        <w:rPr>
          <w:rFonts w:asciiTheme="majorBidi" w:hAnsiTheme="majorBidi" w:cstheme="majorBidi"/>
          <w:sz w:val="24"/>
          <w:szCs w:val="24"/>
        </w:rPr>
        <w:t xml:space="preserve">García-Avendaño, D. J., Ochoa-Estrada, M. C. </w:t>
      </w:r>
      <w:r w:rsidR="001037A0" w:rsidRPr="004B697B">
        <w:rPr>
          <w:rFonts w:asciiTheme="majorBidi" w:eastAsia="Times New Roman" w:hAnsiTheme="majorBidi" w:cstheme="majorBidi"/>
          <w:color w:val="000000"/>
          <w:sz w:val="24"/>
          <w:szCs w:val="24"/>
        </w:rPr>
        <w:t>&amp;</w:t>
      </w:r>
      <w:r w:rsidRPr="0074031A">
        <w:rPr>
          <w:rFonts w:asciiTheme="majorBidi" w:hAnsiTheme="majorBidi" w:cstheme="majorBidi"/>
          <w:sz w:val="24"/>
          <w:szCs w:val="24"/>
        </w:rPr>
        <w:t xml:space="preserve"> Briceño-Rodríguez, I. I. (2018). Actitud del personal de enfermería ante la muerte de la persona en la unidad de cuidados intensivos.  </w:t>
      </w:r>
      <w:r w:rsidRPr="00423C7E">
        <w:rPr>
          <w:rFonts w:asciiTheme="majorBidi" w:hAnsiTheme="majorBidi" w:cstheme="majorBidi"/>
          <w:i/>
          <w:iCs/>
          <w:sz w:val="24"/>
          <w:szCs w:val="24"/>
        </w:rPr>
        <w:t>Duazary, 15</w:t>
      </w:r>
      <w:r w:rsidRPr="0074031A">
        <w:rPr>
          <w:rFonts w:asciiTheme="majorBidi" w:hAnsiTheme="majorBidi" w:cstheme="majorBidi"/>
          <w:sz w:val="24"/>
          <w:szCs w:val="24"/>
        </w:rPr>
        <w:t>(3), 1-13.</w:t>
      </w:r>
      <w:r>
        <w:rPr>
          <w:rFonts w:asciiTheme="majorBidi" w:hAnsiTheme="majorBidi" w:cstheme="majorBidi"/>
          <w:sz w:val="24"/>
          <w:szCs w:val="24"/>
        </w:rPr>
        <w:t xml:space="preserve"> </w:t>
      </w:r>
      <w:r w:rsidRPr="0074031A">
        <w:rPr>
          <w:rFonts w:asciiTheme="majorBidi" w:hAnsiTheme="majorBidi" w:cstheme="majorBidi"/>
          <w:sz w:val="24"/>
          <w:szCs w:val="24"/>
        </w:rPr>
        <w:t>https://doi.org/10.21676/2389783X.2421</w:t>
      </w:r>
    </w:p>
    <w:p w14:paraId="3787D9FB" w14:textId="57D5E675" w:rsidR="007E2AA6" w:rsidRPr="00140A45" w:rsidRDefault="007E2AA6" w:rsidP="007E2AA6">
      <w:pPr>
        <w:spacing w:before="240" w:after="240" w:line="480" w:lineRule="auto"/>
        <w:ind w:left="709" w:hanging="709"/>
        <w:rPr>
          <w:rFonts w:asciiTheme="majorBidi" w:eastAsia="Times New Roman" w:hAnsiTheme="majorBidi" w:cstheme="majorBidi"/>
          <w:sz w:val="24"/>
          <w:szCs w:val="24"/>
        </w:rPr>
      </w:pPr>
      <w:r w:rsidRPr="00343AA9">
        <w:rPr>
          <w:rFonts w:asciiTheme="majorBidi" w:hAnsiTheme="majorBidi" w:cstheme="majorBidi"/>
          <w:color w:val="000000"/>
          <w:sz w:val="24"/>
          <w:szCs w:val="24"/>
          <w:shd w:val="clear" w:color="auto" w:fill="FFFFFF"/>
        </w:rPr>
        <w:t xml:space="preserve">García-Molina, C., Satorres-Pérez, M., Crespo-Mateos, A. P., Quesada Rico, J. A., García-Soriano, L. </w:t>
      </w:r>
      <w:r w:rsidR="001037A0" w:rsidRPr="004B697B">
        <w:rPr>
          <w:rFonts w:asciiTheme="majorBidi" w:eastAsia="Times New Roman" w:hAnsiTheme="majorBidi" w:cstheme="majorBidi"/>
          <w:color w:val="000000"/>
          <w:sz w:val="24"/>
          <w:szCs w:val="24"/>
        </w:rPr>
        <w:t>&amp;</w:t>
      </w:r>
      <w:r w:rsidRPr="00343AA9">
        <w:rPr>
          <w:rFonts w:asciiTheme="majorBidi" w:hAnsiTheme="majorBidi" w:cstheme="majorBidi"/>
          <w:color w:val="000000"/>
          <w:sz w:val="24"/>
          <w:szCs w:val="24"/>
          <w:shd w:val="clear" w:color="auto" w:fill="FFFFFF"/>
        </w:rPr>
        <w:t xml:space="preserve"> Carrascosa-Gonzalvo, S. (2022). Prevalencia del síndrome de </w:t>
      </w:r>
      <w:r w:rsidRPr="00343AA9">
        <w:rPr>
          <w:rStyle w:val="nfasis"/>
          <w:rFonts w:asciiTheme="majorBidi" w:hAnsiTheme="majorBidi" w:cstheme="majorBidi"/>
          <w:color w:val="000000"/>
          <w:sz w:val="24"/>
          <w:szCs w:val="24"/>
          <w:shd w:val="clear" w:color="auto" w:fill="FFFFFF"/>
        </w:rPr>
        <w:t>burnout</w:t>
      </w:r>
      <w:r w:rsidRPr="00343AA9">
        <w:rPr>
          <w:rFonts w:asciiTheme="majorBidi" w:hAnsiTheme="majorBidi" w:cstheme="majorBidi"/>
          <w:color w:val="000000"/>
          <w:sz w:val="24"/>
          <w:szCs w:val="24"/>
          <w:shd w:val="clear" w:color="auto" w:fill="FFFFFF"/>
        </w:rPr>
        <w:t xml:space="preserve"> en profesionales de medicina y enfermería de Atención Primaria en centros de salud acreditados para Formación Sanitaria Especializada de dos áreas de salud de Alicante. </w:t>
      </w:r>
      <w:r w:rsidRPr="00F5558C">
        <w:rPr>
          <w:rFonts w:asciiTheme="majorBidi" w:hAnsiTheme="majorBidi" w:cstheme="majorBidi"/>
          <w:i/>
          <w:iCs/>
          <w:color w:val="000000"/>
          <w:sz w:val="24"/>
          <w:szCs w:val="24"/>
          <w:shd w:val="clear" w:color="auto" w:fill="FFFFFF"/>
        </w:rPr>
        <w:t>Revista Médica Clínica de Familia, 15</w:t>
      </w:r>
      <w:r>
        <w:rPr>
          <w:rFonts w:asciiTheme="majorBidi" w:hAnsiTheme="majorBidi" w:cstheme="majorBidi"/>
          <w:color w:val="000000"/>
          <w:sz w:val="24"/>
          <w:szCs w:val="24"/>
          <w:shd w:val="clear" w:color="auto" w:fill="FFFFFF"/>
        </w:rPr>
        <w:t xml:space="preserve">(1), 35-39. </w:t>
      </w:r>
      <w:r w:rsidRPr="00F5558C">
        <w:rPr>
          <w:rFonts w:asciiTheme="majorBidi" w:hAnsiTheme="majorBidi" w:cstheme="majorBidi"/>
          <w:color w:val="000000"/>
          <w:sz w:val="24"/>
          <w:szCs w:val="24"/>
          <w:shd w:val="clear" w:color="auto" w:fill="FFFFFF"/>
        </w:rPr>
        <w:t>https://scielo.isciii.es/scielo.php?script=sci_arttext&amp;pid=S1699-695X2022000100007</w:t>
      </w:r>
    </w:p>
    <w:p w14:paraId="71C232B2"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Giménez Lozano, J. M., Martínez Ramón, J. P., &amp; Morales Rodríguez, F. M. (2021). </w:t>
      </w:r>
      <w:r w:rsidRPr="006037D6">
        <w:rPr>
          <w:rFonts w:asciiTheme="majorBidi" w:eastAsia="Times New Roman" w:hAnsiTheme="majorBidi" w:cstheme="majorBidi"/>
          <w:color w:val="000000"/>
          <w:sz w:val="24"/>
          <w:szCs w:val="24"/>
          <w:lang w:val="en-US"/>
        </w:rPr>
        <w:t xml:space="preserve">Doctors and Nurses: A Systematic Review of the Risk and Protective Factors in Workplace </w:t>
      </w:r>
      <w:r w:rsidRPr="006037D6">
        <w:rPr>
          <w:rFonts w:asciiTheme="majorBidi" w:eastAsia="Times New Roman" w:hAnsiTheme="majorBidi" w:cstheme="majorBidi"/>
          <w:color w:val="000000"/>
          <w:sz w:val="24"/>
          <w:szCs w:val="24"/>
          <w:lang w:val="en-US"/>
        </w:rPr>
        <w:lastRenderedPageBreak/>
        <w:t xml:space="preserve">Violence and Burnout.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18</w:t>
      </w:r>
      <w:r w:rsidRPr="006037D6">
        <w:rPr>
          <w:rFonts w:asciiTheme="majorBidi" w:eastAsia="Times New Roman" w:hAnsiTheme="majorBidi" w:cstheme="majorBidi"/>
          <w:color w:val="000000"/>
          <w:sz w:val="24"/>
          <w:szCs w:val="24"/>
          <w:lang w:val="en-US"/>
        </w:rPr>
        <w:t>(6), 3280. https://doi.org/10.3390/ijerph18063280</w:t>
      </w:r>
    </w:p>
    <w:p w14:paraId="421FBF90"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Hain, S., Tomita, A., Milligan, P., &amp; Chiliza, B. (2021). </w:t>
      </w:r>
      <w:r w:rsidRPr="006037D6">
        <w:rPr>
          <w:rFonts w:asciiTheme="majorBidi" w:eastAsia="Times New Roman" w:hAnsiTheme="majorBidi" w:cstheme="majorBidi"/>
          <w:color w:val="000000"/>
          <w:sz w:val="24"/>
          <w:szCs w:val="24"/>
          <w:lang w:val="en-US"/>
        </w:rPr>
        <w:t xml:space="preserve">Retain rural doctors: Burnout, depression and anxiety in medical doctors working in rural KwaZulu-Natal Province, South Africa. </w:t>
      </w:r>
      <w:r w:rsidRPr="006037D6">
        <w:rPr>
          <w:rFonts w:asciiTheme="majorBidi" w:eastAsia="Times New Roman" w:hAnsiTheme="majorBidi" w:cstheme="majorBidi"/>
          <w:i/>
          <w:iCs/>
          <w:color w:val="000000"/>
          <w:sz w:val="24"/>
          <w:szCs w:val="24"/>
          <w:lang w:val="en-US"/>
        </w:rPr>
        <w:t>South African Medical Journal = Suid-Afrikaanse Tydskrif Vir Geneeskunde</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111</w:t>
      </w:r>
      <w:r w:rsidRPr="006037D6">
        <w:rPr>
          <w:rFonts w:asciiTheme="majorBidi" w:eastAsia="Times New Roman" w:hAnsiTheme="majorBidi" w:cstheme="majorBidi"/>
          <w:color w:val="000000"/>
          <w:sz w:val="24"/>
          <w:szCs w:val="24"/>
          <w:lang w:val="en-US"/>
        </w:rPr>
        <w:t>(12), 1197-1204. https://doi.org/10.7196/SAMJ.2021.v111i12.15841</w:t>
      </w:r>
    </w:p>
    <w:p w14:paraId="5704DC8A"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Hekman, K. E., Sullivan, B. P., Bronsert, M., Chang, K. Z., Reed, A., Velazquez-Ramirez, G., Wohlauer, M. V., &amp; Association of Program Directors in Vascular Surgery Issues Committee. (2021). Modifiable risk factors for burnout in vascular surgery trainees. </w:t>
      </w:r>
      <w:r w:rsidRPr="006037D6">
        <w:rPr>
          <w:rFonts w:asciiTheme="majorBidi" w:eastAsia="Times New Roman" w:hAnsiTheme="majorBidi" w:cstheme="majorBidi"/>
          <w:i/>
          <w:iCs/>
          <w:color w:val="000000"/>
          <w:sz w:val="24"/>
          <w:szCs w:val="24"/>
          <w:lang w:val="en-US"/>
        </w:rPr>
        <w:t>Journal of Vascular Surgery</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73</w:t>
      </w:r>
      <w:r w:rsidRPr="006037D6">
        <w:rPr>
          <w:rFonts w:asciiTheme="majorBidi" w:eastAsia="Times New Roman" w:hAnsiTheme="majorBidi" w:cstheme="majorBidi"/>
          <w:color w:val="000000"/>
          <w:sz w:val="24"/>
          <w:szCs w:val="24"/>
          <w:lang w:val="en-US"/>
        </w:rPr>
        <w:t>(6), 2155-2163.e3. https://doi.org/10.1016/j.jvs.2020.12.064</w:t>
      </w:r>
    </w:p>
    <w:p w14:paraId="708D832E" w14:textId="77777777" w:rsidR="007E2AA6" w:rsidRDefault="007E2AA6" w:rsidP="007E2AA6">
      <w:pPr>
        <w:spacing w:before="240" w:after="240" w:line="480" w:lineRule="auto"/>
        <w:ind w:left="709" w:hanging="709"/>
        <w:rPr>
          <w:rFonts w:asciiTheme="majorBidi" w:eastAsia="Times New Roman" w:hAnsiTheme="majorBidi" w:cstheme="majorBidi"/>
          <w:color w:val="000000"/>
          <w:sz w:val="24"/>
          <w:szCs w:val="24"/>
        </w:rPr>
      </w:pPr>
      <w:r w:rsidRPr="006037D6">
        <w:rPr>
          <w:rFonts w:asciiTheme="majorBidi" w:eastAsia="Times New Roman" w:hAnsiTheme="majorBidi" w:cstheme="majorBidi"/>
          <w:color w:val="000000"/>
          <w:sz w:val="24"/>
          <w:szCs w:val="24"/>
          <w:lang w:val="en-US"/>
        </w:rPr>
        <w:t xml:space="preserve">Huang, L., Caspari, J. H., Sun, X., Thai, J., Li, Y., Chen, F.-Z., &amp; Zhao, X.-D. (2020). Risk and protective factors for burnout among physicians from standardized residency training programs in Shanghai: A cross-sectional study. </w:t>
      </w:r>
      <w:r w:rsidRPr="00140A45">
        <w:rPr>
          <w:rFonts w:asciiTheme="majorBidi" w:eastAsia="Times New Roman" w:hAnsiTheme="majorBidi" w:cstheme="majorBidi"/>
          <w:i/>
          <w:iCs/>
          <w:color w:val="000000"/>
          <w:sz w:val="24"/>
          <w:szCs w:val="24"/>
        </w:rPr>
        <w:t>BMC Health Services Research</w:t>
      </w:r>
      <w:r w:rsidRPr="00140A45">
        <w:rPr>
          <w:rFonts w:asciiTheme="majorBidi" w:eastAsia="Times New Roman" w:hAnsiTheme="majorBidi" w:cstheme="majorBidi"/>
          <w:color w:val="000000"/>
          <w:sz w:val="24"/>
          <w:szCs w:val="24"/>
        </w:rPr>
        <w:t xml:space="preserve">, </w:t>
      </w:r>
      <w:r w:rsidRPr="00140A45">
        <w:rPr>
          <w:rFonts w:asciiTheme="majorBidi" w:eastAsia="Times New Roman" w:hAnsiTheme="majorBidi" w:cstheme="majorBidi"/>
          <w:i/>
          <w:iCs/>
          <w:color w:val="000000"/>
          <w:sz w:val="24"/>
          <w:szCs w:val="24"/>
        </w:rPr>
        <w:t>20</w:t>
      </w:r>
      <w:r w:rsidRPr="00140A45">
        <w:rPr>
          <w:rFonts w:asciiTheme="majorBidi" w:eastAsia="Times New Roman" w:hAnsiTheme="majorBidi" w:cstheme="majorBidi"/>
          <w:color w:val="000000"/>
          <w:sz w:val="24"/>
          <w:szCs w:val="24"/>
        </w:rPr>
        <w:t xml:space="preserve">(1), 965. </w:t>
      </w:r>
      <w:hyperlink r:id="rId12" w:history="1">
        <w:r w:rsidRPr="00140A45">
          <w:rPr>
            <w:rStyle w:val="Hipervnculo"/>
            <w:rFonts w:asciiTheme="majorBidi" w:eastAsia="Times New Roman" w:hAnsiTheme="majorBidi" w:cstheme="majorBidi"/>
            <w:sz w:val="24"/>
            <w:szCs w:val="24"/>
          </w:rPr>
          <w:t>https://doi.org/10.1186/s12913-020-05816-z</w:t>
        </w:r>
      </w:hyperlink>
    </w:p>
    <w:p w14:paraId="7FEE6EDF" w14:textId="77777777" w:rsidR="007E2AA6" w:rsidRPr="00140A45" w:rsidRDefault="007E2AA6" w:rsidP="007E2AA6">
      <w:pPr>
        <w:spacing w:before="240" w:after="240" w:line="480" w:lineRule="auto"/>
        <w:ind w:left="709" w:hanging="709"/>
        <w:rPr>
          <w:rFonts w:asciiTheme="majorBidi" w:eastAsia="Times New Roman" w:hAnsiTheme="majorBidi" w:cstheme="majorBidi"/>
          <w:sz w:val="24"/>
          <w:szCs w:val="24"/>
        </w:rPr>
      </w:pPr>
      <w:r>
        <w:rPr>
          <w:rFonts w:asciiTheme="majorBidi" w:eastAsia="Times New Roman" w:hAnsiTheme="majorBidi" w:cstheme="majorBidi"/>
          <w:color w:val="000000"/>
          <w:sz w:val="24"/>
          <w:szCs w:val="24"/>
        </w:rPr>
        <w:t xml:space="preserve">Instituto Nacional de Estadística. (2023). </w:t>
      </w:r>
      <w:r w:rsidRPr="00D83868">
        <w:rPr>
          <w:rFonts w:asciiTheme="majorBidi" w:eastAsia="Times New Roman" w:hAnsiTheme="majorBidi" w:cstheme="majorBidi"/>
          <w:i/>
          <w:iCs/>
          <w:color w:val="000000"/>
          <w:sz w:val="24"/>
          <w:szCs w:val="24"/>
        </w:rPr>
        <w:t>Instituto Nacional de Estadística</w:t>
      </w:r>
      <w:r>
        <w:rPr>
          <w:rFonts w:asciiTheme="majorBidi" w:eastAsia="Times New Roman" w:hAnsiTheme="majorBidi" w:cstheme="majorBidi"/>
          <w:color w:val="000000"/>
          <w:sz w:val="24"/>
          <w:szCs w:val="24"/>
        </w:rPr>
        <w:t xml:space="preserve">. ine.es. Recuperado el 11 de mayo de 2023. </w:t>
      </w:r>
      <w:r w:rsidRPr="004622CD">
        <w:rPr>
          <w:rFonts w:asciiTheme="majorBidi" w:eastAsia="Times New Roman" w:hAnsiTheme="majorBidi" w:cstheme="majorBidi"/>
          <w:color w:val="000000"/>
          <w:sz w:val="24"/>
          <w:szCs w:val="24"/>
        </w:rPr>
        <w:t>https://www.ine.es/DEFIne/es/concepto.htm?c=4583</w:t>
      </w:r>
    </w:p>
    <w:p w14:paraId="79206841"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Iyer, S., Suleman, S., Qiu, Y., &amp; Platt, S. (2022). </w:t>
      </w:r>
      <w:r w:rsidRPr="006037D6">
        <w:rPr>
          <w:rFonts w:asciiTheme="majorBidi" w:eastAsia="Times New Roman" w:hAnsiTheme="majorBidi" w:cstheme="majorBidi"/>
          <w:color w:val="000000"/>
          <w:sz w:val="24"/>
          <w:szCs w:val="24"/>
          <w:lang w:val="en-US"/>
        </w:rPr>
        <w:t xml:space="preserve">Risk factors for physician burnout: A perspective from Tanzania. </w:t>
      </w:r>
      <w:r w:rsidRPr="006037D6">
        <w:rPr>
          <w:rFonts w:asciiTheme="majorBidi" w:eastAsia="Times New Roman" w:hAnsiTheme="majorBidi" w:cstheme="majorBidi"/>
          <w:i/>
          <w:iCs/>
          <w:color w:val="000000"/>
          <w:sz w:val="24"/>
          <w:szCs w:val="24"/>
          <w:lang w:val="en-US"/>
        </w:rPr>
        <w:t>The Pan African Medical Journal</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41</w:t>
      </w:r>
      <w:r w:rsidRPr="006037D6">
        <w:rPr>
          <w:rFonts w:asciiTheme="majorBidi" w:eastAsia="Times New Roman" w:hAnsiTheme="majorBidi" w:cstheme="majorBidi"/>
          <w:color w:val="000000"/>
          <w:sz w:val="24"/>
          <w:szCs w:val="24"/>
          <w:lang w:val="en-US"/>
        </w:rPr>
        <w:t>, 298. https://doi.org/10.11604/pamj.2022.41.298.31055</w:t>
      </w:r>
    </w:p>
    <w:p w14:paraId="6B4C8091"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lastRenderedPageBreak/>
        <w:t xml:space="preserve">Lee, Y.-G., Maeng, C. H., Kim, D. Y., &amp; Kim, B.-S. (2020). Perspectives on Professional Burnout and Occupational Stress among Medical Oncologists: A Cross-sectional Survey by Korean Society for Medical Oncology (KSMO). </w:t>
      </w:r>
      <w:r w:rsidRPr="006037D6">
        <w:rPr>
          <w:rFonts w:asciiTheme="majorBidi" w:eastAsia="Times New Roman" w:hAnsiTheme="majorBidi" w:cstheme="majorBidi"/>
          <w:i/>
          <w:iCs/>
          <w:color w:val="000000"/>
          <w:sz w:val="24"/>
          <w:szCs w:val="24"/>
          <w:lang w:val="en-US"/>
        </w:rPr>
        <w:t>Cancer Research and Treatment</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52</w:t>
      </w:r>
      <w:r w:rsidRPr="006037D6">
        <w:rPr>
          <w:rFonts w:asciiTheme="majorBidi" w:eastAsia="Times New Roman" w:hAnsiTheme="majorBidi" w:cstheme="majorBidi"/>
          <w:color w:val="000000"/>
          <w:sz w:val="24"/>
          <w:szCs w:val="24"/>
          <w:lang w:val="en-US"/>
        </w:rPr>
        <w:t>(4), 1002-1009. https://doi.org/10.4143/crt.2020.190</w:t>
      </w:r>
    </w:p>
    <w:p w14:paraId="70ED3DB9" w14:textId="77777777" w:rsidR="007E2AA6" w:rsidRPr="006037D6" w:rsidRDefault="007E2AA6" w:rsidP="007E2AA6">
      <w:pPr>
        <w:spacing w:before="240" w:after="240" w:line="480" w:lineRule="auto"/>
        <w:ind w:left="709" w:hanging="709"/>
        <w:rPr>
          <w:rFonts w:asciiTheme="majorBidi" w:eastAsia="Times New Roman" w:hAnsiTheme="majorBidi" w:cstheme="majorBidi"/>
          <w:color w:val="000000"/>
          <w:sz w:val="24"/>
          <w:szCs w:val="24"/>
          <w:lang w:val="en-US"/>
        </w:rPr>
      </w:pPr>
      <w:r w:rsidRPr="006037D6">
        <w:rPr>
          <w:rFonts w:asciiTheme="majorBidi" w:eastAsia="Times New Roman" w:hAnsiTheme="majorBidi" w:cstheme="majorBidi"/>
          <w:color w:val="000000"/>
          <w:sz w:val="24"/>
          <w:szCs w:val="24"/>
          <w:lang w:val="en-US"/>
        </w:rPr>
        <w:t xml:space="preserve">Li, H., Yuan, B., Meng, Q., &amp; Kawachi, I. (2019). Contextual Factors Associated with Burnout among Chinese Primary Care Providers: A Multilevel Analysis.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16</w:t>
      </w:r>
      <w:r w:rsidRPr="006037D6">
        <w:rPr>
          <w:rFonts w:asciiTheme="majorBidi" w:eastAsia="Times New Roman" w:hAnsiTheme="majorBidi" w:cstheme="majorBidi"/>
          <w:color w:val="000000"/>
          <w:sz w:val="24"/>
          <w:szCs w:val="24"/>
          <w:lang w:val="en-US"/>
        </w:rPr>
        <w:t xml:space="preserve">(19), 3555. </w:t>
      </w:r>
      <w:hyperlink r:id="rId13" w:history="1">
        <w:r w:rsidRPr="006037D6">
          <w:rPr>
            <w:rStyle w:val="Hipervnculo"/>
            <w:rFonts w:asciiTheme="majorBidi" w:eastAsia="Times New Roman" w:hAnsiTheme="majorBidi" w:cstheme="majorBidi"/>
            <w:sz w:val="24"/>
            <w:szCs w:val="24"/>
            <w:lang w:val="en-US"/>
          </w:rPr>
          <w:t>https://doi.org/10.3390/ijerph16193555</w:t>
        </w:r>
      </w:hyperlink>
    </w:p>
    <w:p w14:paraId="5865D692" w14:textId="77777777" w:rsidR="007E2AA6" w:rsidRPr="00140A45" w:rsidRDefault="007E2AA6" w:rsidP="007E2AA6">
      <w:pPr>
        <w:pStyle w:val="Ttulo2"/>
        <w:spacing w:before="0" w:line="480" w:lineRule="auto"/>
        <w:ind w:left="709" w:hanging="709"/>
        <w:textAlignment w:val="baseline"/>
        <w:rPr>
          <w:rFonts w:asciiTheme="majorBidi" w:hAnsiTheme="majorBidi"/>
          <w:color w:val="000000"/>
          <w:sz w:val="24"/>
          <w:szCs w:val="24"/>
        </w:rPr>
      </w:pPr>
      <w:bookmarkStart w:id="7" w:name="_Toc137811629"/>
      <w:r w:rsidRPr="001F4457">
        <w:rPr>
          <w:rFonts w:asciiTheme="majorBidi" w:eastAsia="Times New Roman" w:hAnsiTheme="majorBidi"/>
          <w:color w:val="000000"/>
          <w:kern w:val="0"/>
          <w:sz w:val="24"/>
          <w:szCs w:val="24"/>
          <w:lang w:eastAsia="es-ES"/>
          <w14:ligatures w14:val="none"/>
        </w:rPr>
        <w:t xml:space="preserve">Martínez Pérez, A. (2010). </w:t>
      </w:r>
      <w:r w:rsidRPr="001F4457">
        <w:rPr>
          <w:rStyle w:val="titulo"/>
          <w:rFonts w:asciiTheme="majorBidi" w:hAnsiTheme="majorBidi"/>
          <w:color w:val="000000"/>
          <w:sz w:val="24"/>
          <w:szCs w:val="24"/>
          <w:bdr w:val="none" w:sz="0" w:space="0" w:color="auto" w:frame="1"/>
        </w:rPr>
        <w:t>El síndrome de Burnout. E</w:t>
      </w:r>
      <w:r w:rsidRPr="001F4457">
        <w:rPr>
          <w:rStyle w:val="subtitulo"/>
          <w:rFonts w:asciiTheme="majorBidi" w:hAnsiTheme="majorBidi"/>
          <w:color w:val="000000"/>
          <w:sz w:val="24"/>
          <w:szCs w:val="24"/>
          <w:bdr w:val="none" w:sz="0" w:space="0" w:color="auto" w:frame="1"/>
        </w:rPr>
        <w:t xml:space="preserve">volución conceptual y estado actual de la cuestión. </w:t>
      </w:r>
      <w:r w:rsidRPr="001F4457">
        <w:rPr>
          <w:rFonts w:asciiTheme="majorBidi" w:hAnsiTheme="majorBidi"/>
          <w:i/>
          <w:iCs/>
          <w:color w:val="auto"/>
          <w:sz w:val="24"/>
          <w:szCs w:val="24"/>
        </w:rPr>
        <w:t>Vivat Academia, 112,</w:t>
      </w:r>
      <w:r w:rsidRPr="001F4457">
        <w:rPr>
          <w:rFonts w:asciiTheme="majorBidi" w:hAnsiTheme="majorBidi"/>
          <w:color w:val="auto"/>
          <w:sz w:val="24"/>
          <w:szCs w:val="24"/>
        </w:rPr>
        <w:t xml:space="preserve"> 1-39. </w:t>
      </w:r>
      <w:r w:rsidRPr="001F4457">
        <w:rPr>
          <w:rFonts w:asciiTheme="majorBidi" w:hAnsiTheme="majorBidi"/>
          <w:sz w:val="24"/>
          <w:szCs w:val="24"/>
        </w:rPr>
        <w:t>https://dialnet.unirioja.es/servlet/articulo?codigo=3307970</w:t>
      </w:r>
      <w:bookmarkEnd w:id="7"/>
    </w:p>
    <w:p w14:paraId="55E57C53"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Merces, M. C. das, Coelho, J. M. F., Lua, I., Silva, D. de S. E., Gomes, A. M. T., Erdmann, A. L., Oliveira, D. C. de, Lago, S. B., Santana, A. I. C., Silva, D. A. R. da, Servo, M. L. S., Sobrinho, C. L. N., Marques, S. C., Figueiredo, V. P., Peres, E. M., Souza, M. C. de, França, L. C. M., Maciel, D. M. C., Peixoto, Á. R. S., … </w:t>
      </w:r>
      <w:r w:rsidRPr="006037D6">
        <w:rPr>
          <w:rFonts w:asciiTheme="majorBidi" w:eastAsia="Times New Roman" w:hAnsiTheme="majorBidi" w:cstheme="majorBidi"/>
          <w:color w:val="000000"/>
          <w:sz w:val="24"/>
          <w:szCs w:val="24"/>
          <w:lang w:val="en-US"/>
        </w:rPr>
        <w:t xml:space="preserve">Júnior, A. D. (2020). Prevalence and Factors Associated with Burnout Syndrome among Primary Health Care Nursing Professionals: A Cross-Sectional Study.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17</w:t>
      </w:r>
      <w:r w:rsidRPr="006037D6">
        <w:rPr>
          <w:rFonts w:asciiTheme="majorBidi" w:eastAsia="Times New Roman" w:hAnsiTheme="majorBidi" w:cstheme="majorBidi"/>
          <w:color w:val="000000"/>
          <w:sz w:val="24"/>
          <w:szCs w:val="24"/>
          <w:lang w:val="en-US"/>
        </w:rPr>
        <w:t>(2), 474. https://doi.org/10.3390/ijerph17020474</w:t>
      </w:r>
    </w:p>
    <w:p w14:paraId="5FDF5B76" w14:textId="77777777" w:rsidR="007E2AA6" w:rsidRDefault="007E2AA6" w:rsidP="007E2AA6">
      <w:pPr>
        <w:spacing w:before="240" w:after="240" w:line="480" w:lineRule="auto"/>
        <w:ind w:left="709" w:hanging="709"/>
        <w:rPr>
          <w:rFonts w:asciiTheme="majorBidi" w:eastAsia="Times New Roman" w:hAnsiTheme="majorBidi" w:cstheme="majorBidi"/>
          <w:color w:val="000000"/>
          <w:sz w:val="24"/>
          <w:szCs w:val="24"/>
        </w:rPr>
      </w:pPr>
      <w:r w:rsidRPr="00140A45">
        <w:rPr>
          <w:rFonts w:asciiTheme="majorBidi" w:eastAsia="Times New Roman" w:hAnsiTheme="majorBidi" w:cstheme="majorBidi"/>
          <w:color w:val="000000"/>
          <w:sz w:val="24"/>
          <w:szCs w:val="24"/>
        </w:rPr>
        <w:t xml:space="preserve">Merino-Plaza, M.-J., Carrera-Hueso, F.-J., Arribas-Boscá, N., Martínez-Asensi, A., Vázquez-Ferreiro, P., Vargas-Morales, A., &amp; Fikri-Benbrahim, N. (2018). </w:t>
      </w:r>
      <w:r w:rsidRPr="006037D6">
        <w:rPr>
          <w:rFonts w:asciiTheme="majorBidi" w:eastAsia="Times New Roman" w:hAnsiTheme="majorBidi" w:cstheme="majorBidi"/>
          <w:color w:val="000000"/>
          <w:sz w:val="24"/>
          <w:szCs w:val="24"/>
          <w:lang w:val="en-US"/>
        </w:rPr>
        <w:t xml:space="preserve">[Staff burnout and psychosocial risk factors in a long-stay hospital in Spain]. </w:t>
      </w:r>
      <w:r w:rsidRPr="00140A45">
        <w:rPr>
          <w:rFonts w:asciiTheme="majorBidi" w:eastAsia="Times New Roman" w:hAnsiTheme="majorBidi" w:cstheme="majorBidi"/>
          <w:i/>
          <w:iCs/>
          <w:color w:val="000000"/>
          <w:sz w:val="24"/>
          <w:szCs w:val="24"/>
        </w:rPr>
        <w:t>Cadernos De Saude Publica</w:t>
      </w:r>
      <w:r w:rsidRPr="00140A45">
        <w:rPr>
          <w:rFonts w:asciiTheme="majorBidi" w:eastAsia="Times New Roman" w:hAnsiTheme="majorBidi" w:cstheme="majorBidi"/>
          <w:color w:val="000000"/>
          <w:sz w:val="24"/>
          <w:szCs w:val="24"/>
        </w:rPr>
        <w:t xml:space="preserve">, </w:t>
      </w:r>
      <w:r w:rsidRPr="00140A45">
        <w:rPr>
          <w:rFonts w:asciiTheme="majorBidi" w:eastAsia="Times New Roman" w:hAnsiTheme="majorBidi" w:cstheme="majorBidi"/>
          <w:i/>
          <w:iCs/>
          <w:color w:val="000000"/>
          <w:sz w:val="24"/>
          <w:szCs w:val="24"/>
        </w:rPr>
        <w:t>34</w:t>
      </w:r>
      <w:r w:rsidRPr="00140A45">
        <w:rPr>
          <w:rFonts w:asciiTheme="majorBidi" w:eastAsia="Times New Roman" w:hAnsiTheme="majorBidi" w:cstheme="majorBidi"/>
          <w:color w:val="000000"/>
          <w:sz w:val="24"/>
          <w:szCs w:val="24"/>
        </w:rPr>
        <w:t xml:space="preserve">(11), e00189217. </w:t>
      </w:r>
      <w:hyperlink r:id="rId14" w:history="1">
        <w:r w:rsidRPr="00140A45">
          <w:rPr>
            <w:rStyle w:val="Hipervnculo"/>
            <w:rFonts w:asciiTheme="majorBidi" w:eastAsia="Times New Roman" w:hAnsiTheme="majorBidi" w:cstheme="majorBidi"/>
            <w:sz w:val="24"/>
            <w:szCs w:val="24"/>
          </w:rPr>
          <w:t>https://doi.org/10.1590/0102-311X00189217</w:t>
        </w:r>
      </w:hyperlink>
    </w:p>
    <w:p w14:paraId="16C49982" w14:textId="77777777" w:rsidR="007E2AA6" w:rsidRDefault="007E2AA6" w:rsidP="007E2AA6">
      <w:pPr>
        <w:spacing w:before="240" w:after="240" w:line="480" w:lineRule="auto"/>
        <w:ind w:left="709" w:hanging="709"/>
        <w:rPr>
          <w:rFonts w:asciiTheme="majorBidi" w:hAnsiTheme="majorBidi" w:cstheme="majorBidi"/>
          <w:sz w:val="24"/>
          <w:szCs w:val="24"/>
          <w:shd w:val="clear" w:color="auto" w:fill="FFFFFF"/>
        </w:rPr>
      </w:pPr>
      <w:r w:rsidRPr="00A148B3">
        <w:rPr>
          <w:rFonts w:asciiTheme="majorBidi" w:hAnsiTheme="majorBidi" w:cstheme="majorBidi"/>
          <w:sz w:val="24"/>
          <w:szCs w:val="24"/>
        </w:rPr>
        <w:lastRenderedPageBreak/>
        <w:t xml:space="preserve">Mouso, J. (2019). El “burnout” toma peso en en la lista de dolencias de las OMS. </w:t>
      </w:r>
      <w:r w:rsidRPr="00A148B3">
        <w:rPr>
          <w:rFonts w:asciiTheme="majorBidi" w:hAnsiTheme="majorBidi" w:cstheme="majorBidi"/>
          <w:i/>
          <w:iCs/>
          <w:sz w:val="24"/>
          <w:szCs w:val="24"/>
        </w:rPr>
        <w:t>El País.</w:t>
      </w:r>
      <w:hyperlink r:id="rId15" w:history="1">
        <w:r w:rsidRPr="00663F1F">
          <w:rPr>
            <w:rStyle w:val="Hipervnculo"/>
            <w:rFonts w:asciiTheme="majorBidi" w:hAnsiTheme="majorBidi" w:cstheme="majorBidi"/>
            <w:sz w:val="24"/>
            <w:szCs w:val="24"/>
            <w:shd w:val="clear" w:color="auto" w:fill="FFFFFF"/>
          </w:rPr>
          <w:t>https://elpais.com/sociedad/2019/05/27/actualidad/1558956228_933147.html?event_log=oklogin</w:t>
        </w:r>
      </w:hyperlink>
    </w:p>
    <w:p w14:paraId="0F41C953" w14:textId="45B73633" w:rsidR="007E2AA6" w:rsidRPr="00B95254" w:rsidRDefault="007E2AA6" w:rsidP="007E2AA6">
      <w:pPr>
        <w:spacing w:before="240" w:after="240" w:line="480" w:lineRule="auto"/>
        <w:ind w:left="709" w:hanging="709"/>
        <w:rPr>
          <w:rFonts w:asciiTheme="majorBidi" w:hAnsiTheme="majorBidi" w:cstheme="majorBidi"/>
          <w:sz w:val="24"/>
          <w:szCs w:val="24"/>
        </w:rPr>
      </w:pPr>
      <w:r w:rsidRPr="00FF3682">
        <w:rPr>
          <w:rFonts w:asciiTheme="majorBidi" w:hAnsiTheme="majorBidi" w:cstheme="majorBidi"/>
          <w:color w:val="000000"/>
          <w:sz w:val="24"/>
          <w:szCs w:val="24"/>
          <w:shd w:val="clear" w:color="auto" w:fill="FFFFFF"/>
        </w:rPr>
        <w:t xml:space="preserve">Navinés, R., Santos, R. M., Olivé V., </w:t>
      </w:r>
      <w:r w:rsidR="009A2C02" w:rsidRPr="004B697B">
        <w:rPr>
          <w:rFonts w:asciiTheme="majorBidi" w:eastAsia="Times New Roman" w:hAnsiTheme="majorBidi" w:cstheme="majorBidi"/>
          <w:color w:val="000000"/>
          <w:sz w:val="24"/>
          <w:szCs w:val="24"/>
        </w:rPr>
        <w:t>&amp;</w:t>
      </w:r>
      <w:r w:rsidR="009A2C02">
        <w:rPr>
          <w:rFonts w:asciiTheme="majorBidi" w:eastAsia="Times New Roman" w:hAnsiTheme="majorBidi" w:cstheme="majorBidi"/>
          <w:color w:val="000000"/>
          <w:sz w:val="24"/>
          <w:szCs w:val="24"/>
        </w:rPr>
        <w:t xml:space="preserve"> </w:t>
      </w:r>
      <w:r w:rsidRPr="00FF3682">
        <w:rPr>
          <w:rFonts w:asciiTheme="majorBidi" w:hAnsiTheme="majorBidi" w:cstheme="majorBidi"/>
          <w:color w:val="000000"/>
          <w:sz w:val="24"/>
          <w:szCs w:val="24"/>
          <w:shd w:val="clear" w:color="auto" w:fill="FFFFFF"/>
        </w:rPr>
        <w:t xml:space="preserve">Valdés, M. (2016). Estrés laboral: implicaciones para la salud física y mental. </w:t>
      </w:r>
      <w:r w:rsidRPr="00B95254">
        <w:rPr>
          <w:rFonts w:asciiTheme="majorBidi" w:hAnsiTheme="majorBidi" w:cstheme="majorBidi"/>
          <w:i/>
          <w:iCs/>
          <w:color w:val="000000"/>
          <w:sz w:val="24"/>
          <w:szCs w:val="24"/>
          <w:shd w:val="clear" w:color="auto" w:fill="FFFFFF"/>
        </w:rPr>
        <w:t>Med Clin, 146</w:t>
      </w:r>
      <w:r w:rsidRPr="00B95254">
        <w:rPr>
          <w:rFonts w:asciiTheme="majorBidi" w:hAnsiTheme="majorBidi" w:cstheme="majorBidi"/>
          <w:color w:val="000000"/>
          <w:sz w:val="24"/>
          <w:szCs w:val="24"/>
          <w:shd w:val="clear" w:color="auto" w:fill="FFFFFF"/>
        </w:rPr>
        <w:t xml:space="preserve">(8), 359-366. </w:t>
      </w:r>
      <w:r w:rsidRPr="00B95254">
        <w:rPr>
          <w:rFonts w:asciiTheme="majorBidi" w:hAnsiTheme="majorBidi" w:cstheme="majorBidi"/>
          <w:color w:val="333333"/>
          <w:sz w:val="24"/>
          <w:szCs w:val="24"/>
          <w:shd w:val="clear" w:color="auto" w:fill="FFFFFF"/>
        </w:rPr>
        <w:t>DOI: </w:t>
      </w:r>
      <w:hyperlink r:id="rId16" w:tgtFrame="_blank" w:history="1">
        <w:r w:rsidRPr="00B95254">
          <w:rPr>
            <w:rStyle w:val="Hipervnculo"/>
            <w:rFonts w:asciiTheme="majorBidi" w:hAnsiTheme="majorBidi" w:cstheme="majorBidi"/>
            <w:color w:val="23527C"/>
            <w:sz w:val="24"/>
            <w:szCs w:val="24"/>
            <w:shd w:val="clear" w:color="auto" w:fill="FFFFFF"/>
          </w:rPr>
          <w:t>10.1016/j.medcli.2015.11.023</w:t>
        </w:r>
      </w:hyperlink>
    </w:p>
    <w:p w14:paraId="69D5385C" w14:textId="77777777" w:rsidR="007E2AA6" w:rsidRPr="006037D6" w:rsidRDefault="007E2AA6" w:rsidP="007E2AA6">
      <w:pPr>
        <w:spacing w:before="240" w:after="240" w:line="480" w:lineRule="auto"/>
        <w:ind w:left="709" w:hanging="709"/>
        <w:rPr>
          <w:rFonts w:asciiTheme="majorBidi" w:eastAsia="Times New Roman" w:hAnsiTheme="majorBidi" w:cstheme="majorBidi"/>
          <w:color w:val="000000"/>
          <w:sz w:val="24"/>
          <w:szCs w:val="24"/>
          <w:lang w:val="en-US"/>
        </w:rPr>
      </w:pPr>
      <w:r w:rsidRPr="00B95254">
        <w:rPr>
          <w:rFonts w:asciiTheme="majorBidi" w:eastAsia="Times New Roman" w:hAnsiTheme="majorBidi" w:cstheme="majorBidi"/>
          <w:color w:val="000000"/>
          <w:sz w:val="24"/>
          <w:szCs w:val="24"/>
        </w:rPr>
        <w:t xml:space="preserve">Nowacka, A., Piskorz, A., Wolfshaut-Wolak, R., Piątek, J., &amp; Gniadek, A. (2018). </w:t>
      </w:r>
      <w:r w:rsidRPr="006037D6">
        <w:rPr>
          <w:rFonts w:asciiTheme="majorBidi" w:eastAsia="Times New Roman" w:hAnsiTheme="majorBidi" w:cstheme="majorBidi"/>
          <w:color w:val="000000"/>
          <w:sz w:val="24"/>
          <w:szCs w:val="24"/>
          <w:lang w:val="en-US"/>
        </w:rPr>
        <w:t xml:space="preserve">Selected Socio-Demographic and Occupational Factors of Burnout Syndrome in Nurses Employed in Medical Facilities in Małopolska-Preliminary Results.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15</w:t>
      </w:r>
      <w:r w:rsidRPr="006037D6">
        <w:rPr>
          <w:rFonts w:asciiTheme="majorBidi" w:eastAsia="Times New Roman" w:hAnsiTheme="majorBidi" w:cstheme="majorBidi"/>
          <w:color w:val="000000"/>
          <w:sz w:val="24"/>
          <w:szCs w:val="24"/>
          <w:lang w:val="en-US"/>
        </w:rPr>
        <w:t xml:space="preserve">(10), 2083. </w:t>
      </w:r>
      <w:hyperlink r:id="rId17" w:history="1">
        <w:r w:rsidRPr="006037D6">
          <w:rPr>
            <w:rStyle w:val="Hipervnculo"/>
            <w:rFonts w:asciiTheme="majorBidi" w:eastAsia="Times New Roman" w:hAnsiTheme="majorBidi" w:cstheme="majorBidi"/>
            <w:sz w:val="24"/>
            <w:szCs w:val="24"/>
            <w:lang w:val="en-US"/>
          </w:rPr>
          <w:t>https://doi.org/10.3390/ijerph15102083</w:t>
        </w:r>
      </w:hyperlink>
    </w:p>
    <w:p w14:paraId="33E01F01" w14:textId="5531CAC2" w:rsidR="007E2AA6" w:rsidRDefault="007E2AA6" w:rsidP="007E2AA6">
      <w:pPr>
        <w:spacing w:before="240" w:after="240" w:line="480" w:lineRule="auto"/>
        <w:ind w:left="709" w:hanging="709"/>
        <w:rPr>
          <w:rFonts w:asciiTheme="majorBidi" w:hAnsiTheme="majorBidi" w:cstheme="majorBidi"/>
          <w:sz w:val="24"/>
          <w:szCs w:val="24"/>
          <w:shd w:val="clear" w:color="auto" w:fill="FFFFFF"/>
        </w:rPr>
      </w:pPr>
      <w:r w:rsidRPr="00B95254">
        <w:rPr>
          <w:rFonts w:asciiTheme="majorBidi" w:hAnsiTheme="majorBidi" w:cstheme="majorBidi"/>
          <w:sz w:val="24"/>
          <w:szCs w:val="24"/>
          <w:shd w:val="clear" w:color="auto" w:fill="FFFFFF"/>
        </w:rPr>
        <w:t xml:space="preserve">Ocampo, V. D. B. P., Portela, O. J. M., Rodríguez, W. F. L., Leopoldo, F., Xiaojin, Z., Castellanos Suárez, J. L. </w:t>
      </w:r>
      <w:r w:rsidR="009A2C02" w:rsidRPr="004B697B">
        <w:rPr>
          <w:rFonts w:asciiTheme="majorBidi" w:eastAsia="Times New Roman" w:hAnsiTheme="majorBidi" w:cstheme="majorBidi"/>
          <w:color w:val="000000"/>
          <w:sz w:val="24"/>
          <w:szCs w:val="24"/>
        </w:rPr>
        <w:t>&amp;</w:t>
      </w:r>
      <w:r w:rsidR="009A2C02">
        <w:rPr>
          <w:rFonts w:asciiTheme="majorBidi" w:eastAsia="Times New Roman" w:hAnsiTheme="majorBidi" w:cstheme="majorBidi"/>
          <w:color w:val="000000"/>
          <w:sz w:val="24"/>
          <w:szCs w:val="24"/>
        </w:rPr>
        <w:t xml:space="preserve"> </w:t>
      </w:r>
      <w:r w:rsidRPr="00B95254">
        <w:rPr>
          <w:rFonts w:asciiTheme="majorBidi" w:hAnsiTheme="majorBidi" w:cstheme="majorBidi"/>
          <w:sz w:val="24"/>
          <w:szCs w:val="24"/>
          <w:shd w:val="clear" w:color="auto" w:fill="FFFFFF"/>
        </w:rPr>
        <w:t>Ocampo Valencia, V. I. (2022). Prevalencia de depresión, ansiedad y burnout en médicos residentes de nuevo ingreso en Hospitales Angeles del área metropolitana. </w:t>
      </w:r>
      <w:r w:rsidRPr="00B95254">
        <w:rPr>
          <w:rFonts w:asciiTheme="majorBidi" w:hAnsiTheme="majorBidi" w:cstheme="majorBidi"/>
          <w:i/>
          <w:iCs/>
          <w:sz w:val="24"/>
          <w:szCs w:val="24"/>
          <w:shd w:val="clear" w:color="auto" w:fill="FFFFFF"/>
        </w:rPr>
        <w:t>Acta Med, 20</w:t>
      </w:r>
      <w:r w:rsidRPr="00B95254">
        <w:rPr>
          <w:rFonts w:asciiTheme="majorBidi" w:hAnsiTheme="majorBidi" w:cstheme="majorBidi"/>
          <w:sz w:val="24"/>
          <w:szCs w:val="24"/>
          <w:shd w:val="clear" w:color="auto" w:fill="FFFFFF"/>
        </w:rPr>
        <w:t>(4):302</w:t>
      </w:r>
      <w:r w:rsidRPr="00EB0684">
        <w:rPr>
          <w:rFonts w:asciiTheme="majorBidi" w:hAnsiTheme="majorBidi" w:cstheme="majorBidi"/>
          <w:sz w:val="24"/>
          <w:szCs w:val="24"/>
          <w:shd w:val="clear" w:color="auto" w:fill="FFFFFF"/>
        </w:rPr>
        <w:t>-306. doi:10.35366/107112.</w:t>
      </w:r>
    </w:p>
    <w:p w14:paraId="38122D53" w14:textId="571B8370" w:rsidR="007E2AA6" w:rsidRPr="00140A45" w:rsidRDefault="007E2AA6" w:rsidP="007E2AA6">
      <w:pPr>
        <w:spacing w:before="240" w:after="240" w:line="480" w:lineRule="auto"/>
        <w:ind w:left="709" w:hanging="709"/>
        <w:rPr>
          <w:rFonts w:asciiTheme="majorBidi" w:eastAsia="Times New Roman" w:hAnsiTheme="majorBidi" w:cstheme="majorBidi"/>
          <w:sz w:val="24"/>
          <w:szCs w:val="24"/>
        </w:rPr>
      </w:pPr>
      <w:r>
        <w:rPr>
          <w:rFonts w:asciiTheme="majorBidi" w:hAnsiTheme="majorBidi" w:cstheme="majorBidi"/>
          <w:sz w:val="24"/>
          <w:szCs w:val="24"/>
          <w:shd w:val="clear" w:color="auto" w:fill="FFFFFF"/>
        </w:rPr>
        <w:t xml:space="preserve">Olivar Dupla, T, y Parra Olivar, D. (2022). Síndrome de burnout en el personal sanitario. </w:t>
      </w:r>
      <w:r>
        <w:rPr>
          <w:rFonts w:asciiTheme="majorBidi" w:hAnsiTheme="majorBidi" w:cstheme="majorBidi"/>
          <w:i/>
          <w:iCs/>
          <w:sz w:val="24"/>
          <w:szCs w:val="24"/>
          <w:shd w:val="clear" w:color="auto" w:fill="FFFFFF"/>
        </w:rPr>
        <w:t>Revista Sanitaria de Investigación,3</w:t>
      </w:r>
      <w:r>
        <w:rPr>
          <w:rFonts w:asciiTheme="majorBidi" w:hAnsiTheme="majorBidi" w:cstheme="majorBidi"/>
          <w:sz w:val="24"/>
          <w:szCs w:val="24"/>
          <w:shd w:val="clear" w:color="auto" w:fill="FFFFFF"/>
        </w:rPr>
        <w:t xml:space="preserve">(1). </w:t>
      </w:r>
      <w:r w:rsidRPr="00BB21A3">
        <w:rPr>
          <w:rFonts w:asciiTheme="majorBidi" w:hAnsiTheme="majorBidi" w:cstheme="majorBidi"/>
          <w:sz w:val="24"/>
          <w:szCs w:val="24"/>
          <w:shd w:val="clear" w:color="auto" w:fill="FFFFFF"/>
        </w:rPr>
        <w:t>https://dialnet.unirioja.es/servlet/articulo?codigo=8298504</w:t>
      </w:r>
    </w:p>
    <w:p w14:paraId="2C619954" w14:textId="77777777" w:rsidR="007E2AA6" w:rsidRPr="006037D6" w:rsidRDefault="007E2AA6" w:rsidP="007E2AA6">
      <w:pPr>
        <w:spacing w:before="240" w:after="240" w:line="480" w:lineRule="auto"/>
        <w:ind w:left="709" w:hanging="709"/>
        <w:rPr>
          <w:rFonts w:asciiTheme="majorBidi" w:eastAsia="Times New Roman" w:hAnsiTheme="majorBidi" w:cstheme="majorBidi"/>
          <w:color w:val="000000"/>
          <w:sz w:val="24"/>
          <w:szCs w:val="24"/>
          <w:lang w:val="en-US"/>
        </w:rPr>
      </w:pPr>
      <w:r w:rsidRPr="006037D6">
        <w:rPr>
          <w:rFonts w:asciiTheme="majorBidi" w:eastAsia="Times New Roman" w:hAnsiTheme="majorBidi" w:cstheme="majorBidi"/>
          <w:color w:val="000000"/>
          <w:sz w:val="24"/>
          <w:szCs w:val="24"/>
          <w:lang w:val="en-US"/>
        </w:rPr>
        <w:t xml:space="preserve">Paiva, C. E., Martins, B. P., &amp; Paiva, B. S. R. (2018). Doctor, are you healthy? A cross-sectional investigation of oncologist burnout, depression, and anxiety and an investigation of their associated factors. </w:t>
      </w:r>
      <w:r w:rsidRPr="006037D6">
        <w:rPr>
          <w:rFonts w:asciiTheme="majorBidi" w:eastAsia="Times New Roman" w:hAnsiTheme="majorBidi" w:cstheme="majorBidi"/>
          <w:i/>
          <w:iCs/>
          <w:color w:val="000000"/>
          <w:sz w:val="24"/>
          <w:szCs w:val="24"/>
          <w:lang w:val="en-US"/>
        </w:rPr>
        <w:t>BMC Cancer</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18</w:t>
      </w:r>
      <w:r w:rsidRPr="006037D6">
        <w:rPr>
          <w:rFonts w:asciiTheme="majorBidi" w:eastAsia="Times New Roman" w:hAnsiTheme="majorBidi" w:cstheme="majorBidi"/>
          <w:color w:val="000000"/>
          <w:sz w:val="24"/>
          <w:szCs w:val="24"/>
          <w:lang w:val="en-US"/>
        </w:rPr>
        <w:t xml:space="preserve">(1), 1044. </w:t>
      </w:r>
      <w:hyperlink r:id="rId18" w:history="1">
        <w:r w:rsidRPr="006037D6">
          <w:rPr>
            <w:rStyle w:val="Hipervnculo"/>
            <w:rFonts w:asciiTheme="majorBidi" w:eastAsia="Times New Roman" w:hAnsiTheme="majorBidi" w:cstheme="majorBidi"/>
            <w:sz w:val="24"/>
            <w:szCs w:val="24"/>
            <w:lang w:val="en-US"/>
          </w:rPr>
          <w:t>https://doi.org/10.1186/s12885-018-4964-7</w:t>
        </w:r>
      </w:hyperlink>
    </w:p>
    <w:p w14:paraId="3743ECA1" w14:textId="723C49BE" w:rsidR="007E2AA6" w:rsidRPr="000C25B0" w:rsidRDefault="007E2AA6" w:rsidP="007E2AA6">
      <w:pPr>
        <w:pStyle w:val="Ttulo1"/>
        <w:shd w:val="clear" w:color="auto" w:fill="FFFFFF"/>
        <w:spacing w:before="0" w:line="480" w:lineRule="auto"/>
        <w:ind w:left="709" w:hanging="709"/>
        <w:textAlignment w:val="baseline"/>
        <w:rPr>
          <w:rFonts w:asciiTheme="majorBidi" w:hAnsiTheme="majorBidi"/>
          <w:color w:val="2A2A2A"/>
          <w:sz w:val="24"/>
          <w:szCs w:val="24"/>
        </w:rPr>
      </w:pPr>
      <w:bookmarkStart w:id="8" w:name="_Toc137811630"/>
      <w:r w:rsidRPr="006037D6">
        <w:rPr>
          <w:rFonts w:asciiTheme="majorBidi" w:hAnsiTheme="majorBidi"/>
          <w:color w:val="2A2A2A"/>
          <w:sz w:val="24"/>
          <w:szCs w:val="24"/>
          <w:lang w:val="en-US"/>
        </w:rPr>
        <w:lastRenderedPageBreak/>
        <w:t xml:space="preserve">Pollock, K. </w:t>
      </w:r>
      <w:r w:rsidR="009A2C02" w:rsidRPr="006037D6">
        <w:rPr>
          <w:rFonts w:asciiTheme="majorBidi" w:eastAsia="Times New Roman" w:hAnsiTheme="majorBidi" w:cstheme="majorBidi"/>
          <w:color w:val="000000"/>
          <w:sz w:val="24"/>
          <w:szCs w:val="24"/>
          <w:lang w:val="en-US"/>
        </w:rPr>
        <w:t xml:space="preserve">&amp; </w:t>
      </w:r>
      <w:r w:rsidRPr="006037D6">
        <w:rPr>
          <w:rFonts w:asciiTheme="majorBidi" w:hAnsiTheme="majorBidi"/>
          <w:color w:val="2A2A2A"/>
          <w:sz w:val="24"/>
          <w:szCs w:val="24"/>
          <w:lang w:val="en-US"/>
        </w:rPr>
        <w:t xml:space="preserve">Seymour, J. (2018). </w:t>
      </w:r>
      <w:r w:rsidRPr="00181B4B">
        <w:rPr>
          <w:rFonts w:asciiTheme="majorBidi" w:hAnsiTheme="majorBidi"/>
          <w:color w:val="2A2A2A"/>
          <w:sz w:val="24"/>
          <w:szCs w:val="24"/>
        </w:rPr>
        <w:t>Revalorizando 'la buena muerte' para poblaciones en la era del envejecimiento</w:t>
      </w:r>
      <w:r>
        <w:rPr>
          <w:rFonts w:asciiTheme="majorBidi" w:hAnsiTheme="majorBidi"/>
          <w:color w:val="2A2A2A"/>
          <w:sz w:val="24"/>
          <w:szCs w:val="24"/>
        </w:rPr>
        <w:t xml:space="preserve">. </w:t>
      </w:r>
      <w:r w:rsidRPr="00181B4B">
        <w:rPr>
          <w:rStyle w:val="nfasis"/>
          <w:rFonts w:asciiTheme="majorBidi" w:hAnsiTheme="majorBidi"/>
          <w:color w:val="2A2A2A"/>
          <w:sz w:val="24"/>
          <w:szCs w:val="24"/>
          <w:bdr w:val="none" w:sz="0" w:space="0" w:color="auto" w:frame="1"/>
        </w:rPr>
        <w:t>Edad y envejecimiento</w:t>
      </w:r>
      <w:r w:rsidRPr="00181B4B">
        <w:rPr>
          <w:rFonts w:asciiTheme="majorBidi" w:hAnsiTheme="majorBidi"/>
          <w:i/>
          <w:iCs/>
          <w:color w:val="2A2A2A"/>
          <w:sz w:val="24"/>
          <w:szCs w:val="24"/>
        </w:rPr>
        <w:t>, 47</w:t>
      </w:r>
      <w:r>
        <w:rPr>
          <w:rFonts w:asciiTheme="majorBidi" w:hAnsiTheme="majorBidi"/>
          <w:color w:val="2A2A2A"/>
          <w:sz w:val="24"/>
          <w:szCs w:val="24"/>
        </w:rPr>
        <w:t>(3)</w:t>
      </w:r>
      <w:r w:rsidRPr="00181B4B">
        <w:rPr>
          <w:rFonts w:asciiTheme="majorBidi" w:hAnsiTheme="majorBidi"/>
          <w:color w:val="2A2A2A"/>
          <w:sz w:val="24"/>
          <w:szCs w:val="24"/>
        </w:rPr>
        <w:t>, mayo de 2018, 328</w:t>
      </w:r>
      <w:r>
        <w:rPr>
          <w:rFonts w:asciiTheme="majorBidi" w:hAnsiTheme="majorBidi"/>
          <w:color w:val="2A2A2A"/>
          <w:sz w:val="24"/>
          <w:szCs w:val="24"/>
        </w:rPr>
        <w:t>-</w:t>
      </w:r>
      <w:r w:rsidRPr="00181B4B">
        <w:rPr>
          <w:rFonts w:asciiTheme="majorBidi" w:hAnsiTheme="majorBidi"/>
          <w:color w:val="2A2A2A"/>
          <w:sz w:val="24"/>
          <w:szCs w:val="24"/>
        </w:rPr>
        <w:t>330, </w:t>
      </w:r>
      <w:hyperlink r:id="rId19" w:history="1">
        <w:r w:rsidRPr="00181B4B">
          <w:rPr>
            <w:rStyle w:val="Hipervnculo"/>
            <w:rFonts w:asciiTheme="majorBidi" w:hAnsiTheme="majorBidi"/>
            <w:color w:val="006FB7"/>
            <w:sz w:val="24"/>
            <w:szCs w:val="24"/>
            <w:bdr w:val="none" w:sz="0" w:space="0" w:color="auto" w:frame="1"/>
          </w:rPr>
          <w:t>https://doi.org/10.1093/ageing/afy008</w:t>
        </w:r>
        <w:bookmarkEnd w:id="8"/>
      </w:hyperlink>
    </w:p>
    <w:p w14:paraId="11517068" w14:textId="0DE5F2FD" w:rsidR="007E2AA6" w:rsidRPr="00140A45" w:rsidRDefault="007E2AA6" w:rsidP="00BA5ABA">
      <w:pPr>
        <w:pStyle w:val="NormalWeb"/>
        <w:shd w:val="clear" w:color="auto" w:fill="FFFFFF"/>
        <w:spacing w:line="480" w:lineRule="auto"/>
        <w:ind w:left="709" w:hanging="709"/>
        <w:rPr>
          <w:rFonts w:asciiTheme="majorBidi" w:hAnsiTheme="majorBidi" w:cstheme="majorBidi"/>
        </w:rPr>
      </w:pPr>
      <w:r w:rsidRPr="00536808">
        <w:rPr>
          <w:rFonts w:asciiTheme="majorBidi" w:hAnsiTheme="majorBidi" w:cstheme="majorBidi"/>
        </w:rPr>
        <w:t xml:space="preserve">Rodríguez Carvajal, R. </w:t>
      </w:r>
      <w:r w:rsidR="00992801" w:rsidRPr="004B697B">
        <w:rPr>
          <w:rFonts w:asciiTheme="majorBidi" w:hAnsiTheme="majorBidi" w:cstheme="majorBidi"/>
          <w:color w:val="000000"/>
        </w:rPr>
        <w:t>&amp;</w:t>
      </w:r>
      <w:r w:rsidR="00992801">
        <w:rPr>
          <w:rFonts w:asciiTheme="majorBidi" w:hAnsiTheme="majorBidi" w:cstheme="majorBidi"/>
          <w:color w:val="000000"/>
        </w:rPr>
        <w:t xml:space="preserve"> </w:t>
      </w:r>
      <w:r w:rsidRPr="00536808">
        <w:rPr>
          <w:rFonts w:asciiTheme="majorBidi" w:hAnsiTheme="majorBidi" w:cstheme="majorBidi"/>
        </w:rPr>
        <w:t xml:space="preserve">de Rivas Hermosilla, S. (2011). Los procesos de estrés laboral y desgaste profesional (burnout): diferenciación, actualización y líneas de intervención. Estrés y burnout en el trabajo: diferencias, actualizaciones y líneas de intervención. Medicina y Seguridad del Trabajo, 57(1), 72-88. </w:t>
      </w:r>
      <w:r w:rsidRPr="00457B42">
        <w:rPr>
          <w:rFonts w:asciiTheme="majorBidi" w:hAnsiTheme="majorBidi" w:cstheme="majorBidi"/>
        </w:rPr>
        <w:t>https://dx.doi.org/10.4321/S0465-546X2011000500006 </w:t>
      </w:r>
    </w:p>
    <w:p w14:paraId="7C520B76"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Travers, V. (2020). Burnout in orthopedic surgeons. </w:t>
      </w:r>
      <w:r w:rsidRPr="006037D6">
        <w:rPr>
          <w:rFonts w:asciiTheme="majorBidi" w:eastAsia="Times New Roman" w:hAnsiTheme="majorBidi" w:cstheme="majorBidi"/>
          <w:i/>
          <w:iCs/>
          <w:color w:val="000000"/>
          <w:sz w:val="24"/>
          <w:szCs w:val="24"/>
          <w:lang w:val="en-US"/>
        </w:rPr>
        <w:t>Orthopaedics &amp; Traumatology, Surgery &amp; Research: OTSR</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106</w:t>
      </w:r>
      <w:r w:rsidRPr="006037D6">
        <w:rPr>
          <w:rFonts w:asciiTheme="majorBidi" w:eastAsia="Times New Roman" w:hAnsiTheme="majorBidi" w:cstheme="majorBidi"/>
          <w:color w:val="000000"/>
          <w:sz w:val="24"/>
          <w:szCs w:val="24"/>
          <w:lang w:val="en-US"/>
        </w:rPr>
        <w:t xml:space="preserve">(1S), S7-S12. </w:t>
      </w:r>
      <w:hyperlink r:id="rId20" w:history="1">
        <w:r w:rsidRPr="006037D6">
          <w:rPr>
            <w:rFonts w:asciiTheme="majorBidi" w:eastAsia="Times New Roman" w:hAnsiTheme="majorBidi" w:cstheme="majorBidi"/>
            <w:color w:val="1155CC"/>
            <w:sz w:val="24"/>
            <w:szCs w:val="24"/>
            <w:u w:val="single"/>
            <w:lang w:val="en-US"/>
          </w:rPr>
          <w:t>https://doi.org/10.1016/j.otsr.2019.04.029</w:t>
        </w:r>
      </w:hyperlink>
    </w:p>
    <w:p w14:paraId="728EAB38"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6037D6">
        <w:rPr>
          <w:rFonts w:asciiTheme="majorBidi" w:eastAsia="Times New Roman" w:hAnsiTheme="majorBidi" w:cstheme="majorBidi"/>
          <w:color w:val="000000"/>
          <w:sz w:val="24"/>
          <w:szCs w:val="24"/>
          <w:lang w:val="en-US"/>
        </w:rPr>
        <w:t xml:space="preserve">Zarei, E., Ahmadi, F., Sial, M. S., Hwang, J., Thu, P. A., &amp; Usman, S. M. (2019). Prevalence of Burnout among Primary Health Care Staff and Its Predictors: A Study in Iran. </w:t>
      </w:r>
      <w:r w:rsidRPr="006037D6">
        <w:rPr>
          <w:rFonts w:asciiTheme="majorBidi" w:eastAsia="Times New Roman" w:hAnsiTheme="majorBidi" w:cstheme="majorBidi"/>
          <w:i/>
          <w:iCs/>
          <w:color w:val="000000"/>
          <w:sz w:val="24"/>
          <w:szCs w:val="24"/>
          <w:lang w:val="en-US"/>
        </w:rPr>
        <w:t>International Journal of Environmental Research and Public Health</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16</w:t>
      </w:r>
      <w:r w:rsidRPr="006037D6">
        <w:rPr>
          <w:rFonts w:asciiTheme="majorBidi" w:eastAsia="Times New Roman" w:hAnsiTheme="majorBidi" w:cstheme="majorBidi"/>
          <w:color w:val="000000"/>
          <w:sz w:val="24"/>
          <w:szCs w:val="24"/>
          <w:lang w:val="en-US"/>
        </w:rPr>
        <w:t>(12), 2249. https://doi.org/10.3390/ijerph16122249</w:t>
      </w:r>
    </w:p>
    <w:p w14:paraId="664B7F33" w14:textId="77777777" w:rsidR="007E2AA6" w:rsidRPr="006037D6" w:rsidRDefault="007E2AA6" w:rsidP="007E2AA6">
      <w:pPr>
        <w:spacing w:before="240" w:after="240" w:line="480" w:lineRule="auto"/>
        <w:ind w:left="709" w:hanging="709"/>
        <w:rPr>
          <w:rFonts w:asciiTheme="majorBidi" w:eastAsia="Times New Roman" w:hAnsiTheme="majorBidi" w:cstheme="majorBidi"/>
          <w:sz w:val="24"/>
          <w:szCs w:val="24"/>
          <w:lang w:val="en-US"/>
        </w:rPr>
      </w:pPr>
      <w:r w:rsidRPr="00140A45">
        <w:rPr>
          <w:rFonts w:asciiTheme="majorBidi" w:eastAsia="Times New Roman" w:hAnsiTheme="majorBidi" w:cstheme="majorBidi"/>
          <w:color w:val="000000"/>
          <w:sz w:val="24"/>
          <w:szCs w:val="24"/>
        </w:rPr>
        <w:t xml:space="preserve">Zétola, V. F., Pavanelli, G. M., Pereira, G. U., Germiniani, F. M. B., &amp; Lange, M. C. (2019). </w:t>
      </w:r>
      <w:r w:rsidRPr="006037D6">
        <w:rPr>
          <w:rFonts w:asciiTheme="majorBidi" w:eastAsia="Times New Roman" w:hAnsiTheme="majorBidi" w:cstheme="majorBidi"/>
          <w:color w:val="000000"/>
          <w:sz w:val="24"/>
          <w:szCs w:val="24"/>
          <w:lang w:val="en-US"/>
        </w:rPr>
        <w:t xml:space="preserve">Burnout syndrome: Are stroke neurologists at a higher risk? </w:t>
      </w:r>
      <w:r w:rsidRPr="006037D6">
        <w:rPr>
          <w:rFonts w:asciiTheme="majorBidi" w:eastAsia="Times New Roman" w:hAnsiTheme="majorBidi" w:cstheme="majorBidi"/>
          <w:i/>
          <w:iCs/>
          <w:color w:val="000000"/>
          <w:sz w:val="24"/>
          <w:szCs w:val="24"/>
          <w:lang w:val="en-US"/>
        </w:rPr>
        <w:t>Arquivos De Neuro-Psiquiatria</w:t>
      </w:r>
      <w:r w:rsidRPr="006037D6">
        <w:rPr>
          <w:rFonts w:asciiTheme="majorBidi" w:eastAsia="Times New Roman" w:hAnsiTheme="majorBidi" w:cstheme="majorBidi"/>
          <w:color w:val="000000"/>
          <w:sz w:val="24"/>
          <w:szCs w:val="24"/>
          <w:lang w:val="en-US"/>
        </w:rPr>
        <w:t xml:space="preserve">, </w:t>
      </w:r>
      <w:r w:rsidRPr="006037D6">
        <w:rPr>
          <w:rFonts w:asciiTheme="majorBidi" w:eastAsia="Times New Roman" w:hAnsiTheme="majorBidi" w:cstheme="majorBidi"/>
          <w:i/>
          <w:iCs/>
          <w:color w:val="000000"/>
          <w:sz w:val="24"/>
          <w:szCs w:val="24"/>
          <w:lang w:val="en-US"/>
        </w:rPr>
        <w:t>77</w:t>
      </w:r>
      <w:r w:rsidRPr="006037D6">
        <w:rPr>
          <w:rFonts w:asciiTheme="majorBidi" w:eastAsia="Times New Roman" w:hAnsiTheme="majorBidi" w:cstheme="majorBidi"/>
          <w:color w:val="000000"/>
          <w:sz w:val="24"/>
          <w:szCs w:val="24"/>
          <w:lang w:val="en-US"/>
        </w:rPr>
        <w:t>(2), 84-90. https://doi.org/10.1590/0004-282X20190002</w:t>
      </w:r>
    </w:p>
    <w:p w14:paraId="795BAB1B" w14:textId="77777777" w:rsidR="007E2AA6" w:rsidRPr="004D35F8" w:rsidRDefault="007E2AA6" w:rsidP="007E2AA6">
      <w:pPr>
        <w:spacing w:line="480" w:lineRule="auto"/>
        <w:ind w:left="709" w:hanging="709"/>
        <w:rPr>
          <w:rFonts w:asciiTheme="majorBidi" w:hAnsiTheme="majorBidi" w:cstheme="majorBidi"/>
          <w:sz w:val="24"/>
          <w:szCs w:val="24"/>
        </w:rPr>
      </w:pPr>
      <w:r w:rsidRPr="006037D6">
        <w:rPr>
          <w:rFonts w:asciiTheme="majorBidi" w:eastAsia="Times New Roman" w:hAnsiTheme="majorBidi" w:cstheme="majorBidi"/>
          <w:color w:val="000000"/>
          <w:sz w:val="24"/>
          <w:szCs w:val="24"/>
          <w:lang w:val="en-US"/>
        </w:rPr>
        <w:t xml:space="preserve">Zhang, H., Xiao, Y., Dai, T., Li, Q., Huang, L., Huang, X., Liu, D., Yu, Y., &amp; Guo, J. (2023). A cross-sectional study on burnout and its individual and environmental correlates among hepatological surgery nurses in Hunan Province, China. </w:t>
      </w:r>
      <w:r w:rsidRPr="004D35F8">
        <w:rPr>
          <w:rFonts w:asciiTheme="majorBidi" w:eastAsia="Times New Roman" w:hAnsiTheme="majorBidi" w:cstheme="majorBidi"/>
          <w:i/>
          <w:iCs/>
          <w:color w:val="000000"/>
          <w:sz w:val="24"/>
          <w:szCs w:val="24"/>
        </w:rPr>
        <w:t>PloS One</w:t>
      </w:r>
      <w:r w:rsidRPr="004D35F8">
        <w:rPr>
          <w:rFonts w:asciiTheme="majorBidi" w:eastAsia="Times New Roman" w:hAnsiTheme="majorBidi" w:cstheme="majorBidi"/>
          <w:color w:val="000000"/>
          <w:sz w:val="24"/>
          <w:szCs w:val="24"/>
        </w:rPr>
        <w:t xml:space="preserve">, </w:t>
      </w:r>
      <w:r w:rsidRPr="004D35F8">
        <w:rPr>
          <w:rFonts w:asciiTheme="majorBidi" w:eastAsia="Times New Roman" w:hAnsiTheme="majorBidi" w:cstheme="majorBidi"/>
          <w:i/>
          <w:iCs/>
          <w:color w:val="000000"/>
          <w:sz w:val="24"/>
          <w:szCs w:val="24"/>
        </w:rPr>
        <w:t>18</w:t>
      </w:r>
      <w:r w:rsidRPr="004D35F8">
        <w:rPr>
          <w:rFonts w:asciiTheme="majorBidi" w:eastAsia="Times New Roman" w:hAnsiTheme="majorBidi" w:cstheme="majorBidi"/>
          <w:color w:val="000000"/>
          <w:sz w:val="24"/>
          <w:szCs w:val="24"/>
        </w:rPr>
        <w:t>(3), e0283373. https://doi.org/10.1371/journal.pone.0283373</w:t>
      </w:r>
    </w:p>
    <w:p w14:paraId="78022560" w14:textId="77777777" w:rsidR="007E2AA6" w:rsidRDefault="007E2AA6" w:rsidP="007E2AA6">
      <w:pPr>
        <w:rPr>
          <w:rFonts w:ascii="Times New Roman" w:eastAsia="Times New Roman" w:hAnsi="Times New Roman" w:cs="Times New Roman"/>
          <w:b/>
          <w:bCs/>
          <w:sz w:val="24"/>
          <w:szCs w:val="24"/>
        </w:rPr>
      </w:pPr>
    </w:p>
    <w:p w14:paraId="1C689978" w14:textId="77777777" w:rsidR="001B33CB" w:rsidRDefault="001B33CB" w:rsidP="001B33CB">
      <w:pPr>
        <w:rPr>
          <w:rFonts w:ascii="Times New Roman" w:eastAsia="Times New Roman" w:hAnsi="Times New Roman" w:cs="Times New Roman"/>
          <w:b/>
          <w:bCs/>
          <w:sz w:val="24"/>
          <w:szCs w:val="24"/>
        </w:rPr>
      </w:pPr>
    </w:p>
    <w:p w14:paraId="29C239E5" w14:textId="77777777" w:rsidR="00543536" w:rsidRDefault="00543536" w:rsidP="007B151F">
      <w:pPr>
        <w:spacing w:line="480" w:lineRule="auto"/>
        <w:rPr>
          <w:rFonts w:ascii="Times New Roman" w:eastAsia="Times New Roman" w:hAnsi="Times New Roman" w:cs="Times New Roman"/>
          <w:b/>
          <w:bCs/>
          <w:sz w:val="24"/>
          <w:szCs w:val="24"/>
        </w:rPr>
      </w:pPr>
    </w:p>
    <w:p w14:paraId="2056B95F" w14:textId="49A79C37" w:rsidR="00543536" w:rsidRPr="006037D6" w:rsidRDefault="00543536" w:rsidP="00B73DF0">
      <w:pPr>
        <w:spacing w:line="480" w:lineRule="auto"/>
        <w:rPr>
          <w:rFonts w:ascii="Times New Roman" w:eastAsia="Times New Roman" w:hAnsi="Times New Roman" w:cs="Times New Roman"/>
          <w:b/>
          <w:bCs/>
          <w:sz w:val="24"/>
          <w:szCs w:val="24"/>
        </w:rPr>
      </w:pPr>
      <w:bookmarkStart w:id="9" w:name="_Toc137811631"/>
      <w:r w:rsidRPr="006037D6">
        <w:rPr>
          <w:rFonts w:ascii="Times New Roman" w:hAnsi="Times New Roman" w:cs="Times New Roman"/>
          <w:b/>
          <w:bCs/>
          <w:sz w:val="24"/>
          <w:szCs w:val="24"/>
        </w:rPr>
        <w:lastRenderedPageBreak/>
        <w:t>A</w:t>
      </w:r>
      <w:r w:rsidR="000D699E" w:rsidRPr="006037D6">
        <w:rPr>
          <w:rFonts w:ascii="Times New Roman" w:hAnsi="Times New Roman" w:cs="Times New Roman"/>
          <w:b/>
          <w:bCs/>
          <w:sz w:val="24"/>
          <w:szCs w:val="24"/>
        </w:rPr>
        <w:t>nexo A</w:t>
      </w:r>
      <w:bookmarkEnd w:id="9"/>
    </w:p>
    <w:p w14:paraId="1BBB36FD" w14:textId="77777777" w:rsidR="007B151F" w:rsidRDefault="007B151F" w:rsidP="007B151F">
      <w:pPr>
        <w:spacing w:line="480" w:lineRule="auto"/>
        <w:rPr>
          <w:rFonts w:ascii="Times New Roman" w:eastAsia="Times New Roman" w:hAnsi="Times New Roman" w:cs="Times New Roman"/>
          <w:sz w:val="24"/>
          <w:szCs w:val="24"/>
        </w:rPr>
      </w:pPr>
      <w:r w:rsidRPr="00D97C0F">
        <w:rPr>
          <w:rFonts w:ascii="Times New Roman" w:eastAsia="Times New Roman" w:hAnsi="Times New Roman" w:cs="Times New Roman"/>
          <w:sz w:val="24"/>
          <w:szCs w:val="24"/>
        </w:rPr>
        <w:t>Tabla A</w:t>
      </w:r>
    </w:p>
    <w:p w14:paraId="783947AC" w14:textId="77777777" w:rsidR="007B151F" w:rsidRPr="007B151F" w:rsidRDefault="007B151F" w:rsidP="007B151F">
      <w:pPr>
        <w:spacing w:line="480" w:lineRule="auto"/>
        <w:rPr>
          <w:rFonts w:ascii="Times New Roman" w:eastAsia="Times New Roman" w:hAnsi="Times New Roman" w:cs="Times New Roman"/>
          <w:i/>
          <w:iCs/>
          <w:sz w:val="24"/>
          <w:szCs w:val="24"/>
        </w:rPr>
      </w:pPr>
      <w:r w:rsidRPr="007B151F">
        <w:rPr>
          <w:rFonts w:ascii="Times New Roman" w:eastAsia="Times New Roman" w:hAnsi="Times New Roman" w:cs="Times New Roman"/>
          <w:i/>
          <w:iCs/>
          <w:sz w:val="24"/>
          <w:szCs w:val="24"/>
        </w:rPr>
        <w:t>Relación entre lenguaje documental</w:t>
      </w:r>
    </w:p>
    <w:tbl>
      <w:tblPr>
        <w:tblStyle w:val="APA"/>
        <w:tblW w:w="9029" w:type="dxa"/>
        <w:tblLayout w:type="fixed"/>
        <w:tblLook w:val="0460" w:firstRow="1" w:lastRow="1" w:firstColumn="0" w:lastColumn="0" w:noHBand="0" w:noVBand="1"/>
      </w:tblPr>
      <w:tblGrid>
        <w:gridCol w:w="3009"/>
        <w:gridCol w:w="3010"/>
        <w:gridCol w:w="3010"/>
      </w:tblGrid>
      <w:tr w:rsidR="007B151F" w:rsidRPr="00B43879" w14:paraId="4F696BD1" w14:textId="77777777" w:rsidTr="004835C9">
        <w:trPr>
          <w:cnfStyle w:val="100000000000" w:firstRow="1" w:lastRow="0" w:firstColumn="0" w:lastColumn="0" w:oddVBand="0" w:evenVBand="0" w:oddHBand="0" w:evenHBand="0" w:firstRowFirstColumn="0" w:firstRowLastColumn="0" w:lastRowFirstColumn="0" w:lastRowLastColumn="0"/>
        </w:trPr>
        <w:tc>
          <w:tcPr>
            <w:tcW w:w="0" w:type="dxa"/>
          </w:tcPr>
          <w:p w14:paraId="487F816D" w14:textId="77777777" w:rsidR="007B151F" w:rsidRPr="00B43879" w:rsidRDefault="007B151F" w:rsidP="004835C9">
            <w:pPr>
              <w:widowControl w:val="0"/>
              <w:rPr>
                <w:rFonts w:asciiTheme="majorBidi" w:hAnsiTheme="majorBidi" w:cstheme="majorBidi"/>
                <w:sz w:val="24"/>
                <w:szCs w:val="24"/>
              </w:rPr>
            </w:pPr>
            <w:r w:rsidRPr="00B43879">
              <w:rPr>
                <w:rFonts w:asciiTheme="majorBidi" w:hAnsiTheme="majorBidi" w:cstheme="majorBidi"/>
                <w:sz w:val="24"/>
                <w:szCs w:val="24"/>
              </w:rPr>
              <w:t xml:space="preserve">Conceptos </w:t>
            </w:r>
          </w:p>
        </w:tc>
        <w:tc>
          <w:tcPr>
            <w:tcW w:w="3010" w:type="dxa"/>
          </w:tcPr>
          <w:p w14:paraId="5E951AD2" w14:textId="77777777" w:rsidR="007B151F" w:rsidRPr="00B43879" w:rsidRDefault="007B151F" w:rsidP="004835C9">
            <w:pPr>
              <w:widowControl w:val="0"/>
              <w:rPr>
                <w:rFonts w:asciiTheme="majorBidi" w:hAnsiTheme="majorBidi" w:cstheme="majorBidi"/>
                <w:sz w:val="24"/>
                <w:szCs w:val="24"/>
              </w:rPr>
            </w:pPr>
            <w:r w:rsidRPr="00B43879">
              <w:rPr>
                <w:rFonts w:asciiTheme="majorBidi" w:hAnsiTheme="majorBidi" w:cstheme="majorBidi"/>
                <w:sz w:val="24"/>
                <w:szCs w:val="24"/>
              </w:rPr>
              <w:t>Lenguaje Documental</w:t>
            </w:r>
          </w:p>
        </w:tc>
        <w:tc>
          <w:tcPr>
            <w:tcW w:w="3010" w:type="dxa"/>
          </w:tcPr>
          <w:p w14:paraId="1932DD88" w14:textId="77777777" w:rsidR="007B151F" w:rsidRPr="00B43879" w:rsidRDefault="007B151F" w:rsidP="004835C9">
            <w:pPr>
              <w:widowControl w:val="0"/>
              <w:rPr>
                <w:rFonts w:asciiTheme="majorBidi" w:hAnsiTheme="majorBidi" w:cstheme="majorBidi"/>
                <w:sz w:val="24"/>
                <w:szCs w:val="24"/>
              </w:rPr>
            </w:pPr>
            <w:r w:rsidRPr="00B43879">
              <w:rPr>
                <w:rFonts w:asciiTheme="majorBidi" w:hAnsiTheme="majorBidi" w:cstheme="majorBidi"/>
                <w:sz w:val="24"/>
                <w:szCs w:val="24"/>
              </w:rPr>
              <w:t>Lenguaje Libre</w:t>
            </w:r>
          </w:p>
        </w:tc>
      </w:tr>
      <w:tr w:rsidR="007B151F" w:rsidRPr="00B43879" w14:paraId="01EEA008" w14:textId="77777777" w:rsidTr="004835C9">
        <w:tc>
          <w:tcPr>
            <w:tcW w:w="0" w:type="dxa"/>
          </w:tcPr>
          <w:p w14:paraId="1A5A20B9" w14:textId="77777777" w:rsidR="007B151F" w:rsidRPr="00B43879" w:rsidRDefault="007B151F" w:rsidP="004835C9">
            <w:pPr>
              <w:widowControl w:val="0"/>
              <w:rPr>
                <w:rFonts w:asciiTheme="majorBidi" w:hAnsiTheme="majorBidi" w:cstheme="majorBidi"/>
                <w:sz w:val="24"/>
                <w:szCs w:val="24"/>
              </w:rPr>
            </w:pPr>
            <w:r>
              <w:rPr>
                <w:rFonts w:asciiTheme="majorBidi" w:hAnsiTheme="majorBidi" w:cstheme="majorBidi"/>
                <w:sz w:val="24"/>
                <w:szCs w:val="24"/>
              </w:rPr>
              <w:t>Health personnel</w:t>
            </w:r>
          </w:p>
        </w:tc>
        <w:tc>
          <w:tcPr>
            <w:tcW w:w="3010" w:type="dxa"/>
          </w:tcPr>
          <w:p w14:paraId="0EA60CFC" w14:textId="77777777" w:rsidR="007B151F" w:rsidRPr="00424A84"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"Health Personnel"[Mesh] OR</w:t>
            </w:r>
          </w:p>
          <w:p w14:paraId="134CE6BB" w14:textId="77777777" w:rsidR="007B151F" w:rsidRPr="00424A84"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"Attitude of Health Personnel"[Mesh]</w:t>
            </w:r>
          </w:p>
          <w:p w14:paraId="083C5CD8" w14:textId="77777777" w:rsidR="007B151F" w:rsidRPr="00424A84" w:rsidRDefault="007B151F" w:rsidP="004835C9">
            <w:pPr>
              <w:widowControl w:val="0"/>
              <w:rPr>
                <w:rFonts w:asciiTheme="majorBidi" w:hAnsiTheme="majorBidi" w:cstheme="majorBidi"/>
                <w:sz w:val="24"/>
                <w:szCs w:val="24"/>
                <w:lang w:val="en-US"/>
              </w:rPr>
            </w:pPr>
          </w:p>
          <w:p w14:paraId="0EC273D5" w14:textId="77777777" w:rsidR="007B151F" w:rsidRPr="00424A84"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 xml:space="preserve">DE “Health Personnel" </w:t>
            </w:r>
          </w:p>
          <w:p w14:paraId="54E2700B" w14:textId="77777777" w:rsidR="007B151F" w:rsidRPr="00424A84"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DE "Health Personnel Attitudes</w:t>
            </w:r>
          </w:p>
        </w:tc>
        <w:tc>
          <w:tcPr>
            <w:tcW w:w="3010" w:type="dxa"/>
          </w:tcPr>
          <w:p w14:paraId="0DF142A5"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“Personal AND Salud”</w:t>
            </w:r>
          </w:p>
          <w:p w14:paraId="7B9675F3"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“Profesionales de la salud”</w:t>
            </w:r>
          </w:p>
          <w:p w14:paraId="5637EC74"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“Profesional sanitario”</w:t>
            </w:r>
          </w:p>
          <w:p w14:paraId="3A76FDAD"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p>
        </w:tc>
      </w:tr>
      <w:tr w:rsidR="007B151F" w:rsidRPr="00B43879" w14:paraId="5C5E62A4" w14:textId="77777777" w:rsidTr="004835C9">
        <w:tc>
          <w:tcPr>
            <w:tcW w:w="0" w:type="dxa"/>
          </w:tcPr>
          <w:p w14:paraId="3A7DFFA4"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Burnout</w:t>
            </w:r>
          </w:p>
        </w:tc>
        <w:tc>
          <w:tcPr>
            <w:tcW w:w="3010" w:type="dxa"/>
          </w:tcPr>
          <w:p w14:paraId="0EC4FAEB" w14:textId="77777777" w:rsidR="007B151F" w:rsidRPr="00424A84"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"Burnout, Psychological"[Mesh]</w:t>
            </w:r>
          </w:p>
          <w:p w14:paraId="35DAC6AA" w14:textId="77777777" w:rsidR="007B151F" w:rsidRPr="00424A84" w:rsidRDefault="007B151F" w:rsidP="004835C9">
            <w:pPr>
              <w:widowControl w:val="0"/>
              <w:rPr>
                <w:rFonts w:asciiTheme="majorBidi" w:hAnsiTheme="majorBidi" w:cstheme="majorBidi"/>
                <w:sz w:val="24"/>
                <w:szCs w:val="24"/>
                <w:lang w:val="en-US"/>
              </w:rPr>
            </w:pPr>
          </w:p>
          <w:p w14:paraId="25043190" w14:textId="77777777" w:rsidR="007B151F" w:rsidRPr="00D97C0F" w:rsidRDefault="007B151F" w:rsidP="004835C9">
            <w:pPr>
              <w:widowControl w:val="0"/>
              <w:rPr>
                <w:rFonts w:asciiTheme="majorBidi" w:hAnsiTheme="majorBidi" w:cstheme="majorBidi"/>
                <w:sz w:val="24"/>
                <w:szCs w:val="24"/>
                <w:lang w:val="en-US"/>
              </w:rPr>
            </w:pPr>
            <w:r w:rsidRPr="00424A84">
              <w:rPr>
                <w:rFonts w:asciiTheme="majorBidi" w:hAnsiTheme="majorBidi" w:cstheme="majorBidi"/>
                <w:sz w:val="24"/>
                <w:szCs w:val="24"/>
                <w:lang w:val="en-US"/>
              </w:rPr>
              <w:t xml:space="preserve">DE “Burnout" </w:t>
            </w:r>
          </w:p>
        </w:tc>
        <w:tc>
          <w:tcPr>
            <w:tcW w:w="3010" w:type="dxa"/>
          </w:tcPr>
          <w:p w14:paraId="2CEE37EE"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“Agotamiento psicológico”</w:t>
            </w:r>
          </w:p>
          <w:p w14:paraId="49E47E67"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“Síndrome de burnout”</w:t>
            </w:r>
          </w:p>
          <w:p w14:paraId="5DD20032"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sidRPr="00B43879">
              <w:rPr>
                <w:rFonts w:asciiTheme="majorBidi" w:hAnsiTheme="majorBidi" w:cstheme="majorBidi"/>
                <w:sz w:val="24"/>
                <w:szCs w:val="24"/>
              </w:rPr>
              <w:t>“Síndrome de agotamiento”</w:t>
            </w:r>
          </w:p>
        </w:tc>
      </w:tr>
      <w:tr w:rsidR="007B151F" w:rsidRPr="00B43879" w14:paraId="22920647" w14:textId="77777777" w:rsidTr="004835C9">
        <w:trPr>
          <w:cnfStyle w:val="010000000000" w:firstRow="0" w:lastRow="1" w:firstColumn="0" w:lastColumn="0" w:oddVBand="0" w:evenVBand="0" w:oddHBand="0" w:evenHBand="0" w:firstRowFirstColumn="0" w:firstRowLastColumn="0" w:lastRowFirstColumn="0" w:lastRowLastColumn="0"/>
        </w:trPr>
        <w:tc>
          <w:tcPr>
            <w:tcW w:w="3009" w:type="dxa"/>
          </w:tcPr>
          <w:p w14:paraId="2BFB1DAC"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Pr>
                <w:rFonts w:asciiTheme="majorBidi" w:hAnsiTheme="majorBidi" w:cstheme="majorBidi"/>
                <w:sz w:val="24"/>
                <w:szCs w:val="24"/>
              </w:rPr>
              <w:t>Risk Factors</w:t>
            </w:r>
          </w:p>
        </w:tc>
        <w:tc>
          <w:tcPr>
            <w:tcW w:w="3010" w:type="dxa"/>
          </w:tcPr>
          <w:p w14:paraId="5BAE1F22" w14:textId="77777777" w:rsidR="007B151F" w:rsidRPr="006037D6" w:rsidRDefault="007B151F" w:rsidP="004835C9">
            <w:pPr>
              <w:widowControl w:val="0"/>
              <w:rPr>
                <w:rFonts w:ascii="Times New Roman" w:eastAsia="Times New Roman" w:hAnsi="Times New Roman" w:cs="Times New Roman"/>
                <w:sz w:val="24"/>
                <w:szCs w:val="24"/>
                <w:lang w:val="en-US"/>
              </w:rPr>
            </w:pPr>
            <w:r w:rsidRPr="006037D6">
              <w:rPr>
                <w:rFonts w:ascii="Times New Roman" w:eastAsia="Times New Roman" w:hAnsi="Times New Roman" w:cs="Times New Roman"/>
                <w:sz w:val="24"/>
                <w:szCs w:val="24"/>
                <w:lang w:val="en-US"/>
              </w:rPr>
              <w:t>"Risk Factors"[Mesh]</w:t>
            </w:r>
          </w:p>
          <w:p w14:paraId="41ED386A" w14:textId="77777777" w:rsidR="007B151F" w:rsidRPr="006037D6" w:rsidRDefault="007B151F" w:rsidP="004835C9">
            <w:pPr>
              <w:widowControl w:val="0"/>
              <w:rPr>
                <w:rFonts w:ascii="Times New Roman" w:eastAsia="Times New Roman" w:hAnsi="Times New Roman" w:cs="Times New Roman"/>
                <w:sz w:val="24"/>
                <w:szCs w:val="24"/>
                <w:lang w:val="en-US"/>
              </w:rPr>
            </w:pPr>
          </w:p>
          <w:p w14:paraId="449A04E9" w14:textId="77777777" w:rsidR="007B151F" w:rsidRPr="00424A84" w:rsidRDefault="007B151F" w:rsidP="004835C9">
            <w:pPr>
              <w:widowControl w:val="0"/>
              <w:rPr>
                <w:rFonts w:asciiTheme="majorBidi" w:hAnsiTheme="majorBidi" w:cstheme="majorBidi"/>
                <w:sz w:val="24"/>
                <w:szCs w:val="24"/>
                <w:lang w:val="en-US"/>
              </w:rPr>
            </w:pPr>
            <w:r>
              <w:rPr>
                <w:rFonts w:asciiTheme="majorBidi" w:hAnsiTheme="majorBidi" w:cstheme="majorBidi"/>
                <w:sz w:val="24"/>
                <w:szCs w:val="24"/>
                <w:lang w:val="en-US"/>
              </w:rPr>
              <w:t>DE “Risk Factors”</w:t>
            </w:r>
          </w:p>
        </w:tc>
        <w:tc>
          <w:tcPr>
            <w:tcW w:w="3010" w:type="dxa"/>
          </w:tcPr>
          <w:p w14:paraId="63BB46A5" w14:textId="77777777" w:rsidR="007B151F" w:rsidRPr="00B43879" w:rsidRDefault="007B151F" w:rsidP="004835C9">
            <w:pPr>
              <w:widowControl w:val="0"/>
              <w:shd w:val="clear" w:color="auto" w:fill="FFFFFF"/>
              <w:spacing w:before="200" w:after="200"/>
              <w:rPr>
                <w:rFonts w:asciiTheme="majorBidi" w:hAnsiTheme="majorBidi" w:cstheme="majorBidi"/>
                <w:sz w:val="24"/>
                <w:szCs w:val="24"/>
              </w:rPr>
            </w:pPr>
            <w:r>
              <w:rPr>
                <w:rFonts w:asciiTheme="majorBidi" w:hAnsiTheme="majorBidi" w:cstheme="majorBidi"/>
                <w:sz w:val="24"/>
                <w:szCs w:val="24"/>
              </w:rPr>
              <w:t>“Factores de riesgo”</w:t>
            </w:r>
          </w:p>
        </w:tc>
      </w:tr>
    </w:tbl>
    <w:p w14:paraId="57079F91" w14:textId="77777777" w:rsidR="007B151F" w:rsidRDefault="007B151F" w:rsidP="007B151F">
      <w:pPr>
        <w:spacing w:line="480" w:lineRule="auto"/>
        <w:ind w:firstLine="360"/>
      </w:pPr>
    </w:p>
    <w:p w14:paraId="130340E4" w14:textId="47C78DE6" w:rsidR="001B33CB" w:rsidRPr="006037D6" w:rsidRDefault="001B33CB" w:rsidP="006037D6">
      <w:pPr>
        <w:pStyle w:val="Ttulo1"/>
      </w:pPr>
    </w:p>
    <w:p w14:paraId="3E012DBD" w14:textId="77777777" w:rsidR="00C77ED9" w:rsidRDefault="00C77ED9" w:rsidP="001B33CB">
      <w:pPr>
        <w:spacing w:line="480" w:lineRule="auto"/>
        <w:rPr>
          <w:rFonts w:ascii="Times New Roman" w:eastAsia="Times New Roman" w:hAnsi="Times New Roman" w:cs="Times New Roman"/>
          <w:sz w:val="24"/>
          <w:szCs w:val="24"/>
        </w:rPr>
      </w:pPr>
    </w:p>
    <w:p w14:paraId="5C6F078B" w14:textId="77777777" w:rsidR="00C77ED9" w:rsidRDefault="00C77ED9" w:rsidP="001B33CB">
      <w:pPr>
        <w:spacing w:line="480" w:lineRule="auto"/>
        <w:rPr>
          <w:rFonts w:ascii="Times New Roman" w:eastAsia="Times New Roman" w:hAnsi="Times New Roman" w:cs="Times New Roman"/>
          <w:sz w:val="24"/>
          <w:szCs w:val="24"/>
        </w:rPr>
      </w:pPr>
    </w:p>
    <w:p w14:paraId="0B63A8A4" w14:textId="77777777" w:rsidR="00C77ED9" w:rsidRDefault="00C77ED9" w:rsidP="001B33CB">
      <w:pPr>
        <w:spacing w:line="480" w:lineRule="auto"/>
        <w:rPr>
          <w:rFonts w:ascii="Times New Roman" w:eastAsia="Times New Roman" w:hAnsi="Times New Roman" w:cs="Times New Roman"/>
          <w:sz w:val="24"/>
          <w:szCs w:val="24"/>
        </w:rPr>
      </w:pPr>
    </w:p>
    <w:p w14:paraId="0D99E518" w14:textId="77777777" w:rsidR="00C77ED9" w:rsidRDefault="00C77ED9" w:rsidP="001B33CB">
      <w:pPr>
        <w:spacing w:line="480" w:lineRule="auto"/>
        <w:rPr>
          <w:rFonts w:ascii="Times New Roman" w:eastAsia="Times New Roman" w:hAnsi="Times New Roman" w:cs="Times New Roman"/>
          <w:sz w:val="24"/>
          <w:szCs w:val="24"/>
        </w:rPr>
      </w:pPr>
    </w:p>
    <w:p w14:paraId="58ADD073" w14:textId="77777777" w:rsidR="00C77ED9" w:rsidRDefault="00C77ED9" w:rsidP="001B33CB">
      <w:pPr>
        <w:spacing w:line="480" w:lineRule="auto"/>
        <w:rPr>
          <w:rFonts w:ascii="Times New Roman" w:eastAsia="Times New Roman" w:hAnsi="Times New Roman" w:cs="Times New Roman"/>
          <w:sz w:val="24"/>
          <w:szCs w:val="24"/>
        </w:rPr>
      </w:pPr>
    </w:p>
    <w:p w14:paraId="339D8E91" w14:textId="77777777" w:rsidR="00C77ED9" w:rsidRDefault="00C77ED9" w:rsidP="001B33CB">
      <w:pPr>
        <w:spacing w:line="480" w:lineRule="auto"/>
        <w:rPr>
          <w:rFonts w:ascii="Times New Roman" w:eastAsia="Times New Roman" w:hAnsi="Times New Roman" w:cs="Times New Roman"/>
          <w:sz w:val="24"/>
          <w:szCs w:val="24"/>
        </w:rPr>
      </w:pPr>
    </w:p>
    <w:p w14:paraId="382C69A2" w14:textId="77777777" w:rsidR="00C77ED9" w:rsidRDefault="00C77ED9" w:rsidP="001B33CB">
      <w:pPr>
        <w:spacing w:line="480" w:lineRule="auto"/>
        <w:rPr>
          <w:rFonts w:ascii="Times New Roman" w:eastAsia="Times New Roman" w:hAnsi="Times New Roman" w:cs="Times New Roman"/>
          <w:sz w:val="24"/>
          <w:szCs w:val="24"/>
        </w:rPr>
      </w:pPr>
    </w:p>
    <w:p w14:paraId="724B79C7" w14:textId="77777777" w:rsidR="00C77ED9" w:rsidRDefault="00C77ED9" w:rsidP="001B33CB">
      <w:pPr>
        <w:spacing w:line="480" w:lineRule="auto"/>
        <w:rPr>
          <w:rFonts w:ascii="Times New Roman" w:eastAsia="Times New Roman" w:hAnsi="Times New Roman" w:cs="Times New Roman"/>
          <w:sz w:val="24"/>
          <w:szCs w:val="24"/>
        </w:rPr>
      </w:pPr>
    </w:p>
    <w:p w14:paraId="43842930" w14:textId="77777777" w:rsidR="00C77ED9" w:rsidRDefault="00C77ED9" w:rsidP="001B33CB">
      <w:pPr>
        <w:spacing w:line="480" w:lineRule="auto"/>
        <w:rPr>
          <w:rFonts w:ascii="Times New Roman" w:eastAsia="Times New Roman" w:hAnsi="Times New Roman" w:cs="Times New Roman"/>
          <w:sz w:val="24"/>
          <w:szCs w:val="24"/>
        </w:rPr>
      </w:pPr>
    </w:p>
    <w:p w14:paraId="3F086C0F" w14:textId="77777777" w:rsidR="00C77ED9" w:rsidRPr="006037D6" w:rsidRDefault="00C77ED9" w:rsidP="001B33CB">
      <w:pPr>
        <w:spacing w:line="480" w:lineRule="auto"/>
        <w:rPr>
          <w:rFonts w:ascii="Times New Roman" w:eastAsia="Times New Roman" w:hAnsi="Times New Roman" w:cs="Times New Roman"/>
          <w:b/>
          <w:bCs/>
          <w:sz w:val="24"/>
          <w:szCs w:val="24"/>
        </w:rPr>
      </w:pPr>
      <w:r w:rsidRPr="006037D6">
        <w:rPr>
          <w:rFonts w:ascii="Times New Roman" w:eastAsia="Times New Roman" w:hAnsi="Times New Roman" w:cs="Times New Roman"/>
          <w:b/>
          <w:bCs/>
          <w:sz w:val="24"/>
          <w:szCs w:val="24"/>
        </w:rPr>
        <w:lastRenderedPageBreak/>
        <w:t>Anexo B</w:t>
      </w:r>
    </w:p>
    <w:p w14:paraId="7EDD18FB" w14:textId="469436D5" w:rsidR="001B33CB" w:rsidRDefault="001B33CB" w:rsidP="001B33C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Tabla A1 </w:t>
      </w:r>
    </w:p>
    <w:p w14:paraId="03145132" w14:textId="77777777" w:rsidR="001B33CB" w:rsidRPr="007B151F" w:rsidRDefault="001B33CB" w:rsidP="001B33CB">
      <w:pPr>
        <w:rPr>
          <w:rFonts w:asciiTheme="majorBidi" w:eastAsia="Times New Roman" w:hAnsiTheme="majorBidi" w:cstheme="majorBidi"/>
          <w:i/>
          <w:iCs/>
          <w:sz w:val="24"/>
          <w:szCs w:val="24"/>
        </w:rPr>
      </w:pPr>
      <w:r w:rsidRPr="007B151F">
        <w:rPr>
          <w:rFonts w:asciiTheme="majorBidi" w:hAnsiTheme="majorBidi" w:cstheme="majorBidi"/>
          <w:i/>
          <w:iCs/>
          <w:sz w:val="24"/>
          <w:szCs w:val="24"/>
        </w:rPr>
        <w:t>Características metodológicas de los estudios</w:t>
      </w:r>
    </w:p>
    <w:p w14:paraId="3D7B8FF4" w14:textId="77777777" w:rsidR="001B33CB" w:rsidRPr="007B5AF8" w:rsidRDefault="001B33CB" w:rsidP="001B33CB">
      <w:pPr>
        <w:rPr>
          <w:rFonts w:ascii="Times New Roman" w:eastAsia="Times New Roman" w:hAnsi="Times New Roman" w:cs="Times New Roman"/>
          <w:sz w:val="24"/>
          <w:szCs w:val="24"/>
        </w:rPr>
      </w:pPr>
    </w:p>
    <w:tbl>
      <w:tblPr>
        <w:tblStyle w:val="Tablanormal2"/>
        <w:tblW w:w="0" w:type="auto"/>
        <w:tblLook w:val="0660" w:firstRow="1" w:lastRow="1" w:firstColumn="0" w:lastColumn="0" w:noHBand="1" w:noVBand="1"/>
      </w:tblPr>
      <w:tblGrid>
        <w:gridCol w:w="2254"/>
        <w:gridCol w:w="2255"/>
        <w:gridCol w:w="2255"/>
        <w:gridCol w:w="2255"/>
      </w:tblGrid>
      <w:tr w:rsidR="001B33CB" w14:paraId="0EFF4E6B" w14:textId="77777777" w:rsidTr="004835C9">
        <w:trPr>
          <w:cnfStyle w:val="100000000000" w:firstRow="1" w:lastRow="0" w:firstColumn="0" w:lastColumn="0" w:oddVBand="0" w:evenVBand="0" w:oddHBand="0" w:evenHBand="0" w:firstRowFirstColumn="0" w:firstRowLastColumn="0" w:lastRowFirstColumn="0" w:lastRowLastColumn="0"/>
        </w:trPr>
        <w:tc>
          <w:tcPr>
            <w:tcW w:w="2254" w:type="dxa"/>
          </w:tcPr>
          <w:p w14:paraId="484E649A" w14:textId="77777777" w:rsidR="001B33CB" w:rsidRPr="0095290E" w:rsidRDefault="001B33CB" w:rsidP="004835C9">
            <w:pPr>
              <w:spacing w:line="480" w:lineRule="auto"/>
              <w:jc w:val="center"/>
              <w:rPr>
                <w:rFonts w:ascii="Times New Roman" w:eastAsia="Times New Roman" w:hAnsi="Times New Roman" w:cs="Times New Roman"/>
                <w:b w:val="0"/>
                <w:bCs w:val="0"/>
                <w:iCs/>
                <w:sz w:val="24"/>
                <w:szCs w:val="24"/>
              </w:rPr>
            </w:pPr>
            <w:r w:rsidRPr="0095290E">
              <w:rPr>
                <w:rFonts w:ascii="Times New Roman" w:eastAsia="Times New Roman" w:hAnsi="Times New Roman" w:cs="Times New Roman"/>
                <w:b w:val="0"/>
                <w:bCs w:val="0"/>
                <w:iCs/>
                <w:sz w:val="24"/>
                <w:szCs w:val="24"/>
              </w:rPr>
              <w:t>Estudio</w:t>
            </w:r>
          </w:p>
        </w:tc>
        <w:tc>
          <w:tcPr>
            <w:tcW w:w="2255" w:type="dxa"/>
          </w:tcPr>
          <w:p w14:paraId="02763414" w14:textId="77777777" w:rsidR="001B33CB" w:rsidRPr="0095290E" w:rsidRDefault="001B33CB" w:rsidP="004835C9">
            <w:pPr>
              <w:spacing w:line="480" w:lineRule="auto"/>
              <w:jc w:val="center"/>
              <w:rPr>
                <w:rFonts w:ascii="Times New Roman" w:eastAsia="Times New Roman" w:hAnsi="Times New Roman" w:cs="Times New Roman"/>
                <w:b w:val="0"/>
                <w:bCs w:val="0"/>
                <w:iCs/>
                <w:sz w:val="24"/>
                <w:szCs w:val="24"/>
              </w:rPr>
            </w:pPr>
            <w:r w:rsidRPr="0095290E">
              <w:rPr>
                <w:rFonts w:ascii="Times New Roman" w:eastAsia="Times New Roman" w:hAnsi="Times New Roman" w:cs="Times New Roman"/>
                <w:b w:val="0"/>
                <w:bCs w:val="0"/>
                <w:iCs/>
                <w:sz w:val="24"/>
                <w:szCs w:val="24"/>
              </w:rPr>
              <w:t>Diseño</w:t>
            </w:r>
          </w:p>
        </w:tc>
        <w:tc>
          <w:tcPr>
            <w:tcW w:w="2255" w:type="dxa"/>
          </w:tcPr>
          <w:p w14:paraId="0BB8855D" w14:textId="77777777" w:rsidR="001B33CB" w:rsidRPr="0095290E" w:rsidRDefault="001B33CB" w:rsidP="004835C9">
            <w:pPr>
              <w:spacing w:line="480" w:lineRule="auto"/>
              <w:jc w:val="center"/>
              <w:rPr>
                <w:rFonts w:ascii="Times New Roman" w:eastAsia="Times New Roman" w:hAnsi="Times New Roman" w:cs="Times New Roman"/>
                <w:b w:val="0"/>
                <w:bCs w:val="0"/>
                <w:iCs/>
                <w:sz w:val="24"/>
                <w:szCs w:val="24"/>
              </w:rPr>
            </w:pPr>
            <w:r w:rsidRPr="0095290E">
              <w:rPr>
                <w:rFonts w:ascii="Times New Roman" w:eastAsia="Times New Roman" w:hAnsi="Times New Roman" w:cs="Times New Roman"/>
                <w:b w:val="0"/>
                <w:bCs w:val="0"/>
                <w:iCs/>
                <w:sz w:val="24"/>
                <w:szCs w:val="24"/>
              </w:rPr>
              <w:t>Medida</w:t>
            </w:r>
          </w:p>
        </w:tc>
        <w:tc>
          <w:tcPr>
            <w:tcW w:w="2255" w:type="dxa"/>
          </w:tcPr>
          <w:p w14:paraId="40E0E6B4" w14:textId="77777777" w:rsidR="001B33CB" w:rsidRPr="0095290E" w:rsidRDefault="001B33CB" w:rsidP="004835C9">
            <w:pPr>
              <w:spacing w:line="480" w:lineRule="auto"/>
              <w:jc w:val="center"/>
              <w:rPr>
                <w:rFonts w:ascii="Times New Roman" w:eastAsia="Times New Roman" w:hAnsi="Times New Roman" w:cs="Times New Roman"/>
                <w:b w:val="0"/>
                <w:bCs w:val="0"/>
                <w:iCs/>
                <w:sz w:val="24"/>
                <w:szCs w:val="24"/>
              </w:rPr>
            </w:pPr>
            <w:r w:rsidRPr="0095290E">
              <w:rPr>
                <w:rFonts w:ascii="Times New Roman" w:eastAsia="Times New Roman" w:hAnsi="Times New Roman" w:cs="Times New Roman"/>
                <w:b w:val="0"/>
                <w:bCs w:val="0"/>
                <w:iCs/>
                <w:sz w:val="24"/>
                <w:szCs w:val="24"/>
              </w:rPr>
              <w:t>Instrumento</w:t>
            </w:r>
          </w:p>
        </w:tc>
      </w:tr>
      <w:tr w:rsidR="001B33CB" w14:paraId="01BDC19E" w14:textId="77777777" w:rsidTr="004835C9">
        <w:tc>
          <w:tcPr>
            <w:tcW w:w="2254" w:type="dxa"/>
          </w:tcPr>
          <w:p w14:paraId="73700A8D" w14:textId="77777777" w:rsidR="001B33CB" w:rsidRPr="001505C7" w:rsidRDefault="001B33CB" w:rsidP="004835C9">
            <w:pPr>
              <w:rPr>
                <w:rFonts w:asciiTheme="majorBidi" w:hAnsiTheme="majorBidi" w:cstheme="majorBidi"/>
                <w:color w:val="000000"/>
                <w:sz w:val="24"/>
                <w:szCs w:val="24"/>
              </w:rPr>
            </w:pPr>
            <w:r w:rsidRPr="001505C7">
              <w:rPr>
                <w:rFonts w:asciiTheme="majorBidi" w:hAnsiTheme="majorBidi" w:cstheme="majorBidi"/>
                <w:color w:val="000000"/>
                <w:sz w:val="24"/>
                <w:szCs w:val="24"/>
              </w:rPr>
              <w:t>Afonso et al. (2021)</w:t>
            </w:r>
          </w:p>
          <w:p w14:paraId="2C51BF75" w14:textId="77777777" w:rsidR="001B33CB" w:rsidRPr="001505C7" w:rsidRDefault="001B33CB" w:rsidP="004835C9">
            <w:pPr>
              <w:rPr>
                <w:rFonts w:asciiTheme="majorBidi" w:eastAsia="Times New Roman" w:hAnsiTheme="majorBidi" w:cstheme="majorBidi"/>
                <w:iCs/>
                <w:sz w:val="24"/>
                <w:szCs w:val="24"/>
              </w:rPr>
            </w:pPr>
          </w:p>
        </w:tc>
        <w:tc>
          <w:tcPr>
            <w:tcW w:w="2255" w:type="dxa"/>
          </w:tcPr>
          <w:p w14:paraId="572AA546"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1A1349FF"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710A6DC3"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3821BF89" w14:textId="77777777" w:rsidR="001B33CB" w:rsidRPr="001505C7" w:rsidRDefault="001B33CB" w:rsidP="004835C9">
            <w:pPr>
              <w:rPr>
                <w:rFonts w:asciiTheme="majorBidi" w:eastAsia="Times New Roman" w:hAnsiTheme="majorBidi" w:cstheme="majorBidi"/>
                <w:iCs/>
                <w:sz w:val="24"/>
                <w:szCs w:val="24"/>
              </w:rPr>
            </w:pPr>
          </w:p>
        </w:tc>
      </w:tr>
      <w:tr w:rsidR="001B33CB" w14:paraId="3571E34B" w14:textId="77777777" w:rsidTr="004835C9">
        <w:tc>
          <w:tcPr>
            <w:tcW w:w="2254" w:type="dxa"/>
          </w:tcPr>
          <w:p w14:paraId="67B96B84" w14:textId="77777777" w:rsidR="001B33CB" w:rsidRPr="001505C7" w:rsidRDefault="001B33CB" w:rsidP="004835C9">
            <w:pPr>
              <w:rPr>
                <w:rFonts w:asciiTheme="majorBidi" w:eastAsia="Times New Roman" w:hAnsiTheme="majorBidi" w:cstheme="majorBidi"/>
                <w:iCs/>
                <w:sz w:val="24"/>
                <w:szCs w:val="24"/>
              </w:rPr>
            </w:pPr>
            <w:r w:rsidRPr="00CA2021">
              <w:rPr>
                <w:rFonts w:asciiTheme="majorBidi" w:eastAsia="Times New Roman" w:hAnsiTheme="majorBidi" w:cstheme="majorBidi"/>
                <w:iCs/>
                <w:sz w:val="24"/>
                <w:szCs w:val="24"/>
              </w:rPr>
              <w:t>Castañeda-Aguilera et al.</w:t>
            </w:r>
            <w:r>
              <w:rPr>
                <w:rFonts w:asciiTheme="majorBidi" w:eastAsia="Times New Roman" w:hAnsiTheme="majorBidi" w:cstheme="majorBidi"/>
                <w:iCs/>
                <w:sz w:val="24"/>
                <w:szCs w:val="24"/>
              </w:rPr>
              <w:t xml:space="preserve"> (2020)</w:t>
            </w:r>
          </w:p>
        </w:tc>
        <w:tc>
          <w:tcPr>
            <w:tcW w:w="2255" w:type="dxa"/>
          </w:tcPr>
          <w:p w14:paraId="4F5E8BBC"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79238189"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Diferencia de porcentajes</w:t>
            </w:r>
          </w:p>
        </w:tc>
        <w:tc>
          <w:tcPr>
            <w:tcW w:w="2255" w:type="dxa"/>
          </w:tcPr>
          <w:p w14:paraId="622D6798"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02EC11C2" w14:textId="77777777" w:rsidR="001B33CB" w:rsidRPr="001505C7" w:rsidRDefault="001B33CB" w:rsidP="004835C9">
            <w:pPr>
              <w:rPr>
                <w:rFonts w:asciiTheme="majorBidi" w:eastAsia="Times New Roman" w:hAnsiTheme="majorBidi" w:cstheme="majorBidi"/>
                <w:iCs/>
                <w:sz w:val="24"/>
                <w:szCs w:val="24"/>
              </w:rPr>
            </w:pPr>
          </w:p>
        </w:tc>
      </w:tr>
      <w:tr w:rsidR="001B33CB" w14:paraId="0AA2222C" w14:textId="77777777" w:rsidTr="004835C9">
        <w:tc>
          <w:tcPr>
            <w:tcW w:w="2254" w:type="dxa"/>
          </w:tcPr>
          <w:p w14:paraId="6D298757" w14:textId="77777777" w:rsidR="001B33CB" w:rsidRPr="001505C7" w:rsidRDefault="001B33CB" w:rsidP="004835C9">
            <w:pPr>
              <w:rPr>
                <w:rFonts w:asciiTheme="majorBidi" w:eastAsia="Times New Roman" w:hAnsiTheme="majorBidi" w:cstheme="majorBidi"/>
                <w:iCs/>
                <w:sz w:val="24"/>
                <w:szCs w:val="24"/>
              </w:rPr>
            </w:pPr>
            <w:r w:rsidRPr="004E7572">
              <w:rPr>
                <w:rFonts w:asciiTheme="majorBidi" w:eastAsia="Times New Roman" w:hAnsiTheme="majorBidi" w:cstheme="majorBidi"/>
                <w:iCs/>
                <w:sz w:val="24"/>
                <w:szCs w:val="24"/>
              </w:rPr>
              <w:t>De la Fuente-Solana et al.</w:t>
            </w:r>
            <w:r>
              <w:rPr>
                <w:rFonts w:asciiTheme="majorBidi" w:eastAsia="Times New Roman" w:hAnsiTheme="majorBidi" w:cstheme="majorBidi"/>
                <w:iCs/>
                <w:sz w:val="24"/>
                <w:szCs w:val="24"/>
              </w:rPr>
              <w:t xml:space="preserve"> (2021)</w:t>
            </w:r>
          </w:p>
        </w:tc>
        <w:tc>
          <w:tcPr>
            <w:tcW w:w="2255" w:type="dxa"/>
          </w:tcPr>
          <w:p w14:paraId="6D3A164E"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6876985B"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Diferencia de porcentajes</w:t>
            </w:r>
          </w:p>
        </w:tc>
        <w:tc>
          <w:tcPr>
            <w:tcW w:w="2255" w:type="dxa"/>
          </w:tcPr>
          <w:p w14:paraId="28BFDC29"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636DE975" w14:textId="77777777" w:rsidR="001B33CB" w:rsidRPr="001505C7" w:rsidRDefault="001B33CB" w:rsidP="004835C9">
            <w:pPr>
              <w:rPr>
                <w:rFonts w:asciiTheme="majorBidi" w:eastAsia="Times New Roman" w:hAnsiTheme="majorBidi" w:cstheme="majorBidi"/>
                <w:iCs/>
                <w:sz w:val="24"/>
                <w:szCs w:val="24"/>
              </w:rPr>
            </w:pPr>
          </w:p>
        </w:tc>
      </w:tr>
      <w:tr w:rsidR="001B33CB" w14:paraId="6B5CD701" w14:textId="77777777" w:rsidTr="004835C9">
        <w:tc>
          <w:tcPr>
            <w:tcW w:w="2254" w:type="dxa"/>
          </w:tcPr>
          <w:p w14:paraId="09059E58" w14:textId="77777777" w:rsidR="001B33CB" w:rsidRPr="001505C7" w:rsidRDefault="001B33CB" w:rsidP="004835C9">
            <w:pPr>
              <w:rPr>
                <w:rFonts w:asciiTheme="majorBidi" w:eastAsia="Times New Roman" w:hAnsiTheme="majorBidi" w:cstheme="majorBidi"/>
                <w:iCs/>
                <w:sz w:val="24"/>
                <w:szCs w:val="24"/>
              </w:rPr>
            </w:pPr>
            <w:r w:rsidRPr="00796DB3">
              <w:rPr>
                <w:rFonts w:asciiTheme="majorBidi" w:eastAsia="Times New Roman" w:hAnsiTheme="majorBidi" w:cstheme="majorBidi"/>
                <w:iCs/>
                <w:sz w:val="24"/>
                <w:szCs w:val="24"/>
              </w:rPr>
              <w:t>De Marchis et al.</w:t>
            </w:r>
            <w:r>
              <w:rPr>
                <w:rFonts w:asciiTheme="majorBidi" w:eastAsia="Times New Roman" w:hAnsiTheme="majorBidi" w:cstheme="majorBidi"/>
                <w:iCs/>
                <w:sz w:val="24"/>
                <w:szCs w:val="24"/>
              </w:rPr>
              <w:t xml:space="preserve"> (2019)</w:t>
            </w:r>
          </w:p>
        </w:tc>
        <w:tc>
          <w:tcPr>
            <w:tcW w:w="2255" w:type="dxa"/>
          </w:tcPr>
          <w:p w14:paraId="37985DD3"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6B5448E8"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1B7DE3A5" w14:textId="77777777" w:rsidR="001B33CB"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C</w:t>
            </w:r>
            <w:r w:rsidRPr="002523DA">
              <w:rPr>
                <w:rFonts w:asciiTheme="majorBidi" w:eastAsia="Times New Roman" w:hAnsiTheme="majorBidi" w:cstheme="majorBidi"/>
                <w:iCs/>
                <w:sz w:val="24"/>
                <w:szCs w:val="24"/>
              </w:rPr>
              <w:t>uestionario demográfico para la práctica de la Certificación en Medicina Familiar de la ABFM</w:t>
            </w:r>
          </w:p>
          <w:p w14:paraId="4792F20E" w14:textId="77777777" w:rsidR="001B33CB" w:rsidRPr="001505C7" w:rsidRDefault="001B33CB" w:rsidP="004835C9">
            <w:pPr>
              <w:rPr>
                <w:rFonts w:asciiTheme="majorBidi" w:eastAsia="Times New Roman" w:hAnsiTheme="majorBidi" w:cstheme="majorBidi"/>
                <w:iCs/>
                <w:sz w:val="24"/>
                <w:szCs w:val="24"/>
              </w:rPr>
            </w:pPr>
          </w:p>
        </w:tc>
      </w:tr>
      <w:tr w:rsidR="001B33CB" w14:paraId="49BFB68F" w14:textId="77777777" w:rsidTr="004835C9">
        <w:tc>
          <w:tcPr>
            <w:tcW w:w="2254" w:type="dxa"/>
          </w:tcPr>
          <w:p w14:paraId="63B12BFC" w14:textId="77777777" w:rsidR="001B33CB" w:rsidRPr="001505C7" w:rsidRDefault="001B33CB" w:rsidP="004835C9">
            <w:pPr>
              <w:rPr>
                <w:rFonts w:asciiTheme="majorBidi" w:eastAsia="Times New Roman" w:hAnsiTheme="majorBidi" w:cstheme="majorBidi"/>
                <w:iCs/>
                <w:sz w:val="24"/>
                <w:szCs w:val="24"/>
              </w:rPr>
            </w:pPr>
            <w:r w:rsidRPr="00796DB3">
              <w:rPr>
                <w:rFonts w:asciiTheme="majorBidi" w:eastAsia="Times New Roman" w:hAnsiTheme="majorBidi" w:cstheme="majorBidi"/>
                <w:iCs/>
                <w:sz w:val="24"/>
                <w:szCs w:val="24"/>
              </w:rPr>
              <w:t>Elay et al.</w:t>
            </w:r>
            <w:r>
              <w:rPr>
                <w:rFonts w:asciiTheme="majorBidi" w:eastAsia="Times New Roman" w:hAnsiTheme="majorBidi" w:cstheme="majorBidi"/>
                <w:iCs/>
                <w:sz w:val="24"/>
                <w:szCs w:val="24"/>
              </w:rPr>
              <w:t xml:space="preserve"> (2019)</w:t>
            </w:r>
          </w:p>
        </w:tc>
        <w:tc>
          <w:tcPr>
            <w:tcW w:w="2255" w:type="dxa"/>
          </w:tcPr>
          <w:p w14:paraId="1EF14EAC"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2A63D415"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52CBFAED"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76663301" w14:textId="77777777" w:rsidR="001B33CB" w:rsidRPr="001505C7" w:rsidRDefault="001B33CB" w:rsidP="004835C9">
            <w:pPr>
              <w:rPr>
                <w:rFonts w:asciiTheme="majorBidi" w:eastAsia="Times New Roman" w:hAnsiTheme="majorBidi" w:cstheme="majorBidi"/>
                <w:iCs/>
                <w:sz w:val="24"/>
                <w:szCs w:val="24"/>
              </w:rPr>
            </w:pPr>
          </w:p>
        </w:tc>
      </w:tr>
      <w:tr w:rsidR="001B33CB" w14:paraId="4F0620D9" w14:textId="77777777" w:rsidTr="004835C9">
        <w:tc>
          <w:tcPr>
            <w:tcW w:w="2254" w:type="dxa"/>
          </w:tcPr>
          <w:p w14:paraId="5ACB55E7" w14:textId="77777777" w:rsidR="001B33CB" w:rsidRPr="00796DB3" w:rsidRDefault="001B33CB" w:rsidP="004835C9">
            <w:pPr>
              <w:rPr>
                <w:rFonts w:asciiTheme="majorBidi" w:eastAsia="Times New Roman" w:hAnsiTheme="majorBidi" w:cstheme="majorBidi"/>
                <w:iCs/>
                <w:sz w:val="24"/>
                <w:szCs w:val="24"/>
              </w:rPr>
            </w:pPr>
            <w:r w:rsidRPr="00796DB3">
              <w:rPr>
                <w:rFonts w:asciiTheme="majorBidi" w:eastAsia="Times New Roman" w:hAnsiTheme="majorBidi" w:cstheme="majorBidi"/>
                <w:iCs/>
                <w:sz w:val="24"/>
                <w:szCs w:val="24"/>
              </w:rPr>
              <w:t>Faivre et al.</w:t>
            </w:r>
            <w:r>
              <w:rPr>
                <w:rFonts w:asciiTheme="majorBidi" w:eastAsia="Times New Roman" w:hAnsiTheme="majorBidi" w:cstheme="majorBidi"/>
                <w:iCs/>
                <w:sz w:val="24"/>
                <w:szCs w:val="24"/>
              </w:rPr>
              <w:t xml:space="preserve"> (2019)</w:t>
            </w:r>
          </w:p>
        </w:tc>
        <w:tc>
          <w:tcPr>
            <w:tcW w:w="2255" w:type="dxa"/>
          </w:tcPr>
          <w:p w14:paraId="45AB6379" w14:textId="77777777" w:rsidR="001B33CB" w:rsidRPr="001505C7" w:rsidRDefault="001B33CB" w:rsidP="004835C9">
            <w:pPr>
              <w:rPr>
                <w:rFonts w:asciiTheme="majorBidi" w:eastAsia="Times New Roman" w:hAnsiTheme="majorBidi" w:cstheme="majorBidi"/>
                <w:iCs/>
                <w:sz w:val="24"/>
                <w:szCs w:val="24"/>
              </w:rPr>
            </w:pPr>
            <w:r>
              <w:rPr>
                <w:rFonts w:ascii="Times New Roman" w:eastAsia="Times New Roman" w:hAnsi="Times New Roman" w:cs="Times New Roman"/>
                <w:sz w:val="24"/>
                <w:szCs w:val="24"/>
              </w:rPr>
              <w:t>Expostfacto Prospectivo</w:t>
            </w:r>
          </w:p>
        </w:tc>
        <w:tc>
          <w:tcPr>
            <w:tcW w:w="2255" w:type="dxa"/>
          </w:tcPr>
          <w:p w14:paraId="5B13E9A7"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25F79D90"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27645463" w14:textId="77777777" w:rsidR="001B33CB" w:rsidRPr="001505C7" w:rsidRDefault="001B33CB" w:rsidP="004835C9">
            <w:pPr>
              <w:rPr>
                <w:rFonts w:asciiTheme="majorBidi" w:eastAsia="Times New Roman" w:hAnsiTheme="majorBidi" w:cstheme="majorBidi"/>
                <w:iCs/>
                <w:sz w:val="24"/>
                <w:szCs w:val="24"/>
              </w:rPr>
            </w:pPr>
          </w:p>
        </w:tc>
      </w:tr>
      <w:tr w:rsidR="001B33CB" w14:paraId="5C099049" w14:textId="77777777" w:rsidTr="004835C9">
        <w:tc>
          <w:tcPr>
            <w:tcW w:w="2254" w:type="dxa"/>
          </w:tcPr>
          <w:p w14:paraId="3926F83A" w14:textId="77777777" w:rsidR="001B33CB" w:rsidRPr="001505C7" w:rsidRDefault="001B33CB" w:rsidP="004835C9">
            <w:pPr>
              <w:rPr>
                <w:rFonts w:asciiTheme="majorBidi" w:eastAsia="Times New Roman" w:hAnsiTheme="majorBidi" w:cstheme="majorBidi"/>
                <w:iCs/>
                <w:sz w:val="24"/>
                <w:szCs w:val="24"/>
              </w:rPr>
            </w:pPr>
            <w:r w:rsidRPr="00EF3B77">
              <w:rPr>
                <w:rFonts w:asciiTheme="majorBidi" w:eastAsia="Times New Roman" w:hAnsiTheme="majorBidi" w:cstheme="majorBidi"/>
                <w:iCs/>
                <w:sz w:val="24"/>
                <w:szCs w:val="24"/>
              </w:rPr>
              <w:t>Gan et al.</w:t>
            </w:r>
            <w:r>
              <w:rPr>
                <w:rFonts w:asciiTheme="majorBidi" w:eastAsia="Times New Roman" w:hAnsiTheme="majorBidi" w:cstheme="majorBidi"/>
                <w:iCs/>
                <w:sz w:val="24"/>
                <w:szCs w:val="24"/>
              </w:rPr>
              <w:t xml:space="preserve"> (2019)</w:t>
            </w:r>
          </w:p>
        </w:tc>
        <w:tc>
          <w:tcPr>
            <w:tcW w:w="2255" w:type="dxa"/>
          </w:tcPr>
          <w:p w14:paraId="270DA948"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5223EB53"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Probabilidad</w:t>
            </w:r>
          </w:p>
        </w:tc>
        <w:tc>
          <w:tcPr>
            <w:tcW w:w="2255" w:type="dxa"/>
          </w:tcPr>
          <w:p w14:paraId="4707A386"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0B191364" w14:textId="77777777" w:rsidR="001B33CB" w:rsidRPr="001505C7" w:rsidRDefault="001B33CB" w:rsidP="004835C9">
            <w:pPr>
              <w:rPr>
                <w:rFonts w:asciiTheme="majorBidi" w:eastAsia="Times New Roman" w:hAnsiTheme="majorBidi" w:cstheme="majorBidi"/>
                <w:iCs/>
                <w:sz w:val="24"/>
                <w:szCs w:val="24"/>
              </w:rPr>
            </w:pPr>
          </w:p>
        </w:tc>
      </w:tr>
      <w:tr w:rsidR="001B33CB" w14:paraId="26E13526" w14:textId="77777777" w:rsidTr="004835C9">
        <w:tc>
          <w:tcPr>
            <w:tcW w:w="2254" w:type="dxa"/>
          </w:tcPr>
          <w:p w14:paraId="75F119C2" w14:textId="77777777" w:rsidR="001B33CB" w:rsidRPr="00796DB3" w:rsidRDefault="001B33CB" w:rsidP="004835C9">
            <w:pPr>
              <w:rPr>
                <w:rFonts w:asciiTheme="majorBidi" w:eastAsia="Times New Roman" w:hAnsiTheme="majorBidi" w:cstheme="majorBidi"/>
                <w:iCs/>
                <w:sz w:val="24"/>
                <w:szCs w:val="24"/>
              </w:rPr>
            </w:pPr>
            <w:r w:rsidRPr="0059014B">
              <w:rPr>
                <w:rFonts w:asciiTheme="majorBidi" w:eastAsia="Times New Roman" w:hAnsiTheme="majorBidi" w:cstheme="majorBidi"/>
                <w:iCs/>
                <w:color w:val="000000" w:themeColor="text1"/>
                <w:sz w:val="24"/>
                <w:szCs w:val="24"/>
              </w:rPr>
              <w:lastRenderedPageBreak/>
              <w:t>Hain et al. (2021)</w:t>
            </w:r>
          </w:p>
        </w:tc>
        <w:tc>
          <w:tcPr>
            <w:tcW w:w="2255" w:type="dxa"/>
          </w:tcPr>
          <w:p w14:paraId="3D760E21"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7508DC21" w14:textId="77777777" w:rsidR="001B33CB" w:rsidRPr="001A590C" w:rsidRDefault="001B33CB" w:rsidP="004835C9">
            <w:pPr>
              <w:rPr>
                <w:rFonts w:asciiTheme="majorBidi" w:eastAsia="Times New Roman" w:hAnsiTheme="majorBidi" w:cstheme="majorBidi"/>
                <w:iCs/>
                <w:sz w:val="24"/>
                <w:szCs w:val="24"/>
              </w:rPr>
            </w:pPr>
            <w:r w:rsidRPr="001A590C">
              <w:rPr>
                <w:rFonts w:asciiTheme="majorBidi" w:hAnsiTheme="majorBidi" w:cstheme="majorBidi"/>
                <w:color w:val="202122"/>
                <w:sz w:val="24"/>
                <w:szCs w:val="24"/>
                <w:shd w:val="clear" w:color="auto" w:fill="FFFFFF"/>
              </w:rPr>
              <w:t>χ²</w:t>
            </w:r>
          </w:p>
        </w:tc>
        <w:tc>
          <w:tcPr>
            <w:tcW w:w="2255" w:type="dxa"/>
          </w:tcPr>
          <w:p w14:paraId="6FF1DD83"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2CCBF0CA" w14:textId="77777777" w:rsidR="001B33CB" w:rsidRPr="001505C7" w:rsidRDefault="001B33CB" w:rsidP="004835C9">
            <w:pPr>
              <w:rPr>
                <w:rFonts w:asciiTheme="majorBidi" w:eastAsia="Times New Roman" w:hAnsiTheme="majorBidi" w:cstheme="majorBidi"/>
                <w:iCs/>
                <w:sz w:val="24"/>
                <w:szCs w:val="24"/>
              </w:rPr>
            </w:pPr>
          </w:p>
        </w:tc>
      </w:tr>
      <w:tr w:rsidR="001B33CB" w14:paraId="4C99DF0F" w14:textId="77777777" w:rsidTr="004835C9">
        <w:tc>
          <w:tcPr>
            <w:tcW w:w="2254" w:type="dxa"/>
          </w:tcPr>
          <w:p w14:paraId="28C0BC63" w14:textId="77777777" w:rsidR="001B33CB" w:rsidRPr="001505C7" w:rsidRDefault="001B33CB" w:rsidP="004835C9">
            <w:pPr>
              <w:rPr>
                <w:rFonts w:asciiTheme="majorBidi" w:eastAsia="Times New Roman" w:hAnsiTheme="majorBidi" w:cstheme="majorBidi"/>
                <w:iCs/>
                <w:sz w:val="24"/>
                <w:szCs w:val="24"/>
              </w:rPr>
            </w:pPr>
            <w:r w:rsidRPr="00A424E5">
              <w:rPr>
                <w:rFonts w:asciiTheme="majorBidi" w:eastAsia="Times New Roman" w:hAnsiTheme="majorBidi" w:cstheme="majorBidi"/>
                <w:iCs/>
                <w:sz w:val="24"/>
                <w:szCs w:val="24"/>
              </w:rPr>
              <w:t>Iyer et al.</w:t>
            </w:r>
            <w:r>
              <w:rPr>
                <w:rFonts w:asciiTheme="majorBidi" w:eastAsia="Times New Roman" w:hAnsiTheme="majorBidi" w:cstheme="majorBidi"/>
                <w:iCs/>
                <w:sz w:val="24"/>
                <w:szCs w:val="24"/>
              </w:rPr>
              <w:t xml:space="preserve"> (2022)</w:t>
            </w:r>
          </w:p>
        </w:tc>
        <w:tc>
          <w:tcPr>
            <w:tcW w:w="2255" w:type="dxa"/>
          </w:tcPr>
          <w:p w14:paraId="0507E3AE" w14:textId="77777777" w:rsidR="001B33CB" w:rsidRPr="001505C7" w:rsidRDefault="001B33CB" w:rsidP="004835C9">
            <w:pPr>
              <w:rPr>
                <w:rFonts w:asciiTheme="majorBidi" w:eastAsia="Times New Roman" w:hAnsiTheme="majorBidi" w:cstheme="majorBidi"/>
                <w:iCs/>
                <w:sz w:val="24"/>
                <w:szCs w:val="24"/>
              </w:rPr>
            </w:pPr>
            <w:r>
              <w:rPr>
                <w:rFonts w:ascii="Times New Roman" w:eastAsia="Times New Roman" w:hAnsi="Times New Roman" w:cs="Times New Roman"/>
                <w:sz w:val="24"/>
                <w:szCs w:val="24"/>
              </w:rPr>
              <w:t>Expostfacto Prospectivo</w:t>
            </w:r>
          </w:p>
        </w:tc>
        <w:tc>
          <w:tcPr>
            <w:tcW w:w="2255" w:type="dxa"/>
          </w:tcPr>
          <w:p w14:paraId="1AB64927"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5E2126D2"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38DB3555" w14:textId="77777777" w:rsidR="001B33CB" w:rsidRPr="001505C7" w:rsidRDefault="001B33CB" w:rsidP="004835C9">
            <w:pPr>
              <w:rPr>
                <w:rFonts w:asciiTheme="majorBidi" w:eastAsia="Times New Roman" w:hAnsiTheme="majorBidi" w:cstheme="majorBidi"/>
                <w:iCs/>
                <w:sz w:val="24"/>
                <w:szCs w:val="24"/>
              </w:rPr>
            </w:pPr>
          </w:p>
        </w:tc>
      </w:tr>
      <w:tr w:rsidR="001B33CB" w14:paraId="76A82859" w14:textId="77777777" w:rsidTr="004835C9">
        <w:tc>
          <w:tcPr>
            <w:tcW w:w="2254" w:type="dxa"/>
          </w:tcPr>
          <w:p w14:paraId="460F32D7" w14:textId="77777777" w:rsidR="001B33CB" w:rsidRPr="00A424E5" w:rsidRDefault="001B33CB" w:rsidP="004835C9">
            <w:pPr>
              <w:rPr>
                <w:rFonts w:asciiTheme="majorBidi" w:eastAsia="Times New Roman" w:hAnsiTheme="majorBidi" w:cstheme="majorBidi"/>
                <w:iCs/>
                <w:sz w:val="24"/>
                <w:szCs w:val="24"/>
              </w:rPr>
            </w:pPr>
            <w:r w:rsidRPr="00A424E5">
              <w:rPr>
                <w:rFonts w:asciiTheme="majorBidi" w:eastAsia="Times New Roman" w:hAnsiTheme="majorBidi" w:cstheme="majorBidi"/>
                <w:iCs/>
                <w:sz w:val="24"/>
                <w:szCs w:val="24"/>
              </w:rPr>
              <w:t>Iyer et al.</w:t>
            </w:r>
            <w:r>
              <w:rPr>
                <w:rFonts w:asciiTheme="majorBidi" w:eastAsia="Times New Roman" w:hAnsiTheme="majorBidi" w:cstheme="majorBidi"/>
                <w:iCs/>
                <w:sz w:val="24"/>
                <w:szCs w:val="24"/>
              </w:rPr>
              <w:t xml:space="preserve"> (2022)</w:t>
            </w:r>
          </w:p>
        </w:tc>
        <w:tc>
          <w:tcPr>
            <w:tcW w:w="2255" w:type="dxa"/>
          </w:tcPr>
          <w:p w14:paraId="501E4DA0"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Expostfacto Prospectivo</w:t>
            </w:r>
          </w:p>
        </w:tc>
        <w:tc>
          <w:tcPr>
            <w:tcW w:w="2255" w:type="dxa"/>
          </w:tcPr>
          <w:p w14:paraId="3594E611" w14:textId="77777777" w:rsidR="001B33CB"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2C4AE614"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5069672E" w14:textId="77777777" w:rsidR="001B33CB" w:rsidRPr="00974D34" w:rsidRDefault="001B33CB" w:rsidP="004835C9">
            <w:pPr>
              <w:rPr>
                <w:rFonts w:asciiTheme="majorBidi" w:eastAsia="Times New Roman" w:hAnsiTheme="majorBidi" w:cstheme="majorBidi"/>
                <w:iCs/>
                <w:sz w:val="24"/>
                <w:szCs w:val="24"/>
              </w:rPr>
            </w:pPr>
          </w:p>
        </w:tc>
      </w:tr>
      <w:tr w:rsidR="001B33CB" w14:paraId="32385348" w14:textId="77777777" w:rsidTr="004835C9">
        <w:tc>
          <w:tcPr>
            <w:tcW w:w="2254" w:type="dxa"/>
          </w:tcPr>
          <w:p w14:paraId="2C20D9F7" w14:textId="77777777" w:rsidR="001B33CB" w:rsidRPr="001505C7" w:rsidRDefault="001B33CB" w:rsidP="004835C9">
            <w:pPr>
              <w:rPr>
                <w:rFonts w:asciiTheme="majorBidi" w:eastAsia="Times New Roman" w:hAnsiTheme="majorBidi" w:cstheme="majorBidi"/>
                <w:iCs/>
                <w:sz w:val="24"/>
                <w:szCs w:val="24"/>
              </w:rPr>
            </w:pPr>
            <w:r w:rsidRPr="009E0BEA">
              <w:rPr>
                <w:rFonts w:asciiTheme="majorBidi" w:eastAsia="Times New Roman" w:hAnsiTheme="majorBidi" w:cstheme="majorBidi"/>
                <w:iCs/>
                <w:sz w:val="24"/>
                <w:szCs w:val="24"/>
              </w:rPr>
              <w:t>Lee et al.</w:t>
            </w:r>
            <w:r>
              <w:rPr>
                <w:rFonts w:asciiTheme="majorBidi" w:eastAsia="Times New Roman" w:hAnsiTheme="majorBidi" w:cstheme="majorBidi"/>
                <w:iCs/>
                <w:sz w:val="24"/>
                <w:szCs w:val="24"/>
              </w:rPr>
              <w:t xml:space="preserve"> (2020)</w:t>
            </w:r>
          </w:p>
        </w:tc>
        <w:tc>
          <w:tcPr>
            <w:tcW w:w="2255" w:type="dxa"/>
          </w:tcPr>
          <w:p w14:paraId="0356A77C"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2E63EFDA"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4AF553B0"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40986A71" w14:textId="77777777" w:rsidR="001B33CB" w:rsidRPr="001505C7" w:rsidRDefault="001B33CB" w:rsidP="004835C9">
            <w:pPr>
              <w:rPr>
                <w:rFonts w:asciiTheme="majorBidi" w:eastAsia="Times New Roman" w:hAnsiTheme="majorBidi" w:cstheme="majorBidi"/>
                <w:iCs/>
                <w:sz w:val="24"/>
                <w:szCs w:val="24"/>
              </w:rPr>
            </w:pPr>
          </w:p>
        </w:tc>
      </w:tr>
      <w:tr w:rsidR="001B33CB" w14:paraId="41B3A9D0" w14:textId="77777777" w:rsidTr="004835C9">
        <w:tc>
          <w:tcPr>
            <w:tcW w:w="2254" w:type="dxa"/>
          </w:tcPr>
          <w:p w14:paraId="35DFD004" w14:textId="77777777" w:rsidR="001B33CB" w:rsidRPr="001505C7" w:rsidRDefault="001B33CB" w:rsidP="004835C9">
            <w:pPr>
              <w:rPr>
                <w:rFonts w:asciiTheme="majorBidi" w:eastAsia="Times New Roman" w:hAnsiTheme="majorBidi" w:cstheme="majorBidi"/>
                <w:iCs/>
                <w:sz w:val="24"/>
                <w:szCs w:val="24"/>
              </w:rPr>
            </w:pPr>
            <w:r w:rsidRPr="00866C9B">
              <w:rPr>
                <w:rFonts w:asciiTheme="majorBidi" w:eastAsia="Times New Roman" w:hAnsiTheme="majorBidi" w:cstheme="majorBidi"/>
                <w:iCs/>
                <w:sz w:val="24"/>
                <w:szCs w:val="24"/>
              </w:rPr>
              <w:t>Li et al.</w:t>
            </w:r>
            <w:r>
              <w:rPr>
                <w:rFonts w:asciiTheme="majorBidi" w:eastAsia="Times New Roman" w:hAnsiTheme="majorBidi" w:cstheme="majorBidi"/>
                <w:iCs/>
                <w:sz w:val="24"/>
                <w:szCs w:val="24"/>
              </w:rPr>
              <w:t xml:space="preserve"> (2019)</w:t>
            </w:r>
          </w:p>
        </w:tc>
        <w:tc>
          <w:tcPr>
            <w:tcW w:w="2255" w:type="dxa"/>
          </w:tcPr>
          <w:p w14:paraId="663C01A4"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2717E8C4"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5B49682A"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2A2DFF9B" w14:textId="77777777" w:rsidR="001B33CB" w:rsidRPr="001505C7" w:rsidRDefault="001B33CB" w:rsidP="004835C9">
            <w:pPr>
              <w:rPr>
                <w:rFonts w:asciiTheme="majorBidi" w:eastAsia="Times New Roman" w:hAnsiTheme="majorBidi" w:cstheme="majorBidi"/>
                <w:iCs/>
                <w:sz w:val="24"/>
                <w:szCs w:val="24"/>
              </w:rPr>
            </w:pPr>
          </w:p>
        </w:tc>
      </w:tr>
      <w:tr w:rsidR="001B33CB" w14:paraId="75820F68" w14:textId="77777777" w:rsidTr="004835C9">
        <w:tc>
          <w:tcPr>
            <w:tcW w:w="2254" w:type="dxa"/>
          </w:tcPr>
          <w:p w14:paraId="24865580" w14:textId="77777777" w:rsidR="001B33CB" w:rsidRPr="001505C7" w:rsidRDefault="001B33CB" w:rsidP="004835C9">
            <w:pPr>
              <w:rPr>
                <w:rFonts w:asciiTheme="majorBidi" w:eastAsia="Times New Roman" w:hAnsiTheme="majorBidi" w:cstheme="majorBidi"/>
                <w:iCs/>
                <w:sz w:val="24"/>
                <w:szCs w:val="24"/>
              </w:rPr>
            </w:pPr>
            <w:r w:rsidRPr="00866C9B">
              <w:rPr>
                <w:rFonts w:asciiTheme="majorBidi" w:eastAsia="Times New Roman" w:hAnsiTheme="majorBidi" w:cstheme="majorBidi"/>
                <w:iCs/>
                <w:sz w:val="24"/>
                <w:szCs w:val="24"/>
              </w:rPr>
              <w:t>Merces et al.</w:t>
            </w:r>
            <w:r>
              <w:rPr>
                <w:rFonts w:asciiTheme="majorBidi" w:eastAsia="Times New Roman" w:hAnsiTheme="majorBidi" w:cstheme="majorBidi"/>
                <w:iCs/>
                <w:sz w:val="24"/>
                <w:szCs w:val="24"/>
              </w:rPr>
              <w:t xml:space="preserve"> (2020)</w:t>
            </w:r>
          </w:p>
        </w:tc>
        <w:tc>
          <w:tcPr>
            <w:tcW w:w="2255" w:type="dxa"/>
          </w:tcPr>
          <w:p w14:paraId="508AC72C"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7707BB3F"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7EA75F09"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75F5E5E9" w14:textId="77777777" w:rsidR="001B33CB" w:rsidRPr="001505C7" w:rsidRDefault="001B33CB" w:rsidP="004835C9">
            <w:pPr>
              <w:rPr>
                <w:rFonts w:asciiTheme="majorBidi" w:eastAsia="Times New Roman" w:hAnsiTheme="majorBidi" w:cstheme="majorBidi"/>
                <w:iCs/>
                <w:sz w:val="24"/>
                <w:szCs w:val="24"/>
              </w:rPr>
            </w:pPr>
          </w:p>
        </w:tc>
      </w:tr>
      <w:tr w:rsidR="001B33CB" w14:paraId="3F779113" w14:textId="77777777" w:rsidTr="004835C9">
        <w:tc>
          <w:tcPr>
            <w:tcW w:w="2254" w:type="dxa"/>
          </w:tcPr>
          <w:p w14:paraId="1995FB0D" w14:textId="77777777" w:rsidR="001B33CB" w:rsidRPr="001505C7" w:rsidRDefault="001B33CB" w:rsidP="004835C9">
            <w:pPr>
              <w:rPr>
                <w:rFonts w:asciiTheme="majorBidi" w:eastAsia="Times New Roman" w:hAnsiTheme="majorBidi" w:cstheme="majorBidi"/>
                <w:iCs/>
                <w:sz w:val="24"/>
                <w:szCs w:val="24"/>
              </w:rPr>
            </w:pPr>
            <w:r w:rsidRPr="00670B2C">
              <w:rPr>
                <w:rFonts w:asciiTheme="majorBidi" w:eastAsia="Times New Roman" w:hAnsiTheme="majorBidi" w:cstheme="majorBidi"/>
                <w:iCs/>
                <w:sz w:val="24"/>
                <w:szCs w:val="24"/>
              </w:rPr>
              <w:t>Merino-Plaza et al.</w:t>
            </w:r>
            <w:r>
              <w:rPr>
                <w:rFonts w:asciiTheme="majorBidi" w:eastAsia="Times New Roman" w:hAnsiTheme="majorBidi" w:cstheme="majorBidi"/>
                <w:iCs/>
                <w:sz w:val="24"/>
                <w:szCs w:val="24"/>
              </w:rPr>
              <w:t xml:space="preserve"> (2018)</w:t>
            </w:r>
          </w:p>
        </w:tc>
        <w:tc>
          <w:tcPr>
            <w:tcW w:w="2255" w:type="dxa"/>
          </w:tcPr>
          <w:p w14:paraId="29CCD55A"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322196F1"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4DA86CB3"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515EDE00" w14:textId="77777777" w:rsidR="001B33CB" w:rsidRPr="001505C7" w:rsidRDefault="001B33CB" w:rsidP="004835C9">
            <w:pPr>
              <w:rPr>
                <w:rFonts w:asciiTheme="majorBidi" w:eastAsia="Times New Roman" w:hAnsiTheme="majorBidi" w:cstheme="majorBidi"/>
                <w:iCs/>
                <w:sz w:val="24"/>
                <w:szCs w:val="24"/>
              </w:rPr>
            </w:pPr>
          </w:p>
        </w:tc>
      </w:tr>
      <w:tr w:rsidR="001B33CB" w14:paraId="49B4D7C4" w14:textId="77777777" w:rsidTr="004835C9">
        <w:tc>
          <w:tcPr>
            <w:tcW w:w="2254" w:type="dxa"/>
          </w:tcPr>
          <w:p w14:paraId="69054F08" w14:textId="77777777" w:rsidR="001B33CB" w:rsidRPr="001505C7" w:rsidRDefault="001B33CB" w:rsidP="004835C9">
            <w:pPr>
              <w:rPr>
                <w:rFonts w:asciiTheme="majorBidi" w:eastAsia="Times New Roman" w:hAnsiTheme="majorBidi" w:cstheme="majorBidi"/>
                <w:iCs/>
                <w:sz w:val="24"/>
                <w:szCs w:val="24"/>
              </w:rPr>
            </w:pPr>
            <w:r w:rsidRPr="00C321C4">
              <w:rPr>
                <w:rFonts w:asciiTheme="majorBidi" w:eastAsia="Times New Roman" w:hAnsiTheme="majorBidi" w:cstheme="majorBidi"/>
                <w:iCs/>
                <w:sz w:val="24"/>
                <w:szCs w:val="24"/>
              </w:rPr>
              <w:t>Nowacka et al.</w:t>
            </w:r>
            <w:r>
              <w:rPr>
                <w:rFonts w:asciiTheme="majorBidi" w:eastAsia="Times New Roman" w:hAnsiTheme="majorBidi" w:cstheme="majorBidi"/>
                <w:iCs/>
                <w:sz w:val="24"/>
                <w:szCs w:val="24"/>
              </w:rPr>
              <w:t xml:space="preserve"> (2018)</w:t>
            </w:r>
          </w:p>
        </w:tc>
        <w:tc>
          <w:tcPr>
            <w:tcW w:w="2255" w:type="dxa"/>
          </w:tcPr>
          <w:p w14:paraId="0BB5CA8A"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5827C16F"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0834AD19"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67E14F87" w14:textId="77777777" w:rsidR="001B33CB" w:rsidRPr="001505C7" w:rsidRDefault="001B33CB" w:rsidP="004835C9">
            <w:pPr>
              <w:rPr>
                <w:rFonts w:asciiTheme="majorBidi" w:eastAsia="Times New Roman" w:hAnsiTheme="majorBidi" w:cstheme="majorBidi"/>
                <w:iCs/>
                <w:sz w:val="24"/>
                <w:szCs w:val="24"/>
              </w:rPr>
            </w:pPr>
          </w:p>
        </w:tc>
      </w:tr>
      <w:tr w:rsidR="001B33CB" w14:paraId="1E7B4E10" w14:textId="77777777" w:rsidTr="004835C9">
        <w:tc>
          <w:tcPr>
            <w:tcW w:w="2254" w:type="dxa"/>
          </w:tcPr>
          <w:p w14:paraId="39C65F5B" w14:textId="77777777" w:rsidR="001B33CB" w:rsidRPr="001505C7" w:rsidRDefault="001B33CB" w:rsidP="004835C9">
            <w:pPr>
              <w:rPr>
                <w:rFonts w:asciiTheme="majorBidi" w:eastAsia="Times New Roman" w:hAnsiTheme="majorBidi" w:cstheme="majorBidi"/>
                <w:iCs/>
                <w:sz w:val="24"/>
                <w:szCs w:val="24"/>
              </w:rPr>
            </w:pPr>
            <w:r w:rsidRPr="00FA0C1A">
              <w:rPr>
                <w:rFonts w:asciiTheme="majorBidi" w:eastAsia="Times New Roman" w:hAnsiTheme="majorBidi" w:cstheme="majorBidi"/>
                <w:iCs/>
                <w:sz w:val="24"/>
                <w:szCs w:val="24"/>
              </w:rPr>
              <w:t>Paiva et al.</w:t>
            </w:r>
            <w:r>
              <w:rPr>
                <w:rFonts w:asciiTheme="majorBidi" w:eastAsia="Times New Roman" w:hAnsiTheme="majorBidi" w:cstheme="majorBidi"/>
                <w:iCs/>
                <w:sz w:val="24"/>
                <w:szCs w:val="24"/>
              </w:rPr>
              <w:t xml:space="preserve"> (2018)</w:t>
            </w:r>
          </w:p>
        </w:tc>
        <w:tc>
          <w:tcPr>
            <w:tcW w:w="2255" w:type="dxa"/>
          </w:tcPr>
          <w:p w14:paraId="0A450825"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15561E01" w14:textId="77777777" w:rsidR="001B33CB" w:rsidRPr="001505C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23C9C66F"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 xml:space="preserve">Encuesta de Servicios Humanos </w:t>
            </w:r>
            <w:r w:rsidRPr="00974D34">
              <w:rPr>
                <w:rFonts w:asciiTheme="majorBidi" w:eastAsia="Times New Roman" w:hAnsiTheme="majorBidi" w:cstheme="majorBidi"/>
                <w:iCs/>
                <w:sz w:val="24"/>
                <w:szCs w:val="24"/>
              </w:rPr>
              <w:lastRenderedPageBreak/>
              <w:t>del Inventario de Burnout de Maslach</w:t>
            </w:r>
          </w:p>
          <w:p w14:paraId="0ECE6166" w14:textId="77777777" w:rsidR="001B33CB" w:rsidRPr="001505C7" w:rsidRDefault="001B33CB" w:rsidP="004835C9">
            <w:pPr>
              <w:rPr>
                <w:rFonts w:asciiTheme="majorBidi" w:eastAsia="Times New Roman" w:hAnsiTheme="majorBidi" w:cstheme="majorBidi"/>
                <w:iCs/>
                <w:sz w:val="24"/>
                <w:szCs w:val="24"/>
              </w:rPr>
            </w:pPr>
          </w:p>
        </w:tc>
      </w:tr>
      <w:tr w:rsidR="001B33CB" w14:paraId="47C4210D" w14:textId="77777777" w:rsidTr="004835C9">
        <w:tc>
          <w:tcPr>
            <w:tcW w:w="2254" w:type="dxa"/>
          </w:tcPr>
          <w:p w14:paraId="7B6E84A4" w14:textId="77777777" w:rsidR="001B33CB" w:rsidRPr="00A017FF" w:rsidRDefault="001B33CB" w:rsidP="004835C9">
            <w:pPr>
              <w:rPr>
                <w:rFonts w:asciiTheme="majorBidi" w:hAnsiTheme="majorBidi" w:cstheme="majorBidi"/>
                <w:color w:val="000000"/>
                <w:sz w:val="24"/>
                <w:szCs w:val="24"/>
              </w:rPr>
            </w:pPr>
            <w:r w:rsidRPr="00071AF7">
              <w:rPr>
                <w:rFonts w:asciiTheme="majorBidi" w:hAnsiTheme="majorBidi" w:cstheme="majorBidi"/>
                <w:color w:val="000000"/>
                <w:sz w:val="24"/>
                <w:szCs w:val="24"/>
              </w:rPr>
              <w:lastRenderedPageBreak/>
              <w:t xml:space="preserve">Zarei et al. </w:t>
            </w:r>
            <w:r>
              <w:rPr>
                <w:rFonts w:asciiTheme="majorBidi" w:hAnsiTheme="majorBidi" w:cstheme="majorBidi"/>
                <w:color w:val="000000"/>
                <w:sz w:val="24"/>
                <w:szCs w:val="24"/>
              </w:rPr>
              <w:t>(2019)</w:t>
            </w:r>
          </w:p>
        </w:tc>
        <w:tc>
          <w:tcPr>
            <w:tcW w:w="2255" w:type="dxa"/>
          </w:tcPr>
          <w:p w14:paraId="59E376B2" w14:textId="77777777" w:rsidR="001B33CB" w:rsidRPr="00071AF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064D72E5" w14:textId="77777777" w:rsidR="001B33CB" w:rsidRPr="00071AF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OR</w:t>
            </w:r>
          </w:p>
        </w:tc>
        <w:tc>
          <w:tcPr>
            <w:tcW w:w="2255" w:type="dxa"/>
          </w:tcPr>
          <w:p w14:paraId="643D61B4"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21DA1E2B" w14:textId="77777777" w:rsidR="001B33CB" w:rsidRPr="00071AF7" w:rsidRDefault="001B33CB" w:rsidP="004835C9">
            <w:pPr>
              <w:rPr>
                <w:rFonts w:asciiTheme="majorBidi" w:eastAsia="Times New Roman" w:hAnsiTheme="majorBidi" w:cstheme="majorBidi"/>
                <w:iCs/>
                <w:sz w:val="24"/>
                <w:szCs w:val="24"/>
              </w:rPr>
            </w:pPr>
          </w:p>
        </w:tc>
      </w:tr>
      <w:tr w:rsidR="001B33CB" w14:paraId="05B95B06" w14:textId="77777777" w:rsidTr="004835C9">
        <w:tc>
          <w:tcPr>
            <w:tcW w:w="2254" w:type="dxa"/>
          </w:tcPr>
          <w:p w14:paraId="4A34C9DC" w14:textId="77777777" w:rsidR="001B33CB" w:rsidRPr="00071AF7" w:rsidRDefault="001B33CB" w:rsidP="004835C9">
            <w:pPr>
              <w:rPr>
                <w:rFonts w:asciiTheme="majorBidi" w:eastAsia="Times New Roman" w:hAnsiTheme="majorBidi" w:cstheme="majorBidi"/>
                <w:iCs/>
                <w:sz w:val="24"/>
                <w:szCs w:val="24"/>
              </w:rPr>
            </w:pPr>
            <w:r w:rsidRPr="00071AF7">
              <w:rPr>
                <w:rFonts w:asciiTheme="majorBidi" w:eastAsia="Times New Roman" w:hAnsiTheme="majorBidi" w:cstheme="majorBidi"/>
                <w:iCs/>
                <w:sz w:val="24"/>
                <w:szCs w:val="24"/>
              </w:rPr>
              <w:t>Zétola et al.</w:t>
            </w:r>
            <w:r>
              <w:rPr>
                <w:rFonts w:asciiTheme="majorBidi" w:eastAsia="Times New Roman" w:hAnsiTheme="majorBidi" w:cstheme="majorBidi"/>
                <w:iCs/>
                <w:sz w:val="24"/>
                <w:szCs w:val="24"/>
              </w:rPr>
              <w:t xml:space="preserve"> (2019)</w:t>
            </w:r>
          </w:p>
        </w:tc>
        <w:tc>
          <w:tcPr>
            <w:tcW w:w="2255" w:type="dxa"/>
          </w:tcPr>
          <w:p w14:paraId="6630EA77" w14:textId="77777777" w:rsidR="001B33CB" w:rsidRPr="00071AF7"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7D9FC67F" w14:textId="77777777" w:rsidR="001B33CB" w:rsidRPr="00071AF7" w:rsidRDefault="001B33CB" w:rsidP="004835C9">
            <w:pPr>
              <w:rPr>
                <w:rFonts w:asciiTheme="majorBidi" w:eastAsia="Times New Roman" w:hAnsiTheme="majorBidi" w:cstheme="majorBidi"/>
                <w:iCs/>
                <w:sz w:val="24"/>
                <w:szCs w:val="24"/>
              </w:rPr>
            </w:pPr>
            <w:r w:rsidRPr="00A017FF">
              <w:rPr>
                <w:rFonts w:asciiTheme="majorBidi" w:eastAsia="Times New Roman" w:hAnsiTheme="majorBidi" w:cstheme="majorBidi"/>
                <w:iCs/>
                <w:sz w:val="24"/>
                <w:szCs w:val="24"/>
              </w:rPr>
              <w:t>Correlacio</w:t>
            </w:r>
            <w:r>
              <w:rPr>
                <w:rFonts w:asciiTheme="majorBidi" w:eastAsia="Times New Roman" w:hAnsiTheme="majorBidi" w:cstheme="majorBidi"/>
                <w:iCs/>
                <w:sz w:val="24"/>
                <w:szCs w:val="24"/>
              </w:rPr>
              <w:t>nes</w:t>
            </w:r>
          </w:p>
        </w:tc>
        <w:tc>
          <w:tcPr>
            <w:tcW w:w="2255" w:type="dxa"/>
          </w:tcPr>
          <w:p w14:paraId="758EEC39"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07092ABD" w14:textId="77777777" w:rsidR="001B33CB" w:rsidRPr="00071AF7" w:rsidRDefault="001B33CB" w:rsidP="004835C9">
            <w:pPr>
              <w:rPr>
                <w:rFonts w:asciiTheme="majorBidi" w:eastAsia="Times New Roman" w:hAnsiTheme="majorBidi" w:cstheme="majorBidi"/>
                <w:iCs/>
                <w:sz w:val="24"/>
                <w:szCs w:val="24"/>
              </w:rPr>
            </w:pPr>
          </w:p>
        </w:tc>
      </w:tr>
      <w:tr w:rsidR="001B33CB" w14:paraId="4C23AA96" w14:textId="77777777" w:rsidTr="004835C9">
        <w:tc>
          <w:tcPr>
            <w:tcW w:w="2254" w:type="dxa"/>
          </w:tcPr>
          <w:p w14:paraId="32E597CC" w14:textId="77777777" w:rsidR="001B33CB" w:rsidRPr="00071AF7" w:rsidRDefault="001B33CB" w:rsidP="004835C9">
            <w:pPr>
              <w:rPr>
                <w:rFonts w:asciiTheme="majorBidi" w:eastAsia="Times New Roman" w:hAnsiTheme="majorBidi" w:cstheme="majorBidi"/>
                <w:iCs/>
                <w:sz w:val="24"/>
                <w:szCs w:val="24"/>
              </w:rPr>
            </w:pPr>
            <w:r w:rsidRPr="00071AF7">
              <w:rPr>
                <w:rFonts w:asciiTheme="majorBidi" w:eastAsia="Times New Roman" w:hAnsiTheme="majorBidi" w:cstheme="majorBidi"/>
                <w:iCs/>
                <w:sz w:val="24"/>
                <w:szCs w:val="24"/>
              </w:rPr>
              <w:t>Zétola et al.</w:t>
            </w:r>
            <w:r>
              <w:rPr>
                <w:rFonts w:asciiTheme="majorBidi" w:eastAsia="Times New Roman" w:hAnsiTheme="majorBidi" w:cstheme="majorBidi"/>
                <w:iCs/>
                <w:sz w:val="24"/>
                <w:szCs w:val="24"/>
              </w:rPr>
              <w:t xml:space="preserve"> (2019)</w:t>
            </w:r>
          </w:p>
        </w:tc>
        <w:tc>
          <w:tcPr>
            <w:tcW w:w="2255" w:type="dxa"/>
          </w:tcPr>
          <w:p w14:paraId="2CFD43CE" w14:textId="77777777" w:rsidR="001B33CB" w:rsidRDefault="001B33CB" w:rsidP="004835C9">
            <w:pPr>
              <w:rPr>
                <w:rFonts w:asciiTheme="majorBidi" w:eastAsia="Times New Roman" w:hAnsiTheme="majorBidi" w:cstheme="majorBidi"/>
                <w:iCs/>
                <w:sz w:val="24"/>
                <w:szCs w:val="24"/>
              </w:rPr>
            </w:pPr>
            <w:r>
              <w:rPr>
                <w:rFonts w:asciiTheme="majorBidi" w:eastAsia="Times New Roman" w:hAnsiTheme="majorBidi" w:cstheme="majorBidi"/>
                <w:iCs/>
                <w:sz w:val="24"/>
                <w:szCs w:val="24"/>
              </w:rPr>
              <w:t>Expostfacto Retrospectivo</w:t>
            </w:r>
          </w:p>
        </w:tc>
        <w:tc>
          <w:tcPr>
            <w:tcW w:w="2255" w:type="dxa"/>
          </w:tcPr>
          <w:p w14:paraId="0B1EEF62" w14:textId="77777777" w:rsidR="001B33CB" w:rsidRPr="00A017FF" w:rsidRDefault="001B33CB" w:rsidP="004835C9">
            <w:pPr>
              <w:rPr>
                <w:rFonts w:asciiTheme="majorBidi" w:eastAsia="Times New Roman" w:hAnsiTheme="majorBidi" w:cstheme="majorBidi"/>
                <w:iCs/>
                <w:sz w:val="24"/>
                <w:szCs w:val="24"/>
              </w:rPr>
            </w:pPr>
            <w:r w:rsidRPr="00A017FF">
              <w:rPr>
                <w:rFonts w:asciiTheme="majorBidi" w:eastAsia="Times New Roman" w:hAnsiTheme="majorBidi" w:cstheme="majorBidi"/>
                <w:iCs/>
                <w:sz w:val="24"/>
                <w:szCs w:val="24"/>
              </w:rPr>
              <w:t>Correlacio</w:t>
            </w:r>
            <w:r>
              <w:rPr>
                <w:rFonts w:asciiTheme="majorBidi" w:eastAsia="Times New Roman" w:hAnsiTheme="majorBidi" w:cstheme="majorBidi"/>
                <w:iCs/>
                <w:sz w:val="24"/>
                <w:szCs w:val="24"/>
              </w:rPr>
              <w:t>nes</w:t>
            </w:r>
          </w:p>
        </w:tc>
        <w:tc>
          <w:tcPr>
            <w:tcW w:w="2255" w:type="dxa"/>
          </w:tcPr>
          <w:p w14:paraId="3CD24942" w14:textId="77777777" w:rsidR="001B33CB" w:rsidRDefault="001B33CB" w:rsidP="004835C9">
            <w:pPr>
              <w:rPr>
                <w:rFonts w:asciiTheme="majorBidi" w:eastAsia="Times New Roman" w:hAnsiTheme="majorBidi" w:cstheme="majorBidi"/>
                <w:iCs/>
                <w:sz w:val="24"/>
                <w:szCs w:val="24"/>
              </w:rPr>
            </w:pPr>
            <w:r w:rsidRPr="00974D34">
              <w:rPr>
                <w:rFonts w:asciiTheme="majorBidi" w:eastAsia="Times New Roman" w:hAnsiTheme="majorBidi" w:cstheme="majorBidi"/>
                <w:iCs/>
                <w:sz w:val="24"/>
                <w:szCs w:val="24"/>
              </w:rPr>
              <w:t>Encuesta de Servicios Humanos del Inventario de Burnout de Maslach</w:t>
            </w:r>
          </w:p>
          <w:p w14:paraId="6A514DD4" w14:textId="77777777" w:rsidR="001B33CB" w:rsidRPr="00974D34" w:rsidRDefault="001B33CB" w:rsidP="004835C9">
            <w:pPr>
              <w:rPr>
                <w:rFonts w:asciiTheme="majorBidi" w:eastAsia="Times New Roman" w:hAnsiTheme="majorBidi" w:cstheme="majorBidi"/>
                <w:iCs/>
                <w:sz w:val="24"/>
                <w:szCs w:val="24"/>
              </w:rPr>
            </w:pPr>
          </w:p>
        </w:tc>
      </w:tr>
      <w:tr w:rsidR="001B33CB" w14:paraId="21B97340" w14:textId="77777777" w:rsidTr="004835C9">
        <w:trPr>
          <w:cnfStyle w:val="010000000000" w:firstRow="0" w:lastRow="1" w:firstColumn="0" w:lastColumn="0" w:oddVBand="0" w:evenVBand="0" w:oddHBand="0" w:evenHBand="0" w:firstRowFirstColumn="0" w:firstRowLastColumn="0" w:lastRowFirstColumn="0" w:lastRowLastColumn="0"/>
        </w:trPr>
        <w:tc>
          <w:tcPr>
            <w:tcW w:w="2254" w:type="dxa"/>
          </w:tcPr>
          <w:p w14:paraId="0F541DE7" w14:textId="77777777" w:rsidR="001B33CB" w:rsidRPr="00551AF4" w:rsidRDefault="001B33CB" w:rsidP="004835C9">
            <w:pPr>
              <w:rPr>
                <w:rFonts w:asciiTheme="majorBidi" w:eastAsia="Times New Roman" w:hAnsiTheme="majorBidi" w:cstheme="majorBidi"/>
                <w:b w:val="0"/>
                <w:bCs w:val="0"/>
                <w:iCs/>
                <w:sz w:val="24"/>
                <w:szCs w:val="24"/>
              </w:rPr>
            </w:pPr>
            <w:r w:rsidRPr="00551AF4">
              <w:rPr>
                <w:rFonts w:asciiTheme="majorBidi" w:eastAsia="Times New Roman" w:hAnsiTheme="majorBidi" w:cstheme="majorBidi"/>
                <w:b w:val="0"/>
                <w:bCs w:val="0"/>
                <w:iCs/>
                <w:sz w:val="24"/>
                <w:szCs w:val="24"/>
              </w:rPr>
              <w:t>Zhang et al. (2023)</w:t>
            </w:r>
          </w:p>
        </w:tc>
        <w:tc>
          <w:tcPr>
            <w:tcW w:w="2255" w:type="dxa"/>
          </w:tcPr>
          <w:p w14:paraId="290BDF7E" w14:textId="77777777" w:rsidR="001B33CB" w:rsidRPr="00551AF4" w:rsidRDefault="001B33CB" w:rsidP="004835C9">
            <w:pPr>
              <w:rPr>
                <w:rFonts w:asciiTheme="majorBidi" w:eastAsia="Times New Roman" w:hAnsiTheme="majorBidi" w:cstheme="majorBidi"/>
                <w:b w:val="0"/>
                <w:bCs w:val="0"/>
                <w:iCs/>
                <w:sz w:val="24"/>
                <w:szCs w:val="24"/>
              </w:rPr>
            </w:pPr>
            <w:r w:rsidRPr="00551AF4">
              <w:rPr>
                <w:rFonts w:asciiTheme="majorBidi" w:eastAsia="Times New Roman" w:hAnsiTheme="majorBidi" w:cstheme="majorBidi"/>
                <w:b w:val="0"/>
                <w:bCs w:val="0"/>
                <w:iCs/>
                <w:sz w:val="24"/>
                <w:szCs w:val="24"/>
              </w:rPr>
              <w:t>Expostfacto Retrospectivo</w:t>
            </w:r>
          </w:p>
        </w:tc>
        <w:tc>
          <w:tcPr>
            <w:tcW w:w="2255" w:type="dxa"/>
          </w:tcPr>
          <w:p w14:paraId="47899D92" w14:textId="77777777" w:rsidR="001B33CB" w:rsidRPr="006B4097" w:rsidRDefault="001B33CB" w:rsidP="004835C9">
            <w:pPr>
              <w:rPr>
                <w:rFonts w:asciiTheme="majorBidi" w:eastAsia="Times New Roman" w:hAnsiTheme="majorBidi" w:cstheme="majorBidi"/>
                <w:b w:val="0"/>
                <w:bCs w:val="0"/>
                <w:iCs/>
                <w:sz w:val="24"/>
                <w:szCs w:val="24"/>
              </w:rPr>
            </w:pPr>
            <w:r w:rsidRPr="006B4097">
              <w:rPr>
                <w:rFonts w:asciiTheme="majorBidi" w:eastAsia="Times New Roman" w:hAnsiTheme="majorBidi" w:cstheme="majorBidi"/>
                <w:b w:val="0"/>
                <w:bCs w:val="0"/>
                <w:iCs/>
                <w:sz w:val="24"/>
                <w:szCs w:val="24"/>
              </w:rPr>
              <w:t>Correlaciones</w:t>
            </w:r>
          </w:p>
        </w:tc>
        <w:tc>
          <w:tcPr>
            <w:tcW w:w="2255" w:type="dxa"/>
          </w:tcPr>
          <w:p w14:paraId="056EB7BE" w14:textId="77777777" w:rsidR="001B33CB" w:rsidRDefault="001B33CB" w:rsidP="004835C9">
            <w:pPr>
              <w:rPr>
                <w:rFonts w:asciiTheme="majorBidi" w:eastAsia="Times New Roman" w:hAnsiTheme="majorBidi" w:cstheme="majorBidi"/>
                <w:iCs/>
                <w:sz w:val="24"/>
                <w:szCs w:val="24"/>
              </w:rPr>
            </w:pPr>
            <w:r w:rsidRPr="00551AF4">
              <w:rPr>
                <w:rFonts w:asciiTheme="majorBidi" w:eastAsia="Times New Roman" w:hAnsiTheme="majorBidi" w:cstheme="majorBidi"/>
                <w:b w:val="0"/>
                <w:bCs w:val="0"/>
                <w:iCs/>
                <w:sz w:val="24"/>
                <w:szCs w:val="24"/>
              </w:rPr>
              <w:t>Encuesta de Servicios Humanos del Inventario de Burnout de Maslach</w:t>
            </w:r>
          </w:p>
          <w:p w14:paraId="038BB55D" w14:textId="77777777" w:rsidR="001B33CB" w:rsidRPr="00551AF4" w:rsidRDefault="001B33CB" w:rsidP="004835C9">
            <w:pPr>
              <w:rPr>
                <w:rFonts w:asciiTheme="majorBidi" w:eastAsia="Times New Roman" w:hAnsiTheme="majorBidi" w:cstheme="majorBidi"/>
                <w:b w:val="0"/>
                <w:bCs w:val="0"/>
                <w:iCs/>
                <w:sz w:val="24"/>
                <w:szCs w:val="24"/>
              </w:rPr>
            </w:pPr>
          </w:p>
        </w:tc>
      </w:tr>
    </w:tbl>
    <w:p w14:paraId="62871625" w14:textId="77777777" w:rsidR="001B33CB" w:rsidRDefault="001B33CB" w:rsidP="001B33CB">
      <w:pPr>
        <w:spacing w:line="480" w:lineRule="auto"/>
        <w:rPr>
          <w:rFonts w:ascii="Times New Roman" w:eastAsia="Times New Roman" w:hAnsi="Times New Roman" w:cs="Times New Roman"/>
          <w:b/>
          <w:sz w:val="24"/>
          <w:szCs w:val="24"/>
        </w:rPr>
      </w:pPr>
    </w:p>
    <w:p w14:paraId="2FF83177" w14:textId="77777777" w:rsidR="001B33CB" w:rsidRDefault="001B33CB" w:rsidP="001B33CB">
      <w:pPr>
        <w:spacing w:line="480" w:lineRule="auto"/>
        <w:rPr>
          <w:rFonts w:ascii="Times New Roman" w:eastAsia="Times New Roman" w:hAnsi="Times New Roman" w:cs="Times New Roman"/>
          <w:sz w:val="24"/>
          <w:szCs w:val="24"/>
        </w:rPr>
      </w:pPr>
    </w:p>
    <w:p w14:paraId="740D4051" w14:textId="77777777" w:rsidR="001B33CB" w:rsidRDefault="001B33CB" w:rsidP="001B33CB">
      <w:pPr>
        <w:spacing w:line="480" w:lineRule="auto"/>
        <w:rPr>
          <w:rFonts w:ascii="Times New Roman" w:eastAsia="Times New Roman" w:hAnsi="Times New Roman" w:cs="Times New Roman"/>
          <w:sz w:val="24"/>
          <w:szCs w:val="24"/>
        </w:rPr>
        <w:sectPr w:rsidR="001B33CB" w:rsidSect="0092674B">
          <w:headerReference w:type="default" r:id="rId21"/>
          <w:headerReference w:type="first" r:id="rId22"/>
          <w:pgSz w:w="11909" w:h="16834"/>
          <w:pgMar w:top="1440" w:right="1440" w:bottom="1440" w:left="1440" w:header="720" w:footer="720" w:gutter="0"/>
          <w:pgNumType w:start="0"/>
          <w:cols w:space="720"/>
          <w:titlePg/>
          <w:docGrid w:linePitch="299"/>
        </w:sectPr>
      </w:pPr>
    </w:p>
    <w:p w14:paraId="3B6961AE" w14:textId="1CEDE482" w:rsidR="001B33CB" w:rsidRPr="007947D7" w:rsidRDefault="001B33CB" w:rsidP="001B33CB">
      <w:pPr>
        <w:spacing w:line="480" w:lineRule="auto"/>
        <w:rPr>
          <w:rFonts w:asciiTheme="majorBidi" w:hAnsiTheme="majorBidi" w:cstheme="majorBidi"/>
          <w:sz w:val="24"/>
          <w:szCs w:val="24"/>
        </w:rPr>
      </w:pPr>
      <w:r w:rsidRPr="007947D7">
        <w:rPr>
          <w:rFonts w:asciiTheme="majorBidi" w:hAnsiTheme="majorBidi" w:cstheme="majorBidi"/>
          <w:sz w:val="24"/>
          <w:szCs w:val="24"/>
        </w:rPr>
        <w:lastRenderedPageBreak/>
        <w:t xml:space="preserve">Tabla B </w:t>
      </w:r>
    </w:p>
    <w:p w14:paraId="54D52C99" w14:textId="77777777" w:rsidR="001B33CB" w:rsidRPr="007B151F" w:rsidRDefault="001B33CB" w:rsidP="00F55F58">
      <w:pPr>
        <w:spacing w:line="480" w:lineRule="auto"/>
        <w:rPr>
          <w:rFonts w:asciiTheme="majorBidi" w:hAnsiTheme="majorBidi" w:cstheme="majorBidi"/>
          <w:i/>
          <w:iCs/>
          <w:sz w:val="24"/>
          <w:szCs w:val="24"/>
        </w:rPr>
      </w:pPr>
      <w:r w:rsidRPr="007B151F">
        <w:rPr>
          <w:rFonts w:asciiTheme="majorBidi" w:hAnsiTheme="majorBidi" w:cstheme="majorBidi"/>
          <w:i/>
          <w:iCs/>
          <w:sz w:val="24"/>
          <w:szCs w:val="24"/>
        </w:rPr>
        <w:t>Características demográficas de las muestras de los estudios</w:t>
      </w:r>
    </w:p>
    <w:tbl>
      <w:tblPr>
        <w:tblStyle w:val="Tablanormal2"/>
        <w:tblW w:w="0" w:type="auto"/>
        <w:tblLook w:val="0660" w:firstRow="1" w:lastRow="1" w:firstColumn="0" w:lastColumn="0" w:noHBand="1" w:noVBand="1"/>
      </w:tblPr>
      <w:tblGrid>
        <w:gridCol w:w="1992"/>
        <w:gridCol w:w="1992"/>
        <w:gridCol w:w="1992"/>
        <w:gridCol w:w="1992"/>
        <w:gridCol w:w="1992"/>
        <w:gridCol w:w="1992"/>
        <w:gridCol w:w="1992"/>
      </w:tblGrid>
      <w:tr w:rsidR="001B33CB" w14:paraId="1173939A" w14:textId="77777777" w:rsidTr="004835C9">
        <w:trPr>
          <w:cnfStyle w:val="100000000000" w:firstRow="1" w:lastRow="0" w:firstColumn="0" w:lastColumn="0" w:oddVBand="0" w:evenVBand="0" w:oddHBand="0" w:evenHBand="0" w:firstRowFirstColumn="0" w:firstRowLastColumn="0" w:lastRowFirstColumn="0" w:lastRowLastColumn="0"/>
        </w:trPr>
        <w:tc>
          <w:tcPr>
            <w:tcW w:w="1992" w:type="dxa"/>
          </w:tcPr>
          <w:p w14:paraId="111CC200" w14:textId="77777777" w:rsidR="001B33CB" w:rsidRPr="00707FED" w:rsidRDefault="001B33CB" w:rsidP="004835C9">
            <w:pPr>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Estudio</w:t>
            </w:r>
          </w:p>
        </w:tc>
        <w:tc>
          <w:tcPr>
            <w:tcW w:w="1992" w:type="dxa"/>
          </w:tcPr>
          <w:p w14:paraId="174B3A5E" w14:textId="77777777" w:rsidR="001B33CB" w:rsidRPr="00707FED" w:rsidRDefault="001B33CB" w:rsidP="004835C9">
            <w:pPr>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N</w:t>
            </w:r>
          </w:p>
        </w:tc>
        <w:tc>
          <w:tcPr>
            <w:tcW w:w="1992" w:type="dxa"/>
          </w:tcPr>
          <w:p w14:paraId="3C0ADCC0" w14:textId="77777777" w:rsidR="001B33CB" w:rsidRPr="00707FED" w:rsidRDefault="001B33CB" w:rsidP="004835C9">
            <w:pPr>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Grupo control (sí/no)</w:t>
            </w:r>
          </w:p>
        </w:tc>
        <w:tc>
          <w:tcPr>
            <w:tcW w:w="1992" w:type="dxa"/>
          </w:tcPr>
          <w:p w14:paraId="07C378DC" w14:textId="77777777" w:rsidR="001B33CB" w:rsidRPr="00707FED" w:rsidRDefault="001B33CB" w:rsidP="004835C9">
            <w:pPr>
              <w:spacing w:line="480" w:lineRule="auto"/>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Edad Media</w:t>
            </w:r>
          </w:p>
        </w:tc>
        <w:tc>
          <w:tcPr>
            <w:tcW w:w="1992" w:type="dxa"/>
          </w:tcPr>
          <w:p w14:paraId="710051DB" w14:textId="77777777" w:rsidR="001B33CB" w:rsidRPr="00707FED" w:rsidRDefault="001B33CB" w:rsidP="004835C9">
            <w:pPr>
              <w:spacing w:line="480" w:lineRule="auto"/>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 Mujeres</w:t>
            </w:r>
          </w:p>
        </w:tc>
        <w:tc>
          <w:tcPr>
            <w:tcW w:w="1992" w:type="dxa"/>
          </w:tcPr>
          <w:p w14:paraId="345138C5" w14:textId="77777777" w:rsidR="001B33CB" w:rsidRPr="00707FED" w:rsidRDefault="001B33CB" w:rsidP="004835C9">
            <w:pPr>
              <w:spacing w:line="480" w:lineRule="auto"/>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País</w:t>
            </w:r>
          </w:p>
        </w:tc>
        <w:tc>
          <w:tcPr>
            <w:tcW w:w="1992" w:type="dxa"/>
          </w:tcPr>
          <w:p w14:paraId="2AFB9AEF" w14:textId="77777777" w:rsidR="001B33CB" w:rsidRPr="00707FED" w:rsidRDefault="001B33CB" w:rsidP="004835C9">
            <w:pPr>
              <w:rPr>
                <w:rFonts w:asciiTheme="majorBidi" w:eastAsia="Times New Roman" w:hAnsiTheme="majorBidi" w:cstheme="majorBidi"/>
                <w:b w:val="0"/>
                <w:bCs w:val="0"/>
                <w:sz w:val="24"/>
                <w:szCs w:val="24"/>
              </w:rPr>
            </w:pPr>
            <w:r w:rsidRPr="00707FED">
              <w:rPr>
                <w:rFonts w:asciiTheme="majorBidi" w:eastAsia="Times New Roman" w:hAnsiTheme="majorBidi" w:cstheme="majorBidi"/>
                <w:b w:val="0"/>
                <w:bCs w:val="0"/>
                <w:sz w:val="24"/>
                <w:szCs w:val="24"/>
              </w:rPr>
              <w:t>Especialidad Sanitaria</w:t>
            </w:r>
          </w:p>
        </w:tc>
      </w:tr>
      <w:tr w:rsidR="001B33CB" w14:paraId="418398FA" w14:textId="77777777" w:rsidTr="004835C9">
        <w:tc>
          <w:tcPr>
            <w:tcW w:w="1992" w:type="dxa"/>
          </w:tcPr>
          <w:p w14:paraId="19F22715"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Afonso et al. (2021)</w:t>
            </w:r>
          </w:p>
          <w:p w14:paraId="79D20394" w14:textId="77777777" w:rsidR="001B33CB" w:rsidRDefault="001B33CB" w:rsidP="004835C9">
            <w:pPr>
              <w:rPr>
                <w:rFonts w:asciiTheme="majorBidi" w:eastAsia="Times New Roman" w:hAnsiTheme="majorBidi" w:cstheme="majorBidi"/>
                <w:sz w:val="24"/>
                <w:szCs w:val="24"/>
              </w:rPr>
            </w:pPr>
          </w:p>
        </w:tc>
        <w:tc>
          <w:tcPr>
            <w:tcW w:w="1992" w:type="dxa"/>
          </w:tcPr>
          <w:p w14:paraId="08E03264" w14:textId="77777777" w:rsidR="001B33CB" w:rsidRDefault="001B33CB" w:rsidP="004835C9">
            <w:pPr>
              <w:rPr>
                <w:rFonts w:asciiTheme="majorBidi" w:eastAsia="Times New Roman" w:hAnsiTheme="majorBidi" w:cstheme="majorBidi"/>
                <w:sz w:val="24"/>
                <w:szCs w:val="24"/>
              </w:rPr>
            </w:pPr>
            <w:r w:rsidRPr="0095290E">
              <w:rPr>
                <w:rFonts w:ascii="Times New Roman" w:eastAsia="Times New Roman" w:hAnsi="Times New Roman" w:cs="Times New Roman"/>
                <w:sz w:val="24"/>
                <w:szCs w:val="24"/>
              </w:rPr>
              <w:t>3898</w:t>
            </w:r>
          </w:p>
        </w:tc>
        <w:tc>
          <w:tcPr>
            <w:tcW w:w="1992" w:type="dxa"/>
          </w:tcPr>
          <w:p w14:paraId="1BF9CFEA" w14:textId="77777777" w:rsidR="001B33CB" w:rsidRDefault="001B33CB" w:rsidP="004835C9">
            <w:pPr>
              <w:rPr>
                <w:rFonts w:asciiTheme="majorBidi" w:eastAsia="Times New Roman" w:hAnsiTheme="majorBidi" w:cstheme="majorBidi"/>
                <w:sz w:val="24"/>
                <w:szCs w:val="24"/>
              </w:rPr>
            </w:pPr>
            <w:r>
              <w:rPr>
                <w:rFonts w:ascii="Times New Roman" w:eastAsia="Times New Roman" w:hAnsi="Times New Roman" w:cs="Times New Roman"/>
                <w:sz w:val="24"/>
                <w:szCs w:val="24"/>
              </w:rPr>
              <w:t>Sí</w:t>
            </w:r>
          </w:p>
        </w:tc>
        <w:tc>
          <w:tcPr>
            <w:tcW w:w="1992" w:type="dxa"/>
          </w:tcPr>
          <w:p w14:paraId="59AA1694" w14:textId="77777777" w:rsidR="001B33CB" w:rsidRDefault="001B33CB" w:rsidP="004835C9">
            <w:pPr>
              <w:spacing w:line="480" w:lineRule="auto"/>
              <w:rPr>
                <w:rFonts w:asciiTheme="majorBidi" w:eastAsia="Times New Roman" w:hAnsiTheme="majorBidi" w:cstheme="majorBidi"/>
                <w:sz w:val="24"/>
                <w:szCs w:val="24"/>
              </w:rPr>
            </w:pPr>
            <w:r w:rsidRPr="0095290E">
              <w:rPr>
                <w:rFonts w:ascii="Times New Roman" w:eastAsia="Times New Roman" w:hAnsi="Times New Roman" w:cs="Times New Roman"/>
                <w:sz w:val="24"/>
                <w:szCs w:val="24"/>
              </w:rPr>
              <w:t>52</w:t>
            </w:r>
          </w:p>
        </w:tc>
        <w:tc>
          <w:tcPr>
            <w:tcW w:w="1992" w:type="dxa"/>
          </w:tcPr>
          <w:p w14:paraId="6D310C0C" w14:textId="77777777" w:rsidR="001B33CB" w:rsidRDefault="001B33CB" w:rsidP="004835C9">
            <w:pPr>
              <w:spacing w:line="480" w:lineRule="auto"/>
              <w:rPr>
                <w:rFonts w:asciiTheme="majorBidi" w:eastAsia="Times New Roman" w:hAnsiTheme="majorBidi" w:cstheme="majorBidi"/>
                <w:sz w:val="24"/>
                <w:szCs w:val="24"/>
              </w:rPr>
            </w:pPr>
            <w:r w:rsidRPr="0095290E">
              <w:rPr>
                <w:rFonts w:ascii="Times New Roman" w:eastAsia="Times New Roman" w:hAnsi="Times New Roman" w:cs="Times New Roman"/>
                <w:sz w:val="24"/>
                <w:szCs w:val="24"/>
              </w:rPr>
              <w:t>33,6</w:t>
            </w:r>
          </w:p>
        </w:tc>
        <w:tc>
          <w:tcPr>
            <w:tcW w:w="1992" w:type="dxa"/>
          </w:tcPr>
          <w:p w14:paraId="0DA811DD" w14:textId="77777777" w:rsidR="001B33CB" w:rsidRDefault="001B33CB" w:rsidP="004835C9">
            <w:pPr>
              <w:spacing w:line="480" w:lineRule="auto"/>
              <w:rPr>
                <w:rFonts w:asciiTheme="majorBidi" w:eastAsia="Times New Roman" w:hAnsiTheme="majorBidi" w:cstheme="majorBidi"/>
                <w:sz w:val="24"/>
                <w:szCs w:val="24"/>
              </w:rPr>
            </w:pPr>
            <w:r w:rsidRPr="0095290E">
              <w:rPr>
                <w:rFonts w:ascii="Times New Roman" w:eastAsia="Times New Roman" w:hAnsi="Times New Roman" w:cs="Times New Roman"/>
                <w:sz w:val="24"/>
                <w:szCs w:val="24"/>
              </w:rPr>
              <w:t>EE.UU.</w:t>
            </w:r>
          </w:p>
        </w:tc>
        <w:tc>
          <w:tcPr>
            <w:tcW w:w="1992" w:type="dxa"/>
          </w:tcPr>
          <w:p w14:paraId="03C1F52D"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Anestesiólogos</w:t>
            </w:r>
          </w:p>
          <w:p w14:paraId="42E76111" w14:textId="77777777" w:rsidR="001B33CB" w:rsidRDefault="001B33CB" w:rsidP="004835C9">
            <w:pPr>
              <w:rPr>
                <w:rFonts w:asciiTheme="majorBidi" w:eastAsia="Times New Roman" w:hAnsiTheme="majorBidi" w:cstheme="majorBidi"/>
                <w:sz w:val="24"/>
                <w:szCs w:val="24"/>
              </w:rPr>
            </w:pPr>
          </w:p>
        </w:tc>
      </w:tr>
      <w:tr w:rsidR="001B33CB" w14:paraId="1701C9BC" w14:textId="77777777" w:rsidTr="004835C9">
        <w:tc>
          <w:tcPr>
            <w:tcW w:w="1992" w:type="dxa"/>
          </w:tcPr>
          <w:p w14:paraId="70907374" w14:textId="77777777" w:rsidR="001B33CB"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Castañeda-Aguilera et al. (2020)</w:t>
            </w:r>
          </w:p>
          <w:p w14:paraId="70AA11AA" w14:textId="77777777" w:rsidR="001B33CB" w:rsidRPr="0095290E" w:rsidRDefault="001B33CB" w:rsidP="004835C9">
            <w:pPr>
              <w:rPr>
                <w:rFonts w:asciiTheme="majorBidi" w:hAnsiTheme="majorBidi" w:cstheme="majorBidi"/>
                <w:color w:val="000000"/>
                <w:sz w:val="24"/>
                <w:szCs w:val="24"/>
              </w:rPr>
            </w:pPr>
          </w:p>
        </w:tc>
        <w:tc>
          <w:tcPr>
            <w:tcW w:w="1992" w:type="dxa"/>
          </w:tcPr>
          <w:p w14:paraId="47748F95"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296</w:t>
            </w:r>
          </w:p>
        </w:tc>
        <w:tc>
          <w:tcPr>
            <w:tcW w:w="1992" w:type="dxa"/>
          </w:tcPr>
          <w:p w14:paraId="5DB52576"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096B1402"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w:t>
            </w:r>
          </w:p>
        </w:tc>
        <w:tc>
          <w:tcPr>
            <w:tcW w:w="1992" w:type="dxa"/>
          </w:tcPr>
          <w:p w14:paraId="6BEB5908"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20</w:t>
            </w:r>
          </w:p>
        </w:tc>
        <w:tc>
          <w:tcPr>
            <w:tcW w:w="1992" w:type="dxa"/>
          </w:tcPr>
          <w:p w14:paraId="3EC36C9C"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México</w:t>
            </w:r>
          </w:p>
        </w:tc>
        <w:tc>
          <w:tcPr>
            <w:tcW w:w="1992" w:type="dxa"/>
          </w:tcPr>
          <w:p w14:paraId="6A2A7B4E"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Cirujanos especialistas</w:t>
            </w:r>
          </w:p>
          <w:p w14:paraId="7AC948FB" w14:textId="77777777" w:rsidR="001B33CB" w:rsidRPr="0095290E" w:rsidRDefault="001B33CB" w:rsidP="004835C9">
            <w:pPr>
              <w:rPr>
                <w:rFonts w:asciiTheme="majorBidi" w:hAnsiTheme="majorBidi" w:cstheme="majorBidi"/>
                <w:color w:val="000000"/>
                <w:sz w:val="24"/>
                <w:szCs w:val="24"/>
              </w:rPr>
            </w:pPr>
          </w:p>
        </w:tc>
      </w:tr>
      <w:tr w:rsidR="001B33CB" w14:paraId="66469A2A" w14:textId="77777777" w:rsidTr="004835C9">
        <w:tc>
          <w:tcPr>
            <w:tcW w:w="1992" w:type="dxa"/>
          </w:tcPr>
          <w:p w14:paraId="3AA4F136" w14:textId="77777777" w:rsidR="001B33CB"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De la Fuente-Solana et al. (2021)</w:t>
            </w:r>
          </w:p>
          <w:p w14:paraId="64C67C22" w14:textId="77777777" w:rsidR="001B33CB" w:rsidRPr="0095290E" w:rsidRDefault="001B33CB" w:rsidP="004835C9">
            <w:pPr>
              <w:rPr>
                <w:rFonts w:asciiTheme="majorBidi" w:eastAsia="Times New Roman" w:hAnsiTheme="majorBidi" w:cstheme="majorBidi"/>
                <w:iCs/>
                <w:sz w:val="24"/>
                <w:szCs w:val="24"/>
              </w:rPr>
            </w:pPr>
          </w:p>
        </w:tc>
        <w:tc>
          <w:tcPr>
            <w:tcW w:w="1992" w:type="dxa"/>
          </w:tcPr>
          <w:p w14:paraId="2D950430"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95</w:t>
            </w:r>
          </w:p>
        </w:tc>
        <w:tc>
          <w:tcPr>
            <w:tcW w:w="1992" w:type="dxa"/>
          </w:tcPr>
          <w:p w14:paraId="48CE6520"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310A659A"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43,89</w:t>
            </w:r>
          </w:p>
        </w:tc>
        <w:tc>
          <w:tcPr>
            <w:tcW w:w="1992" w:type="dxa"/>
          </w:tcPr>
          <w:p w14:paraId="76E88AC7"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78,7</w:t>
            </w:r>
          </w:p>
        </w:tc>
        <w:tc>
          <w:tcPr>
            <w:tcW w:w="1992" w:type="dxa"/>
          </w:tcPr>
          <w:p w14:paraId="5220D938"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España</w:t>
            </w:r>
          </w:p>
        </w:tc>
        <w:tc>
          <w:tcPr>
            <w:tcW w:w="1992" w:type="dxa"/>
          </w:tcPr>
          <w:p w14:paraId="513A2CF5"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Enfermeros/as pediátricas</w:t>
            </w:r>
          </w:p>
          <w:p w14:paraId="3FDB9742" w14:textId="77777777" w:rsidR="001B33CB" w:rsidRPr="0095290E" w:rsidRDefault="001B33CB" w:rsidP="004835C9">
            <w:pPr>
              <w:rPr>
                <w:rFonts w:asciiTheme="majorBidi" w:hAnsiTheme="majorBidi" w:cstheme="majorBidi"/>
                <w:color w:val="000000"/>
                <w:sz w:val="24"/>
                <w:szCs w:val="24"/>
              </w:rPr>
            </w:pPr>
          </w:p>
        </w:tc>
      </w:tr>
      <w:tr w:rsidR="001B33CB" w14:paraId="4C2342A7" w14:textId="77777777" w:rsidTr="004835C9">
        <w:tc>
          <w:tcPr>
            <w:tcW w:w="1992" w:type="dxa"/>
          </w:tcPr>
          <w:p w14:paraId="3D951945"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De Marchis et al. (2019)</w:t>
            </w:r>
          </w:p>
        </w:tc>
        <w:tc>
          <w:tcPr>
            <w:tcW w:w="1992" w:type="dxa"/>
          </w:tcPr>
          <w:p w14:paraId="1BF74802"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1298</w:t>
            </w:r>
          </w:p>
        </w:tc>
        <w:tc>
          <w:tcPr>
            <w:tcW w:w="1992" w:type="dxa"/>
          </w:tcPr>
          <w:p w14:paraId="78922354"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19624CF9"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56</w:t>
            </w:r>
          </w:p>
        </w:tc>
        <w:tc>
          <w:tcPr>
            <w:tcW w:w="1992" w:type="dxa"/>
          </w:tcPr>
          <w:p w14:paraId="6B2F9EE2"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56</w:t>
            </w:r>
          </w:p>
        </w:tc>
        <w:tc>
          <w:tcPr>
            <w:tcW w:w="1992" w:type="dxa"/>
          </w:tcPr>
          <w:p w14:paraId="1CEF274F"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EE.UU.</w:t>
            </w:r>
          </w:p>
        </w:tc>
        <w:tc>
          <w:tcPr>
            <w:tcW w:w="1992" w:type="dxa"/>
          </w:tcPr>
          <w:p w14:paraId="1DC3C80F"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de atención primaria</w:t>
            </w:r>
          </w:p>
          <w:p w14:paraId="7ADEB06D" w14:textId="77777777" w:rsidR="001B33CB" w:rsidRPr="0095290E" w:rsidRDefault="001B33CB" w:rsidP="004835C9">
            <w:pPr>
              <w:rPr>
                <w:rFonts w:asciiTheme="majorBidi" w:hAnsiTheme="majorBidi" w:cstheme="majorBidi"/>
                <w:color w:val="000000"/>
                <w:sz w:val="24"/>
                <w:szCs w:val="24"/>
              </w:rPr>
            </w:pPr>
          </w:p>
        </w:tc>
      </w:tr>
      <w:tr w:rsidR="001B33CB" w14:paraId="01A85B7B" w14:textId="77777777" w:rsidTr="004835C9">
        <w:tc>
          <w:tcPr>
            <w:tcW w:w="1992" w:type="dxa"/>
          </w:tcPr>
          <w:p w14:paraId="7FC0E0A6"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Elay et al. (2019)</w:t>
            </w:r>
          </w:p>
        </w:tc>
        <w:tc>
          <w:tcPr>
            <w:tcW w:w="1992" w:type="dxa"/>
          </w:tcPr>
          <w:p w14:paraId="2577344C"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1161</w:t>
            </w:r>
          </w:p>
        </w:tc>
        <w:tc>
          <w:tcPr>
            <w:tcW w:w="1992" w:type="dxa"/>
          </w:tcPr>
          <w:p w14:paraId="691E01FA"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3F3EC0C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32,16</w:t>
            </w:r>
          </w:p>
        </w:tc>
        <w:tc>
          <w:tcPr>
            <w:tcW w:w="1992" w:type="dxa"/>
          </w:tcPr>
          <w:p w14:paraId="6575FD16"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61</w:t>
            </w:r>
          </w:p>
        </w:tc>
        <w:tc>
          <w:tcPr>
            <w:tcW w:w="1992" w:type="dxa"/>
          </w:tcPr>
          <w:p w14:paraId="7A7B25AE"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Turquía</w:t>
            </w:r>
          </w:p>
        </w:tc>
        <w:tc>
          <w:tcPr>
            <w:tcW w:w="1992" w:type="dxa"/>
          </w:tcPr>
          <w:p w14:paraId="61618B9B"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de UCI</w:t>
            </w:r>
          </w:p>
          <w:p w14:paraId="76359BD6" w14:textId="77777777" w:rsidR="001B33CB" w:rsidRPr="0095290E" w:rsidRDefault="001B33CB" w:rsidP="004835C9">
            <w:pPr>
              <w:rPr>
                <w:rFonts w:asciiTheme="majorBidi" w:hAnsiTheme="majorBidi" w:cstheme="majorBidi"/>
                <w:color w:val="000000"/>
                <w:sz w:val="24"/>
                <w:szCs w:val="24"/>
              </w:rPr>
            </w:pPr>
          </w:p>
        </w:tc>
      </w:tr>
      <w:tr w:rsidR="001B33CB" w14:paraId="33EC4463" w14:textId="77777777" w:rsidTr="004835C9">
        <w:tc>
          <w:tcPr>
            <w:tcW w:w="1992" w:type="dxa"/>
          </w:tcPr>
          <w:p w14:paraId="32CA1F2D"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Faivre et al. (2019)</w:t>
            </w:r>
          </w:p>
        </w:tc>
        <w:tc>
          <w:tcPr>
            <w:tcW w:w="1992" w:type="dxa"/>
          </w:tcPr>
          <w:p w14:paraId="0F1AE29C"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441</w:t>
            </w:r>
          </w:p>
        </w:tc>
        <w:tc>
          <w:tcPr>
            <w:tcW w:w="1992" w:type="dxa"/>
          </w:tcPr>
          <w:p w14:paraId="157430CF"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258144E3"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50,2</w:t>
            </w:r>
          </w:p>
        </w:tc>
        <w:tc>
          <w:tcPr>
            <w:tcW w:w="1992" w:type="dxa"/>
          </w:tcPr>
          <w:p w14:paraId="6B3C85D3"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6,3</w:t>
            </w:r>
          </w:p>
        </w:tc>
        <w:tc>
          <w:tcPr>
            <w:tcW w:w="1992" w:type="dxa"/>
          </w:tcPr>
          <w:p w14:paraId="0BE6F18B"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Francia</w:t>
            </w:r>
          </w:p>
        </w:tc>
        <w:tc>
          <w:tcPr>
            <w:tcW w:w="1992" w:type="dxa"/>
          </w:tcPr>
          <w:p w14:paraId="35CD235C"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Cirujanos ortopédicos</w:t>
            </w:r>
          </w:p>
          <w:p w14:paraId="19D24D4D" w14:textId="77777777" w:rsidR="001B33CB" w:rsidRPr="0095290E" w:rsidRDefault="001B33CB" w:rsidP="004835C9">
            <w:pPr>
              <w:rPr>
                <w:rFonts w:asciiTheme="majorBidi" w:hAnsiTheme="majorBidi" w:cstheme="majorBidi"/>
                <w:color w:val="000000"/>
                <w:sz w:val="24"/>
                <w:szCs w:val="24"/>
              </w:rPr>
            </w:pPr>
          </w:p>
        </w:tc>
      </w:tr>
      <w:tr w:rsidR="001B33CB" w14:paraId="2F794912" w14:textId="77777777" w:rsidTr="004835C9">
        <w:tc>
          <w:tcPr>
            <w:tcW w:w="1992" w:type="dxa"/>
          </w:tcPr>
          <w:p w14:paraId="0A085366"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Gan et al. (2019)</w:t>
            </w:r>
          </w:p>
        </w:tc>
        <w:tc>
          <w:tcPr>
            <w:tcW w:w="1992" w:type="dxa"/>
          </w:tcPr>
          <w:p w14:paraId="7C7423D4"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1015</w:t>
            </w:r>
          </w:p>
        </w:tc>
        <w:tc>
          <w:tcPr>
            <w:tcW w:w="1992" w:type="dxa"/>
          </w:tcPr>
          <w:p w14:paraId="0E8F6990"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2ED1825E"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40</w:t>
            </w:r>
          </w:p>
        </w:tc>
        <w:tc>
          <w:tcPr>
            <w:tcW w:w="1992" w:type="dxa"/>
          </w:tcPr>
          <w:p w14:paraId="36832DCF"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35,01</w:t>
            </w:r>
          </w:p>
        </w:tc>
        <w:tc>
          <w:tcPr>
            <w:tcW w:w="1992" w:type="dxa"/>
          </w:tcPr>
          <w:p w14:paraId="618139FC"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China</w:t>
            </w:r>
          </w:p>
        </w:tc>
        <w:tc>
          <w:tcPr>
            <w:tcW w:w="1992" w:type="dxa"/>
          </w:tcPr>
          <w:p w14:paraId="359A65F1"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de cabecera</w:t>
            </w:r>
          </w:p>
          <w:p w14:paraId="7F45AFE1" w14:textId="77777777" w:rsidR="001B33CB" w:rsidRPr="0095290E" w:rsidRDefault="001B33CB" w:rsidP="004835C9">
            <w:pPr>
              <w:rPr>
                <w:rFonts w:asciiTheme="majorBidi" w:hAnsiTheme="majorBidi" w:cstheme="majorBidi"/>
                <w:color w:val="000000"/>
                <w:sz w:val="24"/>
                <w:szCs w:val="24"/>
              </w:rPr>
            </w:pPr>
          </w:p>
        </w:tc>
      </w:tr>
      <w:tr w:rsidR="001B33CB" w14:paraId="637808CA" w14:textId="77777777" w:rsidTr="004835C9">
        <w:tc>
          <w:tcPr>
            <w:tcW w:w="1992" w:type="dxa"/>
          </w:tcPr>
          <w:p w14:paraId="5AF4F49B" w14:textId="77777777" w:rsidR="001B33CB" w:rsidRPr="002A7F76" w:rsidRDefault="001B33CB" w:rsidP="004835C9">
            <w:pPr>
              <w:rPr>
                <w:rFonts w:asciiTheme="majorBidi" w:eastAsia="Times New Roman" w:hAnsiTheme="majorBidi" w:cstheme="majorBidi"/>
                <w:iCs/>
                <w:color w:val="000000" w:themeColor="text1"/>
                <w:sz w:val="24"/>
                <w:szCs w:val="24"/>
              </w:rPr>
            </w:pPr>
            <w:r w:rsidRPr="002A7F76">
              <w:rPr>
                <w:rFonts w:asciiTheme="majorBidi" w:eastAsia="Times New Roman" w:hAnsiTheme="majorBidi" w:cstheme="majorBidi"/>
                <w:iCs/>
                <w:color w:val="000000" w:themeColor="text1"/>
                <w:sz w:val="24"/>
                <w:szCs w:val="24"/>
              </w:rPr>
              <w:lastRenderedPageBreak/>
              <w:t>Hain et al. (2021)</w:t>
            </w:r>
          </w:p>
        </w:tc>
        <w:tc>
          <w:tcPr>
            <w:tcW w:w="1992" w:type="dxa"/>
          </w:tcPr>
          <w:p w14:paraId="0258B993"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96</w:t>
            </w:r>
          </w:p>
        </w:tc>
        <w:tc>
          <w:tcPr>
            <w:tcW w:w="1992" w:type="dxa"/>
          </w:tcPr>
          <w:p w14:paraId="20D3F906"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7F050CA2"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29</w:t>
            </w:r>
          </w:p>
        </w:tc>
        <w:tc>
          <w:tcPr>
            <w:tcW w:w="1992" w:type="dxa"/>
          </w:tcPr>
          <w:p w14:paraId="7FC28F32"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52,1</w:t>
            </w:r>
          </w:p>
        </w:tc>
        <w:tc>
          <w:tcPr>
            <w:tcW w:w="1992" w:type="dxa"/>
          </w:tcPr>
          <w:p w14:paraId="65FC642D"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Sudáfrica</w:t>
            </w:r>
          </w:p>
        </w:tc>
        <w:tc>
          <w:tcPr>
            <w:tcW w:w="1992" w:type="dxa"/>
          </w:tcPr>
          <w:p w14:paraId="1E9C0BA9" w14:textId="77777777" w:rsidR="001B33CB" w:rsidRPr="0095290E" w:rsidRDefault="001B33CB" w:rsidP="004835C9">
            <w:pPr>
              <w:rPr>
                <w:rFonts w:asciiTheme="majorBidi" w:hAnsiTheme="majorBidi" w:cstheme="majorBidi"/>
                <w:color w:val="000000"/>
                <w:sz w:val="24"/>
                <w:szCs w:val="24"/>
              </w:rPr>
            </w:pPr>
            <w:r w:rsidRPr="0095290E">
              <w:rPr>
                <w:rFonts w:asciiTheme="majorBidi" w:eastAsia="Times New Roman" w:hAnsiTheme="majorBidi" w:cstheme="majorBidi"/>
                <w:sz w:val="24"/>
                <w:szCs w:val="24"/>
              </w:rPr>
              <w:t>Médicos rurales</w:t>
            </w:r>
          </w:p>
        </w:tc>
      </w:tr>
      <w:tr w:rsidR="001B33CB" w14:paraId="4886C11A" w14:textId="77777777" w:rsidTr="004835C9">
        <w:tc>
          <w:tcPr>
            <w:tcW w:w="1992" w:type="dxa"/>
          </w:tcPr>
          <w:p w14:paraId="0EF628A5" w14:textId="77777777" w:rsidR="001B33CB" w:rsidRPr="001E6FCB" w:rsidRDefault="001B33CB" w:rsidP="004835C9">
            <w:pPr>
              <w:rPr>
                <w:rFonts w:asciiTheme="majorBidi" w:eastAsia="Times New Roman" w:hAnsiTheme="majorBidi" w:cstheme="majorBidi"/>
                <w:iCs/>
                <w:sz w:val="24"/>
                <w:szCs w:val="24"/>
              </w:rPr>
            </w:pPr>
            <w:r w:rsidRPr="001E6FCB">
              <w:rPr>
                <w:rFonts w:asciiTheme="majorBidi" w:eastAsia="Times New Roman" w:hAnsiTheme="majorBidi" w:cstheme="majorBidi"/>
                <w:iCs/>
                <w:sz w:val="24"/>
                <w:szCs w:val="24"/>
              </w:rPr>
              <w:t>Iyer et al. (2022)</w:t>
            </w:r>
          </w:p>
        </w:tc>
        <w:tc>
          <w:tcPr>
            <w:tcW w:w="1992" w:type="dxa"/>
          </w:tcPr>
          <w:p w14:paraId="1481EDB4" w14:textId="77777777" w:rsidR="001B33CB" w:rsidRPr="001E6FCB" w:rsidRDefault="001B33CB" w:rsidP="004835C9">
            <w:pPr>
              <w:rPr>
                <w:rFonts w:ascii="Times New Roman" w:eastAsia="Times New Roman" w:hAnsi="Times New Roman" w:cs="Times New Roman"/>
                <w:sz w:val="24"/>
                <w:szCs w:val="24"/>
              </w:rPr>
            </w:pPr>
            <w:r w:rsidRPr="001E6FCB">
              <w:rPr>
                <w:rFonts w:ascii="Times New Roman" w:eastAsia="Times New Roman" w:hAnsi="Times New Roman" w:cs="Times New Roman"/>
                <w:sz w:val="24"/>
                <w:szCs w:val="24"/>
              </w:rPr>
              <w:t>30</w:t>
            </w:r>
          </w:p>
        </w:tc>
        <w:tc>
          <w:tcPr>
            <w:tcW w:w="1992" w:type="dxa"/>
          </w:tcPr>
          <w:p w14:paraId="5788C8DD" w14:textId="77777777" w:rsidR="001B33CB" w:rsidRPr="001E6FCB" w:rsidRDefault="001B33CB" w:rsidP="004835C9">
            <w:pPr>
              <w:rPr>
                <w:rFonts w:ascii="Times New Roman" w:eastAsia="Times New Roman" w:hAnsi="Times New Roman" w:cs="Times New Roman"/>
                <w:color w:val="FF0000"/>
                <w:sz w:val="24"/>
                <w:szCs w:val="24"/>
              </w:rPr>
            </w:pPr>
            <w:r w:rsidRPr="001E6FCB">
              <w:rPr>
                <w:rFonts w:ascii="Times New Roman" w:eastAsia="Times New Roman" w:hAnsi="Times New Roman" w:cs="Times New Roman"/>
                <w:sz w:val="24"/>
                <w:szCs w:val="24"/>
              </w:rPr>
              <w:t>Sí</w:t>
            </w:r>
          </w:p>
        </w:tc>
        <w:tc>
          <w:tcPr>
            <w:tcW w:w="1992" w:type="dxa"/>
          </w:tcPr>
          <w:p w14:paraId="358EA226" w14:textId="77777777" w:rsidR="001B33CB" w:rsidRPr="001E6FCB" w:rsidRDefault="001B33CB" w:rsidP="004835C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36,5</w:t>
            </w:r>
          </w:p>
        </w:tc>
        <w:tc>
          <w:tcPr>
            <w:tcW w:w="1992" w:type="dxa"/>
          </w:tcPr>
          <w:p w14:paraId="3BEF59CE" w14:textId="77777777" w:rsidR="001B33CB" w:rsidRPr="001E6FCB" w:rsidRDefault="001B33CB" w:rsidP="004835C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1992" w:type="dxa"/>
          </w:tcPr>
          <w:p w14:paraId="6855110B" w14:textId="77777777" w:rsidR="001B33CB" w:rsidRPr="001E6FCB" w:rsidRDefault="001B33CB" w:rsidP="004835C9">
            <w:pPr>
              <w:spacing w:line="480" w:lineRule="auto"/>
              <w:rPr>
                <w:rFonts w:ascii="Times New Roman" w:eastAsia="Times New Roman" w:hAnsi="Times New Roman" w:cs="Times New Roman"/>
                <w:sz w:val="24"/>
                <w:szCs w:val="24"/>
              </w:rPr>
            </w:pPr>
            <w:r w:rsidRPr="001E6FCB">
              <w:rPr>
                <w:rFonts w:ascii="Times New Roman" w:eastAsia="Times New Roman" w:hAnsi="Times New Roman" w:cs="Times New Roman"/>
                <w:sz w:val="24"/>
                <w:szCs w:val="24"/>
              </w:rPr>
              <w:t>Tanzania</w:t>
            </w:r>
          </w:p>
        </w:tc>
        <w:tc>
          <w:tcPr>
            <w:tcW w:w="1992" w:type="dxa"/>
          </w:tcPr>
          <w:p w14:paraId="227BD1B4" w14:textId="77777777" w:rsidR="001B33CB" w:rsidRPr="001E6FCB" w:rsidRDefault="001B33CB" w:rsidP="004835C9">
            <w:pPr>
              <w:rPr>
                <w:rFonts w:asciiTheme="majorBidi" w:hAnsiTheme="majorBidi" w:cstheme="majorBidi"/>
                <w:color w:val="000000"/>
                <w:sz w:val="24"/>
                <w:szCs w:val="24"/>
              </w:rPr>
            </w:pPr>
            <w:r w:rsidRPr="001E6FCB">
              <w:rPr>
                <w:rFonts w:asciiTheme="majorBidi" w:hAnsiTheme="majorBidi" w:cstheme="majorBidi"/>
                <w:color w:val="000000"/>
                <w:sz w:val="24"/>
                <w:szCs w:val="24"/>
              </w:rPr>
              <w:t>Medicina de emergencias</w:t>
            </w:r>
          </w:p>
          <w:p w14:paraId="03289FCA" w14:textId="77777777" w:rsidR="001B33CB" w:rsidRPr="001E6FCB" w:rsidRDefault="001B33CB" w:rsidP="004835C9">
            <w:pPr>
              <w:rPr>
                <w:rFonts w:asciiTheme="majorBidi" w:eastAsia="Times New Roman" w:hAnsiTheme="majorBidi" w:cstheme="majorBidi"/>
                <w:sz w:val="24"/>
                <w:szCs w:val="24"/>
              </w:rPr>
            </w:pPr>
          </w:p>
        </w:tc>
      </w:tr>
      <w:tr w:rsidR="001B33CB" w14:paraId="52F6783A" w14:textId="77777777" w:rsidTr="004835C9">
        <w:tc>
          <w:tcPr>
            <w:tcW w:w="1992" w:type="dxa"/>
          </w:tcPr>
          <w:p w14:paraId="74AAEF8A" w14:textId="77777777" w:rsidR="001B33CB" w:rsidRPr="001E6FCB" w:rsidRDefault="001B33CB" w:rsidP="004835C9">
            <w:pPr>
              <w:rPr>
                <w:rFonts w:asciiTheme="majorBidi" w:eastAsia="Times New Roman" w:hAnsiTheme="majorBidi" w:cstheme="majorBidi"/>
                <w:iCs/>
                <w:sz w:val="24"/>
                <w:szCs w:val="24"/>
              </w:rPr>
            </w:pPr>
            <w:r w:rsidRPr="001E6FCB">
              <w:rPr>
                <w:rFonts w:asciiTheme="majorBidi" w:eastAsia="Times New Roman" w:hAnsiTheme="majorBidi" w:cstheme="majorBidi"/>
                <w:iCs/>
                <w:sz w:val="24"/>
                <w:szCs w:val="24"/>
              </w:rPr>
              <w:t>Iyer et al. (2022)</w:t>
            </w:r>
          </w:p>
        </w:tc>
        <w:tc>
          <w:tcPr>
            <w:tcW w:w="1992" w:type="dxa"/>
          </w:tcPr>
          <w:p w14:paraId="5CB483F5" w14:textId="77777777" w:rsidR="001B33CB" w:rsidRPr="001E6FCB" w:rsidRDefault="001B33CB" w:rsidP="004835C9">
            <w:pPr>
              <w:rPr>
                <w:rFonts w:ascii="Times New Roman" w:eastAsia="Times New Roman" w:hAnsi="Times New Roman" w:cs="Times New Roman"/>
                <w:sz w:val="24"/>
                <w:szCs w:val="24"/>
              </w:rPr>
            </w:pPr>
            <w:r w:rsidRPr="001E6FCB">
              <w:rPr>
                <w:rFonts w:ascii="Times New Roman" w:eastAsia="Times New Roman" w:hAnsi="Times New Roman" w:cs="Times New Roman"/>
                <w:sz w:val="24"/>
                <w:szCs w:val="24"/>
              </w:rPr>
              <w:t>37</w:t>
            </w:r>
          </w:p>
        </w:tc>
        <w:tc>
          <w:tcPr>
            <w:tcW w:w="1992" w:type="dxa"/>
          </w:tcPr>
          <w:p w14:paraId="14372D8A" w14:textId="77777777" w:rsidR="001B33CB" w:rsidRPr="001E6FCB" w:rsidRDefault="001B33CB" w:rsidP="004835C9">
            <w:pPr>
              <w:rPr>
                <w:rFonts w:ascii="Times New Roman" w:eastAsia="Times New Roman" w:hAnsi="Times New Roman" w:cs="Times New Roman"/>
                <w:sz w:val="24"/>
                <w:szCs w:val="24"/>
              </w:rPr>
            </w:pPr>
            <w:r w:rsidRPr="001E6FCB">
              <w:rPr>
                <w:rFonts w:ascii="Times New Roman" w:eastAsia="Times New Roman" w:hAnsi="Times New Roman" w:cs="Times New Roman"/>
                <w:sz w:val="24"/>
                <w:szCs w:val="24"/>
              </w:rPr>
              <w:t>Sí</w:t>
            </w:r>
          </w:p>
        </w:tc>
        <w:tc>
          <w:tcPr>
            <w:tcW w:w="1992" w:type="dxa"/>
          </w:tcPr>
          <w:p w14:paraId="23DAD150" w14:textId="77777777" w:rsidR="001B33CB" w:rsidRPr="001E6FCB" w:rsidRDefault="001B33CB" w:rsidP="004835C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36,5</w:t>
            </w:r>
          </w:p>
        </w:tc>
        <w:tc>
          <w:tcPr>
            <w:tcW w:w="1992" w:type="dxa"/>
          </w:tcPr>
          <w:p w14:paraId="1C9CBD29" w14:textId="77777777" w:rsidR="001B33CB" w:rsidRPr="001E6FCB" w:rsidRDefault="001B33CB" w:rsidP="004835C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32,4</w:t>
            </w:r>
          </w:p>
        </w:tc>
        <w:tc>
          <w:tcPr>
            <w:tcW w:w="1992" w:type="dxa"/>
          </w:tcPr>
          <w:p w14:paraId="4411923B" w14:textId="77777777" w:rsidR="001B33CB" w:rsidRPr="001E6FCB" w:rsidRDefault="001B33CB" w:rsidP="004835C9">
            <w:pPr>
              <w:spacing w:line="480" w:lineRule="auto"/>
              <w:rPr>
                <w:rFonts w:ascii="Times New Roman" w:eastAsia="Times New Roman" w:hAnsi="Times New Roman" w:cs="Times New Roman"/>
                <w:sz w:val="24"/>
                <w:szCs w:val="24"/>
              </w:rPr>
            </w:pPr>
            <w:r w:rsidRPr="001E6FCB">
              <w:rPr>
                <w:rFonts w:ascii="Times New Roman" w:eastAsia="Times New Roman" w:hAnsi="Times New Roman" w:cs="Times New Roman"/>
                <w:sz w:val="24"/>
                <w:szCs w:val="24"/>
              </w:rPr>
              <w:t>Tanzania</w:t>
            </w:r>
          </w:p>
        </w:tc>
        <w:tc>
          <w:tcPr>
            <w:tcW w:w="1992" w:type="dxa"/>
          </w:tcPr>
          <w:p w14:paraId="7123AE15" w14:textId="77777777" w:rsidR="001B33CB" w:rsidRPr="001E6FCB" w:rsidRDefault="001B33CB" w:rsidP="004835C9">
            <w:pPr>
              <w:rPr>
                <w:rFonts w:asciiTheme="majorBidi" w:hAnsiTheme="majorBidi" w:cstheme="majorBidi"/>
                <w:color w:val="000000"/>
                <w:sz w:val="24"/>
                <w:szCs w:val="24"/>
              </w:rPr>
            </w:pPr>
            <w:r w:rsidRPr="001E6FCB">
              <w:rPr>
                <w:rFonts w:asciiTheme="majorBidi" w:hAnsiTheme="majorBidi" w:cstheme="majorBidi"/>
                <w:color w:val="000000"/>
                <w:sz w:val="24"/>
                <w:szCs w:val="24"/>
              </w:rPr>
              <w:t>Médicos especialistas</w:t>
            </w:r>
          </w:p>
          <w:p w14:paraId="00DA54DE" w14:textId="77777777" w:rsidR="001B33CB" w:rsidRPr="001E6FCB" w:rsidRDefault="001B33CB" w:rsidP="004835C9">
            <w:pPr>
              <w:rPr>
                <w:rFonts w:asciiTheme="majorBidi" w:hAnsiTheme="majorBidi" w:cstheme="majorBidi"/>
                <w:color w:val="000000"/>
                <w:sz w:val="24"/>
                <w:szCs w:val="24"/>
              </w:rPr>
            </w:pPr>
          </w:p>
        </w:tc>
      </w:tr>
      <w:tr w:rsidR="001B33CB" w14:paraId="07D4748C" w14:textId="77777777" w:rsidTr="004835C9">
        <w:tc>
          <w:tcPr>
            <w:tcW w:w="1992" w:type="dxa"/>
          </w:tcPr>
          <w:p w14:paraId="546F3006"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Lee et al. (2020)</w:t>
            </w:r>
          </w:p>
        </w:tc>
        <w:tc>
          <w:tcPr>
            <w:tcW w:w="1992" w:type="dxa"/>
          </w:tcPr>
          <w:p w14:paraId="48922B26" w14:textId="77777777" w:rsidR="001B33CB"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111</w:t>
            </w:r>
          </w:p>
        </w:tc>
        <w:tc>
          <w:tcPr>
            <w:tcW w:w="1992" w:type="dxa"/>
          </w:tcPr>
          <w:p w14:paraId="2A8E29E5" w14:textId="77777777" w:rsidR="001B33CB"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2AEA0EE8"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42</w:t>
            </w:r>
          </w:p>
        </w:tc>
        <w:tc>
          <w:tcPr>
            <w:tcW w:w="1992" w:type="dxa"/>
          </w:tcPr>
          <w:p w14:paraId="704AB68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44,1</w:t>
            </w:r>
          </w:p>
        </w:tc>
        <w:tc>
          <w:tcPr>
            <w:tcW w:w="1992" w:type="dxa"/>
          </w:tcPr>
          <w:p w14:paraId="7D48D6CB"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Corea del Sur</w:t>
            </w:r>
          </w:p>
        </w:tc>
        <w:tc>
          <w:tcPr>
            <w:tcW w:w="1992" w:type="dxa"/>
          </w:tcPr>
          <w:p w14:paraId="6E6518DD" w14:textId="77777777" w:rsidR="001B33CB"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oncólogos</w:t>
            </w:r>
          </w:p>
          <w:p w14:paraId="3777BE83" w14:textId="77777777" w:rsidR="001B33CB" w:rsidRDefault="001B33CB" w:rsidP="004835C9">
            <w:pPr>
              <w:rPr>
                <w:rFonts w:asciiTheme="majorBidi" w:hAnsiTheme="majorBidi" w:cstheme="majorBidi"/>
                <w:color w:val="000000"/>
                <w:sz w:val="24"/>
                <w:szCs w:val="24"/>
              </w:rPr>
            </w:pPr>
          </w:p>
        </w:tc>
      </w:tr>
      <w:tr w:rsidR="001B33CB" w14:paraId="79C278AD" w14:textId="77777777" w:rsidTr="004835C9">
        <w:tc>
          <w:tcPr>
            <w:tcW w:w="1992" w:type="dxa"/>
          </w:tcPr>
          <w:p w14:paraId="7C87C0E0"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Li et al. (2019)</w:t>
            </w:r>
          </w:p>
        </w:tc>
        <w:tc>
          <w:tcPr>
            <w:tcW w:w="1992" w:type="dxa"/>
          </w:tcPr>
          <w:p w14:paraId="7EFF3D0B"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951</w:t>
            </w:r>
          </w:p>
        </w:tc>
        <w:tc>
          <w:tcPr>
            <w:tcW w:w="1992" w:type="dxa"/>
          </w:tcPr>
          <w:p w14:paraId="20D5CFF3"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459767FB"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35</w:t>
            </w:r>
          </w:p>
        </w:tc>
        <w:tc>
          <w:tcPr>
            <w:tcW w:w="1992" w:type="dxa"/>
          </w:tcPr>
          <w:p w14:paraId="5C7CE5B1"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65,1</w:t>
            </w:r>
          </w:p>
        </w:tc>
        <w:tc>
          <w:tcPr>
            <w:tcW w:w="1992" w:type="dxa"/>
          </w:tcPr>
          <w:p w14:paraId="3E84AB8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China</w:t>
            </w:r>
          </w:p>
        </w:tc>
        <w:tc>
          <w:tcPr>
            <w:tcW w:w="1992" w:type="dxa"/>
          </w:tcPr>
          <w:p w14:paraId="02B4B63B" w14:textId="77777777" w:rsidR="001B33CB"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de atención primaria</w:t>
            </w:r>
          </w:p>
          <w:p w14:paraId="69BFAFA7" w14:textId="77777777" w:rsidR="001B33CB" w:rsidRPr="0095290E" w:rsidRDefault="001B33CB" w:rsidP="004835C9">
            <w:pPr>
              <w:rPr>
                <w:rFonts w:asciiTheme="majorBidi" w:hAnsiTheme="majorBidi" w:cstheme="majorBidi"/>
                <w:color w:val="000000"/>
                <w:sz w:val="24"/>
                <w:szCs w:val="24"/>
              </w:rPr>
            </w:pPr>
          </w:p>
        </w:tc>
      </w:tr>
      <w:tr w:rsidR="001B33CB" w14:paraId="294D7B8D" w14:textId="77777777" w:rsidTr="004835C9">
        <w:tc>
          <w:tcPr>
            <w:tcW w:w="1992" w:type="dxa"/>
          </w:tcPr>
          <w:p w14:paraId="349C81FB"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Merces et al. (2020)</w:t>
            </w:r>
          </w:p>
        </w:tc>
        <w:tc>
          <w:tcPr>
            <w:tcW w:w="1992" w:type="dxa"/>
          </w:tcPr>
          <w:p w14:paraId="73333AD8"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1125</w:t>
            </w:r>
          </w:p>
        </w:tc>
        <w:tc>
          <w:tcPr>
            <w:tcW w:w="1992" w:type="dxa"/>
          </w:tcPr>
          <w:p w14:paraId="0F65674F"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4038F879"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37,1</w:t>
            </w:r>
          </w:p>
        </w:tc>
        <w:tc>
          <w:tcPr>
            <w:tcW w:w="1992" w:type="dxa"/>
          </w:tcPr>
          <w:p w14:paraId="64A10B5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87,9</w:t>
            </w:r>
          </w:p>
        </w:tc>
        <w:tc>
          <w:tcPr>
            <w:tcW w:w="1992" w:type="dxa"/>
          </w:tcPr>
          <w:p w14:paraId="113C7966"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Brasil</w:t>
            </w:r>
          </w:p>
        </w:tc>
        <w:tc>
          <w:tcPr>
            <w:tcW w:w="1992" w:type="dxa"/>
          </w:tcPr>
          <w:p w14:paraId="5809F666"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Enfermeros/as de atención primaria</w:t>
            </w:r>
          </w:p>
          <w:p w14:paraId="113E97AD" w14:textId="77777777" w:rsidR="001B33CB" w:rsidRPr="0095290E" w:rsidRDefault="001B33CB" w:rsidP="004835C9">
            <w:pPr>
              <w:rPr>
                <w:rFonts w:asciiTheme="majorBidi" w:hAnsiTheme="majorBidi" w:cstheme="majorBidi"/>
                <w:color w:val="000000"/>
                <w:sz w:val="24"/>
                <w:szCs w:val="24"/>
              </w:rPr>
            </w:pPr>
          </w:p>
        </w:tc>
      </w:tr>
      <w:tr w:rsidR="001B33CB" w14:paraId="0EDD89E9" w14:textId="77777777" w:rsidTr="004835C9">
        <w:tc>
          <w:tcPr>
            <w:tcW w:w="1992" w:type="dxa"/>
          </w:tcPr>
          <w:p w14:paraId="1C899070"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Merino-Plaza et al. (2018)</w:t>
            </w:r>
          </w:p>
        </w:tc>
        <w:tc>
          <w:tcPr>
            <w:tcW w:w="1992" w:type="dxa"/>
          </w:tcPr>
          <w:p w14:paraId="6476E5B6"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111</w:t>
            </w:r>
          </w:p>
        </w:tc>
        <w:tc>
          <w:tcPr>
            <w:tcW w:w="1992" w:type="dxa"/>
          </w:tcPr>
          <w:p w14:paraId="40576CD4"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74F6E890"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46,8</w:t>
            </w:r>
          </w:p>
        </w:tc>
        <w:tc>
          <w:tcPr>
            <w:tcW w:w="1992" w:type="dxa"/>
          </w:tcPr>
          <w:p w14:paraId="3F44DD90"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85</w:t>
            </w:r>
          </w:p>
        </w:tc>
        <w:tc>
          <w:tcPr>
            <w:tcW w:w="1992" w:type="dxa"/>
          </w:tcPr>
          <w:p w14:paraId="4FF4C3E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España</w:t>
            </w:r>
          </w:p>
        </w:tc>
        <w:tc>
          <w:tcPr>
            <w:tcW w:w="1992" w:type="dxa"/>
          </w:tcPr>
          <w:p w14:paraId="7C0BCEDA"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Personal de hospital público de media-larga estancia</w:t>
            </w:r>
          </w:p>
          <w:p w14:paraId="6C0B76E8" w14:textId="77777777" w:rsidR="001B33CB" w:rsidRPr="0095290E" w:rsidRDefault="001B33CB" w:rsidP="004835C9">
            <w:pPr>
              <w:rPr>
                <w:rFonts w:asciiTheme="majorBidi" w:hAnsiTheme="majorBidi" w:cstheme="majorBidi"/>
                <w:color w:val="000000"/>
                <w:sz w:val="24"/>
                <w:szCs w:val="24"/>
              </w:rPr>
            </w:pPr>
          </w:p>
        </w:tc>
      </w:tr>
      <w:tr w:rsidR="001B33CB" w14:paraId="3619FA18" w14:textId="77777777" w:rsidTr="004835C9">
        <w:tc>
          <w:tcPr>
            <w:tcW w:w="1992" w:type="dxa"/>
          </w:tcPr>
          <w:p w14:paraId="64006B36" w14:textId="77777777" w:rsidR="001B33CB"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Nowacka et al. (2018)</w:t>
            </w:r>
          </w:p>
          <w:p w14:paraId="7F1DDFF6" w14:textId="77777777" w:rsidR="001B33CB" w:rsidRPr="0095290E" w:rsidRDefault="001B33CB" w:rsidP="004835C9">
            <w:pPr>
              <w:rPr>
                <w:rFonts w:asciiTheme="majorBidi" w:eastAsia="Times New Roman" w:hAnsiTheme="majorBidi" w:cstheme="majorBidi"/>
                <w:iCs/>
                <w:sz w:val="24"/>
                <w:szCs w:val="24"/>
              </w:rPr>
            </w:pPr>
          </w:p>
        </w:tc>
        <w:tc>
          <w:tcPr>
            <w:tcW w:w="1992" w:type="dxa"/>
          </w:tcPr>
          <w:p w14:paraId="3825EF68"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560</w:t>
            </w:r>
          </w:p>
        </w:tc>
        <w:tc>
          <w:tcPr>
            <w:tcW w:w="1992" w:type="dxa"/>
          </w:tcPr>
          <w:p w14:paraId="225E392E"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13C46FBB"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38,13</w:t>
            </w:r>
          </w:p>
        </w:tc>
        <w:tc>
          <w:tcPr>
            <w:tcW w:w="1992" w:type="dxa"/>
          </w:tcPr>
          <w:p w14:paraId="71FF207D"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97,5</w:t>
            </w:r>
          </w:p>
        </w:tc>
        <w:tc>
          <w:tcPr>
            <w:tcW w:w="1992" w:type="dxa"/>
          </w:tcPr>
          <w:p w14:paraId="638E4728"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Polonia</w:t>
            </w:r>
          </w:p>
        </w:tc>
        <w:tc>
          <w:tcPr>
            <w:tcW w:w="1992" w:type="dxa"/>
          </w:tcPr>
          <w:p w14:paraId="644CAB29"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Enfermeras/os</w:t>
            </w:r>
          </w:p>
          <w:p w14:paraId="6C4F37BB" w14:textId="77777777" w:rsidR="001B33CB" w:rsidRPr="0095290E" w:rsidRDefault="001B33CB" w:rsidP="004835C9">
            <w:pPr>
              <w:rPr>
                <w:rFonts w:asciiTheme="majorBidi" w:hAnsiTheme="majorBidi" w:cstheme="majorBidi"/>
                <w:color w:val="000000"/>
                <w:sz w:val="24"/>
                <w:szCs w:val="24"/>
              </w:rPr>
            </w:pPr>
          </w:p>
        </w:tc>
      </w:tr>
      <w:tr w:rsidR="001B33CB" w14:paraId="1D6AAA34" w14:textId="77777777" w:rsidTr="004835C9">
        <w:tc>
          <w:tcPr>
            <w:tcW w:w="1992" w:type="dxa"/>
          </w:tcPr>
          <w:p w14:paraId="1D9C399F"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iCs/>
                <w:sz w:val="24"/>
                <w:szCs w:val="24"/>
              </w:rPr>
              <w:t>Paiva et al. (2018)</w:t>
            </w:r>
          </w:p>
        </w:tc>
        <w:tc>
          <w:tcPr>
            <w:tcW w:w="1992" w:type="dxa"/>
          </w:tcPr>
          <w:p w14:paraId="0D5B4682"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227</w:t>
            </w:r>
          </w:p>
        </w:tc>
        <w:tc>
          <w:tcPr>
            <w:tcW w:w="1992" w:type="dxa"/>
          </w:tcPr>
          <w:p w14:paraId="01AC901E"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54218CCA"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34</w:t>
            </w:r>
          </w:p>
        </w:tc>
        <w:tc>
          <w:tcPr>
            <w:tcW w:w="1992" w:type="dxa"/>
          </w:tcPr>
          <w:p w14:paraId="2622FC93"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63</w:t>
            </w:r>
          </w:p>
        </w:tc>
        <w:tc>
          <w:tcPr>
            <w:tcW w:w="1992" w:type="dxa"/>
          </w:tcPr>
          <w:p w14:paraId="2740600E"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Brasil</w:t>
            </w:r>
          </w:p>
        </w:tc>
        <w:tc>
          <w:tcPr>
            <w:tcW w:w="1992" w:type="dxa"/>
          </w:tcPr>
          <w:p w14:paraId="6BB1CBF4" w14:textId="77777777" w:rsidR="001B33CB"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Médicos oncólogos</w:t>
            </w:r>
          </w:p>
          <w:p w14:paraId="1EEA4BCD" w14:textId="77777777" w:rsidR="001B33CB" w:rsidRPr="0095290E" w:rsidRDefault="001B33CB" w:rsidP="004835C9">
            <w:pPr>
              <w:rPr>
                <w:rFonts w:asciiTheme="majorBidi" w:hAnsiTheme="majorBidi" w:cstheme="majorBidi"/>
                <w:color w:val="000000"/>
                <w:sz w:val="24"/>
                <w:szCs w:val="24"/>
              </w:rPr>
            </w:pPr>
          </w:p>
        </w:tc>
      </w:tr>
      <w:tr w:rsidR="001B33CB" w14:paraId="12158278" w14:textId="77777777" w:rsidTr="004835C9">
        <w:tc>
          <w:tcPr>
            <w:tcW w:w="1992" w:type="dxa"/>
          </w:tcPr>
          <w:p w14:paraId="20103F3F"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hAnsiTheme="majorBidi" w:cstheme="majorBidi"/>
                <w:color w:val="000000"/>
                <w:sz w:val="24"/>
                <w:szCs w:val="24"/>
              </w:rPr>
              <w:lastRenderedPageBreak/>
              <w:t>Zarei et al. (2019)</w:t>
            </w:r>
          </w:p>
        </w:tc>
        <w:tc>
          <w:tcPr>
            <w:tcW w:w="1992" w:type="dxa"/>
          </w:tcPr>
          <w:p w14:paraId="2A5709C3"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524</w:t>
            </w:r>
          </w:p>
        </w:tc>
        <w:tc>
          <w:tcPr>
            <w:tcW w:w="1992" w:type="dxa"/>
          </w:tcPr>
          <w:p w14:paraId="681E4851" w14:textId="77777777" w:rsidR="001B33CB" w:rsidRPr="0095290E" w:rsidRDefault="001B33CB" w:rsidP="004835C9">
            <w:pPr>
              <w:rPr>
                <w:rFonts w:ascii="Times New Roman" w:eastAsia="Times New Roman" w:hAnsi="Times New Roman" w:cs="Times New Roman"/>
                <w:sz w:val="24"/>
                <w:szCs w:val="24"/>
              </w:rPr>
            </w:pPr>
            <w:r>
              <w:rPr>
                <w:rFonts w:ascii="Times New Roman" w:eastAsia="Times New Roman" w:hAnsi="Times New Roman" w:cs="Times New Roman"/>
                <w:sz w:val="24"/>
                <w:szCs w:val="24"/>
              </w:rPr>
              <w:t>Sí</w:t>
            </w:r>
          </w:p>
        </w:tc>
        <w:tc>
          <w:tcPr>
            <w:tcW w:w="1992" w:type="dxa"/>
          </w:tcPr>
          <w:p w14:paraId="6CC93A64"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35</w:t>
            </w:r>
          </w:p>
        </w:tc>
        <w:tc>
          <w:tcPr>
            <w:tcW w:w="1992" w:type="dxa"/>
          </w:tcPr>
          <w:p w14:paraId="7ED20EE7"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57,1</w:t>
            </w:r>
          </w:p>
        </w:tc>
        <w:tc>
          <w:tcPr>
            <w:tcW w:w="1992" w:type="dxa"/>
          </w:tcPr>
          <w:p w14:paraId="5B92A86E"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sz w:val="24"/>
                <w:szCs w:val="24"/>
              </w:rPr>
              <w:t>Irán</w:t>
            </w:r>
          </w:p>
        </w:tc>
        <w:tc>
          <w:tcPr>
            <w:tcW w:w="1992" w:type="dxa"/>
          </w:tcPr>
          <w:p w14:paraId="24546F2F" w14:textId="77777777" w:rsidR="001B33CB" w:rsidRPr="0095290E" w:rsidRDefault="001B33CB" w:rsidP="004835C9">
            <w:pPr>
              <w:rPr>
                <w:rFonts w:asciiTheme="majorBidi" w:hAnsiTheme="majorBidi" w:cstheme="majorBidi"/>
                <w:color w:val="000000"/>
                <w:sz w:val="24"/>
                <w:szCs w:val="24"/>
              </w:rPr>
            </w:pPr>
            <w:r w:rsidRPr="0095290E">
              <w:rPr>
                <w:rFonts w:asciiTheme="majorBidi" w:hAnsiTheme="majorBidi" w:cstheme="majorBidi"/>
                <w:color w:val="000000"/>
                <w:sz w:val="24"/>
                <w:szCs w:val="24"/>
              </w:rPr>
              <w:t>Atención primaria</w:t>
            </w:r>
          </w:p>
          <w:p w14:paraId="563A3524" w14:textId="77777777" w:rsidR="001B33CB" w:rsidRPr="0095290E" w:rsidRDefault="001B33CB" w:rsidP="004835C9">
            <w:pPr>
              <w:rPr>
                <w:rFonts w:asciiTheme="majorBidi" w:hAnsiTheme="majorBidi" w:cstheme="majorBidi"/>
                <w:color w:val="000000"/>
                <w:sz w:val="24"/>
                <w:szCs w:val="24"/>
              </w:rPr>
            </w:pPr>
          </w:p>
        </w:tc>
      </w:tr>
      <w:tr w:rsidR="001B33CB" w14:paraId="31C77937" w14:textId="77777777" w:rsidTr="004835C9">
        <w:tc>
          <w:tcPr>
            <w:tcW w:w="1992" w:type="dxa"/>
          </w:tcPr>
          <w:p w14:paraId="5E3AE7A5" w14:textId="77777777" w:rsidR="001B33CB" w:rsidRPr="00574914" w:rsidRDefault="001B33CB" w:rsidP="004835C9">
            <w:pPr>
              <w:rPr>
                <w:rFonts w:asciiTheme="majorBidi" w:eastAsia="Times New Roman" w:hAnsiTheme="majorBidi" w:cstheme="majorBidi"/>
                <w:iCs/>
                <w:sz w:val="24"/>
                <w:szCs w:val="24"/>
              </w:rPr>
            </w:pPr>
            <w:r w:rsidRPr="00574914">
              <w:rPr>
                <w:rFonts w:asciiTheme="majorBidi" w:eastAsia="Times New Roman" w:hAnsiTheme="majorBidi" w:cstheme="majorBidi"/>
                <w:iCs/>
                <w:sz w:val="24"/>
                <w:szCs w:val="24"/>
              </w:rPr>
              <w:t>Zétola et al. (2019)</w:t>
            </w:r>
          </w:p>
          <w:p w14:paraId="14D58BAC" w14:textId="77777777" w:rsidR="001B33CB" w:rsidRPr="00574914" w:rsidRDefault="001B33CB" w:rsidP="004835C9">
            <w:pPr>
              <w:rPr>
                <w:rFonts w:asciiTheme="majorBidi" w:hAnsiTheme="majorBidi" w:cstheme="majorBidi"/>
                <w:color w:val="000000"/>
                <w:sz w:val="24"/>
                <w:szCs w:val="24"/>
              </w:rPr>
            </w:pPr>
          </w:p>
        </w:tc>
        <w:tc>
          <w:tcPr>
            <w:tcW w:w="1992" w:type="dxa"/>
          </w:tcPr>
          <w:p w14:paraId="5F5BFA15" w14:textId="77777777" w:rsidR="001B33CB" w:rsidRPr="00574914" w:rsidRDefault="001B33CB" w:rsidP="004835C9">
            <w:pPr>
              <w:rPr>
                <w:rFonts w:ascii="Times New Roman" w:eastAsia="Times New Roman" w:hAnsi="Times New Roman" w:cs="Times New Roman"/>
                <w:sz w:val="24"/>
                <w:szCs w:val="24"/>
              </w:rPr>
            </w:pPr>
            <w:r w:rsidRPr="00574914">
              <w:rPr>
                <w:rFonts w:ascii="Times New Roman" w:eastAsia="Times New Roman" w:hAnsi="Times New Roman" w:cs="Times New Roman"/>
                <w:sz w:val="24"/>
                <w:szCs w:val="24"/>
              </w:rPr>
              <w:t>32</w:t>
            </w:r>
          </w:p>
        </w:tc>
        <w:tc>
          <w:tcPr>
            <w:tcW w:w="1992" w:type="dxa"/>
          </w:tcPr>
          <w:p w14:paraId="6695E519" w14:textId="77777777" w:rsidR="001B33CB" w:rsidRPr="00191DEB" w:rsidRDefault="001B33CB" w:rsidP="004835C9">
            <w:pPr>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Sí</w:t>
            </w:r>
          </w:p>
        </w:tc>
        <w:tc>
          <w:tcPr>
            <w:tcW w:w="1992" w:type="dxa"/>
          </w:tcPr>
          <w:p w14:paraId="1F82D862"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47,9</w:t>
            </w:r>
          </w:p>
        </w:tc>
        <w:tc>
          <w:tcPr>
            <w:tcW w:w="1992" w:type="dxa"/>
          </w:tcPr>
          <w:p w14:paraId="79B3FB71"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47,3</w:t>
            </w:r>
          </w:p>
        </w:tc>
        <w:tc>
          <w:tcPr>
            <w:tcW w:w="1992" w:type="dxa"/>
          </w:tcPr>
          <w:p w14:paraId="08C22813"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Brasil</w:t>
            </w:r>
          </w:p>
        </w:tc>
        <w:tc>
          <w:tcPr>
            <w:tcW w:w="1992" w:type="dxa"/>
          </w:tcPr>
          <w:p w14:paraId="1B88047F" w14:textId="77777777" w:rsidR="001B33CB" w:rsidRPr="00191DEB" w:rsidRDefault="001B33CB" w:rsidP="004835C9">
            <w:pPr>
              <w:rPr>
                <w:rFonts w:asciiTheme="majorBidi" w:hAnsiTheme="majorBidi" w:cstheme="majorBidi"/>
                <w:color w:val="000000"/>
                <w:sz w:val="24"/>
                <w:szCs w:val="24"/>
              </w:rPr>
            </w:pPr>
            <w:r w:rsidRPr="00191DEB">
              <w:rPr>
                <w:rFonts w:asciiTheme="majorBidi" w:hAnsiTheme="majorBidi" w:cstheme="majorBidi"/>
                <w:color w:val="000000"/>
                <w:sz w:val="24"/>
                <w:szCs w:val="24"/>
              </w:rPr>
              <w:t>Neurólogos</w:t>
            </w:r>
          </w:p>
          <w:p w14:paraId="4C213A54" w14:textId="77777777" w:rsidR="001B33CB" w:rsidRPr="00191DEB" w:rsidRDefault="001B33CB" w:rsidP="004835C9">
            <w:pPr>
              <w:rPr>
                <w:rFonts w:asciiTheme="majorBidi" w:hAnsiTheme="majorBidi" w:cstheme="majorBidi"/>
                <w:color w:val="000000"/>
                <w:sz w:val="24"/>
                <w:szCs w:val="24"/>
              </w:rPr>
            </w:pPr>
          </w:p>
        </w:tc>
      </w:tr>
      <w:tr w:rsidR="001B33CB" w14:paraId="7C58912E" w14:textId="77777777" w:rsidTr="004835C9">
        <w:tc>
          <w:tcPr>
            <w:tcW w:w="1992" w:type="dxa"/>
          </w:tcPr>
          <w:p w14:paraId="4C81FE82" w14:textId="77777777" w:rsidR="001B33CB" w:rsidRPr="00574914" w:rsidRDefault="001B33CB" w:rsidP="004835C9">
            <w:pPr>
              <w:rPr>
                <w:rFonts w:asciiTheme="majorBidi" w:eastAsia="Times New Roman" w:hAnsiTheme="majorBidi" w:cstheme="majorBidi"/>
                <w:iCs/>
                <w:sz w:val="24"/>
                <w:szCs w:val="24"/>
              </w:rPr>
            </w:pPr>
            <w:r w:rsidRPr="00574914">
              <w:rPr>
                <w:rFonts w:asciiTheme="majorBidi" w:eastAsia="Times New Roman" w:hAnsiTheme="majorBidi" w:cstheme="majorBidi"/>
                <w:iCs/>
                <w:sz w:val="24"/>
                <w:szCs w:val="24"/>
              </w:rPr>
              <w:t>Zétola et al. (2019)</w:t>
            </w:r>
          </w:p>
          <w:p w14:paraId="320D9EAA" w14:textId="77777777" w:rsidR="001B33CB" w:rsidRPr="00574914" w:rsidRDefault="001B33CB" w:rsidP="004835C9">
            <w:pPr>
              <w:rPr>
                <w:rFonts w:asciiTheme="majorBidi" w:eastAsia="Times New Roman" w:hAnsiTheme="majorBidi" w:cstheme="majorBidi"/>
                <w:iCs/>
                <w:sz w:val="24"/>
                <w:szCs w:val="24"/>
              </w:rPr>
            </w:pPr>
          </w:p>
        </w:tc>
        <w:tc>
          <w:tcPr>
            <w:tcW w:w="1992" w:type="dxa"/>
          </w:tcPr>
          <w:p w14:paraId="4F8CA6A4" w14:textId="77777777" w:rsidR="001B33CB" w:rsidRPr="00574914" w:rsidRDefault="001B33CB" w:rsidP="004835C9">
            <w:pPr>
              <w:rPr>
                <w:rFonts w:ascii="Times New Roman" w:eastAsia="Times New Roman" w:hAnsi="Times New Roman" w:cs="Times New Roman"/>
                <w:sz w:val="24"/>
                <w:szCs w:val="24"/>
              </w:rPr>
            </w:pPr>
            <w:r w:rsidRPr="00574914">
              <w:rPr>
                <w:rFonts w:ascii="Times New Roman" w:eastAsia="Times New Roman" w:hAnsi="Times New Roman" w:cs="Times New Roman"/>
                <w:sz w:val="24"/>
                <w:szCs w:val="24"/>
              </w:rPr>
              <w:t>42</w:t>
            </w:r>
          </w:p>
        </w:tc>
        <w:tc>
          <w:tcPr>
            <w:tcW w:w="1992" w:type="dxa"/>
          </w:tcPr>
          <w:p w14:paraId="61E1B4F9" w14:textId="77777777" w:rsidR="001B33CB" w:rsidRPr="00191DEB" w:rsidRDefault="001B33CB" w:rsidP="004835C9">
            <w:pPr>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Sí</w:t>
            </w:r>
          </w:p>
        </w:tc>
        <w:tc>
          <w:tcPr>
            <w:tcW w:w="1992" w:type="dxa"/>
          </w:tcPr>
          <w:p w14:paraId="2AE894AB"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44,3</w:t>
            </w:r>
          </w:p>
        </w:tc>
        <w:tc>
          <w:tcPr>
            <w:tcW w:w="1992" w:type="dxa"/>
          </w:tcPr>
          <w:p w14:paraId="379C204A"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60,6</w:t>
            </w:r>
          </w:p>
        </w:tc>
        <w:tc>
          <w:tcPr>
            <w:tcW w:w="1992" w:type="dxa"/>
          </w:tcPr>
          <w:p w14:paraId="7B8F8B40" w14:textId="77777777" w:rsidR="001B33CB" w:rsidRPr="00191DEB" w:rsidRDefault="001B33CB" w:rsidP="004835C9">
            <w:pPr>
              <w:spacing w:line="480" w:lineRule="auto"/>
              <w:rPr>
                <w:rFonts w:ascii="Times New Roman" w:eastAsia="Times New Roman" w:hAnsi="Times New Roman" w:cs="Times New Roman"/>
                <w:sz w:val="24"/>
                <w:szCs w:val="24"/>
              </w:rPr>
            </w:pPr>
            <w:r w:rsidRPr="00191DEB">
              <w:rPr>
                <w:rFonts w:ascii="Times New Roman" w:eastAsia="Times New Roman" w:hAnsi="Times New Roman" w:cs="Times New Roman"/>
                <w:sz w:val="24"/>
                <w:szCs w:val="24"/>
              </w:rPr>
              <w:t>Brasil</w:t>
            </w:r>
          </w:p>
        </w:tc>
        <w:tc>
          <w:tcPr>
            <w:tcW w:w="1992" w:type="dxa"/>
          </w:tcPr>
          <w:p w14:paraId="4CDE0452" w14:textId="77777777" w:rsidR="001B33CB" w:rsidRPr="00191DEB" w:rsidRDefault="001B33CB" w:rsidP="004835C9">
            <w:pPr>
              <w:rPr>
                <w:rFonts w:asciiTheme="majorBidi" w:hAnsiTheme="majorBidi" w:cstheme="majorBidi"/>
                <w:color w:val="000000"/>
                <w:sz w:val="24"/>
                <w:szCs w:val="24"/>
              </w:rPr>
            </w:pPr>
            <w:r w:rsidRPr="00191DEB">
              <w:rPr>
                <w:rFonts w:asciiTheme="majorBidi" w:hAnsiTheme="majorBidi" w:cstheme="majorBidi"/>
                <w:color w:val="000000"/>
                <w:sz w:val="24"/>
                <w:szCs w:val="24"/>
              </w:rPr>
              <w:t>Neurólogos especialistas en ictus</w:t>
            </w:r>
          </w:p>
        </w:tc>
      </w:tr>
      <w:tr w:rsidR="001B33CB" w14:paraId="079D55C4" w14:textId="77777777" w:rsidTr="004835C9">
        <w:trPr>
          <w:cnfStyle w:val="010000000000" w:firstRow="0" w:lastRow="1" w:firstColumn="0" w:lastColumn="0" w:oddVBand="0" w:evenVBand="0" w:oddHBand="0" w:evenHBand="0" w:firstRowFirstColumn="0" w:firstRowLastColumn="0" w:lastRowFirstColumn="0" w:lastRowLastColumn="0"/>
        </w:trPr>
        <w:tc>
          <w:tcPr>
            <w:tcW w:w="1992" w:type="dxa"/>
          </w:tcPr>
          <w:p w14:paraId="6CC69848" w14:textId="77777777" w:rsidR="001B33CB" w:rsidRPr="0095290E" w:rsidRDefault="001B33CB" w:rsidP="004835C9">
            <w:pPr>
              <w:rPr>
                <w:rFonts w:asciiTheme="majorBidi" w:eastAsia="Times New Roman" w:hAnsiTheme="majorBidi" w:cstheme="majorBidi"/>
                <w:iCs/>
                <w:sz w:val="24"/>
                <w:szCs w:val="24"/>
              </w:rPr>
            </w:pPr>
            <w:r w:rsidRPr="0095290E">
              <w:rPr>
                <w:rFonts w:asciiTheme="majorBidi" w:eastAsia="Times New Roman" w:hAnsiTheme="majorBidi" w:cstheme="majorBidi"/>
                <w:b w:val="0"/>
                <w:bCs w:val="0"/>
                <w:iCs/>
                <w:sz w:val="24"/>
                <w:szCs w:val="24"/>
              </w:rPr>
              <w:t>Zhang et al. (2023)</w:t>
            </w:r>
          </w:p>
        </w:tc>
        <w:tc>
          <w:tcPr>
            <w:tcW w:w="1992" w:type="dxa"/>
          </w:tcPr>
          <w:p w14:paraId="19CCE4B1" w14:textId="77777777" w:rsidR="001B33CB" w:rsidRPr="0095290E" w:rsidRDefault="001B33CB" w:rsidP="004835C9">
            <w:pPr>
              <w:rPr>
                <w:rFonts w:ascii="Times New Roman" w:eastAsia="Times New Roman" w:hAnsi="Times New Roman" w:cs="Times New Roman"/>
                <w:sz w:val="24"/>
                <w:szCs w:val="24"/>
              </w:rPr>
            </w:pPr>
            <w:r w:rsidRPr="0095290E">
              <w:rPr>
                <w:rFonts w:ascii="Times New Roman" w:eastAsia="Times New Roman" w:hAnsi="Times New Roman" w:cs="Times New Roman"/>
                <w:b w:val="0"/>
                <w:bCs w:val="0"/>
                <w:sz w:val="24"/>
                <w:szCs w:val="24"/>
              </w:rPr>
              <w:t>623</w:t>
            </w:r>
          </w:p>
        </w:tc>
        <w:tc>
          <w:tcPr>
            <w:tcW w:w="1992" w:type="dxa"/>
          </w:tcPr>
          <w:p w14:paraId="646E0861" w14:textId="77777777" w:rsidR="001B33CB" w:rsidRPr="00BA18F7" w:rsidRDefault="001B33CB" w:rsidP="004835C9">
            <w:pPr>
              <w:rPr>
                <w:rFonts w:ascii="Times New Roman" w:eastAsia="Times New Roman" w:hAnsi="Times New Roman" w:cs="Times New Roman"/>
                <w:b w:val="0"/>
                <w:bCs w:val="0"/>
                <w:sz w:val="24"/>
                <w:szCs w:val="24"/>
              </w:rPr>
            </w:pPr>
            <w:r w:rsidRPr="00376FB6">
              <w:rPr>
                <w:rFonts w:ascii="Times New Roman" w:eastAsia="Times New Roman" w:hAnsi="Times New Roman" w:cs="Times New Roman"/>
                <w:sz w:val="24"/>
                <w:szCs w:val="24"/>
              </w:rPr>
              <w:t>Sí</w:t>
            </w:r>
          </w:p>
        </w:tc>
        <w:tc>
          <w:tcPr>
            <w:tcW w:w="1992" w:type="dxa"/>
          </w:tcPr>
          <w:p w14:paraId="6C446646"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b w:val="0"/>
                <w:bCs w:val="0"/>
                <w:sz w:val="24"/>
                <w:szCs w:val="24"/>
              </w:rPr>
              <w:t>30,88</w:t>
            </w:r>
          </w:p>
        </w:tc>
        <w:tc>
          <w:tcPr>
            <w:tcW w:w="1992" w:type="dxa"/>
          </w:tcPr>
          <w:p w14:paraId="171480FF"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b w:val="0"/>
                <w:bCs w:val="0"/>
                <w:sz w:val="24"/>
                <w:szCs w:val="24"/>
              </w:rPr>
              <w:t>98,72</w:t>
            </w:r>
          </w:p>
        </w:tc>
        <w:tc>
          <w:tcPr>
            <w:tcW w:w="1992" w:type="dxa"/>
          </w:tcPr>
          <w:p w14:paraId="08A569F7" w14:textId="77777777" w:rsidR="001B33CB" w:rsidRPr="0095290E" w:rsidRDefault="001B33CB" w:rsidP="004835C9">
            <w:pPr>
              <w:spacing w:line="480" w:lineRule="auto"/>
              <w:rPr>
                <w:rFonts w:ascii="Times New Roman" w:eastAsia="Times New Roman" w:hAnsi="Times New Roman" w:cs="Times New Roman"/>
                <w:sz w:val="24"/>
                <w:szCs w:val="24"/>
              </w:rPr>
            </w:pPr>
            <w:r w:rsidRPr="0095290E">
              <w:rPr>
                <w:rFonts w:ascii="Times New Roman" w:eastAsia="Times New Roman" w:hAnsi="Times New Roman" w:cs="Times New Roman"/>
                <w:b w:val="0"/>
                <w:bCs w:val="0"/>
                <w:sz w:val="24"/>
                <w:szCs w:val="24"/>
              </w:rPr>
              <w:t>China</w:t>
            </w:r>
          </w:p>
        </w:tc>
        <w:tc>
          <w:tcPr>
            <w:tcW w:w="1992" w:type="dxa"/>
          </w:tcPr>
          <w:p w14:paraId="4CDEEC77" w14:textId="77777777" w:rsidR="001B33CB" w:rsidRPr="0095290E" w:rsidRDefault="001B33CB" w:rsidP="004835C9">
            <w:pPr>
              <w:rPr>
                <w:rFonts w:asciiTheme="majorBidi" w:hAnsiTheme="majorBidi" w:cstheme="majorBidi"/>
                <w:b w:val="0"/>
                <w:bCs w:val="0"/>
                <w:color w:val="000000"/>
                <w:sz w:val="24"/>
                <w:szCs w:val="24"/>
              </w:rPr>
            </w:pPr>
            <w:r w:rsidRPr="0095290E">
              <w:rPr>
                <w:rFonts w:asciiTheme="majorBidi" w:hAnsiTheme="majorBidi" w:cstheme="majorBidi"/>
                <w:b w:val="0"/>
                <w:bCs w:val="0"/>
                <w:color w:val="000000"/>
                <w:sz w:val="24"/>
                <w:szCs w:val="24"/>
              </w:rPr>
              <w:t>Enfermeros/as de cirugía hepatológica</w:t>
            </w:r>
          </w:p>
          <w:p w14:paraId="1F2272DD" w14:textId="77777777" w:rsidR="001B33CB" w:rsidRPr="0095290E" w:rsidRDefault="001B33CB" w:rsidP="004835C9">
            <w:pPr>
              <w:rPr>
                <w:rFonts w:asciiTheme="majorBidi" w:hAnsiTheme="majorBidi" w:cstheme="majorBidi"/>
                <w:color w:val="000000"/>
                <w:sz w:val="24"/>
                <w:szCs w:val="24"/>
              </w:rPr>
            </w:pPr>
          </w:p>
        </w:tc>
      </w:tr>
    </w:tbl>
    <w:p w14:paraId="39EFECA3" w14:textId="77777777" w:rsidR="001B33CB" w:rsidRPr="00F62E69" w:rsidRDefault="001B33CB" w:rsidP="001B33CB">
      <w:pPr>
        <w:spacing w:line="480" w:lineRule="auto"/>
        <w:rPr>
          <w:rFonts w:asciiTheme="majorBidi" w:eastAsia="Times New Roman" w:hAnsiTheme="majorBidi" w:cstheme="majorBidi"/>
          <w:sz w:val="24"/>
          <w:szCs w:val="24"/>
        </w:rPr>
      </w:pPr>
    </w:p>
    <w:p w14:paraId="4455F80A" w14:textId="77777777" w:rsidR="001B33CB" w:rsidRDefault="001B33CB" w:rsidP="001B33CB">
      <w:pPr>
        <w:rPr>
          <w:rFonts w:ascii="Times New Roman" w:eastAsia="Times New Roman" w:hAnsi="Times New Roman" w:cs="Times New Roman"/>
          <w:sz w:val="24"/>
          <w:szCs w:val="24"/>
        </w:rPr>
      </w:pPr>
    </w:p>
    <w:p w14:paraId="311974C5" w14:textId="77777777" w:rsidR="001B33CB" w:rsidRPr="0095290E" w:rsidRDefault="001B33CB" w:rsidP="001B33CB">
      <w:pPr>
        <w:rPr>
          <w:rFonts w:ascii="Times New Roman" w:eastAsia="Times New Roman" w:hAnsi="Times New Roman" w:cs="Times New Roman"/>
          <w:sz w:val="24"/>
          <w:szCs w:val="24"/>
        </w:rPr>
      </w:pPr>
    </w:p>
    <w:p w14:paraId="5AFECCF9" w14:textId="77777777" w:rsidR="001B33CB" w:rsidRDefault="001B33CB"/>
    <w:p w14:paraId="68B19B56" w14:textId="77777777" w:rsidR="00463704" w:rsidRDefault="00463704"/>
    <w:p w14:paraId="3E6A6704" w14:textId="77777777" w:rsidR="00463704" w:rsidRDefault="00463704"/>
    <w:p w14:paraId="5563AEBC" w14:textId="77777777" w:rsidR="00463704" w:rsidRDefault="00463704"/>
    <w:p w14:paraId="08A1ADD5" w14:textId="77777777" w:rsidR="00463704" w:rsidRDefault="00463704"/>
    <w:p w14:paraId="52584905" w14:textId="77777777" w:rsidR="00463704" w:rsidRDefault="00463704"/>
    <w:p w14:paraId="42250C22" w14:textId="77777777" w:rsidR="00463704" w:rsidRDefault="00463704"/>
    <w:p w14:paraId="550A9B68" w14:textId="77777777" w:rsidR="00463704" w:rsidRDefault="00463704"/>
    <w:p w14:paraId="6CCF5EC2" w14:textId="77777777" w:rsidR="00463704" w:rsidRDefault="00463704"/>
    <w:p w14:paraId="5E38E0A6" w14:textId="77777777" w:rsidR="00463704" w:rsidRDefault="00463704"/>
    <w:p w14:paraId="2E1F38ED" w14:textId="77777777" w:rsidR="00463704" w:rsidRDefault="00463704"/>
    <w:p w14:paraId="344BEB48" w14:textId="77777777" w:rsidR="00463704" w:rsidRDefault="00463704"/>
    <w:sectPr w:rsidR="00463704" w:rsidSect="004835C9">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9C34B" w14:textId="77777777" w:rsidR="00F1787B" w:rsidRDefault="00F1787B" w:rsidP="00A368C6">
      <w:pPr>
        <w:spacing w:line="240" w:lineRule="auto"/>
      </w:pPr>
      <w:r>
        <w:separator/>
      </w:r>
    </w:p>
  </w:endnote>
  <w:endnote w:type="continuationSeparator" w:id="0">
    <w:p w14:paraId="635B93AA" w14:textId="77777777" w:rsidR="00F1787B" w:rsidRDefault="00F1787B" w:rsidP="00A368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51BEE" w14:textId="77777777" w:rsidR="00F1787B" w:rsidRDefault="00F1787B" w:rsidP="00A368C6">
      <w:pPr>
        <w:spacing w:line="240" w:lineRule="auto"/>
      </w:pPr>
      <w:r>
        <w:separator/>
      </w:r>
    </w:p>
  </w:footnote>
  <w:footnote w:type="continuationSeparator" w:id="0">
    <w:p w14:paraId="44F60329" w14:textId="77777777" w:rsidR="00F1787B" w:rsidRDefault="00F1787B" w:rsidP="00A368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606751"/>
      <w:docPartObj>
        <w:docPartGallery w:val="Page Numbers (Top of Page)"/>
        <w:docPartUnique/>
      </w:docPartObj>
    </w:sdtPr>
    <w:sdtEndPr>
      <w:rPr>
        <w:rFonts w:asciiTheme="majorBidi" w:hAnsiTheme="majorBidi" w:cstheme="majorBidi"/>
        <w:sz w:val="24"/>
        <w:szCs w:val="24"/>
      </w:rPr>
    </w:sdtEndPr>
    <w:sdtContent>
      <w:p w14:paraId="08754894" w14:textId="170AF430" w:rsidR="0092674B" w:rsidRPr="0092674B" w:rsidRDefault="0092674B">
        <w:pPr>
          <w:pStyle w:val="Encabezado"/>
          <w:jc w:val="right"/>
          <w:rPr>
            <w:rFonts w:asciiTheme="majorBidi" w:hAnsiTheme="majorBidi" w:cstheme="majorBidi"/>
            <w:sz w:val="24"/>
            <w:szCs w:val="24"/>
          </w:rPr>
        </w:pPr>
        <w:r w:rsidRPr="0092674B">
          <w:rPr>
            <w:rFonts w:asciiTheme="majorBidi" w:hAnsiTheme="majorBidi" w:cstheme="majorBidi"/>
            <w:sz w:val="24"/>
            <w:szCs w:val="24"/>
          </w:rPr>
          <w:fldChar w:fldCharType="begin"/>
        </w:r>
        <w:r w:rsidRPr="0092674B">
          <w:rPr>
            <w:rFonts w:asciiTheme="majorBidi" w:hAnsiTheme="majorBidi" w:cstheme="majorBidi"/>
            <w:sz w:val="24"/>
            <w:szCs w:val="24"/>
          </w:rPr>
          <w:instrText>PAGE   \* MERGEFORMAT</w:instrText>
        </w:r>
        <w:r w:rsidRPr="0092674B">
          <w:rPr>
            <w:rFonts w:asciiTheme="majorBidi" w:hAnsiTheme="majorBidi" w:cstheme="majorBidi"/>
            <w:sz w:val="24"/>
            <w:szCs w:val="24"/>
          </w:rPr>
          <w:fldChar w:fldCharType="separate"/>
        </w:r>
        <w:r w:rsidRPr="0092674B">
          <w:rPr>
            <w:rFonts w:asciiTheme="majorBidi" w:hAnsiTheme="majorBidi" w:cstheme="majorBidi"/>
            <w:sz w:val="24"/>
            <w:szCs w:val="24"/>
            <w:lang w:val="es-ES"/>
          </w:rPr>
          <w:t>2</w:t>
        </w:r>
        <w:r w:rsidRPr="0092674B">
          <w:rPr>
            <w:rFonts w:asciiTheme="majorBidi" w:hAnsiTheme="majorBidi" w:cstheme="majorBidi"/>
            <w:sz w:val="24"/>
            <w:szCs w:val="24"/>
          </w:rPr>
          <w:fldChar w:fldCharType="end"/>
        </w:r>
      </w:p>
    </w:sdtContent>
  </w:sdt>
  <w:p w14:paraId="4E5DF431" w14:textId="77777777" w:rsidR="00920612" w:rsidRDefault="009206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ADA80" w14:textId="17AA70C7" w:rsidR="0092674B" w:rsidRDefault="0092674B">
    <w:pPr>
      <w:pStyle w:val="Encabezado"/>
      <w:jc w:val="right"/>
    </w:pPr>
  </w:p>
  <w:p w14:paraId="724D3A8D" w14:textId="77777777" w:rsidR="00A373B6" w:rsidRDefault="00A373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7EA0"/>
    <w:multiLevelType w:val="hybridMultilevel"/>
    <w:tmpl w:val="B316DCE6"/>
    <w:lvl w:ilvl="0" w:tplc="92262B9E">
      <w:start w:val="1"/>
      <w:numFmt w:val="decimal"/>
      <w:lvlText w:val="%1."/>
      <w:lvlJc w:val="left"/>
      <w:pPr>
        <w:ind w:left="1080" w:hanging="360"/>
      </w:pPr>
      <w:rPr>
        <w:rFonts w:eastAsiaTheme="minorHAnsi"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26C87CA2"/>
    <w:multiLevelType w:val="hybridMultilevel"/>
    <w:tmpl w:val="54EC79CC"/>
    <w:lvl w:ilvl="0" w:tplc="F7C286D6">
      <w:start w:val="2"/>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2126150962">
    <w:abstractNumId w:val="1"/>
  </w:num>
  <w:num w:numId="2" w16cid:durableId="1130904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3CB"/>
    <w:rsid w:val="00003E36"/>
    <w:rsid w:val="00015881"/>
    <w:rsid w:val="0001662A"/>
    <w:rsid w:val="00026BDF"/>
    <w:rsid w:val="00031DD8"/>
    <w:rsid w:val="00040101"/>
    <w:rsid w:val="000572E7"/>
    <w:rsid w:val="00057548"/>
    <w:rsid w:val="00062B16"/>
    <w:rsid w:val="00063228"/>
    <w:rsid w:val="000A322F"/>
    <w:rsid w:val="000A76C0"/>
    <w:rsid w:val="000B3000"/>
    <w:rsid w:val="000C40B6"/>
    <w:rsid w:val="000D27BE"/>
    <w:rsid w:val="000D2BD7"/>
    <w:rsid w:val="000D301D"/>
    <w:rsid w:val="000D699E"/>
    <w:rsid w:val="000D735E"/>
    <w:rsid w:val="000D7F6A"/>
    <w:rsid w:val="000E0ACB"/>
    <w:rsid w:val="001037A0"/>
    <w:rsid w:val="001207C2"/>
    <w:rsid w:val="001271F6"/>
    <w:rsid w:val="00144659"/>
    <w:rsid w:val="00146B38"/>
    <w:rsid w:val="0015703E"/>
    <w:rsid w:val="00171A56"/>
    <w:rsid w:val="00174235"/>
    <w:rsid w:val="001774F4"/>
    <w:rsid w:val="001964D0"/>
    <w:rsid w:val="001A48D4"/>
    <w:rsid w:val="001B1018"/>
    <w:rsid w:val="001B1D05"/>
    <w:rsid w:val="001B33CB"/>
    <w:rsid w:val="001B3C52"/>
    <w:rsid w:val="001B5827"/>
    <w:rsid w:val="001C32D4"/>
    <w:rsid w:val="001C6D23"/>
    <w:rsid w:val="001D4353"/>
    <w:rsid w:val="001D4849"/>
    <w:rsid w:val="001D5676"/>
    <w:rsid w:val="001E7C53"/>
    <w:rsid w:val="001E7EB9"/>
    <w:rsid w:val="001F56A4"/>
    <w:rsid w:val="001F5956"/>
    <w:rsid w:val="00200D23"/>
    <w:rsid w:val="00214A42"/>
    <w:rsid w:val="00222A87"/>
    <w:rsid w:val="00227A37"/>
    <w:rsid w:val="002339E9"/>
    <w:rsid w:val="00250596"/>
    <w:rsid w:val="00251D41"/>
    <w:rsid w:val="0026457A"/>
    <w:rsid w:val="0026532D"/>
    <w:rsid w:val="002771FF"/>
    <w:rsid w:val="00277F6E"/>
    <w:rsid w:val="002877BF"/>
    <w:rsid w:val="00287B02"/>
    <w:rsid w:val="00292838"/>
    <w:rsid w:val="00292FFB"/>
    <w:rsid w:val="00297004"/>
    <w:rsid w:val="002C0051"/>
    <w:rsid w:val="002C6149"/>
    <w:rsid w:val="002D2C79"/>
    <w:rsid w:val="002D73F8"/>
    <w:rsid w:val="002E5D34"/>
    <w:rsid w:val="0030600C"/>
    <w:rsid w:val="00307E18"/>
    <w:rsid w:val="00354DA3"/>
    <w:rsid w:val="003573B8"/>
    <w:rsid w:val="00360594"/>
    <w:rsid w:val="00360AA1"/>
    <w:rsid w:val="00361C9E"/>
    <w:rsid w:val="00361D73"/>
    <w:rsid w:val="00362D06"/>
    <w:rsid w:val="0037630F"/>
    <w:rsid w:val="003801C3"/>
    <w:rsid w:val="00390B0A"/>
    <w:rsid w:val="0039106E"/>
    <w:rsid w:val="003971B5"/>
    <w:rsid w:val="003A1962"/>
    <w:rsid w:val="003A3DA9"/>
    <w:rsid w:val="003D12DC"/>
    <w:rsid w:val="003F2DD9"/>
    <w:rsid w:val="00405D8D"/>
    <w:rsid w:val="004133E6"/>
    <w:rsid w:val="0043159F"/>
    <w:rsid w:val="0043675A"/>
    <w:rsid w:val="00440E5B"/>
    <w:rsid w:val="00441D60"/>
    <w:rsid w:val="00442A34"/>
    <w:rsid w:val="0044409B"/>
    <w:rsid w:val="00453738"/>
    <w:rsid w:val="0046279A"/>
    <w:rsid w:val="00463704"/>
    <w:rsid w:val="004835C9"/>
    <w:rsid w:val="004A0CC2"/>
    <w:rsid w:val="004B2B52"/>
    <w:rsid w:val="004B4C7D"/>
    <w:rsid w:val="004B697B"/>
    <w:rsid w:val="004C6522"/>
    <w:rsid w:val="004C6A4E"/>
    <w:rsid w:val="004D621E"/>
    <w:rsid w:val="004E1ACD"/>
    <w:rsid w:val="005017F1"/>
    <w:rsid w:val="00501BA2"/>
    <w:rsid w:val="00505D3A"/>
    <w:rsid w:val="00514D3B"/>
    <w:rsid w:val="00523D28"/>
    <w:rsid w:val="00524F8D"/>
    <w:rsid w:val="00536C82"/>
    <w:rsid w:val="0054269E"/>
    <w:rsid w:val="00543536"/>
    <w:rsid w:val="00546D7A"/>
    <w:rsid w:val="0055349D"/>
    <w:rsid w:val="00554F32"/>
    <w:rsid w:val="005555B0"/>
    <w:rsid w:val="005600C9"/>
    <w:rsid w:val="0056445A"/>
    <w:rsid w:val="00571F57"/>
    <w:rsid w:val="005A1970"/>
    <w:rsid w:val="005A2812"/>
    <w:rsid w:val="005A2B08"/>
    <w:rsid w:val="005B5BF0"/>
    <w:rsid w:val="005C456B"/>
    <w:rsid w:val="005D2F71"/>
    <w:rsid w:val="006037D6"/>
    <w:rsid w:val="0061183E"/>
    <w:rsid w:val="006170CB"/>
    <w:rsid w:val="006209AD"/>
    <w:rsid w:val="00621827"/>
    <w:rsid w:val="00630065"/>
    <w:rsid w:val="0063429A"/>
    <w:rsid w:val="00634636"/>
    <w:rsid w:val="00651EC8"/>
    <w:rsid w:val="0065234B"/>
    <w:rsid w:val="00655B09"/>
    <w:rsid w:val="00656E8B"/>
    <w:rsid w:val="006603D7"/>
    <w:rsid w:val="00670FFD"/>
    <w:rsid w:val="0067250D"/>
    <w:rsid w:val="0069394C"/>
    <w:rsid w:val="00694EE3"/>
    <w:rsid w:val="00695BEE"/>
    <w:rsid w:val="00696365"/>
    <w:rsid w:val="006B4DC8"/>
    <w:rsid w:val="006C0F4B"/>
    <w:rsid w:val="006C5E2B"/>
    <w:rsid w:val="006D11FC"/>
    <w:rsid w:val="006E1BA9"/>
    <w:rsid w:val="006F31C8"/>
    <w:rsid w:val="00707FED"/>
    <w:rsid w:val="00717B41"/>
    <w:rsid w:val="00720185"/>
    <w:rsid w:val="0072608C"/>
    <w:rsid w:val="0073003E"/>
    <w:rsid w:val="00731184"/>
    <w:rsid w:val="00735F4D"/>
    <w:rsid w:val="00743324"/>
    <w:rsid w:val="0074777A"/>
    <w:rsid w:val="00772C33"/>
    <w:rsid w:val="007748A6"/>
    <w:rsid w:val="0079503F"/>
    <w:rsid w:val="007A1E7F"/>
    <w:rsid w:val="007A56A4"/>
    <w:rsid w:val="007B151F"/>
    <w:rsid w:val="007B5AF8"/>
    <w:rsid w:val="007E2AA6"/>
    <w:rsid w:val="007E70A5"/>
    <w:rsid w:val="007E757A"/>
    <w:rsid w:val="007E7B23"/>
    <w:rsid w:val="0080721C"/>
    <w:rsid w:val="0082103F"/>
    <w:rsid w:val="00842CAC"/>
    <w:rsid w:val="0084666A"/>
    <w:rsid w:val="008502A4"/>
    <w:rsid w:val="0085452A"/>
    <w:rsid w:val="00854E00"/>
    <w:rsid w:val="00855406"/>
    <w:rsid w:val="00855A5F"/>
    <w:rsid w:val="008615A7"/>
    <w:rsid w:val="008620E6"/>
    <w:rsid w:val="0088602B"/>
    <w:rsid w:val="008922ED"/>
    <w:rsid w:val="00894DE5"/>
    <w:rsid w:val="008971D2"/>
    <w:rsid w:val="008B0F90"/>
    <w:rsid w:val="008B798D"/>
    <w:rsid w:val="008C5A2C"/>
    <w:rsid w:val="008C6CDA"/>
    <w:rsid w:val="008D1642"/>
    <w:rsid w:val="008D2CBC"/>
    <w:rsid w:val="008D4280"/>
    <w:rsid w:val="008D6853"/>
    <w:rsid w:val="008F13ED"/>
    <w:rsid w:val="008F1A38"/>
    <w:rsid w:val="008F2F86"/>
    <w:rsid w:val="008F73E8"/>
    <w:rsid w:val="00903FA5"/>
    <w:rsid w:val="00911155"/>
    <w:rsid w:val="00920612"/>
    <w:rsid w:val="0092674B"/>
    <w:rsid w:val="00931E34"/>
    <w:rsid w:val="00957FC8"/>
    <w:rsid w:val="00965D92"/>
    <w:rsid w:val="00974D58"/>
    <w:rsid w:val="009843E8"/>
    <w:rsid w:val="00985A16"/>
    <w:rsid w:val="009869E5"/>
    <w:rsid w:val="00990576"/>
    <w:rsid w:val="00992801"/>
    <w:rsid w:val="00995535"/>
    <w:rsid w:val="00997511"/>
    <w:rsid w:val="009A1B1F"/>
    <w:rsid w:val="009A2B00"/>
    <w:rsid w:val="009A2C02"/>
    <w:rsid w:val="009A4F5A"/>
    <w:rsid w:val="009C032F"/>
    <w:rsid w:val="009D4B59"/>
    <w:rsid w:val="009E2FD5"/>
    <w:rsid w:val="009E7A38"/>
    <w:rsid w:val="009F65EE"/>
    <w:rsid w:val="009F6A8E"/>
    <w:rsid w:val="00A22AB5"/>
    <w:rsid w:val="00A34879"/>
    <w:rsid w:val="00A368C6"/>
    <w:rsid w:val="00A373B6"/>
    <w:rsid w:val="00A37DAF"/>
    <w:rsid w:val="00A46DAA"/>
    <w:rsid w:val="00A47B5E"/>
    <w:rsid w:val="00A662B5"/>
    <w:rsid w:val="00A733CE"/>
    <w:rsid w:val="00A7552E"/>
    <w:rsid w:val="00A86203"/>
    <w:rsid w:val="00A86918"/>
    <w:rsid w:val="00A97A5F"/>
    <w:rsid w:val="00AB412B"/>
    <w:rsid w:val="00AC260D"/>
    <w:rsid w:val="00AC4712"/>
    <w:rsid w:val="00AC48C8"/>
    <w:rsid w:val="00AD2011"/>
    <w:rsid w:val="00AD34B6"/>
    <w:rsid w:val="00AE4D63"/>
    <w:rsid w:val="00AE5C75"/>
    <w:rsid w:val="00AE7985"/>
    <w:rsid w:val="00AF092C"/>
    <w:rsid w:val="00B037C8"/>
    <w:rsid w:val="00B07486"/>
    <w:rsid w:val="00B0758C"/>
    <w:rsid w:val="00B20F90"/>
    <w:rsid w:val="00B2143D"/>
    <w:rsid w:val="00B23668"/>
    <w:rsid w:val="00B24524"/>
    <w:rsid w:val="00B26CCD"/>
    <w:rsid w:val="00B26E6C"/>
    <w:rsid w:val="00B31C6C"/>
    <w:rsid w:val="00B372D5"/>
    <w:rsid w:val="00B400A5"/>
    <w:rsid w:val="00B50BDB"/>
    <w:rsid w:val="00B6668B"/>
    <w:rsid w:val="00B73DF0"/>
    <w:rsid w:val="00B87DA9"/>
    <w:rsid w:val="00B94453"/>
    <w:rsid w:val="00B95254"/>
    <w:rsid w:val="00BA48A5"/>
    <w:rsid w:val="00BA5ABA"/>
    <w:rsid w:val="00BB69CE"/>
    <w:rsid w:val="00BC480B"/>
    <w:rsid w:val="00BD2262"/>
    <w:rsid w:val="00BF0B9A"/>
    <w:rsid w:val="00BF2A45"/>
    <w:rsid w:val="00BF7ACC"/>
    <w:rsid w:val="00C005F6"/>
    <w:rsid w:val="00C02B95"/>
    <w:rsid w:val="00C0484C"/>
    <w:rsid w:val="00C05A34"/>
    <w:rsid w:val="00C12AC8"/>
    <w:rsid w:val="00C13B36"/>
    <w:rsid w:val="00C26D6E"/>
    <w:rsid w:val="00C35E57"/>
    <w:rsid w:val="00C36F7D"/>
    <w:rsid w:val="00C41B6C"/>
    <w:rsid w:val="00C44D63"/>
    <w:rsid w:val="00C47AAC"/>
    <w:rsid w:val="00C65559"/>
    <w:rsid w:val="00C7094A"/>
    <w:rsid w:val="00C70E88"/>
    <w:rsid w:val="00C77ED9"/>
    <w:rsid w:val="00C93843"/>
    <w:rsid w:val="00C9512D"/>
    <w:rsid w:val="00C959C2"/>
    <w:rsid w:val="00CA2D81"/>
    <w:rsid w:val="00CC02EF"/>
    <w:rsid w:val="00CC033D"/>
    <w:rsid w:val="00CC3365"/>
    <w:rsid w:val="00CC4C86"/>
    <w:rsid w:val="00CD554B"/>
    <w:rsid w:val="00CE73FE"/>
    <w:rsid w:val="00D02847"/>
    <w:rsid w:val="00D07DCD"/>
    <w:rsid w:val="00D149BE"/>
    <w:rsid w:val="00D16048"/>
    <w:rsid w:val="00D16106"/>
    <w:rsid w:val="00D221F0"/>
    <w:rsid w:val="00D40A64"/>
    <w:rsid w:val="00D737C0"/>
    <w:rsid w:val="00D750F1"/>
    <w:rsid w:val="00DB3784"/>
    <w:rsid w:val="00DB65D6"/>
    <w:rsid w:val="00DC7114"/>
    <w:rsid w:val="00DE5AFA"/>
    <w:rsid w:val="00DF2CE6"/>
    <w:rsid w:val="00DF603A"/>
    <w:rsid w:val="00E01470"/>
    <w:rsid w:val="00E0797A"/>
    <w:rsid w:val="00E20E6B"/>
    <w:rsid w:val="00E33FE5"/>
    <w:rsid w:val="00E50106"/>
    <w:rsid w:val="00E62D82"/>
    <w:rsid w:val="00E66DD6"/>
    <w:rsid w:val="00E66DDD"/>
    <w:rsid w:val="00E67FE4"/>
    <w:rsid w:val="00E84E22"/>
    <w:rsid w:val="00E8536D"/>
    <w:rsid w:val="00E9227D"/>
    <w:rsid w:val="00E93AA5"/>
    <w:rsid w:val="00EA2D3C"/>
    <w:rsid w:val="00EA36A3"/>
    <w:rsid w:val="00EB2018"/>
    <w:rsid w:val="00EB5EA7"/>
    <w:rsid w:val="00EC0143"/>
    <w:rsid w:val="00EE139E"/>
    <w:rsid w:val="00F05C71"/>
    <w:rsid w:val="00F13304"/>
    <w:rsid w:val="00F15EBB"/>
    <w:rsid w:val="00F17056"/>
    <w:rsid w:val="00F1787B"/>
    <w:rsid w:val="00F439E5"/>
    <w:rsid w:val="00F46DE8"/>
    <w:rsid w:val="00F50AF2"/>
    <w:rsid w:val="00F54BED"/>
    <w:rsid w:val="00F55F58"/>
    <w:rsid w:val="00F56CA1"/>
    <w:rsid w:val="00F73521"/>
    <w:rsid w:val="00FA4491"/>
    <w:rsid w:val="00FB28EC"/>
    <w:rsid w:val="00FB7D5C"/>
    <w:rsid w:val="00FE1E0F"/>
    <w:rsid w:val="00FE2C0F"/>
    <w:rsid w:val="00FE533E"/>
    <w:rsid w:val="00FF4AD5"/>
    <w:rsid w:val="00FF5288"/>
  </w:rsids>
  <m:mathPr>
    <m:mathFont m:val="Cambria Math"/>
    <m:brkBin m:val="before"/>
    <m:brkBinSub m:val="--"/>
    <m:smallFrac m:val="0"/>
    <m:dispDef/>
    <m:lMargin m:val="0"/>
    <m:rMargin m:val="0"/>
    <m:defJc m:val="centerGroup"/>
    <m:wrapIndent m:val="1440"/>
    <m:intLim m:val="subSup"/>
    <m:naryLim m:val="undOvr"/>
  </m:mathPr>
  <w:themeFontLang w:val="es-ES"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627FF"/>
  <w15:chartTrackingRefBased/>
  <w15:docId w15:val="{A036F545-69AF-438A-936B-9FA28BDBF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yi-Hebr"/>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3CB"/>
    <w:pPr>
      <w:spacing w:after="0" w:line="276" w:lineRule="auto"/>
    </w:pPr>
    <w:rPr>
      <w:rFonts w:ascii="Arial" w:eastAsia="Arial" w:hAnsi="Arial" w:cs="Arial"/>
      <w:kern w:val="0"/>
      <w:lang w:val="es" w:eastAsia="es-ES"/>
      <w14:ligatures w14:val="none"/>
    </w:rPr>
  </w:style>
  <w:style w:type="paragraph" w:styleId="Ttulo1">
    <w:name w:val="heading 1"/>
    <w:basedOn w:val="Normal"/>
    <w:next w:val="Normal"/>
    <w:link w:val="Ttulo1Car"/>
    <w:uiPriority w:val="9"/>
    <w:qFormat/>
    <w:rsid w:val="00707FED"/>
    <w:pPr>
      <w:keepNext/>
      <w:keepLines/>
      <w:spacing w:before="400" w:after="120"/>
      <w:outlineLvl w:val="0"/>
    </w:pPr>
    <w:rPr>
      <w:sz w:val="40"/>
      <w:szCs w:val="40"/>
    </w:rPr>
  </w:style>
  <w:style w:type="paragraph" w:styleId="Ttulo2">
    <w:name w:val="heading 2"/>
    <w:basedOn w:val="Normal"/>
    <w:next w:val="Normal"/>
    <w:link w:val="Ttulo2Car"/>
    <w:uiPriority w:val="9"/>
    <w:unhideWhenUsed/>
    <w:qFormat/>
    <w:rsid w:val="007E2AA6"/>
    <w:pPr>
      <w:keepNext/>
      <w:keepLines/>
      <w:spacing w:before="40" w:line="259" w:lineRule="auto"/>
      <w:outlineLvl w:val="1"/>
    </w:pPr>
    <w:rPr>
      <w:rFonts w:asciiTheme="majorHAnsi" w:eastAsiaTheme="majorEastAsia" w:hAnsiTheme="majorHAnsi" w:cstheme="majorBidi"/>
      <w:color w:val="2F5496" w:themeColor="accent1" w:themeShade="BF"/>
      <w:kern w:val="2"/>
      <w:sz w:val="26"/>
      <w:szCs w:val="26"/>
      <w:lang w:val="es-ES"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normal2">
    <w:name w:val="Plain Table 2"/>
    <w:basedOn w:val="Tablanormal"/>
    <w:uiPriority w:val="42"/>
    <w:rsid w:val="001B33CB"/>
    <w:pPr>
      <w:spacing w:after="0" w:line="240" w:lineRule="auto"/>
    </w:pPr>
    <w:rPr>
      <w:rFonts w:ascii="Arial" w:eastAsia="Arial" w:hAnsi="Arial" w:cs="Arial"/>
      <w:kern w:val="0"/>
      <w:lang w:val="es" w:eastAsia="es-E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Refdecomentario">
    <w:name w:val="annotation reference"/>
    <w:basedOn w:val="Fuentedeprrafopredeter"/>
    <w:uiPriority w:val="99"/>
    <w:semiHidden/>
    <w:unhideWhenUsed/>
    <w:rsid w:val="001B33CB"/>
    <w:rPr>
      <w:sz w:val="16"/>
      <w:szCs w:val="16"/>
    </w:rPr>
  </w:style>
  <w:style w:type="paragraph" w:styleId="Textocomentario">
    <w:name w:val="annotation text"/>
    <w:basedOn w:val="Normal"/>
    <w:link w:val="TextocomentarioCar"/>
    <w:uiPriority w:val="99"/>
    <w:semiHidden/>
    <w:unhideWhenUsed/>
    <w:rsid w:val="001B33C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B33CB"/>
    <w:rPr>
      <w:rFonts w:ascii="Arial" w:eastAsia="Arial" w:hAnsi="Arial" w:cs="Arial"/>
      <w:kern w:val="0"/>
      <w:sz w:val="20"/>
      <w:szCs w:val="20"/>
      <w:lang w:val="es" w:eastAsia="es-ES"/>
      <w14:ligatures w14:val="none"/>
    </w:rPr>
  </w:style>
  <w:style w:type="character" w:customStyle="1" w:styleId="Ttulo1Car">
    <w:name w:val="Título 1 Car"/>
    <w:basedOn w:val="Fuentedeprrafopredeter"/>
    <w:link w:val="Ttulo1"/>
    <w:uiPriority w:val="9"/>
    <w:rsid w:val="00707FED"/>
    <w:rPr>
      <w:rFonts w:ascii="Arial" w:eastAsia="Arial" w:hAnsi="Arial" w:cs="Arial"/>
      <w:kern w:val="0"/>
      <w:sz w:val="40"/>
      <w:szCs w:val="40"/>
      <w:lang w:val="es" w:eastAsia="es-ES"/>
      <w14:ligatures w14:val="none"/>
    </w:rPr>
  </w:style>
  <w:style w:type="table" w:customStyle="1" w:styleId="APA">
    <w:name w:val="APA"/>
    <w:basedOn w:val="Tablanormal"/>
    <w:uiPriority w:val="99"/>
    <w:rsid w:val="00707FED"/>
    <w:pPr>
      <w:spacing w:after="0" w:line="240" w:lineRule="auto"/>
    </w:pPr>
    <w:rPr>
      <w:rFonts w:ascii="Arial" w:eastAsia="Arial" w:hAnsi="Arial" w:cs="Arial"/>
      <w:kern w:val="0"/>
      <w:lang w:val="es" w:eastAsia="es-ES"/>
      <w14:ligatures w14:val="none"/>
    </w:rPr>
    <w:tblPr>
      <w:tblBorders>
        <w:top w:val="single" w:sz="4" w:space="0" w:color="000000"/>
        <w:bottom w:val="single" w:sz="4" w:space="0" w:color="000000"/>
      </w:tblBorders>
    </w:tblPr>
    <w:tblStylePr w:type="firstRow">
      <w:tblPr/>
      <w:tcPr>
        <w:tcBorders>
          <w:bottom w:val="single" w:sz="4" w:space="0" w:color="000000"/>
        </w:tcBorders>
      </w:tcPr>
    </w:tblStylePr>
    <w:tblStylePr w:type="lastRow">
      <w:tblPr/>
      <w:tcPr>
        <w:tcBorders>
          <w:top w:val="single" w:sz="4" w:space="0" w:color="000000"/>
        </w:tcBorders>
      </w:tcPr>
    </w:tblStylePr>
  </w:style>
  <w:style w:type="paragraph" w:styleId="NormalWeb">
    <w:name w:val="Normal (Web)"/>
    <w:basedOn w:val="Normal"/>
    <w:uiPriority w:val="99"/>
    <w:unhideWhenUsed/>
    <w:rsid w:val="00634636"/>
    <w:pPr>
      <w:spacing w:before="100" w:beforeAutospacing="1" w:after="100" w:afterAutospacing="1" w:line="240" w:lineRule="auto"/>
    </w:pPr>
    <w:rPr>
      <w:rFonts w:ascii="Times New Roman" w:eastAsia="Times New Roman" w:hAnsi="Times New Roman" w:cs="Times New Roman"/>
      <w:sz w:val="24"/>
      <w:szCs w:val="24"/>
      <w:lang w:val="es-ES"/>
    </w:rPr>
  </w:style>
  <w:style w:type="character" w:customStyle="1" w:styleId="Ttulo2Car">
    <w:name w:val="Título 2 Car"/>
    <w:basedOn w:val="Fuentedeprrafopredeter"/>
    <w:link w:val="Ttulo2"/>
    <w:uiPriority w:val="9"/>
    <w:rsid w:val="007E2AA6"/>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7E2AA6"/>
    <w:rPr>
      <w:color w:val="0000FF"/>
      <w:u w:val="single"/>
    </w:rPr>
  </w:style>
  <w:style w:type="character" w:styleId="nfasis">
    <w:name w:val="Emphasis"/>
    <w:basedOn w:val="Fuentedeprrafopredeter"/>
    <w:uiPriority w:val="20"/>
    <w:qFormat/>
    <w:rsid w:val="007E2AA6"/>
    <w:rPr>
      <w:i/>
      <w:iCs/>
    </w:rPr>
  </w:style>
  <w:style w:type="character" w:customStyle="1" w:styleId="titulo">
    <w:name w:val="titulo"/>
    <w:basedOn w:val="Fuentedeprrafopredeter"/>
    <w:rsid w:val="007E2AA6"/>
  </w:style>
  <w:style w:type="character" w:customStyle="1" w:styleId="subtitulo">
    <w:name w:val="subtitulo"/>
    <w:basedOn w:val="Fuentedeprrafopredeter"/>
    <w:rsid w:val="007E2AA6"/>
  </w:style>
  <w:style w:type="paragraph" w:styleId="Textodeglobo">
    <w:name w:val="Balloon Text"/>
    <w:basedOn w:val="Normal"/>
    <w:link w:val="TextodegloboCar"/>
    <w:uiPriority w:val="99"/>
    <w:semiHidden/>
    <w:unhideWhenUsed/>
    <w:rsid w:val="00AC260D"/>
    <w:pPr>
      <w:spacing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C260D"/>
    <w:rPr>
      <w:rFonts w:ascii="Times New Roman" w:eastAsia="Arial" w:hAnsi="Times New Roman" w:cs="Times New Roman"/>
      <w:kern w:val="0"/>
      <w:sz w:val="18"/>
      <w:szCs w:val="18"/>
      <w:lang w:val="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835C9"/>
    <w:rPr>
      <w:b/>
      <w:bCs/>
    </w:rPr>
  </w:style>
  <w:style w:type="character" w:customStyle="1" w:styleId="AsuntodelcomentarioCar">
    <w:name w:val="Asunto del comentario Car"/>
    <w:basedOn w:val="TextocomentarioCar"/>
    <w:link w:val="Asuntodelcomentario"/>
    <w:uiPriority w:val="99"/>
    <w:semiHidden/>
    <w:rsid w:val="004835C9"/>
    <w:rPr>
      <w:rFonts w:ascii="Arial" w:eastAsia="Arial" w:hAnsi="Arial" w:cs="Arial"/>
      <w:b/>
      <w:bCs/>
      <w:kern w:val="0"/>
      <w:sz w:val="20"/>
      <w:szCs w:val="20"/>
      <w:lang w:val="es" w:eastAsia="es-ES"/>
      <w14:ligatures w14:val="none"/>
    </w:rPr>
  </w:style>
  <w:style w:type="paragraph" w:styleId="Revisin">
    <w:name w:val="Revision"/>
    <w:hidden/>
    <w:uiPriority w:val="99"/>
    <w:semiHidden/>
    <w:rsid w:val="00BF7ACC"/>
    <w:pPr>
      <w:spacing w:after="0" w:line="240" w:lineRule="auto"/>
    </w:pPr>
    <w:rPr>
      <w:rFonts w:ascii="Arial" w:eastAsia="Arial" w:hAnsi="Arial" w:cs="Arial"/>
      <w:kern w:val="0"/>
      <w:lang w:val="es" w:eastAsia="es-ES"/>
      <w14:ligatures w14:val="none"/>
    </w:rPr>
  </w:style>
  <w:style w:type="paragraph" w:styleId="TtuloTDC">
    <w:name w:val="TOC Heading"/>
    <w:basedOn w:val="Ttulo1"/>
    <w:next w:val="Normal"/>
    <w:uiPriority w:val="39"/>
    <w:unhideWhenUsed/>
    <w:qFormat/>
    <w:rsid w:val="001B3C52"/>
    <w:pPr>
      <w:spacing w:before="480" w:after="0"/>
      <w:outlineLvl w:val="9"/>
    </w:pPr>
    <w:rPr>
      <w:rFonts w:asciiTheme="majorHAnsi" w:eastAsiaTheme="majorEastAsia" w:hAnsiTheme="majorHAnsi" w:cstheme="majorBidi"/>
      <w:b/>
      <w:bCs/>
      <w:color w:val="2F5496" w:themeColor="accent1" w:themeShade="BF"/>
      <w:sz w:val="28"/>
      <w:szCs w:val="28"/>
      <w:lang w:val="es-ES" w:bidi="ar-SA"/>
    </w:rPr>
  </w:style>
  <w:style w:type="paragraph" w:styleId="TDC1">
    <w:name w:val="toc 1"/>
    <w:basedOn w:val="Normal"/>
    <w:next w:val="Normal"/>
    <w:autoRedefine/>
    <w:uiPriority w:val="39"/>
    <w:unhideWhenUsed/>
    <w:rsid w:val="00B6668B"/>
    <w:pPr>
      <w:tabs>
        <w:tab w:val="left" w:pos="1320"/>
        <w:tab w:val="right" w:leader="dot" w:pos="9486"/>
      </w:tabs>
      <w:spacing w:after="100" w:line="480" w:lineRule="auto"/>
      <w:ind w:firstLine="720"/>
      <w:jc w:val="center"/>
    </w:pPr>
    <w:rPr>
      <w:rFonts w:asciiTheme="majorBidi" w:eastAsiaTheme="minorHAnsi" w:hAnsiTheme="majorBidi" w:cstheme="majorBidi"/>
      <w:b/>
      <w:bCs/>
      <w:sz w:val="24"/>
      <w:szCs w:val="24"/>
      <w:lang w:val="es-ES" w:eastAsia="en-US" w:bidi="ar-SA"/>
    </w:rPr>
  </w:style>
  <w:style w:type="paragraph" w:styleId="TDC2">
    <w:name w:val="toc 2"/>
    <w:basedOn w:val="Normal"/>
    <w:next w:val="Normal"/>
    <w:autoRedefine/>
    <w:uiPriority w:val="39"/>
    <w:unhideWhenUsed/>
    <w:rsid w:val="006209AD"/>
    <w:pPr>
      <w:tabs>
        <w:tab w:val="left" w:pos="1540"/>
        <w:tab w:val="right" w:leader="dot" w:pos="9486"/>
      </w:tabs>
      <w:spacing w:after="100" w:line="480" w:lineRule="auto"/>
      <w:ind w:left="220" w:firstLine="720"/>
    </w:pPr>
    <w:rPr>
      <w:rFonts w:asciiTheme="minorHAnsi" w:eastAsiaTheme="minorHAnsi" w:hAnsiTheme="minorHAnsi" w:cstheme="minorBidi"/>
      <w:lang w:val="es-ES" w:eastAsia="en-US" w:bidi="ar-SA"/>
    </w:rPr>
  </w:style>
  <w:style w:type="paragraph" w:styleId="TDC3">
    <w:name w:val="toc 3"/>
    <w:basedOn w:val="Normal"/>
    <w:next w:val="Normal"/>
    <w:autoRedefine/>
    <w:uiPriority w:val="39"/>
    <w:unhideWhenUsed/>
    <w:rsid w:val="00B26E6C"/>
    <w:pPr>
      <w:tabs>
        <w:tab w:val="left" w:pos="1760"/>
        <w:tab w:val="right" w:leader="dot" w:pos="9486"/>
      </w:tabs>
      <w:spacing w:after="100" w:line="480" w:lineRule="auto"/>
      <w:ind w:left="440" w:firstLine="720"/>
    </w:pPr>
    <w:rPr>
      <w:rFonts w:asciiTheme="minorHAnsi" w:eastAsiaTheme="minorHAnsi" w:hAnsiTheme="minorHAnsi" w:cstheme="minorBidi"/>
      <w:lang w:val="es-ES" w:eastAsia="en-US" w:bidi="ar-SA"/>
    </w:rPr>
  </w:style>
  <w:style w:type="paragraph" w:styleId="Encabezado">
    <w:name w:val="header"/>
    <w:basedOn w:val="Normal"/>
    <w:link w:val="EncabezadoCar"/>
    <w:uiPriority w:val="99"/>
    <w:unhideWhenUsed/>
    <w:rsid w:val="00A368C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368C6"/>
    <w:rPr>
      <w:rFonts w:ascii="Arial" w:eastAsia="Arial" w:hAnsi="Arial" w:cs="Arial"/>
      <w:kern w:val="0"/>
      <w:lang w:val="es" w:eastAsia="es-ES"/>
      <w14:ligatures w14:val="none"/>
    </w:rPr>
  </w:style>
  <w:style w:type="paragraph" w:styleId="Piedepgina">
    <w:name w:val="footer"/>
    <w:basedOn w:val="Normal"/>
    <w:link w:val="PiedepginaCar"/>
    <w:uiPriority w:val="99"/>
    <w:unhideWhenUsed/>
    <w:rsid w:val="00A368C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368C6"/>
    <w:rPr>
      <w:rFonts w:ascii="Arial" w:eastAsia="Arial" w:hAnsi="Arial" w:cs="Arial"/>
      <w:kern w:val="0"/>
      <w:lang w:val="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389">
      <w:bodyDiv w:val="1"/>
      <w:marLeft w:val="0"/>
      <w:marRight w:val="0"/>
      <w:marTop w:val="0"/>
      <w:marBottom w:val="0"/>
      <w:divBdr>
        <w:top w:val="none" w:sz="0" w:space="0" w:color="auto"/>
        <w:left w:val="none" w:sz="0" w:space="0" w:color="auto"/>
        <w:bottom w:val="none" w:sz="0" w:space="0" w:color="auto"/>
        <w:right w:val="none" w:sz="0" w:space="0" w:color="auto"/>
      </w:divBdr>
    </w:div>
    <w:div w:id="661005432">
      <w:bodyDiv w:val="1"/>
      <w:marLeft w:val="0"/>
      <w:marRight w:val="0"/>
      <w:marTop w:val="0"/>
      <w:marBottom w:val="0"/>
      <w:divBdr>
        <w:top w:val="none" w:sz="0" w:space="0" w:color="auto"/>
        <w:left w:val="none" w:sz="0" w:space="0" w:color="auto"/>
        <w:bottom w:val="none" w:sz="0" w:space="0" w:color="auto"/>
        <w:right w:val="none" w:sz="0" w:space="0" w:color="auto"/>
      </w:divBdr>
    </w:div>
    <w:div w:id="120888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ijerph16193555" TargetMode="External"/><Relationship Id="rId18" Type="http://schemas.openxmlformats.org/officeDocument/2006/relationships/hyperlink" Target="https://doi.org/10.1186/s12885-018-4964-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186/s12913-020-05816-z" TargetMode="External"/><Relationship Id="rId17" Type="http://schemas.openxmlformats.org/officeDocument/2006/relationships/hyperlink" Target="https://doi.org/10.3390/ijerph15102083" TargetMode="External"/><Relationship Id="rId2" Type="http://schemas.openxmlformats.org/officeDocument/2006/relationships/numbering" Target="numbering.xml"/><Relationship Id="rId16" Type="http://schemas.openxmlformats.org/officeDocument/2006/relationships/hyperlink" Target="http://dx.doi.org/10.1016/j.medcli.2015.11.023" TargetMode="External"/><Relationship Id="rId20" Type="http://schemas.openxmlformats.org/officeDocument/2006/relationships/hyperlink" Target="https://doi.org/10.1016/j.otsr.2019.04.0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19-7755-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lpais.com/sociedad/2019/05/27/actualidad/1558956228_933147.html?event_log=oklogin" TargetMode="External"/><Relationship Id="rId23" Type="http://schemas.openxmlformats.org/officeDocument/2006/relationships/fontTable" Target="fontTable.xml"/><Relationship Id="rId10" Type="http://schemas.openxmlformats.org/officeDocument/2006/relationships/hyperlink" Target="https://doi.org/10.1186/s12913-019-4278-8" TargetMode="External"/><Relationship Id="rId19" Type="http://schemas.openxmlformats.org/officeDocument/2006/relationships/hyperlink" Target="https://doi.org/10.1093/ageing/afy00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590/0102-311X00189217" TargetMode="External"/><Relationship Id="rId22"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3BB1E-2D18-46B5-9C04-DAC7B294C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7929</Words>
  <Characters>43613</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Martinez Fernandez</dc:creator>
  <cp:keywords/>
  <dc:description/>
  <cp:lastModifiedBy>Eduardo Martinez Fernandez</cp:lastModifiedBy>
  <cp:revision>2</cp:revision>
  <dcterms:created xsi:type="dcterms:W3CDTF">2023-06-26T12:18:00Z</dcterms:created>
  <dcterms:modified xsi:type="dcterms:W3CDTF">2023-06-26T12:18:00Z</dcterms:modified>
</cp:coreProperties>
</file>