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b/>
        </w:rPr>
      </w:pPr>
      <w:r>
        <w:rPr>
          <w:b/>
        </w:rPr>
        <w:t>Versión en español</w:t>
      </w:r>
    </w:p>
    <w:p>
      <w:pPr>
        <w:ind w:left="2832" w:hanging="2832"/>
        <w:rPr>
          <w:b/>
        </w:rPr>
      </w:pPr>
      <w:r>
        <w:t xml:space="preserve">Título de la comunicación: </w:t>
      </w:r>
      <w:r>
        <w:tab/>
      </w:r>
      <w:r>
        <w:rPr>
          <w:b/>
          <w:lang w:val="es-ES"/>
        </w:rPr>
        <w:t xml:space="preserve">El reto de crear e implantar una política lingüística inclusiva </w:t>
      </w:r>
    </w:p>
    <w:p>
      <w:pPr>
        <w:ind w:left="2832" w:hanging="2832"/>
      </w:pPr>
      <w:r>
        <w:t xml:space="preserve">Palabras clave (max. 5): </w:t>
      </w:r>
      <w:r>
        <w:tab/>
      </w:r>
      <w:r>
        <w:t>política lingüística, internacionalidad, acreditación, nivel de egreso/ingreso, diversidad</w:t>
      </w:r>
    </w:p>
    <w:p>
      <w:r>
        <w:t xml:space="preserve">Lengua de presentación: </w:t>
      </w:r>
      <w:r>
        <w:tab/>
      </w:r>
      <w:r>
        <w:t xml:space="preserve">español </w:t>
      </w:r>
    </w:p>
    <w:p>
      <w:pPr>
        <w:jc w:val="both"/>
        <w:rPr>
          <w:lang w:val="es-ES"/>
        </w:rPr>
      </w:pPr>
      <w:r>
        <w:t xml:space="preserve">El objetivo de una política lingüística (PL) es promover a los  estudiantes y toda la comunidad universitaria a participar activamente en la vida universitaria y desarrollar todo su potencial a nivel personal, académico y personal, sin barreras lingüísticas. No obstante, a pesar de su gran valor estratégico, </w:t>
      </w:r>
      <w:r>
        <w:rPr>
          <w:lang w:val="es-ES"/>
        </w:rPr>
        <w:t>la</w:t>
      </w:r>
      <w:r>
        <w:t xml:space="preserve"> implantación </w:t>
      </w:r>
      <w:r>
        <w:rPr>
          <w:lang w:val="es-ES"/>
        </w:rPr>
        <w:t xml:space="preserve">de una PL </w:t>
      </w:r>
      <w:r>
        <w:t>es un gran reto</w:t>
      </w:r>
      <w:r>
        <w:rPr>
          <w:lang w:val="es-ES"/>
        </w:rPr>
        <w:t xml:space="preserve">, ya que requiere </w:t>
      </w:r>
      <w:r>
        <w:t xml:space="preserve">involucrar a </w:t>
      </w:r>
      <w:r>
        <w:rPr>
          <w:lang w:val="es-ES"/>
        </w:rPr>
        <w:t>toda la comunidad universitaria, incluyendo el</w:t>
      </w:r>
      <w:r>
        <w:t xml:space="preserve"> personal administrativo, docentes, </w:t>
      </w:r>
      <w:r>
        <w:rPr>
          <w:lang w:val="es-ES"/>
        </w:rPr>
        <w:t xml:space="preserve"> y </w:t>
      </w:r>
      <w:r>
        <w:t>estudiantes</w:t>
      </w:r>
      <w:r>
        <w:rPr>
          <w:lang w:val="es-ES"/>
        </w:rPr>
        <w:t>.</w:t>
      </w:r>
    </w:p>
    <w:p>
      <w:pPr>
        <w:jc w:val="both"/>
        <w:rPr>
          <w:highlight w:val="none"/>
          <w:lang w:val="es-ES"/>
        </w:rPr>
      </w:pPr>
      <w:r>
        <w:rPr>
          <w:highlight w:val="none"/>
          <w:lang w:val="es-ES"/>
        </w:rPr>
        <w:t xml:space="preserve">Por ello, es de suma importancia que el proceso de creación y actualización de la política lingüistica sea un proceso </w:t>
      </w:r>
      <w:r>
        <w:rPr>
          <w:i/>
          <w:iCs/>
          <w:highlight w:val="none"/>
          <w:lang w:val="es-ES"/>
        </w:rPr>
        <w:t>bottom-up</w:t>
      </w:r>
      <w:r>
        <w:rPr>
          <w:highlight w:val="none"/>
          <w:lang w:val="es-ES"/>
        </w:rPr>
        <w:t xml:space="preserve"> y no </w:t>
      </w:r>
      <w:r>
        <w:rPr>
          <w:i/>
          <w:iCs/>
          <w:highlight w:val="none"/>
          <w:lang w:val="es-ES"/>
        </w:rPr>
        <w:t>top-down</w:t>
      </w:r>
      <w:r>
        <w:rPr>
          <w:highlight w:val="none"/>
          <w:lang w:val="es-ES"/>
        </w:rPr>
        <w:t>, en el que el asesoramiento por un consultor externo puede proporcionar una perspectiva alternativa.</w:t>
      </w:r>
    </w:p>
    <w:p>
      <w:pPr>
        <w:jc w:val="both"/>
      </w:pPr>
      <w:r>
        <w:t>En esta comunicación</w:t>
      </w:r>
      <w:r>
        <w:rPr>
          <w:lang w:val="es-ES"/>
        </w:rPr>
        <w:t xml:space="preserve">, basada en un caso concreto, </w:t>
      </w:r>
      <w:r>
        <w:t xml:space="preserve">se presentarán los objetivos, procesos, retos y soluciones encontrados a la hora de diseñar una </w:t>
      </w:r>
      <w:r>
        <w:rPr>
          <w:lang w:val="es-ES"/>
        </w:rPr>
        <w:t xml:space="preserve">PL </w:t>
      </w:r>
      <w:r>
        <w:t>coherente conforme a las tres líneas de actuación definidas por la CRUE: acreditación, formación, incentivación,</w:t>
      </w:r>
      <w:r>
        <w:rPr>
          <w:lang w:val="es-ES"/>
        </w:rPr>
        <w:t xml:space="preserve"> haciendo hincapie en el valor añadido de un</w:t>
      </w:r>
      <w:r>
        <w:t xml:space="preserve"> asesoramiento </w:t>
      </w:r>
      <w:r>
        <w:rPr>
          <w:lang w:val="es-ES"/>
        </w:rPr>
        <w:t xml:space="preserve">externo, concretamente </w:t>
      </w:r>
      <w:r>
        <w:t xml:space="preserve">de </w:t>
      </w:r>
      <w:r>
        <w:rPr>
          <w:i/>
        </w:rPr>
        <w:t>Cambridge English</w:t>
      </w:r>
      <w:r>
        <w:rPr>
          <w:i/>
          <w:lang w:val="es-ES"/>
        </w:rPr>
        <w:t xml:space="preserve">, </w:t>
      </w:r>
      <w:r>
        <w:rPr>
          <w:i w:val="0"/>
          <w:iCs/>
          <w:lang w:val="es-ES"/>
        </w:rPr>
        <w:t>para objetivizar y estandarizar el proceso.</w:t>
      </w:r>
    </w:p>
    <w:p>
      <w:pPr>
        <w:jc w:val="both"/>
      </w:pPr>
      <w:r>
        <w:t>Al final de la comunicación, los asistentes se habrán familiarizado con el marco teórico, un ejemplo de un plan de implementación y unas recomendacio</w:t>
      </w:r>
      <w:bookmarkStart w:id="0" w:name="_GoBack"/>
      <w:bookmarkEnd w:id="0"/>
      <w:r>
        <w:t>nes de buenas prácticas para el desarrollo de una PL en una institución de educación superior.</w:t>
      </w:r>
    </w:p>
    <w:p>
      <w:pPr>
        <w:rPr>
          <w:b/>
        </w:rPr>
      </w:pPr>
      <w:r>
        <w:rPr>
          <w:b/>
        </w:rPr>
        <w:br w:type="page"/>
      </w:r>
    </w:p>
    <w:p>
      <w:pPr>
        <w:jc w:val="both"/>
        <w:rPr>
          <w:b/>
          <w:lang w:val="en-US"/>
        </w:rPr>
      </w:pPr>
    </w:p>
    <w:p>
      <w:pPr>
        <w:jc w:val="both"/>
        <w:rPr>
          <w:b/>
          <w:lang w:val="en-US"/>
        </w:rPr>
      </w:pPr>
    </w:p>
    <w:p>
      <w:pPr>
        <w:jc w:val="both"/>
        <w:rPr>
          <w:b/>
          <w:lang w:val="en-US"/>
        </w:rPr>
      </w:pPr>
    </w:p>
    <w:p>
      <w:pPr>
        <w:jc w:val="both"/>
        <w:rPr>
          <w:b/>
        </w:rPr>
      </w:pPr>
      <w:r>
        <w:rPr>
          <w:b/>
        </w:rPr>
        <w:t>Bibliografia consultada / References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es-ES"/>
        </w:rPr>
        <w:t xml:space="preserve">Bruen, J. (2005). </w:t>
      </w:r>
      <w:r>
        <w:rPr>
          <w:rFonts w:ascii="Verdana" w:hAnsi="Verdana"/>
          <w:sz w:val="18"/>
          <w:szCs w:val="18"/>
        </w:rPr>
        <w:t>Educating Europeans? Language Planning and Policy in Higher Education Institutions in Ireland.</w:t>
      </w:r>
      <w:r>
        <w:rPr>
          <w:rFonts w:ascii="Verdana" w:hAnsi="Verdana"/>
          <w:i/>
          <w:iCs/>
          <w:sz w:val="18"/>
          <w:szCs w:val="18"/>
        </w:rPr>
        <w:t xml:space="preserve"> Language &amp; Intercultural Communication, 5</w:t>
      </w:r>
      <w:r>
        <w:rPr>
          <w:rFonts w:ascii="Verdana" w:hAnsi="Verdana"/>
          <w:sz w:val="18"/>
          <w:szCs w:val="18"/>
        </w:rPr>
        <w:t xml:space="preserve">(3), 237-247. Retrieved from </w:t>
      </w:r>
      <w:r>
        <w:fldChar w:fldCharType="begin"/>
      </w:r>
      <w:r>
        <w:instrText xml:space="preserve"> HYPERLINK "http://search.ebscohost.com/login.aspx?direct=true&amp;db=aph&amp;AN=20537665&amp;lang=es&amp;site=ehost-live" \t "_blank" </w:instrText>
      </w:r>
      <w:r>
        <w:fldChar w:fldCharType="separate"/>
      </w:r>
      <w:r>
        <w:rPr>
          <w:rStyle w:val="5"/>
          <w:rFonts w:ascii="Verdana" w:hAnsi="Verdana"/>
          <w:sz w:val="18"/>
          <w:szCs w:val="18"/>
        </w:rPr>
        <w:t>http://search.ebscohost.com/login.aspx?direct=true&amp;db=aph&amp;AN=20537665&amp;lang=es&amp;site=ehost-live</w:t>
      </w:r>
      <w:r>
        <w:rPr>
          <w:rStyle w:val="5"/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Byram, M. (2008). Developing Language Education Policy in Europe — And searching for theory.</w:t>
      </w:r>
      <w:r>
        <w:rPr>
          <w:rFonts w:ascii="Verdana" w:hAnsi="Verdana"/>
          <w:i/>
          <w:iCs/>
          <w:sz w:val="18"/>
          <w:szCs w:val="18"/>
        </w:rPr>
        <w:t xml:space="preserve"> Language &amp; Computers, 64</w:t>
      </w:r>
      <w:r>
        <w:rPr>
          <w:rFonts w:ascii="Verdana" w:hAnsi="Verdana"/>
          <w:sz w:val="18"/>
          <w:szCs w:val="18"/>
        </w:rPr>
        <w:t xml:space="preserve">(1), 85-97. Retrieved from </w:t>
      </w:r>
      <w:r>
        <w:fldChar w:fldCharType="begin"/>
      </w:r>
      <w:r>
        <w:instrText xml:space="preserve"> HYPERLINK "http://search.ebscohost.com/login.aspx?direct=true&amp;db=aph&amp;AN=31127746&amp;lang=es&amp;site=ehost-live" \t "_blank" </w:instrText>
      </w:r>
      <w:r>
        <w:fldChar w:fldCharType="separate"/>
      </w:r>
      <w:r>
        <w:rPr>
          <w:rStyle w:val="5"/>
          <w:rFonts w:ascii="Verdana" w:hAnsi="Verdana"/>
          <w:sz w:val="18"/>
          <w:szCs w:val="18"/>
        </w:rPr>
        <w:t>http://search.ebscohost.com/login.aspx?direct=true&amp;db=aph&amp;AN=31127746&amp;lang=es&amp;site=ehost-live</w:t>
      </w:r>
      <w:r>
        <w:rPr>
          <w:rStyle w:val="5"/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Cambridge, E. (2015). </w:t>
      </w:r>
      <w:r>
        <w:rPr>
          <w:rFonts w:ascii="Verdana" w:hAnsi="Verdana"/>
          <w:i/>
          <w:sz w:val="18"/>
          <w:szCs w:val="18"/>
        </w:rPr>
        <w:t>Cambridge English Language Policy Framework.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iCs/>
          <w:sz w:val="18"/>
          <w:szCs w:val="18"/>
        </w:rPr>
        <w:t>No Publicado</w:t>
      </w:r>
      <w:r>
        <w:rPr>
          <w:rFonts w:ascii="Verdana" w:hAnsi="Verdana"/>
          <w:i/>
          <w:iCs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Commission of the European Communities (2008). </w:t>
      </w:r>
      <w:r>
        <w:rPr>
          <w:rFonts w:ascii="Verdana" w:hAnsi="Verdana"/>
          <w:i/>
          <w:iCs/>
          <w:sz w:val="18"/>
          <w:szCs w:val="18"/>
        </w:rPr>
        <w:t>Multilingualism: An Asset for Europe and a Shared Commitment</w:t>
      </w:r>
      <w:r>
        <w:rPr>
          <w:rFonts w:ascii="Verdana" w:hAnsi="Verdana"/>
          <w:sz w:val="18"/>
          <w:szCs w:val="18"/>
        </w:rPr>
        <w:t xml:space="preserve">.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Coonan, C. M. (2007). Insider Views of the CLIL Class through Teacher Self-observation--introspection.</w:t>
      </w:r>
      <w:r>
        <w:rPr>
          <w:rFonts w:ascii="Verdana" w:hAnsi="Verdana"/>
          <w:i/>
          <w:iCs/>
          <w:sz w:val="18"/>
          <w:szCs w:val="18"/>
        </w:rPr>
        <w:t xml:space="preserve"> International Journal of Bilingual Education &amp; Bilingualism, 10</w:t>
      </w:r>
      <w:r>
        <w:rPr>
          <w:rFonts w:ascii="Verdana" w:hAnsi="Verdana"/>
          <w:sz w:val="18"/>
          <w:szCs w:val="18"/>
        </w:rPr>
        <w:t xml:space="preserve">(5), 625-646. doi:10.2167/beb463.0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Dearden, J. (2015) </w:t>
      </w:r>
      <w:r>
        <w:rPr>
          <w:rFonts w:ascii="Verdana" w:hAnsi="Verdana"/>
          <w:i/>
          <w:iCs/>
          <w:sz w:val="18"/>
          <w:szCs w:val="18"/>
        </w:rPr>
        <w:t xml:space="preserve">English as a medium of instruction – a growing global phenomenon. </w:t>
      </w:r>
      <w:r>
        <w:rPr>
          <w:rFonts w:ascii="Verdana" w:hAnsi="Verdana"/>
          <w:iCs/>
          <w:sz w:val="18"/>
          <w:szCs w:val="18"/>
        </w:rPr>
        <w:t xml:space="preserve">Retrieved from </w:t>
      </w:r>
      <w:r>
        <w:fldChar w:fldCharType="begin"/>
      </w:r>
      <w:r>
        <w:instrText xml:space="preserve"> HYPERLINK "https://www.britishcouncil.org/education/ihe/knowledge-centre/english-language-higher-education/report-english-medium-instruction" </w:instrText>
      </w:r>
      <w:r>
        <w:fldChar w:fldCharType="separate"/>
      </w:r>
      <w:r>
        <w:rPr>
          <w:rStyle w:val="5"/>
          <w:rFonts w:ascii="Verdana" w:hAnsi="Verdana"/>
          <w:iCs/>
          <w:sz w:val="18"/>
          <w:szCs w:val="18"/>
        </w:rPr>
        <w:t>https://www.britishcouncil.org/education/ihe/knowledge-centre/english-language-higher-education/report-english-medium-instruction</w:t>
      </w:r>
      <w:r>
        <w:rPr>
          <w:rStyle w:val="5"/>
          <w:rFonts w:ascii="Verdana" w:hAnsi="Verdana"/>
          <w:iCs/>
          <w:sz w:val="18"/>
          <w:szCs w:val="18"/>
        </w:rPr>
        <w:fldChar w:fldCharType="end"/>
      </w:r>
      <w:r>
        <w:rPr>
          <w:rFonts w:ascii="Verdana" w:hAnsi="Verdana"/>
          <w:iCs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Halbach, A. and Lázaro, A. (2015). </w:t>
      </w:r>
      <w:r>
        <w:rPr>
          <w:rFonts w:ascii="Verdana" w:hAnsi="Verdana"/>
          <w:sz w:val="18"/>
          <w:szCs w:val="18"/>
        </w:rPr>
        <w:br w:type="textWrapping"/>
      </w:r>
      <w:r>
        <w:rPr>
          <w:rFonts w:ascii="Verdana" w:hAnsi="Verdana"/>
          <w:sz w:val="18"/>
          <w:szCs w:val="18"/>
          <w:lang w:val="es-ES"/>
        </w:rPr>
        <w:t xml:space="preserve">La acreditación del nivel de lengua inglesa en las universidades españolas. </w:t>
      </w:r>
      <w:r>
        <w:rPr>
          <w:rFonts w:ascii="Verdana" w:hAnsi="Verdana"/>
          <w:sz w:val="18"/>
          <w:szCs w:val="18"/>
        </w:rPr>
        <w:t xml:space="preserve">Retrieved from: </w:t>
      </w:r>
      <w:r>
        <w:fldChar w:fldCharType="begin"/>
      </w:r>
      <w:r>
        <w:instrText xml:space="preserve"> HYPERLINK "https://www.britishcouncil.es/sites/default/files/british-council-la-acreditacion-del-nivel-de-lengua-inglesa.pdf" </w:instrText>
      </w:r>
      <w:r>
        <w:fldChar w:fldCharType="separate"/>
      </w:r>
      <w:r>
        <w:rPr>
          <w:rStyle w:val="5"/>
          <w:rFonts w:ascii="Verdana" w:hAnsi="Verdana"/>
          <w:sz w:val="18"/>
          <w:szCs w:val="18"/>
        </w:rPr>
        <w:t>https://www.britishcouncil.es/sites/default/files/british-council-la-acreditacion-del-nivel-de-lengua-inglesa.pdf</w:t>
      </w:r>
      <w:r>
        <w:rPr>
          <w:rStyle w:val="5"/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Jenkins, J. (2014). </w:t>
      </w:r>
      <w:r>
        <w:rPr>
          <w:rFonts w:ascii="Verdana" w:hAnsi="Verdana"/>
          <w:i/>
          <w:iCs/>
          <w:sz w:val="18"/>
          <w:szCs w:val="18"/>
        </w:rPr>
        <w:t>English as a Lingua Franca in the International University: The politics of academic English language policy.</w:t>
      </w:r>
      <w:r>
        <w:rPr>
          <w:rFonts w:ascii="Verdana" w:hAnsi="Verdana"/>
          <w:sz w:val="18"/>
          <w:szCs w:val="18"/>
        </w:rPr>
        <w:t xml:space="preserve"> London and New York: Routledge.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  <w:lang w:val="es-ES"/>
        </w:rPr>
      </w:pPr>
      <w:r>
        <w:rPr>
          <w:rFonts w:ascii="Verdana" w:hAnsi="Verdana"/>
          <w:sz w:val="18"/>
          <w:szCs w:val="18"/>
        </w:rPr>
        <w:t xml:space="preserve">Jones, E. and S. Brown. </w:t>
      </w:r>
      <w:r>
        <w:rPr>
          <w:rFonts w:ascii="Verdana" w:hAnsi="Verdana"/>
          <w:sz w:val="18"/>
          <w:szCs w:val="18"/>
          <w:lang w:val="es-ES"/>
        </w:rPr>
        <w:t xml:space="preserve">(2014). </w:t>
      </w:r>
      <w:r>
        <w:rPr>
          <w:rFonts w:ascii="Verdana" w:hAnsi="Verdana"/>
          <w:i/>
          <w:iCs/>
          <w:sz w:val="18"/>
          <w:szCs w:val="18"/>
          <w:lang w:val="es-ES"/>
        </w:rPr>
        <w:t>La internacionalización de la educación superior: Perspectivas institucionales, organizativas y éticas.</w:t>
      </w:r>
      <w:r>
        <w:rPr>
          <w:rFonts w:ascii="Verdana" w:hAnsi="Verdana"/>
          <w:sz w:val="18"/>
          <w:szCs w:val="18"/>
          <w:lang w:val="es-ES"/>
        </w:rPr>
        <w:t xml:space="preserve"> Madrid: Narcea, S.A. de Ediciones.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Kuteeva, M., &amp; Airey, J. (2014). Disciplinary Differences in the Use of English in Higher Education: Reflections on recent language policy developments.</w:t>
      </w:r>
      <w:r>
        <w:rPr>
          <w:rFonts w:ascii="Verdana" w:hAnsi="Verdana"/>
          <w:i/>
          <w:iCs/>
          <w:sz w:val="18"/>
          <w:szCs w:val="18"/>
        </w:rPr>
        <w:t xml:space="preserve"> Higher Education, 67</w:t>
      </w:r>
      <w:r>
        <w:rPr>
          <w:rFonts w:ascii="Verdana" w:hAnsi="Verdana"/>
          <w:sz w:val="18"/>
          <w:szCs w:val="18"/>
        </w:rPr>
        <w:t xml:space="preserve">(5), 533-549. doi:10.1007/s10734-013-9660-6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  <w:lang w:val="es-ES"/>
        </w:rPr>
      </w:pPr>
      <w:r>
        <w:rPr>
          <w:rFonts w:ascii="Verdana" w:hAnsi="Verdana"/>
          <w:sz w:val="18"/>
          <w:szCs w:val="18"/>
        </w:rPr>
        <w:t xml:space="preserve">Marsh, D., Mehisto, P., Wolff, D., &amp; Frigols Martín, M. J. (2012). </w:t>
      </w:r>
      <w:r>
        <w:rPr>
          <w:rFonts w:ascii="Verdana" w:hAnsi="Verdana"/>
          <w:i/>
          <w:sz w:val="18"/>
          <w:szCs w:val="18"/>
          <w:lang w:val="es-ES"/>
        </w:rPr>
        <w:t>European Framework for CLIL Teacher Education</w:t>
      </w:r>
      <w:r>
        <w:rPr>
          <w:rFonts w:ascii="Verdana" w:hAnsi="Verdana"/>
          <w:sz w:val="18"/>
          <w:szCs w:val="18"/>
          <w:lang w:val="es-ES"/>
        </w:rPr>
        <w:t>.</w:t>
      </w:r>
      <w:r>
        <w:rPr>
          <w:rFonts w:ascii="Verdana" w:hAnsi="Verdana"/>
          <w:i/>
          <w:iCs/>
          <w:sz w:val="18"/>
          <w:szCs w:val="18"/>
          <w:lang w:val="es-ES"/>
        </w:rPr>
        <w:t xml:space="preserve"> </w:t>
      </w:r>
      <w:r>
        <w:rPr>
          <w:rFonts w:ascii="Verdana" w:hAnsi="Verdana"/>
          <w:iCs/>
          <w:sz w:val="18"/>
          <w:szCs w:val="18"/>
          <w:lang w:val="es-ES"/>
        </w:rPr>
        <w:t>Servicio De Publicaciones De La Universidad De Alcalá.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es-ES"/>
        </w:rPr>
        <w:t xml:space="preserve">Ministerio de Educación, Ciencias y Deporte. </w:t>
      </w:r>
      <w:r>
        <w:rPr>
          <w:rFonts w:ascii="Verdana" w:hAnsi="Verdana"/>
          <w:i/>
          <w:iCs/>
          <w:sz w:val="18"/>
          <w:szCs w:val="18"/>
          <w:lang w:val="es-ES"/>
        </w:rPr>
        <w:t>Estrategia para la internacionalización de las universidades españolas 2015 – 2020</w:t>
      </w:r>
      <w:r>
        <w:rPr>
          <w:rFonts w:ascii="Verdana" w:hAnsi="Verdana"/>
          <w:sz w:val="18"/>
          <w:szCs w:val="18"/>
          <w:lang w:val="es-ES"/>
        </w:rPr>
        <w:t xml:space="preserve">. </w:t>
      </w:r>
      <w:r>
        <w:rPr>
          <w:rFonts w:ascii="Verdana" w:hAnsi="Verdana"/>
          <w:sz w:val="18"/>
          <w:szCs w:val="18"/>
        </w:rPr>
        <w:t xml:space="preserve">Retrieved from: </w:t>
      </w:r>
      <w:r>
        <w:fldChar w:fldCharType="begin"/>
      </w:r>
      <w:r>
        <w:instrText xml:space="preserve"> HYPERLINK "http://www.mecd.gob.es/educacion-mecd/dms/mecd/educacion-mecd/areas-educacion/universidades/politica-internacional/estrategia-internacionalizacion/EstrategiaInternacionalizaci-n-Final.pdf" </w:instrText>
      </w:r>
      <w:r>
        <w:fldChar w:fldCharType="separate"/>
      </w:r>
      <w:r>
        <w:rPr>
          <w:rStyle w:val="5"/>
          <w:rFonts w:ascii="Verdana" w:hAnsi="Verdana"/>
          <w:sz w:val="18"/>
          <w:szCs w:val="18"/>
        </w:rPr>
        <w:t>http://www.mecd.gob.es/educacion-mecd/dms/mecd/educacion-mecd/areas-educacion/universidades/politica-internacional/estrategia-internacionalizacion/EstrategiaInternacionalizaci-n-Final.pdf</w:t>
      </w:r>
      <w:r>
        <w:rPr>
          <w:rStyle w:val="5"/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</w:t>
      </w:r>
    </w:p>
    <w:p>
      <w:pPr>
        <w:pStyle w:val="3"/>
        <w:spacing w:line="480" w:lineRule="auto"/>
        <w:ind w:left="450" w:hanging="45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Murray, N., &amp; Hicks, M. (2016). An Institutional Approach to English Language Proficiency.</w:t>
      </w:r>
      <w:r>
        <w:rPr>
          <w:rFonts w:ascii="Verdana" w:hAnsi="Verdana"/>
          <w:i/>
          <w:iCs/>
          <w:sz w:val="18"/>
          <w:szCs w:val="18"/>
        </w:rPr>
        <w:t xml:space="preserve"> Journal of further &amp; Higher Education, 40</w:t>
      </w:r>
      <w:r>
        <w:rPr>
          <w:rFonts w:ascii="Verdana" w:hAnsi="Verdana"/>
          <w:sz w:val="18"/>
          <w:szCs w:val="18"/>
        </w:rPr>
        <w:t xml:space="preserve">(2), 170-187. doi:10.1080/0309877X.2014.938261 OECD (2014). </w:t>
      </w:r>
      <w:r>
        <w:rPr>
          <w:rFonts w:ascii="Verdana" w:hAnsi="Verdana"/>
          <w:i/>
          <w:iCs/>
          <w:sz w:val="18"/>
          <w:szCs w:val="18"/>
        </w:rPr>
        <w:t>Education at a glance 2014</w:t>
      </w:r>
      <w:r>
        <w:rPr>
          <w:rFonts w:ascii="Verdana" w:hAnsi="Verdana"/>
          <w:sz w:val="18"/>
          <w:szCs w:val="18"/>
        </w:rPr>
        <w:t xml:space="preserve">. Retrieved from </w:t>
      </w:r>
      <w:r>
        <w:fldChar w:fldCharType="begin"/>
      </w:r>
      <w:r>
        <w:instrText xml:space="preserve"> HYPERLINK "http://www.oecd.org/edu/EAG2014-Indicator%20C4%20(eng).pdf" </w:instrText>
      </w:r>
      <w:r>
        <w:fldChar w:fldCharType="separate"/>
      </w:r>
      <w:r>
        <w:rPr>
          <w:rStyle w:val="5"/>
          <w:rFonts w:ascii="Verdana" w:hAnsi="Verdana"/>
          <w:sz w:val="18"/>
          <w:szCs w:val="18"/>
        </w:rPr>
        <w:t>http://www.oecd.org/edu/EAG2014-Indicator%20C4%20(eng).pdf</w:t>
      </w:r>
      <w:r>
        <w:rPr>
          <w:rStyle w:val="5"/>
          <w:rFonts w:ascii="Verdana" w:hAnsi="Verdana"/>
          <w:sz w:val="18"/>
          <w:szCs w:val="18"/>
        </w:rPr>
        <w:fldChar w:fldCharType="end"/>
      </w:r>
      <w:r>
        <w:rPr>
          <w:rFonts w:ascii="Verdana" w:hAnsi="Verdana"/>
          <w:sz w:val="18"/>
          <w:szCs w:val="18"/>
        </w:rPr>
        <w:t xml:space="preserve"> </w:t>
      </w:r>
    </w:p>
    <w:p>
      <w:pPr>
        <w:jc w:val="both"/>
        <w:rPr>
          <w:b/>
          <w:lang w:val="en-US"/>
        </w:rPr>
      </w:pPr>
      <w:r>
        <w:rPr>
          <w:b/>
          <w:lang w:val="en-US"/>
        </w:rPr>
        <w:t>ANEXO</w:t>
      </w:r>
    </w:p>
    <w:p>
      <w:pPr>
        <w:jc w:val="both"/>
      </w:pPr>
      <w:r>
        <w:rPr>
          <w:lang w:eastAsia="es-ES"/>
        </w:rPr>
        <w:drawing>
          <wp:inline distT="0" distB="0" distL="0" distR="0">
            <wp:extent cx="4036695" cy="3027680"/>
            <wp:effectExtent l="0" t="0" r="1905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6933" cy="3095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r>
        <w:t>INFORMACIÓN ADICIONAL</w:t>
      </w:r>
    </w:p>
    <w:p>
      <w:r>
        <w:t>•</w:t>
      </w:r>
      <w:r>
        <w:tab/>
      </w:r>
      <w:r>
        <w:t>Tiempo de presentación de las comunicaciones: 20 minutos seguidos de 10 minutos para preguntas/debate.</w:t>
      </w:r>
    </w:p>
    <w:p>
      <w:r>
        <w:t>•</w:t>
      </w:r>
      <w:r>
        <w:tab/>
      </w:r>
      <w:r>
        <w:t>Aunque el español y el inglés son las lenguas oficiales del congreso, se podrán presentar las comunicaciones en otra lengua siempre que el soporte audiovisual y/o escrito esté en inglés o español. No se dispondrá de servicio de interpretación.</w:t>
      </w:r>
    </w:p>
    <w:p>
      <w:r>
        <w:t>•</w:t>
      </w:r>
      <w:r>
        <w:tab/>
      </w:r>
      <w:r>
        <w:t>El autor/a de la comunicación (o al menos uno de los autores/as en el caso de una comunicación conjunta) deberá estar inscrito/a en el congreso y haber efectuado el pago íntegro de la cuota de inscripción para poder presentar la comunicación.</w:t>
      </w:r>
    </w:p>
    <w:p>
      <w:r>
        <w:t>•</w:t>
      </w:r>
      <w:r>
        <w:tab/>
      </w:r>
      <w:r>
        <w:t>Es nuestra intención publicar una selección de comunicaciones del congreso revisadas por pares en un volumen que será sometido a la consideración de editoriales internacionales.</w:t>
      </w:r>
    </w:p>
    <w:p>
      <w:r>
        <w:t>Cualquier consulta sobre el congreso deberá ser dirigida a ACLES10@uvigo.es</w:t>
      </w:r>
    </w:p>
    <w:p/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31"/>
    <w:rsid w:val="0000645D"/>
    <w:rsid w:val="001447C1"/>
    <w:rsid w:val="00255C85"/>
    <w:rsid w:val="002C449A"/>
    <w:rsid w:val="002E6A3B"/>
    <w:rsid w:val="003444CC"/>
    <w:rsid w:val="003D6D6A"/>
    <w:rsid w:val="003F373E"/>
    <w:rsid w:val="0042375F"/>
    <w:rsid w:val="00475694"/>
    <w:rsid w:val="00522F61"/>
    <w:rsid w:val="006845CC"/>
    <w:rsid w:val="006A6077"/>
    <w:rsid w:val="00725674"/>
    <w:rsid w:val="007B711A"/>
    <w:rsid w:val="007D4431"/>
    <w:rsid w:val="00890611"/>
    <w:rsid w:val="008F1702"/>
    <w:rsid w:val="0096672D"/>
    <w:rsid w:val="00972755"/>
    <w:rsid w:val="00981E10"/>
    <w:rsid w:val="009A1420"/>
    <w:rsid w:val="00A017DA"/>
    <w:rsid w:val="00A03E13"/>
    <w:rsid w:val="00A539D7"/>
    <w:rsid w:val="00AA3276"/>
    <w:rsid w:val="00BE0DB7"/>
    <w:rsid w:val="00CB2A25"/>
    <w:rsid w:val="00D5661B"/>
    <w:rsid w:val="00D72D61"/>
    <w:rsid w:val="00E616D4"/>
    <w:rsid w:val="00E71D8F"/>
    <w:rsid w:val="00EC2F2B"/>
    <w:rsid w:val="00EF3A06"/>
    <w:rsid w:val="00F540CD"/>
    <w:rsid w:val="0FC03594"/>
    <w:rsid w:val="21EF0F92"/>
    <w:rsid w:val="303E69C7"/>
    <w:rsid w:val="5282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5">
    <w:name w:val="Hyperlink"/>
    <w:basedOn w:val="4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Texto de globo Car"/>
    <w:basedOn w:val="4"/>
    <w:link w:val="2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UNIVERSIDAD EUROPEA</Company>
  <Pages>5</Pages>
  <Words>1359</Words>
  <Characters>7479</Characters>
  <Lines>62</Lines>
  <Paragraphs>17</Paragraphs>
  <ScaleCrop>false</ScaleCrop>
  <LinksUpToDate>false</LinksUpToDate>
  <CharactersWithSpaces>8821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2017-02-24T09:01:00Z</dcterms:created>
  <dc:creator>BIRGIT STROTMANN</dc:creator>
  <cp:lastModifiedBy>usuario</cp:lastModifiedBy>
  <dcterms:modified xsi:type="dcterms:W3CDTF">2018-03-23T08:33:33Z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3082-10.2.0.5965</vt:lpwstr>
  </property>
</Properties>
</file>