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5874" w:rsidRPr="00E55874" w:rsidRDefault="00E55874" w:rsidP="00E55874">
      <w:pPr>
        <w:spacing w:line="240" w:lineRule="auto"/>
        <w:jc w:val="right"/>
        <w:textAlignment w:val="baseline"/>
        <w:rPr>
          <w:rFonts w:ascii="inherit" w:eastAsia="Times New Roman" w:hAnsi="inherit" w:cs="Arial"/>
          <w:i/>
          <w:iCs/>
          <w:color w:val="FFFFFF"/>
          <w:sz w:val="18"/>
          <w:szCs w:val="18"/>
          <w:lang w:eastAsia="es-ES"/>
        </w:rPr>
      </w:pPr>
      <w:r w:rsidRPr="00E55874">
        <w:rPr>
          <w:rFonts w:ascii="inherit" w:eastAsia="Times New Roman" w:hAnsi="inherit" w:cs="Arial"/>
          <w:i/>
          <w:iCs/>
          <w:color w:val="FFFFFF"/>
          <w:sz w:val="18"/>
          <w:szCs w:val="18"/>
          <w:lang w:eastAsia="es-ES"/>
        </w:rPr>
        <w:fldChar w:fldCharType="begin"/>
      </w:r>
      <w:r w:rsidRPr="00E55874">
        <w:rPr>
          <w:rFonts w:ascii="inherit" w:eastAsia="Times New Roman" w:hAnsi="inherit" w:cs="Arial"/>
          <w:i/>
          <w:iCs/>
          <w:color w:val="FFFFFF"/>
          <w:sz w:val="18"/>
          <w:szCs w:val="18"/>
          <w:lang w:eastAsia="es-ES"/>
        </w:rPr>
        <w:instrText xml:space="preserve"> HYPERLINK "https://www.edesclee.com/" \o "Volver a Inicio" </w:instrText>
      </w:r>
      <w:r w:rsidRPr="00E55874">
        <w:rPr>
          <w:rFonts w:ascii="inherit" w:eastAsia="Times New Roman" w:hAnsi="inherit" w:cs="Arial"/>
          <w:i/>
          <w:iCs/>
          <w:color w:val="FFFFFF"/>
          <w:sz w:val="18"/>
          <w:szCs w:val="18"/>
          <w:lang w:eastAsia="es-ES"/>
        </w:rPr>
        <w:fldChar w:fldCharType="separate"/>
      </w:r>
      <w:r w:rsidRPr="00E55874">
        <w:rPr>
          <w:rFonts w:ascii="inherit" w:eastAsia="Times New Roman" w:hAnsi="inherit" w:cs="Arial"/>
          <w:i/>
          <w:iCs/>
          <w:color w:val="FFFFFF"/>
          <w:sz w:val="18"/>
          <w:szCs w:val="18"/>
          <w:bdr w:val="none" w:sz="0" w:space="0" w:color="auto" w:frame="1"/>
          <w:lang w:eastAsia="es-ES"/>
        </w:rPr>
        <w:t>Home</w:t>
      </w:r>
      <w:r w:rsidRPr="00E55874">
        <w:rPr>
          <w:rFonts w:ascii="inherit" w:eastAsia="Times New Roman" w:hAnsi="inherit" w:cs="Arial"/>
          <w:i/>
          <w:iCs/>
          <w:color w:val="FFFFFF"/>
          <w:sz w:val="18"/>
          <w:szCs w:val="18"/>
          <w:lang w:eastAsia="es-ES"/>
        </w:rPr>
        <w:fldChar w:fldCharType="end"/>
      </w:r>
      <w:r w:rsidRPr="00E55874">
        <w:rPr>
          <w:rFonts w:ascii="inherit" w:eastAsia="Times New Roman" w:hAnsi="inherit" w:cs="Arial"/>
          <w:i/>
          <w:iCs/>
          <w:color w:val="FFFFFF"/>
          <w:sz w:val="18"/>
          <w:szCs w:val="18"/>
          <w:lang w:eastAsia="es-ES"/>
        </w:rPr>
        <w:t> </w:t>
      </w:r>
      <w:r w:rsidRPr="00E55874">
        <w:rPr>
          <w:rFonts w:ascii="inherit" w:eastAsia="Times New Roman" w:hAnsi="inherit" w:cs="Arial"/>
          <w:i/>
          <w:iCs/>
          <w:color w:val="FFFFFF"/>
          <w:sz w:val="18"/>
          <w:szCs w:val="18"/>
          <w:bdr w:val="none" w:sz="0" w:space="0" w:color="auto" w:frame="1"/>
          <w:lang w:eastAsia="es-ES"/>
        </w:rPr>
        <w:t>&gt;</w:t>
      </w:r>
      <w:r w:rsidRPr="00E55874">
        <w:rPr>
          <w:rFonts w:ascii="inherit" w:eastAsia="Times New Roman" w:hAnsi="inherit" w:cs="Arial"/>
          <w:i/>
          <w:iCs/>
          <w:color w:val="FFFFFF"/>
          <w:sz w:val="18"/>
          <w:szCs w:val="18"/>
          <w:lang w:eastAsia="es-ES"/>
        </w:rPr>
        <w:t> </w:t>
      </w:r>
      <w:hyperlink r:id="rId4" w:tooltip="Temáticas" w:history="1">
        <w:r w:rsidRPr="00E55874">
          <w:rPr>
            <w:rFonts w:ascii="inherit" w:eastAsia="Times New Roman" w:hAnsi="inherit" w:cs="Arial"/>
            <w:i/>
            <w:iCs/>
            <w:color w:val="FFFFFF"/>
            <w:sz w:val="18"/>
            <w:szCs w:val="18"/>
            <w:bdr w:val="none" w:sz="0" w:space="0" w:color="auto" w:frame="1"/>
            <w:lang w:eastAsia="es-ES"/>
          </w:rPr>
          <w:t>Temáticas</w:t>
        </w:r>
      </w:hyperlink>
      <w:r w:rsidRPr="00E55874">
        <w:rPr>
          <w:rFonts w:ascii="inherit" w:eastAsia="Times New Roman" w:hAnsi="inherit" w:cs="Arial"/>
          <w:i/>
          <w:iCs/>
          <w:color w:val="FFFFFF"/>
          <w:sz w:val="18"/>
          <w:szCs w:val="18"/>
          <w:bdr w:val="none" w:sz="0" w:space="0" w:color="auto" w:frame="1"/>
          <w:lang w:eastAsia="es-ES"/>
        </w:rPr>
        <w:t>&gt;</w:t>
      </w:r>
      <w:hyperlink r:id="rId5" w:tooltip="Teología" w:history="1">
        <w:r w:rsidRPr="00E55874">
          <w:rPr>
            <w:rFonts w:ascii="inherit" w:eastAsia="Times New Roman" w:hAnsi="inherit" w:cs="Arial"/>
            <w:i/>
            <w:iCs/>
            <w:color w:val="FFFFFF"/>
            <w:sz w:val="18"/>
            <w:szCs w:val="18"/>
            <w:bdr w:val="none" w:sz="0" w:space="0" w:color="auto" w:frame="1"/>
            <w:lang w:eastAsia="es-ES"/>
          </w:rPr>
          <w:t>Teología</w:t>
        </w:r>
      </w:hyperlink>
      <w:r w:rsidRPr="00E55874">
        <w:rPr>
          <w:rFonts w:ascii="inherit" w:eastAsia="Times New Roman" w:hAnsi="inherit" w:cs="Arial"/>
          <w:i/>
          <w:iCs/>
          <w:color w:val="FFFFFF"/>
          <w:sz w:val="18"/>
          <w:szCs w:val="18"/>
          <w:bdr w:val="none" w:sz="0" w:space="0" w:color="auto" w:frame="1"/>
          <w:lang w:eastAsia="es-ES"/>
        </w:rPr>
        <w:t>&gt;</w:t>
      </w:r>
    </w:p>
    <w:p w:rsidR="00E55874" w:rsidRPr="00E55874" w:rsidRDefault="00E55874" w:rsidP="00E55874">
      <w:pPr>
        <w:shd w:val="clear" w:color="auto" w:fill="FFFFFF"/>
        <w:spacing w:after="0" w:line="240" w:lineRule="auto"/>
        <w:jc w:val="center"/>
        <w:textAlignment w:val="baseline"/>
        <w:rPr>
          <w:rFonts w:ascii="inherit" w:eastAsia="Times New Roman" w:hAnsi="inherit" w:cs="Arial"/>
          <w:color w:val="333333"/>
          <w:sz w:val="21"/>
          <w:szCs w:val="21"/>
          <w:lang w:eastAsia="es-ES"/>
        </w:rPr>
      </w:pPr>
      <w:r w:rsidRPr="00E55874">
        <w:rPr>
          <w:rFonts w:ascii="inherit" w:eastAsia="Times New Roman" w:hAnsi="inherit" w:cs="Arial"/>
          <w:noProof/>
          <w:color w:val="333333"/>
          <w:sz w:val="21"/>
          <w:szCs w:val="21"/>
          <w:bdr w:val="none" w:sz="0" w:space="0" w:color="auto" w:frame="1"/>
          <w:lang w:eastAsia="es-ES"/>
        </w:rPr>
        <w:drawing>
          <wp:inline distT="0" distB="0" distL="0" distR="0">
            <wp:extent cx="3430270" cy="4799330"/>
            <wp:effectExtent l="0" t="0" r="0" b="1270"/>
            <wp:docPr id="1" name="Imagen 1" descr="Un espacio para la ternu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gpic" descr="Un espacio para la ternur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270" cy="479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874" w:rsidRPr="00E55874" w:rsidRDefault="00E55874" w:rsidP="00E5587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333333"/>
          <w:sz w:val="21"/>
          <w:szCs w:val="21"/>
          <w:lang w:eastAsia="es-ES"/>
        </w:rPr>
      </w:pPr>
      <w:hyperlink r:id="rId7" w:history="1">
        <w:proofErr w:type="spellStart"/>
        <w:r w:rsidRPr="00E55874">
          <w:rPr>
            <w:rFonts w:ascii="inherit" w:eastAsia="Times New Roman" w:hAnsi="inherit" w:cs="Arial"/>
            <w:color w:val="000000"/>
            <w:sz w:val="21"/>
            <w:szCs w:val="21"/>
            <w:bdr w:val="none" w:sz="0" w:space="0" w:color="auto" w:frame="1"/>
            <w:lang w:eastAsia="es-ES"/>
          </w:rPr>
          <w:t>Nurya</w:t>
        </w:r>
        <w:proofErr w:type="spellEnd"/>
        <w:r w:rsidRPr="00E55874">
          <w:rPr>
            <w:rFonts w:ascii="inherit" w:eastAsia="Times New Roman" w:hAnsi="inherit" w:cs="Arial"/>
            <w:color w:val="000000"/>
            <w:sz w:val="21"/>
            <w:szCs w:val="21"/>
            <w:bdr w:val="none" w:sz="0" w:space="0" w:color="auto" w:frame="1"/>
            <w:lang w:eastAsia="es-ES"/>
          </w:rPr>
          <w:t xml:space="preserve"> Martínez-</w:t>
        </w:r>
        <w:proofErr w:type="spellStart"/>
        <w:r w:rsidRPr="00E55874">
          <w:rPr>
            <w:rFonts w:ascii="inherit" w:eastAsia="Times New Roman" w:hAnsi="inherit" w:cs="Arial"/>
            <w:color w:val="000000"/>
            <w:sz w:val="21"/>
            <w:szCs w:val="21"/>
            <w:bdr w:val="none" w:sz="0" w:space="0" w:color="auto" w:frame="1"/>
            <w:lang w:eastAsia="es-ES"/>
          </w:rPr>
          <w:t>Gayol</w:t>
        </w:r>
        <w:proofErr w:type="spellEnd"/>
        <w:r w:rsidRPr="00E55874">
          <w:rPr>
            <w:rFonts w:ascii="inherit" w:eastAsia="Times New Roman" w:hAnsi="inherit" w:cs="Arial"/>
            <w:color w:val="000000"/>
            <w:sz w:val="21"/>
            <w:szCs w:val="21"/>
            <w:bdr w:val="none" w:sz="0" w:space="0" w:color="auto" w:frame="1"/>
            <w:lang w:eastAsia="es-ES"/>
          </w:rPr>
          <w:t xml:space="preserve"> (Ed.)</w:t>
        </w:r>
      </w:hyperlink>
    </w:p>
    <w:p w:rsidR="00E55874" w:rsidRPr="00E55874" w:rsidRDefault="00E55874" w:rsidP="00E55874">
      <w:pPr>
        <w:shd w:val="clear" w:color="auto" w:fill="FFFFFF"/>
        <w:spacing w:after="225" w:line="240" w:lineRule="auto"/>
        <w:textAlignment w:val="baseline"/>
        <w:outlineLvl w:val="0"/>
        <w:rPr>
          <w:rFonts w:ascii="Arial" w:eastAsia="Times New Roman" w:hAnsi="Arial" w:cs="Arial"/>
          <w:color w:val="000000"/>
          <w:kern w:val="36"/>
          <w:sz w:val="45"/>
          <w:szCs w:val="45"/>
          <w:lang w:eastAsia="es-ES"/>
        </w:rPr>
      </w:pPr>
      <w:r w:rsidRPr="00E55874">
        <w:rPr>
          <w:rFonts w:ascii="Arial" w:eastAsia="Times New Roman" w:hAnsi="Arial" w:cs="Arial"/>
          <w:color w:val="000000"/>
          <w:kern w:val="36"/>
          <w:sz w:val="45"/>
          <w:szCs w:val="45"/>
          <w:lang w:eastAsia="es-ES"/>
        </w:rPr>
        <w:t>Un espacio para la ternura</w:t>
      </w:r>
    </w:p>
    <w:p w:rsidR="00E55874" w:rsidRPr="00E55874" w:rsidRDefault="00E55874" w:rsidP="00E55874">
      <w:pPr>
        <w:shd w:val="clear" w:color="auto" w:fill="FFFFFF"/>
        <w:spacing w:line="240" w:lineRule="auto"/>
        <w:textAlignment w:val="baseline"/>
        <w:rPr>
          <w:rFonts w:ascii="inherit" w:eastAsia="Times New Roman" w:hAnsi="inherit" w:cs="Arial"/>
          <w:color w:val="333333"/>
          <w:sz w:val="27"/>
          <w:szCs w:val="27"/>
          <w:lang w:eastAsia="es-ES"/>
        </w:rPr>
      </w:pPr>
      <w:r w:rsidRPr="00E55874">
        <w:rPr>
          <w:rFonts w:ascii="inherit" w:eastAsia="Times New Roman" w:hAnsi="inherit" w:cs="Arial"/>
          <w:color w:val="333333"/>
          <w:sz w:val="27"/>
          <w:szCs w:val="27"/>
          <w:lang w:eastAsia="es-ES"/>
        </w:rPr>
        <w:t>Miradas desde la teología</w:t>
      </w:r>
    </w:p>
    <w:tbl>
      <w:tblPr>
        <w:tblW w:w="112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0"/>
        <w:gridCol w:w="7880"/>
      </w:tblGrid>
      <w:tr w:rsidR="00E55874" w:rsidRPr="00E55874" w:rsidTr="00E55874"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55874" w:rsidRPr="00E55874" w:rsidRDefault="00E55874" w:rsidP="00E55874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333333"/>
                <w:sz w:val="21"/>
                <w:szCs w:val="21"/>
                <w:lang w:eastAsia="es-ES"/>
              </w:rPr>
            </w:pPr>
            <w:r w:rsidRPr="00E55874">
              <w:rPr>
                <w:rFonts w:ascii="inherit" w:eastAsia="Times New Roman" w:hAnsi="inherit" w:cs="Times New Roman"/>
                <w:b/>
                <w:bCs/>
                <w:color w:val="333333"/>
                <w:sz w:val="21"/>
                <w:szCs w:val="21"/>
                <w:lang w:eastAsia="es-ES"/>
              </w:rPr>
              <w:t>Colección: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55874" w:rsidRPr="00E55874" w:rsidRDefault="00E55874" w:rsidP="00E55874">
            <w:pPr>
              <w:spacing w:after="0" w:line="240" w:lineRule="auto"/>
              <w:rPr>
                <w:rFonts w:ascii="inherit" w:eastAsia="Times New Roman" w:hAnsi="inherit" w:cs="Times New Roman"/>
                <w:sz w:val="21"/>
                <w:szCs w:val="21"/>
                <w:lang w:eastAsia="es-ES"/>
              </w:rPr>
            </w:pPr>
            <w:hyperlink r:id="rId8" w:history="1">
              <w:r w:rsidRPr="00E55874">
                <w:rPr>
                  <w:rFonts w:ascii="inherit" w:eastAsia="Times New Roman" w:hAnsi="inherit" w:cs="Times New Roman"/>
                  <w:color w:val="000000"/>
                  <w:sz w:val="21"/>
                  <w:szCs w:val="21"/>
                  <w:bdr w:val="none" w:sz="0" w:space="0" w:color="auto" w:frame="1"/>
                  <w:lang w:eastAsia="es-ES"/>
                </w:rPr>
                <w:t>Biblioteca de teología Comillas</w:t>
              </w:r>
            </w:hyperlink>
          </w:p>
        </w:tc>
      </w:tr>
    </w:tbl>
    <w:p w:rsidR="00E55874" w:rsidRPr="00E55874" w:rsidRDefault="00E55874" w:rsidP="00E5587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vanish/>
          <w:color w:val="333333"/>
          <w:sz w:val="21"/>
          <w:szCs w:val="21"/>
          <w:lang w:eastAsia="es-ES"/>
        </w:rPr>
      </w:pPr>
    </w:p>
    <w:tbl>
      <w:tblPr>
        <w:tblW w:w="112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0"/>
        <w:gridCol w:w="7880"/>
      </w:tblGrid>
      <w:tr w:rsidR="00E55874" w:rsidRPr="00E55874" w:rsidTr="00E55874"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55874" w:rsidRPr="00E55874" w:rsidRDefault="00E55874" w:rsidP="00E55874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333333"/>
                <w:sz w:val="21"/>
                <w:szCs w:val="21"/>
                <w:lang w:eastAsia="es-ES"/>
              </w:rPr>
            </w:pPr>
            <w:r w:rsidRPr="00E55874">
              <w:rPr>
                <w:rFonts w:ascii="inherit" w:eastAsia="Times New Roman" w:hAnsi="inherit" w:cs="Times New Roman"/>
                <w:b/>
                <w:bCs/>
                <w:color w:val="333333"/>
                <w:sz w:val="21"/>
                <w:szCs w:val="21"/>
                <w:lang w:eastAsia="es-ES"/>
              </w:rPr>
              <w:t>ISBN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55874" w:rsidRPr="00E55874" w:rsidRDefault="00E55874" w:rsidP="00E55874">
            <w:pPr>
              <w:spacing w:after="0" w:line="240" w:lineRule="auto"/>
              <w:rPr>
                <w:rFonts w:ascii="inherit" w:eastAsia="Times New Roman" w:hAnsi="inherit" w:cs="Times New Roman"/>
                <w:sz w:val="21"/>
                <w:szCs w:val="21"/>
                <w:lang w:eastAsia="es-ES"/>
              </w:rPr>
            </w:pPr>
            <w:r w:rsidRPr="00E55874">
              <w:rPr>
                <w:rFonts w:ascii="inherit" w:eastAsia="Times New Roman" w:hAnsi="inherit" w:cs="Times New Roman"/>
                <w:sz w:val="21"/>
                <w:szCs w:val="21"/>
                <w:bdr w:val="none" w:sz="0" w:space="0" w:color="auto" w:frame="1"/>
                <w:lang w:eastAsia="es-ES"/>
              </w:rPr>
              <w:t>9788433020512</w:t>
            </w:r>
          </w:p>
        </w:tc>
      </w:tr>
    </w:tbl>
    <w:p w:rsidR="00E55874" w:rsidRPr="00E55874" w:rsidRDefault="00E55874" w:rsidP="00E55874">
      <w:pPr>
        <w:shd w:val="clear" w:color="auto" w:fill="FFFFFF"/>
        <w:spacing w:line="240" w:lineRule="auto"/>
        <w:textAlignment w:val="baseline"/>
        <w:rPr>
          <w:rFonts w:ascii="inherit" w:eastAsia="Times New Roman" w:hAnsi="inherit" w:cs="Arial"/>
          <w:vanish/>
          <w:color w:val="333333"/>
          <w:sz w:val="21"/>
          <w:szCs w:val="21"/>
          <w:lang w:eastAsia="es-ES"/>
        </w:rPr>
      </w:pPr>
    </w:p>
    <w:tbl>
      <w:tblPr>
        <w:tblW w:w="112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0"/>
        <w:gridCol w:w="7880"/>
      </w:tblGrid>
      <w:tr w:rsidR="00E55874" w:rsidRPr="00E55874" w:rsidTr="00E55874"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55874" w:rsidRPr="00E55874" w:rsidRDefault="00E55874" w:rsidP="00E55874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333333"/>
                <w:sz w:val="21"/>
                <w:szCs w:val="21"/>
                <w:lang w:eastAsia="es-ES"/>
              </w:rPr>
            </w:pPr>
            <w:r w:rsidRPr="00E55874">
              <w:rPr>
                <w:rFonts w:ascii="inherit" w:eastAsia="Times New Roman" w:hAnsi="inherit" w:cs="Times New Roman"/>
                <w:b/>
                <w:bCs/>
                <w:color w:val="333333"/>
                <w:sz w:val="21"/>
                <w:szCs w:val="21"/>
                <w:lang w:eastAsia="es-ES"/>
              </w:rPr>
              <w:t>Páginas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55874" w:rsidRPr="00E55874" w:rsidRDefault="00E55874" w:rsidP="00E55874">
            <w:pPr>
              <w:spacing w:after="0" w:line="240" w:lineRule="auto"/>
              <w:rPr>
                <w:rFonts w:ascii="inherit" w:eastAsia="Times New Roman" w:hAnsi="inherit" w:cs="Times New Roman"/>
                <w:sz w:val="21"/>
                <w:szCs w:val="21"/>
                <w:lang w:eastAsia="es-ES"/>
              </w:rPr>
            </w:pPr>
            <w:r w:rsidRPr="00E55874">
              <w:rPr>
                <w:rFonts w:ascii="inherit" w:eastAsia="Times New Roman" w:hAnsi="inherit" w:cs="Times New Roman"/>
                <w:sz w:val="21"/>
                <w:szCs w:val="21"/>
                <w:lang w:eastAsia="es-ES"/>
              </w:rPr>
              <w:t>316</w:t>
            </w:r>
          </w:p>
        </w:tc>
      </w:tr>
      <w:tr w:rsidR="00E55874" w:rsidRPr="00E55874" w:rsidTr="00E55874"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55874" w:rsidRPr="00E55874" w:rsidRDefault="00E55874" w:rsidP="00E55874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333333"/>
                <w:sz w:val="21"/>
                <w:szCs w:val="21"/>
                <w:lang w:eastAsia="es-ES"/>
              </w:rPr>
            </w:pPr>
            <w:r w:rsidRPr="00E55874">
              <w:rPr>
                <w:rFonts w:ascii="inherit" w:eastAsia="Times New Roman" w:hAnsi="inherit" w:cs="Times New Roman"/>
                <w:b/>
                <w:bCs/>
                <w:color w:val="333333"/>
                <w:sz w:val="21"/>
                <w:szCs w:val="21"/>
                <w:lang w:eastAsia="es-ES"/>
              </w:rPr>
              <w:t>Encuadernación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55874" w:rsidRPr="00E55874" w:rsidRDefault="00E55874" w:rsidP="00E55874">
            <w:pPr>
              <w:spacing w:after="0" w:line="240" w:lineRule="auto"/>
              <w:rPr>
                <w:rFonts w:ascii="inherit" w:eastAsia="Times New Roman" w:hAnsi="inherit" w:cs="Times New Roman"/>
                <w:sz w:val="21"/>
                <w:szCs w:val="21"/>
                <w:lang w:eastAsia="es-ES"/>
              </w:rPr>
            </w:pPr>
            <w:r w:rsidRPr="00E55874">
              <w:rPr>
                <w:rFonts w:ascii="inherit" w:eastAsia="Times New Roman" w:hAnsi="inherit" w:cs="Times New Roman"/>
                <w:sz w:val="21"/>
                <w:szCs w:val="21"/>
                <w:lang w:eastAsia="es-ES"/>
              </w:rPr>
              <w:t>Rústica con solapas</w:t>
            </w:r>
          </w:p>
        </w:tc>
      </w:tr>
      <w:tr w:rsidR="00E55874" w:rsidRPr="00E55874" w:rsidTr="00E55874"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55874" w:rsidRPr="00E55874" w:rsidRDefault="00E55874" w:rsidP="00E55874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333333"/>
                <w:sz w:val="21"/>
                <w:szCs w:val="21"/>
                <w:lang w:eastAsia="es-ES"/>
              </w:rPr>
            </w:pPr>
            <w:r w:rsidRPr="00E55874">
              <w:rPr>
                <w:rFonts w:ascii="inherit" w:eastAsia="Times New Roman" w:hAnsi="inherit" w:cs="Times New Roman"/>
                <w:b/>
                <w:bCs/>
                <w:color w:val="333333"/>
                <w:sz w:val="21"/>
                <w:szCs w:val="21"/>
                <w:lang w:eastAsia="es-ES"/>
              </w:rPr>
              <w:t>Formato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55874" w:rsidRPr="00E55874" w:rsidRDefault="00E55874" w:rsidP="00E55874">
            <w:pPr>
              <w:spacing w:after="0" w:line="240" w:lineRule="auto"/>
              <w:rPr>
                <w:rFonts w:ascii="inherit" w:eastAsia="Times New Roman" w:hAnsi="inherit" w:cs="Times New Roman"/>
                <w:sz w:val="21"/>
                <w:szCs w:val="21"/>
                <w:lang w:eastAsia="es-ES"/>
              </w:rPr>
            </w:pPr>
            <w:r w:rsidRPr="00E55874">
              <w:rPr>
                <w:rFonts w:ascii="inherit" w:eastAsia="Times New Roman" w:hAnsi="inherit" w:cs="Times New Roman"/>
                <w:sz w:val="21"/>
                <w:szCs w:val="21"/>
                <w:lang w:eastAsia="es-ES"/>
              </w:rPr>
              <w:t>15 x 21</w:t>
            </w:r>
          </w:p>
        </w:tc>
      </w:tr>
      <w:tr w:rsidR="00E55874" w:rsidRPr="00E55874" w:rsidTr="00E55874"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55874" w:rsidRPr="00E55874" w:rsidRDefault="00E55874" w:rsidP="00E55874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333333"/>
                <w:sz w:val="21"/>
                <w:szCs w:val="21"/>
                <w:lang w:eastAsia="es-ES"/>
              </w:rPr>
            </w:pPr>
            <w:r w:rsidRPr="00E55874">
              <w:rPr>
                <w:rFonts w:ascii="inherit" w:eastAsia="Times New Roman" w:hAnsi="inherit" w:cs="Times New Roman"/>
                <w:b/>
                <w:bCs/>
                <w:color w:val="333333"/>
                <w:sz w:val="21"/>
                <w:szCs w:val="21"/>
                <w:lang w:eastAsia="es-ES"/>
              </w:rPr>
              <w:t>Edición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55874" w:rsidRPr="00E55874" w:rsidRDefault="00E55874" w:rsidP="00E55874">
            <w:pPr>
              <w:spacing w:after="0" w:line="240" w:lineRule="auto"/>
              <w:rPr>
                <w:rFonts w:ascii="inherit" w:eastAsia="Times New Roman" w:hAnsi="inherit" w:cs="Times New Roman"/>
                <w:sz w:val="21"/>
                <w:szCs w:val="21"/>
                <w:lang w:eastAsia="es-ES"/>
              </w:rPr>
            </w:pPr>
            <w:r w:rsidRPr="00E55874">
              <w:rPr>
                <w:rFonts w:ascii="inherit" w:eastAsia="Times New Roman" w:hAnsi="inherit" w:cs="Times New Roman"/>
                <w:sz w:val="21"/>
                <w:szCs w:val="21"/>
                <w:lang w:eastAsia="es-ES"/>
              </w:rPr>
              <w:t>1ª</w:t>
            </w:r>
          </w:p>
        </w:tc>
      </w:tr>
    </w:tbl>
    <w:p w:rsidR="004A663B" w:rsidRDefault="004A663B">
      <w:bookmarkStart w:id="0" w:name="_GoBack"/>
      <w:bookmarkEnd w:id="0"/>
    </w:p>
    <w:sectPr w:rsidR="004A663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874"/>
    <w:rsid w:val="004A663B"/>
    <w:rsid w:val="00E55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C94A7C-6ECD-4408-B2F5-18D528428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E558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55874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E55874"/>
    <w:rPr>
      <w:color w:val="0000FF"/>
      <w:u w:val="single"/>
    </w:rPr>
  </w:style>
  <w:style w:type="character" w:customStyle="1" w:styleId="navigation-pipe">
    <w:name w:val="navigation-pipe"/>
    <w:basedOn w:val="Fuentedeprrafopredeter"/>
    <w:rsid w:val="00E55874"/>
  </w:style>
  <w:style w:type="paragraph" w:styleId="NormalWeb">
    <w:name w:val="Normal (Web)"/>
    <w:basedOn w:val="Normal"/>
    <w:uiPriority w:val="99"/>
    <w:semiHidden/>
    <w:unhideWhenUsed/>
    <w:rsid w:val="00E558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ditable">
    <w:name w:val="editable"/>
    <w:basedOn w:val="Fuentedeprrafopredeter"/>
    <w:rsid w:val="00E558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33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399352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26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77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0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48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695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9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745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45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5920405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1593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2226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8889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0545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48258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esclee.com/colecciones/biblioteca-de-teologia-comilla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desclee.com/autor/nurya-martinez-gayol-e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edesclee.com/tematicas/teologia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edesclee.com/tematica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519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R.R.</dc:creator>
  <cp:keywords/>
  <dc:description/>
  <cp:lastModifiedBy> </cp:lastModifiedBy>
  <cp:revision>1</cp:revision>
  <dcterms:created xsi:type="dcterms:W3CDTF">2020-01-13T20:44:00Z</dcterms:created>
  <dcterms:modified xsi:type="dcterms:W3CDTF">2020-01-13T20:45:00Z</dcterms:modified>
</cp:coreProperties>
</file>