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4973" w:rsidRPr="002A4973" w:rsidRDefault="002A4973" w:rsidP="002A4973">
      <w:pPr>
        <w:jc w:val="center"/>
        <w:rPr>
          <w:sz w:val="44"/>
          <w:szCs w:val="44"/>
          <w:lang w:val="es-ES"/>
        </w:rPr>
      </w:pPr>
      <w:r>
        <w:rPr>
          <w:noProof/>
          <w:sz w:val="44"/>
          <w:szCs w:val="44"/>
          <w:lang w:val="es-ES" w:eastAsia="es-ES"/>
        </w:rPr>
        <w:drawing>
          <wp:anchor distT="0" distB="0" distL="114300" distR="114300" simplePos="0" relativeHeight="251664384" behindDoc="0" locked="0" layoutInCell="1" allowOverlap="1" wp14:anchorId="18EC256F" wp14:editId="3664CB4C">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9">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2A4973">
        <w:rPr>
          <w:sz w:val="44"/>
          <w:szCs w:val="44"/>
          <w:lang w:val="es-ES"/>
        </w:rPr>
        <w:t>FACULTAD DE CIENCIAS HUMANAS Y SOCIALES</w:t>
      </w:r>
    </w:p>
    <w:p w:rsidR="002A4973" w:rsidRPr="002A4973" w:rsidRDefault="002A4973" w:rsidP="002A4973">
      <w:pPr>
        <w:jc w:val="center"/>
        <w:rPr>
          <w:sz w:val="48"/>
          <w:szCs w:val="48"/>
          <w:lang w:val="es-ES"/>
        </w:rPr>
      </w:pPr>
    </w:p>
    <w:p w:rsidR="002A4973" w:rsidRPr="002A4973" w:rsidRDefault="002A4973" w:rsidP="002A4973">
      <w:pPr>
        <w:jc w:val="center"/>
        <w:rPr>
          <w:b/>
          <w:sz w:val="36"/>
          <w:szCs w:val="36"/>
          <w:lang w:val="es-ES"/>
        </w:rPr>
      </w:pPr>
      <w:r>
        <w:rPr>
          <w:b/>
          <w:sz w:val="36"/>
          <w:szCs w:val="36"/>
          <w:lang w:val="es-ES"/>
        </w:rPr>
        <w:t>La psicopatía en las mujeres</w:t>
      </w:r>
    </w:p>
    <w:p w:rsidR="002A4973" w:rsidRPr="002A4973" w:rsidRDefault="002A4973" w:rsidP="002A4973">
      <w:pPr>
        <w:jc w:val="center"/>
        <w:rPr>
          <w:b/>
          <w:sz w:val="40"/>
          <w:szCs w:val="40"/>
          <w:lang w:val="es-ES"/>
        </w:rPr>
      </w:pPr>
    </w:p>
    <w:p w:rsidR="002A4973" w:rsidRDefault="002A4973" w:rsidP="002A4973">
      <w:pPr>
        <w:jc w:val="center"/>
        <w:rPr>
          <w:sz w:val="36"/>
          <w:szCs w:val="36"/>
          <w:lang w:val="es-ES"/>
        </w:rPr>
      </w:pPr>
      <w:r w:rsidRPr="002A4973">
        <w:rPr>
          <w:sz w:val="36"/>
          <w:szCs w:val="36"/>
          <w:lang w:val="es-ES"/>
        </w:rPr>
        <w:t xml:space="preserve">Autor/a: </w:t>
      </w:r>
      <w:r>
        <w:rPr>
          <w:sz w:val="36"/>
          <w:szCs w:val="36"/>
          <w:lang w:val="es-ES"/>
        </w:rPr>
        <w:t>Rocío Reglero Lara</w:t>
      </w:r>
    </w:p>
    <w:p w:rsidR="002A4973" w:rsidRDefault="002A4973" w:rsidP="002A4973">
      <w:pPr>
        <w:jc w:val="center"/>
        <w:rPr>
          <w:sz w:val="36"/>
          <w:szCs w:val="36"/>
          <w:lang w:val="es-ES"/>
        </w:rPr>
      </w:pPr>
      <w:r w:rsidRPr="002A4973">
        <w:rPr>
          <w:sz w:val="36"/>
          <w:szCs w:val="36"/>
          <w:lang w:val="es-ES"/>
        </w:rPr>
        <w:t xml:space="preserve">Director/a: </w:t>
      </w:r>
      <w:r>
        <w:rPr>
          <w:sz w:val="36"/>
          <w:szCs w:val="36"/>
          <w:lang w:val="es-ES"/>
        </w:rPr>
        <w:t xml:space="preserve">Lucía Halty </w:t>
      </w:r>
      <w:proofErr w:type="spellStart"/>
      <w:r>
        <w:rPr>
          <w:sz w:val="36"/>
          <w:szCs w:val="36"/>
          <w:lang w:val="es-ES"/>
        </w:rPr>
        <w:t>Barrutia</w:t>
      </w:r>
      <w:proofErr w:type="spellEnd"/>
    </w:p>
    <w:p w:rsidR="002A4973" w:rsidRPr="002A4973" w:rsidRDefault="002A4973" w:rsidP="002A4973">
      <w:pPr>
        <w:jc w:val="center"/>
        <w:rPr>
          <w:sz w:val="36"/>
          <w:szCs w:val="36"/>
          <w:lang w:val="es-ES"/>
        </w:rPr>
      </w:pPr>
      <w:r>
        <w:rPr>
          <w:sz w:val="36"/>
          <w:szCs w:val="36"/>
          <w:lang w:val="es-ES"/>
        </w:rPr>
        <w:t>5º Doble Grado de Psicología y Criminología</w:t>
      </w:r>
    </w:p>
    <w:p w:rsidR="002A4973" w:rsidRDefault="002A4973" w:rsidP="002A4973">
      <w:pPr>
        <w:jc w:val="center"/>
        <w:rPr>
          <w:sz w:val="36"/>
          <w:szCs w:val="36"/>
          <w:lang w:val="es-ES"/>
        </w:rPr>
      </w:pPr>
    </w:p>
    <w:p w:rsidR="005F70F9" w:rsidRDefault="005F70F9" w:rsidP="002A4973">
      <w:pPr>
        <w:jc w:val="center"/>
        <w:rPr>
          <w:sz w:val="36"/>
          <w:szCs w:val="36"/>
          <w:lang w:val="es-ES"/>
        </w:rPr>
      </w:pPr>
    </w:p>
    <w:p w:rsidR="005F70F9" w:rsidRPr="002A4973" w:rsidRDefault="005F70F9" w:rsidP="002A4973">
      <w:pPr>
        <w:jc w:val="center"/>
        <w:rPr>
          <w:sz w:val="36"/>
          <w:szCs w:val="36"/>
          <w:lang w:val="es-ES"/>
        </w:rPr>
      </w:pPr>
    </w:p>
    <w:p w:rsidR="002A4973" w:rsidRPr="002A4973" w:rsidRDefault="002A4973" w:rsidP="002A4973">
      <w:pPr>
        <w:jc w:val="center"/>
        <w:rPr>
          <w:sz w:val="36"/>
          <w:szCs w:val="36"/>
          <w:lang w:val="es-ES"/>
        </w:rPr>
      </w:pPr>
    </w:p>
    <w:p w:rsidR="002A4973" w:rsidRPr="002A4973" w:rsidRDefault="002A4973" w:rsidP="002A4973">
      <w:pPr>
        <w:jc w:val="center"/>
        <w:rPr>
          <w:sz w:val="36"/>
          <w:szCs w:val="36"/>
          <w:lang w:val="es-ES"/>
        </w:rPr>
      </w:pPr>
      <w:r w:rsidRPr="002A4973">
        <w:rPr>
          <w:sz w:val="36"/>
          <w:szCs w:val="36"/>
          <w:lang w:val="es-ES"/>
        </w:rPr>
        <w:t>Madrid</w:t>
      </w:r>
    </w:p>
    <w:p w:rsidR="002A4973" w:rsidRPr="002A4973" w:rsidRDefault="002A4973" w:rsidP="002A4973">
      <w:pPr>
        <w:jc w:val="center"/>
        <w:rPr>
          <w:sz w:val="36"/>
          <w:szCs w:val="36"/>
          <w:lang w:val="es-ES"/>
        </w:rPr>
      </w:pPr>
      <w:r w:rsidRPr="002A4973">
        <w:rPr>
          <w:sz w:val="36"/>
          <w:szCs w:val="36"/>
          <w:lang w:val="es-ES"/>
        </w:rPr>
        <w:t>2019/2020</w:t>
      </w:r>
    </w:p>
    <w:p w:rsidR="002A4973" w:rsidRPr="002A4973" w:rsidRDefault="002A4973" w:rsidP="002A4973">
      <w:pPr>
        <w:jc w:val="center"/>
        <w:rPr>
          <w:b/>
          <w:sz w:val="28"/>
          <w:szCs w:val="28"/>
          <w:lang w:val="es-ES"/>
        </w:rPr>
      </w:pPr>
    </w:p>
    <w:p w:rsidR="002A4973" w:rsidRPr="002A4973" w:rsidRDefault="002A4973" w:rsidP="002A4973">
      <w:pPr>
        <w:rPr>
          <w:b/>
          <w:sz w:val="28"/>
          <w:szCs w:val="28"/>
          <w:lang w:val="es-ES"/>
        </w:rPr>
      </w:pPr>
    </w:p>
    <w:p w:rsidR="002A4973" w:rsidRDefault="002A4973" w:rsidP="00FE15D7">
      <w:pPr>
        <w:pStyle w:val="Cuerpo"/>
        <w:spacing w:line="360" w:lineRule="auto"/>
        <w:jc w:val="center"/>
        <w:rPr>
          <w:rFonts w:ascii="Times New Roman" w:hAnsi="Times New Roman" w:cs="Times New Roman"/>
          <w:b/>
          <w:bCs/>
          <w:sz w:val="28"/>
          <w:szCs w:val="28"/>
          <w:u w:val="single"/>
        </w:rPr>
      </w:pPr>
    </w:p>
    <w:p w:rsidR="00090D65" w:rsidRPr="00207D3C" w:rsidRDefault="002A4973" w:rsidP="00207D3C">
      <w:pPr>
        <w:rPr>
          <w:b/>
          <w:bCs/>
          <w:color w:val="000000"/>
          <w:sz w:val="28"/>
          <w:szCs w:val="28"/>
          <w:u w:val="single"/>
          <w:lang w:val="es-ES_tradnl" w:eastAsia="es-ES_tradnl"/>
          <w14:textOutline w14:w="0" w14:cap="flat" w14:cmpd="sng" w14:algn="ctr">
            <w14:noFill/>
            <w14:prstDash w14:val="solid"/>
            <w14:bevel/>
          </w14:textOutline>
        </w:rPr>
      </w:pPr>
      <w:r w:rsidRPr="002A4973">
        <w:rPr>
          <w:b/>
          <w:bCs/>
          <w:sz w:val="28"/>
          <w:szCs w:val="28"/>
          <w:u w:val="single"/>
          <w:lang w:val="es-ES"/>
        </w:rPr>
        <w:br w:type="page"/>
      </w:r>
    </w:p>
    <w:p w:rsidR="001408A6" w:rsidRPr="00ED0D97" w:rsidRDefault="001408A6" w:rsidP="00ED0D97">
      <w:pPr>
        <w:spacing w:line="360" w:lineRule="auto"/>
        <w:jc w:val="both"/>
        <w:rPr>
          <w:b/>
          <w:bCs/>
          <w:u w:val="single"/>
          <w:lang w:val="es-ES"/>
        </w:rPr>
      </w:pPr>
      <w:r w:rsidRPr="00ED0D97">
        <w:rPr>
          <w:b/>
          <w:bCs/>
          <w:u w:val="single"/>
          <w:lang w:val="es-ES"/>
        </w:rPr>
        <w:lastRenderedPageBreak/>
        <w:t>Agradecimientos</w:t>
      </w:r>
      <w:r w:rsidR="006A62BE">
        <w:rPr>
          <w:b/>
          <w:bCs/>
          <w:u w:val="single"/>
          <w:lang w:val="es-ES"/>
        </w:rPr>
        <w:fldChar w:fldCharType="begin"/>
      </w:r>
      <w:r w:rsidR="006A62BE" w:rsidRPr="008616B1">
        <w:rPr>
          <w:lang w:val="es-ES"/>
        </w:rPr>
        <w:instrText xml:space="preserve"> XE "</w:instrText>
      </w:r>
      <w:r w:rsidR="006A62BE" w:rsidRPr="005306CF">
        <w:rPr>
          <w:b/>
          <w:bCs/>
          <w:u w:val="single"/>
          <w:lang w:val="es-ES"/>
        </w:rPr>
        <w:instrText>Agradecimientos</w:instrText>
      </w:r>
      <w:r w:rsidR="006A62BE" w:rsidRPr="008616B1">
        <w:rPr>
          <w:lang w:val="es-ES"/>
        </w:rPr>
        <w:instrText xml:space="preserve">" </w:instrText>
      </w:r>
      <w:r w:rsidR="006A62BE">
        <w:rPr>
          <w:b/>
          <w:bCs/>
          <w:u w:val="single"/>
          <w:lang w:val="es-ES"/>
        </w:rPr>
        <w:fldChar w:fldCharType="end"/>
      </w:r>
    </w:p>
    <w:p w:rsidR="00ED0D97" w:rsidRPr="00ED0D97" w:rsidRDefault="00ED0D97" w:rsidP="00ED0D97">
      <w:pPr>
        <w:spacing w:line="360" w:lineRule="auto"/>
        <w:jc w:val="both"/>
        <w:rPr>
          <w:b/>
          <w:bCs/>
          <w:u w:val="single"/>
          <w:lang w:val="es-ES"/>
        </w:rPr>
      </w:pPr>
    </w:p>
    <w:p w:rsidR="00ED0D97" w:rsidRPr="00ED0D97" w:rsidRDefault="00ED0D97" w:rsidP="00ED0D97">
      <w:pPr>
        <w:spacing w:line="360" w:lineRule="auto"/>
        <w:jc w:val="both"/>
        <w:rPr>
          <w:lang w:val="es-ES"/>
        </w:rPr>
      </w:pPr>
      <w:r w:rsidRPr="00ED0D97">
        <w:rPr>
          <w:lang w:val="es-ES"/>
        </w:rPr>
        <w:t xml:space="preserve">Me gustaría agradecer a mi tutora, Lucía Halty, la oportunidad de realizar este trabajo sobre psicopatía centrado en las mujeres, su disponibilidad a la hora de resolver dudas y sus correcciones que han guiado este proyecto hasta el final, sin ella no habría sido posible. Esta experiencia ha sido un gran aprendizaje, tanto a nivel personal como profesional. </w:t>
      </w:r>
    </w:p>
    <w:p w:rsidR="00ED0D97" w:rsidRPr="00C47223" w:rsidRDefault="00ED0D97" w:rsidP="00ED0D97">
      <w:pPr>
        <w:spacing w:line="360" w:lineRule="auto"/>
        <w:jc w:val="both"/>
        <w:rPr>
          <w:b/>
          <w:bCs/>
          <w:sz w:val="28"/>
          <w:szCs w:val="28"/>
          <w:u w:val="single"/>
          <w:lang w:val="es-ES"/>
        </w:rPr>
      </w:pPr>
      <w:r w:rsidRPr="00ED0D97">
        <w:rPr>
          <w:lang w:val="es-ES"/>
        </w:rPr>
        <w:t>Gracias a mi madre también, por su apoyo incondicional</w:t>
      </w:r>
      <w:r>
        <w:rPr>
          <w:sz w:val="28"/>
          <w:szCs w:val="28"/>
          <w:lang w:val="es-ES"/>
        </w:rPr>
        <w:t>.</w:t>
      </w:r>
      <w:r w:rsidR="001408A6" w:rsidRPr="00C47223">
        <w:rPr>
          <w:b/>
          <w:bCs/>
          <w:sz w:val="28"/>
          <w:szCs w:val="28"/>
          <w:u w:val="single"/>
          <w:lang w:val="es-ES"/>
        </w:rPr>
        <w:br w:type="page"/>
      </w:r>
    </w:p>
    <w:p w:rsidR="005F2033" w:rsidRPr="00C47223" w:rsidRDefault="005F2033">
      <w:pPr>
        <w:rPr>
          <w:b/>
          <w:bCs/>
          <w:sz w:val="28"/>
          <w:szCs w:val="28"/>
          <w:u w:val="single"/>
          <w:lang w:val="es-ES"/>
        </w:rPr>
      </w:pPr>
    </w:p>
    <w:p w:rsidR="005B604A" w:rsidRDefault="005B604A" w:rsidP="005B604A">
      <w:pPr>
        <w:jc w:val="center"/>
        <w:rPr>
          <w:b/>
          <w:bCs/>
          <w:color w:val="000000"/>
          <w:sz w:val="28"/>
          <w:szCs w:val="28"/>
          <w:u w:val="single"/>
          <w:lang w:val="es-ES_tradnl" w:eastAsia="es-ES_tradnl"/>
          <w14:textOutline w14:w="0" w14:cap="flat" w14:cmpd="sng" w14:algn="ctr">
            <w14:noFill/>
            <w14:prstDash w14:val="solid"/>
            <w14:bevel/>
          </w14:textOutline>
        </w:rPr>
      </w:pPr>
      <w:r>
        <w:rPr>
          <w:b/>
          <w:bCs/>
          <w:color w:val="000000"/>
          <w:sz w:val="28"/>
          <w:szCs w:val="28"/>
          <w:u w:val="single"/>
          <w:lang w:val="es-ES_tradnl" w:eastAsia="es-ES_tradnl"/>
          <w14:textOutline w14:w="0" w14:cap="flat" w14:cmpd="sng" w14:algn="ctr">
            <w14:noFill/>
            <w14:prstDash w14:val="solid"/>
            <w14:bevel/>
          </w14:textOutline>
        </w:rPr>
        <w:t>ÍNDICE</w:t>
      </w:r>
    </w:p>
    <w:p w:rsidR="005B604A" w:rsidRDefault="005B604A" w:rsidP="005B604A">
      <w:pPr>
        <w:jc w:val="center"/>
        <w:rPr>
          <w:b/>
          <w:bCs/>
          <w:color w:val="000000"/>
          <w:sz w:val="28"/>
          <w:szCs w:val="28"/>
          <w:u w:val="single"/>
          <w:lang w:val="es-ES_tradnl" w:eastAsia="es-ES_tradnl"/>
          <w14:textOutline w14:w="0" w14:cap="flat" w14:cmpd="sng" w14:algn="ctr">
            <w14:noFill/>
            <w14:prstDash w14:val="solid"/>
            <w14:bevel/>
          </w14:textOutline>
        </w:rPr>
      </w:pPr>
    </w:p>
    <w:p w:rsidR="005B604A" w:rsidRPr="00126BA8" w:rsidRDefault="005B604A" w:rsidP="00126BA8">
      <w:pPr>
        <w:spacing w:line="360" w:lineRule="auto"/>
        <w:jc w:val="both"/>
        <w:rPr>
          <w:bCs/>
          <w:color w:val="000000"/>
          <w:lang w:val="es-ES_tradnl" w:eastAsia="es-ES_tradnl"/>
          <w14:textOutline w14:w="0" w14:cap="flat" w14:cmpd="sng" w14:algn="ctr">
            <w14:noFill/>
            <w14:prstDash w14:val="solid"/>
            <w14:bevel/>
          </w14:textOutline>
        </w:rPr>
        <w:sectPr w:rsidR="005B604A" w:rsidRPr="00126BA8" w:rsidSect="005B604A">
          <w:headerReference w:type="default" r:id="rId10"/>
          <w:footerReference w:type="even" r:id="rId11"/>
          <w:footerReference w:type="default" r:id="rId12"/>
          <w:type w:val="continuous"/>
          <w:pgSz w:w="11906" w:h="16838"/>
          <w:pgMar w:top="1134" w:right="1134" w:bottom="1134" w:left="1134" w:header="709" w:footer="850" w:gutter="0"/>
          <w:cols w:space="720"/>
          <w:titlePg/>
          <w:docGrid w:linePitch="326"/>
        </w:sectPr>
      </w:pPr>
      <w:r w:rsidRPr="00126BA8">
        <w:rPr>
          <w:bCs/>
          <w:color w:val="000000"/>
          <w:lang w:val="es-ES_tradnl" w:eastAsia="es-ES_tradnl"/>
          <w14:textOutline w14:w="0" w14:cap="flat" w14:cmpd="sng" w14:algn="ctr">
            <w14:noFill/>
            <w14:prstDash w14:val="solid"/>
            <w14:bevel/>
          </w14:textOutline>
        </w:rPr>
        <w:fldChar w:fldCharType="begin"/>
      </w:r>
      <w:r w:rsidRPr="00126BA8">
        <w:rPr>
          <w:bCs/>
          <w:color w:val="000000"/>
          <w:lang w:val="es-ES_tradnl" w:eastAsia="es-ES_tradnl"/>
          <w14:textOutline w14:w="0" w14:cap="flat" w14:cmpd="sng" w14:algn="ctr">
            <w14:noFill/>
            <w14:prstDash w14:val="solid"/>
            <w14:bevel/>
          </w14:textOutline>
        </w:rPr>
        <w:instrText xml:space="preserve"> INDEX \e "</w:instrText>
      </w:r>
      <w:r w:rsidRPr="00126BA8">
        <w:rPr>
          <w:bCs/>
          <w:color w:val="000000"/>
          <w:lang w:val="es-ES_tradnl" w:eastAsia="es-ES_tradnl"/>
          <w14:textOutline w14:w="0" w14:cap="flat" w14:cmpd="sng" w14:algn="ctr">
            <w14:noFill/>
            <w14:prstDash w14:val="solid"/>
            <w14:bevel/>
          </w14:textOutline>
        </w:rPr>
        <w:tab/>
        <w:instrText xml:space="preserve">" \h "A" \c "1" \z "3082" </w:instrText>
      </w:r>
      <w:r w:rsidRPr="00126BA8">
        <w:rPr>
          <w:bCs/>
          <w:color w:val="000000"/>
          <w:lang w:val="es-ES_tradnl" w:eastAsia="es-ES_tradnl"/>
          <w14:textOutline w14:w="0" w14:cap="flat" w14:cmpd="sng" w14:algn="ctr">
            <w14:noFill/>
            <w14:prstDash w14:val="solid"/>
            <w14:bevel/>
          </w14:textOutline>
        </w:rPr>
        <w:fldChar w:fldCharType="separate"/>
      </w:r>
    </w:p>
    <w:p w:rsidR="005B604A" w:rsidRPr="00126BA8" w:rsidRDefault="005B604A" w:rsidP="00126BA8">
      <w:pPr>
        <w:pStyle w:val="Ttulodendice"/>
        <w:keepNext/>
        <w:tabs>
          <w:tab w:val="right" w:leader="dot" w:pos="9628"/>
        </w:tabs>
        <w:spacing w:line="360" w:lineRule="auto"/>
        <w:jc w:val="both"/>
        <w:rPr>
          <w:rFonts w:ascii="Times New Roman" w:hAnsi="Times New Roman"/>
          <w:b w:val="0"/>
          <w:i w:val="0"/>
          <w:noProof/>
          <w:sz w:val="24"/>
          <w:szCs w:val="24"/>
        </w:rPr>
      </w:pPr>
      <w:r w:rsidRPr="00126BA8">
        <w:rPr>
          <w:rFonts w:ascii="Times New Roman" w:hAnsi="Times New Roman"/>
          <w:b w:val="0"/>
          <w:i w:val="0"/>
          <w:noProof/>
          <w:sz w:val="24"/>
          <w:szCs w:val="24"/>
        </w:rPr>
        <w:t>Agradecimientos</w:t>
      </w:r>
      <w:r w:rsidRPr="00126BA8">
        <w:rPr>
          <w:rFonts w:ascii="Times New Roman" w:hAnsi="Times New Roman"/>
          <w:b w:val="0"/>
          <w:i w:val="0"/>
          <w:noProof/>
          <w:sz w:val="24"/>
          <w:szCs w:val="24"/>
        </w:rPr>
        <w:tab/>
        <w:t>2</w:t>
      </w:r>
    </w:p>
    <w:p w:rsidR="00126BA8" w:rsidRPr="00126BA8" w:rsidRDefault="00126BA8" w:rsidP="00126BA8">
      <w:pPr>
        <w:pStyle w:val="ndice1"/>
        <w:sectPr w:rsidR="00126BA8" w:rsidRPr="00126BA8" w:rsidSect="005B604A">
          <w:type w:val="continuous"/>
          <w:pgSz w:w="11906" w:h="16838"/>
          <w:pgMar w:top="1134" w:right="1134" w:bottom="1134" w:left="1134" w:header="709" w:footer="850" w:gutter="0"/>
          <w:cols w:space="720"/>
          <w:titlePg/>
          <w:docGrid w:linePitch="326"/>
        </w:sectPr>
      </w:pPr>
      <w:r w:rsidRPr="00126BA8">
        <w:t>Resumen</w:t>
      </w:r>
      <w:r w:rsidRPr="00126BA8">
        <w:tab/>
        <w:t>4</w:t>
      </w:r>
    </w:p>
    <w:p w:rsidR="00126BA8" w:rsidRPr="00126BA8" w:rsidRDefault="005B604A" w:rsidP="00126BA8">
      <w:pPr>
        <w:pStyle w:val="ndice1"/>
      </w:pPr>
      <w:r w:rsidRPr="00126BA8">
        <w:t>Abstract</w:t>
      </w:r>
      <w:r w:rsidRPr="00126BA8">
        <w:tab/>
        <w:t>4</w:t>
      </w:r>
      <w:r w:rsidR="00126BA8" w:rsidRPr="00126BA8">
        <w:t xml:space="preserve"> </w:t>
      </w:r>
    </w:p>
    <w:p w:rsidR="005B604A" w:rsidRDefault="005B604A" w:rsidP="00126BA8">
      <w:pPr>
        <w:pStyle w:val="ndice1"/>
      </w:pPr>
      <w:r w:rsidRPr="00126BA8">
        <w:t>Introducción</w:t>
      </w:r>
      <w:r w:rsidRPr="00126BA8">
        <w:tab/>
      </w:r>
      <w:r w:rsidR="008D64CF">
        <w:t>5</w:t>
      </w:r>
    </w:p>
    <w:p w:rsidR="008D64CF" w:rsidRPr="008D64CF" w:rsidRDefault="008D64CF" w:rsidP="008D64CF">
      <w:pPr>
        <w:pStyle w:val="ndice1"/>
      </w:pPr>
      <w:r w:rsidRPr="00126BA8">
        <w:t>Metodología</w:t>
      </w:r>
      <w:r w:rsidRPr="00126BA8">
        <w:tab/>
      </w:r>
      <w:r>
        <w:t>7</w:t>
      </w:r>
    </w:p>
    <w:p w:rsidR="005B604A" w:rsidRPr="00126BA8" w:rsidRDefault="005B604A" w:rsidP="00126BA8">
      <w:pPr>
        <w:pStyle w:val="ndice1"/>
      </w:pPr>
      <w:r w:rsidRPr="00126BA8">
        <w:t>Definición de Psicopatía y comparación con el Trastorno Antisocial de la Personalidad</w:t>
      </w:r>
      <w:r w:rsidR="00E958E7">
        <w:tab/>
      </w:r>
      <w:r w:rsidR="008D64CF">
        <w:t>8</w:t>
      </w:r>
    </w:p>
    <w:p w:rsidR="005B604A" w:rsidRPr="00126BA8" w:rsidRDefault="005B604A" w:rsidP="00126BA8">
      <w:pPr>
        <w:pStyle w:val="ndice1"/>
      </w:pPr>
      <w:r w:rsidRPr="00126BA8">
        <w:t>Etiología, el origen</w:t>
      </w:r>
      <w:r w:rsidRPr="00126BA8">
        <w:tab/>
        <w:t>1</w:t>
      </w:r>
      <w:r w:rsidR="008D64CF">
        <w:t>1</w:t>
      </w:r>
    </w:p>
    <w:p w:rsidR="005B604A" w:rsidRPr="00126BA8" w:rsidRDefault="005B604A" w:rsidP="00126BA8">
      <w:pPr>
        <w:pStyle w:val="ndice1"/>
      </w:pPr>
      <w:r w:rsidRPr="00126BA8">
        <w:t>Evaluación de la psicopatía, análisis del PCL-R</w:t>
      </w:r>
      <w:r w:rsidRPr="00126BA8">
        <w:tab/>
        <w:t>1</w:t>
      </w:r>
      <w:r w:rsidR="008D64CF">
        <w:t>3</w:t>
      </w:r>
    </w:p>
    <w:p w:rsidR="005B604A" w:rsidRPr="00126BA8" w:rsidRDefault="005B604A" w:rsidP="00126BA8">
      <w:pPr>
        <w:pStyle w:val="ndice1"/>
      </w:pPr>
      <w:r w:rsidRPr="00126BA8">
        <w:t>Imputabilidad en la psicopatía</w:t>
      </w:r>
      <w:r w:rsidRPr="00126BA8">
        <w:tab/>
        <w:t>1</w:t>
      </w:r>
      <w:r w:rsidR="008D64CF">
        <w:t>6</w:t>
      </w:r>
    </w:p>
    <w:p w:rsidR="005B604A" w:rsidRPr="00126BA8" w:rsidRDefault="005B604A" w:rsidP="00126BA8">
      <w:pPr>
        <w:pStyle w:val="Ttulodendice"/>
        <w:keepNext/>
        <w:tabs>
          <w:tab w:val="right" w:leader="dot" w:pos="9628"/>
        </w:tabs>
        <w:spacing w:line="360" w:lineRule="auto"/>
        <w:jc w:val="both"/>
        <w:rPr>
          <w:rFonts w:ascii="Times New Roman" w:eastAsiaTheme="minorEastAsia" w:hAnsi="Times New Roman"/>
          <w:b w:val="0"/>
          <w:bCs w:val="0"/>
          <w:i w:val="0"/>
          <w:noProof/>
          <w:sz w:val="24"/>
          <w:szCs w:val="24"/>
        </w:rPr>
      </w:pPr>
      <w:r w:rsidRPr="00126BA8">
        <w:rPr>
          <w:rFonts w:ascii="Times New Roman" w:hAnsi="Times New Roman"/>
          <w:b w:val="0"/>
          <w:i w:val="0"/>
          <w:noProof/>
          <w:sz w:val="24"/>
          <w:szCs w:val="24"/>
        </w:rPr>
        <w:t>La psicopatía en las mujeres</w:t>
      </w:r>
      <w:r w:rsidRPr="00126BA8">
        <w:rPr>
          <w:rFonts w:ascii="Times New Roman" w:hAnsi="Times New Roman"/>
          <w:b w:val="0"/>
          <w:i w:val="0"/>
          <w:noProof/>
          <w:sz w:val="24"/>
          <w:szCs w:val="24"/>
        </w:rPr>
        <w:tab/>
      </w:r>
      <w:r w:rsidR="008D64CF">
        <w:rPr>
          <w:rFonts w:ascii="Times New Roman" w:hAnsi="Times New Roman"/>
          <w:b w:val="0"/>
          <w:i w:val="0"/>
          <w:noProof/>
          <w:sz w:val="24"/>
          <w:szCs w:val="24"/>
        </w:rPr>
        <w:t>19</w:t>
      </w:r>
    </w:p>
    <w:p w:rsidR="005B604A" w:rsidRPr="00126BA8" w:rsidRDefault="005B604A" w:rsidP="00126BA8">
      <w:pPr>
        <w:pStyle w:val="ndice1"/>
      </w:pPr>
      <w:r w:rsidRPr="00126BA8">
        <w:t>Conclusiones</w:t>
      </w:r>
      <w:r w:rsidR="00334009">
        <w:tab/>
        <w:t>2</w:t>
      </w:r>
      <w:r w:rsidR="008D64CF">
        <w:t>3</w:t>
      </w:r>
    </w:p>
    <w:p w:rsidR="00126BA8" w:rsidRPr="00126BA8" w:rsidRDefault="005B604A" w:rsidP="00126BA8">
      <w:pPr>
        <w:pStyle w:val="ndice1"/>
      </w:pPr>
      <w:r w:rsidRPr="00126BA8">
        <w:t>Limitaciones y prospectiva</w:t>
      </w:r>
      <w:r w:rsidR="00334009">
        <w:tab/>
        <w:t>2</w:t>
      </w:r>
      <w:r w:rsidR="008D64CF">
        <w:t>4</w:t>
      </w:r>
    </w:p>
    <w:p w:rsidR="00126BA8" w:rsidRPr="00126BA8" w:rsidRDefault="00126BA8" w:rsidP="00126BA8">
      <w:pPr>
        <w:pStyle w:val="ndice1"/>
      </w:pPr>
      <w:r w:rsidRPr="00126BA8">
        <w:t>Referencias</w:t>
      </w:r>
      <w:r w:rsidR="00E958E7">
        <w:tab/>
        <w:t>2</w:t>
      </w:r>
      <w:r w:rsidR="008D64CF">
        <w:t>5</w:t>
      </w:r>
    </w:p>
    <w:p w:rsidR="00126BA8" w:rsidRPr="00126BA8" w:rsidRDefault="00126BA8" w:rsidP="00126BA8">
      <w:pPr>
        <w:pStyle w:val="ndice1"/>
        <w:sectPr w:rsidR="00126BA8" w:rsidRPr="00126BA8" w:rsidSect="005B604A">
          <w:type w:val="continuous"/>
          <w:pgSz w:w="11906" w:h="16838"/>
          <w:pgMar w:top="1134" w:right="1134" w:bottom="1134" w:left="1134" w:header="709" w:footer="850" w:gutter="0"/>
          <w:cols w:space="720"/>
          <w:titlePg/>
          <w:docGrid w:linePitch="326"/>
        </w:sectPr>
      </w:pPr>
    </w:p>
    <w:p w:rsidR="005B604A" w:rsidRPr="00126BA8" w:rsidRDefault="00126BA8" w:rsidP="00126BA8">
      <w:pPr>
        <w:pStyle w:val="ndice1"/>
      </w:pPr>
      <w:r w:rsidRPr="00126BA8">
        <w:t>Anexo</w:t>
      </w:r>
      <w:r w:rsidR="00E958E7">
        <w:tab/>
        <w:t>3</w:t>
      </w:r>
      <w:r w:rsidR="008D64CF">
        <w:t>0</w:t>
      </w:r>
    </w:p>
    <w:p w:rsidR="005B604A" w:rsidRPr="00126BA8" w:rsidRDefault="005B604A" w:rsidP="00126BA8">
      <w:pPr>
        <w:pStyle w:val="Ttulodendice"/>
        <w:keepNext/>
        <w:tabs>
          <w:tab w:val="right" w:leader="dot" w:pos="9628"/>
        </w:tabs>
        <w:spacing w:line="360" w:lineRule="auto"/>
        <w:jc w:val="both"/>
        <w:rPr>
          <w:rFonts w:ascii="Times New Roman" w:eastAsiaTheme="minorEastAsia" w:hAnsi="Times New Roman"/>
          <w:b w:val="0"/>
          <w:bCs w:val="0"/>
          <w:i w:val="0"/>
          <w:noProof/>
          <w:sz w:val="24"/>
          <w:szCs w:val="24"/>
        </w:rPr>
      </w:pPr>
    </w:p>
    <w:p w:rsidR="00126BA8" w:rsidRPr="00CD3180" w:rsidRDefault="00126BA8" w:rsidP="00126BA8">
      <w:pPr>
        <w:pStyle w:val="ndice1"/>
        <w:rPr>
          <w:b/>
        </w:rPr>
      </w:pPr>
      <w:r w:rsidRPr="00CD3180">
        <w:rPr>
          <w:b/>
        </w:rPr>
        <w:t>Tablas</w:t>
      </w:r>
    </w:p>
    <w:p w:rsidR="00126BA8" w:rsidRPr="00126BA8" w:rsidRDefault="00126BA8" w:rsidP="00126BA8">
      <w:pPr>
        <w:pStyle w:val="ndice1"/>
      </w:pPr>
      <w:r w:rsidRPr="00126BA8">
        <w:t>Los 16 criterios de Cleckley (1941)</w:t>
      </w:r>
      <w:r w:rsidRPr="00126BA8">
        <w:tab/>
      </w:r>
      <w:r w:rsidR="008D64CF">
        <w:t>8</w:t>
      </w:r>
    </w:p>
    <w:p w:rsidR="00126BA8" w:rsidRDefault="005B604A" w:rsidP="00126BA8">
      <w:pPr>
        <w:pStyle w:val="ndice1"/>
      </w:pPr>
      <w:r w:rsidRPr="00126BA8">
        <w:t>Criterios para el diagnóstico de Trastorno antisocial de la personalidad, DSM-5. APA (2014)</w:t>
      </w:r>
      <w:r w:rsidRPr="00126BA8">
        <w:tab/>
        <w:t>1</w:t>
      </w:r>
      <w:r w:rsidR="008D64CF">
        <w:t>0</w:t>
      </w:r>
    </w:p>
    <w:p w:rsidR="00126BA8" w:rsidRPr="00126BA8" w:rsidRDefault="00126BA8" w:rsidP="00126BA8">
      <w:pPr>
        <w:pStyle w:val="ndice1"/>
      </w:pPr>
      <w:r w:rsidRPr="00126BA8">
        <w:t>Los 22 rasgos del PCL. Pozueco et. al (2011).</w:t>
      </w:r>
      <w:r w:rsidRPr="00126BA8">
        <w:tab/>
        <w:t>1</w:t>
      </w:r>
      <w:r w:rsidR="008D64CF">
        <w:t>4</w:t>
      </w:r>
    </w:p>
    <w:p w:rsidR="00126BA8" w:rsidRPr="00126BA8" w:rsidRDefault="00126BA8" w:rsidP="00126BA8">
      <w:pPr>
        <w:pStyle w:val="ndice1"/>
      </w:pPr>
      <w:r w:rsidRPr="00126BA8">
        <w:t>Los 20 rasgos del PCL-R. Pozueco et. al (2011).</w:t>
      </w:r>
      <w:r w:rsidRPr="00126BA8">
        <w:tab/>
        <w:t>1</w:t>
      </w:r>
      <w:r w:rsidR="008D64CF">
        <w:t>4</w:t>
      </w:r>
    </w:p>
    <w:p w:rsidR="00126BA8" w:rsidRPr="00126BA8" w:rsidRDefault="005B604A" w:rsidP="00126BA8">
      <w:pPr>
        <w:pStyle w:val="ndice1"/>
      </w:pPr>
      <w:r w:rsidRPr="00126BA8">
        <w:rPr>
          <w:iCs/>
        </w:rPr>
        <w:t>Los 12 rasgos del PCL-SV</w:t>
      </w:r>
      <w:r w:rsidRPr="00126BA8">
        <w:t>. Cuquerella y Torrubia (2008)</w:t>
      </w:r>
      <w:r w:rsidRPr="00126BA8">
        <w:tab/>
        <w:t>1</w:t>
      </w:r>
      <w:r w:rsidR="008D64CF">
        <w:t>5</w:t>
      </w:r>
    </w:p>
    <w:p w:rsidR="00126BA8" w:rsidRPr="00126BA8" w:rsidRDefault="00126BA8" w:rsidP="00126BA8">
      <w:pPr>
        <w:spacing w:line="360" w:lineRule="auto"/>
        <w:jc w:val="both"/>
      </w:pPr>
    </w:p>
    <w:p w:rsidR="00126BA8" w:rsidRPr="00126BA8" w:rsidRDefault="00126BA8" w:rsidP="00126BA8">
      <w:pPr>
        <w:spacing w:line="360" w:lineRule="auto"/>
        <w:jc w:val="both"/>
      </w:pPr>
    </w:p>
    <w:p w:rsidR="005F2033" w:rsidRPr="00126BA8" w:rsidRDefault="005B604A" w:rsidP="00126BA8">
      <w:pPr>
        <w:tabs>
          <w:tab w:val="center" w:pos="4819"/>
          <w:tab w:val="left" w:pos="7987"/>
        </w:tabs>
        <w:spacing w:line="360" w:lineRule="auto"/>
        <w:jc w:val="both"/>
        <w:rPr>
          <w:bCs/>
          <w:color w:val="000000"/>
          <w:lang w:val="es-ES_tradnl" w:eastAsia="es-ES_tradnl"/>
          <w14:textOutline w14:w="0" w14:cap="flat" w14:cmpd="sng" w14:algn="ctr">
            <w14:noFill/>
            <w14:prstDash w14:val="solid"/>
            <w14:bevel/>
          </w14:textOutline>
        </w:rPr>
      </w:pPr>
      <w:r w:rsidRPr="00126BA8">
        <w:rPr>
          <w:bCs/>
          <w:color w:val="000000"/>
          <w:lang w:val="es-ES_tradnl" w:eastAsia="es-ES_tradnl"/>
          <w14:textOutline w14:w="0" w14:cap="flat" w14:cmpd="sng" w14:algn="ctr">
            <w14:noFill/>
            <w14:prstDash w14:val="solid"/>
            <w14:bevel/>
          </w14:textOutline>
        </w:rPr>
        <w:fldChar w:fldCharType="end"/>
      </w:r>
      <w:r w:rsidRPr="00126BA8">
        <w:rPr>
          <w:bCs/>
          <w:color w:val="000000"/>
          <w:lang w:val="es-ES_tradnl" w:eastAsia="es-ES_tradnl"/>
          <w14:textOutline w14:w="0" w14:cap="flat" w14:cmpd="sng" w14:algn="ctr">
            <w14:noFill/>
            <w14:prstDash w14:val="solid"/>
            <w14:bevel/>
          </w14:textOutline>
        </w:rPr>
        <w:tab/>
      </w:r>
    </w:p>
    <w:p w:rsidR="00126BA8" w:rsidRDefault="00126BA8" w:rsidP="00126BA8">
      <w:pPr>
        <w:tabs>
          <w:tab w:val="center" w:pos="4819"/>
          <w:tab w:val="left" w:pos="7987"/>
        </w:tabs>
        <w:rPr>
          <w:b/>
          <w:bCs/>
          <w:color w:val="000000"/>
          <w:sz w:val="28"/>
          <w:szCs w:val="28"/>
          <w:u w:val="single"/>
          <w:lang w:val="es-ES_tradnl" w:eastAsia="es-ES_tradnl"/>
          <w14:textOutline w14:w="0" w14:cap="flat" w14:cmpd="sng" w14:algn="ctr">
            <w14:noFill/>
            <w14:prstDash w14:val="solid"/>
            <w14:bevel/>
          </w14:textOutline>
        </w:rPr>
      </w:pPr>
    </w:p>
    <w:p w:rsidR="005F2033" w:rsidRPr="005F2033" w:rsidRDefault="005F2033" w:rsidP="005F2033">
      <w:pPr>
        <w:spacing w:line="360" w:lineRule="auto"/>
        <w:jc w:val="both"/>
        <w:rPr>
          <w:color w:val="000000"/>
          <w:u w:val="single"/>
          <w:lang w:val="es-ES_tradnl" w:eastAsia="es-ES_tradnl"/>
          <w14:textOutline w14:w="0" w14:cap="flat" w14:cmpd="sng" w14:algn="ctr">
            <w14:noFill/>
            <w14:prstDash w14:val="solid"/>
            <w14:bevel/>
          </w14:textOutline>
        </w:rPr>
      </w:pPr>
      <w:r w:rsidRPr="005F2033">
        <w:rPr>
          <w:color w:val="000000"/>
          <w:u w:val="single"/>
          <w:lang w:val="es-ES_tradnl" w:eastAsia="es-ES_tradnl"/>
          <w14:textOutline w14:w="0" w14:cap="flat" w14:cmpd="sng" w14:algn="ctr">
            <w14:noFill/>
            <w14:prstDash w14:val="solid"/>
            <w14:bevel/>
          </w14:textOutline>
        </w:rPr>
        <w:br w:type="page"/>
      </w:r>
    </w:p>
    <w:p w:rsidR="00090D65" w:rsidRDefault="00090D65">
      <w:pPr>
        <w:rPr>
          <w:b/>
          <w:bCs/>
          <w:color w:val="000000"/>
          <w:sz w:val="28"/>
          <w:szCs w:val="28"/>
          <w:u w:val="single"/>
          <w:lang w:val="es-ES_tradnl" w:eastAsia="es-ES_tradnl"/>
          <w14:textOutline w14:w="0" w14:cap="flat" w14:cmpd="sng" w14:algn="ctr">
            <w14:noFill/>
            <w14:prstDash w14:val="solid"/>
            <w14:bevel/>
          </w14:textOutline>
        </w:rPr>
      </w:pPr>
    </w:p>
    <w:p w:rsidR="00E34AC1" w:rsidRPr="009F4391" w:rsidRDefault="007D4A36" w:rsidP="009F4391">
      <w:pPr>
        <w:pStyle w:val="Cuerpo"/>
        <w:spacing w:line="360" w:lineRule="auto"/>
        <w:jc w:val="center"/>
        <w:rPr>
          <w:rFonts w:ascii="Times New Roman" w:hAnsi="Times New Roman" w:cs="Times New Roman"/>
          <w:b/>
          <w:bCs/>
          <w:sz w:val="28"/>
          <w:szCs w:val="28"/>
          <w:u w:val="single"/>
        </w:rPr>
      </w:pPr>
      <w:r w:rsidRPr="009D741A">
        <w:rPr>
          <w:rFonts w:ascii="Times New Roman" w:hAnsi="Times New Roman" w:cs="Times New Roman"/>
          <w:b/>
          <w:bCs/>
          <w:sz w:val="28"/>
          <w:szCs w:val="28"/>
          <w:u w:val="single"/>
        </w:rPr>
        <w:t>LA PSICOPATÍA EN LAS MUJERES</w:t>
      </w:r>
    </w:p>
    <w:p w:rsidR="001408A6" w:rsidRDefault="001408A6" w:rsidP="00FE15D7">
      <w:pPr>
        <w:pStyle w:val="Cuerpo"/>
        <w:spacing w:line="360" w:lineRule="auto"/>
        <w:jc w:val="both"/>
        <w:rPr>
          <w:rFonts w:ascii="Times New Roman" w:hAnsi="Times New Roman" w:cs="Times New Roman"/>
          <w:sz w:val="24"/>
          <w:szCs w:val="24"/>
        </w:rPr>
      </w:pPr>
    </w:p>
    <w:p w:rsidR="001408A6" w:rsidRPr="00AD5F67" w:rsidRDefault="001408A6" w:rsidP="00FE15D7">
      <w:pPr>
        <w:pStyle w:val="Cuerpo"/>
        <w:spacing w:line="360" w:lineRule="auto"/>
        <w:jc w:val="both"/>
        <w:rPr>
          <w:rFonts w:ascii="Times New Roman" w:hAnsi="Times New Roman" w:cs="Times New Roman"/>
          <w:b/>
          <w:bCs/>
          <w:sz w:val="24"/>
          <w:szCs w:val="24"/>
        </w:rPr>
      </w:pPr>
      <w:r w:rsidRPr="00AD5F67">
        <w:rPr>
          <w:rFonts w:ascii="Times New Roman" w:hAnsi="Times New Roman" w:cs="Times New Roman"/>
          <w:b/>
          <w:bCs/>
          <w:sz w:val="24"/>
          <w:szCs w:val="24"/>
        </w:rPr>
        <w:t>Resumen</w:t>
      </w:r>
      <w:r w:rsidR="006A62BE">
        <w:rPr>
          <w:rFonts w:ascii="Times New Roman" w:hAnsi="Times New Roman" w:cs="Times New Roman"/>
          <w:b/>
          <w:bCs/>
          <w:sz w:val="24"/>
          <w:szCs w:val="24"/>
        </w:rPr>
        <w:fldChar w:fldCharType="begin"/>
      </w:r>
      <w:r w:rsidR="006A62BE">
        <w:instrText xml:space="preserve"> XE "</w:instrText>
      </w:r>
      <w:r w:rsidR="006A62BE" w:rsidRPr="005073A1">
        <w:rPr>
          <w:rFonts w:ascii="Times New Roman" w:hAnsi="Times New Roman" w:cs="Times New Roman"/>
          <w:b/>
          <w:bCs/>
          <w:sz w:val="24"/>
          <w:szCs w:val="24"/>
        </w:rPr>
        <w:instrText>Resumen</w:instrText>
      </w:r>
      <w:r w:rsidR="006A62BE">
        <w:instrText xml:space="preserve">" </w:instrText>
      </w:r>
      <w:r w:rsidR="006A62BE">
        <w:rPr>
          <w:rFonts w:ascii="Times New Roman" w:hAnsi="Times New Roman" w:cs="Times New Roman"/>
          <w:b/>
          <w:bCs/>
          <w:sz w:val="24"/>
          <w:szCs w:val="24"/>
        </w:rPr>
        <w:fldChar w:fldCharType="end"/>
      </w:r>
    </w:p>
    <w:p w:rsidR="00404B7B" w:rsidRDefault="00404B7B" w:rsidP="00FE15D7">
      <w:pPr>
        <w:pStyle w:val="Cuerpo"/>
        <w:spacing w:line="360" w:lineRule="auto"/>
        <w:jc w:val="both"/>
        <w:rPr>
          <w:rFonts w:ascii="Times New Roman" w:hAnsi="Times New Roman" w:cs="Times New Roman"/>
          <w:sz w:val="24"/>
          <w:szCs w:val="24"/>
        </w:rPr>
      </w:pPr>
    </w:p>
    <w:p w:rsidR="00404B7B" w:rsidRDefault="00404B7B" w:rsidP="00AD5F67">
      <w:pPr>
        <w:pStyle w:val="Cuerpo"/>
        <w:spacing w:line="360" w:lineRule="auto"/>
        <w:jc w:val="both"/>
        <w:rPr>
          <w:rFonts w:ascii="Times New Roman" w:hAnsi="Times New Roman" w:cs="Times New Roman"/>
          <w:sz w:val="24"/>
          <w:szCs w:val="24"/>
        </w:rPr>
      </w:pPr>
      <w:r w:rsidRPr="00AD5F67">
        <w:rPr>
          <w:rFonts w:ascii="Times New Roman" w:hAnsi="Times New Roman" w:cs="Times New Roman"/>
          <w:sz w:val="24"/>
          <w:szCs w:val="24"/>
        </w:rPr>
        <w:t>Desde el comienzo del estudio de la psicopatía</w:t>
      </w:r>
      <w:r w:rsidR="00AD5F67">
        <w:rPr>
          <w:rFonts w:ascii="Times New Roman" w:hAnsi="Times New Roman" w:cs="Times New Roman"/>
          <w:sz w:val="24"/>
          <w:szCs w:val="24"/>
        </w:rPr>
        <w:t>,</w:t>
      </w:r>
      <w:r w:rsidRPr="00AD5F67">
        <w:rPr>
          <w:rFonts w:ascii="Times New Roman" w:hAnsi="Times New Roman" w:cs="Times New Roman"/>
          <w:sz w:val="24"/>
          <w:szCs w:val="24"/>
        </w:rPr>
        <w:t xml:space="preserve"> en 1801 por Philippe Pinel</w:t>
      </w:r>
      <w:r w:rsidR="00AD5F67">
        <w:rPr>
          <w:rFonts w:ascii="Times New Roman" w:hAnsi="Times New Roman" w:cs="Times New Roman"/>
          <w:sz w:val="24"/>
          <w:szCs w:val="24"/>
        </w:rPr>
        <w:t>,</w:t>
      </w:r>
      <w:r w:rsidRPr="00AD5F67">
        <w:rPr>
          <w:rFonts w:ascii="Times New Roman" w:hAnsi="Times New Roman" w:cs="Times New Roman"/>
          <w:sz w:val="24"/>
          <w:szCs w:val="24"/>
        </w:rPr>
        <w:t xml:space="preserve"> ha sido una de las entidades clínicas más controvertidas y contradictorias. El aumento de las tasas de psicopatía en la población y la alta presencia del trastorno en la población penitenciaria, suponiendo un riesgo para la sociedad por su reincidencia delictiva y criminalidad violenta, además de un alto coste económico, muestran la importancia del progreso en la investigación </w:t>
      </w:r>
      <w:r w:rsidR="00E72DC7">
        <w:rPr>
          <w:rFonts w:ascii="Times New Roman" w:hAnsi="Times New Roman" w:cs="Times New Roman"/>
          <w:sz w:val="24"/>
          <w:szCs w:val="24"/>
        </w:rPr>
        <w:t>en este ámbito</w:t>
      </w:r>
      <w:r w:rsidRPr="00AD5F67">
        <w:rPr>
          <w:rFonts w:ascii="Times New Roman" w:hAnsi="Times New Roman" w:cs="Times New Roman"/>
          <w:sz w:val="24"/>
          <w:szCs w:val="24"/>
        </w:rPr>
        <w:t xml:space="preserve">. En este trabajo se pretende realizar una revisión sobre </w:t>
      </w:r>
      <w:r w:rsidR="00AD5F67">
        <w:rPr>
          <w:rFonts w:ascii="Times New Roman" w:hAnsi="Times New Roman" w:cs="Times New Roman"/>
          <w:sz w:val="24"/>
          <w:szCs w:val="24"/>
        </w:rPr>
        <w:t>su</w:t>
      </w:r>
      <w:r w:rsidRPr="00AD5F67">
        <w:rPr>
          <w:rFonts w:ascii="Times New Roman" w:hAnsi="Times New Roman" w:cs="Times New Roman"/>
          <w:sz w:val="24"/>
          <w:szCs w:val="24"/>
        </w:rPr>
        <w:t xml:space="preserve"> definición y distinción con el Trastorno Antisocial de la Personalidad, repasando </w:t>
      </w:r>
      <w:r w:rsidR="00AD5F67">
        <w:rPr>
          <w:rFonts w:ascii="Times New Roman" w:hAnsi="Times New Roman" w:cs="Times New Roman"/>
          <w:sz w:val="24"/>
          <w:szCs w:val="24"/>
        </w:rPr>
        <w:t>su</w:t>
      </w:r>
      <w:r w:rsidRPr="00AD5F67">
        <w:rPr>
          <w:rFonts w:ascii="Times New Roman" w:hAnsi="Times New Roman" w:cs="Times New Roman"/>
          <w:sz w:val="24"/>
          <w:szCs w:val="24"/>
        </w:rPr>
        <w:t xml:space="preserve"> etiología. Por otro lado, se describirá su evaluación a través del </w:t>
      </w:r>
      <w:proofErr w:type="spellStart"/>
      <w:r w:rsidRPr="00AD5F67">
        <w:rPr>
          <w:rFonts w:ascii="Times New Roman" w:hAnsi="Times New Roman" w:cs="Times New Roman"/>
          <w:sz w:val="24"/>
          <w:szCs w:val="24"/>
        </w:rPr>
        <w:t>Psychopat</w:t>
      </w:r>
      <w:r w:rsidR="009F4391">
        <w:rPr>
          <w:rFonts w:ascii="Times New Roman" w:hAnsi="Times New Roman" w:cs="Times New Roman"/>
          <w:sz w:val="24"/>
          <w:szCs w:val="24"/>
        </w:rPr>
        <w:t>h</w:t>
      </w:r>
      <w:r w:rsidRPr="00AD5F67">
        <w:rPr>
          <w:rFonts w:ascii="Times New Roman" w:hAnsi="Times New Roman" w:cs="Times New Roman"/>
          <w:sz w:val="24"/>
          <w:szCs w:val="24"/>
        </w:rPr>
        <w:t>y</w:t>
      </w:r>
      <w:proofErr w:type="spellEnd"/>
      <w:r w:rsidRPr="00AD5F67">
        <w:rPr>
          <w:rFonts w:ascii="Times New Roman" w:hAnsi="Times New Roman" w:cs="Times New Roman"/>
          <w:sz w:val="24"/>
          <w:szCs w:val="24"/>
        </w:rPr>
        <w:t xml:space="preserve"> </w:t>
      </w:r>
      <w:proofErr w:type="spellStart"/>
      <w:r w:rsidRPr="00AD5F67">
        <w:rPr>
          <w:rFonts w:ascii="Times New Roman" w:hAnsi="Times New Roman" w:cs="Times New Roman"/>
          <w:sz w:val="24"/>
          <w:szCs w:val="24"/>
        </w:rPr>
        <w:t>Checklist</w:t>
      </w:r>
      <w:proofErr w:type="spellEnd"/>
      <w:r w:rsidRPr="00AD5F67">
        <w:rPr>
          <w:rFonts w:ascii="Times New Roman" w:hAnsi="Times New Roman" w:cs="Times New Roman"/>
          <w:sz w:val="24"/>
          <w:szCs w:val="24"/>
        </w:rPr>
        <w:t xml:space="preserve"> de Robert D. Hare y la imputabilidad del trastorno a nivel judicial. Finalmente, este estudio se centrará en las mujeres, cuyo conocimiento científico e investigación es mucho menor comparando con los hombres. Se hará hincapié en las diferencias de género y se analizarán los casos de Francisca Ballesteros, María Ángeles Molina y Ana Julia Quezada.</w:t>
      </w:r>
    </w:p>
    <w:p w:rsidR="00DF0147" w:rsidRPr="00AD5F67" w:rsidRDefault="00DF0147" w:rsidP="00AD5F67">
      <w:pPr>
        <w:pStyle w:val="Cuerp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Palabras clave: psicopatía, mujeres, Trastorno Antisocial </w:t>
      </w:r>
      <w:r w:rsidR="009F4391">
        <w:rPr>
          <w:rFonts w:ascii="Times New Roman" w:hAnsi="Times New Roman" w:cs="Times New Roman"/>
          <w:sz w:val="24"/>
          <w:szCs w:val="24"/>
        </w:rPr>
        <w:t xml:space="preserve">de la Personalidad, etiología, imputabilidad, </w:t>
      </w:r>
      <w:proofErr w:type="spellStart"/>
      <w:r w:rsidR="009F4391">
        <w:rPr>
          <w:rFonts w:ascii="Times New Roman" w:hAnsi="Times New Roman" w:cs="Times New Roman"/>
          <w:sz w:val="24"/>
          <w:szCs w:val="24"/>
        </w:rPr>
        <w:t>Psychopathy</w:t>
      </w:r>
      <w:proofErr w:type="spellEnd"/>
      <w:r w:rsidR="009F4391">
        <w:rPr>
          <w:rFonts w:ascii="Times New Roman" w:hAnsi="Times New Roman" w:cs="Times New Roman"/>
          <w:sz w:val="24"/>
          <w:szCs w:val="24"/>
        </w:rPr>
        <w:t xml:space="preserve"> </w:t>
      </w:r>
      <w:proofErr w:type="spellStart"/>
      <w:r w:rsidR="009F4391">
        <w:rPr>
          <w:rFonts w:ascii="Times New Roman" w:hAnsi="Times New Roman" w:cs="Times New Roman"/>
          <w:sz w:val="24"/>
          <w:szCs w:val="24"/>
        </w:rPr>
        <w:t>Checklist</w:t>
      </w:r>
      <w:proofErr w:type="spellEnd"/>
      <w:r w:rsidR="009F4391">
        <w:rPr>
          <w:rFonts w:ascii="Times New Roman" w:hAnsi="Times New Roman" w:cs="Times New Roman"/>
          <w:sz w:val="24"/>
          <w:szCs w:val="24"/>
        </w:rPr>
        <w:t>.</w:t>
      </w:r>
    </w:p>
    <w:p w:rsidR="00B478B3" w:rsidRDefault="00B478B3" w:rsidP="00FE15D7">
      <w:pPr>
        <w:pStyle w:val="Cuerpo"/>
        <w:spacing w:line="360" w:lineRule="auto"/>
        <w:jc w:val="both"/>
        <w:rPr>
          <w:rFonts w:ascii="Times New Roman" w:hAnsi="Times New Roman" w:cs="Times New Roman"/>
          <w:sz w:val="24"/>
          <w:szCs w:val="24"/>
        </w:rPr>
      </w:pPr>
    </w:p>
    <w:p w:rsidR="00B478B3" w:rsidRPr="00DA6B8D" w:rsidRDefault="00B478B3" w:rsidP="00FE15D7">
      <w:pPr>
        <w:pStyle w:val="Cuerpo"/>
        <w:spacing w:line="360" w:lineRule="auto"/>
        <w:jc w:val="both"/>
        <w:rPr>
          <w:rFonts w:ascii="Times New Roman" w:hAnsi="Times New Roman" w:cs="Times New Roman"/>
          <w:b/>
          <w:bCs/>
          <w:sz w:val="24"/>
          <w:szCs w:val="24"/>
          <w:lang w:val="en-US"/>
        </w:rPr>
      </w:pPr>
      <w:r w:rsidRPr="00DA6B8D">
        <w:rPr>
          <w:rFonts w:ascii="Times New Roman" w:hAnsi="Times New Roman" w:cs="Times New Roman"/>
          <w:b/>
          <w:bCs/>
          <w:sz w:val="24"/>
          <w:szCs w:val="24"/>
          <w:lang w:val="en-US"/>
        </w:rPr>
        <w:t>Abstract</w:t>
      </w:r>
      <w:r w:rsidR="006A62BE">
        <w:rPr>
          <w:rFonts w:ascii="Times New Roman" w:hAnsi="Times New Roman" w:cs="Times New Roman"/>
          <w:b/>
          <w:bCs/>
          <w:sz w:val="24"/>
          <w:szCs w:val="24"/>
          <w:lang w:val="en-US"/>
        </w:rPr>
        <w:fldChar w:fldCharType="begin"/>
      </w:r>
      <w:r w:rsidR="006A62BE" w:rsidRPr="008616B1">
        <w:rPr>
          <w:lang w:val="en-US"/>
        </w:rPr>
        <w:instrText xml:space="preserve"> XE "</w:instrText>
      </w:r>
      <w:r w:rsidR="006A62BE" w:rsidRPr="000D0A4A">
        <w:rPr>
          <w:rFonts w:ascii="Times New Roman" w:hAnsi="Times New Roman" w:cs="Times New Roman"/>
          <w:b/>
          <w:bCs/>
          <w:sz w:val="24"/>
          <w:szCs w:val="24"/>
          <w:lang w:val="en-US"/>
        </w:rPr>
        <w:instrText>Abstract</w:instrText>
      </w:r>
      <w:r w:rsidR="006A62BE" w:rsidRPr="008616B1">
        <w:rPr>
          <w:lang w:val="en-US"/>
        </w:rPr>
        <w:instrText xml:space="preserve">" </w:instrText>
      </w:r>
      <w:r w:rsidR="006A62BE">
        <w:rPr>
          <w:rFonts w:ascii="Times New Roman" w:hAnsi="Times New Roman" w:cs="Times New Roman"/>
          <w:b/>
          <w:bCs/>
          <w:sz w:val="24"/>
          <w:szCs w:val="24"/>
          <w:lang w:val="en-US"/>
        </w:rPr>
        <w:fldChar w:fldCharType="end"/>
      </w:r>
    </w:p>
    <w:p w:rsidR="00AD5F67" w:rsidRPr="00DA6B8D" w:rsidRDefault="00AD5F67" w:rsidP="00FE15D7">
      <w:pPr>
        <w:pStyle w:val="Cuerpo"/>
        <w:spacing w:line="360" w:lineRule="auto"/>
        <w:jc w:val="both"/>
        <w:rPr>
          <w:rFonts w:ascii="Times New Roman" w:hAnsi="Times New Roman" w:cs="Times New Roman"/>
          <w:sz w:val="24"/>
          <w:szCs w:val="24"/>
          <w:lang w:val="en-US"/>
        </w:rPr>
      </w:pPr>
    </w:p>
    <w:p w:rsidR="00AD5F67" w:rsidRDefault="00AD5F67" w:rsidP="00FE15D7">
      <w:pPr>
        <w:pStyle w:val="Cuerpo"/>
        <w:spacing w:line="360" w:lineRule="auto"/>
        <w:jc w:val="both"/>
        <w:rPr>
          <w:rFonts w:ascii="Times New Roman" w:hAnsi="Times New Roman" w:cs="Times New Roman"/>
          <w:sz w:val="24"/>
          <w:szCs w:val="24"/>
          <w:lang w:val="en-US"/>
        </w:rPr>
      </w:pPr>
      <w:r w:rsidRPr="00AD5F67">
        <w:rPr>
          <w:rFonts w:ascii="Times New Roman" w:hAnsi="Times New Roman" w:cs="Times New Roman"/>
          <w:sz w:val="24"/>
          <w:szCs w:val="24"/>
          <w:lang w:val="en-US"/>
        </w:rPr>
        <w:t>From the begin</w:t>
      </w:r>
      <w:r>
        <w:rPr>
          <w:rFonts w:ascii="Times New Roman" w:hAnsi="Times New Roman" w:cs="Times New Roman"/>
          <w:sz w:val="24"/>
          <w:szCs w:val="24"/>
          <w:lang w:val="en-US"/>
        </w:rPr>
        <w:t>n</w:t>
      </w:r>
      <w:r w:rsidRPr="00AD5F67">
        <w:rPr>
          <w:rFonts w:ascii="Times New Roman" w:hAnsi="Times New Roman" w:cs="Times New Roman"/>
          <w:sz w:val="24"/>
          <w:szCs w:val="24"/>
          <w:lang w:val="en-US"/>
        </w:rPr>
        <w:t>ing o</w:t>
      </w:r>
      <w:r>
        <w:rPr>
          <w:rFonts w:ascii="Times New Roman" w:hAnsi="Times New Roman" w:cs="Times New Roman"/>
          <w:sz w:val="24"/>
          <w:szCs w:val="24"/>
          <w:lang w:val="en-US"/>
        </w:rPr>
        <w:t xml:space="preserve">f the psychopathy’s study, in 1801 </w:t>
      </w:r>
      <w:r w:rsidR="00DA6B8D">
        <w:rPr>
          <w:rFonts w:ascii="Times New Roman" w:hAnsi="Times New Roman" w:cs="Times New Roman"/>
          <w:sz w:val="24"/>
          <w:szCs w:val="24"/>
          <w:lang w:val="en-US"/>
        </w:rPr>
        <w:t>by</w:t>
      </w:r>
      <w:r>
        <w:rPr>
          <w:rFonts w:ascii="Times New Roman" w:hAnsi="Times New Roman" w:cs="Times New Roman"/>
          <w:sz w:val="24"/>
          <w:szCs w:val="24"/>
          <w:lang w:val="en-US"/>
        </w:rPr>
        <w:t xml:space="preserve"> Phillippe Pinel, it has been one of the most controversial and contradictory clinical </w:t>
      </w:r>
      <w:r w:rsidR="008C6361">
        <w:rPr>
          <w:rFonts w:ascii="Times New Roman" w:hAnsi="Times New Roman" w:cs="Times New Roman"/>
          <w:sz w:val="24"/>
          <w:szCs w:val="24"/>
          <w:lang w:val="en-US"/>
        </w:rPr>
        <w:t>entitie</w:t>
      </w:r>
      <w:r w:rsidR="00DA6B8D">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006F79E1">
        <w:rPr>
          <w:rFonts w:ascii="Times New Roman" w:hAnsi="Times New Roman" w:cs="Times New Roman"/>
          <w:sz w:val="24"/>
          <w:szCs w:val="24"/>
          <w:lang w:val="en-US"/>
        </w:rPr>
        <w:t>The increasing psychopathy rates in population and the high presence of the di</w:t>
      </w:r>
      <w:r w:rsidR="00E351A6">
        <w:rPr>
          <w:rFonts w:ascii="Times New Roman" w:hAnsi="Times New Roman" w:cs="Times New Roman"/>
          <w:sz w:val="24"/>
          <w:szCs w:val="24"/>
          <w:lang w:val="en-US"/>
        </w:rPr>
        <w:t>sorder</w:t>
      </w:r>
      <w:r w:rsidR="006F79E1">
        <w:rPr>
          <w:rFonts w:ascii="Times New Roman" w:hAnsi="Times New Roman" w:cs="Times New Roman"/>
          <w:sz w:val="24"/>
          <w:szCs w:val="24"/>
          <w:lang w:val="en-US"/>
        </w:rPr>
        <w:t xml:space="preserve"> in the inmate population, </w:t>
      </w:r>
      <w:r w:rsidR="00DA6B8D">
        <w:rPr>
          <w:rFonts w:ascii="Times New Roman" w:hAnsi="Times New Roman" w:cs="Times New Roman"/>
          <w:sz w:val="24"/>
          <w:szCs w:val="24"/>
          <w:lang w:val="en-US"/>
        </w:rPr>
        <w:t>supposing</w:t>
      </w:r>
      <w:r w:rsidR="006F79E1">
        <w:rPr>
          <w:rFonts w:ascii="Times New Roman" w:hAnsi="Times New Roman" w:cs="Times New Roman"/>
          <w:sz w:val="24"/>
          <w:szCs w:val="24"/>
          <w:lang w:val="en-US"/>
        </w:rPr>
        <w:t xml:space="preserve"> a </w:t>
      </w:r>
      <w:r w:rsidR="00E72DC7">
        <w:rPr>
          <w:rFonts w:ascii="Times New Roman" w:hAnsi="Times New Roman" w:cs="Times New Roman"/>
          <w:sz w:val="24"/>
          <w:szCs w:val="24"/>
          <w:lang w:val="en-US"/>
        </w:rPr>
        <w:t xml:space="preserve">risk for society because of the recidivism and violent criminality, </w:t>
      </w:r>
      <w:r w:rsidR="00DA6B8D">
        <w:rPr>
          <w:rFonts w:ascii="Times New Roman" w:hAnsi="Times New Roman" w:cs="Times New Roman"/>
          <w:sz w:val="24"/>
          <w:szCs w:val="24"/>
          <w:lang w:val="en-US"/>
        </w:rPr>
        <w:t>beside of</w:t>
      </w:r>
      <w:r w:rsidR="00E72DC7">
        <w:rPr>
          <w:rFonts w:ascii="Times New Roman" w:hAnsi="Times New Roman" w:cs="Times New Roman"/>
          <w:sz w:val="24"/>
          <w:szCs w:val="24"/>
          <w:lang w:val="en-US"/>
        </w:rPr>
        <w:t xml:space="preserve"> a high economic cost, they show the </w:t>
      </w:r>
      <w:r w:rsidR="00DA6B8D">
        <w:rPr>
          <w:rFonts w:ascii="Times New Roman" w:hAnsi="Times New Roman" w:cs="Times New Roman"/>
          <w:sz w:val="24"/>
          <w:szCs w:val="24"/>
          <w:lang w:val="en-US"/>
        </w:rPr>
        <w:t>importance</w:t>
      </w:r>
      <w:r w:rsidR="00E72DC7">
        <w:rPr>
          <w:rFonts w:ascii="Times New Roman" w:hAnsi="Times New Roman" w:cs="Times New Roman"/>
          <w:sz w:val="24"/>
          <w:szCs w:val="24"/>
          <w:lang w:val="en-US"/>
        </w:rPr>
        <w:t xml:space="preserve"> of the progress of the investigation in this area. The aim of this paper </w:t>
      </w:r>
      <w:r w:rsidR="00DA6B8D">
        <w:rPr>
          <w:rFonts w:ascii="Times New Roman" w:hAnsi="Times New Roman" w:cs="Times New Roman"/>
          <w:sz w:val="24"/>
          <w:szCs w:val="24"/>
          <w:lang w:val="en-US"/>
        </w:rPr>
        <w:t>is</w:t>
      </w:r>
      <w:r w:rsidR="00B9060D">
        <w:rPr>
          <w:rFonts w:ascii="Times New Roman" w:hAnsi="Times New Roman" w:cs="Times New Roman"/>
          <w:sz w:val="24"/>
          <w:szCs w:val="24"/>
          <w:lang w:val="en-US"/>
        </w:rPr>
        <w:t xml:space="preserve"> to </w:t>
      </w:r>
      <w:r w:rsidR="00E72DC7">
        <w:rPr>
          <w:rFonts w:ascii="Times New Roman" w:hAnsi="Times New Roman" w:cs="Times New Roman"/>
          <w:sz w:val="24"/>
          <w:szCs w:val="24"/>
          <w:lang w:val="en-US"/>
        </w:rPr>
        <w:t xml:space="preserve">make a revision about its definition and </w:t>
      </w:r>
      <w:r w:rsidR="00DA6B8D">
        <w:rPr>
          <w:rFonts w:ascii="Times New Roman" w:hAnsi="Times New Roman" w:cs="Times New Roman"/>
          <w:sz w:val="24"/>
          <w:szCs w:val="24"/>
          <w:lang w:val="en-US"/>
        </w:rPr>
        <w:t xml:space="preserve">the </w:t>
      </w:r>
      <w:r w:rsidR="00E72DC7">
        <w:rPr>
          <w:rFonts w:ascii="Times New Roman" w:hAnsi="Times New Roman" w:cs="Times New Roman"/>
          <w:sz w:val="24"/>
          <w:szCs w:val="24"/>
          <w:lang w:val="en-US"/>
        </w:rPr>
        <w:t xml:space="preserve">distinction </w:t>
      </w:r>
      <w:r w:rsidR="00DA6B8D">
        <w:rPr>
          <w:rFonts w:ascii="Times New Roman" w:hAnsi="Times New Roman" w:cs="Times New Roman"/>
          <w:sz w:val="24"/>
          <w:szCs w:val="24"/>
          <w:lang w:val="en-US"/>
        </w:rPr>
        <w:t>from</w:t>
      </w:r>
      <w:r w:rsidR="00E72DC7">
        <w:rPr>
          <w:rFonts w:ascii="Times New Roman" w:hAnsi="Times New Roman" w:cs="Times New Roman"/>
          <w:sz w:val="24"/>
          <w:szCs w:val="24"/>
          <w:lang w:val="en-US"/>
        </w:rPr>
        <w:t xml:space="preserve"> the Antisocial Personality Disorder</w:t>
      </w:r>
      <w:r w:rsidR="00E351A6">
        <w:rPr>
          <w:rFonts w:ascii="Times New Roman" w:hAnsi="Times New Roman" w:cs="Times New Roman"/>
          <w:sz w:val="24"/>
          <w:szCs w:val="24"/>
          <w:lang w:val="en-US"/>
        </w:rPr>
        <w:t>, rev</w:t>
      </w:r>
      <w:r w:rsidR="00DA6B8D">
        <w:rPr>
          <w:rFonts w:ascii="Times New Roman" w:hAnsi="Times New Roman" w:cs="Times New Roman"/>
          <w:sz w:val="24"/>
          <w:szCs w:val="24"/>
          <w:lang w:val="en-US"/>
        </w:rPr>
        <w:t>isin</w:t>
      </w:r>
      <w:r w:rsidR="00E351A6">
        <w:rPr>
          <w:rFonts w:ascii="Times New Roman" w:hAnsi="Times New Roman" w:cs="Times New Roman"/>
          <w:sz w:val="24"/>
          <w:szCs w:val="24"/>
          <w:lang w:val="en-US"/>
        </w:rPr>
        <w:t xml:space="preserve">g its </w:t>
      </w:r>
      <w:r w:rsidR="00DF0147">
        <w:rPr>
          <w:rFonts w:ascii="Times New Roman" w:hAnsi="Times New Roman" w:cs="Times New Roman"/>
          <w:sz w:val="24"/>
          <w:szCs w:val="24"/>
          <w:lang w:val="en-US"/>
        </w:rPr>
        <w:t>etiology</w:t>
      </w:r>
      <w:r w:rsidR="00E351A6">
        <w:rPr>
          <w:rFonts w:ascii="Times New Roman" w:hAnsi="Times New Roman" w:cs="Times New Roman"/>
          <w:sz w:val="24"/>
          <w:szCs w:val="24"/>
          <w:lang w:val="en-US"/>
        </w:rPr>
        <w:t xml:space="preserve">. On the other hand, its assessment through the Psychopathy Checklist of Robert D. Hare will be described </w:t>
      </w:r>
      <w:r w:rsidR="00DA6B8D">
        <w:rPr>
          <w:rFonts w:ascii="Times New Roman" w:hAnsi="Times New Roman" w:cs="Times New Roman"/>
          <w:sz w:val="24"/>
          <w:szCs w:val="24"/>
          <w:lang w:val="en-US"/>
        </w:rPr>
        <w:t>along with the</w:t>
      </w:r>
      <w:r w:rsidR="00E351A6">
        <w:rPr>
          <w:rFonts w:ascii="Times New Roman" w:hAnsi="Times New Roman" w:cs="Times New Roman"/>
          <w:sz w:val="24"/>
          <w:szCs w:val="24"/>
          <w:lang w:val="en-US"/>
        </w:rPr>
        <w:t xml:space="preserve"> imputability</w:t>
      </w:r>
      <w:r w:rsidR="00DA6B8D">
        <w:rPr>
          <w:rFonts w:ascii="Times New Roman" w:hAnsi="Times New Roman" w:cs="Times New Roman"/>
          <w:sz w:val="24"/>
          <w:szCs w:val="24"/>
          <w:lang w:val="en-US"/>
        </w:rPr>
        <w:t xml:space="preserve"> of the disorder at legal level</w:t>
      </w:r>
      <w:r w:rsidR="00E351A6">
        <w:rPr>
          <w:rFonts w:ascii="Times New Roman" w:hAnsi="Times New Roman" w:cs="Times New Roman"/>
          <w:sz w:val="24"/>
          <w:szCs w:val="24"/>
          <w:lang w:val="en-US"/>
        </w:rPr>
        <w:t xml:space="preserve">. Finally, this study will focus on women, </w:t>
      </w:r>
      <w:r w:rsidR="00DA6B8D">
        <w:rPr>
          <w:rFonts w:ascii="Times New Roman" w:hAnsi="Times New Roman" w:cs="Times New Roman"/>
          <w:sz w:val="24"/>
          <w:szCs w:val="24"/>
          <w:lang w:val="en-US"/>
        </w:rPr>
        <w:t xml:space="preserve">in </w:t>
      </w:r>
      <w:r w:rsidR="00E351A6">
        <w:rPr>
          <w:rFonts w:ascii="Times New Roman" w:hAnsi="Times New Roman" w:cs="Times New Roman"/>
          <w:sz w:val="24"/>
          <w:szCs w:val="24"/>
          <w:lang w:val="en-US"/>
        </w:rPr>
        <w:t xml:space="preserve">which understanding is </w:t>
      </w:r>
      <w:r w:rsidR="00DA6B8D">
        <w:rPr>
          <w:rFonts w:ascii="Times New Roman" w:hAnsi="Times New Roman" w:cs="Times New Roman"/>
          <w:sz w:val="24"/>
          <w:szCs w:val="24"/>
          <w:lang w:val="en-US"/>
        </w:rPr>
        <w:t>much lower</w:t>
      </w:r>
      <w:r w:rsidR="00E351A6">
        <w:rPr>
          <w:rFonts w:ascii="Times New Roman" w:hAnsi="Times New Roman" w:cs="Times New Roman"/>
          <w:sz w:val="24"/>
          <w:szCs w:val="24"/>
          <w:lang w:val="en-US"/>
        </w:rPr>
        <w:t xml:space="preserve"> than </w:t>
      </w:r>
      <w:r w:rsidR="00DA6B8D">
        <w:rPr>
          <w:rFonts w:ascii="Times New Roman" w:hAnsi="Times New Roman" w:cs="Times New Roman"/>
          <w:sz w:val="24"/>
          <w:szCs w:val="24"/>
          <w:lang w:val="en-US"/>
        </w:rPr>
        <w:t xml:space="preserve">in </w:t>
      </w:r>
      <w:r w:rsidR="00E351A6">
        <w:rPr>
          <w:rFonts w:ascii="Times New Roman" w:hAnsi="Times New Roman" w:cs="Times New Roman"/>
          <w:sz w:val="24"/>
          <w:szCs w:val="24"/>
          <w:lang w:val="en-US"/>
        </w:rPr>
        <w:t xml:space="preserve">men. </w:t>
      </w:r>
      <w:r w:rsidR="00B9060D">
        <w:rPr>
          <w:rFonts w:ascii="Times New Roman" w:hAnsi="Times New Roman" w:cs="Times New Roman"/>
          <w:sz w:val="24"/>
          <w:szCs w:val="24"/>
          <w:lang w:val="en-US"/>
        </w:rPr>
        <w:t>The emphasis will be on gender di</w:t>
      </w:r>
      <w:r w:rsidR="00DA6B8D">
        <w:rPr>
          <w:rFonts w:ascii="Times New Roman" w:hAnsi="Times New Roman" w:cs="Times New Roman"/>
          <w:sz w:val="24"/>
          <w:szCs w:val="24"/>
          <w:lang w:val="en-US"/>
        </w:rPr>
        <w:t>fferences</w:t>
      </w:r>
      <w:r w:rsidR="00B9060D">
        <w:rPr>
          <w:rFonts w:ascii="Times New Roman" w:hAnsi="Times New Roman" w:cs="Times New Roman"/>
          <w:sz w:val="24"/>
          <w:szCs w:val="24"/>
          <w:lang w:val="en-US"/>
        </w:rPr>
        <w:t xml:space="preserve"> and the cases of </w:t>
      </w:r>
      <w:r w:rsidR="00B9060D" w:rsidRPr="00B9060D">
        <w:rPr>
          <w:rFonts w:ascii="Times New Roman" w:hAnsi="Times New Roman" w:cs="Times New Roman"/>
          <w:sz w:val="24"/>
          <w:szCs w:val="24"/>
          <w:lang w:val="en-US"/>
        </w:rPr>
        <w:t>Francisca Ballesteros, María Ángeles Molina</w:t>
      </w:r>
      <w:r w:rsidR="00DA6B8D">
        <w:rPr>
          <w:rFonts w:ascii="Times New Roman" w:hAnsi="Times New Roman" w:cs="Times New Roman"/>
          <w:sz w:val="24"/>
          <w:szCs w:val="24"/>
          <w:lang w:val="en-US"/>
        </w:rPr>
        <w:t xml:space="preserve"> and</w:t>
      </w:r>
      <w:r w:rsidR="00B9060D" w:rsidRPr="00B9060D">
        <w:rPr>
          <w:rFonts w:ascii="Times New Roman" w:hAnsi="Times New Roman" w:cs="Times New Roman"/>
          <w:sz w:val="24"/>
          <w:szCs w:val="24"/>
          <w:lang w:val="en-US"/>
        </w:rPr>
        <w:t xml:space="preserve"> Ana Julia Quezada</w:t>
      </w:r>
      <w:r w:rsidR="00B9060D">
        <w:rPr>
          <w:rFonts w:ascii="Times New Roman" w:hAnsi="Times New Roman" w:cs="Times New Roman"/>
          <w:sz w:val="24"/>
          <w:szCs w:val="24"/>
          <w:lang w:val="en-US"/>
        </w:rPr>
        <w:t xml:space="preserve"> will be analyzed. </w:t>
      </w:r>
    </w:p>
    <w:p w:rsidR="009F4391" w:rsidRPr="009F4391" w:rsidRDefault="009F4391" w:rsidP="00FE15D7">
      <w:pPr>
        <w:pStyle w:val="Cuerpo"/>
        <w:spacing w:line="360" w:lineRule="auto"/>
        <w:jc w:val="both"/>
        <w:rPr>
          <w:rFonts w:ascii="Times New Roman" w:hAnsi="Times New Roman" w:cs="Times New Roman"/>
          <w:sz w:val="24"/>
          <w:szCs w:val="24"/>
          <w:lang w:val="en-US"/>
        </w:rPr>
      </w:pPr>
      <w:r w:rsidRPr="009F4391">
        <w:rPr>
          <w:rFonts w:ascii="Times New Roman" w:hAnsi="Times New Roman" w:cs="Times New Roman"/>
          <w:sz w:val="24"/>
          <w:szCs w:val="24"/>
          <w:lang w:val="en-US"/>
        </w:rPr>
        <w:t xml:space="preserve">Key words: psychopathy, women, </w:t>
      </w:r>
      <w:r>
        <w:rPr>
          <w:rFonts w:ascii="Times New Roman" w:hAnsi="Times New Roman" w:cs="Times New Roman"/>
          <w:sz w:val="24"/>
          <w:szCs w:val="24"/>
          <w:lang w:val="en-US"/>
        </w:rPr>
        <w:t>Antisocial Personality Disorder</w:t>
      </w:r>
      <w:r w:rsidRPr="009F4391">
        <w:rPr>
          <w:rFonts w:ascii="Times New Roman" w:hAnsi="Times New Roman" w:cs="Times New Roman"/>
          <w:sz w:val="24"/>
          <w:szCs w:val="24"/>
          <w:lang w:val="en-US"/>
        </w:rPr>
        <w:t>, e</w:t>
      </w:r>
      <w:r>
        <w:rPr>
          <w:rFonts w:ascii="Times New Roman" w:hAnsi="Times New Roman" w:cs="Times New Roman"/>
          <w:sz w:val="24"/>
          <w:szCs w:val="24"/>
          <w:lang w:val="en-US"/>
        </w:rPr>
        <w:t>tiology, imputability</w:t>
      </w:r>
      <w:r w:rsidRPr="009F4391">
        <w:rPr>
          <w:rFonts w:ascii="Times New Roman" w:hAnsi="Times New Roman" w:cs="Times New Roman"/>
          <w:sz w:val="24"/>
          <w:szCs w:val="24"/>
          <w:lang w:val="en-US"/>
        </w:rPr>
        <w:t>, Psychopathy Checklist.</w:t>
      </w:r>
    </w:p>
    <w:p w:rsidR="008D64CF" w:rsidRDefault="008D64CF" w:rsidP="000770E5">
      <w:pPr>
        <w:pStyle w:val="Cuerpo"/>
        <w:spacing w:line="360" w:lineRule="auto"/>
        <w:jc w:val="both"/>
        <w:rPr>
          <w:rFonts w:ascii="Times New Roman" w:hAnsi="Times New Roman" w:cs="Times New Roman"/>
          <w:sz w:val="24"/>
          <w:szCs w:val="24"/>
          <w:lang w:val="en-US"/>
        </w:rPr>
      </w:pPr>
    </w:p>
    <w:p w:rsidR="00E34AC1" w:rsidRPr="00FE15D7" w:rsidRDefault="007D4A36" w:rsidP="000770E5">
      <w:pPr>
        <w:pStyle w:val="Cuerpo"/>
        <w:spacing w:line="360" w:lineRule="auto"/>
        <w:jc w:val="both"/>
        <w:rPr>
          <w:rFonts w:ascii="Times New Roman" w:hAnsi="Times New Roman" w:cs="Times New Roman"/>
          <w:b/>
          <w:bCs/>
          <w:sz w:val="24"/>
          <w:szCs w:val="24"/>
        </w:rPr>
      </w:pPr>
      <w:r w:rsidRPr="00FE15D7">
        <w:rPr>
          <w:rFonts w:ascii="Times New Roman" w:hAnsi="Times New Roman" w:cs="Times New Roman"/>
          <w:b/>
          <w:bCs/>
          <w:sz w:val="24"/>
          <w:szCs w:val="24"/>
        </w:rPr>
        <w:lastRenderedPageBreak/>
        <w:t>Introducción</w:t>
      </w:r>
      <w:r w:rsidR="005F2033">
        <w:rPr>
          <w:rFonts w:ascii="Times New Roman" w:hAnsi="Times New Roman" w:cs="Times New Roman"/>
          <w:b/>
          <w:bCs/>
          <w:sz w:val="24"/>
          <w:szCs w:val="24"/>
        </w:rPr>
        <w:fldChar w:fldCharType="begin"/>
      </w:r>
      <w:r w:rsidR="005F2033">
        <w:instrText xml:space="preserve"> XE "</w:instrText>
      </w:r>
      <w:r w:rsidR="005F2033" w:rsidRPr="00F62BA3">
        <w:rPr>
          <w:rFonts w:ascii="Times New Roman" w:hAnsi="Times New Roman" w:cs="Times New Roman"/>
          <w:b/>
          <w:bCs/>
          <w:sz w:val="24"/>
          <w:szCs w:val="24"/>
        </w:rPr>
        <w:instrText>Introducción</w:instrText>
      </w:r>
      <w:r w:rsidR="005F2033">
        <w:instrText xml:space="preserve">" </w:instrText>
      </w:r>
      <w:r w:rsidR="005F2033">
        <w:rPr>
          <w:rFonts w:ascii="Times New Roman" w:hAnsi="Times New Roman" w:cs="Times New Roman"/>
          <w:b/>
          <w:bCs/>
          <w:sz w:val="24"/>
          <w:szCs w:val="24"/>
        </w:rPr>
        <w:fldChar w:fldCharType="end"/>
      </w:r>
    </w:p>
    <w:p w:rsidR="00E34AC1" w:rsidRPr="00FE15D7" w:rsidRDefault="00E34AC1"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Desde las primeras definiciones que se realizaron, el concepto de psicopatía ha sido una de las entidades clínicas más controvertidas, divergentes y contradictorias que han existido debido a la confusión existente en los aspectos conceptuales y terminológicos (</w:t>
      </w:r>
      <w:r w:rsidR="00996E33" w:rsidRPr="008B266E">
        <w:rPr>
          <w:rFonts w:ascii="Times New Roman" w:hAnsi="Times New Roman" w:cs="Times New Roman"/>
          <w:sz w:val="24"/>
          <w:szCs w:val="24"/>
        </w:rPr>
        <w:t>Barber, 2019</w:t>
      </w:r>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T</w:t>
      </w:r>
      <w:r w:rsidR="00996E33" w:rsidRPr="008B266E">
        <w:rPr>
          <w:rFonts w:ascii="Times New Roman" w:hAnsi="Times New Roman" w:cs="Times New Roman"/>
          <w:sz w:val="24"/>
          <w:szCs w:val="24"/>
        </w:rPr>
        <w:t>orrubia</w:t>
      </w:r>
      <w:proofErr w:type="spellEnd"/>
      <w:r w:rsidRPr="008B266E">
        <w:rPr>
          <w:rFonts w:ascii="Times New Roman" w:hAnsi="Times New Roman" w:cs="Times New Roman"/>
          <w:sz w:val="24"/>
          <w:szCs w:val="24"/>
        </w:rPr>
        <w:t xml:space="preserve"> y </w:t>
      </w:r>
      <w:proofErr w:type="spellStart"/>
      <w:r w:rsidRPr="008B266E">
        <w:rPr>
          <w:rFonts w:ascii="Times New Roman" w:hAnsi="Times New Roman" w:cs="Times New Roman"/>
          <w:sz w:val="24"/>
          <w:szCs w:val="24"/>
        </w:rPr>
        <w:t>C</w:t>
      </w:r>
      <w:r w:rsidR="00996E33" w:rsidRPr="008B266E">
        <w:rPr>
          <w:rFonts w:ascii="Times New Roman" w:hAnsi="Times New Roman" w:cs="Times New Roman"/>
          <w:sz w:val="24"/>
          <w:szCs w:val="24"/>
        </w:rPr>
        <w:t>uquerella</w:t>
      </w:r>
      <w:proofErr w:type="spellEnd"/>
      <w:r w:rsidR="00996E33" w:rsidRPr="008B266E">
        <w:rPr>
          <w:rFonts w:ascii="Times New Roman" w:hAnsi="Times New Roman" w:cs="Times New Roman"/>
          <w:sz w:val="24"/>
          <w:szCs w:val="24"/>
        </w:rPr>
        <w:t>, 2008</w:t>
      </w:r>
      <w:r w:rsidRPr="008B266E">
        <w:rPr>
          <w:rFonts w:ascii="Times New Roman" w:hAnsi="Times New Roman" w:cs="Times New Roman"/>
          <w:sz w:val="24"/>
          <w:szCs w:val="24"/>
        </w:rPr>
        <w:t>). Por otro lado, debido a la alarma social y la fascinación que provocan las continuas transgresiones de los psicópatas de las leyes y normas sociales en algunas personas, han sido estudiados en muchas ocasiones (López</w:t>
      </w:r>
      <w:r w:rsidR="00996E33" w:rsidRPr="008B266E">
        <w:rPr>
          <w:rFonts w:ascii="Times New Roman" w:hAnsi="Times New Roman" w:cs="Times New Roman"/>
          <w:sz w:val="24"/>
          <w:szCs w:val="24"/>
        </w:rPr>
        <w:t>, 2013</w:t>
      </w:r>
      <w:r w:rsidRPr="008B266E">
        <w:rPr>
          <w:rFonts w:ascii="Times New Roman" w:hAnsi="Times New Roman" w:cs="Times New Roman"/>
          <w:sz w:val="24"/>
          <w:szCs w:val="24"/>
        </w:rPr>
        <w:t>). La prevalencia de este trastorno se presenta entre un 1 y 2% de la población general, siendo de entre un 15 y 25% en las personas con diagnóstico de Trastorno Antisocial de la Personalidad (López</w:t>
      </w:r>
      <w:r w:rsidR="00996E33" w:rsidRPr="008B266E">
        <w:rPr>
          <w:rFonts w:ascii="Times New Roman" w:hAnsi="Times New Roman" w:cs="Times New Roman"/>
          <w:sz w:val="24"/>
          <w:szCs w:val="24"/>
        </w:rPr>
        <w:t>, 2013</w:t>
      </w:r>
      <w:r w:rsidRPr="008B266E">
        <w:rPr>
          <w:rFonts w:ascii="Times New Roman" w:hAnsi="Times New Roman" w:cs="Times New Roman"/>
          <w:sz w:val="24"/>
          <w:szCs w:val="24"/>
        </w:rPr>
        <w:t>).</w:t>
      </w:r>
    </w:p>
    <w:p w:rsidR="00E34AC1" w:rsidRPr="008B266E" w:rsidRDefault="00E34AC1"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Podría considerarse como la primera definición de psicopatía la proporcionada por Philippe Pinel en 1801 (López y Núñez</w:t>
      </w:r>
      <w:r w:rsidR="00996E33" w:rsidRPr="008B266E">
        <w:rPr>
          <w:rFonts w:ascii="Times New Roman" w:hAnsi="Times New Roman" w:cs="Times New Roman"/>
          <w:sz w:val="24"/>
          <w:szCs w:val="24"/>
        </w:rPr>
        <w:t>, 2009</w:t>
      </w:r>
      <w:r w:rsidRPr="008B266E">
        <w:rPr>
          <w:rFonts w:ascii="Times New Roman" w:hAnsi="Times New Roman" w:cs="Times New Roman"/>
          <w:sz w:val="24"/>
          <w:szCs w:val="24"/>
        </w:rPr>
        <w:t>). Utilizó el término de locura sin delirio (</w:t>
      </w:r>
      <w:proofErr w:type="spellStart"/>
      <w:r w:rsidRPr="008B266E">
        <w:rPr>
          <w:rFonts w:ascii="Times New Roman" w:hAnsi="Times New Roman" w:cs="Times New Roman"/>
          <w:sz w:val="24"/>
          <w:szCs w:val="24"/>
        </w:rPr>
        <w:t>manie</w:t>
      </w:r>
      <w:proofErr w:type="spellEnd"/>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sans</w:t>
      </w:r>
      <w:proofErr w:type="spellEnd"/>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délire</w:t>
      </w:r>
      <w:proofErr w:type="spellEnd"/>
      <w:r w:rsidRPr="008B266E">
        <w:rPr>
          <w:rFonts w:ascii="Times New Roman" w:hAnsi="Times New Roman" w:cs="Times New Roman"/>
          <w:sz w:val="24"/>
          <w:szCs w:val="24"/>
        </w:rPr>
        <w:t xml:space="preserve">) para referirse a aquellos individuos que presentan una alteración de las funciones afectivas y en el control de impulsos, lo que </w:t>
      </w:r>
      <w:proofErr w:type="gramStart"/>
      <w:r w:rsidRPr="008B266E">
        <w:rPr>
          <w:rFonts w:ascii="Times New Roman" w:hAnsi="Times New Roman" w:cs="Times New Roman"/>
          <w:sz w:val="24"/>
          <w:szCs w:val="24"/>
        </w:rPr>
        <w:t>les</w:t>
      </w:r>
      <w:proofErr w:type="gramEnd"/>
      <w:r w:rsidRPr="008B266E">
        <w:rPr>
          <w:rFonts w:ascii="Times New Roman" w:hAnsi="Times New Roman" w:cs="Times New Roman"/>
          <w:sz w:val="24"/>
          <w:szCs w:val="24"/>
        </w:rPr>
        <w:t xml:space="preserve"> lleva a cometer actos impulsivos y punitivos, actuando con violencia y entrando en conflicto con las normas morales y legales, sin ningún tipo de remordimientos y con la capacidad intelectual intacta (</w:t>
      </w:r>
      <w:r w:rsidR="00996E33" w:rsidRPr="008B266E">
        <w:rPr>
          <w:rFonts w:ascii="Times New Roman" w:hAnsi="Times New Roman" w:cs="Times New Roman"/>
          <w:sz w:val="24"/>
          <w:szCs w:val="24"/>
        </w:rPr>
        <w:t>Barber, 2019;</w:t>
      </w:r>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Pozueco</w:t>
      </w:r>
      <w:proofErr w:type="spellEnd"/>
      <w:r w:rsidR="00996E33" w:rsidRPr="008B266E">
        <w:rPr>
          <w:rFonts w:ascii="Times New Roman" w:hAnsi="Times New Roman" w:cs="Times New Roman"/>
          <w:sz w:val="24"/>
          <w:szCs w:val="24"/>
        </w:rPr>
        <w:t>, Romero y Casas, 2011;</w:t>
      </w:r>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T</w:t>
      </w:r>
      <w:r w:rsidR="00CF12E7" w:rsidRPr="008B266E">
        <w:rPr>
          <w:rFonts w:ascii="Times New Roman" w:hAnsi="Times New Roman" w:cs="Times New Roman"/>
          <w:sz w:val="24"/>
          <w:szCs w:val="24"/>
        </w:rPr>
        <w:t>o</w:t>
      </w:r>
      <w:r w:rsidRPr="008B266E">
        <w:rPr>
          <w:rFonts w:ascii="Times New Roman" w:hAnsi="Times New Roman" w:cs="Times New Roman"/>
          <w:sz w:val="24"/>
          <w:szCs w:val="24"/>
        </w:rPr>
        <w:t>rrubia</w:t>
      </w:r>
      <w:proofErr w:type="spellEnd"/>
      <w:r w:rsidRPr="008B266E">
        <w:rPr>
          <w:rFonts w:ascii="Times New Roman" w:hAnsi="Times New Roman" w:cs="Times New Roman"/>
          <w:sz w:val="24"/>
          <w:szCs w:val="24"/>
        </w:rPr>
        <w:t xml:space="preserve"> y </w:t>
      </w:r>
      <w:proofErr w:type="spellStart"/>
      <w:r w:rsidRPr="008B266E">
        <w:rPr>
          <w:rFonts w:ascii="Times New Roman" w:hAnsi="Times New Roman" w:cs="Times New Roman"/>
          <w:sz w:val="24"/>
          <w:szCs w:val="24"/>
        </w:rPr>
        <w:t>Cuquerella</w:t>
      </w:r>
      <w:proofErr w:type="spellEnd"/>
      <w:r w:rsidR="00996E33" w:rsidRPr="008B266E">
        <w:rPr>
          <w:rFonts w:ascii="Times New Roman" w:hAnsi="Times New Roman" w:cs="Times New Roman"/>
          <w:sz w:val="24"/>
          <w:szCs w:val="24"/>
        </w:rPr>
        <w:t>, 2008</w:t>
      </w:r>
      <w:r w:rsidRPr="008B266E">
        <w:rPr>
          <w:rFonts w:ascii="Times New Roman" w:hAnsi="Times New Roman" w:cs="Times New Roman"/>
          <w:sz w:val="24"/>
          <w:szCs w:val="24"/>
        </w:rPr>
        <w:t xml:space="preserve">). Siguiendo esta percepción moralista, en 1935, James </w:t>
      </w:r>
      <w:proofErr w:type="spellStart"/>
      <w:r w:rsidRPr="008B266E">
        <w:rPr>
          <w:rFonts w:ascii="Times New Roman" w:hAnsi="Times New Roman" w:cs="Times New Roman"/>
          <w:sz w:val="24"/>
          <w:szCs w:val="24"/>
        </w:rPr>
        <w:t>Cowles</w:t>
      </w:r>
      <w:proofErr w:type="spellEnd"/>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Prichard</w:t>
      </w:r>
      <w:proofErr w:type="spellEnd"/>
      <w:r w:rsidRPr="008B266E">
        <w:rPr>
          <w:rFonts w:ascii="Times New Roman" w:hAnsi="Times New Roman" w:cs="Times New Roman"/>
          <w:sz w:val="24"/>
          <w:szCs w:val="24"/>
        </w:rPr>
        <w:t xml:space="preserve">, introdujo el concepto de locura moral (moral </w:t>
      </w:r>
      <w:proofErr w:type="spellStart"/>
      <w:r w:rsidRPr="008B266E">
        <w:rPr>
          <w:rFonts w:ascii="Times New Roman" w:hAnsi="Times New Roman" w:cs="Times New Roman"/>
          <w:sz w:val="24"/>
          <w:szCs w:val="24"/>
        </w:rPr>
        <w:t>insanity</w:t>
      </w:r>
      <w:proofErr w:type="spellEnd"/>
      <w:r w:rsidRPr="008B266E">
        <w:rPr>
          <w:rFonts w:ascii="Times New Roman" w:hAnsi="Times New Roman" w:cs="Times New Roman"/>
          <w:sz w:val="24"/>
          <w:szCs w:val="24"/>
        </w:rPr>
        <w:t>) haciendo referencia a los sujetos que presentan una alteración en las funciones morales y en los afectos, siendo incapaz de comportarse con decencia y propiedad en la vida, a pesar de la ausencia de un déficit en el intelecto y de alucinaciones u otras alteraciones del pensamiento (</w:t>
      </w:r>
      <w:r w:rsidR="00996E33" w:rsidRPr="008B266E">
        <w:rPr>
          <w:rFonts w:ascii="Times New Roman" w:hAnsi="Times New Roman" w:cs="Times New Roman"/>
          <w:sz w:val="24"/>
          <w:szCs w:val="24"/>
        </w:rPr>
        <w:t>Barber, 2019;</w:t>
      </w:r>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Torrubia</w:t>
      </w:r>
      <w:proofErr w:type="spellEnd"/>
      <w:r w:rsidRPr="008B266E">
        <w:rPr>
          <w:rFonts w:ascii="Times New Roman" w:hAnsi="Times New Roman" w:cs="Times New Roman"/>
          <w:sz w:val="24"/>
          <w:szCs w:val="24"/>
        </w:rPr>
        <w:t xml:space="preserve"> y </w:t>
      </w:r>
      <w:proofErr w:type="spellStart"/>
      <w:r w:rsidRPr="008B266E">
        <w:rPr>
          <w:rFonts w:ascii="Times New Roman" w:hAnsi="Times New Roman" w:cs="Times New Roman"/>
          <w:sz w:val="24"/>
          <w:szCs w:val="24"/>
        </w:rPr>
        <w:t>Cuquerella</w:t>
      </w:r>
      <w:proofErr w:type="spellEnd"/>
      <w:r w:rsidR="00996E33" w:rsidRPr="008B266E">
        <w:rPr>
          <w:rFonts w:ascii="Times New Roman" w:hAnsi="Times New Roman" w:cs="Times New Roman"/>
          <w:sz w:val="24"/>
          <w:szCs w:val="24"/>
        </w:rPr>
        <w:t>, 2008;</w:t>
      </w:r>
      <w:r w:rsidRPr="008B266E">
        <w:rPr>
          <w:rFonts w:ascii="Times New Roman" w:hAnsi="Times New Roman" w:cs="Times New Roman"/>
          <w:sz w:val="24"/>
          <w:szCs w:val="24"/>
        </w:rPr>
        <w:t xml:space="preserve"> López y Robles</w:t>
      </w:r>
      <w:r w:rsidR="00996E33" w:rsidRPr="008B266E">
        <w:rPr>
          <w:rFonts w:ascii="Times New Roman" w:hAnsi="Times New Roman" w:cs="Times New Roman"/>
          <w:sz w:val="24"/>
          <w:szCs w:val="24"/>
        </w:rPr>
        <w:t>, 2005</w:t>
      </w:r>
      <w:r w:rsidRPr="008B266E">
        <w:rPr>
          <w:rFonts w:ascii="Times New Roman" w:hAnsi="Times New Roman" w:cs="Times New Roman"/>
          <w:sz w:val="24"/>
          <w:szCs w:val="24"/>
        </w:rPr>
        <w:t>). Ambos autores fueron los responsables de mostrar la existencia de las insanias sin compromiso intelectual (</w:t>
      </w:r>
      <w:proofErr w:type="spellStart"/>
      <w:r w:rsidRPr="008B266E">
        <w:rPr>
          <w:rFonts w:ascii="Times New Roman" w:hAnsi="Times New Roman" w:cs="Times New Roman"/>
          <w:sz w:val="24"/>
          <w:szCs w:val="24"/>
        </w:rPr>
        <w:t>Pozueco</w:t>
      </w:r>
      <w:proofErr w:type="spellEnd"/>
      <w:r w:rsidRPr="008B266E">
        <w:rPr>
          <w:rFonts w:ascii="Times New Roman" w:hAnsi="Times New Roman" w:cs="Times New Roman"/>
          <w:sz w:val="24"/>
          <w:szCs w:val="24"/>
        </w:rPr>
        <w:t xml:space="preserve"> </w:t>
      </w:r>
      <w:r w:rsidR="00996E33" w:rsidRPr="008B266E">
        <w:rPr>
          <w:rFonts w:ascii="Times New Roman" w:hAnsi="Times New Roman" w:cs="Times New Roman"/>
          <w:sz w:val="24"/>
          <w:szCs w:val="24"/>
        </w:rPr>
        <w:t>et. al, 2011</w:t>
      </w:r>
      <w:r w:rsidRPr="008B266E">
        <w:rPr>
          <w:rFonts w:ascii="Times New Roman" w:hAnsi="Times New Roman" w:cs="Times New Roman"/>
          <w:sz w:val="24"/>
          <w:szCs w:val="24"/>
        </w:rPr>
        <w:t xml:space="preserve">). </w:t>
      </w: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 xml:space="preserve">En 1943, La Mental </w:t>
      </w:r>
      <w:proofErr w:type="spellStart"/>
      <w:r w:rsidRPr="008B266E">
        <w:rPr>
          <w:rFonts w:ascii="Times New Roman" w:hAnsi="Times New Roman" w:cs="Times New Roman"/>
          <w:sz w:val="24"/>
          <w:szCs w:val="24"/>
        </w:rPr>
        <w:t>Deficiency</w:t>
      </w:r>
      <w:proofErr w:type="spellEnd"/>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Act</w:t>
      </w:r>
      <w:proofErr w:type="spellEnd"/>
      <w:r w:rsidRPr="008B266E">
        <w:rPr>
          <w:rFonts w:ascii="Times New Roman" w:hAnsi="Times New Roman" w:cs="Times New Roman"/>
          <w:sz w:val="24"/>
          <w:szCs w:val="24"/>
        </w:rPr>
        <w:t>, señaló como imbéciles morales a quienes presentaban algún defecto moral junto con propensiones criminales, añadiendo en 1927 el requerimiento de cuidado y control de estas personas para la protección de los demás, denominándoles deficientes morales, siendo en 1959 cuando introducen el término de trastorno psicopático (</w:t>
      </w:r>
      <w:r w:rsidR="000770E5" w:rsidRPr="008B266E">
        <w:rPr>
          <w:rFonts w:ascii="Times New Roman" w:hAnsi="Times New Roman" w:cs="Times New Roman"/>
          <w:sz w:val="24"/>
          <w:szCs w:val="24"/>
        </w:rPr>
        <w:t xml:space="preserve">López, 2013; </w:t>
      </w:r>
      <w:proofErr w:type="spellStart"/>
      <w:r w:rsidRPr="008B266E">
        <w:rPr>
          <w:rFonts w:ascii="Times New Roman" w:hAnsi="Times New Roman" w:cs="Times New Roman"/>
          <w:sz w:val="24"/>
          <w:szCs w:val="24"/>
        </w:rPr>
        <w:t>Torrubia</w:t>
      </w:r>
      <w:proofErr w:type="spellEnd"/>
      <w:r w:rsidRPr="008B266E">
        <w:rPr>
          <w:rFonts w:ascii="Times New Roman" w:hAnsi="Times New Roman" w:cs="Times New Roman"/>
          <w:sz w:val="24"/>
          <w:szCs w:val="24"/>
        </w:rPr>
        <w:t xml:space="preserve"> y </w:t>
      </w:r>
      <w:proofErr w:type="spellStart"/>
      <w:r w:rsidRPr="008B266E">
        <w:rPr>
          <w:rFonts w:ascii="Times New Roman" w:hAnsi="Times New Roman" w:cs="Times New Roman"/>
          <w:sz w:val="24"/>
          <w:szCs w:val="24"/>
        </w:rPr>
        <w:t>Cuquerella</w:t>
      </w:r>
      <w:proofErr w:type="spellEnd"/>
      <w:r w:rsidR="00996E33" w:rsidRPr="008B266E">
        <w:rPr>
          <w:rFonts w:ascii="Times New Roman" w:hAnsi="Times New Roman" w:cs="Times New Roman"/>
          <w:sz w:val="24"/>
          <w:szCs w:val="24"/>
        </w:rPr>
        <w:t>, 2008</w:t>
      </w:r>
      <w:r w:rsidRPr="008B266E">
        <w:rPr>
          <w:rFonts w:ascii="Times New Roman" w:hAnsi="Times New Roman" w:cs="Times New Roman"/>
          <w:sz w:val="24"/>
          <w:szCs w:val="24"/>
        </w:rPr>
        <w:t>).</w:t>
      </w: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 xml:space="preserve">Haciendo referencia a una perspectiva más psicopatológica, Emil </w:t>
      </w:r>
      <w:proofErr w:type="spellStart"/>
      <w:r w:rsidRPr="008B266E">
        <w:rPr>
          <w:rFonts w:ascii="Times New Roman" w:hAnsi="Times New Roman" w:cs="Times New Roman"/>
          <w:sz w:val="24"/>
          <w:szCs w:val="24"/>
        </w:rPr>
        <w:t>Kraepelin</w:t>
      </w:r>
      <w:proofErr w:type="spellEnd"/>
      <w:r w:rsidRPr="008B266E">
        <w:rPr>
          <w:rFonts w:ascii="Times New Roman" w:hAnsi="Times New Roman" w:cs="Times New Roman"/>
          <w:sz w:val="24"/>
          <w:szCs w:val="24"/>
        </w:rPr>
        <w:t xml:space="preserve"> en 1915, nombra a las personas con déficit en los afectos o en la voluntad como personalidades psicopáticas (Moren</w:t>
      </w:r>
      <w:r w:rsidR="009928D8" w:rsidRPr="008B266E">
        <w:rPr>
          <w:rFonts w:ascii="Times New Roman" w:hAnsi="Times New Roman" w:cs="Times New Roman"/>
          <w:sz w:val="24"/>
          <w:szCs w:val="24"/>
        </w:rPr>
        <w:t>o et. al, 2019</w:t>
      </w:r>
      <w:r w:rsidRPr="008B266E">
        <w:rPr>
          <w:rFonts w:ascii="Times New Roman" w:hAnsi="Times New Roman" w:cs="Times New Roman"/>
          <w:sz w:val="24"/>
          <w:szCs w:val="24"/>
        </w:rPr>
        <w:t xml:space="preserve">). Más tarde, en 1943, </w:t>
      </w:r>
      <w:proofErr w:type="spellStart"/>
      <w:r w:rsidRPr="008B266E">
        <w:rPr>
          <w:rFonts w:ascii="Times New Roman" w:hAnsi="Times New Roman" w:cs="Times New Roman"/>
          <w:sz w:val="24"/>
          <w:szCs w:val="24"/>
        </w:rPr>
        <w:t>Kurt</w:t>
      </w:r>
      <w:proofErr w:type="spellEnd"/>
      <w:r w:rsidRPr="008B266E">
        <w:rPr>
          <w:rFonts w:ascii="Times New Roman" w:hAnsi="Times New Roman" w:cs="Times New Roman"/>
          <w:sz w:val="24"/>
          <w:szCs w:val="24"/>
        </w:rPr>
        <w:t xml:space="preserve"> Schneider continúa esta trayectoria, definiendo a los psicópatas como individuos que, como resultado de su personalidad anormal, están siempre implicados en conflictos, carecen de decencia, remordimiento y conciencia, siendo fríos, inestables y violentos (López</w:t>
      </w:r>
      <w:r w:rsidR="009928D8" w:rsidRPr="008B266E">
        <w:rPr>
          <w:rFonts w:ascii="Times New Roman" w:hAnsi="Times New Roman" w:cs="Times New Roman"/>
          <w:sz w:val="24"/>
          <w:szCs w:val="24"/>
        </w:rPr>
        <w:t>, 2013;</w:t>
      </w:r>
      <w:r w:rsidRPr="008B266E">
        <w:rPr>
          <w:rFonts w:ascii="Times New Roman" w:hAnsi="Times New Roman" w:cs="Times New Roman"/>
          <w:sz w:val="24"/>
          <w:szCs w:val="24"/>
        </w:rPr>
        <w:t xml:space="preserve"> Moreno</w:t>
      </w:r>
      <w:r w:rsidR="009928D8" w:rsidRPr="008B266E">
        <w:rPr>
          <w:rFonts w:ascii="Times New Roman" w:hAnsi="Times New Roman" w:cs="Times New Roman"/>
          <w:sz w:val="24"/>
          <w:szCs w:val="24"/>
        </w:rPr>
        <w:t xml:space="preserve"> et. al, 2019;</w:t>
      </w:r>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Torrubia</w:t>
      </w:r>
      <w:proofErr w:type="spellEnd"/>
      <w:r w:rsidRPr="008B266E">
        <w:rPr>
          <w:rFonts w:ascii="Times New Roman" w:hAnsi="Times New Roman" w:cs="Times New Roman"/>
          <w:sz w:val="24"/>
          <w:szCs w:val="24"/>
        </w:rPr>
        <w:t xml:space="preserve"> y </w:t>
      </w:r>
      <w:proofErr w:type="spellStart"/>
      <w:r w:rsidRPr="008B266E">
        <w:rPr>
          <w:rFonts w:ascii="Times New Roman" w:hAnsi="Times New Roman" w:cs="Times New Roman"/>
          <w:sz w:val="24"/>
          <w:szCs w:val="24"/>
        </w:rPr>
        <w:t>Cuquerella</w:t>
      </w:r>
      <w:proofErr w:type="spellEnd"/>
      <w:r w:rsidR="009928D8" w:rsidRPr="008B266E">
        <w:rPr>
          <w:rFonts w:ascii="Times New Roman" w:hAnsi="Times New Roman" w:cs="Times New Roman"/>
          <w:sz w:val="24"/>
          <w:szCs w:val="24"/>
        </w:rPr>
        <w:t>, 2008</w:t>
      </w:r>
      <w:r w:rsidRPr="008B266E">
        <w:rPr>
          <w:rFonts w:ascii="Times New Roman" w:hAnsi="Times New Roman" w:cs="Times New Roman"/>
          <w:sz w:val="24"/>
          <w:szCs w:val="24"/>
        </w:rPr>
        <w:t xml:space="preserve">). Señala la existencia de diez </w:t>
      </w:r>
      <w:r w:rsidRPr="008B266E">
        <w:rPr>
          <w:rFonts w:ascii="Times New Roman" w:hAnsi="Times New Roman" w:cs="Times New Roman"/>
          <w:sz w:val="24"/>
          <w:szCs w:val="24"/>
        </w:rPr>
        <w:lastRenderedPageBreak/>
        <w:t xml:space="preserve">personalidades psicopáticas siendo estas los </w:t>
      </w:r>
      <w:proofErr w:type="spellStart"/>
      <w:r w:rsidRPr="008B266E">
        <w:rPr>
          <w:rFonts w:ascii="Times New Roman" w:hAnsi="Times New Roman" w:cs="Times New Roman"/>
          <w:sz w:val="24"/>
          <w:szCs w:val="24"/>
        </w:rPr>
        <w:t>hipertímicos</w:t>
      </w:r>
      <w:proofErr w:type="spellEnd"/>
      <w:r w:rsidRPr="008B266E">
        <w:rPr>
          <w:rFonts w:ascii="Times New Roman" w:hAnsi="Times New Roman" w:cs="Times New Roman"/>
          <w:sz w:val="24"/>
          <w:szCs w:val="24"/>
        </w:rPr>
        <w:t>, los deprimidos, los miedosos, los fanáticos, los vanidosos, los lábiles, los explosivos, los fríos, los abúlicos y los asténicos (</w:t>
      </w:r>
      <w:proofErr w:type="spellStart"/>
      <w:r w:rsidR="009928D8" w:rsidRPr="008B266E">
        <w:rPr>
          <w:rFonts w:ascii="Times New Roman" w:hAnsi="Times New Roman" w:cs="Times New Roman"/>
          <w:sz w:val="24"/>
          <w:szCs w:val="24"/>
        </w:rPr>
        <w:t>Pozueco</w:t>
      </w:r>
      <w:proofErr w:type="spellEnd"/>
      <w:r w:rsidR="009928D8" w:rsidRPr="008B266E">
        <w:rPr>
          <w:rFonts w:ascii="Times New Roman" w:hAnsi="Times New Roman" w:cs="Times New Roman"/>
          <w:sz w:val="24"/>
          <w:szCs w:val="24"/>
        </w:rPr>
        <w:t xml:space="preserve"> et. al, 2011</w:t>
      </w:r>
      <w:r w:rsidRPr="008B266E">
        <w:rPr>
          <w:rFonts w:ascii="Times New Roman" w:hAnsi="Times New Roman" w:cs="Times New Roman"/>
          <w:sz w:val="24"/>
          <w:szCs w:val="24"/>
        </w:rPr>
        <w:t xml:space="preserve">). </w:t>
      </w: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 xml:space="preserve">En 1940, </w:t>
      </w:r>
      <w:proofErr w:type="spellStart"/>
      <w:r w:rsidRPr="008B266E">
        <w:rPr>
          <w:rFonts w:ascii="Times New Roman" w:hAnsi="Times New Roman" w:cs="Times New Roman"/>
          <w:sz w:val="24"/>
          <w:szCs w:val="24"/>
        </w:rPr>
        <w:t>Hervey</w:t>
      </w:r>
      <w:proofErr w:type="spellEnd"/>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Cleckley</w:t>
      </w:r>
      <w:proofErr w:type="spellEnd"/>
      <w:r w:rsidRPr="008B266E">
        <w:rPr>
          <w:rFonts w:ascii="Times New Roman" w:hAnsi="Times New Roman" w:cs="Times New Roman"/>
          <w:sz w:val="24"/>
          <w:szCs w:val="24"/>
        </w:rPr>
        <w:t xml:space="preserve"> escribió “</w:t>
      </w:r>
      <w:proofErr w:type="spellStart"/>
      <w:r w:rsidRPr="008B266E">
        <w:rPr>
          <w:rFonts w:ascii="Times New Roman" w:hAnsi="Times New Roman" w:cs="Times New Roman"/>
          <w:i/>
          <w:iCs/>
          <w:sz w:val="24"/>
          <w:szCs w:val="24"/>
        </w:rPr>
        <w:t>The</w:t>
      </w:r>
      <w:proofErr w:type="spellEnd"/>
      <w:r w:rsidRPr="008B266E">
        <w:rPr>
          <w:rFonts w:ascii="Times New Roman" w:hAnsi="Times New Roman" w:cs="Times New Roman"/>
          <w:i/>
          <w:iCs/>
          <w:sz w:val="24"/>
          <w:szCs w:val="24"/>
        </w:rPr>
        <w:t xml:space="preserve"> </w:t>
      </w:r>
      <w:proofErr w:type="spellStart"/>
      <w:r w:rsidRPr="008B266E">
        <w:rPr>
          <w:rFonts w:ascii="Times New Roman" w:hAnsi="Times New Roman" w:cs="Times New Roman"/>
          <w:i/>
          <w:iCs/>
          <w:sz w:val="24"/>
          <w:szCs w:val="24"/>
        </w:rPr>
        <w:t>Mask</w:t>
      </w:r>
      <w:proofErr w:type="spellEnd"/>
      <w:r w:rsidRPr="008B266E">
        <w:rPr>
          <w:rFonts w:ascii="Times New Roman" w:hAnsi="Times New Roman" w:cs="Times New Roman"/>
          <w:i/>
          <w:iCs/>
          <w:sz w:val="24"/>
          <w:szCs w:val="24"/>
        </w:rPr>
        <w:t xml:space="preserve"> of </w:t>
      </w:r>
      <w:proofErr w:type="spellStart"/>
      <w:r w:rsidRPr="008B266E">
        <w:rPr>
          <w:rFonts w:ascii="Times New Roman" w:hAnsi="Times New Roman" w:cs="Times New Roman"/>
          <w:i/>
          <w:iCs/>
          <w:sz w:val="24"/>
          <w:szCs w:val="24"/>
        </w:rPr>
        <w:t>Sanity</w:t>
      </w:r>
      <w:proofErr w:type="spellEnd"/>
      <w:r w:rsidRPr="008B266E">
        <w:rPr>
          <w:rFonts w:ascii="Times New Roman" w:hAnsi="Times New Roman" w:cs="Times New Roman"/>
          <w:sz w:val="24"/>
          <w:szCs w:val="24"/>
        </w:rPr>
        <w:t>”, donde realiza una descripción fenomenológica interna y externa de la psicopatía, haciendo referencia a la alteración de la conciencia moral, pero conservando la conciencia intelectual, estos individuos puede imitar los sentimientos y la moral del ser humano pero presenta</w:t>
      </w:r>
      <w:r w:rsidR="004A72B1" w:rsidRPr="008B266E">
        <w:rPr>
          <w:rFonts w:ascii="Times New Roman" w:hAnsi="Times New Roman" w:cs="Times New Roman"/>
          <w:sz w:val="24"/>
          <w:szCs w:val="24"/>
        </w:rPr>
        <w:t>n</w:t>
      </w:r>
      <w:r w:rsidRPr="008B266E">
        <w:rPr>
          <w:rFonts w:ascii="Times New Roman" w:hAnsi="Times New Roman" w:cs="Times New Roman"/>
          <w:sz w:val="24"/>
          <w:szCs w:val="24"/>
        </w:rPr>
        <w:t xml:space="preserve"> ausencia de las emociones asociadas a ello (López</w:t>
      </w:r>
      <w:r w:rsidR="009928D8" w:rsidRPr="008B266E">
        <w:rPr>
          <w:rFonts w:ascii="Times New Roman" w:hAnsi="Times New Roman" w:cs="Times New Roman"/>
          <w:sz w:val="24"/>
          <w:szCs w:val="24"/>
        </w:rPr>
        <w:t>, 2013</w:t>
      </w:r>
      <w:r w:rsidRPr="008B266E">
        <w:rPr>
          <w:rFonts w:ascii="Times New Roman" w:hAnsi="Times New Roman" w:cs="Times New Roman"/>
          <w:sz w:val="24"/>
          <w:szCs w:val="24"/>
        </w:rPr>
        <w:t>). Utiliza la palabra máscara para señalar que los psicópatas tienen la capacidad de dar la impresión, al principio, de que son personas amigables y bien adaptadas (</w:t>
      </w:r>
      <w:r w:rsidR="009928D8" w:rsidRPr="008B266E">
        <w:rPr>
          <w:rFonts w:ascii="Times New Roman" w:hAnsi="Times New Roman" w:cs="Times New Roman"/>
          <w:sz w:val="24"/>
          <w:szCs w:val="24"/>
        </w:rPr>
        <w:t>Barber, 2019</w:t>
      </w:r>
      <w:r w:rsidRPr="008B266E">
        <w:rPr>
          <w:rFonts w:ascii="Times New Roman" w:hAnsi="Times New Roman" w:cs="Times New Roman"/>
          <w:sz w:val="24"/>
          <w:szCs w:val="24"/>
        </w:rPr>
        <w:t xml:space="preserve">). A partir de este momento la psicopatía pasa a ser un </w:t>
      </w:r>
      <w:r w:rsidR="00763588" w:rsidRPr="008B266E">
        <w:rPr>
          <w:rFonts w:ascii="Times New Roman" w:hAnsi="Times New Roman" w:cs="Times New Roman"/>
          <w:sz w:val="24"/>
          <w:szCs w:val="24"/>
        </w:rPr>
        <w:t>constructo</w:t>
      </w:r>
      <w:r w:rsidRPr="008B266E">
        <w:rPr>
          <w:rFonts w:ascii="Times New Roman" w:hAnsi="Times New Roman" w:cs="Times New Roman"/>
          <w:sz w:val="24"/>
          <w:szCs w:val="24"/>
        </w:rPr>
        <w:t xml:space="preserve"> clínico con entidad propia (</w:t>
      </w:r>
      <w:proofErr w:type="spellStart"/>
      <w:r w:rsidRPr="008B266E">
        <w:rPr>
          <w:rFonts w:ascii="Times New Roman" w:hAnsi="Times New Roman" w:cs="Times New Roman"/>
          <w:sz w:val="24"/>
          <w:szCs w:val="24"/>
        </w:rPr>
        <w:t>Pozueco</w:t>
      </w:r>
      <w:proofErr w:type="spellEnd"/>
      <w:r w:rsidRPr="008B266E">
        <w:rPr>
          <w:rFonts w:ascii="Times New Roman" w:hAnsi="Times New Roman" w:cs="Times New Roman"/>
          <w:sz w:val="24"/>
          <w:szCs w:val="24"/>
        </w:rPr>
        <w:t xml:space="preserve"> </w:t>
      </w:r>
      <w:r w:rsidR="009928D8" w:rsidRPr="008B266E">
        <w:rPr>
          <w:rFonts w:ascii="Times New Roman" w:hAnsi="Times New Roman" w:cs="Times New Roman"/>
          <w:sz w:val="24"/>
          <w:szCs w:val="24"/>
        </w:rPr>
        <w:t>et. al, 2011</w:t>
      </w:r>
      <w:r w:rsidRPr="008B266E">
        <w:rPr>
          <w:rFonts w:ascii="Times New Roman" w:hAnsi="Times New Roman" w:cs="Times New Roman"/>
          <w:sz w:val="24"/>
          <w:szCs w:val="24"/>
        </w:rPr>
        <w:t>).</w:t>
      </w:r>
    </w:p>
    <w:p w:rsidR="00E34AC1" w:rsidRPr="008B266E" w:rsidRDefault="00E34AC1"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Actualmente, se ha acumulado suficiente evidencia clínica, forense y de laboratorio que permite definir a los psicópatas como individuos que, a causa de su carácter frío, manipulador e impulsivo, de su agresividad y violación persistente de las normas sociales, entran en conflicto permanente con su entorno social (</w:t>
      </w:r>
      <w:proofErr w:type="spellStart"/>
      <w:r w:rsidR="009928D8" w:rsidRPr="008B266E">
        <w:rPr>
          <w:rFonts w:ascii="Times New Roman" w:hAnsi="Times New Roman" w:cs="Times New Roman"/>
          <w:sz w:val="24"/>
          <w:szCs w:val="24"/>
        </w:rPr>
        <w:t>Torrubia</w:t>
      </w:r>
      <w:proofErr w:type="spellEnd"/>
      <w:r w:rsidR="009928D8" w:rsidRPr="008B266E">
        <w:rPr>
          <w:rFonts w:ascii="Times New Roman" w:hAnsi="Times New Roman" w:cs="Times New Roman"/>
          <w:sz w:val="24"/>
          <w:szCs w:val="24"/>
        </w:rPr>
        <w:t xml:space="preserve"> y </w:t>
      </w:r>
      <w:proofErr w:type="spellStart"/>
      <w:r w:rsidR="009928D8" w:rsidRPr="008B266E">
        <w:rPr>
          <w:rFonts w:ascii="Times New Roman" w:hAnsi="Times New Roman" w:cs="Times New Roman"/>
          <w:sz w:val="24"/>
          <w:szCs w:val="24"/>
        </w:rPr>
        <w:t>Cuquerella</w:t>
      </w:r>
      <w:proofErr w:type="spellEnd"/>
      <w:r w:rsidR="009928D8" w:rsidRPr="008B266E">
        <w:rPr>
          <w:rFonts w:ascii="Times New Roman" w:hAnsi="Times New Roman" w:cs="Times New Roman"/>
          <w:sz w:val="24"/>
          <w:szCs w:val="24"/>
        </w:rPr>
        <w:t>, 2008</w:t>
      </w:r>
      <w:r w:rsidRPr="008B266E">
        <w:rPr>
          <w:rFonts w:ascii="Times New Roman" w:hAnsi="Times New Roman" w:cs="Times New Roman"/>
          <w:sz w:val="24"/>
          <w:szCs w:val="24"/>
        </w:rPr>
        <w:t>).</w:t>
      </w:r>
    </w:p>
    <w:p w:rsidR="00E34AC1" w:rsidRPr="008B266E" w:rsidRDefault="00E34AC1"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En este trabajo se pretende realizar una revisión sobre la definición del t</w:t>
      </w:r>
      <w:r w:rsidRPr="008B266E">
        <w:rPr>
          <w:rFonts w:ascii="Times New Roman" w:hAnsi="Times New Roman" w:cs="Times New Roman"/>
          <w:sz w:val="24"/>
          <w:szCs w:val="24"/>
          <w:lang w:val="fr-FR"/>
        </w:rPr>
        <w:t>é</w:t>
      </w:r>
      <w:proofErr w:type="spellStart"/>
      <w:r w:rsidRPr="008B266E">
        <w:rPr>
          <w:rFonts w:ascii="Times New Roman" w:hAnsi="Times New Roman" w:cs="Times New Roman"/>
          <w:sz w:val="24"/>
          <w:szCs w:val="24"/>
          <w:lang w:val="it-IT"/>
        </w:rPr>
        <w:t>rmino</w:t>
      </w:r>
      <w:proofErr w:type="spellEnd"/>
      <w:r w:rsidRPr="008B266E">
        <w:rPr>
          <w:rFonts w:ascii="Times New Roman" w:hAnsi="Times New Roman" w:cs="Times New Roman"/>
          <w:sz w:val="24"/>
          <w:szCs w:val="24"/>
          <w:lang w:val="it-IT"/>
        </w:rPr>
        <w:t xml:space="preserve"> </w:t>
      </w:r>
      <w:proofErr w:type="spellStart"/>
      <w:r w:rsidRPr="008B266E">
        <w:rPr>
          <w:rFonts w:ascii="Times New Roman" w:hAnsi="Times New Roman" w:cs="Times New Roman"/>
          <w:sz w:val="24"/>
          <w:szCs w:val="24"/>
          <w:lang w:val="it-IT"/>
        </w:rPr>
        <w:t>psicopat</w:t>
      </w:r>
      <w:r w:rsidRPr="008B266E">
        <w:rPr>
          <w:rFonts w:ascii="Times New Roman" w:hAnsi="Times New Roman" w:cs="Times New Roman"/>
          <w:sz w:val="24"/>
          <w:szCs w:val="24"/>
        </w:rPr>
        <w:t>ía</w:t>
      </w:r>
      <w:proofErr w:type="spellEnd"/>
      <w:r w:rsidRPr="008B266E">
        <w:rPr>
          <w:rFonts w:ascii="Times New Roman" w:hAnsi="Times New Roman" w:cs="Times New Roman"/>
          <w:sz w:val="24"/>
          <w:szCs w:val="24"/>
        </w:rPr>
        <w:t xml:space="preserve">, sus síntomas y </w:t>
      </w:r>
      <w:proofErr w:type="spellStart"/>
      <w:r w:rsidRPr="008B266E">
        <w:rPr>
          <w:rFonts w:ascii="Times New Roman" w:hAnsi="Times New Roman" w:cs="Times New Roman"/>
          <w:sz w:val="24"/>
          <w:szCs w:val="24"/>
        </w:rPr>
        <w:t>caracterí</w:t>
      </w:r>
      <w:r w:rsidRPr="008B266E">
        <w:rPr>
          <w:rFonts w:ascii="Times New Roman" w:hAnsi="Times New Roman" w:cs="Times New Roman"/>
          <w:sz w:val="24"/>
          <w:szCs w:val="24"/>
          <w:lang w:val="pt-PT"/>
        </w:rPr>
        <w:t>sticas</w:t>
      </w:r>
      <w:proofErr w:type="spellEnd"/>
      <w:r w:rsidRPr="008B266E">
        <w:rPr>
          <w:rFonts w:ascii="Times New Roman" w:hAnsi="Times New Roman" w:cs="Times New Roman"/>
          <w:sz w:val="24"/>
          <w:szCs w:val="24"/>
          <w:lang w:val="pt-PT"/>
        </w:rPr>
        <w:t xml:space="preserve">, </w:t>
      </w:r>
      <w:r w:rsidRPr="008B266E">
        <w:rPr>
          <w:rFonts w:ascii="Times New Roman" w:hAnsi="Times New Roman" w:cs="Times New Roman"/>
          <w:sz w:val="24"/>
          <w:szCs w:val="24"/>
        </w:rPr>
        <w:t xml:space="preserve">además de su distinción con el Trastorno Antisocial de la Personalidad recogido en el DSM-5. Repasar las diferentes etiologías y los factores que influyen en este trastorno. Describir su </w:t>
      </w:r>
      <w:r w:rsidR="005E2229" w:rsidRPr="008B266E">
        <w:rPr>
          <w:rFonts w:ascii="Times New Roman" w:hAnsi="Times New Roman" w:cs="Times New Roman"/>
          <w:sz w:val="24"/>
          <w:szCs w:val="24"/>
        </w:rPr>
        <w:t>evaluación</w:t>
      </w:r>
      <w:r w:rsidRPr="008B266E">
        <w:rPr>
          <w:rFonts w:ascii="Times New Roman" w:hAnsi="Times New Roman" w:cs="Times New Roman"/>
          <w:sz w:val="24"/>
          <w:szCs w:val="24"/>
          <w:lang w:val="es-ES"/>
        </w:rPr>
        <w:t xml:space="preserve"> a </w:t>
      </w:r>
      <w:proofErr w:type="spellStart"/>
      <w:r w:rsidRPr="008B266E">
        <w:rPr>
          <w:rFonts w:ascii="Times New Roman" w:hAnsi="Times New Roman" w:cs="Times New Roman"/>
          <w:sz w:val="24"/>
          <w:szCs w:val="24"/>
          <w:lang w:val="es-ES"/>
        </w:rPr>
        <w:t>trav</w:t>
      </w:r>
      <w:proofErr w:type="spellEnd"/>
      <w:r w:rsidRPr="008B266E">
        <w:rPr>
          <w:rFonts w:ascii="Times New Roman" w:hAnsi="Times New Roman" w:cs="Times New Roman"/>
          <w:sz w:val="24"/>
          <w:szCs w:val="24"/>
          <w:lang w:val="fr-FR"/>
        </w:rPr>
        <w:t>é</w:t>
      </w:r>
      <w:r w:rsidRPr="008B266E">
        <w:rPr>
          <w:rFonts w:ascii="Times New Roman" w:hAnsi="Times New Roman" w:cs="Times New Roman"/>
          <w:sz w:val="24"/>
          <w:szCs w:val="24"/>
        </w:rPr>
        <w:t xml:space="preserve">s del </w:t>
      </w:r>
      <w:proofErr w:type="spellStart"/>
      <w:r w:rsidRPr="008B266E">
        <w:rPr>
          <w:rFonts w:ascii="Times New Roman" w:hAnsi="Times New Roman" w:cs="Times New Roman"/>
          <w:sz w:val="24"/>
          <w:szCs w:val="24"/>
        </w:rPr>
        <w:t>Psychopathy</w:t>
      </w:r>
      <w:proofErr w:type="spellEnd"/>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Checklist</w:t>
      </w:r>
      <w:proofErr w:type="spellEnd"/>
      <w:r w:rsidRPr="008B266E">
        <w:rPr>
          <w:rFonts w:ascii="Times New Roman" w:hAnsi="Times New Roman" w:cs="Times New Roman"/>
          <w:sz w:val="24"/>
          <w:szCs w:val="24"/>
        </w:rPr>
        <w:t xml:space="preserve"> de Robert D. Hare y concretar las principales opciones que se pueden tomar respecto a la imputabilidad. Finalmente, siendo la psicopatía un concepto tan amplio, este estudio se centra en las mujeres, haciendo </w:t>
      </w:r>
      <w:proofErr w:type="spellStart"/>
      <w:r w:rsidRPr="008B266E">
        <w:rPr>
          <w:rFonts w:ascii="Times New Roman" w:hAnsi="Times New Roman" w:cs="Times New Roman"/>
          <w:sz w:val="24"/>
          <w:szCs w:val="24"/>
        </w:rPr>
        <w:t>hincapi</w:t>
      </w:r>
      <w:proofErr w:type="spellEnd"/>
      <w:r w:rsidRPr="008B266E">
        <w:rPr>
          <w:rFonts w:ascii="Times New Roman" w:hAnsi="Times New Roman" w:cs="Times New Roman"/>
          <w:sz w:val="24"/>
          <w:szCs w:val="24"/>
          <w:lang w:val="fr-FR"/>
        </w:rPr>
        <w:t xml:space="preserve">é </w:t>
      </w:r>
      <w:r w:rsidRPr="008B266E">
        <w:rPr>
          <w:rFonts w:ascii="Times New Roman" w:hAnsi="Times New Roman" w:cs="Times New Roman"/>
          <w:sz w:val="24"/>
          <w:szCs w:val="24"/>
        </w:rPr>
        <w:t>en las diferencias de g</w:t>
      </w:r>
      <w:r w:rsidRPr="008B266E">
        <w:rPr>
          <w:rFonts w:ascii="Times New Roman" w:hAnsi="Times New Roman" w:cs="Times New Roman"/>
          <w:sz w:val="24"/>
          <w:szCs w:val="24"/>
          <w:lang w:val="fr-FR"/>
        </w:rPr>
        <w:t>é</w:t>
      </w:r>
      <w:proofErr w:type="spellStart"/>
      <w:r w:rsidRPr="008B266E">
        <w:rPr>
          <w:rFonts w:ascii="Times New Roman" w:hAnsi="Times New Roman" w:cs="Times New Roman"/>
          <w:sz w:val="24"/>
          <w:szCs w:val="24"/>
        </w:rPr>
        <w:t>nero</w:t>
      </w:r>
      <w:proofErr w:type="spellEnd"/>
      <w:r w:rsidRPr="008B266E">
        <w:rPr>
          <w:rFonts w:ascii="Times New Roman" w:hAnsi="Times New Roman" w:cs="Times New Roman"/>
          <w:sz w:val="24"/>
          <w:szCs w:val="24"/>
        </w:rPr>
        <w:t xml:space="preserve"> en etiología, manifestaciones, evaluación y comorbilidad, analizando </w:t>
      </w:r>
      <w:r w:rsidR="00000559">
        <w:rPr>
          <w:rFonts w:ascii="Times New Roman" w:hAnsi="Times New Roman" w:cs="Times New Roman"/>
          <w:sz w:val="24"/>
          <w:szCs w:val="24"/>
        </w:rPr>
        <w:t>tres</w:t>
      </w:r>
      <w:r w:rsidRPr="008B266E">
        <w:rPr>
          <w:rFonts w:ascii="Times New Roman" w:hAnsi="Times New Roman" w:cs="Times New Roman"/>
          <w:sz w:val="24"/>
          <w:szCs w:val="24"/>
        </w:rPr>
        <w:t xml:space="preserve"> casos de mujeres psicópatas españolas de la historia y su presentación en los medios de comunicación.</w:t>
      </w:r>
    </w:p>
    <w:p w:rsidR="00E34AC1" w:rsidRPr="008B266E" w:rsidRDefault="00E34AC1" w:rsidP="00FE15D7">
      <w:pPr>
        <w:pStyle w:val="Cuerpo"/>
        <w:spacing w:line="360" w:lineRule="auto"/>
        <w:jc w:val="both"/>
        <w:rPr>
          <w:rFonts w:ascii="Times New Roman" w:hAnsi="Times New Roman" w:cs="Times New Roman"/>
          <w:sz w:val="24"/>
          <w:szCs w:val="24"/>
        </w:rPr>
      </w:pPr>
    </w:p>
    <w:p w:rsidR="00E34AC1"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Es de gran importancia ampliar el estudio en la población psicopática, principalmente por dos circunstancias. La primera de ellas se trata del aumento de las tasas de psicopatía en nuestra sociedad en los últimos años, se considera que la prevalencia mundial en la población general en torno al 0’5%-1%, y en muestras penitenciarias entorno a un 15%, siendo en España algo superior al 20% (F</w:t>
      </w:r>
      <w:r w:rsidR="009928D8" w:rsidRPr="008B266E">
        <w:rPr>
          <w:rFonts w:ascii="Times New Roman" w:hAnsi="Times New Roman" w:cs="Times New Roman"/>
          <w:sz w:val="24"/>
          <w:szCs w:val="24"/>
        </w:rPr>
        <w:t>lórez et. al</w:t>
      </w:r>
      <w:r w:rsidRPr="008B266E">
        <w:rPr>
          <w:rFonts w:ascii="Times New Roman" w:hAnsi="Times New Roman" w:cs="Times New Roman"/>
          <w:sz w:val="24"/>
          <w:szCs w:val="24"/>
        </w:rPr>
        <w:t>, 2019</w:t>
      </w:r>
      <w:r w:rsidR="008C4771" w:rsidRPr="008B266E">
        <w:rPr>
          <w:rFonts w:ascii="Times New Roman" w:hAnsi="Times New Roman" w:cs="Times New Roman"/>
          <w:sz w:val="24"/>
          <w:szCs w:val="24"/>
        </w:rPr>
        <w:t>; Hare, 2003</w:t>
      </w:r>
      <w:r w:rsidRPr="008B266E">
        <w:rPr>
          <w:rFonts w:ascii="Times New Roman" w:hAnsi="Times New Roman" w:cs="Times New Roman"/>
          <w:sz w:val="24"/>
          <w:szCs w:val="24"/>
        </w:rPr>
        <w:t xml:space="preserve">). Y la segunda, que la conformación de la personalidad psicopática tiene alta probabilidad de vulnerar la normativa social y, por tanto, de entrar en colisión con el Sistema de Justicia, teniendo el psicópata tres veces más de probabilidades de reincidencia delictiva y el doble de probabilidad de riesgo de criminalidad violenta (Muñoz, 2011). La labor del </w:t>
      </w:r>
      <w:r w:rsidRPr="008B266E">
        <w:rPr>
          <w:rFonts w:ascii="Times New Roman" w:hAnsi="Times New Roman" w:cs="Times New Roman"/>
          <w:sz w:val="24"/>
          <w:szCs w:val="24"/>
        </w:rPr>
        <w:lastRenderedPageBreak/>
        <w:t>criminólogo en estos casos es primordial, ya que necesita conocer el concepto de psicopatía y su evaluación para la realización de un diagnóstico correcto, evitando así falsas etiquetas diagnósticas, y el estudio de un tratamiento y medidas de prevención.</w:t>
      </w:r>
    </w:p>
    <w:p w:rsidR="008D64CF" w:rsidRDefault="008D64CF" w:rsidP="00FE15D7">
      <w:pPr>
        <w:pStyle w:val="Cuerpo"/>
        <w:spacing w:line="360" w:lineRule="auto"/>
        <w:jc w:val="both"/>
        <w:rPr>
          <w:rFonts w:ascii="Times New Roman" w:hAnsi="Times New Roman" w:cs="Times New Roman"/>
          <w:sz w:val="24"/>
          <w:szCs w:val="24"/>
        </w:rPr>
      </w:pPr>
    </w:p>
    <w:p w:rsidR="008D64CF" w:rsidRPr="00DF0147" w:rsidRDefault="008D64CF" w:rsidP="008D64CF">
      <w:pPr>
        <w:pStyle w:val="Cuerpo"/>
        <w:spacing w:line="360" w:lineRule="auto"/>
        <w:jc w:val="both"/>
        <w:rPr>
          <w:rFonts w:ascii="Times New Roman" w:hAnsi="Times New Roman" w:cs="Times New Roman"/>
          <w:b/>
          <w:bCs/>
          <w:sz w:val="24"/>
          <w:szCs w:val="24"/>
          <w:lang w:val="es-ES"/>
        </w:rPr>
      </w:pPr>
      <w:r w:rsidRPr="00DF0147">
        <w:rPr>
          <w:rFonts w:ascii="Times New Roman" w:hAnsi="Times New Roman" w:cs="Times New Roman"/>
          <w:b/>
          <w:bCs/>
          <w:sz w:val="24"/>
          <w:szCs w:val="24"/>
          <w:lang w:val="es-ES"/>
        </w:rPr>
        <w:t>Metodología</w:t>
      </w:r>
      <w:r>
        <w:rPr>
          <w:rFonts w:ascii="Times New Roman" w:hAnsi="Times New Roman" w:cs="Times New Roman"/>
          <w:b/>
          <w:bCs/>
          <w:sz w:val="24"/>
          <w:szCs w:val="24"/>
          <w:lang w:val="es-ES"/>
        </w:rPr>
        <w:fldChar w:fldCharType="begin"/>
      </w:r>
      <w:r>
        <w:instrText xml:space="preserve"> XE "</w:instrText>
      </w:r>
      <w:r w:rsidRPr="00114AC3">
        <w:rPr>
          <w:rFonts w:ascii="Times New Roman" w:hAnsi="Times New Roman" w:cs="Times New Roman"/>
          <w:b/>
          <w:bCs/>
          <w:sz w:val="24"/>
          <w:szCs w:val="24"/>
          <w:lang w:val="es-ES"/>
        </w:rPr>
        <w:instrText>Metodología</w:instrText>
      </w:r>
      <w:r>
        <w:instrText xml:space="preserve">" </w:instrText>
      </w:r>
      <w:r>
        <w:rPr>
          <w:rFonts w:ascii="Times New Roman" w:hAnsi="Times New Roman" w:cs="Times New Roman"/>
          <w:b/>
          <w:bCs/>
          <w:sz w:val="24"/>
          <w:szCs w:val="24"/>
          <w:lang w:val="es-ES"/>
        </w:rPr>
        <w:fldChar w:fldCharType="end"/>
      </w:r>
    </w:p>
    <w:p w:rsidR="008D64CF" w:rsidRPr="00DF0147" w:rsidRDefault="008D64CF" w:rsidP="008D64CF">
      <w:pPr>
        <w:pStyle w:val="Cuerpo"/>
        <w:spacing w:line="360" w:lineRule="auto"/>
        <w:jc w:val="both"/>
        <w:rPr>
          <w:rFonts w:ascii="Times New Roman" w:hAnsi="Times New Roman" w:cs="Times New Roman"/>
          <w:sz w:val="24"/>
          <w:szCs w:val="24"/>
          <w:lang w:val="es-ES"/>
        </w:rPr>
      </w:pPr>
    </w:p>
    <w:p w:rsidR="008D64CF" w:rsidRPr="001408A6" w:rsidRDefault="008D64CF" w:rsidP="008D64C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1408A6">
        <w:rPr>
          <w:color w:val="000000"/>
          <w:lang w:val="es-ES_tradnl" w:eastAsia="es-ES_tradnl"/>
        </w:rPr>
        <w:t xml:space="preserve">La metodología utilizada para la realización de este trabajo ha sido la revisión bibliográfica. </w:t>
      </w:r>
    </w:p>
    <w:p w:rsidR="008D64CF" w:rsidRPr="001408A6" w:rsidRDefault="008D64CF" w:rsidP="008D64C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1408A6">
        <w:rPr>
          <w:color w:val="000000"/>
          <w:lang w:val="es-ES_tradnl" w:eastAsia="es-ES_tradnl"/>
        </w:rPr>
        <w:t xml:space="preserve">Por un lado, se han utilizado artículos científicos, los cuales se han buscado en las bases de datos </w:t>
      </w:r>
      <w:proofErr w:type="spellStart"/>
      <w:r w:rsidRPr="001408A6">
        <w:rPr>
          <w:color w:val="000000"/>
          <w:lang w:val="es-ES_tradnl" w:eastAsia="es-ES_tradnl"/>
        </w:rPr>
        <w:t>PsycInfo</w:t>
      </w:r>
      <w:proofErr w:type="spellEnd"/>
      <w:r w:rsidRPr="001408A6">
        <w:rPr>
          <w:color w:val="000000"/>
          <w:lang w:val="es-ES_tradnl" w:eastAsia="es-ES_tradnl"/>
        </w:rPr>
        <w:t xml:space="preserve">, </w:t>
      </w:r>
      <w:proofErr w:type="spellStart"/>
      <w:r w:rsidRPr="001408A6">
        <w:rPr>
          <w:color w:val="000000"/>
          <w:lang w:val="es-ES_tradnl" w:eastAsia="es-ES_tradnl"/>
        </w:rPr>
        <w:t>EBSCOhost</w:t>
      </w:r>
      <w:proofErr w:type="spellEnd"/>
      <w:r w:rsidRPr="001408A6">
        <w:rPr>
          <w:color w:val="000000"/>
          <w:lang w:val="es-ES_tradnl" w:eastAsia="es-ES_tradnl"/>
        </w:rPr>
        <w:t xml:space="preserve">, </w:t>
      </w:r>
      <w:proofErr w:type="spellStart"/>
      <w:r w:rsidRPr="001408A6">
        <w:rPr>
          <w:color w:val="000000"/>
          <w:lang w:val="es-ES_tradnl" w:eastAsia="es-ES_tradnl"/>
        </w:rPr>
        <w:t>Psychology</w:t>
      </w:r>
      <w:proofErr w:type="spellEnd"/>
      <w:r w:rsidRPr="001408A6">
        <w:rPr>
          <w:color w:val="000000"/>
          <w:lang w:val="es-ES_tradnl" w:eastAsia="es-ES_tradnl"/>
        </w:rPr>
        <w:t xml:space="preserve"> and </w:t>
      </w:r>
      <w:proofErr w:type="spellStart"/>
      <w:r w:rsidRPr="001408A6">
        <w:rPr>
          <w:color w:val="000000"/>
          <w:lang w:val="es-ES_tradnl" w:eastAsia="es-ES_tradnl"/>
        </w:rPr>
        <w:t>Behavioral</w:t>
      </w:r>
      <w:proofErr w:type="spellEnd"/>
      <w:r w:rsidRPr="001408A6">
        <w:rPr>
          <w:color w:val="000000"/>
          <w:lang w:val="es-ES_tradnl" w:eastAsia="es-ES_tradnl"/>
        </w:rPr>
        <w:t xml:space="preserve"> </w:t>
      </w:r>
      <w:proofErr w:type="spellStart"/>
      <w:r w:rsidRPr="001408A6">
        <w:rPr>
          <w:color w:val="000000"/>
          <w:lang w:val="es-ES_tradnl" w:eastAsia="es-ES_tradnl"/>
        </w:rPr>
        <w:t>Science</w:t>
      </w:r>
      <w:proofErr w:type="spellEnd"/>
      <w:r w:rsidRPr="001408A6">
        <w:rPr>
          <w:color w:val="000000"/>
          <w:lang w:val="es-ES_tradnl" w:eastAsia="es-ES_tradnl"/>
        </w:rPr>
        <w:t xml:space="preserve"> </w:t>
      </w:r>
      <w:proofErr w:type="spellStart"/>
      <w:r w:rsidRPr="001408A6">
        <w:rPr>
          <w:color w:val="000000"/>
          <w:lang w:val="es-ES_tradnl" w:eastAsia="es-ES_tradnl"/>
        </w:rPr>
        <w:t>Collection</w:t>
      </w:r>
      <w:proofErr w:type="spellEnd"/>
      <w:r w:rsidRPr="001408A6">
        <w:rPr>
          <w:color w:val="000000"/>
          <w:lang w:val="es-ES_tradnl" w:eastAsia="es-ES_tradnl"/>
        </w:rPr>
        <w:t xml:space="preserve"> and Google </w:t>
      </w:r>
      <w:proofErr w:type="spellStart"/>
      <w:r w:rsidRPr="001408A6">
        <w:rPr>
          <w:color w:val="000000"/>
          <w:lang w:val="es-ES_tradnl" w:eastAsia="es-ES_tradnl"/>
        </w:rPr>
        <w:t>Scholar</w:t>
      </w:r>
      <w:proofErr w:type="spellEnd"/>
      <w:r w:rsidRPr="001408A6">
        <w:rPr>
          <w:color w:val="000000"/>
          <w:lang w:val="es-ES_tradnl" w:eastAsia="es-ES_tradnl"/>
        </w:rPr>
        <w:t xml:space="preserve">. Las palabras clave utilizadas fueron principalmente psicopatía, </w:t>
      </w:r>
      <w:proofErr w:type="spellStart"/>
      <w:r w:rsidRPr="001408A6">
        <w:rPr>
          <w:color w:val="000000"/>
          <w:lang w:val="es-ES_tradnl" w:eastAsia="es-ES_tradnl"/>
        </w:rPr>
        <w:t>psychopathy</w:t>
      </w:r>
      <w:proofErr w:type="spellEnd"/>
      <w:r w:rsidRPr="001408A6">
        <w:rPr>
          <w:color w:val="000000"/>
          <w:lang w:val="es-ES_tradnl" w:eastAsia="es-ES_tradnl"/>
        </w:rPr>
        <w:t xml:space="preserve">, mujeres, </w:t>
      </w:r>
      <w:proofErr w:type="spellStart"/>
      <w:r w:rsidRPr="001408A6">
        <w:rPr>
          <w:color w:val="000000"/>
          <w:lang w:val="es-ES_tradnl" w:eastAsia="es-ES_tradnl"/>
        </w:rPr>
        <w:t>woman</w:t>
      </w:r>
      <w:proofErr w:type="spellEnd"/>
      <w:r w:rsidRPr="001408A6">
        <w:rPr>
          <w:color w:val="000000"/>
          <w:lang w:val="es-ES_tradnl" w:eastAsia="es-ES_tradnl"/>
        </w:rPr>
        <w:t xml:space="preserve">, PCL-R, Hare, </w:t>
      </w:r>
      <w:proofErr w:type="spellStart"/>
      <w:r w:rsidRPr="001408A6">
        <w:rPr>
          <w:color w:val="000000"/>
          <w:lang w:val="es-ES_tradnl" w:eastAsia="es-ES_tradnl"/>
        </w:rPr>
        <w:t>Cleckley</w:t>
      </w:r>
      <w:proofErr w:type="spellEnd"/>
      <w:r w:rsidRPr="001408A6">
        <w:rPr>
          <w:color w:val="000000"/>
          <w:lang w:val="es-ES_tradnl" w:eastAsia="es-ES_tradnl"/>
        </w:rPr>
        <w:t>, características psicopáticas, etiología, T</w:t>
      </w:r>
      <w:r>
        <w:rPr>
          <w:color w:val="000000"/>
          <w:lang w:val="es-ES_tradnl" w:eastAsia="es-ES_tradnl"/>
        </w:rPr>
        <w:t>rastorno Antisocial de la Personalidad</w:t>
      </w:r>
      <w:r w:rsidRPr="001408A6">
        <w:rPr>
          <w:color w:val="000000"/>
          <w:lang w:val="es-ES_tradnl" w:eastAsia="es-ES_tradnl"/>
        </w:rPr>
        <w:t>, imputabilidad. El criterio principal de exclusión de los artículos ha sido la antigüedad, aunque para el estudio de la psicopatía en las mujeres ha sido necesario remontarse varios años atrás, y la dispersión y confusión con otros trastornos de personalidad.</w:t>
      </w:r>
    </w:p>
    <w:p w:rsidR="008D64CF" w:rsidRPr="001408A6" w:rsidRDefault="008D64CF" w:rsidP="008D64C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1408A6">
        <w:rPr>
          <w:color w:val="000000"/>
          <w:lang w:val="es-ES_tradnl" w:eastAsia="es-ES_tradnl"/>
        </w:rPr>
        <w:t>Por otro lado, han sido utilizados el libr</w:t>
      </w:r>
      <w:r>
        <w:rPr>
          <w:color w:val="000000"/>
          <w:lang w:val="es-ES_tradnl" w:eastAsia="es-ES_tradnl"/>
        </w:rPr>
        <w:t>o</w:t>
      </w:r>
      <w:r w:rsidRPr="001408A6">
        <w:rPr>
          <w:color w:val="000000"/>
          <w:lang w:val="es-ES_tradnl" w:eastAsia="es-ES_tradnl"/>
        </w:rPr>
        <w:t xml:space="preserve"> de “Sin Conciencia” de Robert D. Hare, “</w:t>
      </w:r>
      <w:proofErr w:type="spellStart"/>
      <w:r w:rsidRPr="001408A6">
        <w:rPr>
          <w:color w:val="000000"/>
          <w:lang w:val="es-ES_tradnl" w:eastAsia="es-ES_tradnl"/>
        </w:rPr>
        <w:t>The</w:t>
      </w:r>
      <w:proofErr w:type="spellEnd"/>
      <w:r w:rsidRPr="001408A6">
        <w:rPr>
          <w:color w:val="000000"/>
          <w:lang w:val="es-ES_tradnl" w:eastAsia="es-ES_tradnl"/>
        </w:rPr>
        <w:t xml:space="preserve"> </w:t>
      </w:r>
      <w:proofErr w:type="spellStart"/>
      <w:r w:rsidRPr="001408A6">
        <w:rPr>
          <w:color w:val="000000"/>
          <w:lang w:val="es-ES_tradnl" w:eastAsia="es-ES_tradnl"/>
        </w:rPr>
        <w:t>Mask</w:t>
      </w:r>
      <w:proofErr w:type="spellEnd"/>
      <w:r w:rsidRPr="001408A6">
        <w:rPr>
          <w:color w:val="000000"/>
          <w:lang w:val="es-ES_tradnl" w:eastAsia="es-ES_tradnl"/>
        </w:rPr>
        <w:t xml:space="preserve"> of </w:t>
      </w:r>
      <w:proofErr w:type="spellStart"/>
      <w:r w:rsidRPr="001408A6">
        <w:rPr>
          <w:color w:val="000000"/>
          <w:lang w:val="es-ES_tradnl" w:eastAsia="es-ES_tradnl"/>
        </w:rPr>
        <w:t>Sanity</w:t>
      </w:r>
      <w:proofErr w:type="spellEnd"/>
      <w:r w:rsidRPr="001408A6">
        <w:rPr>
          <w:color w:val="000000"/>
          <w:lang w:val="es-ES_tradnl" w:eastAsia="es-ES_tradnl"/>
        </w:rPr>
        <w:t xml:space="preserve">” de Harvey </w:t>
      </w:r>
      <w:proofErr w:type="spellStart"/>
      <w:r w:rsidRPr="001408A6">
        <w:rPr>
          <w:color w:val="000000"/>
          <w:lang w:val="es-ES_tradnl" w:eastAsia="es-ES_tradnl"/>
        </w:rPr>
        <w:t>Cleckley</w:t>
      </w:r>
      <w:proofErr w:type="spellEnd"/>
      <w:r w:rsidRPr="001408A6">
        <w:rPr>
          <w:color w:val="000000"/>
          <w:lang w:val="es-ES_tradnl" w:eastAsia="es-ES_tradnl"/>
        </w:rPr>
        <w:t xml:space="preserve"> y “</w:t>
      </w:r>
      <w:proofErr w:type="spellStart"/>
      <w:r w:rsidRPr="001408A6">
        <w:rPr>
          <w:color w:val="000000"/>
          <w:lang w:val="es-ES_tradnl" w:eastAsia="es-ES_tradnl"/>
        </w:rPr>
        <w:t>Handbook</w:t>
      </w:r>
      <w:proofErr w:type="spellEnd"/>
      <w:r w:rsidRPr="001408A6">
        <w:rPr>
          <w:color w:val="000000"/>
          <w:lang w:val="es-ES_tradnl" w:eastAsia="es-ES_tradnl"/>
        </w:rPr>
        <w:t xml:space="preserve"> of </w:t>
      </w:r>
      <w:proofErr w:type="spellStart"/>
      <w:r w:rsidRPr="001408A6">
        <w:rPr>
          <w:color w:val="000000"/>
          <w:lang w:val="es-ES_tradnl" w:eastAsia="es-ES_tradnl"/>
        </w:rPr>
        <w:t>Psychopathy</w:t>
      </w:r>
      <w:proofErr w:type="spellEnd"/>
      <w:r w:rsidRPr="001408A6">
        <w:rPr>
          <w:color w:val="000000"/>
          <w:lang w:val="es-ES_tradnl" w:eastAsia="es-ES_tradnl"/>
        </w:rPr>
        <w:t xml:space="preserve">” de Christopher J. Patrick. </w:t>
      </w:r>
    </w:p>
    <w:p w:rsidR="008D64CF" w:rsidRDefault="008D64CF" w:rsidP="008D64CF">
      <w:pPr>
        <w:pStyle w:val="Cuerpo"/>
        <w:spacing w:line="360" w:lineRule="auto"/>
        <w:jc w:val="both"/>
        <w:rPr>
          <w:rFonts w:ascii="Times New Roman" w:hAnsi="Times New Roman" w:cs="Times New Roman"/>
          <w:sz w:val="24"/>
          <w:szCs w:val="24"/>
        </w:rPr>
      </w:pPr>
      <w:r w:rsidRPr="001408A6">
        <w:rPr>
          <w:rFonts w:ascii="Times New Roman" w:hAnsi="Times New Roman" w:cs="Times New Roman"/>
          <w:sz w:val="24"/>
          <w:szCs w:val="24"/>
        </w:rPr>
        <w:t>Finalmente, para el análisis de los casos sobre mujeres psicópatas en España, se ha realizado una búsqueda en diferentes sitios web de los medios de comunicación</w:t>
      </w:r>
      <w:r>
        <w:rPr>
          <w:rFonts w:ascii="Times New Roman" w:hAnsi="Times New Roman" w:cs="Times New Roman"/>
          <w:sz w:val="24"/>
          <w:szCs w:val="24"/>
        </w:rPr>
        <w:t>, principalmente El País, La Vanguardia, El Español o El Confidencial</w:t>
      </w:r>
      <w:r w:rsidRPr="001408A6">
        <w:rPr>
          <w:rFonts w:ascii="Times New Roman" w:hAnsi="Times New Roman" w:cs="Times New Roman"/>
          <w:sz w:val="24"/>
          <w:szCs w:val="24"/>
        </w:rPr>
        <w:t>. La selección de las páginas se ha basado en la fiabilidad y relevancia de éstas.</w:t>
      </w:r>
    </w:p>
    <w:p w:rsidR="008D64CF" w:rsidRPr="008B266E" w:rsidRDefault="008D64CF"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090D65" w:rsidRDefault="00090D65" w:rsidP="00FE15D7">
      <w:pPr>
        <w:pStyle w:val="Cuerpo"/>
        <w:spacing w:line="360" w:lineRule="auto"/>
        <w:jc w:val="both"/>
        <w:rPr>
          <w:rFonts w:ascii="Times New Roman" w:hAnsi="Times New Roman" w:cs="Times New Roman"/>
          <w:sz w:val="24"/>
          <w:szCs w:val="24"/>
        </w:rPr>
      </w:pPr>
    </w:p>
    <w:p w:rsidR="008D64CF" w:rsidRDefault="008D64CF" w:rsidP="008C4771">
      <w:pPr>
        <w:pStyle w:val="Cuerpo"/>
        <w:spacing w:line="360" w:lineRule="auto"/>
        <w:jc w:val="both"/>
        <w:rPr>
          <w:rFonts w:ascii="Times New Roman" w:hAnsi="Times New Roman" w:cs="Times New Roman"/>
          <w:sz w:val="24"/>
          <w:szCs w:val="24"/>
        </w:rPr>
      </w:pPr>
    </w:p>
    <w:p w:rsidR="00E34AC1" w:rsidRPr="00FE15D7" w:rsidRDefault="007D4A36" w:rsidP="008C4771">
      <w:pPr>
        <w:pStyle w:val="Cuerpo"/>
        <w:spacing w:line="360" w:lineRule="auto"/>
        <w:jc w:val="both"/>
        <w:rPr>
          <w:rFonts w:ascii="Times New Roman" w:hAnsi="Times New Roman" w:cs="Times New Roman"/>
          <w:b/>
          <w:bCs/>
          <w:sz w:val="24"/>
          <w:szCs w:val="24"/>
        </w:rPr>
      </w:pPr>
      <w:r w:rsidRPr="00FE15D7">
        <w:rPr>
          <w:rFonts w:ascii="Times New Roman" w:hAnsi="Times New Roman" w:cs="Times New Roman"/>
          <w:b/>
          <w:bCs/>
          <w:sz w:val="24"/>
          <w:szCs w:val="24"/>
        </w:rPr>
        <w:lastRenderedPageBreak/>
        <w:t>Definición de Psicopatía y comparación con el Trastorno Antisocial de la Personalidad</w:t>
      </w:r>
      <w:r w:rsidR="005F2033">
        <w:rPr>
          <w:rFonts w:ascii="Times New Roman" w:hAnsi="Times New Roman" w:cs="Times New Roman"/>
          <w:b/>
          <w:bCs/>
          <w:sz w:val="24"/>
          <w:szCs w:val="24"/>
        </w:rPr>
        <w:fldChar w:fldCharType="begin"/>
      </w:r>
      <w:r w:rsidR="005F2033">
        <w:instrText xml:space="preserve"> XE "</w:instrText>
      </w:r>
      <w:r w:rsidR="005F2033" w:rsidRPr="006A5234">
        <w:rPr>
          <w:rFonts w:ascii="Times New Roman" w:hAnsi="Times New Roman" w:cs="Times New Roman"/>
          <w:b/>
          <w:bCs/>
          <w:sz w:val="24"/>
          <w:szCs w:val="24"/>
        </w:rPr>
        <w:instrText>Definición de Psicopatía y comparación con el Trastorno Antisocial de la Personalidad</w:instrText>
      </w:r>
      <w:r w:rsidR="005F2033">
        <w:instrText xml:space="preserve">" </w:instrText>
      </w:r>
      <w:r w:rsidR="005F2033">
        <w:rPr>
          <w:rFonts w:ascii="Times New Roman" w:hAnsi="Times New Roman" w:cs="Times New Roman"/>
          <w:b/>
          <w:bCs/>
          <w:sz w:val="24"/>
          <w:szCs w:val="24"/>
        </w:rPr>
        <w:fldChar w:fldCharType="end"/>
      </w:r>
    </w:p>
    <w:p w:rsidR="00E34AC1" w:rsidRPr="00FE15D7" w:rsidRDefault="00E34AC1" w:rsidP="00FE15D7">
      <w:pPr>
        <w:pStyle w:val="Cuerpo"/>
        <w:spacing w:line="360" w:lineRule="auto"/>
        <w:jc w:val="both"/>
        <w:rPr>
          <w:rFonts w:ascii="Times New Roman" w:hAnsi="Times New Roman" w:cs="Times New Roman"/>
          <w:sz w:val="24"/>
          <w:szCs w:val="24"/>
        </w:rPr>
      </w:pPr>
    </w:p>
    <w:p w:rsidR="00C47223" w:rsidRPr="008B266E" w:rsidRDefault="007D4A36" w:rsidP="0004607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La psicopatía es una gran desconocida, no existe un acuerdo unánime sobre su definición, conformándose como un constructo polémico y confuso (L</w:t>
      </w:r>
      <w:r w:rsidR="009928D8" w:rsidRPr="008B266E">
        <w:rPr>
          <w:rFonts w:ascii="Times New Roman" w:hAnsi="Times New Roman" w:cs="Times New Roman"/>
          <w:sz w:val="24"/>
          <w:szCs w:val="24"/>
        </w:rPr>
        <w:t>ópez y Núñez, 2009</w:t>
      </w:r>
      <w:r w:rsidRPr="008B266E">
        <w:rPr>
          <w:rFonts w:ascii="Times New Roman" w:hAnsi="Times New Roman" w:cs="Times New Roman"/>
          <w:sz w:val="24"/>
          <w:szCs w:val="24"/>
        </w:rPr>
        <w:t xml:space="preserve">; </w:t>
      </w:r>
      <w:proofErr w:type="spellStart"/>
      <w:r w:rsidR="009928D8" w:rsidRPr="008B266E">
        <w:rPr>
          <w:rFonts w:ascii="Times New Roman" w:hAnsi="Times New Roman" w:cs="Times New Roman"/>
          <w:sz w:val="24"/>
          <w:szCs w:val="24"/>
        </w:rPr>
        <w:t>Visdómine</w:t>
      </w:r>
      <w:proofErr w:type="spellEnd"/>
      <w:r w:rsidR="009928D8" w:rsidRPr="008B266E">
        <w:rPr>
          <w:rFonts w:ascii="Times New Roman" w:hAnsi="Times New Roman" w:cs="Times New Roman"/>
          <w:sz w:val="24"/>
          <w:szCs w:val="24"/>
        </w:rPr>
        <w:t>, Gil y Gil, 2019</w:t>
      </w:r>
      <w:r w:rsidRPr="008B266E">
        <w:rPr>
          <w:rFonts w:ascii="Times New Roman" w:hAnsi="Times New Roman" w:cs="Times New Roman"/>
          <w:sz w:val="24"/>
          <w:szCs w:val="24"/>
        </w:rPr>
        <w:t xml:space="preserve">). </w:t>
      </w:r>
      <w:r w:rsidR="00C47223" w:rsidRPr="008B266E">
        <w:rPr>
          <w:rFonts w:ascii="Times New Roman" w:hAnsi="Times New Roman" w:cs="Times New Roman"/>
          <w:sz w:val="24"/>
          <w:szCs w:val="24"/>
        </w:rPr>
        <w:t xml:space="preserve">Uno de los autores principales en el estudio de la psicopatía es Harvey </w:t>
      </w:r>
      <w:proofErr w:type="spellStart"/>
      <w:r w:rsidR="00C47223" w:rsidRPr="008B266E">
        <w:rPr>
          <w:rFonts w:ascii="Times New Roman" w:hAnsi="Times New Roman" w:cs="Times New Roman"/>
          <w:sz w:val="24"/>
          <w:szCs w:val="24"/>
        </w:rPr>
        <w:t>Cleckley</w:t>
      </w:r>
      <w:proofErr w:type="spellEnd"/>
      <w:r w:rsidR="00C47223" w:rsidRPr="008B266E">
        <w:rPr>
          <w:rFonts w:ascii="Times New Roman" w:hAnsi="Times New Roman" w:cs="Times New Roman"/>
          <w:sz w:val="24"/>
          <w:szCs w:val="24"/>
        </w:rPr>
        <w:t xml:space="preserve"> (1941), quien señala a la deficiente respuesta afectiva como el síntoma básico de la psicopatía, el cual explicaría el comportamiento antisocial, al psicópata le falta la capacidad de experimentar emociones ya que carece de ellas, aunque, en apariencia, se expresa de un modo normal. Para este autor, la psicopatía se caracteriza por 16 criterios (Tabla 1) (Vítale y Newman, 2001).</w:t>
      </w:r>
    </w:p>
    <w:p w:rsidR="00C47223" w:rsidRDefault="00C47223" w:rsidP="00046077">
      <w:pPr>
        <w:pStyle w:val="Cuerpo"/>
        <w:spacing w:line="360" w:lineRule="auto"/>
        <w:jc w:val="both"/>
        <w:rPr>
          <w:rFonts w:ascii="Times New Roman" w:hAnsi="Times New Roman" w:cs="Times New Roman"/>
          <w:sz w:val="24"/>
          <w:szCs w:val="24"/>
        </w:rPr>
      </w:pPr>
    </w:p>
    <w:p w:rsidR="00C47223" w:rsidRDefault="00C47223" w:rsidP="00C47223">
      <w:pPr>
        <w:pStyle w:val="Cuerpo"/>
        <w:spacing w:line="360" w:lineRule="auto"/>
        <w:jc w:val="both"/>
        <w:rPr>
          <w:rFonts w:ascii="Times New Roman" w:hAnsi="Times New Roman" w:cs="Times New Roman"/>
          <w:sz w:val="24"/>
          <w:szCs w:val="24"/>
        </w:rPr>
      </w:pPr>
      <w:r>
        <w:rPr>
          <w:rFonts w:ascii="Times New Roman" w:hAnsi="Times New Roman" w:cs="Times New Roman"/>
          <w:sz w:val="24"/>
          <w:szCs w:val="24"/>
        </w:rPr>
        <w:t>Tabla 1</w:t>
      </w:r>
    </w:p>
    <w:p w:rsidR="00C47223" w:rsidRPr="00376ED2" w:rsidRDefault="00C47223" w:rsidP="00C47223">
      <w:pPr>
        <w:pStyle w:val="Cuerpo"/>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Los </w:t>
      </w:r>
      <w:r w:rsidRPr="00376ED2">
        <w:rPr>
          <w:rFonts w:ascii="Times New Roman" w:hAnsi="Times New Roman" w:cs="Times New Roman"/>
          <w:i/>
          <w:iCs/>
          <w:sz w:val="24"/>
          <w:szCs w:val="24"/>
        </w:rPr>
        <w:t xml:space="preserve">16 criterios de </w:t>
      </w:r>
      <w:proofErr w:type="spellStart"/>
      <w:r w:rsidRPr="00376ED2">
        <w:rPr>
          <w:rFonts w:ascii="Times New Roman" w:hAnsi="Times New Roman" w:cs="Times New Roman"/>
          <w:i/>
          <w:iCs/>
          <w:sz w:val="24"/>
          <w:szCs w:val="24"/>
        </w:rPr>
        <w:t>Cleckley</w:t>
      </w:r>
      <w:proofErr w:type="spellEnd"/>
      <w:r w:rsidRPr="00376ED2">
        <w:rPr>
          <w:rFonts w:ascii="Times New Roman" w:hAnsi="Times New Roman" w:cs="Times New Roman"/>
          <w:i/>
          <w:iCs/>
          <w:sz w:val="24"/>
          <w:szCs w:val="24"/>
        </w:rPr>
        <w:t xml:space="preserve"> (1941)</w:t>
      </w:r>
      <w:r w:rsidR="005B604A">
        <w:rPr>
          <w:rFonts w:ascii="Times New Roman" w:hAnsi="Times New Roman" w:cs="Times New Roman"/>
          <w:i/>
          <w:iCs/>
          <w:sz w:val="24"/>
          <w:szCs w:val="24"/>
        </w:rPr>
        <w:fldChar w:fldCharType="begin"/>
      </w:r>
      <w:r w:rsidR="005B604A">
        <w:instrText xml:space="preserve"> XE "</w:instrText>
      </w:r>
      <w:r w:rsidR="005B604A" w:rsidRPr="00153248">
        <w:rPr>
          <w:rFonts w:ascii="Times New Roman" w:hAnsi="Times New Roman" w:cs="Times New Roman"/>
          <w:i/>
          <w:iCs/>
          <w:sz w:val="24"/>
          <w:szCs w:val="24"/>
        </w:rPr>
        <w:instrText>Los 16 criterios de Cleckley (1941)</w:instrText>
      </w:r>
      <w:r w:rsidR="005B604A">
        <w:instrText xml:space="preserve">" </w:instrText>
      </w:r>
      <w:r w:rsidR="005B604A">
        <w:rPr>
          <w:rFonts w:ascii="Times New Roman" w:hAnsi="Times New Roman" w:cs="Times New Roman"/>
          <w:i/>
          <w:iCs/>
          <w:sz w:val="24"/>
          <w:szCs w:val="24"/>
        </w:rPr>
        <w:fldChar w:fldCharType="end"/>
      </w:r>
    </w:p>
    <w:tbl>
      <w:tblPr>
        <w:tblStyle w:val="Tablaconcuadrcula"/>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2"/>
      </w:tblGrid>
      <w:tr w:rsidR="00C47223" w:rsidRPr="00F21754" w:rsidTr="00EC61B7">
        <w:trPr>
          <w:jc w:val="center"/>
        </w:trPr>
        <w:tc>
          <w:tcPr>
            <w:tcW w:w="8472" w:type="dxa"/>
          </w:tcPr>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1</w:t>
            </w:r>
            <w:r>
              <w:rPr>
                <w:rFonts w:ascii="Times New Roman" w:hAnsi="Times New Roman" w:cs="Times New Roman"/>
                <w:sz w:val="24"/>
                <w:szCs w:val="24"/>
              </w:rPr>
              <w:t>.  - Encanto superficial y buena inteligencia.</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2</w:t>
            </w:r>
            <w:r>
              <w:rPr>
                <w:rFonts w:ascii="Times New Roman" w:hAnsi="Times New Roman" w:cs="Times New Roman"/>
                <w:sz w:val="24"/>
                <w:szCs w:val="24"/>
              </w:rPr>
              <w:t>.  - Ausencia de delirios y otros signos de pensamiento irracional.</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3</w:t>
            </w:r>
            <w:r>
              <w:rPr>
                <w:rFonts w:ascii="Times New Roman" w:hAnsi="Times New Roman" w:cs="Times New Roman"/>
                <w:sz w:val="24"/>
                <w:szCs w:val="24"/>
              </w:rPr>
              <w:t>.  - Ausencia de nerviosismo y otros signos neuróticos.</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4</w:t>
            </w:r>
            <w:r>
              <w:rPr>
                <w:rFonts w:ascii="Times New Roman" w:hAnsi="Times New Roman" w:cs="Times New Roman"/>
                <w:sz w:val="24"/>
                <w:szCs w:val="24"/>
              </w:rPr>
              <w:t>.  - Poca fiabilidad.</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5</w:t>
            </w:r>
            <w:r>
              <w:rPr>
                <w:rFonts w:ascii="Times New Roman" w:hAnsi="Times New Roman" w:cs="Times New Roman"/>
                <w:sz w:val="24"/>
                <w:szCs w:val="24"/>
              </w:rPr>
              <w:t>.  - Mentirosos.</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6</w:t>
            </w:r>
            <w:r>
              <w:rPr>
                <w:rFonts w:ascii="Times New Roman" w:hAnsi="Times New Roman" w:cs="Times New Roman"/>
                <w:sz w:val="24"/>
                <w:szCs w:val="24"/>
              </w:rPr>
              <w:t>.  - Carencia de remordimiento o vergüenza.</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7</w:t>
            </w:r>
            <w:r>
              <w:rPr>
                <w:rFonts w:ascii="Times New Roman" w:hAnsi="Times New Roman" w:cs="Times New Roman"/>
                <w:sz w:val="24"/>
                <w:szCs w:val="24"/>
              </w:rPr>
              <w:t>.  - Conducta antisocial inadecuadamente motivada.</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8</w:t>
            </w:r>
            <w:r>
              <w:rPr>
                <w:rFonts w:ascii="Times New Roman" w:hAnsi="Times New Roman" w:cs="Times New Roman"/>
                <w:sz w:val="24"/>
                <w:szCs w:val="24"/>
              </w:rPr>
              <w:t>.  - Falta de juicio y problemas para aprender de la experiencia.</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9</w:t>
            </w:r>
            <w:r>
              <w:rPr>
                <w:rFonts w:ascii="Times New Roman" w:hAnsi="Times New Roman" w:cs="Times New Roman"/>
                <w:sz w:val="24"/>
                <w:szCs w:val="24"/>
              </w:rPr>
              <w:t>.  - Egocentrismo patológico e incapacidad para el afecto.</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10</w:t>
            </w:r>
            <w:r>
              <w:rPr>
                <w:rFonts w:ascii="Times New Roman" w:hAnsi="Times New Roman" w:cs="Times New Roman"/>
                <w:sz w:val="24"/>
                <w:szCs w:val="24"/>
              </w:rPr>
              <w:t>.- Pobreza general de reacciones afectivas.</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11</w:t>
            </w:r>
            <w:r>
              <w:rPr>
                <w:rFonts w:ascii="Times New Roman" w:hAnsi="Times New Roman" w:cs="Times New Roman"/>
                <w:sz w:val="24"/>
                <w:szCs w:val="24"/>
              </w:rPr>
              <w:t xml:space="preserve">.- Pérdida específica de </w:t>
            </w:r>
            <w:proofErr w:type="spellStart"/>
            <w:r>
              <w:rPr>
                <w:rFonts w:ascii="Times New Roman" w:hAnsi="Times New Roman" w:cs="Times New Roman"/>
                <w:sz w:val="24"/>
                <w:szCs w:val="24"/>
              </w:rPr>
              <w:t>insight</w:t>
            </w:r>
            <w:proofErr w:type="spellEnd"/>
            <w:r>
              <w:rPr>
                <w:rFonts w:ascii="Times New Roman" w:hAnsi="Times New Roman" w:cs="Times New Roman"/>
                <w:sz w:val="24"/>
                <w:szCs w:val="24"/>
              </w:rPr>
              <w:t>-darse cuenta de.</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12</w:t>
            </w:r>
            <w:r>
              <w:rPr>
                <w:rFonts w:ascii="Times New Roman" w:hAnsi="Times New Roman" w:cs="Times New Roman"/>
                <w:sz w:val="24"/>
                <w:szCs w:val="24"/>
              </w:rPr>
              <w:t>.- Falta de respuesta en las relaciones personales.</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13</w:t>
            </w:r>
            <w:r>
              <w:rPr>
                <w:rFonts w:ascii="Times New Roman" w:hAnsi="Times New Roman" w:cs="Times New Roman"/>
                <w:sz w:val="24"/>
                <w:szCs w:val="24"/>
              </w:rPr>
              <w:t>.- Conducta fantasiosa.</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14</w:t>
            </w:r>
            <w:r>
              <w:rPr>
                <w:rFonts w:ascii="Times New Roman" w:hAnsi="Times New Roman" w:cs="Times New Roman"/>
                <w:sz w:val="24"/>
                <w:szCs w:val="24"/>
              </w:rPr>
              <w:t>.- Raramente se suicidad.</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15</w:t>
            </w:r>
            <w:r>
              <w:rPr>
                <w:rFonts w:ascii="Times New Roman" w:hAnsi="Times New Roman" w:cs="Times New Roman"/>
                <w:sz w:val="24"/>
                <w:szCs w:val="24"/>
              </w:rPr>
              <w:t>.- Vida sexual impersonal.</w:t>
            </w:r>
          </w:p>
          <w:p w:rsidR="00C47223" w:rsidRDefault="00C47223"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F5015F">
              <w:rPr>
                <w:rFonts w:ascii="Times New Roman" w:hAnsi="Times New Roman" w:cs="Times New Roman"/>
                <w:b/>
                <w:sz w:val="24"/>
                <w:szCs w:val="24"/>
              </w:rPr>
              <w:t>16</w:t>
            </w:r>
            <w:r>
              <w:rPr>
                <w:rFonts w:ascii="Times New Roman" w:hAnsi="Times New Roman" w:cs="Times New Roman"/>
                <w:sz w:val="24"/>
                <w:szCs w:val="24"/>
              </w:rPr>
              <w:t xml:space="preserve">.- Problemas para seguir un plan de vida. </w:t>
            </w:r>
          </w:p>
        </w:tc>
      </w:tr>
    </w:tbl>
    <w:p w:rsidR="00C47223" w:rsidRPr="00C47223" w:rsidRDefault="00C47223" w:rsidP="00046077">
      <w:pPr>
        <w:pStyle w:val="Cuerpo"/>
        <w:spacing w:line="360" w:lineRule="auto"/>
        <w:jc w:val="both"/>
        <w:rPr>
          <w:rFonts w:ascii="Times New Roman" w:hAnsi="Times New Roman" w:cs="Times New Roman"/>
          <w:sz w:val="24"/>
          <w:szCs w:val="24"/>
          <w:lang w:val="es-ES"/>
        </w:rPr>
      </w:pPr>
    </w:p>
    <w:p w:rsidR="00C47223" w:rsidRDefault="00C47223" w:rsidP="00046077">
      <w:pPr>
        <w:pStyle w:val="Cuerpo"/>
        <w:spacing w:line="360" w:lineRule="auto"/>
        <w:jc w:val="both"/>
        <w:rPr>
          <w:rFonts w:ascii="Times New Roman" w:hAnsi="Times New Roman" w:cs="Times New Roman"/>
          <w:sz w:val="24"/>
          <w:szCs w:val="24"/>
        </w:rPr>
      </w:pPr>
    </w:p>
    <w:p w:rsidR="005E2229"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 xml:space="preserve">Robert D. Hare (2003), </w:t>
      </w:r>
      <w:r w:rsidR="00C47223" w:rsidRPr="008B266E">
        <w:rPr>
          <w:rFonts w:ascii="Times New Roman" w:hAnsi="Times New Roman" w:cs="Times New Roman"/>
          <w:sz w:val="24"/>
          <w:szCs w:val="24"/>
        </w:rPr>
        <w:t>otro</w:t>
      </w:r>
      <w:r w:rsidRPr="008B266E">
        <w:rPr>
          <w:rFonts w:ascii="Times New Roman" w:hAnsi="Times New Roman" w:cs="Times New Roman"/>
          <w:sz w:val="24"/>
          <w:szCs w:val="24"/>
        </w:rPr>
        <w:t xml:space="preserve"> de los autores más representativos y creador del instrumento de evaluación </w:t>
      </w:r>
      <w:proofErr w:type="spellStart"/>
      <w:r w:rsidRPr="008B266E">
        <w:rPr>
          <w:rFonts w:ascii="Times New Roman" w:hAnsi="Times New Roman" w:cs="Times New Roman"/>
          <w:sz w:val="24"/>
          <w:szCs w:val="24"/>
        </w:rPr>
        <w:t>Psychopathy</w:t>
      </w:r>
      <w:proofErr w:type="spellEnd"/>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Checklist</w:t>
      </w:r>
      <w:proofErr w:type="spellEnd"/>
      <w:r w:rsidRPr="008B266E">
        <w:rPr>
          <w:rFonts w:ascii="Times New Roman" w:hAnsi="Times New Roman" w:cs="Times New Roman"/>
          <w:sz w:val="24"/>
          <w:szCs w:val="24"/>
        </w:rPr>
        <w:t>, señala que éste término hace referencia a un conjunto de signos y síntomas psicopatológicos relacionados, agrupando un conjunto de características conductuales, interpersonales, afectivas y cognitivas y caracterizándose por una serie de síntomas emocionales o interpersonales y de desviación social (</w:t>
      </w:r>
      <w:proofErr w:type="spellStart"/>
      <w:r w:rsidRPr="008B266E">
        <w:rPr>
          <w:rFonts w:ascii="Times New Roman" w:hAnsi="Times New Roman" w:cs="Times New Roman"/>
          <w:sz w:val="24"/>
          <w:szCs w:val="24"/>
        </w:rPr>
        <w:t>H</w:t>
      </w:r>
      <w:r w:rsidR="009928D8" w:rsidRPr="008B266E">
        <w:rPr>
          <w:rFonts w:ascii="Times New Roman" w:hAnsi="Times New Roman" w:cs="Times New Roman"/>
          <w:sz w:val="24"/>
          <w:szCs w:val="24"/>
        </w:rPr>
        <w:t>awes</w:t>
      </w:r>
      <w:proofErr w:type="spellEnd"/>
      <w:r w:rsidR="009928D8" w:rsidRPr="008B266E">
        <w:rPr>
          <w:rFonts w:ascii="Times New Roman" w:hAnsi="Times New Roman" w:cs="Times New Roman"/>
          <w:sz w:val="24"/>
          <w:szCs w:val="24"/>
        </w:rPr>
        <w:t xml:space="preserve">, </w:t>
      </w:r>
      <w:proofErr w:type="spellStart"/>
      <w:r w:rsidR="009928D8" w:rsidRPr="008B266E">
        <w:rPr>
          <w:rFonts w:ascii="Times New Roman" w:hAnsi="Times New Roman" w:cs="Times New Roman"/>
          <w:sz w:val="24"/>
          <w:szCs w:val="24"/>
        </w:rPr>
        <w:t>Byrd</w:t>
      </w:r>
      <w:proofErr w:type="spellEnd"/>
      <w:r w:rsidR="009928D8" w:rsidRPr="008B266E">
        <w:rPr>
          <w:rFonts w:ascii="Times New Roman" w:hAnsi="Times New Roman" w:cs="Times New Roman"/>
          <w:sz w:val="24"/>
          <w:szCs w:val="24"/>
        </w:rPr>
        <w:t xml:space="preserve">, </w:t>
      </w:r>
      <w:proofErr w:type="spellStart"/>
      <w:r w:rsidR="009928D8" w:rsidRPr="008B266E">
        <w:rPr>
          <w:rFonts w:ascii="Times New Roman" w:hAnsi="Times New Roman" w:cs="Times New Roman"/>
          <w:sz w:val="24"/>
          <w:szCs w:val="24"/>
        </w:rPr>
        <w:t>Waller</w:t>
      </w:r>
      <w:proofErr w:type="spellEnd"/>
      <w:r w:rsidR="009928D8" w:rsidRPr="008B266E">
        <w:rPr>
          <w:rFonts w:ascii="Times New Roman" w:hAnsi="Times New Roman" w:cs="Times New Roman"/>
          <w:sz w:val="24"/>
          <w:szCs w:val="24"/>
        </w:rPr>
        <w:t xml:space="preserve">, </w:t>
      </w:r>
      <w:proofErr w:type="spellStart"/>
      <w:r w:rsidR="009928D8" w:rsidRPr="008B266E">
        <w:rPr>
          <w:rFonts w:ascii="Times New Roman" w:hAnsi="Times New Roman" w:cs="Times New Roman"/>
          <w:sz w:val="24"/>
          <w:szCs w:val="24"/>
        </w:rPr>
        <w:t>Lynam</w:t>
      </w:r>
      <w:proofErr w:type="spellEnd"/>
      <w:r w:rsidR="009928D8" w:rsidRPr="008B266E">
        <w:rPr>
          <w:rFonts w:ascii="Times New Roman" w:hAnsi="Times New Roman" w:cs="Times New Roman"/>
          <w:sz w:val="24"/>
          <w:szCs w:val="24"/>
        </w:rPr>
        <w:t xml:space="preserve"> y </w:t>
      </w:r>
      <w:proofErr w:type="spellStart"/>
      <w:r w:rsidR="009928D8" w:rsidRPr="008B266E">
        <w:rPr>
          <w:rFonts w:ascii="Times New Roman" w:hAnsi="Times New Roman" w:cs="Times New Roman"/>
          <w:sz w:val="24"/>
          <w:szCs w:val="24"/>
        </w:rPr>
        <w:t>Pardini</w:t>
      </w:r>
      <w:proofErr w:type="spellEnd"/>
      <w:r w:rsidRPr="008B266E">
        <w:rPr>
          <w:rFonts w:ascii="Times New Roman" w:hAnsi="Times New Roman" w:cs="Times New Roman"/>
          <w:sz w:val="24"/>
          <w:szCs w:val="24"/>
        </w:rPr>
        <w:t xml:space="preserve">, 2016). Los primeros </w:t>
      </w:r>
      <w:r w:rsidRPr="008B266E">
        <w:rPr>
          <w:rFonts w:ascii="Times New Roman" w:hAnsi="Times New Roman" w:cs="Times New Roman"/>
          <w:sz w:val="24"/>
          <w:szCs w:val="24"/>
        </w:rPr>
        <w:lastRenderedPageBreak/>
        <w:t>de ellos, interpersonales, englobarían la personalidad egocéntrica y presuntuosa representada en una visión narcisista de sí mismos, arrogancia y una sensación grandiosa de autovalía que les proporciona una autopercepción de inmunidad e ideas de metas ilimitadas de éxito, incapacitándoles para poder realizar planes de futuro realistas; falta de remordimiento, lo que provoca una racionalización y justificación con excusas de sus conductas; falta de empatía ya que no presentan ningún aprecio por los sentimientos de los demás; son manipuladores y mentirosos patológicos y están orgullosos de ello, no les importa ser descubiertos en la mentira, salen de la situación contando otra; y emociones superficiales, son fríos, presentan dureza emocional y presentan pocas aptitudes para experimentar las respuestas emocionales de miedo y ansiedad, que son la base de nuestra conciencia, quien regula nuestras conductas a través del lenguaje interno (H</w:t>
      </w:r>
      <w:r w:rsidR="000C684C" w:rsidRPr="008B266E">
        <w:rPr>
          <w:rFonts w:ascii="Times New Roman" w:hAnsi="Times New Roman" w:cs="Times New Roman"/>
          <w:sz w:val="24"/>
          <w:szCs w:val="24"/>
        </w:rPr>
        <w:t>are, 2003; Moreno, 2019</w:t>
      </w:r>
      <w:r w:rsidRPr="008B266E">
        <w:rPr>
          <w:rFonts w:ascii="Times New Roman" w:hAnsi="Times New Roman" w:cs="Times New Roman"/>
          <w:sz w:val="24"/>
          <w:szCs w:val="24"/>
        </w:rPr>
        <w:t>; M</w:t>
      </w:r>
      <w:r w:rsidR="000C684C" w:rsidRPr="008B266E">
        <w:rPr>
          <w:rFonts w:ascii="Times New Roman" w:hAnsi="Times New Roman" w:cs="Times New Roman"/>
          <w:sz w:val="24"/>
          <w:szCs w:val="24"/>
        </w:rPr>
        <w:t>uñoz, 2011</w:t>
      </w:r>
      <w:r w:rsidRPr="008B266E">
        <w:rPr>
          <w:rFonts w:ascii="Times New Roman" w:hAnsi="Times New Roman" w:cs="Times New Roman"/>
          <w:sz w:val="24"/>
          <w:szCs w:val="24"/>
        </w:rPr>
        <w:t>). Respecto a los síntomas de desviación social, se centran principalmente en la impulsividad, poco control de su conducta respondiendo a la frustración de manera rápida y violenta, con estallidos; los psicópatas presentan problemas de conducta ya desde la infancia que se palpar</w:t>
      </w:r>
      <w:r w:rsidR="00C47223" w:rsidRPr="008B266E">
        <w:rPr>
          <w:rFonts w:ascii="Times New Roman" w:hAnsi="Times New Roman" w:cs="Times New Roman"/>
          <w:sz w:val="24"/>
          <w:szCs w:val="24"/>
        </w:rPr>
        <w:t>á</w:t>
      </w:r>
      <w:r w:rsidRPr="008B266E">
        <w:rPr>
          <w:rFonts w:ascii="Times New Roman" w:hAnsi="Times New Roman" w:cs="Times New Roman"/>
          <w:sz w:val="24"/>
          <w:szCs w:val="24"/>
        </w:rPr>
        <w:t>n más tarde en la conducta antisocial en la adultez caracterizada por su inicio precoz en la juventud, versatilidad criminal, un alto índice de reincidencia, ineficacia del tratamiento y castigo y alta probabilidad de componentes violentos en su expresión; una falta de responsabilidad que les impide asumir compromisos y cumplir con sus obligaciones; y necesidad de excitación, una búsqueda de sensación constante responsable de la ruptura de normas sociales, consumo de sustancias y conductas delictivas entre otros  (</w:t>
      </w:r>
      <w:r w:rsidR="000C684C" w:rsidRPr="008B266E">
        <w:rPr>
          <w:rFonts w:ascii="Times New Roman" w:hAnsi="Times New Roman" w:cs="Times New Roman"/>
          <w:sz w:val="24"/>
          <w:szCs w:val="24"/>
        </w:rPr>
        <w:t>Hare, 2003; Moreno, 2019; Muñoz, 2011</w:t>
      </w:r>
      <w:r w:rsidRPr="008B266E">
        <w:rPr>
          <w:rFonts w:ascii="Times New Roman" w:hAnsi="Times New Roman" w:cs="Times New Roman"/>
          <w:sz w:val="24"/>
          <w:szCs w:val="24"/>
        </w:rPr>
        <w:t xml:space="preserve">). </w:t>
      </w:r>
    </w:p>
    <w:p w:rsidR="00C47223" w:rsidRPr="008B266E" w:rsidRDefault="00C47223"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No todos los psicópatas son iguales, los actos impulsivos y violentos pueden expresarse con más frecuencia entre los psicópatas agresivos mientras que los actos de fraude y violencia instrumental son más característicos de l</w:t>
      </w:r>
      <w:r w:rsidR="008C4771" w:rsidRPr="008B266E">
        <w:rPr>
          <w:rFonts w:ascii="Times New Roman" w:hAnsi="Times New Roman" w:cs="Times New Roman"/>
          <w:sz w:val="24"/>
          <w:szCs w:val="24"/>
        </w:rPr>
        <w:t>o</w:t>
      </w:r>
      <w:r w:rsidRPr="008B266E">
        <w:rPr>
          <w:rFonts w:ascii="Times New Roman" w:hAnsi="Times New Roman" w:cs="Times New Roman"/>
          <w:sz w:val="24"/>
          <w:szCs w:val="24"/>
        </w:rPr>
        <w:t>s psicópatas estables (</w:t>
      </w:r>
      <w:r w:rsidR="000C684C" w:rsidRPr="008B266E">
        <w:rPr>
          <w:rFonts w:ascii="Times New Roman" w:hAnsi="Times New Roman" w:cs="Times New Roman"/>
          <w:sz w:val="24"/>
          <w:szCs w:val="24"/>
        </w:rPr>
        <w:t>López y Núñez</w:t>
      </w:r>
      <w:r w:rsidRPr="008B266E">
        <w:rPr>
          <w:rFonts w:ascii="Times New Roman" w:hAnsi="Times New Roman" w:cs="Times New Roman"/>
          <w:sz w:val="24"/>
          <w:szCs w:val="24"/>
        </w:rPr>
        <w:t xml:space="preserve">, </w:t>
      </w:r>
      <w:r w:rsidR="000C684C" w:rsidRPr="008B266E">
        <w:rPr>
          <w:rFonts w:ascii="Times New Roman" w:hAnsi="Times New Roman" w:cs="Times New Roman"/>
          <w:sz w:val="24"/>
          <w:szCs w:val="24"/>
        </w:rPr>
        <w:t>2009</w:t>
      </w:r>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Eysenck</w:t>
      </w:r>
      <w:proofErr w:type="spellEnd"/>
      <w:r w:rsidRPr="008B266E">
        <w:rPr>
          <w:rFonts w:ascii="Times New Roman" w:hAnsi="Times New Roman" w:cs="Times New Roman"/>
          <w:sz w:val="24"/>
          <w:szCs w:val="24"/>
        </w:rPr>
        <w:t xml:space="preserve"> (1981, 1995 </w:t>
      </w:r>
      <w:r w:rsidR="000C684C" w:rsidRPr="008B266E">
        <w:rPr>
          <w:rFonts w:ascii="Times New Roman" w:hAnsi="Times New Roman" w:cs="Times New Roman"/>
          <w:sz w:val="24"/>
          <w:szCs w:val="24"/>
        </w:rPr>
        <w:t>citado en</w:t>
      </w:r>
      <w:r w:rsidRPr="008B266E">
        <w:rPr>
          <w:rFonts w:ascii="Times New Roman" w:hAnsi="Times New Roman" w:cs="Times New Roman"/>
          <w:sz w:val="24"/>
          <w:szCs w:val="24"/>
        </w:rPr>
        <w:t xml:space="preserve"> López y </w:t>
      </w:r>
      <w:r w:rsidR="003B1160" w:rsidRPr="008B266E">
        <w:rPr>
          <w:rFonts w:ascii="Times New Roman" w:hAnsi="Times New Roman" w:cs="Times New Roman"/>
          <w:sz w:val="24"/>
          <w:szCs w:val="24"/>
        </w:rPr>
        <w:t>Núñez</w:t>
      </w:r>
      <w:r w:rsidRPr="008B266E">
        <w:rPr>
          <w:rFonts w:ascii="Times New Roman" w:hAnsi="Times New Roman" w:cs="Times New Roman"/>
          <w:sz w:val="24"/>
          <w:szCs w:val="24"/>
        </w:rPr>
        <w:t xml:space="preserve">, </w:t>
      </w:r>
      <w:r w:rsidR="000C684C" w:rsidRPr="008B266E">
        <w:rPr>
          <w:rFonts w:ascii="Times New Roman" w:hAnsi="Times New Roman" w:cs="Times New Roman"/>
          <w:sz w:val="24"/>
          <w:szCs w:val="24"/>
        </w:rPr>
        <w:t>2009</w:t>
      </w:r>
      <w:r w:rsidRPr="008B266E">
        <w:rPr>
          <w:rFonts w:ascii="Times New Roman" w:hAnsi="Times New Roman" w:cs="Times New Roman"/>
          <w:sz w:val="24"/>
          <w:szCs w:val="24"/>
        </w:rPr>
        <w:t xml:space="preserve">), distingue entre la psicopatía primaria que se caracteriza por la dimensión de </w:t>
      </w:r>
      <w:proofErr w:type="spellStart"/>
      <w:r w:rsidRPr="008B266E">
        <w:rPr>
          <w:rFonts w:ascii="Times New Roman" w:hAnsi="Times New Roman" w:cs="Times New Roman"/>
          <w:sz w:val="24"/>
          <w:szCs w:val="24"/>
        </w:rPr>
        <w:t>psicoticismo</w:t>
      </w:r>
      <w:proofErr w:type="spellEnd"/>
      <w:r w:rsidRPr="008B266E">
        <w:rPr>
          <w:rFonts w:ascii="Times New Roman" w:hAnsi="Times New Roman" w:cs="Times New Roman"/>
          <w:sz w:val="24"/>
          <w:szCs w:val="24"/>
        </w:rPr>
        <w:t xml:space="preserve">, con ausencia de sentimientos de culpa y empatía lo que lleva a los sujetos a cometer actos delictivos con más probabilidad, y la psicopatía secundaria, asociada a las dimensiones de extroversión y </w:t>
      </w:r>
      <w:proofErr w:type="spellStart"/>
      <w:r w:rsidRPr="008B266E">
        <w:rPr>
          <w:rFonts w:ascii="Times New Roman" w:hAnsi="Times New Roman" w:cs="Times New Roman"/>
          <w:sz w:val="24"/>
          <w:szCs w:val="24"/>
        </w:rPr>
        <w:t>neuroticismo</w:t>
      </w:r>
      <w:proofErr w:type="spellEnd"/>
      <w:r w:rsidRPr="008B266E">
        <w:rPr>
          <w:rFonts w:ascii="Times New Roman" w:hAnsi="Times New Roman" w:cs="Times New Roman"/>
          <w:sz w:val="24"/>
          <w:szCs w:val="24"/>
        </w:rPr>
        <w:t xml:space="preserve">, en la que el individuo comete actos delictivos pero siente culpa por ellos. Por otro lado, </w:t>
      </w:r>
      <w:proofErr w:type="spellStart"/>
      <w:r w:rsidRPr="008B266E">
        <w:rPr>
          <w:rFonts w:ascii="Times New Roman" w:hAnsi="Times New Roman" w:cs="Times New Roman"/>
          <w:sz w:val="24"/>
          <w:szCs w:val="24"/>
        </w:rPr>
        <w:t>Cleckley</w:t>
      </w:r>
      <w:proofErr w:type="spellEnd"/>
      <w:r w:rsidRPr="008B266E">
        <w:rPr>
          <w:rFonts w:ascii="Times New Roman" w:hAnsi="Times New Roman" w:cs="Times New Roman"/>
          <w:sz w:val="24"/>
          <w:szCs w:val="24"/>
        </w:rPr>
        <w:t xml:space="preserve"> diferencia a los psicópatas subclínicos o de éxito, los cuales presentan apariencia de normalidad, son agradables y logran triunfar en profesiones socialmente bien consideradas como científicos, médicos, juristas o empresarios sin ser delincuentes, de los psicópatas criminales o puros que cumplen con los 20 rasgos esenciales del PCL-R (</w:t>
      </w:r>
      <w:proofErr w:type="spellStart"/>
      <w:r w:rsidR="000C684C" w:rsidRPr="008B266E">
        <w:rPr>
          <w:rFonts w:ascii="Times New Roman" w:hAnsi="Times New Roman" w:cs="Times New Roman"/>
          <w:sz w:val="24"/>
          <w:szCs w:val="24"/>
        </w:rPr>
        <w:t>Pozueco</w:t>
      </w:r>
      <w:proofErr w:type="spellEnd"/>
      <w:r w:rsidR="000C684C" w:rsidRPr="008B266E">
        <w:rPr>
          <w:rFonts w:ascii="Times New Roman" w:hAnsi="Times New Roman" w:cs="Times New Roman"/>
          <w:sz w:val="24"/>
          <w:szCs w:val="24"/>
        </w:rPr>
        <w:t>, Romero y Casas, 2011</w:t>
      </w:r>
      <w:r w:rsidRPr="008B266E">
        <w:rPr>
          <w:rFonts w:ascii="Times New Roman" w:hAnsi="Times New Roman" w:cs="Times New Roman"/>
          <w:sz w:val="24"/>
          <w:szCs w:val="24"/>
        </w:rPr>
        <w:t xml:space="preserve">). Para Hare, los psicópatas subclínicos son tan egocéntricos, insensibles y manipuladores como el resto, sin embargo, su inteligencia, familia, </w:t>
      </w:r>
      <w:r w:rsidRPr="008B266E">
        <w:rPr>
          <w:rFonts w:ascii="Times New Roman" w:hAnsi="Times New Roman" w:cs="Times New Roman"/>
          <w:sz w:val="24"/>
          <w:szCs w:val="24"/>
        </w:rPr>
        <w:lastRenderedPageBreak/>
        <w:t>habilidades sociales y circunstancias les permiten construir una fachada de normalidad y obtener lo que desean con relativa impunidad pero violando los criterios éticos igualmente (H</w:t>
      </w:r>
      <w:r w:rsidR="000C684C" w:rsidRPr="008B266E">
        <w:rPr>
          <w:rFonts w:ascii="Times New Roman" w:hAnsi="Times New Roman" w:cs="Times New Roman"/>
          <w:sz w:val="24"/>
          <w:szCs w:val="24"/>
        </w:rPr>
        <w:t>are</w:t>
      </w:r>
      <w:r w:rsidRPr="008B266E">
        <w:rPr>
          <w:rFonts w:ascii="Times New Roman" w:hAnsi="Times New Roman" w:cs="Times New Roman"/>
          <w:sz w:val="24"/>
          <w:szCs w:val="24"/>
        </w:rPr>
        <w:t xml:space="preserve">, 2003). </w:t>
      </w:r>
    </w:p>
    <w:p w:rsidR="00E34AC1" w:rsidRPr="008B266E" w:rsidRDefault="00E34AC1" w:rsidP="00FE15D7">
      <w:pPr>
        <w:pStyle w:val="Cuerpo"/>
        <w:spacing w:line="360" w:lineRule="auto"/>
        <w:jc w:val="both"/>
        <w:rPr>
          <w:rFonts w:ascii="Times New Roman" w:hAnsi="Times New Roman" w:cs="Times New Roman"/>
          <w:sz w:val="24"/>
          <w:szCs w:val="24"/>
        </w:rPr>
      </w:pPr>
    </w:p>
    <w:p w:rsidR="00376ED2"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Otra de las mayores controversias respecto a la psicopatía es su distinción con el Trastorno Antisocial de la Personalidad (TAP). Para comenzar, el TAP es un trastorno de la personalidad caracterizado por una lista de conductas antisociales o delictivas que pueden ser catalogados como incomprensibles para la mayoría de los humanos, como el canibalismo o el asesinato de forma gratuita y sin motivación alguna (</w:t>
      </w:r>
      <w:r w:rsidR="000C684C" w:rsidRPr="008B266E">
        <w:rPr>
          <w:rFonts w:ascii="Times New Roman" w:hAnsi="Times New Roman" w:cs="Times New Roman"/>
          <w:sz w:val="24"/>
          <w:szCs w:val="24"/>
        </w:rPr>
        <w:t>López y Núñez, 2009; Ramos et al.</w:t>
      </w:r>
      <w:r w:rsidRPr="008B266E">
        <w:rPr>
          <w:rFonts w:ascii="Times New Roman" w:hAnsi="Times New Roman" w:cs="Times New Roman"/>
          <w:sz w:val="24"/>
          <w:szCs w:val="24"/>
        </w:rPr>
        <w:t xml:space="preserve">, 2017). En el DSM-5, se define como “un patrón general de desprecio y violación de los derechos de los demás, que comienza en la infancia o el principio de la </w:t>
      </w:r>
      <w:r w:rsidRPr="008B266E">
        <w:rPr>
          <w:rFonts w:ascii="Times New Roman" w:hAnsi="Times New Roman" w:cs="Times New Roman"/>
          <w:color w:val="000000" w:themeColor="text1"/>
          <w:sz w:val="24"/>
          <w:szCs w:val="24"/>
        </w:rPr>
        <w:t xml:space="preserve">adolescencia </w:t>
      </w:r>
      <w:r w:rsidR="00C47223" w:rsidRPr="008B266E">
        <w:rPr>
          <w:rFonts w:ascii="Times New Roman" w:hAnsi="Times New Roman" w:cs="Times New Roman"/>
          <w:color w:val="000000" w:themeColor="text1"/>
          <w:sz w:val="24"/>
          <w:szCs w:val="24"/>
        </w:rPr>
        <w:t>y</w:t>
      </w:r>
      <w:r w:rsidRPr="008B266E">
        <w:rPr>
          <w:rFonts w:ascii="Times New Roman" w:hAnsi="Times New Roman" w:cs="Times New Roman"/>
          <w:color w:val="000000" w:themeColor="text1"/>
          <w:sz w:val="24"/>
          <w:szCs w:val="24"/>
        </w:rPr>
        <w:t xml:space="preserve"> continua en la edad adulta” (APA, 2002)</w:t>
      </w:r>
      <w:r w:rsidR="003F5D5A" w:rsidRPr="008B266E">
        <w:rPr>
          <w:rFonts w:ascii="Times New Roman" w:hAnsi="Times New Roman" w:cs="Times New Roman"/>
          <w:color w:val="000000" w:themeColor="text1"/>
          <w:sz w:val="24"/>
          <w:szCs w:val="24"/>
        </w:rPr>
        <w:t xml:space="preserve"> (Tabla 2)</w:t>
      </w:r>
      <w:r w:rsidRPr="008B266E">
        <w:rPr>
          <w:rFonts w:ascii="Times New Roman" w:hAnsi="Times New Roman" w:cs="Times New Roman"/>
          <w:color w:val="000000" w:themeColor="text1"/>
          <w:sz w:val="24"/>
          <w:szCs w:val="24"/>
        </w:rPr>
        <w:t xml:space="preserve">. Se </w:t>
      </w:r>
      <w:r w:rsidRPr="008B266E">
        <w:rPr>
          <w:rFonts w:ascii="Times New Roman" w:hAnsi="Times New Roman" w:cs="Times New Roman"/>
          <w:sz w:val="24"/>
          <w:szCs w:val="24"/>
        </w:rPr>
        <w:t xml:space="preserve">trata de un trastorno crónico que puede </w:t>
      </w:r>
      <w:r w:rsidR="009A104A" w:rsidRPr="008B266E">
        <w:rPr>
          <w:rFonts w:ascii="Times New Roman" w:hAnsi="Times New Roman" w:cs="Times New Roman"/>
          <w:sz w:val="24"/>
          <w:szCs w:val="24"/>
        </w:rPr>
        <w:t>ir haciéndose</w:t>
      </w:r>
      <w:r w:rsidRPr="008B266E">
        <w:rPr>
          <w:rFonts w:ascii="Times New Roman" w:hAnsi="Times New Roman" w:cs="Times New Roman"/>
          <w:sz w:val="24"/>
          <w:szCs w:val="24"/>
        </w:rPr>
        <w:t xml:space="preserve"> menos manif</w:t>
      </w:r>
      <w:r w:rsidR="00C47223" w:rsidRPr="008B266E">
        <w:rPr>
          <w:rFonts w:ascii="Times New Roman" w:hAnsi="Times New Roman" w:cs="Times New Roman"/>
          <w:sz w:val="24"/>
          <w:szCs w:val="24"/>
        </w:rPr>
        <w:t>iesto</w:t>
      </w:r>
      <w:r w:rsidRPr="008B266E">
        <w:rPr>
          <w:rFonts w:ascii="Times New Roman" w:hAnsi="Times New Roman" w:cs="Times New Roman"/>
          <w:sz w:val="24"/>
          <w:szCs w:val="24"/>
        </w:rPr>
        <w:t xml:space="preserve"> o remitir a medida que </w:t>
      </w:r>
      <w:r w:rsidR="009A104A" w:rsidRPr="008B266E">
        <w:rPr>
          <w:rFonts w:ascii="Times New Roman" w:hAnsi="Times New Roman" w:cs="Times New Roman"/>
          <w:sz w:val="24"/>
          <w:szCs w:val="24"/>
        </w:rPr>
        <w:t>el</w:t>
      </w:r>
      <w:r w:rsidRPr="008B266E">
        <w:rPr>
          <w:rFonts w:ascii="Times New Roman" w:hAnsi="Times New Roman" w:cs="Times New Roman"/>
          <w:sz w:val="24"/>
          <w:szCs w:val="24"/>
        </w:rPr>
        <w:t xml:space="preserve"> sujeto</w:t>
      </w:r>
      <w:r w:rsidR="009A104A" w:rsidRPr="008B266E">
        <w:rPr>
          <w:rFonts w:ascii="Times New Roman" w:hAnsi="Times New Roman" w:cs="Times New Roman"/>
          <w:sz w:val="24"/>
          <w:szCs w:val="24"/>
        </w:rPr>
        <w:t xml:space="preserve"> va</w:t>
      </w:r>
      <w:r w:rsidRPr="008B266E">
        <w:rPr>
          <w:rFonts w:ascii="Times New Roman" w:hAnsi="Times New Roman" w:cs="Times New Roman"/>
          <w:sz w:val="24"/>
          <w:szCs w:val="24"/>
        </w:rPr>
        <w:t xml:space="preserve"> madurando, especialmente hacia la cu</w:t>
      </w:r>
      <w:r w:rsidR="009A104A" w:rsidRPr="008B266E">
        <w:rPr>
          <w:rFonts w:ascii="Times New Roman" w:hAnsi="Times New Roman" w:cs="Times New Roman"/>
          <w:sz w:val="24"/>
          <w:szCs w:val="24"/>
        </w:rPr>
        <w:t>ar</w:t>
      </w:r>
      <w:r w:rsidRPr="008B266E">
        <w:rPr>
          <w:rFonts w:ascii="Times New Roman" w:hAnsi="Times New Roman" w:cs="Times New Roman"/>
          <w:sz w:val="24"/>
          <w:szCs w:val="24"/>
        </w:rPr>
        <w:t>ta década de la vida (</w:t>
      </w:r>
      <w:proofErr w:type="spellStart"/>
      <w:r w:rsidR="000C684C" w:rsidRPr="008B266E">
        <w:rPr>
          <w:rFonts w:ascii="Times New Roman" w:hAnsi="Times New Roman" w:cs="Times New Roman"/>
          <w:sz w:val="24"/>
          <w:szCs w:val="24"/>
        </w:rPr>
        <w:t>Pallaro</w:t>
      </w:r>
      <w:proofErr w:type="spellEnd"/>
      <w:r w:rsidR="000C684C" w:rsidRPr="008B266E">
        <w:rPr>
          <w:rFonts w:ascii="Times New Roman" w:hAnsi="Times New Roman" w:cs="Times New Roman"/>
          <w:sz w:val="24"/>
          <w:szCs w:val="24"/>
        </w:rPr>
        <w:t xml:space="preserve"> y González-</w:t>
      </w:r>
      <w:proofErr w:type="spellStart"/>
      <w:r w:rsidR="000C684C" w:rsidRPr="008B266E">
        <w:rPr>
          <w:rFonts w:ascii="Times New Roman" w:hAnsi="Times New Roman" w:cs="Times New Roman"/>
          <w:sz w:val="24"/>
          <w:szCs w:val="24"/>
        </w:rPr>
        <w:t>Trijueque</w:t>
      </w:r>
      <w:proofErr w:type="spellEnd"/>
      <w:r w:rsidR="000C684C" w:rsidRPr="008B266E">
        <w:rPr>
          <w:rFonts w:ascii="Times New Roman" w:hAnsi="Times New Roman" w:cs="Times New Roman"/>
          <w:sz w:val="24"/>
          <w:szCs w:val="24"/>
        </w:rPr>
        <w:t>, 2009</w:t>
      </w:r>
      <w:r w:rsidRPr="008B266E">
        <w:rPr>
          <w:rFonts w:ascii="Times New Roman" w:hAnsi="Times New Roman" w:cs="Times New Roman"/>
          <w:sz w:val="24"/>
          <w:szCs w:val="24"/>
        </w:rPr>
        <w:t>).</w:t>
      </w:r>
    </w:p>
    <w:p w:rsidR="00090D65" w:rsidRDefault="00090D65" w:rsidP="00FE15D7">
      <w:pPr>
        <w:pStyle w:val="Cuerpo"/>
        <w:spacing w:line="360" w:lineRule="auto"/>
        <w:jc w:val="both"/>
        <w:rPr>
          <w:rFonts w:ascii="Times New Roman" w:hAnsi="Times New Roman" w:cs="Times New Roman"/>
          <w:sz w:val="24"/>
          <w:szCs w:val="24"/>
        </w:rPr>
      </w:pPr>
    </w:p>
    <w:p w:rsidR="00376ED2" w:rsidRDefault="00376ED2" w:rsidP="00FE15D7">
      <w:pPr>
        <w:pStyle w:val="Cuerpo"/>
        <w:spacing w:line="360" w:lineRule="auto"/>
        <w:jc w:val="both"/>
        <w:rPr>
          <w:rFonts w:ascii="Times New Roman" w:hAnsi="Times New Roman" w:cs="Times New Roman"/>
          <w:sz w:val="24"/>
          <w:szCs w:val="24"/>
        </w:rPr>
      </w:pPr>
      <w:r>
        <w:rPr>
          <w:rFonts w:ascii="Times New Roman" w:hAnsi="Times New Roman" w:cs="Times New Roman"/>
          <w:sz w:val="24"/>
          <w:szCs w:val="24"/>
        </w:rPr>
        <w:t>Tabla 2</w:t>
      </w:r>
    </w:p>
    <w:p w:rsidR="00376ED2" w:rsidRPr="00376ED2" w:rsidRDefault="00376ED2" w:rsidP="00376ED2">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bCs/>
          <w:i/>
          <w:iCs/>
          <w:sz w:val="24"/>
          <w:szCs w:val="24"/>
        </w:rPr>
      </w:pPr>
      <w:r w:rsidRPr="00376ED2">
        <w:rPr>
          <w:rFonts w:ascii="Times New Roman" w:hAnsi="Times New Roman" w:cs="Times New Roman"/>
          <w:bCs/>
          <w:i/>
          <w:iCs/>
          <w:sz w:val="24"/>
          <w:szCs w:val="24"/>
        </w:rPr>
        <w:t>Criterios para el diagnóstico de Trastorno antisocial de la personalidad</w:t>
      </w:r>
      <w:r w:rsidR="0072099F">
        <w:rPr>
          <w:rFonts w:ascii="Times New Roman" w:hAnsi="Times New Roman" w:cs="Times New Roman"/>
          <w:bCs/>
          <w:i/>
          <w:iCs/>
          <w:sz w:val="24"/>
          <w:szCs w:val="24"/>
        </w:rPr>
        <w:t>, DSM-5</w:t>
      </w:r>
      <w:r>
        <w:rPr>
          <w:rFonts w:ascii="Times New Roman" w:hAnsi="Times New Roman" w:cs="Times New Roman"/>
          <w:bCs/>
          <w:i/>
          <w:iCs/>
          <w:sz w:val="24"/>
          <w:szCs w:val="24"/>
        </w:rPr>
        <w:t xml:space="preserve">. </w:t>
      </w:r>
      <w:r w:rsidRPr="00376ED2">
        <w:rPr>
          <w:rFonts w:ascii="Times New Roman" w:hAnsi="Times New Roman" w:cs="Times New Roman"/>
          <w:bCs/>
          <w:sz w:val="24"/>
          <w:szCs w:val="24"/>
        </w:rPr>
        <w:t>APA (2014)</w:t>
      </w:r>
      <w:r w:rsidR="005B604A">
        <w:rPr>
          <w:rFonts w:ascii="Times New Roman" w:hAnsi="Times New Roman" w:cs="Times New Roman"/>
          <w:bCs/>
          <w:sz w:val="24"/>
          <w:szCs w:val="24"/>
        </w:rPr>
        <w:fldChar w:fldCharType="begin"/>
      </w:r>
      <w:r w:rsidR="005B604A">
        <w:instrText xml:space="preserve"> XE "</w:instrText>
      </w:r>
      <w:r w:rsidR="005B604A" w:rsidRPr="00C72754">
        <w:rPr>
          <w:rFonts w:ascii="Times New Roman" w:hAnsi="Times New Roman" w:cs="Times New Roman"/>
          <w:bCs/>
          <w:i/>
          <w:iCs/>
          <w:sz w:val="24"/>
          <w:szCs w:val="24"/>
        </w:rPr>
        <w:instrText xml:space="preserve">Criterios para el diagnóstico de Trastorno antisocial de la personalidad, DSM-5. </w:instrText>
      </w:r>
      <w:r w:rsidR="005B604A" w:rsidRPr="00C72754">
        <w:rPr>
          <w:rFonts w:ascii="Times New Roman" w:hAnsi="Times New Roman" w:cs="Times New Roman"/>
          <w:bCs/>
          <w:sz w:val="24"/>
          <w:szCs w:val="24"/>
        </w:rPr>
        <w:instrText>APA (2014)</w:instrText>
      </w:r>
      <w:r w:rsidR="005B604A">
        <w:instrText xml:space="preserve">" </w:instrText>
      </w:r>
      <w:r w:rsidR="005B604A">
        <w:rPr>
          <w:rFonts w:ascii="Times New Roman" w:hAnsi="Times New Roman" w:cs="Times New Roman"/>
          <w:bCs/>
          <w:sz w:val="24"/>
          <w:szCs w:val="24"/>
        </w:rPr>
        <w:fldChar w:fldCharType="end"/>
      </w:r>
    </w:p>
    <w:tbl>
      <w:tblPr>
        <w:tblStyle w:val="Tablaconcuadrcula"/>
        <w:tblW w:w="10135"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5"/>
      </w:tblGrid>
      <w:tr w:rsidR="005E3E80" w:rsidRPr="00F21754" w:rsidTr="00EC61B7">
        <w:trPr>
          <w:jc w:val="center"/>
        </w:trPr>
        <w:tc>
          <w:tcPr>
            <w:tcW w:w="10135" w:type="dxa"/>
          </w:tcPr>
          <w:p w:rsidR="005E3E80" w:rsidRDefault="005E3E80" w:rsidP="00376ED2">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4A72B1">
              <w:rPr>
                <w:rFonts w:ascii="Times New Roman" w:hAnsi="Times New Roman" w:cs="Times New Roman"/>
                <w:b/>
                <w:sz w:val="24"/>
                <w:szCs w:val="24"/>
              </w:rPr>
              <w:t>A</w:t>
            </w:r>
            <w:r>
              <w:rPr>
                <w:rFonts w:ascii="Times New Roman" w:hAnsi="Times New Roman" w:cs="Times New Roman"/>
                <w:sz w:val="24"/>
                <w:szCs w:val="24"/>
              </w:rPr>
              <w:t>- Un patrón general de desprecio y violación de los derechos de los demás que se presenta desde la edad de 15 años, como lo indican tres (o más) de los siguientes ítems:</w:t>
            </w:r>
          </w:p>
          <w:p w:rsidR="005E3E80" w:rsidRDefault="005E3E80" w:rsidP="005E3E80">
            <w:pPr>
              <w:pStyle w:val="Cuerpo"/>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Fracaso para adaptarse a las normas sociales en lo que respecta al comportamiento legal, como lo indica el perpetrar repetidamente actos que son motivo de detención. </w:t>
            </w:r>
          </w:p>
          <w:p w:rsidR="005E3E80" w:rsidRDefault="005E3E80" w:rsidP="005E3E80">
            <w:pPr>
              <w:pStyle w:val="Cuerpo"/>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t>Deshonestidad, indicada por mentir repetidamente, utilizar un alias, estafar a otros para obtener un beneficio personal o por placer.</w:t>
            </w:r>
          </w:p>
          <w:p w:rsidR="005E3E80" w:rsidRDefault="005E3E80" w:rsidP="005E3E80">
            <w:pPr>
              <w:pStyle w:val="Cuerpo"/>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t>Impulsividad o incapacidad para planificar el futuro.</w:t>
            </w:r>
          </w:p>
          <w:p w:rsidR="005E3E80" w:rsidRDefault="005E3E80" w:rsidP="005E3E80">
            <w:pPr>
              <w:pStyle w:val="Cuerpo"/>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t>Irritabilidad y agresividad, indicados por peleas físicas repetidas o agresiones.</w:t>
            </w:r>
          </w:p>
          <w:p w:rsidR="005E3E80" w:rsidRDefault="005E3E80" w:rsidP="005E3E80">
            <w:pPr>
              <w:pStyle w:val="Cuerpo"/>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t>Despreocupación imprudente por su seguridad o la de los demás.</w:t>
            </w:r>
          </w:p>
          <w:p w:rsidR="005E3E80" w:rsidRDefault="005E3E80" w:rsidP="005E3E80">
            <w:pPr>
              <w:pStyle w:val="Cuerpo"/>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Irresponsabilidad persistente, indicada por la incapacidad de mantener un trabajo con constancia o de hacerse cargo de obligaciones económicas. </w:t>
            </w:r>
          </w:p>
          <w:p w:rsidR="005E3E80" w:rsidRDefault="005E3E80" w:rsidP="005E3E80">
            <w:pPr>
              <w:pStyle w:val="Cuerpo"/>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Falta de remordimientos, como lo indica la indiferencia o la justificación del haber dañado, maltratado o robado a otros. </w:t>
            </w:r>
          </w:p>
          <w:p w:rsidR="005E3E80" w:rsidRDefault="005E3E80" w:rsidP="00376ED2">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4A72B1">
              <w:rPr>
                <w:rFonts w:ascii="Times New Roman" w:hAnsi="Times New Roman" w:cs="Times New Roman"/>
                <w:b/>
                <w:sz w:val="24"/>
                <w:szCs w:val="24"/>
              </w:rPr>
              <w:t>B</w:t>
            </w:r>
            <w:r>
              <w:rPr>
                <w:rFonts w:ascii="Times New Roman" w:hAnsi="Times New Roman" w:cs="Times New Roman"/>
                <w:sz w:val="24"/>
                <w:szCs w:val="24"/>
              </w:rPr>
              <w:t>- El sujeto tiene al menos 18 años.</w:t>
            </w:r>
          </w:p>
          <w:p w:rsidR="005E3E80" w:rsidRDefault="005E3E80" w:rsidP="00376ED2">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4A72B1">
              <w:rPr>
                <w:rFonts w:ascii="Times New Roman" w:hAnsi="Times New Roman" w:cs="Times New Roman"/>
                <w:b/>
                <w:sz w:val="24"/>
                <w:szCs w:val="24"/>
              </w:rPr>
              <w:t>C</w:t>
            </w:r>
            <w:r>
              <w:rPr>
                <w:rFonts w:ascii="Times New Roman" w:hAnsi="Times New Roman" w:cs="Times New Roman"/>
                <w:sz w:val="24"/>
                <w:szCs w:val="24"/>
              </w:rPr>
              <w:t xml:space="preserve">- Existen pruebas de un trastorno </w:t>
            </w:r>
            <w:proofErr w:type="spellStart"/>
            <w:r>
              <w:rPr>
                <w:rFonts w:ascii="Times New Roman" w:hAnsi="Times New Roman" w:cs="Times New Roman"/>
                <w:sz w:val="24"/>
                <w:szCs w:val="24"/>
              </w:rPr>
              <w:t>disocial</w:t>
            </w:r>
            <w:proofErr w:type="spellEnd"/>
            <w:r>
              <w:rPr>
                <w:rFonts w:ascii="Times New Roman" w:hAnsi="Times New Roman" w:cs="Times New Roman"/>
                <w:sz w:val="24"/>
                <w:szCs w:val="24"/>
              </w:rPr>
              <w:t xml:space="preserve"> (v. pág. 94) que comienza antes de la edad de 15 años. </w:t>
            </w:r>
          </w:p>
          <w:p w:rsidR="00F5015F" w:rsidRDefault="005E3E80" w:rsidP="00C47223">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4A72B1">
              <w:rPr>
                <w:rFonts w:ascii="Times New Roman" w:hAnsi="Times New Roman" w:cs="Times New Roman"/>
                <w:b/>
                <w:sz w:val="24"/>
                <w:szCs w:val="24"/>
              </w:rPr>
              <w:t>D</w:t>
            </w:r>
            <w:r>
              <w:rPr>
                <w:rFonts w:ascii="Times New Roman" w:hAnsi="Times New Roman" w:cs="Times New Roman"/>
                <w:sz w:val="24"/>
                <w:szCs w:val="24"/>
              </w:rPr>
              <w:t xml:space="preserve">- El comportamiento antisocial no aparece exclusivamente en el transcurso de una esquizofrenia o un episodio maníaco. </w:t>
            </w:r>
          </w:p>
        </w:tc>
      </w:tr>
    </w:tbl>
    <w:p w:rsidR="00046077" w:rsidRPr="00FE15D7" w:rsidRDefault="00046077" w:rsidP="00FE15D7">
      <w:pPr>
        <w:pStyle w:val="Cuerpo"/>
        <w:spacing w:line="360" w:lineRule="auto"/>
        <w:jc w:val="both"/>
        <w:rPr>
          <w:rFonts w:ascii="Times New Roman" w:hAnsi="Times New Roman" w:cs="Times New Roman"/>
          <w:sz w:val="24"/>
          <w:szCs w:val="24"/>
        </w:rPr>
      </w:pPr>
    </w:p>
    <w:p w:rsidR="00E34AC1"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lastRenderedPageBreak/>
        <w:t>La psicopatía y el Trastorno Antisocial de la Personalidad a pesar de compartir algunas características, especialmente los rasgos relativos a la vertiente conductual, aluden a constructos diferentes (</w:t>
      </w:r>
      <w:r w:rsidR="00815ED4" w:rsidRPr="008B266E">
        <w:rPr>
          <w:rFonts w:ascii="Times New Roman" w:hAnsi="Times New Roman" w:cs="Times New Roman"/>
          <w:sz w:val="24"/>
          <w:szCs w:val="24"/>
        </w:rPr>
        <w:t>Moreno, 2019</w:t>
      </w:r>
      <w:r w:rsidRPr="008B266E">
        <w:rPr>
          <w:rFonts w:ascii="Times New Roman" w:hAnsi="Times New Roman" w:cs="Times New Roman"/>
          <w:sz w:val="24"/>
          <w:szCs w:val="24"/>
        </w:rPr>
        <w:t>). La psicopatía es definida por un conjunto de rasgos de la personalidad y conductas socialmente desviadas, mientras que el TAP se refiere fundamentalmente a un grupo de conductas delictivas y antisociales, con lo que muchos delincuentes no psicópatas podrían incluirse (L</w:t>
      </w:r>
      <w:r w:rsidR="00815ED4" w:rsidRPr="008B266E">
        <w:rPr>
          <w:rFonts w:ascii="Times New Roman" w:hAnsi="Times New Roman" w:cs="Times New Roman"/>
          <w:sz w:val="24"/>
          <w:szCs w:val="24"/>
        </w:rPr>
        <w:t>ópez y Núñez, 2009</w:t>
      </w:r>
      <w:r w:rsidRPr="008B266E">
        <w:rPr>
          <w:rFonts w:ascii="Times New Roman" w:hAnsi="Times New Roman" w:cs="Times New Roman"/>
          <w:sz w:val="24"/>
          <w:szCs w:val="24"/>
        </w:rPr>
        <w:t xml:space="preserve">). Mientras que </w:t>
      </w:r>
      <w:r w:rsidR="00C47223" w:rsidRPr="008B266E">
        <w:rPr>
          <w:rFonts w:ascii="Times New Roman" w:hAnsi="Times New Roman" w:cs="Times New Roman"/>
          <w:sz w:val="24"/>
          <w:szCs w:val="24"/>
        </w:rPr>
        <w:t xml:space="preserve">en </w:t>
      </w:r>
      <w:r w:rsidRPr="008B266E">
        <w:rPr>
          <w:rFonts w:ascii="Times New Roman" w:hAnsi="Times New Roman" w:cs="Times New Roman"/>
          <w:sz w:val="24"/>
          <w:szCs w:val="24"/>
        </w:rPr>
        <w:t>la psicopatía la principal alteración se centraría en la personalidad de individuo, en el Trastorno Antisocial de la Personalidad se concede más importancia a las conductas desviadas que son observables (</w:t>
      </w:r>
      <w:r w:rsidR="00815ED4" w:rsidRPr="008B266E">
        <w:rPr>
          <w:rFonts w:ascii="Times New Roman" w:hAnsi="Times New Roman" w:cs="Times New Roman"/>
          <w:sz w:val="24"/>
          <w:szCs w:val="24"/>
        </w:rPr>
        <w:t>Núñez y López, 2009</w:t>
      </w:r>
      <w:r w:rsidRPr="008B266E">
        <w:rPr>
          <w:rFonts w:ascii="Times New Roman" w:hAnsi="Times New Roman" w:cs="Times New Roman"/>
          <w:sz w:val="24"/>
          <w:szCs w:val="24"/>
        </w:rPr>
        <w:t>). Para el diagnostico de la psicopatía se requiere la presencia de una serie de características como grandiosidad, egocentrismo o falta de empatía, además de la presencia de un inestable, antisocial y desviado estilo de vida, sin embargo, en el caso del TAP, este se basa en la expresión de comportamientos que van en contra de los principios básicos de la sociedad y que generalmente son dañinos para los otros (R</w:t>
      </w:r>
      <w:r w:rsidR="00815ED4" w:rsidRPr="008B266E">
        <w:rPr>
          <w:rFonts w:ascii="Times New Roman" w:hAnsi="Times New Roman" w:cs="Times New Roman"/>
          <w:sz w:val="24"/>
          <w:szCs w:val="24"/>
        </w:rPr>
        <w:t xml:space="preserve">utherford, </w:t>
      </w:r>
      <w:proofErr w:type="spellStart"/>
      <w:r w:rsidR="00815ED4" w:rsidRPr="008B266E">
        <w:rPr>
          <w:rFonts w:ascii="Times New Roman" w:hAnsi="Times New Roman" w:cs="Times New Roman"/>
          <w:sz w:val="24"/>
          <w:szCs w:val="24"/>
        </w:rPr>
        <w:t>Alterman</w:t>
      </w:r>
      <w:proofErr w:type="spellEnd"/>
      <w:r w:rsidR="00815ED4" w:rsidRPr="008B266E">
        <w:rPr>
          <w:rFonts w:ascii="Times New Roman" w:hAnsi="Times New Roman" w:cs="Times New Roman"/>
          <w:sz w:val="24"/>
          <w:szCs w:val="24"/>
        </w:rPr>
        <w:t xml:space="preserve">, </w:t>
      </w:r>
      <w:proofErr w:type="spellStart"/>
      <w:r w:rsidR="00815ED4" w:rsidRPr="008B266E">
        <w:rPr>
          <w:rFonts w:ascii="Times New Roman" w:hAnsi="Times New Roman" w:cs="Times New Roman"/>
          <w:sz w:val="24"/>
          <w:szCs w:val="24"/>
        </w:rPr>
        <w:t>Cacciola</w:t>
      </w:r>
      <w:proofErr w:type="spellEnd"/>
      <w:r w:rsidR="00815ED4" w:rsidRPr="008B266E">
        <w:rPr>
          <w:rFonts w:ascii="Times New Roman" w:hAnsi="Times New Roman" w:cs="Times New Roman"/>
          <w:sz w:val="24"/>
          <w:szCs w:val="24"/>
        </w:rPr>
        <w:t xml:space="preserve"> y </w:t>
      </w:r>
      <w:proofErr w:type="spellStart"/>
      <w:r w:rsidR="00815ED4" w:rsidRPr="008B266E">
        <w:rPr>
          <w:rFonts w:ascii="Times New Roman" w:hAnsi="Times New Roman" w:cs="Times New Roman"/>
          <w:sz w:val="24"/>
          <w:szCs w:val="24"/>
        </w:rPr>
        <w:t>McKay</w:t>
      </w:r>
      <w:proofErr w:type="spellEnd"/>
      <w:r w:rsidR="00815ED4" w:rsidRPr="008B266E">
        <w:rPr>
          <w:rFonts w:ascii="Times New Roman" w:hAnsi="Times New Roman" w:cs="Times New Roman"/>
          <w:sz w:val="24"/>
          <w:szCs w:val="24"/>
        </w:rPr>
        <w:t>, 1998</w:t>
      </w:r>
      <w:r w:rsidRPr="008B266E">
        <w:rPr>
          <w:rFonts w:ascii="Times New Roman" w:hAnsi="Times New Roman" w:cs="Times New Roman"/>
          <w:sz w:val="24"/>
          <w:szCs w:val="24"/>
        </w:rPr>
        <w:t>). La relación entre la psicopatía y el Trastorno Antisocial de la Personalidad es asimétrica, mientras que casi todos los psicópatas cumplen criterios de TAP, solo una parte de los individuos que cumplen criterios para este trastorno serían psicópatas, por lo tanto, muchos delincuentes encarcelados tendrían un diagnóstico de TAP, mientras que menos de la tercera parte de ellos podrían ser diagn</w:t>
      </w:r>
      <w:r w:rsidR="009A104A" w:rsidRPr="008B266E">
        <w:rPr>
          <w:rFonts w:ascii="Times New Roman" w:hAnsi="Times New Roman" w:cs="Times New Roman"/>
          <w:sz w:val="24"/>
          <w:szCs w:val="24"/>
        </w:rPr>
        <w:t>o</w:t>
      </w:r>
      <w:r w:rsidRPr="008B266E">
        <w:rPr>
          <w:rFonts w:ascii="Times New Roman" w:hAnsi="Times New Roman" w:cs="Times New Roman"/>
          <w:sz w:val="24"/>
          <w:szCs w:val="24"/>
        </w:rPr>
        <w:t>stica</w:t>
      </w:r>
      <w:r w:rsidR="009A104A" w:rsidRPr="008B266E">
        <w:rPr>
          <w:rFonts w:ascii="Times New Roman" w:hAnsi="Times New Roman" w:cs="Times New Roman"/>
          <w:sz w:val="24"/>
          <w:szCs w:val="24"/>
        </w:rPr>
        <w:t xml:space="preserve">dos </w:t>
      </w:r>
      <w:r w:rsidRPr="008B266E">
        <w:rPr>
          <w:rFonts w:ascii="Times New Roman" w:hAnsi="Times New Roman" w:cs="Times New Roman"/>
          <w:sz w:val="24"/>
          <w:szCs w:val="24"/>
        </w:rPr>
        <w:t>de psicopatía (</w:t>
      </w:r>
      <w:proofErr w:type="spellStart"/>
      <w:r w:rsidR="00815ED4" w:rsidRPr="008B266E">
        <w:rPr>
          <w:rFonts w:ascii="Times New Roman" w:hAnsi="Times New Roman" w:cs="Times New Roman"/>
          <w:sz w:val="24"/>
          <w:szCs w:val="24"/>
        </w:rPr>
        <w:t>Cuquerella</w:t>
      </w:r>
      <w:proofErr w:type="spellEnd"/>
      <w:r w:rsidR="00815ED4" w:rsidRPr="008B266E">
        <w:rPr>
          <w:rFonts w:ascii="Times New Roman" w:hAnsi="Times New Roman" w:cs="Times New Roman"/>
          <w:sz w:val="24"/>
          <w:szCs w:val="24"/>
        </w:rPr>
        <w:t xml:space="preserve"> y </w:t>
      </w:r>
      <w:proofErr w:type="spellStart"/>
      <w:r w:rsidR="00815ED4" w:rsidRPr="008B266E">
        <w:rPr>
          <w:rFonts w:ascii="Times New Roman" w:hAnsi="Times New Roman" w:cs="Times New Roman"/>
          <w:sz w:val="24"/>
          <w:szCs w:val="24"/>
        </w:rPr>
        <w:t>Torrubia</w:t>
      </w:r>
      <w:proofErr w:type="spellEnd"/>
      <w:r w:rsidR="00815ED4" w:rsidRPr="008B266E">
        <w:rPr>
          <w:rFonts w:ascii="Times New Roman" w:hAnsi="Times New Roman" w:cs="Times New Roman"/>
          <w:sz w:val="24"/>
          <w:szCs w:val="24"/>
        </w:rPr>
        <w:t>, 2008</w:t>
      </w:r>
      <w:r w:rsidRPr="008B266E">
        <w:rPr>
          <w:rFonts w:ascii="Times New Roman" w:hAnsi="Times New Roman" w:cs="Times New Roman"/>
          <w:sz w:val="24"/>
          <w:szCs w:val="24"/>
        </w:rPr>
        <w:t>). De hecho, en la población criminal las tasas de psicopatía son de un 15-25%, mucho menos que las del Trastorno Antisocial de la personalidad, 40-80% (</w:t>
      </w:r>
      <w:r w:rsidR="00815ED4" w:rsidRPr="008B266E">
        <w:rPr>
          <w:rFonts w:ascii="Times New Roman" w:hAnsi="Times New Roman" w:cs="Times New Roman"/>
          <w:sz w:val="24"/>
          <w:szCs w:val="24"/>
        </w:rPr>
        <w:t>Cale y Lilienfeld, 2002</w:t>
      </w:r>
      <w:r w:rsidRPr="008B266E">
        <w:rPr>
          <w:rFonts w:ascii="Times New Roman" w:hAnsi="Times New Roman" w:cs="Times New Roman"/>
          <w:sz w:val="24"/>
          <w:szCs w:val="24"/>
        </w:rPr>
        <w:t>).</w:t>
      </w:r>
    </w:p>
    <w:p w:rsidR="00111D44" w:rsidRDefault="00111D44" w:rsidP="00FE15D7">
      <w:pPr>
        <w:pStyle w:val="Cuerpo"/>
        <w:spacing w:line="360" w:lineRule="auto"/>
        <w:jc w:val="both"/>
        <w:rPr>
          <w:rFonts w:ascii="Times New Roman" w:hAnsi="Times New Roman" w:cs="Times New Roman"/>
          <w:sz w:val="24"/>
          <w:szCs w:val="24"/>
        </w:rPr>
      </w:pPr>
    </w:p>
    <w:p w:rsidR="00111D44" w:rsidRPr="008B266E" w:rsidRDefault="00111D44" w:rsidP="00FE15D7">
      <w:pPr>
        <w:pStyle w:val="Cuerpo"/>
        <w:spacing w:line="360" w:lineRule="auto"/>
        <w:jc w:val="both"/>
        <w:rPr>
          <w:rFonts w:ascii="Times New Roman" w:hAnsi="Times New Roman" w:cs="Times New Roman"/>
          <w:sz w:val="24"/>
          <w:szCs w:val="24"/>
        </w:rPr>
      </w:pPr>
      <w:r>
        <w:rPr>
          <w:rFonts w:ascii="Times New Roman" w:hAnsi="Times New Roman" w:cs="Times New Roman"/>
          <w:sz w:val="24"/>
          <w:szCs w:val="24"/>
        </w:rPr>
        <w:t>Tras definir</w:t>
      </w:r>
      <w:r w:rsidR="00207D3C">
        <w:rPr>
          <w:rFonts w:ascii="Times New Roman" w:hAnsi="Times New Roman" w:cs="Times New Roman"/>
          <w:sz w:val="24"/>
          <w:szCs w:val="24"/>
        </w:rPr>
        <w:t xml:space="preserve"> el concepto de psicopatía</w:t>
      </w:r>
      <w:r>
        <w:rPr>
          <w:rFonts w:ascii="Times New Roman" w:hAnsi="Times New Roman" w:cs="Times New Roman"/>
          <w:sz w:val="24"/>
          <w:szCs w:val="24"/>
        </w:rPr>
        <w:t xml:space="preserve"> y diferenciar</w:t>
      </w:r>
      <w:r w:rsidR="00207D3C">
        <w:rPr>
          <w:rFonts w:ascii="Times New Roman" w:hAnsi="Times New Roman" w:cs="Times New Roman"/>
          <w:sz w:val="24"/>
          <w:szCs w:val="24"/>
        </w:rPr>
        <w:t>lo de otros trastornos</w:t>
      </w:r>
      <w:r>
        <w:rPr>
          <w:rFonts w:ascii="Times New Roman" w:hAnsi="Times New Roman" w:cs="Times New Roman"/>
          <w:sz w:val="24"/>
          <w:szCs w:val="24"/>
        </w:rPr>
        <w:t xml:space="preserve">, a continuación se señalan </w:t>
      </w:r>
      <w:r w:rsidR="00207D3C">
        <w:rPr>
          <w:rFonts w:ascii="Times New Roman" w:hAnsi="Times New Roman" w:cs="Times New Roman"/>
          <w:sz w:val="24"/>
          <w:szCs w:val="24"/>
        </w:rPr>
        <w:t>sus</w:t>
      </w:r>
      <w:r>
        <w:rPr>
          <w:rFonts w:ascii="Times New Roman" w:hAnsi="Times New Roman" w:cs="Times New Roman"/>
          <w:sz w:val="24"/>
          <w:szCs w:val="24"/>
        </w:rPr>
        <w:t xml:space="preserve"> diferentes causas y orígenes, a nivel familiar y desde la infancia y a través de la neuropsicología.</w:t>
      </w:r>
    </w:p>
    <w:p w:rsidR="00E34AC1" w:rsidRPr="008B266E" w:rsidRDefault="00E34AC1" w:rsidP="00FE15D7">
      <w:pPr>
        <w:pStyle w:val="Cuerpo"/>
        <w:spacing w:line="360" w:lineRule="auto"/>
        <w:jc w:val="both"/>
        <w:rPr>
          <w:rFonts w:ascii="Times New Roman" w:hAnsi="Times New Roman" w:cs="Times New Roman"/>
          <w:sz w:val="24"/>
          <w:szCs w:val="24"/>
        </w:rPr>
      </w:pPr>
    </w:p>
    <w:p w:rsidR="00E34AC1" w:rsidRPr="00FE15D7" w:rsidRDefault="007D4A36" w:rsidP="008C4771">
      <w:pPr>
        <w:pStyle w:val="Cuerpo"/>
        <w:spacing w:line="360" w:lineRule="auto"/>
        <w:jc w:val="both"/>
        <w:rPr>
          <w:rFonts w:ascii="Times New Roman" w:hAnsi="Times New Roman" w:cs="Times New Roman"/>
          <w:b/>
          <w:bCs/>
          <w:sz w:val="24"/>
          <w:szCs w:val="24"/>
        </w:rPr>
      </w:pPr>
      <w:r w:rsidRPr="00FE15D7">
        <w:rPr>
          <w:rFonts w:ascii="Times New Roman" w:hAnsi="Times New Roman" w:cs="Times New Roman"/>
          <w:b/>
          <w:bCs/>
          <w:sz w:val="24"/>
          <w:szCs w:val="24"/>
        </w:rPr>
        <w:t>Etiología, el origen</w:t>
      </w:r>
      <w:r w:rsidR="005F2033">
        <w:rPr>
          <w:rFonts w:ascii="Times New Roman" w:hAnsi="Times New Roman" w:cs="Times New Roman"/>
          <w:b/>
          <w:bCs/>
          <w:sz w:val="24"/>
          <w:szCs w:val="24"/>
        </w:rPr>
        <w:fldChar w:fldCharType="begin"/>
      </w:r>
      <w:r w:rsidR="005F2033">
        <w:instrText xml:space="preserve"> XE "</w:instrText>
      </w:r>
      <w:r w:rsidR="005F2033" w:rsidRPr="00CB0019">
        <w:rPr>
          <w:rFonts w:ascii="Times New Roman" w:hAnsi="Times New Roman" w:cs="Times New Roman"/>
          <w:b/>
          <w:bCs/>
          <w:sz w:val="24"/>
          <w:szCs w:val="24"/>
        </w:rPr>
        <w:instrText>Etiología, el origen</w:instrText>
      </w:r>
      <w:r w:rsidR="005F2033">
        <w:instrText xml:space="preserve">" </w:instrText>
      </w:r>
      <w:r w:rsidR="005F2033">
        <w:rPr>
          <w:rFonts w:ascii="Times New Roman" w:hAnsi="Times New Roman" w:cs="Times New Roman"/>
          <w:b/>
          <w:bCs/>
          <w:sz w:val="24"/>
          <w:szCs w:val="24"/>
        </w:rPr>
        <w:fldChar w:fldCharType="end"/>
      </w:r>
      <w:r w:rsidRPr="00FE15D7">
        <w:rPr>
          <w:rFonts w:ascii="Times New Roman" w:hAnsi="Times New Roman" w:cs="Times New Roman"/>
          <w:b/>
          <w:bCs/>
          <w:sz w:val="24"/>
          <w:szCs w:val="24"/>
        </w:rPr>
        <w:t xml:space="preserve"> </w:t>
      </w:r>
    </w:p>
    <w:p w:rsidR="00E34AC1" w:rsidRPr="00FE15D7" w:rsidRDefault="00E34AC1"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La etiología de la psicopatía es de gran diversidad, pueden hallarse factores biológicos y de socialización, a los que se añaden la influencia del aprendizaje y de experiencias vitales (</w:t>
      </w:r>
      <w:r w:rsidR="00895AFD" w:rsidRPr="008B266E">
        <w:rPr>
          <w:rFonts w:ascii="Times New Roman" w:hAnsi="Times New Roman" w:cs="Times New Roman"/>
          <w:sz w:val="24"/>
          <w:szCs w:val="24"/>
        </w:rPr>
        <w:t>López y Núñ</w:t>
      </w:r>
      <w:r w:rsidR="00C96094" w:rsidRPr="008B266E">
        <w:rPr>
          <w:rFonts w:ascii="Times New Roman" w:hAnsi="Times New Roman" w:cs="Times New Roman"/>
          <w:sz w:val="24"/>
          <w:szCs w:val="24"/>
        </w:rPr>
        <w:t>ez, 2009</w:t>
      </w:r>
      <w:r w:rsidRPr="008B266E">
        <w:rPr>
          <w:rFonts w:ascii="Times New Roman" w:hAnsi="Times New Roman" w:cs="Times New Roman"/>
          <w:sz w:val="24"/>
          <w:szCs w:val="24"/>
        </w:rPr>
        <w:t xml:space="preserve">). </w:t>
      </w: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 xml:space="preserve">El individuo interactúa desde su nacimiento con una gran cantidad de </w:t>
      </w:r>
      <w:r w:rsidR="005E3E80" w:rsidRPr="008B266E">
        <w:rPr>
          <w:rFonts w:ascii="Times New Roman" w:hAnsi="Times New Roman" w:cs="Times New Roman"/>
          <w:sz w:val="24"/>
          <w:szCs w:val="24"/>
        </w:rPr>
        <w:t>contingencias</w:t>
      </w:r>
      <w:r w:rsidRPr="008B266E">
        <w:rPr>
          <w:rFonts w:ascii="Times New Roman" w:hAnsi="Times New Roman" w:cs="Times New Roman"/>
          <w:sz w:val="24"/>
          <w:szCs w:val="24"/>
        </w:rPr>
        <w:t xml:space="preserve"> y condiciones, las cuales van a moldear y estructurar su conducta, dando lugar a un comportamiento más ajustado socialmente o más anormal como es en el caso de la psicopatía (</w:t>
      </w:r>
      <w:proofErr w:type="spellStart"/>
      <w:r w:rsidR="00C96094" w:rsidRPr="008B266E">
        <w:rPr>
          <w:rFonts w:ascii="Times New Roman" w:hAnsi="Times New Roman" w:cs="Times New Roman"/>
          <w:sz w:val="24"/>
          <w:szCs w:val="24"/>
        </w:rPr>
        <w:t>Visdómine</w:t>
      </w:r>
      <w:proofErr w:type="spellEnd"/>
      <w:r w:rsidR="00C96094" w:rsidRPr="008B266E">
        <w:rPr>
          <w:rFonts w:ascii="Times New Roman" w:hAnsi="Times New Roman" w:cs="Times New Roman"/>
          <w:sz w:val="24"/>
          <w:szCs w:val="24"/>
        </w:rPr>
        <w:t xml:space="preserve"> et. al</w:t>
      </w:r>
      <w:r w:rsidRPr="008B266E">
        <w:rPr>
          <w:rFonts w:ascii="Times New Roman" w:hAnsi="Times New Roman" w:cs="Times New Roman"/>
          <w:sz w:val="24"/>
          <w:szCs w:val="24"/>
        </w:rPr>
        <w:t>, 2019). Los desórdenes de la personalidad se ponen de manifiesto a una edad muy temprana, en la adolescencia o al comienzo de la adultez (</w:t>
      </w:r>
      <w:r w:rsidR="00C96094" w:rsidRPr="008B266E">
        <w:rPr>
          <w:rFonts w:ascii="Times New Roman" w:hAnsi="Times New Roman" w:cs="Times New Roman"/>
          <w:sz w:val="24"/>
          <w:szCs w:val="24"/>
        </w:rPr>
        <w:t>Hare</w:t>
      </w:r>
      <w:r w:rsidRPr="008B266E">
        <w:rPr>
          <w:rFonts w:ascii="Times New Roman" w:hAnsi="Times New Roman" w:cs="Times New Roman"/>
          <w:sz w:val="24"/>
          <w:szCs w:val="24"/>
        </w:rPr>
        <w:t xml:space="preserve">, 2003). Hay ciertos factores durante la infancia que aumentan el </w:t>
      </w:r>
      <w:r w:rsidRPr="008B266E">
        <w:rPr>
          <w:rFonts w:ascii="Times New Roman" w:hAnsi="Times New Roman" w:cs="Times New Roman"/>
          <w:sz w:val="24"/>
          <w:szCs w:val="24"/>
        </w:rPr>
        <w:lastRenderedPageBreak/>
        <w:t>riesgo de que el niño desarrolle características psicopáticas, siendo la vivencia de un trauma psicológico en la infancia, el fracaso del vínculo entre padres e hijos y la presencia de inestabilidad emocional y problemas de conducta simultáneamente, el consumo de drogas y la delincuencia juvenil (H</w:t>
      </w:r>
      <w:r w:rsidR="00C96094" w:rsidRPr="008B266E">
        <w:rPr>
          <w:rFonts w:ascii="Times New Roman" w:hAnsi="Times New Roman" w:cs="Times New Roman"/>
          <w:sz w:val="24"/>
          <w:szCs w:val="24"/>
        </w:rPr>
        <w:t>are</w:t>
      </w:r>
      <w:r w:rsidRPr="008B266E">
        <w:rPr>
          <w:rFonts w:ascii="Times New Roman" w:hAnsi="Times New Roman" w:cs="Times New Roman"/>
          <w:sz w:val="24"/>
          <w:szCs w:val="24"/>
        </w:rPr>
        <w:t xml:space="preserve">, 2003; </w:t>
      </w:r>
      <w:proofErr w:type="spellStart"/>
      <w:r w:rsidRPr="008B266E">
        <w:rPr>
          <w:rFonts w:ascii="Times New Roman" w:hAnsi="Times New Roman" w:cs="Times New Roman"/>
          <w:sz w:val="24"/>
          <w:szCs w:val="24"/>
        </w:rPr>
        <w:t>H</w:t>
      </w:r>
      <w:r w:rsidR="00C96094" w:rsidRPr="008B266E">
        <w:rPr>
          <w:rFonts w:ascii="Times New Roman" w:hAnsi="Times New Roman" w:cs="Times New Roman"/>
          <w:sz w:val="24"/>
          <w:szCs w:val="24"/>
        </w:rPr>
        <w:t>awes</w:t>
      </w:r>
      <w:proofErr w:type="spellEnd"/>
      <w:r w:rsidR="00C96094" w:rsidRPr="008B266E">
        <w:rPr>
          <w:rFonts w:ascii="Times New Roman" w:hAnsi="Times New Roman" w:cs="Times New Roman"/>
          <w:sz w:val="24"/>
          <w:szCs w:val="24"/>
        </w:rPr>
        <w:t xml:space="preserve"> et al.</w:t>
      </w:r>
      <w:r w:rsidRPr="008B266E">
        <w:rPr>
          <w:rFonts w:ascii="Times New Roman" w:hAnsi="Times New Roman" w:cs="Times New Roman"/>
          <w:sz w:val="24"/>
          <w:szCs w:val="24"/>
        </w:rPr>
        <w:t>, 2016). Los niños que presenten dichas características se presentarán diferentes al resto, más agresivos y mentirosos, desafiando los límites y las normas debido a que son menos susceptibles a las instrucciones,</w:t>
      </w:r>
      <w:r w:rsidR="009A104A" w:rsidRPr="008B266E">
        <w:rPr>
          <w:rFonts w:ascii="Times New Roman" w:hAnsi="Times New Roman" w:cs="Times New Roman"/>
          <w:sz w:val="24"/>
          <w:szCs w:val="24"/>
        </w:rPr>
        <w:t xml:space="preserve"> </w:t>
      </w:r>
      <w:r w:rsidR="004A72B1" w:rsidRPr="008B266E">
        <w:rPr>
          <w:rFonts w:ascii="Times New Roman" w:hAnsi="Times New Roman" w:cs="Times New Roman"/>
          <w:sz w:val="24"/>
          <w:szCs w:val="24"/>
        </w:rPr>
        <w:t>mos</w:t>
      </w:r>
      <w:r w:rsidRPr="008B266E">
        <w:rPr>
          <w:rFonts w:ascii="Times New Roman" w:hAnsi="Times New Roman" w:cs="Times New Roman"/>
          <w:sz w:val="24"/>
          <w:szCs w:val="24"/>
        </w:rPr>
        <w:t>trando indiferencia frente a los sentimientos de los demás, gran absentismo escolar y comisión de conductas delictivas y vandálicas como robos o provocación de incendios (H</w:t>
      </w:r>
      <w:r w:rsidR="00C96094" w:rsidRPr="008B266E">
        <w:rPr>
          <w:rFonts w:ascii="Times New Roman" w:hAnsi="Times New Roman" w:cs="Times New Roman"/>
          <w:sz w:val="24"/>
          <w:szCs w:val="24"/>
        </w:rPr>
        <w:t>are</w:t>
      </w:r>
      <w:r w:rsidRPr="008B266E">
        <w:rPr>
          <w:rFonts w:ascii="Times New Roman" w:hAnsi="Times New Roman" w:cs="Times New Roman"/>
          <w:sz w:val="24"/>
          <w:szCs w:val="24"/>
        </w:rPr>
        <w:t xml:space="preserve">, 2003). Haciendo referencia a la expresión y el desarrollo en los menores de este trastorno, los factores sociales y la actuación de los padres son determinantes. Una educación intensa sobre un </w:t>
      </w:r>
      <w:r w:rsidR="005E3E80" w:rsidRPr="008B266E">
        <w:rPr>
          <w:rFonts w:ascii="Times New Roman" w:hAnsi="Times New Roman" w:cs="Times New Roman"/>
          <w:sz w:val="24"/>
          <w:szCs w:val="24"/>
        </w:rPr>
        <w:t>niño</w:t>
      </w:r>
      <w:r w:rsidRPr="008B266E">
        <w:rPr>
          <w:rFonts w:ascii="Times New Roman" w:hAnsi="Times New Roman" w:cs="Times New Roman"/>
          <w:sz w:val="24"/>
          <w:szCs w:val="24"/>
          <w:lang w:val="it-IT"/>
        </w:rPr>
        <w:t xml:space="preserve"> </w:t>
      </w:r>
      <w:proofErr w:type="spellStart"/>
      <w:r w:rsidRPr="008B266E">
        <w:rPr>
          <w:rFonts w:ascii="Times New Roman" w:hAnsi="Times New Roman" w:cs="Times New Roman"/>
          <w:sz w:val="24"/>
          <w:szCs w:val="24"/>
          <w:lang w:val="it-IT"/>
        </w:rPr>
        <w:t>dif</w:t>
      </w:r>
      <w:r w:rsidRPr="008B266E">
        <w:rPr>
          <w:rFonts w:ascii="Times New Roman" w:hAnsi="Times New Roman" w:cs="Times New Roman"/>
          <w:sz w:val="24"/>
          <w:szCs w:val="24"/>
        </w:rPr>
        <w:t>ícil</w:t>
      </w:r>
      <w:proofErr w:type="spellEnd"/>
      <w:r w:rsidRPr="008B266E">
        <w:rPr>
          <w:rFonts w:ascii="Times New Roman" w:hAnsi="Times New Roman" w:cs="Times New Roman"/>
          <w:sz w:val="24"/>
          <w:szCs w:val="24"/>
        </w:rPr>
        <w:t xml:space="preserve"> puede convertir a </w:t>
      </w:r>
      <w:r w:rsidRPr="008B266E">
        <w:rPr>
          <w:rFonts w:ascii="Times New Roman" w:hAnsi="Times New Roman" w:cs="Times New Roman"/>
          <w:sz w:val="24"/>
          <w:szCs w:val="24"/>
          <w:lang w:val="fr-FR"/>
        </w:rPr>
        <w:t>é</w:t>
      </w:r>
      <w:proofErr w:type="spellStart"/>
      <w:r w:rsidRPr="008B266E">
        <w:rPr>
          <w:rFonts w:ascii="Times New Roman" w:hAnsi="Times New Roman" w:cs="Times New Roman"/>
          <w:sz w:val="24"/>
          <w:szCs w:val="24"/>
        </w:rPr>
        <w:t>ste</w:t>
      </w:r>
      <w:proofErr w:type="spellEnd"/>
      <w:r w:rsidRPr="008B266E">
        <w:rPr>
          <w:rFonts w:ascii="Times New Roman" w:hAnsi="Times New Roman" w:cs="Times New Roman"/>
          <w:sz w:val="24"/>
          <w:szCs w:val="24"/>
        </w:rPr>
        <w:t xml:space="preserve"> en un sujeto socializado ya que el temperamento y ciertas conductas o características compatibles con la psicopatía se pueden moldear. Pero </w:t>
      </w:r>
      <w:proofErr w:type="spellStart"/>
      <w:r w:rsidRPr="008B266E">
        <w:rPr>
          <w:rFonts w:ascii="Times New Roman" w:hAnsi="Times New Roman" w:cs="Times New Roman"/>
          <w:sz w:val="24"/>
          <w:szCs w:val="24"/>
        </w:rPr>
        <w:t>tambi</w:t>
      </w:r>
      <w:proofErr w:type="spellEnd"/>
      <w:r w:rsidRPr="008B266E">
        <w:rPr>
          <w:rFonts w:ascii="Times New Roman" w:hAnsi="Times New Roman" w:cs="Times New Roman"/>
          <w:sz w:val="24"/>
          <w:szCs w:val="24"/>
          <w:lang w:val="fr-FR"/>
        </w:rPr>
        <w:t>é</w:t>
      </w:r>
      <w:r w:rsidRPr="008B266E">
        <w:rPr>
          <w:rFonts w:ascii="Times New Roman" w:hAnsi="Times New Roman" w:cs="Times New Roman"/>
          <w:sz w:val="24"/>
          <w:szCs w:val="24"/>
        </w:rPr>
        <w:t xml:space="preserve">n puede suceder al contrario, que una educación incompetente por padres sin un mínimo de control sobre su hijo puede convertir a un niño normal en un sujeto fuertemente antisocial, pudiendo llegar a ser </w:t>
      </w:r>
      <w:proofErr w:type="spellStart"/>
      <w:r w:rsidRPr="008B266E">
        <w:rPr>
          <w:rFonts w:ascii="Times New Roman" w:hAnsi="Times New Roman" w:cs="Times New Roman"/>
          <w:sz w:val="24"/>
          <w:szCs w:val="24"/>
        </w:rPr>
        <w:t>sociopá</w:t>
      </w:r>
      <w:r w:rsidRPr="008B266E">
        <w:rPr>
          <w:rFonts w:ascii="Times New Roman" w:hAnsi="Times New Roman" w:cs="Times New Roman"/>
          <w:sz w:val="24"/>
          <w:szCs w:val="24"/>
          <w:lang w:val="it-IT"/>
        </w:rPr>
        <w:t>tico</w:t>
      </w:r>
      <w:proofErr w:type="spellEnd"/>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C</w:t>
      </w:r>
      <w:r w:rsidR="00C96094" w:rsidRPr="008B266E">
        <w:rPr>
          <w:rFonts w:ascii="Times New Roman" w:hAnsi="Times New Roman" w:cs="Times New Roman"/>
          <w:sz w:val="24"/>
          <w:szCs w:val="24"/>
        </w:rPr>
        <w:t>uquerella</w:t>
      </w:r>
      <w:proofErr w:type="spellEnd"/>
      <w:r w:rsidR="00C96094" w:rsidRPr="008B266E">
        <w:rPr>
          <w:rFonts w:ascii="Times New Roman" w:hAnsi="Times New Roman" w:cs="Times New Roman"/>
          <w:sz w:val="24"/>
          <w:szCs w:val="24"/>
        </w:rPr>
        <w:t xml:space="preserve">, </w:t>
      </w:r>
      <w:proofErr w:type="spellStart"/>
      <w:r w:rsidR="00C96094" w:rsidRPr="008B266E">
        <w:rPr>
          <w:rFonts w:ascii="Times New Roman" w:hAnsi="Times New Roman" w:cs="Times New Roman"/>
          <w:sz w:val="24"/>
          <w:szCs w:val="24"/>
        </w:rPr>
        <w:t>Subirana</w:t>
      </w:r>
      <w:proofErr w:type="spellEnd"/>
      <w:r w:rsidR="00C96094" w:rsidRPr="008B266E">
        <w:rPr>
          <w:rFonts w:ascii="Times New Roman" w:hAnsi="Times New Roman" w:cs="Times New Roman"/>
          <w:sz w:val="24"/>
          <w:szCs w:val="24"/>
        </w:rPr>
        <w:t xml:space="preserve"> y Mohíno, 2002</w:t>
      </w:r>
      <w:r w:rsidRPr="008B266E">
        <w:rPr>
          <w:rFonts w:ascii="Times New Roman" w:hAnsi="Times New Roman" w:cs="Times New Roman"/>
          <w:sz w:val="24"/>
          <w:szCs w:val="24"/>
        </w:rPr>
        <w:t xml:space="preserve">). </w:t>
      </w:r>
    </w:p>
    <w:p w:rsidR="00E34AC1"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Por otro lado, desde la neuropsicología se encuentran disfunciones anatómicas y funcionales en los sujetos psicopáticos, especialmente en la amígdala y en la corteza prefrontal. La amígdala es la encargada de regular el aprendizaje condicionado por refuerzos basado en claves emocionales, el cual es fundamental para la socialización, y del procesamiento de las expresiones emocionales de miedo y tristeza (</w:t>
      </w:r>
      <w:r w:rsidR="008C4771" w:rsidRPr="008B266E">
        <w:rPr>
          <w:rFonts w:ascii="Times New Roman" w:hAnsi="Times New Roman" w:cs="Times New Roman"/>
          <w:sz w:val="24"/>
          <w:szCs w:val="24"/>
        </w:rPr>
        <w:t xml:space="preserve">Blair, 2008; </w:t>
      </w:r>
      <w:r w:rsidRPr="008B266E">
        <w:rPr>
          <w:rFonts w:ascii="Times New Roman" w:hAnsi="Times New Roman" w:cs="Times New Roman"/>
          <w:sz w:val="24"/>
          <w:szCs w:val="24"/>
        </w:rPr>
        <w:t>F</w:t>
      </w:r>
      <w:r w:rsidR="00C96094" w:rsidRPr="008B266E">
        <w:rPr>
          <w:rFonts w:ascii="Times New Roman" w:hAnsi="Times New Roman" w:cs="Times New Roman"/>
          <w:sz w:val="24"/>
          <w:szCs w:val="24"/>
        </w:rPr>
        <w:t>lórez</w:t>
      </w:r>
      <w:r w:rsidRPr="008B266E">
        <w:rPr>
          <w:rFonts w:ascii="Times New Roman" w:hAnsi="Times New Roman" w:cs="Times New Roman"/>
          <w:sz w:val="24"/>
          <w:szCs w:val="24"/>
        </w:rPr>
        <w:t>, 201</w:t>
      </w:r>
      <w:r w:rsidR="008C4771" w:rsidRPr="008B266E">
        <w:rPr>
          <w:rFonts w:ascii="Times New Roman" w:hAnsi="Times New Roman" w:cs="Times New Roman"/>
          <w:sz w:val="24"/>
          <w:szCs w:val="24"/>
        </w:rPr>
        <w:t>6</w:t>
      </w:r>
      <w:r w:rsidRPr="008B266E">
        <w:rPr>
          <w:rFonts w:ascii="Times New Roman" w:hAnsi="Times New Roman" w:cs="Times New Roman"/>
          <w:sz w:val="24"/>
          <w:szCs w:val="24"/>
        </w:rPr>
        <w:t>). Una disfunción en ésta es la responsable de la insensibilidad y carencia de emoción y de empatía en los psicópatas, ya que cuando el miedo, el dolor o la tristeza aparecen en el entorno</w:t>
      </w:r>
      <w:r w:rsidR="00547E3E" w:rsidRPr="008B266E">
        <w:rPr>
          <w:rFonts w:ascii="Times New Roman" w:hAnsi="Times New Roman" w:cs="Times New Roman"/>
          <w:sz w:val="24"/>
          <w:szCs w:val="24"/>
        </w:rPr>
        <w:t>,</w:t>
      </w:r>
      <w:r w:rsidRPr="008B266E">
        <w:rPr>
          <w:rFonts w:ascii="Times New Roman" w:hAnsi="Times New Roman" w:cs="Times New Roman"/>
          <w:sz w:val="24"/>
          <w:szCs w:val="24"/>
        </w:rPr>
        <w:t xml:space="preserve"> éstos no son capaces de identificarlos debido a la ausencia de malestar que deberían de provocarles dichas claves de </w:t>
      </w:r>
      <w:proofErr w:type="spellStart"/>
      <w:r w:rsidRPr="008B266E">
        <w:rPr>
          <w:rFonts w:ascii="Times New Roman" w:hAnsi="Times New Roman" w:cs="Times New Roman"/>
          <w:sz w:val="24"/>
          <w:szCs w:val="24"/>
        </w:rPr>
        <w:t>distrés</w:t>
      </w:r>
      <w:proofErr w:type="spellEnd"/>
      <w:r w:rsidRPr="008B266E">
        <w:rPr>
          <w:rFonts w:ascii="Times New Roman" w:hAnsi="Times New Roman" w:cs="Times New Roman"/>
          <w:sz w:val="24"/>
          <w:szCs w:val="24"/>
        </w:rPr>
        <w:t>, careciendo de todos los frenos emocionales y morales que impiden a las personas llevar a cabo la violencia instrumental (F</w:t>
      </w:r>
      <w:r w:rsidR="00C96094" w:rsidRPr="008B266E">
        <w:rPr>
          <w:rFonts w:ascii="Times New Roman" w:hAnsi="Times New Roman" w:cs="Times New Roman"/>
          <w:sz w:val="24"/>
          <w:szCs w:val="24"/>
        </w:rPr>
        <w:t>lórez</w:t>
      </w:r>
      <w:r w:rsidRPr="008B266E">
        <w:rPr>
          <w:rFonts w:ascii="Times New Roman" w:hAnsi="Times New Roman" w:cs="Times New Roman"/>
          <w:sz w:val="24"/>
          <w:szCs w:val="24"/>
        </w:rPr>
        <w:t>, 2016). La corteza prefrontal se encarga del reforzamiento de las expectativas y de la toma de decisiones, siendo fundamental para llevar a cabo actividades como la anticipación, planificación, selección de metas y regulación de impulsos (</w:t>
      </w:r>
      <w:r w:rsidR="00C96094" w:rsidRPr="008B266E">
        <w:rPr>
          <w:rFonts w:ascii="Times New Roman" w:hAnsi="Times New Roman" w:cs="Times New Roman"/>
          <w:sz w:val="24"/>
          <w:szCs w:val="24"/>
        </w:rPr>
        <w:t>Blair, 2008</w:t>
      </w:r>
      <w:r w:rsidRPr="008B266E">
        <w:rPr>
          <w:rFonts w:ascii="Times New Roman" w:hAnsi="Times New Roman" w:cs="Times New Roman"/>
          <w:sz w:val="24"/>
          <w:szCs w:val="24"/>
        </w:rPr>
        <w:t>;</w:t>
      </w:r>
      <w:r w:rsidR="00C96094" w:rsidRPr="008B266E">
        <w:rPr>
          <w:rFonts w:ascii="Times New Roman" w:hAnsi="Times New Roman" w:cs="Times New Roman"/>
          <w:sz w:val="24"/>
          <w:szCs w:val="24"/>
        </w:rPr>
        <w:t xml:space="preserve"> Calzada-Reyes, Álvarez-Amador, Galán-García y Valdés-Sosa, 2012</w:t>
      </w:r>
      <w:r w:rsidRPr="008B266E">
        <w:rPr>
          <w:rFonts w:ascii="Times New Roman" w:hAnsi="Times New Roman" w:cs="Times New Roman"/>
          <w:sz w:val="24"/>
          <w:szCs w:val="24"/>
        </w:rPr>
        <w:t xml:space="preserve">). Una reducción en la actividad de éste se relaciona con la impulsividad, el comportamiento antisocial y la agresividad, además de un estilo de vida desorganizado y el aumento del consumo de drogas, lo que se debe a que los psicópatas realizan decisiones </w:t>
      </w:r>
      <w:proofErr w:type="gramStart"/>
      <w:r w:rsidR="00C96094" w:rsidRPr="008B266E">
        <w:rPr>
          <w:rFonts w:ascii="Times New Roman" w:hAnsi="Times New Roman" w:cs="Times New Roman"/>
          <w:sz w:val="24"/>
          <w:szCs w:val="24"/>
        </w:rPr>
        <w:t>menos óptimas</w:t>
      </w:r>
      <w:proofErr w:type="gramEnd"/>
      <w:r w:rsidRPr="008B266E">
        <w:rPr>
          <w:rFonts w:ascii="Times New Roman" w:hAnsi="Times New Roman" w:cs="Times New Roman"/>
          <w:sz w:val="24"/>
          <w:szCs w:val="24"/>
        </w:rPr>
        <w:t xml:space="preserve"> las cuales les llevan a la frustración por no conseguir sus objetivos, desencadenando la agresividad reactiva (B</w:t>
      </w:r>
      <w:r w:rsidR="00C96094" w:rsidRPr="008B266E">
        <w:rPr>
          <w:rFonts w:ascii="Times New Roman" w:hAnsi="Times New Roman" w:cs="Times New Roman"/>
          <w:sz w:val="24"/>
          <w:szCs w:val="24"/>
        </w:rPr>
        <w:t>lair, 2008; Blair y Lee, 2013; Flórez</w:t>
      </w:r>
      <w:r w:rsidRPr="008B266E">
        <w:rPr>
          <w:rFonts w:ascii="Times New Roman" w:hAnsi="Times New Roman" w:cs="Times New Roman"/>
          <w:sz w:val="24"/>
          <w:szCs w:val="24"/>
        </w:rPr>
        <w:t xml:space="preserve">, 2016). Haciendo referencia a la actividad cerebral de los individuos psicopáticos medida a través de técnicas neurofisiológicas como el electroencefalograma (EGG) y de </w:t>
      </w:r>
      <w:proofErr w:type="spellStart"/>
      <w:r w:rsidRPr="008B266E">
        <w:rPr>
          <w:rFonts w:ascii="Times New Roman" w:hAnsi="Times New Roman" w:cs="Times New Roman"/>
          <w:sz w:val="24"/>
          <w:szCs w:val="24"/>
        </w:rPr>
        <w:t>neuroimagen</w:t>
      </w:r>
      <w:proofErr w:type="spellEnd"/>
      <w:r w:rsidRPr="008B266E">
        <w:rPr>
          <w:rFonts w:ascii="Times New Roman" w:hAnsi="Times New Roman" w:cs="Times New Roman"/>
          <w:sz w:val="24"/>
          <w:szCs w:val="24"/>
        </w:rPr>
        <w:t xml:space="preserve"> como la resonancia magnética funcional, se encuentra un procesamiento emocional más lento (</w:t>
      </w:r>
      <w:r w:rsidR="00C96094" w:rsidRPr="008B266E">
        <w:rPr>
          <w:rFonts w:ascii="Times New Roman" w:hAnsi="Times New Roman" w:cs="Times New Roman"/>
          <w:sz w:val="24"/>
          <w:szCs w:val="24"/>
        </w:rPr>
        <w:t>Ramos et. al</w:t>
      </w:r>
      <w:r w:rsidRPr="008B266E">
        <w:rPr>
          <w:rFonts w:ascii="Times New Roman" w:hAnsi="Times New Roman" w:cs="Times New Roman"/>
          <w:sz w:val="24"/>
          <w:szCs w:val="24"/>
        </w:rPr>
        <w:t xml:space="preserve">, 2017). En </w:t>
      </w:r>
      <w:r w:rsidRPr="008B266E">
        <w:rPr>
          <w:rFonts w:ascii="Times New Roman" w:hAnsi="Times New Roman" w:cs="Times New Roman"/>
          <w:sz w:val="24"/>
          <w:szCs w:val="24"/>
        </w:rPr>
        <w:lastRenderedPageBreak/>
        <w:t xml:space="preserve">la región </w:t>
      </w:r>
      <w:proofErr w:type="spellStart"/>
      <w:r w:rsidRPr="008B266E">
        <w:rPr>
          <w:rFonts w:ascii="Times New Roman" w:hAnsi="Times New Roman" w:cs="Times New Roman"/>
          <w:sz w:val="24"/>
          <w:szCs w:val="24"/>
        </w:rPr>
        <w:t>fronto</w:t>
      </w:r>
      <w:proofErr w:type="spellEnd"/>
      <w:r w:rsidRPr="008B266E">
        <w:rPr>
          <w:rFonts w:ascii="Times New Roman" w:hAnsi="Times New Roman" w:cs="Times New Roman"/>
          <w:sz w:val="24"/>
          <w:szCs w:val="24"/>
        </w:rPr>
        <w:t xml:space="preserve">-temporal, implicada en la función social y moral, se encuentra mayor energía beta lo que se relaciona con las características psicopáticas de afecto superficial, falta de sinceridad y no aceptación de la responsabilidad, y menor actividad </w:t>
      </w:r>
      <w:proofErr w:type="spellStart"/>
      <w:r w:rsidRPr="008B266E">
        <w:rPr>
          <w:rFonts w:ascii="Times New Roman" w:hAnsi="Times New Roman" w:cs="Times New Roman"/>
          <w:sz w:val="24"/>
          <w:szCs w:val="24"/>
        </w:rPr>
        <w:t>alpha</w:t>
      </w:r>
      <w:proofErr w:type="spellEnd"/>
      <w:r w:rsidRPr="008B266E">
        <w:rPr>
          <w:rFonts w:ascii="Times New Roman" w:hAnsi="Times New Roman" w:cs="Times New Roman"/>
          <w:sz w:val="24"/>
          <w:szCs w:val="24"/>
        </w:rPr>
        <w:t xml:space="preserve"> lo que implica un comportamiento socialmente inadecuado, una respuesta </w:t>
      </w:r>
      <w:proofErr w:type="spellStart"/>
      <w:r w:rsidRPr="008B266E">
        <w:rPr>
          <w:rFonts w:ascii="Times New Roman" w:hAnsi="Times New Roman" w:cs="Times New Roman"/>
          <w:sz w:val="24"/>
          <w:szCs w:val="24"/>
        </w:rPr>
        <w:t>desadaptativa</w:t>
      </w:r>
      <w:proofErr w:type="spellEnd"/>
      <w:r w:rsidRPr="008B266E">
        <w:rPr>
          <w:rFonts w:ascii="Times New Roman" w:hAnsi="Times New Roman" w:cs="Times New Roman"/>
          <w:sz w:val="24"/>
          <w:szCs w:val="24"/>
        </w:rPr>
        <w:t xml:space="preserve"> a los impulsos y reacciones emocionales superficiales (</w:t>
      </w:r>
      <w:r w:rsidR="00C96094" w:rsidRPr="008B266E">
        <w:rPr>
          <w:rFonts w:ascii="Times New Roman" w:hAnsi="Times New Roman" w:cs="Times New Roman"/>
          <w:sz w:val="24"/>
          <w:szCs w:val="24"/>
        </w:rPr>
        <w:t>Calzada-Reyes, Álvarez-Amador, Galán-García y Valdés-Sosa, 2013</w:t>
      </w:r>
      <w:r w:rsidRPr="008B266E">
        <w:rPr>
          <w:rFonts w:ascii="Times New Roman" w:hAnsi="Times New Roman" w:cs="Times New Roman"/>
          <w:sz w:val="24"/>
          <w:szCs w:val="24"/>
        </w:rPr>
        <w:t xml:space="preserve">). </w:t>
      </w:r>
    </w:p>
    <w:p w:rsidR="00111D44" w:rsidRDefault="00111D44" w:rsidP="00FE15D7">
      <w:pPr>
        <w:pStyle w:val="Cuerpo"/>
        <w:spacing w:line="360" w:lineRule="auto"/>
        <w:jc w:val="both"/>
        <w:rPr>
          <w:rFonts w:ascii="Times New Roman" w:hAnsi="Times New Roman" w:cs="Times New Roman"/>
          <w:sz w:val="24"/>
          <w:szCs w:val="24"/>
        </w:rPr>
      </w:pPr>
    </w:p>
    <w:p w:rsidR="00111D44" w:rsidRPr="008B266E" w:rsidRDefault="00111D44" w:rsidP="00FE15D7">
      <w:pPr>
        <w:pStyle w:val="Cuerpo"/>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Una vez conocida la psicopatía y sus causas, en el siguiente apartado se redacta su proceso de evaluación a través del </w:t>
      </w:r>
      <w:proofErr w:type="spellStart"/>
      <w:r>
        <w:rPr>
          <w:rFonts w:ascii="Times New Roman" w:hAnsi="Times New Roman" w:cs="Times New Roman"/>
          <w:sz w:val="24"/>
          <w:szCs w:val="24"/>
        </w:rPr>
        <w:t>Psychopathy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Checkelist</w:t>
      </w:r>
      <w:proofErr w:type="spellEnd"/>
      <w:r>
        <w:rPr>
          <w:rFonts w:ascii="Times New Roman" w:hAnsi="Times New Roman" w:cs="Times New Roman"/>
          <w:sz w:val="24"/>
          <w:szCs w:val="24"/>
        </w:rPr>
        <w:t xml:space="preserve"> de Robert D. Hare. </w:t>
      </w:r>
    </w:p>
    <w:p w:rsidR="00E34AC1" w:rsidRPr="00FE15D7" w:rsidRDefault="00E34AC1" w:rsidP="00FE15D7">
      <w:pPr>
        <w:pStyle w:val="Cuerpo"/>
        <w:spacing w:line="360" w:lineRule="auto"/>
        <w:jc w:val="both"/>
        <w:rPr>
          <w:rFonts w:ascii="Times New Roman" w:hAnsi="Times New Roman" w:cs="Times New Roman"/>
          <w:sz w:val="24"/>
          <w:szCs w:val="24"/>
        </w:rPr>
      </w:pPr>
    </w:p>
    <w:p w:rsidR="00E34AC1" w:rsidRPr="00FE15D7" w:rsidRDefault="007D4A36" w:rsidP="008C4771">
      <w:pPr>
        <w:pStyle w:val="Cuerpo"/>
        <w:spacing w:line="360" w:lineRule="auto"/>
        <w:jc w:val="both"/>
        <w:rPr>
          <w:rFonts w:ascii="Times New Roman" w:hAnsi="Times New Roman" w:cs="Times New Roman"/>
          <w:b/>
          <w:bCs/>
          <w:sz w:val="24"/>
          <w:szCs w:val="24"/>
        </w:rPr>
      </w:pPr>
      <w:r w:rsidRPr="00FE15D7">
        <w:rPr>
          <w:rFonts w:ascii="Times New Roman" w:hAnsi="Times New Roman" w:cs="Times New Roman"/>
          <w:b/>
          <w:bCs/>
          <w:sz w:val="24"/>
          <w:szCs w:val="24"/>
        </w:rPr>
        <w:t>Evaluación de la psicopatía</w:t>
      </w:r>
      <w:r w:rsidR="005F2033">
        <w:rPr>
          <w:rFonts w:ascii="Times New Roman" w:hAnsi="Times New Roman" w:cs="Times New Roman"/>
          <w:b/>
          <w:bCs/>
          <w:sz w:val="24"/>
          <w:szCs w:val="24"/>
        </w:rPr>
        <w:t>, a</w:t>
      </w:r>
      <w:r w:rsidRPr="00FE15D7">
        <w:rPr>
          <w:rFonts w:ascii="Times New Roman" w:hAnsi="Times New Roman" w:cs="Times New Roman"/>
          <w:b/>
          <w:bCs/>
          <w:sz w:val="24"/>
          <w:szCs w:val="24"/>
        </w:rPr>
        <w:t>nálisis del PCL-R</w:t>
      </w:r>
      <w:r w:rsidR="005F2033">
        <w:rPr>
          <w:rFonts w:ascii="Times New Roman" w:hAnsi="Times New Roman" w:cs="Times New Roman"/>
          <w:b/>
          <w:bCs/>
          <w:sz w:val="24"/>
          <w:szCs w:val="24"/>
        </w:rPr>
        <w:fldChar w:fldCharType="begin"/>
      </w:r>
      <w:r w:rsidR="005F2033">
        <w:instrText xml:space="preserve"> XE "</w:instrText>
      </w:r>
      <w:r w:rsidR="005F2033" w:rsidRPr="0024615A">
        <w:rPr>
          <w:rFonts w:ascii="Times New Roman" w:hAnsi="Times New Roman" w:cs="Times New Roman"/>
          <w:b/>
          <w:bCs/>
          <w:sz w:val="24"/>
          <w:szCs w:val="24"/>
        </w:rPr>
        <w:instrText>Evaluación de la psicopatía, análisis del PCL-R</w:instrText>
      </w:r>
      <w:r w:rsidR="005F2033">
        <w:instrText xml:space="preserve">" </w:instrText>
      </w:r>
      <w:r w:rsidR="005F2033">
        <w:rPr>
          <w:rFonts w:ascii="Times New Roman" w:hAnsi="Times New Roman" w:cs="Times New Roman"/>
          <w:b/>
          <w:bCs/>
          <w:sz w:val="24"/>
          <w:szCs w:val="24"/>
        </w:rPr>
        <w:fldChar w:fldCharType="end"/>
      </w:r>
    </w:p>
    <w:p w:rsidR="00E34AC1" w:rsidRPr="00FE15D7" w:rsidRDefault="00E34AC1"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 xml:space="preserve">El principal instrumento de evaluación y diagnosis de la psicopatía es el </w:t>
      </w:r>
      <w:proofErr w:type="spellStart"/>
      <w:r w:rsidRPr="008B266E">
        <w:rPr>
          <w:rFonts w:ascii="Times New Roman" w:hAnsi="Times New Roman" w:cs="Times New Roman"/>
          <w:sz w:val="24"/>
          <w:szCs w:val="24"/>
        </w:rPr>
        <w:t>Psychopathy</w:t>
      </w:r>
      <w:proofErr w:type="spellEnd"/>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Checklist</w:t>
      </w:r>
      <w:proofErr w:type="spellEnd"/>
      <w:r w:rsidRPr="008B266E">
        <w:rPr>
          <w:rFonts w:ascii="Times New Roman" w:hAnsi="Times New Roman" w:cs="Times New Roman"/>
          <w:sz w:val="24"/>
          <w:szCs w:val="24"/>
        </w:rPr>
        <w:t xml:space="preserve"> de Robert D. Hare, quien se basó en los 16 criterios de </w:t>
      </w:r>
      <w:proofErr w:type="spellStart"/>
      <w:r w:rsidRPr="008B266E">
        <w:rPr>
          <w:rFonts w:ascii="Times New Roman" w:hAnsi="Times New Roman" w:cs="Times New Roman"/>
          <w:sz w:val="24"/>
          <w:szCs w:val="24"/>
        </w:rPr>
        <w:t>Cleckley</w:t>
      </w:r>
      <w:proofErr w:type="spellEnd"/>
      <w:r w:rsidRPr="008B266E">
        <w:rPr>
          <w:rFonts w:ascii="Times New Roman" w:hAnsi="Times New Roman" w:cs="Times New Roman"/>
          <w:sz w:val="24"/>
          <w:szCs w:val="24"/>
        </w:rPr>
        <w:t xml:space="preserve"> para su desarrollo (</w:t>
      </w:r>
      <w:proofErr w:type="spellStart"/>
      <w:r w:rsidRPr="008B266E">
        <w:rPr>
          <w:rFonts w:ascii="Times New Roman" w:hAnsi="Times New Roman" w:cs="Times New Roman"/>
          <w:sz w:val="24"/>
          <w:szCs w:val="24"/>
        </w:rPr>
        <w:t>C</w:t>
      </w:r>
      <w:r w:rsidR="009C0646" w:rsidRPr="008B266E">
        <w:rPr>
          <w:rFonts w:ascii="Times New Roman" w:hAnsi="Times New Roman" w:cs="Times New Roman"/>
          <w:sz w:val="24"/>
          <w:szCs w:val="24"/>
        </w:rPr>
        <w:t>uquerella</w:t>
      </w:r>
      <w:proofErr w:type="spellEnd"/>
      <w:r w:rsidR="009C0646" w:rsidRPr="008B266E">
        <w:rPr>
          <w:rFonts w:ascii="Times New Roman" w:hAnsi="Times New Roman" w:cs="Times New Roman"/>
          <w:sz w:val="24"/>
          <w:szCs w:val="24"/>
        </w:rPr>
        <w:t xml:space="preserve"> et. al, 2002</w:t>
      </w:r>
      <w:r w:rsidRPr="008B266E">
        <w:rPr>
          <w:rFonts w:ascii="Times New Roman" w:hAnsi="Times New Roman" w:cs="Times New Roman"/>
          <w:sz w:val="24"/>
          <w:szCs w:val="24"/>
        </w:rPr>
        <w:t xml:space="preserve">; </w:t>
      </w:r>
      <w:r w:rsidR="009C0646" w:rsidRPr="008B266E">
        <w:rPr>
          <w:rFonts w:ascii="Times New Roman" w:hAnsi="Times New Roman" w:cs="Times New Roman"/>
          <w:sz w:val="24"/>
          <w:szCs w:val="24"/>
        </w:rPr>
        <w:t>Vitale y Newman, 2001</w:t>
      </w:r>
      <w:r w:rsidRPr="008B266E">
        <w:rPr>
          <w:rFonts w:ascii="Times New Roman" w:hAnsi="Times New Roman" w:cs="Times New Roman"/>
          <w:sz w:val="24"/>
          <w:szCs w:val="24"/>
        </w:rPr>
        <w:t>). Surgió como la solución a un problema fundamental, la inexistencia de una medida común para este trastorno, los diferentes procedimientos de diagnóstico no eran fiables (</w:t>
      </w:r>
      <w:r w:rsidRPr="008B266E">
        <w:rPr>
          <w:rFonts w:ascii="Times New Roman" w:hAnsi="Times New Roman" w:cs="Times New Roman"/>
          <w:sz w:val="24"/>
          <w:szCs w:val="24"/>
          <w:lang w:val="es-ES"/>
        </w:rPr>
        <w:t>H</w:t>
      </w:r>
      <w:r w:rsidR="009C0646" w:rsidRPr="008B266E">
        <w:rPr>
          <w:rFonts w:ascii="Times New Roman" w:hAnsi="Times New Roman" w:cs="Times New Roman"/>
          <w:sz w:val="24"/>
          <w:szCs w:val="24"/>
          <w:lang w:val="es-ES"/>
        </w:rPr>
        <w:t xml:space="preserve">are y Neumann, 2006). </w:t>
      </w:r>
      <w:r w:rsidRPr="008B266E">
        <w:rPr>
          <w:rFonts w:ascii="Times New Roman" w:hAnsi="Times New Roman" w:cs="Times New Roman"/>
          <w:sz w:val="24"/>
          <w:szCs w:val="24"/>
        </w:rPr>
        <w:t>Las escalas del PCL proporcionan una evaluación válida y fiable del constructo de psicopatía y hacen posible su evaluación en una gran variedad de contextos y en diferentes grupos étnicos, raciales, culturales y socioeconómicos (</w:t>
      </w:r>
      <w:r w:rsidR="009C0646" w:rsidRPr="008B266E">
        <w:rPr>
          <w:rFonts w:ascii="Times New Roman" w:hAnsi="Times New Roman" w:cs="Times New Roman"/>
          <w:sz w:val="24"/>
          <w:szCs w:val="24"/>
          <w:lang w:val="es-ES"/>
        </w:rPr>
        <w:t>Hare y Neumann, 2006</w:t>
      </w:r>
      <w:r w:rsidRPr="008B266E">
        <w:rPr>
          <w:rFonts w:ascii="Times New Roman" w:hAnsi="Times New Roman" w:cs="Times New Roman"/>
          <w:sz w:val="24"/>
          <w:szCs w:val="24"/>
        </w:rPr>
        <w:t xml:space="preserve">). </w:t>
      </w: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En 1980 se desarrolló el primer PCL el cual consta de 22 ítems</w:t>
      </w:r>
      <w:r w:rsidR="003F5D5A" w:rsidRPr="008B266E">
        <w:rPr>
          <w:rFonts w:ascii="Times New Roman" w:hAnsi="Times New Roman" w:cs="Times New Roman"/>
          <w:sz w:val="24"/>
          <w:szCs w:val="24"/>
        </w:rPr>
        <w:t xml:space="preserve"> (Tabla 3)</w:t>
      </w:r>
      <w:r w:rsidRPr="008B266E">
        <w:rPr>
          <w:rFonts w:ascii="Times New Roman" w:hAnsi="Times New Roman" w:cs="Times New Roman"/>
          <w:sz w:val="24"/>
          <w:szCs w:val="24"/>
        </w:rPr>
        <w:t xml:space="preserve">, se revisó más tarde dando lugar el PCL-R en 1991 y 2003, una escala de evaluación </w:t>
      </w:r>
      <w:proofErr w:type="spellStart"/>
      <w:r w:rsidRPr="008B266E">
        <w:rPr>
          <w:rFonts w:ascii="Times New Roman" w:hAnsi="Times New Roman" w:cs="Times New Roman"/>
          <w:sz w:val="24"/>
          <w:szCs w:val="24"/>
        </w:rPr>
        <w:t>conductal</w:t>
      </w:r>
      <w:proofErr w:type="spellEnd"/>
      <w:r w:rsidRPr="008B266E">
        <w:rPr>
          <w:rFonts w:ascii="Times New Roman" w:hAnsi="Times New Roman" w:cs="Times New Roman"/>
          <w:sz w:val="24"/>
          <w:szCs w:val="24"/>
        </w:rPr>
        <w:t xml:space="preserve"> del constructo de psicopatía la cual consta de 20 ítems</w:t>
      </w:r>
      <w:r w:rsidR="003F5D5A" w:rsidRPr="008B266E">
        <w:rPr>
          <w:rFonts w:ascii="Times New Roman" w:hAnsi="Times New Roman" w:cs="Times New Roman"/>
          <w:sz w:val="24"/>
          <w:szCs w:val="24"/>
        </w:rPr>
        <w:t xml:space="preserve"> (Tabla 4)</w:t>
      </w:r>
      <w:r w:rsidRPr="008B266E">
        <w:rPr>
          <w:rFonts w:ascii="Times New Roman" w:hAnsi="Times New Roman" w:cs="Times New Roman"/>
          <w:sz w:val="24"/>
          <w:szCs w:val="24"/>
        </w:rPr>
        <w:t>, utilizada en investigación, clínica y diagnóstico forense (</w:t>
      </w:r>
      <w:proofErr w:type="spellStart"/>
      <w:r w:rsidR="009C0646" w:rsidRPr="008B266E">
        <w:rPr>
          <w:rFonts w:ascii="Times New Roman" w:hAnsi="Times New Roman" w:cs="Times New Roman"/>
          <w:sz w:val="24"/>
          <w:szCs w:val="24"/>
        </w:rPr>
        <w:t>Cuquerella</w:t>
      </w:r>
      <w:proofErr w:type="spellEnd"/>
      <w:r w:rsidR="009C0646" w:rsidRPr="008B266E">
        <w:rPr>
          <w:rFonts w:ascii="Times New Roman" w:hAnsi="Times New Roman" w:cs="Times New Roman"/>
          <w:sz w:val="24"/>
          <w:szCs w:val="24"/>
        </w:rPr>
        <w:t xml:space="preserve"> y </w:t>
      </w:r>
      <w:proofErr w:type="spellStart"/>
      <w:r w:rsidR="009C0646" w:rsidRPr="008B266E">
        <w:rPr>
          <w:rFonts w:ascii="Times New Roman" w:hAnsi="Times New Roman" w:cs="Times New Roman"/>
          <w:sz w:val="24"/>
          <w:szCs w:val="24"/>
        </w:rPr>
        <w:t>Torrubia</w:t>
      </w:r>
      <w:proofErr w:type="spellEnd"/>
      <w:r w:rsidR="009C0646" w:rsidRPr="008B266E">
        <w:rPr>
          <w:rFonts w:ascii="Times New Roman" w:hAnsi="Times New Roman" w:cs="Times New Roman"/>
          <w:sz w:val="24"/>
          <w:szCs w:val="24"/>
        </w:rPr>
        <w:t>, 2008</w:t>
      </w:r>
      <w:r w:rsidRPr="008B266E">
        <w:rPr>
          <w:rFonts w:ascii="Times New Roman" w:hAnsi="Times New Roman" w:cs="Times New Roman"/>
          <w:sz w:val="24"/>
          <w:szCs w:val="24"/>
        </w:rPr>
        <w:t xml:space="preserve">). Dicha valoración se basa en una entrevista </w:t>
      </w:r>
      <w:proofErr w:type="spellStart"/>
      <w:r w:rsidRPr="008B266E">
        <w:rPr>
          <w:rFonts w:ascii="Times New Roman" w:hAnsi="Times New Roman" w:cs="Times New Roman"/>
          <w:sz w:val="24"/>
          <w:szCs w:val="24"/>
        </w:rPr>
        <w:t>semi</w:t>
      </w:r>
      <w:proofErr w:type="spellEnd"/>
      <w:r w:rsidRPr="008B266E">
        <w:rPr>
          <w:rFonts w:ascii="Times New Roman" w:hAnsi="Times New Roman" w:cs="Times New Roman"/>
          <w:sz w:val="24"/>
          <w:szCs w:val="24"/>
        </w:rPr>
        <w:t>-estructurada y datos procedentes de alguna fuente de información colateral como los archivos penitenciarios, informes psicológicos previos o entrevistas a familiares, lo que permite contrastar la información recabada y controlar la tendencia a la manipulación y a la falsedad, incluyendo criterios de evaluación específicos para inferir características de la personalidad y comportamientos relacionados con la psicopatía (</w:t>
      </w:r>
      <w:proofErr w:type="spellStart"/>
      <w:r w:rsidR="009C0646" w:rsidRPr="008B266E">
        <w:rPr>
          <w:rFonts w:ascii="Times New Roman" w:hAnsi="Times New Roman" w:cs="Times New Roman"/>
          <w:sz w:val="24"/>
          <w:szCs w:val="24"/>
        </w:rPr>
        <w:t>Cuquerella</w:t>
      </w:r>
      <w:proofErr w:type="spellEnd"/>
      <w:r w:rsidR="009C0646" w:rsidRPr="008B266E">
        <w:rPr>
          <w:rFonts w:ascii="Times New Roman" w:hAnsi="Times New Roman" w:cs="Times New Roman"/>
          <w:sz w:val="24"/>
          <w:szCs w:val="24"/>
        </w:rPr>
        <w:t xml:space="preserve"> et. al, 2002</w:t>
      </w:r>
      <w:r w:rsidRPr="008B266E">
        <w:rPr>
          <w:rFonts w:ascii="Times New Roman" w:hAnsi="Times New Roman" w:cs="Times New Roman"/>
          <w:sz w:val="24"/>
          <w:szCs w:val="24"/>
        </w:rPr>
        <w:t xml:space="preserve">; </w:t>
      </w:r>
      <w:proofErr w:type="spellStart"/>
      <w:r w:rsidR="009C0646" w:rsidRPr="008B266E">
        <w:rPr>
          <w:rFonts w:ascii="Times New Roman" w:hAnsi="Times New Roman" w:cs="Times New Roman"/>
          <w:sz w:val="24"/>
          <w:szCs w:val="24"/>
        </w:rPr>
        <w:t>Cuquerella</w:t>
      </w:r>
      <w:proofErr w:type="spellEnd"/>
      <w:r w:rsidR="009C0646" w:rsidRPr="008B266E">
        <w:rPr>
          <w:rFonts w:ascii="Times New Roman" w:hAnsi="Times New Roman" w:cs="Times New Roman"/>
          <w:sz w:val="24"/>
          <w:szCs w:val="24"/>
        </w:rPr>
        <w:t xml:space="preserve"> y </w:t>
      </w:r>
      <w:proofErr w:type="spellStart"/>
      <w:r w:rsidR="009C0646" w:rsidRPr="008B266E">
        <w:rPr>
          <w:rFonts w:ascii="Times New Roman" w:hAnsi="Times New Roman" w:cs="Times New Roman"/>
          <w:sz w:val="24"/>
          <w:szCs w:val="24"/>
        </w:rPr>
        <w:t>Torrubia</w:t>
      </w:r>
      <w:proofErr w:type="spellEnd"/>
      <w:r w:rsidR="009C0646" w:rsidRPr="008B266E">
        <w:rPr>
          <w:rFonts w:ascii="Times New Roman" w:hAnsi="Times New Roman" w:cs="Times New Roman"/>
          <w:sz w:val="24"/>
          <w:szCs w:val="24"/>
        </w:rPr>
        <w:t>, 2008</w:t>
      </w:r>
      <w:r w:rsidRPr="008B266E">
        <w:rPr>
          <w:rFonts w:ascii="Times New Roman" w:hAnsi="Times New Roman" w:cs="Times New Roman"/>
          <w:sz w:val="24"/>
          <w:szCs w:val="24"/>
        </w:rPr>
        <w:t xml:space="preserve">; </w:t>
      </w:r>
      <w:r w:rsidR="009C0646" w:rsidRPr="008B266E">
        <w:rPr>
          <w:rFonts w:ascii="Times New Roman" w:hAnsi="Times New Roman" w:cs="Times New Roman"/>
          <w:sz w:val="24"/>
          <w:szCs w:val="24"/>
          <w:lang w:val="es-ES"/>
        </w:rPr>
        <w:t>Hare y Neumann, 2006</w:t>
      </w:r>
      <w:r w:rsidRPr="008B266E">
        <w:rPr>
          <w:rFonts w:ascii="Times New Roman" w:hAnsi="Times New Roman" w:cs="Times New Roman"/>
          <w:sz w:val="24"/>
          <w:szCs w:val="24"/>
        </w:rPr>
        <w:t>). Los ítems han sido agrupados estadísticamente en 4 facetas, las facetas interpersonal y afectiva pertenecen al Factor 1 Interpersonal/Afectivo y las facetas de estilo de vida impulsivo/irresponsable y antisocial al Factor 2 Desviación social (</w:t>
      </w:r>
      <w:r w:rsidR="009C0646" w:rsidRPr="008B266E">
        <w:rPr>
          <w:rFonts w:ascii="Times New Roman" w:hAnsi="Times New Roman" w:cs="Times New Roman"/>
          <w:sz w:val="24"/>
          <w:szCs w:val="24"/>
        </w:rPr>
        <w:t>Flórez, 2016</w:t>
      </w:r>
      <w:r w:rsidRPr="008B266E">
        <w:rPr>
          <w:rFonts w:ascii="Times New Roman" w:hAnsi="Times New Roman" w:cs="Times New Roman"/>
          <w:sz w:val="24"/>
          <w:szCs w:val="24"/>
        </w:rPr>
        <w:t xml:space="preserve">; </w:t>
      </w:r>
      <w:r w:rsidR="009C0646" w:rsidRPr="008B266E">
        <w:rPr>
          <w:rFonts w:ascii="Times New Roman" w:hAnsi="Times New Roman" w:cs="Times New Roman"/>
          <w:sz w:val="24"/>
          <w:szCs w:val="24"/>
        </w:rPr>
        <w:t>Vitale y Newman, 2001</w:t>
      </w:r>
      <w:r w:rsidRPr="008B266E">
        <w:rPr>
          <w:rFonts w:ascii="Times New Roman" w:hAnsi="Times New Roman" w:cs="Times New Roman"/>
          <w:sz w:val="24"/>
          <w:szCs w:val="24"/>
        </w:rPr>
        <w:t>). Cada ítem se puntúa con una escala de 3 puntos, siendo 0 ausencia de la característica, 1 cierta inseguridad sobre si está presenta o no, y 2 presencia definitiva de ella; las puntuaciones totales son de 0 a 40, siendo 30 el corte para diagnosticar psicopatía (</w:t>
      </w:r>
      <w:proofErr w:type="spellStart"/>
      <w:r w:rsidR="008C4771" w:rsidRPr="008B266E">
        <w:rPr>
          <w:rFonts w:ascii="Times New Roman" w:hAnsi="Times New Roman" w:cs="Times New Roman"/>
          <w:sz w:val="24"/>
          <w:szCs w:val="24"/>
        </w:rPr>
        <w:t>Cuquerella</w:t>
      </w:r>
      <w:proofErr w:type="spellEnd"/>
      <w:r w:rsidR="008C4771" w:rsidRPr="008B266E">
        <w:rPr>
          <w:rFonts w:ascii="Times New Roman" w:hAnsi="Times New Roman" w:cs="Times New Roman"/>
          <w:sz w:val="24"/>
          <w:szCs w:val="24"/>
        </w:rPr>
        <w:t xml:space="preserve"> y </w:t>
      </w:r>
      <w:proofErr w:type="spellStart"/>
      <w:r w:rsidR="008C4771" w:rsidRPr="008B266E">
        <w:rPr>
          <w:rFonts w:ascii="Times New Roman" w:hAnsi="Times New Roman" w:cs="Times New Roman"/>
          <w:sz w:val="24"/>
          <w:szCs w:val="24"/>
        </w:rPr>
        <w:t>Torrubia</w:t>
      </w:r>
      <w:proofErr w:type="spellEnd"/>
      <w:r w:rsidR="008C4771" w:rsidRPr="008B266E">
        <w:rPr>
          <w:rFonts w:ascii="Times New Roman" w:hAnsi="Times New Roman" w:cs="Times New Roman"/>
          <w:sz w:val="24"/>
          <w:szCs w:val="24"/>
        </w:rPr>
        <w:t xml:space="preserve">, 2008; </w:t>
      </w:r>
      <w:r w:rsidR="009C0646" w:rsidRPr="008B266E">
        <w:rPr>
          <w:rFonts w:ascii="Times New Roman" w:hAnsi="Times New Roman" w:cs="Times New Roman"/>
          <w:sz w:val="24"/>
          <w:szCs w:val="24"/>
          <w:lang w:val="es-ES"/>
        </w:rPr>
        <w:t>Hare y Neumann, 2006</w:t>
      </w:r>
      <w:r w:rsidRPr="008B266E">
        <w:rPr>
          <w:rFonts w:ascii="Times New Roman" w:hAnsi="Times New Roman" w:cs="Times New Roman"/>
          <w:sz w:val="24"/>
          <w:szCs w:val="24"/>
        </w:rPr>
        <w:t>). El Factor 1 evalúa la indiferencia cruel sobre los sentimientos y derechos de los demás e incluye ítems como falta de culpa o remordimiento, falta de empatía y afecto superficial, y el F</w:t>
      </w:r>
      <w:proofErr w:type="spellStart"/>
      <w:r w:rsidRPr="008B266E">
        <w:rPr>
          <w:rFonts w:ascii="Times New Roman" w:hAnsi="Times New Roman" w:cs="Times New Roman"/>
          <w:sz w:val="24"/>
          <w:szCs w:val="24"/>
          <w:lang w:val="da-DK"/>
        </w:rPr>
        <w:t>actor</w:t>
      </w:r>
      <w:proofErr w:type="spellEnd"/>
      <w:r w:rsidRPr="008B266E">
        <w:rPr>
          <w:rFonts w:ascii="Times New Roman" w:hAnsi="Times New Roman" w:cs="Times New Roman"/>
          <w:sz w:val="24"/>
          <w:szCs w:val="24"/>
          <w:lang w:val="da-DK"/>
        </w:rPr>
        <w:t xml:space="preserve"> 2 </w:t>
      </w:r>
      <w:proofErr w:type="spellStart"/>
      <w:r w:rsidRPr="008B266E">
        <w:rPr>
          <w:rFonts w:ascii="Times New Roman" w:hAnsi="Times New Roman" w:cs="Times New Roman"/>
          <w:sz w:val="24"/>
          <w:szCs w:val="24"/>
          <w:lang w:val="da-DK"/>
        </w:rPr>
        <w:t>eval</w:t>
      </w:r>
      <w:r w:rsidRPr="008B266E">
        <w:rPr>
          <w:rFonts w:ascii="Times New Roman" w:hAnsi="Times New Roman" w:cs="Times New Roman"/>
          <w:sz w:val="24"/>
          <w:szCs w:val="24"/>
        </w:rPr>
        <w:t>úa</w:t>
      </w:r>
      <w:proofErr w:type="spellEnd"/>
      <w:r w:rsidRPr="008B266E">
        <w:rPr>
          <w:rFonts w:ascii="Times New Roman" w:hAnsi="Times New Roman" w:cs="Times New Roman"/>
          <w:sz w:val="24"/>
          <w:szCs w:val="24"/>
        </w:rPr>
        <w:t xml:space="preserve"> </w:t>
      </w:r>
      <w:r w:rsidRPr="008B266E">
        <w:rPr>
          <w:rFonts w:ascii="Times New Roman" w:hAnsi="Times New Roman" w:cs="Times New Roman"/>
          <w:sz w:val="24"/>
          <w:szCs w:val="24"/>
        </w:rPr>
        <w:lastRenderedPageBreak/>
        <w:t>comportamiento antisocial persistente e incluye delincuencia juvenil y versatilidad criminal (</w:t>
      </w:r>
      <w:r w:rsidR="009C0646" w:rsidRPr="008B266E">
        <w:rPr>
          <w:rFonts w:ascii="Times New Roman" w:hAnsi="Times New Roman" w:cs="Times New Roman"/>
          <w:sz w:val="24"/>
          <w:szCs w:val="24"/>
        </w:rPr>
        <w:t>Vitale y Newman, 2001</w:t>
      </w:r>
      <w:r w:rsidRPr="008B266E">
        <w:rPr>
          <w:rFonts w:ascii="Times New Roman" w:hAnsi="Times New Roman" w:cs="Times New Roman"/>
          <w:sz w:val="24"/>
          <w:szCs w:val="24"/>
        </w:rPr>
        <w:t xml:space="preserve">). Es necesario puntuar significativamente en ambos factores para diagnosticar a un individuo de psicopatía. </w:t>
      </w: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 xml:space="preserve">El paso del PCL al PCL-R conllevó la eliminación de </w:t>
      </w:r>
      <w:r w:rsidRPr="008B266E">
        <w:rPr>
          <w:rFonts w:ascii="Times New Roman" w:hAnsi="Times New Roman" w:cs="Times New Roman"/>
          <w:sz w:val="24"/>
          <w:szCs w:val="24"/>
          <w:lang w:val="pt-PT"/>
        </w:rPr>
        <w:t xml:space="preserve">dos </w:t>
      </w:r>
      <w:r w:rsidRPr="008B266E">
        <w:rPr>
          <w:rFonts w:ascii="Times New Roman" w:hAnsi="Times New Roman" w:cs="Times New Roman"/>
          <w:sz w:val="24"/>
          <w:szCs w:val="24"/>
        </w:rPr>
        <w:t>ítems, el ítem 22: abuso de drogas y alcohol no directamente causado por el comportamiento social ya que</w:t>
      </w:r>
      <w:r w:rsidRPr="008B266E">
        <w:rPr>
          <w:rFonts w:ascii="Times New Roman" w:hAnsi="Times New Roman" w:cs="Times New Roman"/>
          <w:sz w:val="24"/>
          <w:szCs w:val="24"/>
          <w:lang w:val="it-IT"/>
        </w:rPr>
        <w:t xml:space="preserve"> era </w:t>
      </w:r>
      <w:proofErr w:type="spellStart"/>
      <w:r w:rsidRPr="008B266E">
        <w:rPr>
          <w:rFonts w:ascii="Times New Roman" w:hAnsi="Times New Roman" w:cs="Times New Roman"/>
          <w:sz w:val="24"/>
          <w:szCs w:val="24"/>
          <w:lang w:val="it-IT"/>
        </w:rPr>
        <w:t>dif</w:t>
      </w:r>
      <w:r w:rsidRPr="008B266E">
        <w:rPr>
          <w:rFonts w:ascii="Times New Roman" w:hAnsi="Times New Roman" w:cs="Times New Roman"/>
          <w:sz w:val="24"/>
          <w:szCs w:val="24"/>
        </w:rPr>
        <w:t>ícil</w:t>
      </w:r>
      <w:proofErr w:type="spellEnd"/>
      <w:r w:rsidRPr="008B266E">
        <w:rPr>
          <w:rFonts w:ascii="Times New Roman" w:hAnsi="Times New Roman" w:cs="Times New Roman"/>
          <w:sz w:val="24"/>
          <w:szCs w:val="24"/>
        </w:rPr>
        <w:t xml:space="preserve"> de valorar; y el í</w:t>
      </w:r>
      <w:r w:rsidRPr="008B266E">
        <w:rPr>
          <w:rFonts w:ascii="Times New Roman" w:hAnsi="Times New Roman" w:cs="Times New Roman"/>
          <w:sz w:val="24"/>
          <w:szCs w:val="24"/>
          <w:lang w:val="pt-PT"/>
        </w:rPr>
        <w:t xml:space="preserve">tem 2: </w:t>
      </w:r>
      <w:r w:rsidR="005E3E80" w:rsidRPr="008B266E">
        <w:rPr>
          <w:rFonts w:ascii="Times New Roman" w:hAnsi="Times New Roman" w:cs="Times New Roman"/>
          <w:sz w:val="24"/>
          <w:szCs w:val="24"/>
          <w:lang w:val="pt-PT"/>
        </w:rPr>
        <w:t xml:space="preserve">diagnóstico </w:t>
      </w:r>
      <w:r w:rsidRPr="008B266E">
        <w:rPr>
          <w:rFonts w:ascii="Times New Roman" w:hAnsi="Times New Roman" w:cs="Times New Roman"/>
          <w:sz w:val="24"/>
          <w:szCs w:val="24"/>
          <w:lang w:val="it-IT"/>
        </w:rPr>
        <w:t xml:space="preserve">previo de </w:t>
      </w:r>
      <w:proofErr w:type="spellStart"/>
      <w:r w:rsidRPr="008B266E">
        <w:rPr>
          <w:rFonts w:ascii="Times New Roman" w:hAnsi="Times New Roman" w:cs="Times New Roman"/>
          <w:sz w:val="24"/>
          <w:szCs w:val="24"/>
          <w:lang w:val="it-IT"/>
        </w:rPr>
        <w:t>psicopat</w:t>
      </w:r>
      <w:r w:rsidRPr="008B266E">
        <w:rPr>
          <w:rFonts w:ascii="Times New Roman" w:hAnsi="Times New Roman" w:cs="Times New Roman"/>
          <w:sz w:val="24"/>
          <w:szCs w:val="24"/>
        </w:rPr>
        <w:t>ía</w:t>
      </w:r>
      <w:proofErr w:type="spellEnd"/>
      <w:r w:rsidRPr="008B266E">
        <w:rPr>
          <w:rFonts w:ascii="Times New Roman" w:hAnsi="Times New Roman" w:cs="Times New Roman"/>
          <w:sz w:val="24"/>
          <w:szCs w:val="24"/>
        </w:rPr>
        <w:t xml:space="preserve"> o similar, al</w:t>
      </w:r>
      <w:r w:rsidRPr="008B266E">
        <w:rPr>
          <w:rFonts w:ascii="Times New Roman" w:hAnsi="Times New Roman" w:cs="Times New Roman"/>
          <w:sz w:val="24"/>
          <w:szCs w:val="24"/>
          <w:lang w:val="pt-PT"/>
        </w:rPr>
        <w:t xml:space="preserve"> no proporciona</w:t>
      </w:r>
      <w:r w:rsidRPr="008B266E">
        <w:rPr>
          <w:rFonts w:ascii="Times New Roman" w:hAnsi="Times New Roman" w:cs="Times New Roman"/>
          <w:sz w:val="24"/>
          <w:szCs w:val="24"/>
        </w:rPr>
        <w:t>r información ú</w:t>
      </w:r>
      <w:r w:rsidRPr="008B266E">
        <w:rPr>
          <w:rFonts w:ascii="Times New Roman" w:hAnsi="Times New Roman" w:cs="Times New Roman"/>
          <w:sz w:val="24"/>
          <w:szCs w:val="24"/>
          <w:lang w:val="da-DK"/>
        </w:rPr>
        <w:t>til</w:t>
      </w:r>
      <w:r w:rsidRPr="008B266E">
        <w:rPr>
          <w:rFonts w:ascii="Times New Roman" w:hAnsi="Times New Roman" w:cs="Times New Roman"/>
          <w:sz w:val="24"/>
          <w:szCs w:val="24"/>
        </w:rPr>
        <w:t>, el cambio de los títulos de 10 ítems sin alterar la naturaleza de la característica o comportamiento, la descripción más detallada de los ítems y puntuaciones (</w:t>
      </w:r>
      <w:r w:rsidR="008C4771" w:rsidRPr="008B266E">
        <w:rPr>
          <w:rFonts w:ascii="Times New Roman" w:hAnsi="Times New Roman" w:cs="Times New Roman"/>
          <w:sz w:val="24"/>
          <w:szCs w:val="24"/>
          <w:lang w:val="es-ES"/>
        </w:rPr>
        <w:t xml:space="preserve">Hare y Neumann, 2006; </w:t>
      </w:r>
      <w:proofErr w:type="spellStart"/>
      <w:r w:rsidR="009C0646" w:rsidRPr="008B266E">
        <w:rPr>
          <w:rFonts w:ascii="Times New Roman" w:hAnsi="Times New Roman" w:cs="Times New Roman"/>
          <w:sz w:val="24"/>
          <w:szCs w:val="24"/>
        </w:rPr>
        <w:t>Pozueco</w:t>
      </w:r>
      <w:proofErr w:type="spellEnd"/>
      <w:r w:rsidR="009C0646" w:rsidRPr="008B266E">
        <w:rPr>
          <w:rFonts w:ascii="Times New Roman" w:hAnsi="Times New Roman" w:cs="Times New Roman"/>
          <w:sz w:val="24"/>
          <w:szCs w:val="24"/>
        </w:rPr>
        <w:t xml:space="preserve"> et. al, 2011</w:t>
      </w:r>
      <w:r w:rsidRPr="008B266E">
        <w:rPr>
          <w:rFonts w:ascii="Times New Roman" w:hAnsi="Times New Roman" w:cs="Times New Roman"/>
          <w:sz w:val="24"/>
          <w:szCs w:val="24"/>
        </w:rPr>
        <w:t>).</w:t>
      </w:r>
    </w:p>
    <w:p w:rsidR="005E3E80" w:rsidRPr="008B266E" w:rsidRDefault="005E3E80" w:rsidP="00FE15D7">
      <w:pPr>
        <w:pStyle w:val="Cuerpo"/>
        <w:spacing w:line="360" w:lineRule="auto"/>
        <w:jc w:val="both"/>
        <w:rPr>
          <w:rFonts w:ascii="Times New Roman" w:hAnsi="Times New Roman" w:cs="Times New Roman"/>
          <w:sz w:val="24"/>
          <w:szCs w:val="24"/>
        </w:rPr>
      </w:pPr>
    </w:p>
    <w:p w:rsidR="00376ED2" w:rsidRDefault="00376ED2" w:rsidP="00FE15D7">
      <w:pPr>
        <w:pStyle w:val="Cuerpo"/>
        <w:spacing w:line="360" w:lineRule="auto"/>
        <w:jc w:val="both"/>
        <w:rPr>
          <w:rFonts w:ascii="Times New Roman" w:hAnsi="Times New Roman" w:cs="Times New Roman"/>
          <w:sz w:val="24"/>
          <w:szCs w:val="24"/>
        </w:rPr>
      </w:pPr>
      <w:r>
        <w:rPr>
          <w:rFonts w:ascii="Times New Roman" w:hAnsi="Times New Roman" w:cs="Times New Roman"/>
          <w:sz w:val="24"/>
          <w:szCs w:val="24"/>
        </w:rPr>
        <w:t>Tabla 3</w:t>
      </w:r>
    </w:p>
    <w:p w:rsidR="00376ED2" w:rsidRDefault="00376ED2" w:rsidP="00FE15D7">
      <w:pPr>
        <w:pStyle w:val="Cuerpo"/>
        <w:spacing w:line="360" w:lineRule="auto"/>
        <w:jc w:val="both"/>
        <w:rPr>
          <w:rFonts w:ascii="Times New Roman" w:hAnsi="Times New Roman" w:cs="Times New Roman"/>
          <w:sz w:val="24"/>
          <w:szCs w:val="24"/>
        </w:rPr>
      </w:pPr>
      <w:r w:rsidRPr="00376ED2">
        <w:rPr>
          <w:rFonts w:ascii="Times New Roman" w:hAnsi="Times New Roman" w:cs="Times New Roman"/>
          <w:i/>
          <w:iCs/>
          <w:sz w:val="24"/>
          <w:szCs w:val="24"/>
        </w:rPr>
        <w:t>Los 22 rasgos del PCL</w:t>
      </w:r>
      <w:r>
        <w:rPr>
          <w:rFonts w:ascii="Times New Roman" w:hAnsi="Times New Roman" w:cs="Times New Roman"/>
          <w:sz w:val="24"/>
          <w:szCs w:val="24"/>
        </w:rPr>
        <w:t xml:space="preserve">. </w:t>
      </w:r>
      <w:proofErr w:type="spellStart"/>
      <w:r>
        <w:rPr>
          <w:rFonts w:ascii="Times New Roman" w:hAnsi="Times New Roman" w:cs="Times New Roman"/>
          <w:sz w:val="24"/>
          <w:szCs w:val="24"/>
        </w:rPr>
        <w:t>Pozueco</w:t>
      </w:r>
      <w:proofErr w:type="spellEnd"/>
      <w:r>
        <w:rPr>
          <w:rFonts w:ascii="Times New Roman" w:hAnsi="Times New Roman" w:cs="Times New Roman"/>
          <w:sz w:val="24"/>
          <w:szCs w:val="24"/>
        </w:rPr>
        <w:t xml:space="preserve"> </w:t>
      </w:r>
      <w:r w:rsidRPr="00376ED2">
        <w:rPr>
          <w:rFonts w:ascii="Times New Roman" w:hAnsi="Times New Roman" w:cs="Times New Roman"/>
          <w:i/>
          <w:iCs/>
          <w:sz w:val="24"/>
          <w:szCs w:val="24"/>
        </w:rPr>
        <w:t>et. al</w:t>
      </w:r>
      <w:r>
        <w:rPr>
          <w:rFonts w:ascii="Times New Roman" w:hAnsi="Times New Roman" w:cs="Times New Roman"/>
          <w:sz w:val="24"/>
          <w:szCs w:val="24"/>
        </w:rPr>
        <w:t xml:space="preserve"> (2011).</w:t>
      </w:r>
      <w:r w:rsidR="005B604A">
        <w:rPr>
          <w:rFonts w:ascii="Times New Roman" w:hAnsi="Times New Roman" w:cs="Times New Roman"/>
          <w:sz w:val="24"/>
          <w:szCs w:val="24"/>
        </w:rPr>
        <w:fldChar w:fldCharType="begin"/>
      </w:r>
      <w:r w:rsidR="005B604A">
        <w:instrText xml:space="preserve"> XE "</w:instrText>
      </w:r>
      <w:r w:rsidR="005B604A" w:rsidRPr="00845DD3">
        <w:rPr>
          <w:rFonts w:ascii="Times New Roman" w:hAnsi="Times New Roman" w:cs="Times New Roman"/>
          <w:i/>
          <w:iCs/>
          <w:sz w:val="24"/>
          <w:szCs w:val="24"/>
        </w:rPr>
        <w:instrText>Los 22 rasgos del PCL</w:instrText>
      </w:r>
      <w:r w:rsidR="005B604A" w:rsidRPr="00845DD3">
        <w:rPr>
          <w:rFonts w:ascii="Times New Roman" w:hAnsi="Times New Roman" w:cs="Times New Roman"/>
          <w:sz w:val="24"/>
          <w:szCs w:val="24"/>
        </w:rPr>
        <w:instrText xml:space="preserve">. Pozueco </w:instrText>
      </w:r>
      <w:r w:rsidR="005B604A" w:rsidRPr="00845DD3">
        <w:rPr>
          <w:rFonts w:ascii="Times New Roman" w:hAnsi="Times New Roman" w:cs="Times New Roman"/>
          <w:i/>
          <w:iCs/>
          <w:sz w:val="24"/>
          <w:szCs w:val="24"/>
        </w:rPr>
        <w:instrText>et. al</w:instrText>
      </w:r>
      <w:r w:rsidR="005B604A" w:rsidRPr="00845DD3">
        <w:rPr>
          <w:rFonts w:ascii="Times New Roman" w:hAnsi="Times New Roman" w:cs="Times New Roman"/>
          <w:sz w:val="24"/>
          <w:szCs w:val="24"/>
        </w:rPr>
        <w:instrText xml:space="preserve"> (2011).</w:instrText>
      </w:r>
      <w:r w:rsidR="005B604A">
        <w:instrText xml:space="preserve">" </w:instrText>
      </w:r>
      <w:r w:rsidR="005B604A">
        <w:rPr>
          <w:rFonts w:ascii="Times New Roman" w:hAnsi="Times New Roman" w:cs="Times New Roman"/>
          <w:sz w:val="24"/>
          <w:szCs w:val="24"/>
        </w:rPr>
        <w:fldChar w:fldCharType="end"/>
      </w:r>
    </w:p>
    <w:tbl>
      <w:tblPr>
        <w:tblStyle w:val="Tablaconcuadrcul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5E3E80" w:rsidRPr="00F21754" w:rsidTr="00EC61B7">
        <w:tc>
          <w:tcPr>
            <w:tcW w:w="4889" w:type="dxa"/>
            <w:vAlign w:val="center"/>
          </w:tcPr>
          <w:p w:rsidR="005E3E80"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1</w:t>
            </w:r>
            <w:r w:rsidRPr="002A0212">
              <w:rPr>
                <w:rFonts w:ascii="Times New Roman" w:hAnsi="Times New Roman" w:cs="Times New Roman"/>
                <w:sz w:val="24"/>
                <w:szCs w:val="24"/>
              </w:rPr>
              <w:t xml:space="preserve">. </w:t>
            </w:r>
            <w:r w:rsidR="005E3E80" w:rsidRPr="002A0212">
              <w:rPr>
                <w:rFonts w:ascii="Times New Roman" w:hAnsi="Times New Roman" w:cs="Times New Roman"/>
                <w:sz w:val="24"/>
                <w:szCs w:val="24"/>
              </w:rPr>
              <w:t xml:space="preserve"> </w:t>
            </w:r>
            <w:r w:rsidRPr="002A0212">
              <w:rPr>
                <w:rFonts w:ascii="Times New Roman" w:hAnsi="Times New Roman" w:cs="Times New Roman"/>
                <w:sz w:val="24"/>
                <w:szCs w:val="24"/>
              </w:rPr>
              <w:t xml:space="preserve"> </w:t>
            </w:r>
            <w:r w:rsidR="005E3E80" w:rsidRPr="002A0212">
              <w:rPr>
                <w:rFonts w:ascii="Times New Roman" w:hAnsi="Times New Roman" w:cs="Times New Roman"/>
                <w:sz w:val="24"/>
                <w:szCs w:val="24"/>
              </w:rPr>
              <w:t>Locuacidad/ Encanto superficial.</w:t>
            </w:r>
          </w:p>
          <w:p w:rsidR="005E3E80" w:rsidRPr="002A0212" w:rsidRDefault="005E3E80"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2</w:t>
            </w:r>
            <w:r w:rsidRPr="002A0212">
              <w:rPr>
                <w:rFonts w:ascii="Times New Roman" w:hAnsi="Times New Roman" w:cs="Times New Roman"/>
                <w:sz w:val="24"/>
                <w:szCs w:val="24"/>
              </w:rPr>
              <w:t xml:space="preserve">. </w:t>
            </w:r>
            <w:r w:rsidR="005A25C9" w:rsidRPr="002A0212">
              <w:rPr>
                <w:rFonts w:ascii="Times New Roman" w:hAnsi="Times New Roman" w:cs="Times New Roman"/>
                <w:sz w:val="24"/>
                <w:szCs w:val="24"/>
              </w:rPr>
              <w:t xml:space="preserve">  </w:t>
            </w:r>
            <w:r w:rsidRPr="002A0212">
              <w:rPr>
                <w:rFonts w:ascii="Times New Roman" w:hAnsi="Times New Roman" w:cs="Times New Roman"/>
                <w:sz w:val="24"/>
                <w:szCs w:val="24"/>
              </w:rPr>
              <w:t>Diagnóstico previo de psicopatía (o similar).</w:t>
            </w:r>
          </w:p>
          <w:p w:rsidR="005E3E80" w:rsidRPr="002A0212" w:rsidRDefault="005E3E80"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3</w:t>
            </w:r>
            <w:r w:rsidRPr="002A0212">
              <w:rPr>
                <w:rFonts w:ascii="Times New Roman" w:hAnsi="Times New Roman" w:cs="Times New Roman"/>
                <w:sz w:val="24"/>
                <w:szCs w:val="24"/>
              </w:rPr>
              <w:t xml:space="preserve">. </w:t>
            </w:r>
            <w:r w:rsidR="005A25C9" w:rsidRPr="002A0212">
              <w:rPr>
                <w:rFonts w:ascii="Times New Roman" w:hAnsi="Times New Roman" w:cs="Times New Roman"/>
                <w:sz w:val="24"/>
                <w:szCs w:val="24"/>
              </w:rPr>
              <w:t xml:space="preserve">  Egocentrismo / Sensación grandiosa de la autovalía.</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4</w:t>
            </w:r>
            <w:r w:rsidRPr="002A0212">
              <w:rPr>
                <w:rFonts w:ascii="Times New Roman" w:hAnsi="Times New Roman" w:cs="Times New Roman"/>
                <w:sz w:val="24"/>
                <w:szCs w:val="24"/>
              </w:rPr>
              <w:t>.   Propensión al aburrimiento / Baja tolerancia a la frustración.</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5</w:t>
            </w:r>
            <w:r w:rsidRPr="002A0212">
              <w:rPr>
                <w:rFonts w:ascii="Times New Roman" w:hAnsi="Times New Roman" w:cs="Times New Roman"/>
                <w:sz w:val="24"/>
                <w:szCs w:val="24"/>
              </w:rPr>
              <w:t>.   Mentira patológica y decepción.</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6</w:t>
            </w:r>
            <w:r w:rsidRPr="002A0212">
              <w:rPr>
                <w:rFonts w:ascii="Times New Roman" w:hAnsi="Times New Roman" w:cs="Times New Roman"/>
                <w:sz w:val="24"/>
                <w:szCs w:val="24"/>
              </w:rPr>
              <w:t>.   Dirección / Falta de sinceridad.</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7</w:t>
            </w:r>
            <w:r w:rsidRPr="002A0212">
              <w:rPr>
                <w:rFonts w:ascii="Times New Roman" w:hAnsi="Times New Roman" w:cs="Times New Roman"/>
                <w:sz w:val="24"/>
                <w:szCs w:val="24"/>
              </w:rPr>
              <w:t>.   Falta de remordimiento y culpabilidad</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8</w:t>
            </w:r>
            <w:r w:rsidRPr="002A0212">
              <w:rPr>
                <w:rFonts w:ascii="Times New Roman" w:hAnsi="Times New Roman" w:cs="Times New Roman"/>
                <w:sz w:val="24"/>
                <w:szCs w:val="24"/>
              </w:rPr>
              <w:t>.   Falta de afecto y escasa profundidad emocional.</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9</w:t>
            </w:r>
            <w:r w:rsidRPr="002A0212">
              <w:rPr>
                <w:rFonts w:ascii="Times New Roman" w:hAnsi="Times New Roman" w:cs="Times New Roman"/>
                <w:sz w:val="24"/>
                <w:szCs w:val="24"/>
              </w:rPr>
              <w:t xml:space="preserve">.   Insensibilidad / Falta de empatía. </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10</w:t>
            </w:r>
            <w:r w:rsidRPr="002A0212">
              <w:rPr>
                <w:rFonts w:ascii="Times New Roman" w:hAnsi="Times New Roman" w:cs="Times New Roman"/>
                <w:sz w:val="24"/>
                <w:szCs w:val="24"/>
              </w:rPr>
              <w:t>. Estilo de vida parásito.</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11</w:t>
            </w:r>
            <w:r w:rsidRPr="002A0212">
              <w:rPr>
                <w:rFonts w:ascii="Times New Roman" w:hAnsi="Times New Roman" w:cs="Times New Roman"/>
                <w:sz w:val="24"/>
                <w:szCs w:val="24"/>
              </w:rPr>
              <w:t xml:space="preserve">. Colérico / Falta de control conductual. </w:t>
            </w:r>
          </w:p>
        </w:tc>
        <w:tc>
          <w:tcPr>
            <w:tcW w:w="4889" w:type="dxa"/>
            <w:vAlign w:val="center"/>
          </w:tcPr>
          <w:p w:rsidR="00674FE7" w:rsidRPr="002A0212" w:rsidRDefault="00674FE7"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p>
          <w:p w:rsidR="005E3E80"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12</w:t>
            </w:r>
            <w:r w:rsidRPr="002A0212">
              <w:rPr>
                <w:rFonts w:ascii="Times New Roman" w:hAnsi="Times New Roman" w:cs="Times New Roman"/>
                <w:sz w:val="24"/>
                <w:szCs w:val="24"/>
              </w:rPr>
              <w:t>. Relaciones sexuales promiscuas.</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13</w:t>
            </w:r>
            <w:r w:rsidRPr="002A0212">
              <w:rPr>
                <w:rFonts w:ascii="Times New Roman" w:hAnsi="Times New Roman" w:cs="Times New Roman"/>
                <w:sz w:val="24"/>
                <w:szCs w:val="24"/>
              </w:rPr>
              <w:t>. Problemas de conducta precoces.</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14</w:t>
            </w:r>
            <w:r w:rsidRPr="002A0212">
              <w:rPr>
                <w:rFonts w:ascii="Times New Roman" w:hAnsi="Times New Roman" w:cs="Times New Roman"/>
                <w:sz w:val="24"/>
                <w:szCs w:val="24"/>
              </w:rPr>
              <w:t>. Falta de metas realistas a largo plazo.</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15</w:t>
            </w:r>
            <w:r w:rsidRPr="002A0212">
              <w:rPr>
                <w:rFonts w:ascii="Times New Roman" w:hAnsi="Times New Roman" w:cs="Times New Roman"/>
                <w:sz w:val="24"/>
                <w:szCs w:val="24"/>
              </w:rPr>
              <w:t>. Impulsividad.</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16</w:t>
            </w:r>
            <w:r w:rsidRPr="002A0212">
              <w:rPr>
                <w:rFonts w:ascii="Times New Roman" w:hAnsi="Times New Roman" w:cs="Times New Roman"/>
                <w:sz w:val="24"/>
                <w:szCs w:val="24"/>
              </w:rPr>
              <w:t>. Conducta irresponsable como padre o madre.</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17</w:t>
            </w:r>
            <w:r w:rsidRPr="002A0212">
              <w:rPr>
                <w:rFonts w:ascii="Times New Roman" w:hAnsi="Times New Roman" w:cs="Times New Roman"/>
                <w:sz w:val="24"/>
                <w:szCs w:val="24"/>
              </w:rPr>
              <w:t>. Relaciones maritales frecuentes.</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18</w:t>
            </w:r>
            <w:r w:rsidRPr="002A0212">
              <w:rPr>
                <w:rFonts w:ascii="Times New Roman" w:hAnsi="Times New Roman" w:cs="Times New Roman"/>
                <w:sz w:val="24"/>
                <w:szCs w:val="24"/>
              </w:rPr>
              <w:t>. Delincuencia juvenil.</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19</w:t>
            </w:r>
            <w:r w:rsidRPr="002A0212">
              <w:rPr>
                <w:rFonts w:ascii="Times New Roman" w:hAnsi="Times New Roman" w:cs="Times New Roman"/>
                <w:sz w:val="24"/>
                <w:szCs w:val="24"/>
              </w:rPr>
              <w:t xml:space="preserve">. Elevado riesgo bajo </w:t>
            </w:r>
            <w:proofErr w:type="spellStart"/>
            <w:r w:rsidRPr="002A0212">
              <w:rPr>
                <w:rFonts w:ascii="Times New Roman" w:hAnsi="Times New Roman" w:cs="Times New Roman"/>
                <w:sz w:val="24"/>
                <w:szCs w:val="24"/>
              </w:rPr>
              <w:t>parole</w:t>
            </w:r>
            <w:proofErr w:type="spellEnd"/>
            <w:r w:rsidRPr="002A0212">
              <w:rPr>
                <w:rFonts w:ascii="Times New Roman" w:hAnsi="Times New Roman" w:cs="Times New Roman"/>
                <w:sz w:val="24"/>
                <w:szCs w:val="24"/>
              </w:rPr>
              <w:t xml:space="preserve"> o </w:t>
            </w:r>
            <w:proofErr w:type="spellStart"/>
            <w:r w:rsidRPr="002A0212">
              <w:rPr>
                <w:rFonts w:ascii="Times New Roman" w:hAnsi="Times New Roman" w:cs="Times New Roman"/>
                <w:sz w:val="24"/>
                <w:szCs w:val="24"/>
              </w:rPr>
              <w:t>probatión</w:t>
            </w:r>
            <w:proofErr w:type="spellEnd"/>
            <w:r w:rsidRPr="002A0212">
              <w:rPr>
                <w:rFonts w:ascii="Times New Roman" w:hAnsi="Times New Roman" w:cs="Times New Roman"/>
                <w:sz w:val="24"/>
                <w:szCs w:val="24"/>
              </w:rPr>
              <w:t>.</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20</w:t>
            </w:r>
            <w:r w:rsidRPr="002A0212">
              <w:rPr>
                <w:rFonts w:ascii="Times New Roman" w:hAnsi="Times New Roman" w:cs="Times New Roman"/>
                <w:sz w:val="24"/>
                <w:szCs w:val="24"/>
              </w:rPr>
              <w:t>. Incapacidad para aceptar la responsabilidad de sus actos.</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21</w:t>
            </w:r>
            <w:r w:rsidRPr="002A0212">
              <w:rPr>
                <w:rFonts w:ascii="Times New Roman" w:hAnsi="Times New Roman" w:cs="Times New Roman"/>
                <w:sz w:val="24"/>
                <w:szCs w:val="24"/>
              </w:rPr>
              <w:t>. Varios tipos de delitos</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b/>
                <w:sz w:val="24"/>
                <w:szCs w:val="24"/>
              </w:rPr>
              <w:t>22</w:t>
            </w:r>
            <w:r w:rsidRPr="002A0212">
              <w:rPr>
                <w:rFonts w:ascii="Times New Roman" w:hAnsi="Times New Roman" w:cs="Times New Roman"/>
                <w:sz w:val="24"/>
                <w:szCs w:val="24"/>
              </w:rPr>
              <w:t xml:space="preserve">. Abuso de drogas o alcohol no directamente causados por la conducta antisocial. </w:t>
            </w:r>
          </w:p>
          <w:p w:rsidR="005A25C9" w:rsidRPr="002A0212" w:rsidRDefault="005A25C9" w:rsidP="005A25C9">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p>
        </w:tc>
      </w:tr>
    </w:tbl>
    <w:p w:rsidR="00547E3E" w:rsidRDefault="00547E3E" w:rsidP="00FE15D7">
      <w:pPr>
        <w:pStyle w:val="Cuerpo"/>
        <w:spacing w:line="360" w:lineRule="auto"/>
        <w:jc w:val="both"/>
        <w:rPr>
          <w:rFonts w:ascii="Times New Roman" w:hAnsi="Times New Roman" w:cs="Times New Roman"/>
          <w:sz w:val="24"/>
          <w:szCs w:val="24"/>
        </w:rPr>
      </w:pPr>
    </w:p>
    <w:p w:rsidR="00547E3E" w:rsidRDefault="00547E3E" w:rsidP="00FE15D7">
      <w:pPr>
        <w:pStyle w:val="Cuerpo"/>
        <w:spacing w:line="360" w:lineRule="auto"/>
        <w:jc w:val="both"/>
        <w:rPr>
          <w:rFonts w:ascii="Times New Roman" w:hAnsi="Times New Roman" w:cs="Times New Roman"/>
          <w:sz w:val="24"/>
          <w:szCs w:val="24"/>
        </w:rPr>
      </w:pPr>
    </w:p>
    <w:p w:rsidR="00376ED2" w:rsidRDefault="00376ED2" w:rsidP="00FE15D7">
      <w:pPr>
        <w:pStyle w:val="Cuerpo"/>
        <w:spacing w:line="360" w:lineRule="auto"/>
        <w:jc w:val="both"/>
        <w:rPr>
          <w:rFonts w:ascii="Times New Roman" w:hAnsi="Times New Roman" w:cs="Times New Roman"/>
          <w:sz w:val="24"/>
          <w:szCs w:val="24"/>
        </w:rPr>
      </w:pPr>
      <w:r>
        <w:rPr>
          <w:rFonts w:ascii="Times New Roman" w:hAnsi="Times New Roman" w:cs="Times New Roman"/>
          <w:sz w:val="24"/>
          <w:szCs w:val="24"/>
        </w:rPr>
        <w:t>Tabla 4</w:t>
      </w:r>
    </w:p>
    <w:p w:rsidR="00376ED2" w:rsidRDefault="00376ED2" w:rsidP="00FE15D7">
      <w:pPr>
        <w:pStyle w:val="Cuerpo"/>
        <w:spacing w:line="360" w:lineRule="auto"/>
        <w:jc w:val="both"/>
        <w:rPr>
          <w:rFonts w:ascii="Times New Roman" w:hAnsi="Times New Roman" w:cs="Times New Roman"/>
          <w:sz w:val="24"/>
          <w:szCs w:val="24"/>
        </w:rPr>
      </w:pPr>
      <w:r w:rsidRPr="00376ED2">
        <w:rPr>
          <w:rFonts w:ascii="Times New Roman" w:hAnsi="Times New Roman" w:cs="Times New Roman"/>
          <w:i/>
          <w:iCs/>
          <w:sz w:val="24"/>
          <w:szCs w:val="24"/>
        </w:rPr>
        <w:t>Los 20 rasgos del PCL-R.</w:t>
      </w:r>
      <w:r>
        <w:rPr>
          <w:rFonts w:ascii="Times New Roman" w:hAnsi="Times New Roman" w:cs="Times New Roman"/>
          <w:sz w:val="24"/>
          <w:szCs w:val="24"/>
        </w:rPr>
        <w:t xml:space="preserve"> </w:t>
      </w:r>
      <w:proofErr w:type="spellStart"/>
      <w:r>
        <w:rPr>
          <w:rFonts w:ascii="Times New Roman" w:hAnsi="Times New Roman" w:cs="Times New Roman"/>
          <w:sz w:val="24"/>
          <w:szCs w:val="24"/>
        </w:rPr>
        <w:t>Pozueco</w:t>
      </w:r>
      <w:proofErr w:type="spellEnd"/>
      <w:r>
        <w:rPr>
          <w:rFonts w:ascii="Times New Roman" w:hAnsi="Times New Roman" w:cs="Times New Roman"/>
          <w:sz w:val="24"/>
          <w:szCs w:val="24"/>
        </w:rPr>
        <w:t xml:space="preserve"> </w:t>
      </w:r>
      <w:r w:rsidRPr="00376ED2">
        <w:rPr>
          <w:rFonts w:ascii="Times New Roman" w:hAnsi="Times New Roman" w:cs="Times New Roman"/>
          <w:i/>
          <w:iCs/>
          <w:sz w:val="24"/>
          <w:szCs w:val="24"/>
        </w:rPr>
        <w:t>et. al</w:t>
      </w:r>
      <w:r>
        <w:rPr>
          <w:rFonts w:ascii="Times New Roman" w:hAnsi="Times New Roman" w:cs="Times New Roman"/>
          <w:sz w:val="24"/>
          <w:szCs w:val="24"/>
        </w:rPr>
        <w:t xml:space="preserve"> (2011).</w:t>
      </w:r>
      <w:r w:rsidR="005B604A">
        <w:rPr>
          <w:rFonts w:ascii="Times New Roman" w:hAnsi="Times New Roman" w:cs="Times New Roman"/>
          <w:sz w:val="24"/>
          <w:szCs w:val="24"/>
        </w:rPr>
        <w:fldChar w:fldCharType="begin"/>
      </w:r>
      <w:r w:rsidR="005B604A">
        <w:instrText xml:space="preserve"> XE "</w:instrText>
      </w:r>
      <w:r w:rsidR="005B604A" w:rsidRPr="00207E4D">
        <w:rPr>
          <w:rFonts w:ascii="Times New Roman" w:hAnsi="Times New Roman" w:cs="Times New Roman"/>
          <w:i/>
          <w:iCs/>
          <w:sz w:val="24"/>
          <w:szCs w:val="24"/>
        </w:rPr>
        <w:instrText>Los 20 rasgos del PCL-R.</w:instrText>
      </w:r>
      <w:r w:rsidR="005B604A" w:rsidRPr="00207E4D">
        <w:rPr>
          <w:rFonts w:ascii="Times New Roman" w:hAnsi="Times New Roman" w:cs="Times New Roman"/>
          <w:sz w:val="24"/>
          <w:szCs w:val="24"/>
        </w:rPr>
        <w:instrText xml:space="preserve"> Pozueco </w:instrText>
      </w:r>
      <w:r w:rsidR="005B604A" w:rsidRPr="00207E4D">
        <w:rPr>
          <w:rFonts w:ascii="Times New Roman" w:hAnsi="Times New Roman" w:cs="Times New Roman"/>
          <w:i/>
          <w:iCs/>
          <w:sz w:val="24"/>
          <w:szCs w:val="24"/>
        </w:rPr>
        <w:instrText>et. al</w:instrText>
      </w:r>
      <w:r w:rsidR="005B604A" w:rsidRPr="00207E4D">
        <w:rPr>
          <w:rFonts w:ascii="Times New Roman" w:hAnsi="Times New Roman" w:cs="Times New Roman"/>
          <w:sz w:val="24"/>
          <w:szCs w:val="24"/>
        </w:rPr>
        <w:instrText xml:space="preserve"> (2011).</w:instrText>
      </w:r>
      <w:r w:rsidR="005B604A">
        <w:instrText xml:space="preserve">" </w:instrText>
      </w:r>
      <w:r w:rsidR="005B604A">
        <w:rPr>
          <w:rFonts w:ascii="Times New Roman" w:hAnsi="Times New Roman" w:cs="Times New Roman"/>
          <w:sz w:val="24"/>
          <w:szCs w:val="24"/>
        </w:rPr>
        <w:fldChar w:fldCharType="end"/>
      </w:r>
    </w:p>
    <w:tbl>
      <w:tblPr>
        <w:tblStyle w:val="Tablaconcuadrcula"/>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1"/>
        <w:gridCol w:w="2247"/>
        <w:gridCol w:w="4886"/>
      </w:tblGrid>
      <w:tr w:rsidR="002C24EE" w:rsidRPr="00F21754" w:rsidTr="00EC61B7">
        <w:trPr>
          <w:jc w:val="center"/>
        </w:trPr>
        <w:tc>
          <w:tcPr>
            <w:tcW w:w="2729" w:type="dxa"/>
            <w:vMerge w:val="restart"/>
            <w:vAlign w:val="center"/>
          </w:tcPr>
          <w:p w:rsidR="002C24EE" w:rsidRPr="002A0212" w:rsidRDefault="002C24EE" w:rsidP="002C24EE">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hAnsi="Times New Roman" w:cs="Times New Roman"/>
                <w:b/>
                <w:sz w:val="24"/>
                <w:szCs w:val="24"/>
              </w:rPr>
            </w:pPr>
            <w:r w:rsidRPr="002A0212">
              <w:rPr>
                <w:rFonts w:ascii="Times New Roman" w:hAnsi="Times New Roman" w:cs="Times New Roman"/>
                <w:b/>
                <w:sz w:val="24"/>
                <w:szCs w:val="24"/>
              </w:rPr>
              <w:t>Factor 1</w:t>
            </w:r>
          </w:p>
          <w:p w:rsidR="002C24EE" w:rsidRPr="002A0212" w:rsidRDefault="002C24EE" w:rsidP="002C24EE">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hAnsi="Times New Roman" w:cs="Times New Roman"/>
                <w:b/>
                <w:sz w:val="24"/>
                <w:szCs w:val="24"/>
              </w:rPr>
            </w:pPr>
            <w:r w:rsidRPr="002A0212">
              <w:rPr>
                <w:rFonts w:ascii="Times New Roman" w:hAnsi="Times New Roman" w:cs="Times New Roman"/>
                <w:b/>
                <w:sz w:val="24"/>
                <w:szCs w:val="24"/>
              </w:rPr>
              <w:t>Interpersonal/Afectivo</w:t>
            </w:r>
          </w:p>
        </w:tc>
        <w:tc>
          <w:tcPr>
            <w:tcW w:w="2271" w:type="dxa"/>
            <w:vAlign w:val="center"/>
          </w:tcPr>
          <w:p w:rsidR="002C24EE" w:rsidRPr="002A0212" w:rsidRDefault="002C24EE" w:rsidP="002C24EE">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sz w:val="24"/>
                <w:szCs w:val="24"/>
              </w:rPr>
            </w:pPr>
            <w:r w:rsidRPr="002A0212">
              <w:rPr>
                <w:rFonts w:ascii="Times New Roman" w:hAnsi="Times New Roman" w:cs="Times New Roman"/>
                <w:b/>
                <w:sz w:val="24"/>
                <w:szCs w:val="24"/>
              </w:rPr>
              <w:t>Faceta 1</w:t>
            </w:r>
          </w:p>
          <w:p w:rsidR="002C24EE" w:rsidRPr="002A0212" w:rsidRDefault="002C24EE" w:rsidP="002C24EE">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sz w:val="24"/>
                <w:szCs w:val="24"/>
              </w:rPr>
            </w:pPr>
            <w:r w:rsidRPr="002A0212">
              <w:rPr>
                <w:rFonts w:ascii="Times New Roman" w:hAnsi="Times New Roman" w:cs="Times New Roman"/>
                <w:b/>
                <w:sz w:val="24"/>
                <w:szCs w:val="24"/>
              </w:rPr>
              <w:t>Interpersonal</w:t>
            </w:r>
          </w:p>
        </w:tc>
        <w:tc>
          <w:tcPr>
            <w:tcW w:w="4992" w:type="dxa"/>
            <w:vAlign w:val="center"/>
          </w:tcPr>
          <w:p w:rsidR="002C24EE" w:rsidRPr="002A0212" w:rsidRDefault="00763588" w:rsidP="00763588">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sz w:val="24"/>
                <w:szCs w:val="24"/>
              </w:rPr>
              <w:t>1-</w:t>
            </w:r>
            <w:r w:rsidR="002C24EE" w:rsidRPr="002A0212">
              <w:rPr>
                <w:rFonts w:ascii="Times New Roman" w:hAnsi="Times New Roman" w:cs="Times New Roman"/>
                <w:sz w:val="24"/>
                <w:szCs w:val="24"/>
              </w:rPr>
              <w:t>Locuacidad y encanto superficial.</w:t>
            </w:r>
          </w:p>
          <w:p w:rsidR="002C24EE" w:rsidRPr="002A0212" w:rsidRDefault="00763588" w:rsidP="00763588">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sz w:val="24"/>
                <w:szCs w:val="24"/>
              </w:rPr>
              <w:t>2-</w:t>
            </w:r>
            <w:r w:rsidR="002C24EE" w:rsidRPr="002A0212">
              <w:rPr>
                <w:rFonts w:ascii="Times New Roman" w:hAnsi="Times New Roman" w:cs="Times New Roman"/>
                <w:sz w:val="24"/>
                <w:szCs w:val="24"/>
              </w:rPr>
              <w:t>Sentido desmesurado de autovalía.</w:t>
            </w:r>
          </w:p>
          <w:p w:rsidR="002C24EE" w:rsidRPr="002A0212" w:rsidRDefault="00763588" w:rsidP="00763588">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sz w:val="24"/>
                <w:szCs w:val="24"/>
              </w:rPr>
              <w:t>4-</w:t>
            </w:r>
            <w:r w:rsidR="002C24EE" w:rsidRPr="002A0212">
              <w:rPr>
                <w:rFonts w:ascii="Times New Roman" w:hAnsi="Times New Roman" w:cs="Times New Roman"/>
                <w:sz w:val="24"/>
                <w:szCs w:val="24"/>
              </w:rPr>
              <w:t>Mentiroso patológico.</w:t>
            </w:r>
          </w:p>
          <w:p w:rsidR="002C24EE" w:rsidRPr="002A0212" w:rsidRDefault="00763588" w:rsidP="00763588">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sz w:val="24"/>
                <w:szCs w:val="24"/>
              </w:rPr>
              <w:t>5-</w:t>
            </w:r>
            <w:r w:rsidR="002C24EE" w:rsidRPr="002A0212">
              <w:rPr>
                <w:rFonts w:ascii="Times New Roman" w:hAnsi="Times New Roman" w:cs="Times New Roman"/>
                <w:sz w:val="24"/>
                <w:szCs w:val="24"/>
              </w:rPr>
              <w:t>Estafador/engañador y manipulador-</w:t>
            </w:r>
          </w:p>
        </w:tc>
      </w:tr>
      <w:tr w:rsidR="002C24EE" w:rsidRPr="00F21754" w:rsidTr="00EC61B7">
        <w:trPr>
          <w:jc w:val="center"/>
        </w:trPr>
        <w:tc>
          <w:tcPr>
            <w:tcW w:w="2729" w:type="dxa"/>
            <w:vMerge/>
            <w:vAlign w:val="center"/>
          </w:tcPr>
          <w:p w:rsidR="002C24EE" w:rsidRPr="002A0212" w:rsidRDefault="002C24EE" w:rsidP="002C24EE">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hAnsi="Times New Roman" w:cs="Times New Roman"/>
                <w:b/>
                <w:sz w:val="24"/>
                <w:szCs w:val="24"/>
              </w:rPr>
            </w:pPr>
          </w:p>
        </w:tc>
        <w:tc>
          <w:tcPr>
            <w:tcW w:w="2271" w:type="dxa"/>
            <w:vAlign w:val="center"/>
          </w:tcPr>
          <w:p w:rsidR="002C24EE" w:rsidRPr="002A0212" w:rsidRDefault="002C24EE"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sz w:val="24"/>
                <w:szCs w:val="24"/>
              </w:rPr>
            </w:pPr>
            <w:r w:rsidRPr="002A0212">
              <w:rPr>
                <w:rFonts w:ascii="Times New Roman" w:hAnsi="Times New Roman" w:cs="Times New Roman"/>
                <w:b/>
                <w:sz w:val="24"/>
                <w:szCs w:val="24"/>
              </w:rPr>
              <w:t>Faceta 2</w:t>
            </w:r>
          </w:p>
          <w:p w:rsidR="002C24EE" w:rsidRPr="002A0212" w:rsidRDefault="002C24EE"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sz w:val="24"/>
                <w:szCs w:val="24"/>
              </w:rPr>
            </w:pPr>
            <w:r w:rsidRPr="002A0212">
              <w:rPr>
                <w:rFonts w:ascii="Times New Roman" w:hAnsi="Times New Roman" w:cs="Times New Roman"/>
                <w:b/>
                <w:sz w:val="24"/>
                <w:szCs w:val="24"/>
              </w:rPr>
              <w:t>Afectiva</w:t>
            </w:r>
          </w:p>
        </w:tc>
        <w:tc>
          <w:tcPr>
            <w:tcW w:w="4992" w:type="dxa"/>
          </w:tcPr>
          <w:p w:rsidR="002C24EE" w:rsidRPr="002A0212" w:rsidRDefault="00763588" w:rsidP="00763588">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2A0212">
              <w:rPr>
                <w:rFonts w:ascii="Times New Roman" w:hAnsi="Times New Roman" w:cs="Times New Roman"/>
                <w:sz w:val="24"/>
                <w:szCs w:val="24"/>
              </w:rPr>
              <w:t>6 -</w:t>
            </w:r>
            <w:r w:rsidR="002C24EE" w:rsidRPr="002A0212">
              <w:rPr>
                <w:rFonts w:ascii="Times New Roman" w:hAnsi="Times New Roman" w:cs="Times New Roman"/>
                <w:sz w:val="24"/>
                <w:szCs w:val="24"/>
              </w:rPr>
              <w:t>Ausencia de remordimientos o sentimientos de culpa.</w:t>
            </w:r>
          </w:p>
          <w:p w:rsidR="002C24EE" w:rsidRPr="002A0212" w:rsidRDefault="00763588" w:rsidP="00763588">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2A0212">
              <w:rPr>
                <w:rFonts w:ascii="Times New Roman" w:hAnsi="Times New Roman" w:cs="Times New Roman"/>
                <w:sz w:val="24"/>
                <w:szCs w:val="24"/>
              </w:rPr>
              <w:t>7</w:t>
            </w:r>
            <w:r w:rsidR="002A0212" w:rsidRPr="002A0212">
              <w:rPr>
                <w:rFonts w:ascii="Times New Roman" w:hAnsi="Times New Roman" w:cs="Times New Roman"/>
                <w:sz w:val="24"/>
                <w:szCs w:val="24"/>
              </w:rPr>
              <w:t xml:space="preserve"> </w:t>
            </w:r>
            <w:r w:rsidRPr="002A0212">
              <w:rPr>
                <w:rFonts w:ascii="Times New Roman" w:hAnsi="Times New Roman" w:cs="Times New Roman"/>
                <w:sz w:val="24"/>
                <w:szCs w:val="24"/>
              </w:rPr>
              <w:t>-</w:t>
            </w:r>
            <w:r w:rsidR="002C24EE" w:rsidRPr="002A0212">
              <w:rPr>
                <w:rFonts w:ascii="Times New Roman" w:hAnsi="Times New Roman" w:cs="Times New Roman"/>
                <w:sz w:val="24"/>
                <w:szCs w:val="24"/>
              </w:rPr>
              <w:t>Afecto superficial y poco profundo.</w:t>
            </w:r>
          </w:p>
          <w:p w:rsidR="002C24EE" w:rsidRPr="002A0212" w:rsidRDefault="00763588" w:rsidP="00763588">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2A0212">
              <w:rPr>
                <w:rFonts w:ascii="Times New Roman" w:hAnsi="Times New Roman" w:cs="Times New Roman"/>
                <w:sz w:val="24"/>
                <w:szCs w:val="24"/>
              </w:rPr>
              <w:t>8</w:t>
            </w:r>
            <w:r w:rsidR="002A0212" w:rsidRPr="002A0212">
              <w:rPr>
                <w:rFonts w:ascii="Times New Roman" w:hAnsi="Times New Roman" w:cs="Times New Roman"/>
                <w:sz w:val="24"/>
                <w:szCs w:val="24"/>
              </w:rPr>
              <w:t xml:space="preserve"> </w:t>
            </w:r>
            <w:r w:rsidRPr="002A0212">
              <w:rPr>
                <w:rFonts w:ascii="Times New Roman" w:hAnsi="Times New Roman" w:cs="Times New Roman"/>
                <w:sz w:val="24"/>
                <w:szCs w:val="24"/>
              </w:rPr>
              <w:t>-</w:t>
            </w:r>
            <w:r w:rsidR="002C24EE" w:rsidRPr="002A0212">
              <w:rPr>
                <w:rFonts w:ascii="Times New Roman" w:hAnsi="Times New Roman" w:cs="Times New Roman"/>
                <w:sz w:val="24"/>
                <w:szCs w:val="24"/>
              </w:rPr>
              <w:t xml:space="preserve">Insensibilidad afectiva y ausencia de empatía. </w:t>
            </w:r>
          </w:p>
          <w:p w:rsidR="002C24EE" w:rsidRPr="002A0212" w:rsidRDefault="00763588" w:rsidP="002A0212">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2A0212">
              <w:rPr>
                <w:rFonts w:ascii="Times New Roman" w:hAnsi="Times New Roman" w:cs="Times New Roman"/>
                <w:sz w:val="24"/>
                <w:szCs w:val="24"/>
              </w:rPr>
              <w:t>16-</w:t>
            </w:r>
            <w:r w:rsidR="002C24EE" w:rsidRPr="002A0212">
              <w:rPr>
                <w:rFonts w:ascii="Times New Roman" w:hAnsi="Times New Roman" w:cs="Times New Roman"/>
                <w:sz w:val="24"/>
                <w:szCs w:val="24"/>
              </w:rPr>
              <w:t xml:space="preserve">Incapacidad para aceptar la responsabilidad de sus propios actos. </w:t>
            </w:r>
          </w:p>
        </w:tc>
      </w:tr>
      <w:tr w:rsidR="002A0212" w:rsidRPr="002A0212" w:rsidTr="00EC61B7">
        <w:trPr>
          <w:jc w:val="center"/>
        </w:trPr>
        <w:tc>
          <w:tcPr>
            <w:tcW w:w="2729" w:type="dxa"/>
            <w:vMerge w:val="restart"/>
            <w:vAlign w:val="center"/>
          </w:tcPr>
          <w:p w:rsidR="002A0212" w:rsidRPr="002A0212" w:rsidRDefault="002A0212" w:rsidP="002C24EE">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hAnsi="Times New Roman" w:cs="Times New Roman"/>
                <w:b/>
                <w:sz w:val="24"/>
                <w:szCs w:val="24"/>
              </w:rPr>
            </w:pPr>
            <w:r w:rsidRPr="002A0212">
              <w:rPr>
                <w:rFonts w:ascii="Times New Roman" w:hAnsi="Times New Roman" w:cs="Times New Roman"/>
                <w:b/>
                <w:sz w:val="24"/>
                <w:szCs w:val="24"/>
              </w:rPr>
              <w:t>Factor 2</w:t>
            </w:r>
          </w:p>
          <w:p w:rsidR="002A0212" w:rsidRPr="002A0212" w:rsidRDefault="00D1400B" w:rsidP="002C24EE">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hAnsi="Times New Roman" w:cs="Times New Roman"/>
                <w:b/>
                <w:sz w:val="24"/>
                <w:szCs w:val="24"/>
              </w:rPr>
            </w:pPr>
            <w:r>
              <w:rPr>
                <w:rFonts w:ascii="Times New Roman" w:hAnsi="Times New Roman" w:cs="Times New Roman"/>
                <w:b/>
                <w:sz w:val="24"/>
                <w:szCs w:val="24"/>
              </w:rPr>
              <w:t>Desviación social</w:t>
            </w:r>
          </w:p>
        </w:tc>
        <w:tc>
          <w:tcPr>
            <w:tcW w:w="2271" w:type="dxa"/>
            <w:vAlign w:val="center"/>
          </w:tcPr>
          <w:p w:rsidR="002A0212" w:rsidRPr="002A0212" w:rsidRDefault="002A0212"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sz w:val="24"/>
                <w:szCs w:val="24"/>
              </w:rPr>
            </w:pPr>
            <w:r w:rsidRPr="002A0212">
              <w:rPr>
                <w:rFonts w:ascii="Times New Roman" w:hAnsi="Times New Roman" w:cs="Times New Roman"/>
                <w:b/>
                <w:sz w:val="24"/>
                <w:szCs w:val="24"/>
              </w:rPr>
              <w:t>Faceta 3</w:t>
            </w:r>
          </w:p>
          <w:p w:rsidR="002A0212" w:rsidRPr="002A0212" w:rsidRDefault="002A0212" w:rsidP="00207D3C">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sz w:val="24"/>
                <w:szCs w:val="24"/>
              </w:rPr>
            </w:pPr>
            <w:r w:rsidRPr="002A0212">
              <w:rPr>
                <w:rFonts w:ascii="Times New Roman" w:hAnsi="Times New Roman" w:cs="Times New Roman"/>
                <w:b/>
                <w:sz w:val="24"/>
                <w:szCs w:val="24"/>
              </w:rPr>
              <w:t>Estilo Impulsivo/ Irresponsable</w:t>
            </w:r>
          </w:p>
        </w:tc>
        <w:tc>
          <w:tcPr>
            <w:tcW w:w="4992" w:type="dxa"/>
            <w:vAlign w:val="center"/>
          </w:tcPr>
          <w:p w:rsidR="002A0212" w:rsidRPr="002A0212" w:rsidRDefault="002A0212" w:rsidP="00763588">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sz w:val="24"/>
                <w:szCs w:val="24"/>
              </w:rPr>
              <w:t>3 -Necesidad de estimulación y tendencia al aburrimiento.</w:t>
            </w:r>
          </w:p>
          <w:p w:rsidR="002A0212" w:rsidRPr="002A0212" w:rsidRDefault="002A0212" w:rsidP="00763588">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sz w:val="24"/>
                <w:szCs w:val="24"/>
              </w:rPr>
              <w:t>9 -Estilo de vida parásito.</w:t>
            </w:r>
          </w:p>
          <w:p w:rsidR="002A0212" w:rsidRPr="002A0212" w:rsidRDefault="002A0212" w:rsidP="00763588">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sz w:val="24"/>
                <w:szCs w:val="24"/>
              </w:rPr>
              <w:t xml:space="preserve">13-Ausencia de metas realistas a largo plazo. </w:t>
            </w:r>
          </w:p>
          <w:p w:rsidR="002A0212" w:rsidRPr="002A0212" w:rsidRDefault="002A0212" w:rsidP="00763588">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sz w:val="24"/>
                <w:szCs w:val="24"/>
              </w:rPr>
              <w:t>14-Impulsividad.</w:t>
            </w:r>
          </w:p>
          <w:p w:rsidR="002A0212" w:rsidRPr="002A0212" w:rsidRDefault="002A0212" w:rsidP="002A0212">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sz w:val="24"/>
                <w:szCs w:val="24"/>
              </w:rPr>
              <w:t>15-Irresponsabilidad.</w:t>
            </w:r>
          </w:p>
        </w:tc>
      </w:tr>
      <w:tr w:rsidR="002A0212" w:rsidRPr="002A0212" w:rsidTr="00EC61B7">
        <w:trPr>
          <w:jc w:val="center"/>
        </w:trPr>
        <w:tc>
          <w:tcPr>
            <w:tcW w:w="2729" w:type="dxa"/>
            <w:vMerge/>
            <w:vAlign w:val="center"/>
          </w:tcPr>
          <w:p w:rsidR="002A0212" w:rsidRPr="002A0212" w:rsidRDefault="002A0212" w:rsidP="002C24EE">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hAnsi="Times New Roman" w:cs="Times New Roman"/>
                <w:b/>
                <w:sz w:val="24"/>
                <w:szCs w:val="24"/>
              </w:rPr>
            </w:pPr>
          </w:p>
        </w:tc>
        <w:tc>
          <w:tcPr>
            <w:tcW w:w="2271" w:type="dxa"/>
            <w:vAlign w:val="center"/>
          </w:tcPr>
          <w:p w:rsidR="002A0212" w:rsidRPr="002A0212" w:rsidRDefault="002A0212" w:rsidP="002A0212">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sz w:val="24"/>
                <w:szCs w:val="24"/>
              </w:rPr>
            </w:pPr>
            <w:r w:rsidRPr="002A0212">
              <w:rPr>
                <w:rFonts w:ascii="Times New Roman" w:hAnsi="Times New Roman" w:cs="Times New Roman"/>
                <w:b/>
                <w:sz w:val="24"/>
                <w:szCs w:val="24"/>
              </w:rPr>
              <w:t>Faceta 4</w:t>
            </w:r>
          </w:p>
          <w:p w:rsidR="002A0212" w:rsidRPr="002A0212" w:rsidRDefault="002A0212" w:rsidP="002A0212">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sz w:val="24"/>
                <w:szCs w:val="24"/>
              </w:rPr>
            </w:pPr>
            <w:r w:rsidRPr="002A0212">
              <w:rPr>
                <w:rFonts w:ascii="Times New Roman" w:hAnsi="Times New Roman" w:cs="Times New Roman"/>
                <w:b/>
                <w:sz w:val="24"/>
                <w:szCs w:val="24"/>
              </w:rPr>
              <w:t>Antisocial</w:t>
            </w:r>
          </w:p>
        </w:tc>
        <w:tc>
          <w:tcPr>
            <w:tcW w:w="4992" w:type="dxa"/>
          </w:tcPr>
          <w:p w:rsidR="002A0212" w:rsidRPr="002A0212" w:rsidRDefault="002A0212" w:rsidP="00FE15D7">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2A0212">
              <w:rPr>
                <w:rFonts w:ascii="Times New Roman" w:hAnsi="Times New Roman" w:cs="Times New Roman"/>
                <w:sz w:val="24"/>
                <w:szCs w:val="24"/>
              </w:rPr>
              <w:t>10-Pobre autocontrol de sus conductas.</w:t>
            </w:r>
          </w:p>
          <w:p w:rsidR="002A0212" w:rsidRPr="002A0212" w:rsidRDefault="002A0212" w:rsidP="00FE15D7">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2A0212">
              <w:rPr>
                <w:rFonts w:ascii="Times New Roman" w:hAnsi="Times New Roman" w:cs="Times New Roman"/>
                <w:sz w:val="24"/>
                <w:szCs w:val="24"/>
              </w:rPr>
              <w:t>12-Problemas de conducta en la infancia.</w:t>
            </w:r>
          </w:p>
          <w:p w:rsidR="002A0212" w:rsidRPr="002A0212" w:rsidRDefault="002A0212" w:rsidP="00FE15D7">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2A0212">
              <w:rPr>
                <w:rFonts w:ascii="Times New Roman" w:hAnsi="Times New Roman" w:cs="Times New Roman"/>
                <w:sz w:val="24"/>
                <w:szCs w:val="24"/>
              </w:rPr>
              <w:t>18-Delincuencia juvenil.</w:t>
            </w:r>
          </w:p>
          <w:p w:rsidR="002A0212" w:rsidRPr="002A0212" w:rsidRDefault="002A0212" w:rsidP="00FE15D7">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2A0212">
              <w:rPr>
                <w:rFonts w:ascii="Times New Roman" w:hAnsi="Times New Roman" w:cs="Times New Roman"/>
                <w:sz w:val="24"/>
                <w:szCs w:val="24"/>
              </w:rPr>
              <w:t>19-Revocación de la libertad condicional.</w:t>
            </w:r>
          </w:p>
          <w:p w:rsidR="002A0212" w:rsidRPr="002A0212" w:rsidRDefault="002A0212" w:rsidP="00FE15D7">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2A0212">
              <w:rPr>
                <w:rFonts w:ascii="Times New Roman" w:hAnsi="Times New Roman" w:cs="Times New Roman"/>
                <w:sz w:val="24"/>
                <w:szCs w:val="24"/>
              </w:rPr>
              <w:t>20-Versatilidad criminal.</w:t>
            </w:r>
          </w:p>
        </w:tc>
      </w:tr>
      <w:tr w:rsidR="002A0212" w:rsidRPr="00F21754" w:rsidTr="00EC61B7">
        <w:trPr>
          <w:jc w:val="center"/>
        </w:trPr>
        <w:tc>
          <w:tcPr>
            <w:tcW w:w="5000" w:type="dxa"/>
            <w:gridSpan w:val="2"/>
            <w:vAlign w:val="center"/>
          </w:tcPr>
          <w:p w:rsidR="002A0212" w:rsidRPr="002A0212" w:rsidRDefault="002A0212" w:rsidP="002C24EE">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sz w:val="24"/>
                <w:szCs w:val="24"/>
              </w:rPr>
            </w:pPr>
            <w:r w:rsidRPr="002A0212">
              <w:rPr>
                <w:rFonts w:ascii="Times New Roman" w:hAnsi="Times New Roman" w:cs="Times New Roman"/>
                <w:b/>
                <w:sz w:val="24"/>
                <w:szCs w:val="24"/>
              </w:rPr>
              <w:t>Ítems que no saturan en ningún factor ni faceta</w:t>
            </w:r>
          </w:p>
        </w:tc>
        <w:tc>
          <w:tcPr>
            <w:tcW w:w="4992" w:type="dxa"/>
          </w:tcPr>
          <w:p w:rsidR="002A0212" w:rsidRPr="002A0212" w:rsidRDefault="002A0212" w:rsidP="00FE15D7">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2A0212">
              <w:rPr>
                <w:rFonts w:ascii="Times New Roman" w:hAnsi="Times New Roman" w:cs="Times New Roman"/>
                <w:sz w:val="24"/>
                <w:szCs w:val="24"/>
              </w:rPr>
              <w:t>11-Conducta sexual promiscua.</w:t>
            </w:r>
          </w:p>
          <w:p w:rsidR="002A0212" w:rsidRPr="002A0212" w:rsidRDefault="002A0212" w:rsidP="00FE15D7">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hAnsi="Times New Roman" w:cs="Times New Roman"/>
                <w:sz w:val="24"/>
                <w:szCs w:val="24"/>
              </w:rPr>
            </w:pPr>
            <w:r w:rsidRPr="002A0212">
              <w:rPr>
                <w:rFonts w:ascii="Times New Roman" w:hAnsi="Times New Roman" w:cs="Times New Roman"/>
                <w:sz w:val="24"/>
                <w:szCs w:val="24"/>
              </w:rPr>
              <w:t xml:space="preserve">17-Frecuentes relaciones maritales de corta duración. </w:t>
            </w:r>
          </w:p>
        </w:tc>
      </w:tr>
    </w:tbl>
    <w:p w:rsidR="00547E3E" w:rsidRDefault="00547E3E"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Por otro lado, existe una versión reducida de este instrumento, el PCL-SV (</w:t>
      </w:r>
      <w:proofErr w:type="spellStart"/>
      <w:r w:rsidRPr="008B266E">
        <w:rPr>
          <w:rFonts w:ascii="Times New Roman" w:hAnsi="Times New Roman" w:cs="Times New Roman"/>
          <w:sz w:val="24"/>
          <w:szCs w:val="24"/>
        </w:rPr>
        <w:t>Screening</w:t>
      </w:r>
      <w:proofErr w:type="spellEnd"/>
      <w:r w:rsidRPr="008B266E">
        <w:rPr>
          <w:rFonts w:ascii="Times New Roman" w:hAnsi="Times New Roman" w:cs="Times New Roman"/>
          <w:sz w:val="24"/>
          <w:szCs w:val="24"/>
        </w:rPr>
        <w:t xml:space="preserve"> </w:t>
      </w:r>
      <w:proofErr w:type="spellStart"/>
      <w:r w:rsidRPr="008B266E">
        <w:rPr>
          <w:rFonts w:ascii="Times New Roman" w:hAnsi="Times New Roman" w:cs="Times New Roman"/>
          <w:sz w:val="24"/>
          <w:szCs w:val="24"/>
        </w:rPr>
        <w:t>Version</w:t>
      </w:r>
      <w:proofErr w:type="spellEnd"/>
      <w:r w:rsidRPr="008B266E">
        <w:rPr>
          <w:rFonts w:ascii="Times New Roman" w:hAnsi="Times New Roman" w:cs="Times New Roman"/>
          <w:sz w:val="24"/>
          <w:szCs w:val="24"/>
        </w:rPr>
        <w:t>), el cual contiene 12 ítems</w:t>
      </w:r>
      <w:r w:rsidR="003F5D5A" w:rsidRPr="008B266E">
        <w:rPr>
          <w:rFonts w:ascii="Times New Roman" w:hAnsi="Times New Roman" w:cs="Times New Roman"/>
          <w:sz w:val="24"/>
          <w:szCs w:val="24"/>
        </w:rPr>
        <w:t xml:space="preserve"> (Tabla 5)</w:t>
      </w:r>
      <w:r w:rsidRPr="008B266E">
        <w:rPr>
          <w:rFonts w:ascii="Times New Roman" w:hAnsi="Times New Roman" w:cs="Times New Roman"/>
          <w:sz w:val="24"/>
          <w:szCs w:val="24"/>
        </w:rPr>
        <w:t>, igualmente puntuados con una escala de 3 puntos (0, 1, 2), y las puntuaciones totales oscilan entre 0 y 24, siendo 18 la puntuación de corte para el diagnóstico de psicopatía (</w:t>
      </w:r>
      <w:proofErr w:type="spellStart"/>
      <w:r w:rsidR="009C0646" w:rsidRPr="008B266E">
        <w:rPr>
          <w:rFonts w:ascii="Times New Roman" w:hAnsi="Times New Roman" w:cs="Times New Roman"/>
          <w:sz w:val="24"/>
          <w:szCs w:val="24"/>
        </w:rPr>
        <w:t>Cuquerella</w:t>
      </w:r>
      <w:proofErr w:type="spellEnd"/>
      <w:r w:rsidR="009C0646" w:rsidRPr="008B266E">
        <w:rPr>
          <w:rFonts w:ascii="Times New Roman" w:hAnsi="Times New Roman" w:cs="Times New Roman"/>
          <w:sz w:val="24"/>
          <w:szCs w:val="24"/>
        </w:rPr>
        <w:t xml:space="preserve"> y </w:t>
      </w:r>
      <w:proofErr w:type="spellStart"/>
      <w:r w:rsidR="009C0646" w:rsidRPr="008B266E">
        <w:rPr>
          <w:rFonts w:ascii="Times New Roman" w:hAnsi="Times New Roman" w:cs="Times New Roman"/>
          <w:sz w:val="24"/>
          <w:szCs w:val="24"/>
        </w:rPr>
        <w:t>Torrubia</w:t>
      </w:r>
      <w:proofErr w:type="spellEnd"/>
      <w:r w:rsidR="009C0646" w:rsidRPr="008B266E">
        <w:rPr>
          <w:rFonts w:ascii="Times New Roman" w:hAnsi="Times New Roman" w:cs="Times New Roman"/>
          <w:sz w:val="24"/>
          <w:szCs w:val="24"/>
        </w:rPr>
        <w:t>, 2008</w:t>
      </w:r>
      <w:r w:rsidRPr="008B266E">
        <w:rPr>
          <w:rFonts w:ascii="Times New Roman" w:hAnsi="Times New Roman" w:cs="Times New Roman"/>
          <w:sz w:val="24"/>
          <w:szCs w:val="24"/>
        </w:rPr>
        <w:t>). Permite predecir la agresividad y violencia en criminales y población psiquiátrica forense y civil (</w:t>
      </w:r>
      <w:r w:rsidR="009C0646" w:rsidRPr="008B266E">
        <w:rPr>
          <w:rFonts w:ascii="Times New Roman" w:hAnsi="Times New Roman" w:cs="Times New Roman"/>
          <w:sz w:val="24"/>
          <w:szCs w:val="24"/>
          <w:lang w:val="es-ES"/>
        </w:rPr>
        <w:t>Hare y Neumann, 2006</w:t>
      </w:r>
      <w:r w:rsidRPr="008B266E">
        <w:rPr>
          <w:rFonts w:ascii="Times New Roman" w:hAnsi="Times New Roman" w:cs="Times New Roman"/>
          <w:sz w:val="24"/>
          <w:szCs w:val="24"/>
        </w:rPr>
        <w:t xml:space="preserve">). </w:t>
      </w:r>
    </w:p>
    <w:p w:rsidR="00547E3E" w:rsidRDefault="00547E3E" w:rsidP="00FE15D7">
      <w:pPr>
        <w:pStyle w:val="Cuerpo"/>
        <w:spacing w:line="360" w:lineRule="auto"/>
        <w:jc w:val="both"/>
        <w:rPr>
          <w:rFonts w:ascii="Times New Roman" w:hAnsi="Times New Roman" w:cs="Times New Roman"/>
          <w:sz w:val="24"/>
          <w:szCs w:val="24"/>
        </w:rPr>
      </w:pPr>
    </w:p>
    <w:p w:rsidR="00376ED2" w:rsidRDefault="00376ED2" w:rsidP="00FE15D7">
      <w:pPr>
        <w:pStyle w:val="Cuerpo"/>
        <w:spacing w:line="360" w:lineRule="auto"/>
        <w:jc w:val="both"/>
        <w:rPr>
          <w:rFonts w:ascii="Times New Roman" w:hAnsi="Times New Roman" w:cs="Times New Roman"/>
          <w:sz w:val="24"/>
          <w:szCs w:val="24"/>
        </w:rPr>
      </w:pPr>
      <w:r>
        <w:rPr>
          <w:rFonts w:ascii="Times New Roman" w:hAnsi="Times New Roman" w:cs="Times New Roman"/>
          <w:sz w:val="24"/>
          <w:szCs w:val="24"/>
        </w:rPr>
        <w:t>Tabla 5</w:t>
      </w:r>
    </w:p>
    <w:p w:rsidR="00376ED2" w:rsidRDefault="00376ED2" w:rsidP="00FE15D7">
      <w:pPr>
        <w:pStyle w:val="Cuerpo"/>
        <w:spacing w:line="360" w:lineRule="auto"/>
        <w:jc w:val="both"/>
        <w:rPr>
          <w:rFonts w:ascii="Times New Roman" w:hAnsi="Times New Roman" w:cs="Times New Roman"/>
          <w:sz w:val="24"/>
          <w:szCs w:val="24"/>
        </w:rPr>
      </w:pPr>
      <w:r w:rsidRPr="00376ED2">
        <w:rPr>
          <w:rFonts w:ascii="Times New Roman" w:hAnsi="Times New Roman" w:cs="Times New Roman"/>
          <w:i/>
          <w:iCs/>
          <w:sz w:val="24"/>
          <w:szCs w:val="24"/>
        </w:rPr>
        <w:t>Los 12 rasgos del PCL-SV</w:t>
      </w:r>
      <w:r>
        <w:rPr>
          <w:rFonts w:ascii="Times New Roman" w:hAnsi="Times New Roman" w:cs="Times New Roman"/>
          <w:sz w:val="24"/>
          <w:szCs w:val="24"/>
        </w:rPr>
        <w:t xml:space="preserve">. </w:t>
      </w:r>
      <w:proofErr w:type="spellStart"/>
      <w:r>
        <w:rPr>
          <w:rFonts w:ascii="Times New Roman" w:hAnsi="Times New Roman" w:cs="Times New Roman"/>
          <w:sz w:val="24"/>
          <w:szCs w:val="24"/>
        </w:rPr>
        <w:t>Cuquerella</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Torrubia</w:t>
      </w:r>
      <w:proofErr w:type="spellEnd"/>
      <w:r>
        <w:rPr>
          <w:rFonts w:ascii="Times New Roman" w:hAnsi="Times New Roman" w:cs="Times New Roman"/>
          <w:sz w:val="24"/>
          <w:szCs w:val="24"/>
        </w:rPr>
        <w:t xml:space="preserve"> (2008)</w:t>
      </w:r>
      <w:r w:rsidR="005B604A">
        <w:rPr>
          <w:rFonts w:ascii="Times New Roman" w:hAnsi="Times New Roman" w:cs="Times New Roman"/>
          <w:sz w:val="24"/>
          <w:szCs w:val="24"/>
        </w:rPr>
        <w:fldChar w:fldCharType="begin"/>
      </w:r>
      <w:r w:rsidR="005B604A">
        <w:instrText xml:space="preserve"> XE "</w:instrText>
      </w:r>
      <w:r w:rsidR="005B604A" w:rsidRPr="00FD4135">
        <w:rPr>
          <w:rFonts w:ascii="Times New Roman" w:hAnsi="Times New Roman" w:cs="Times New Roman"/>
          <w:i/>
          <w:iCs/>
          <w:sz w:val="24"/>
          <w:szCs w:val="24"/>
        </w:rPr>
        <w:instrText>Los 12 rasgos del PCL-SV</w:instrText>
      </w:r>
      <w:r w:rsidR="005B604A" w:rsidRPr="00FD4135">
        <w:rPr>
          <w:rFonts w:ascii="Times New Roman" w:hAnsi="Times New Roman" w:cs="Times New Roman"/>
          <w:sz w:val="24"/>
          <w:szCs w:val="24"/>
        </w:rPr>
        <w:instrText>. Cuquerella y Torrubia (2008)</w:instrText>
      </w:r>
      <w:r w:rsidR="005B604A">
        <w:instrText xml:space="preserve">" </w:instrText>
      </w:r>
      <w:r w:rsidR="005B604A">
        <w:rPr>
          <w:rFonts w:ascii="Times New Roman" w:hAnsi="Times New Roman" w:cs="Times New Roman"/>
          <w:sz w:val="24"/>
          <w:szCs w:val="24"/>
        </w:rPr>
        <w:fldChar w:fldCharType="end"/>
      </w:r>
    </w:p>
    <w:p w:rsidR="00547E3E" w:rsidRDefault="00547E3E" w:rsidP="00FE15D7">
      <w:pPr>
        <w:pStyle w:val="Cuerpo"/>
        <w:spacing w:line="360" w:lineRule="auto"/>
        <w:jc w:val="both"/>
        <w:rPr>
          <w:rFonts w:ascii="Times New Roman" w:hAnsi="Times New Roman" w:cs="Times New Roman"/>
          <w:sz w:val="24"/>
          <w:szCs w:val="24"/>
        </w:rPr>
      </w:pPr>
    </w:p>
    <w:tbl>
      <w:tblPr>
        <w:tblStyle w:val="Tablaconcuadrcula"/>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tblGrid>
      <w:tr w:rsidR="00C759CE" w:rsidTr="00EC61B7">
        <w:trPr>
          <w:jc w:val="center"/>
        </w:trPr>
        <w:tc>
          <w:tcPr>
            <w:tcW w:w="5353" w:type="dxa"/>
            <w:vAlign w:val="center"/>
          </w:tcPr>
          <w:p w:rsidR="00C759CE" w:rsidRPr="00C759CE" w:rsidRDefault="00C759CE" w:rsidP="00C759CE">
            <w:pPr>
              <w:pStyle w:val="Cuerpo"/>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sz w:val="28"/>
                <w:szCs w:val="28"/>
              </w:rPr>
            </w:pPr>
            <w:r w:rsidRPr="00C759CE">
              <w:rPr>
                <w:rFonts w:ascii="Times New Roman" w:hAnsi="Times New Roman" w:cs="Times New Roman"/>
                <w:b/>
                <w:sz w:val="28"/>
                <w:szCs w:val="28"/>
              </w:rPr>
              <w:t>PCL:SV</w:t>
            </w:r>
          </w:p>
        </w:tc>
      </w:tr>
      <w:tr w:rsidR="00C759CE" w:rsidRPr="00C759CE" w:rsidTr="00EC61B7">
        <w:trPr>
          <w:jc w:val="center"/>
        </w:trPr>
        <w:tc>
          <w:tcPr>
            <w:tcW w:w="5353" w:type="dxa"/>
            <w:vAlign w:val="center"/>
          </w:tcPr>
          <w:p w:rsidR="00C759CE" w:rsidRDefault="00C759CE"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Pr>
                <w:rFonts w:ascii="Times New Roman" w:hAnsi="Times New Roman" w:cs="Times New Roman"/>
                <w:sz w:val="24"/>
                <w:szCs w:val="24"/>
              </w:rPr>
              <w:t>Superficial</w:t>
            </w:r>
            <w:r w:rsidR="005F2033">
              <w:rPr>
                <w:rFonts w:ascii="Times New Roman" w:hAnsi="Times New Roman" w:cs="Times New Roman"/>
                <w:sz w:val="24"/>
                <w:szCs w:val="24"/>
              </w:rPr>
              <w:t>idad</w:t>
            </w:r>
          </w:p>
        </w:tc>
      </w:tr>
      <w:tr w:rsidR="00C759CE" w:rsidRPr="00C759CE" w:rsidTr="00EC61B7">
        <w:trPr>
          <w:jc w:val="center"/>
        </w:trPr>
        <w:tc>
          <w:tcPr>
            <w:tcW w:w="5353" w:type="dxa"/>
            <w:vAlign w:val="center"/>
          </w:tcPr>
          <w:p w:rsidR="00C759CE" w:rsidRDefault="00C759CE"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Pr>
                <w:rFonts w:ascii="Times New Roman" w:hAnsi="Times New Roman" w:cs="Times New Roman"/>
                <w:sz w:val="24"/>
                <w:szCs w:val="24"/>
              </w:rPr>
              <w:t>Grandios</w:t>
            </w:r>
            <w:r w:rsidR="005F2033">
              <w:rPr>
                <w:rFonts w:ascii="Times New Roman" w:hAnsi="Times New Roman" w:cs="Times New Roman"/>
                <w:sz w:val="24"/>
                <w:szCs w:val="24"/>
              </w:rPr>
              <w:t>idad</w:t>
            </w:r>
          </w:p>
        </w:tc>
      </w:tr>
      <w:tr w:rsidR="00C759CE" w:rsidRPr="00C759CE" w:rsidTr="00EC61B7">
        <w:trPr>
          <w:jc w:val="center"/>
        </w:trPr>
        <w:tc>
          <w:tcPr>
            <w:tcW w:w="5353" w:type="dxa"/>
            <w:vAlign w:val="center"/>
          </w:tcPr>
          <w:p w:rsidR="00C759CE" w:rsidRDefault="005F2033"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Pr>
                <w:rFonts w:ascii="Times New Roman" w:hAnsi="Times New Roman" w:cs="Times New Roman"/>
                <w:sz w:val="24"/>
                <w:szCs w:val="24"/>
              </w:rPr>
              <w:t>Mentiroso</w:t>
            </w:r>
          </w:p>
        </w:tc>
      </w:tr>
      <w:tr w:rsidR="00C759CE" w:rsidRPr="00C759CE" w:rsidTr="00EC61B7">
        <w:trPr>
          <w:jc w:val="center"/>
        </w:trPr>
        <w:tc>
          <w:tcPr>
            <w:tcW w:w="5353" w:type="dxa"/>
            <w:vAlign w:val="center"/>
          </w:tcPr>
          <w:p w:rsidR="00C759CE" w:rsidRDefault="005F2033"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Pr>
                <w:rFonts w:ascii="Times New Roman" w:hAnsi="Times New Roman" w:cs="Times New Roman"/>
                <w:sz w:val="24"/>
                <w:szCs w:val="24"/>
              </w:rPr>
              <w:lastRenderedPageBreak/>
              <w:t>Falta de remordimiento</w:t>
            </w:r>
          </w:p>
        </w:tc>
      </w:tr>
      <w:tr w:rsidR="00C759CE" w:rsidRPr="00C759CE" w:rsidTr="00EC61B7">
        <w:trPr>
          <w:jc w:val="center"/>
        </w:trPr>
        <w:tc>
          <w:tcPr>
            <w:tcW w:w="5353" w:type="dxa"/>
            <w:vAlign w:val="center"/>
          </w:tcPr>
          <w:p w:rsidR="00C759CE" w:rsidRDefault="005F2033"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Pr>
                <w:rFonts w:ascii="Times New Roman" w:hAnsi="Times New Roman" w:cs="Times New Roman"/>
                <w:sz w:val="24"/>
                <w:szCs w:val="24"/>
              </w:rPr>
              <w:t>Falta de empatía</w:t>
            </w:r>
          </w:p>
        </w:tc>
      </w:tr>
      <w:tr w:rsidR="00C759CE" w:rsidRPr="00F21754" w:rsidTr="00EC61B7">
        <w:trPr>
          <w:jc w:val="center"/>
        </w:trPr>
        <w:tc>
          <w:tcPr>
            <w:tcW w:w="5353" w:type="dxa"/>
            <w:vAlign w:val="center"/>
          </w:tcPr>
          <w:p w:rsidR="00C759CE" w:rsidRDefault="005F2033"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sidRPr="002A0212">
              <w:rPr>
                <w:rFonts w:ascii="Times New Roman" w:hAnsi="Times New Roman" w:cs="Times New Roman"/>
                <w:sz w:val="24"/>
                <w:szCs w:val="24"/>
              </w:rPr>
              <w:t xml:space="preserve">Incapacidad para aceptar la responsabilidad </w:t>
            </w:r>
          </w:p>
        </w:tc>
      </w:tr>
      <w:tr w:rsidR="00C759CE" w:rsidRPr="00C759CE" w:rsidTr="00EC61B7">
        <w:trPr>
          <w:jc w:val="center"/>
        </w:trPr>
        <w:tc>
          <w:tcPr>
            <w:tcW w:w="5353" w:type="dxa"/>
            <w:vAlign w:val="center"/>
          </w:tcPr>
          <w:p w:rsidR="00C759CE" w:rsidRDefault="005F2033"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Pr>
                <w:rFonts w:ascii="Times New Roman" w:hAnsi="Times New Roman" w:cs="Times New Roman"/>
                <w:sz w:val="24"/>
                <w:szCs w:val="24"/>
              </w:rPr>
              <w:t>Impulsividad</w:t>
            </w:r>
          </w:p>
        </w:tc>
      </w:tr>
      <w:tr w:rsidR="00C759CE" w:rsidRPr="00F21754" w:rsidTr="00EC61B7">
        <w:trPr>
          <w:jc w:val="center"/>
        </w:trPr>
        <w:tc>
          <w:tcPr>
            <w:tcW w:w="5353" w:type="dxa"/>
            <w:vAlign w:val="center"/>
          </w:tcPr>
          <w:p w:rsidR="00C759CE" w:rsidRDefault="005F2033"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Pr>
                <w:rFonts w:ascii="Times New Roman" w:hAnsi="Times New Roman" w:cs="Times New Roman"/>
                <w:sz w:val="24"/>
                <w:szCs w:val="24"/>
              </w:rPr>
              <w:t>Pobre autocontrol de su conducta</w:t>
            </w:r>
          </w:p>
        </w:tc>
      </w:tr>
      <w:tr w:rsidR="00C759CE" w:rsidRPr="00C759CE" w:rsidTr="00EC61B7">
        <w:trPr>
          <w:jc w:val="center"/>
        </w:trPr>
        <w:tc>
          <w:tcPr>
            <w:tcW w:w="5353" w:type="dxa"/>
            <w:vAlign w:val="center"/>
          </w:tcPr>
          <w:p w:rsidR="00C759CE" w:rsidRDefault="005F2033"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Pr>
                <w:rFonts w:ascii="Times New Roman" w:hAnsi="Times New Roman" w:cs="Times New Roman"/>
                <w:sz w:val="24"/>
                <w:szCs w:val="24"/>
              </w:rPr>
              <w:t>Ausencia de metas</w:t>
            </w:r>
          </w:p>
        </w:tc>
      </w:tr>
      <w:tr w:rsidR="00C759CE" w:rsidRPr="00C759CE" w:rsidTr="00EC61B7">
        <w:trPr>
          <w:jc w:val="center"/>
        </w:trPr>
        <w:tc>
          <w:tcPr>
            <w:tcW w:w="5353" w:type="dxa"/>
            <w:vAlign w:val="center"/>
          </w:tcPr>
          <w:p w:rsidR="00C759CE" w:rsidRDefault="005F2033"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Pr>
                <w:rFonts w:ascii="Times New Roman" w:hAnsi="Times New Roman" w:cs="Times New Roman"/>
                <w:sz w:val="24"/>
                <w:szCs w:val="24"/>
              </w:rPr>
              <w:t>Irresponsabilidad</w:t>
            </w:r>
          </w:p>
        </w:tc>
      </w:tr>
      <w:tr w:rsidR="00C759CE" w:rsidRPr="00C759CE" w:rsidTr="00EC61B7">
        <w:trPr>
          <w:jc w:val="center"/>
        </w:trPr>
        <w:tc>
          <w:tcPr>
            <w:tcW w:w="5353" w:type="dxa"/>
            <w:vAlign w:val="center"/>
          </w:tcPr>
          <w:p w:rsidR="00C759CE" w:rsidRDefault="005F2033"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Pr>
                <w:rFonts w:ascii="Times New Roman" w:hAnsi="Times New Roman" w:cs="Times New Roman"/>
                <w:sz w:val="24"/>
                <w:szCs w:val="24"/>
              </w:rPr>
              <w:t>Comportamiento antisocial adolescente</w:t>
            </w:r>
          </w:p>
        </w:tc>
      </w:tr>
      <w:tr w:rsidR="00C759CE" w:rsidRPr="00C759CE" w:rsidTr="00EC61B7">
        <w:trPr>
          <w:jc w:val="center"/>
        </w:trPr>
        <w:tc>
          <w:tcPr>
            <w:tcW w:w="5353" w:type="dxa"/>
            <w:vAlign w:val="center"/>
          </w:tcPr>
          <w:p w:rsidR="00C759CE" w:rsidRDefault="005F2033" w:rsidP="00C759CE">
            <w:pPr>
              <w:pStyle w:val="Cuerpo"/>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sz w:val="24"/>
                <w:szCs w:val="24"/>
              </w:rPr>
            </w:pPr>
            <w:r>
              <w:rPr>
                <w:rFonts w:ascii="Times New Roman" w:hAnsi="Times New Roman" w:cs="Times New Roman"/>
                <w:sz w:val="24"/>
                <w:szCs w:val="24"/>
              </w:rPr>
              <w:t>Comportamiento antisocial adulto</w:t>
            </w:r>
          </w:p>
        </w:tc>
      </w:tr>
    </w:tbl>
    <w:p w:rsidR="00E34AC1" w:rsidRPr="00FE15D7" w:rsidRDefault="00E34AC1" w:rsidP="00FE15D7">
      <w:pPr>
        <w:pStyle w:val="Cuerpo"/>
        <w:spacing w:line="360" w:lineRule="auto"/>
        <w:jc w:val="both"/>
        <w:rPr>
          <w:rFonts w:ascii="Times New Roman" w:hAnsi="Times New Roman" w:cs="Times New Roman"/>
          <w:sz w:val="24"/>
          <w:szCs w:val="24"/>
        </w:rPr>
      </w:pPr>
    </w:p>
    <w:p w:rsidR="00E34AC1"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Diagnosticar y etiquetar a un sujeto con psicopatía tiene importantes repercusiones jurídico-sociales, ya que un falso positivo provocaría la estigmatización de dich</w:t>
      </w:r>
      <w:r w:rsidR="00FE15D7" w:rsidRPr="008B266E">
        <w:rPr>
          <w:rFonts w:ascii="Times New Roman" w:hAnsi="Times New Roman" w:cs="Times New Roman"/>
          <w:sz w:val="24"/>
          <w:szCs w:val="24"/>
        </w:rPr>
        <w:t>o</w:t>
      </w:r>
      <w:r w:rsidRPr="008B266E">
        <w:rPr>
          <w:rFonts w:ascii="Times New Roman" w:hAnsi="Times New Roman" w:cs="Times New Roman"/>
          <w:sz w:val="24"/>
          <w:szCs w:val="24"/>
        </w:rPr>
        <w:t xml:space="preserve"> sujeto y un falso negativo aumentaría el riesgo delictivo en la sociedad (M</w:t>
      </w:r>
      <w:r w:rsidR="009C0646" w:rsidRPr="008B266E">
        <w:rPr>
          <w:rFonts w:ascii="Times New Roman" w:hAnsi="Times New Roman" w:cs="Times New Roman"/>
          <w:sz w:val="24"/>
          <w:szCs w:val="24"/>
        </w:rPr>
        <w:t>uñoz, 2011</w:t>
      </w:r>
      <w:r w:rsidRPr="008B266E">
        <w:rPr>
          <w:rFonts w:ascii="Times New Roman" w:hAnsi="Times New Roman" w:cs="Times New Roman"/>
          <w:sz w:val="24"/>
          <w:szCs w:val="24"/>
        </w:rPr>
        <w:t>). Por esto, es fundamental que el evaluador presente una formación especializada en el instrumento de evaluación y conozca los principios y limitaciones de éste (</w:t>
      </w:r>
      <w:r w:rsidR="009C0646" w:rsidRPr="008B266E">
        <w:rPr>
          <w:rFonts w:ascii="Times New Roman" w:hAnsi="Times New Roman" w:cs="Times New Roman"/>
          <w:sz w:val="24"/>
          <w:szCs w:val="24"/>
          <w:lang w:val="es-ES"/>
        </w:rPr>
        <w:t>Hare y Neumann, 2006</w:t>
      </w:r>
      <w:r w:rsidRPr="008B266E">
        <w:rPr>
          <w:rFonts w:ascii="Times New Roman" w:hAnsi="Times New Roman" w:cs="Times New Roman"/>
          <w:sz w:val="24"/>
          <w:szCs w:val="24"/>
        </w:rPr>
        <w:t>).</w:t>
      </w:r>
    </w:p>
    <w:p w:rsidR="00111D44" w:rsidRDefault="00111D44" w:rsidP="00FE15D7">
      <w:pPr>
        <w:pStyle w:val="Cuerpo"/>
        <w:spacing w:line="360" w:lineRule="auto"/>
        <w:jc w:val="both"/>
        <w:rPr>
          <w:rFonts w:ascii="Times New Roman" w:hAnsi="Times New Roman" w:cs="Times New Roman"/>
          <w:sz w:val="24"/>
          <w:szCs w:val="24"/>
        </w:rPr>
      </w:pPr>
    </w:p>
    <w:p w:rsidR="00111D44" w:rsidRPr="008B266E" w:rsidRDefault="00111D44" w:rsidP="00FE15D7">
      <w:pPr>
        <w:pStyle w:val="Cuerpo"/>
        <w:spacing w:line="360" w:lineRule="auto"/>
        <w:jc w:val="both"/>
        <w:rPr>
          <w:rFonts w:ascii="Times New Roman" w:hAnsi="Times New Roman" w:cs="Times New Roman"/>
          <w:sz w:val="24"/>
          <w:szCs w:val="24"/>
        </w:rPr>
      </w:pPr>
      <w:r>
        <w:rPr>
          <w:rFonts w:ascii="Times New Roman" w:hAnsi="Times New Roman" w:cs="Times New Roman"/>
          <w:sz w:val="24"/>
          <w:szCs w:val="24"/>
        </w:rPr>
        <w:t>La clasificación</w:t>
      </w:r>
      <w:r w:rsidR="00207D3C">
        <w:rPr>
          <w:rFonts w:ascii="Times New Roman" w:hAnsi="Times New Roman" w:cs="Times New Roman"/>
          <w:sz w:val="24"/>
          <w:szCs w:val="24"/>
        </w:rPr>
        <w:t xml:space="preserve"> o no</w:t>
      </w:r>
      <w:r>
        <w:rPr>
          <w:rFonts w:ascii="Times New Roman" w:hAnsi="Times New Roman" w:cs="Times New Roman"/>
          <w:sz w:val="24"/>
          <w:szCs w:val="24"/>
        </w:rPr>
        <w:t xml:space="preserve"> del sujeto </w:t>
      </w:r>
      <w:r w:rsidR="00207D3C">
        <w:rPr>
          <w:rFonts w:ascii="Times New Roman" w:hAnsi="Times New Roman" w:cs="Times New Roman"/>
          <w:sz w:val="24"/>
          <w:szCs w:val="24"/>
        </w:rPr>
        <w:t>como</w:t>
      </w:r>
      <w:r>
        <w:rPr>
          <w:rFonts w:ascii="Times New Roman" w:hAnsi="Times New Roman" w:cs="Times New Roman"/>
          <w:sz w:val="24"/>
          <w:szCs w:val="24"/>
        </w:rPr>
        <w:t xml:space="preserve"> psicópata a través de la evaluación es determinante a la hora de valorar la imputabilidad de los actos delictivos cometidos por éste, a continuación</w:t>
      </w:r>
      <w:r w:rsidR="00207D3C">
        <w:rPr>
          <w:rFonts w:ascii="Times New Roman" w:hAnsi="Times New Roman" w:cs="Times New Roman"/>
          <w:sz w:val="24"/>
          <w:szCs w:val="24"/>
        </w:rPr>
        <w:t xml:space="preserve"> se señalan</w:t>
      </w:r>
      <w:r>
        <w:rPr>
          <w:rFonts w:ascii="Times New Roman" w:hAnsi="Times New Roman" w:cs="Times New Roman"/>
          <w:sz w:val="24"/>
          <w:szCs w:val="24"/>
        </w:rPr>
        <w:t xml:space="preserve"> las diferentes </w:t>
      </w:r>
      <w:r w:rsidR="00207D3C">
        <w:rPr>
          <w:rFonts w:ascii="Times New Roman" w:hAnsi="Times New Roman" w:cs="Times New Roman"/>
          <w:sz w:val="24"/>
          <w:szCs w:val="24"/>
        </w:rPr>
        <w:t>posibilidades</w:t>
      </w:r>
      <w:r>
        <w:rPr>
          <w:rFonts w:ascii="Times New Roman" w:hAnsi="Times New Roman" w:cs="Times New Roman"/>
          <w:sz w:val="24"/>
          <w:szCs w:val="24"/>
        </w:rPr>
        <w:t xml:space="preserve">. </w:t>
      </w:r>
    </w:p>
    <w:p w:rsidR="00E34AC1" w:rsidRPr="008B266E" w:rsidRDefault="00E34AC1" w:rsidP="00FE15D7">
      <w:pPr>
        <w:pStyle w:val="Cuerpo"/>
        <w:spacing w:line="360" w:lineRule="auto"/>
        <w:jc w:val="both"/>
        <w:rPr>
          <w:rFonts w:ascii="Times New Roman" w:hAnsi="Times New Roman" w:cs="Times New Roman"/>
          <w:sz w:val="24"/>
          <w:szCs w:val="24"/>
        </w:rPr>
      </w:pPr>
    </w:p>
    <w:p w:rsidR="00E34AC1" w:rsidRPr="008B266E" w:rsidRDefault="007D4A36" w:rsidP="008C4771">
      <w:pPr>
        <w:pStyle w:val="Cuerpo"/>
        <w:spacing w:line="360" w:lineRule="auto"/>
        <w:jc w:val="both"/>
        <w:rPr>
          <w:rFonts w:ascii="Times New Roman" w:hAnsi="Times New Roman" w:cs="Times New Roman"/>
          <w:b/>
          <w:bCs/>
          <w:sz w:val="24"/>
          <w:szCs w:val="24"/>
        </w:rPr>
      </w:pPr>
      <w:r w:rsidRPr="008B266E">
        <w:rPr>
          <w:rFonts w:ascii="Times New Roman" w:hAnsi="Times New Roman" w:cs="Times New Roman"/>
          <w:b/>
          <w:bCs/>
          <w:sz w:val="24"/>
          <w:szCs w:val="24"/>
        </w:rPr>
        <w:t>Imputabilidad en la psicopatía</w:t>
      </w:r>
      <w:r w:rsidR="005F2033" w:rsidRPr="008B266E">
        <w:rPr>
          <w:rFonts w:ascii="Times New Roman" w:hAnsi="Times New Roman" w:cs="Times New Roman"/>
          <w:b/>
          <w:bCs/>
          <w:sz w:val="24"/>
          <w:szCs w:val="24"/>
        </w:rPr>
        <w:fldChar w:fldCharType="begin"/>
      </w:r>
      <w:r w:rsidR="005F2033" w:rsidRPr="008B266E">
        <w:instrText xml:space="preserve"> XE "</w:instrText>
      </w:r>
      <w:r w:rsidR="005F2033" w:rsidRPr="008B266E">
        <w:rPr>
          <w:rFonts w:ascii="Times New Roman" w:hAnsi="Times New Roman" w:cs="Times New Roman"/>
          <w:b/>
          <w:bCs/>
          <w:sz w:val="24"/>
          <w:szCs w:val="24"/>
        </w:rPr>
        <w:instrText>Imputabilidad en la psicopatía</w:instrText>
      </w:r>
      <w:r w:rsidR="005F2033" w:rsidRPr="008B266E">
        <w:instrText xml:space="preserve">" </w:instrText>
      </w:r>
      <w:r w:rsidR="005F2033" w:rsidRPr="008B266E">
        <w:rPr>
          <w:rFonts w:ascii="Times New Roman" w:hAnsi="Times New Roman" w:cs="Times New Roman"/>
          <w:b/>
          <w:bCs/>
          <w:sz w:val="24"/>
          <w:szCs w:val="24"/>
        </w:rPr>
        <w:fldChar w:fldCharType="end"/>
      </w:r>
    </w:p>
    <w:p w:rsidR="00E34AC1" w:rsidRPr="008B266E" w:rsidRDefault="00E34AC1"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Existe una íntima relación entre la violencia y la psicopatía, ya que muchas de las características que son importantes para la inhibición de la conducta violenta y antisocial como la empatía, la capacidad para establecer vínculos, el miedo al castigo y los sentimientos de culpa, se encuentran seriamente disminuidas o ausentes en los psicópatas (</w:t>
      </w:r>
      <w:proofErr w:type="spellStart"/>
      <w:r w:rsidR="009C0646" w:rsidRPr="008B266E">
        <w:rPr>
          <w:rFonts w:ascii="Times New Roman" w:hAnsi="Times New Roman" w:cs="Times New Roman"/>
          <w:sz w:val="24"/>
          <w:szCs w:val="24"/>
        </w:rPr>
        <w:t>Pozueco</w:t>
      </w:r>
      <w:proofErr w:type="spellEnd"/>
      <w:r w:rsidR="009C0646" w:rsidRPr="008B266E">
        <w:rPr>
          <w:rFonts w:ascii="Times New Roman" w:hAnsi="Times New Roman" w:cs="Times New Roman"/>
          <w:sz w:val="24"/>
          <w:szCs w:val="24"/>
        </w:rPr>
        <w:t xml:space="preserve"> et. al, 2011</w:t>
      </w:r>
      <w:r w:rsidRPr="008B266E">
        <w:rPr>
          <w:rFonts w:ascii="Times New Roman" w:hAnsi="Times New Roman" w:cs="Times New Roman"/>
          <w:sz w:val="24"/>
          <w:szCs w:val="24"/>
        </w:rPr>
        <w:t>). El psicópata tiene tres veces más posibilidades de reincidencia delictiva y el doble de probabilidad de riesgo de criminalidad violenta (</w:t>
      </w:r>
      <w:r w:rsidR="009C0646" w:rsidRPr="008B266E">
        <w:rPr>
          <w:rFonts w:ascii="Times New Roman" w:hAnsi="Times New Roman" w:cs="Times New Roman"/>
          <w:sz w:val="24"/>
          <w:szCs w:val="24"/>
        </w:rPr>
        <w:t>Muñoz, 2011</w:t>
      </w:r>
      <w:r w:rsidRPr="008B266E">
        <w:rPr>
          <w:rFonts w:ascii="Times New Roman" w:hAnsi="Times New Roman" w:cs="Times New Roman"/>
          <w:sz w:val="24"/>
          <w:szCs w:val="24"/>
        </w:rPr>
        <w:t>; P</w:t>
      </w:r>
      <w:r w:rsidR="009C0646" w:rsidRPr="008B266E">
        <w:rPr>
          <w:rFonts w:ascii="Times New Roman" w:hAnsi="Times New Roman" w:cs="Times New Roman"/>
          <w:sz w:val="24"/>
          <w:szCs w:val="24"/>
        </w:rPr>
        <w:t>intado, 2019</w:t>
      </w:r>
      <w:r w:rsidRPr="008B266E">
        <w:rPr>
          <w:rFonts w:ascii="Times New Roman" w:hAnsi="Times New Roman" w:cs="Times New Roman"/>
          <w:sz w:val="24"/>
          <w:szCs w:val="24"/>
        </w:rPr>
        <w:t>).</w:t>
      </w:r>
    </w:p>
    <w:p w:rsidR="00E34AC1" w:rsidRPr="008B266E" w:rsidRDefault="00E34AC1"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La imputabilidad es un concepto jurídico que se define como la existencia de la posibilidad de elección de conducta, que permite hacer responsable al autor de la comisión de un hecho ilícito, es decir, las facultades mínimas para poder considerar a un sujeto culpable del acto antijurídico</w:t>
      </w:r>
      <w:r w:rsidR="00547E3E" w:rsidRPr="008B266E">
        <w:rPr>
          <w:rFonts w:ascii="Times New Roman" w:hAnsi="Times New Roman" w:cs="Times New Roman"/>
          <w:sz w:val="24"/>
          <w:szCs w:val="24"/>
        </w:rPr>
        <w:t xml:space="preserve"> (</w:t>
      </w:r>
      <w:r w:rsidRPr="008B266E">
        <w:rPr>
          <w:rFonts w:ascii="Times New Roman" w:hAnsi="Times New Roman" w:cs="Times New Roman"/>
          <w:sz w:val="24"/>
          <w:szCs w:val="24"/>
        </w:rPr>
        <w:t xml:space="preserve">Molina, </w:t>
      </w:r>
      <w:proofErr w:type="spellStart"/>
      <w:r w:rsidRPr="008B266E">
        <w:rPr>
          <w:rFonts w:ascii="Times New Roman" w:hAnsi="Times New Roman" w:cs="Times New Roman"/>
          <w:sz w:val="24"/>
          <w:szCs w:val="24"/>
        </w:rPr>
        <w:t>Trabazo</w:t>
      </w:r>
      <w:proofErr w:type="spellEnd"/>
      <w:r w:rsidRPr="008B266E">
        <w:rPr>
          <w:rFonts w:ascii="Times New Roman" w:hAnsi="Times New Roman" w:cs="Times New Roman"/>
          <w:sz w:val="24"/>
          <w:szCs w:val="24"/>
        </w:rPr>
        <w:t xml:space="preserve"> y López, 2009; </w:t>
      </w:r>
      <w:r w:rsidR="008C4771" w:rsidRPr="008B266E">
        <w:rPr>
          <w:rFonts w:ascii="Times New Roman" w:hAnsi="Times New Roman" w:cs="Times New Roman"/>
          <w:sz w:val="24"/>
          <w:szCs w:val="24"/>
        </w:rPr>
        <w:t xml:space="preserve">Núñez y López, 2009; Pintado, 2019; </w:t>
      </w:r>
      <w:proofErr w:type="spellStart"/>
      <w:r w:rsidRPr="008B266E">
        <w:rPr>
          <w:rFonts w:ascii="Times New Roman" w:hAnsi="Times New Roman" w:cs="Times New Roman"/>
          <w:sz w:val="24"/>
          <w:szCs w:val="24"/>
        </w:rPr>
        <w:t>Pozueco</w:t>
      </w:r>
      <w:proofErr w:type="spellEnd"/>
      <w:r w:rsidRPr="008B266E">
        <w:rPr>
          <w:rFonts w:ascii="Times New Roman" w:hAnsi="Times New Roman" w:cs="Times New Roman"/>
          <w:sz w:val="24"/>
          <w:szCs w:val="24"/>
        </w:rPr>
        <w:t xml:space="preserve"> </w:t>
      </w:r>
      <w:r w:rsidR="00017D6D" w:rsidRPr="008B266E">
        <w:rPr>
          <w:rFonts w:ascii="Times New Roman" w:hAnsi="Times New Roman" w:cs="Times New Roman"/>
          <w:sz w:val="24"/>
          <w:szCs w:val="24"/>
        </w:rPr>
        <w:t>et. al</w:t>
      </w:r>
      <w:r w:rsidRPr="008B266E">
        <w:rPr>
          <w:rFonts w:ascii="Times New Roman" w:hAnsi="Times New Roman" w:cs="Times New Roman"/>
          <w:sz w:val="24"/>
          <w:szCs w:val="24"/>
        </w:rPr>
        <w:t>, 2011</w:t>
      </w:r>
      <w:r w:rsidR="008C4771" w:rsidRPr="008B266E">
        <w:rPr>
          <w:rFonts w:ascii="Times New Roman" w:hAnsi="Times New Roman" w:cs="Times New Roman"/>
          <w:sz w:val="24"/>
          <w:szCs w:val="24"/>
        </w:rPr>
        <w:t>; Vargas-Oviedo, 2017</w:t>
      </w:r>
      <w:r w:rsidRPr="008B266E">
        <w:rPr>
          <w:rFonts w:ascii="Times New Roman" w:hAnsi="Times New Roman" w:cs="Times New Roman"/>
          <w:sz w:val="24"/>
          <w:szCs w:val="24"/>
        </w:rPr>
        <w:t xml:space="preserve">). Para que exista una modificación en la imputabilidad del sujeto, sus capacidades cognoscitivas y volitivas han debido verse alteradas en mayor o menor medida </w:t>
      </w:r>
      <w:r w:rsidRPr="008B266E">
        <w:rPr>
          <w:rFonts w:ascii="Times New Roman" w:hAnsi="Times New Roman" w:cs="Times New Roman"/>
          <w:sz w:val="24"/>
          <w:szCs w:val="24"/>
        </w:rPr>
        <w:lastRenderedPageBreak/>
        <w:t>(</w:t>
      </w:r>
      <w:proofErr w:type="spellStart"/>
      <w:r w:rsidR="009C0646" w:rsidRPr="008B266E">
        <w:rPr>
          <w:rFonts w:ascii="Times New Roman" w:hAnsi="Times New Roman" w:cs="Times New Roman"/>
          <w:sz w:val="24"/>
          <w:szCs w:val="24"/>
        </w:rPr>
        <w:t>Pozueco</w:t>
      </w:r>
      <w:proofErr w:type="spellEnd"/>
      <w:r w:rsidR="009C0646" w:rsidRPr="008B266E">
        <w:rPr>
          <w:rFonts w:ascii="Times New Roman" w:hAnsi="Times New Roman" w:cs="Times New Roman"/>
          <w:sz w:val="24"/>
          <w:szCs w:val="24"/>
        </w:rPr>
        <w:t xml:space="preserve"> et. al, 2011</w:t>
      </w:r>
      <w:r w:rsidRPr="008B266E">
        <w:rPr>
          <w:rFonts w:ascii="Times New Roman" w:hAnsi="Times New Roman" w:cs="Times New Roman"/>
          <w:sz w:val="24"/>
          <w:szCs w:val="24"/>
        </w:rPr>
        <w:t>). La capacidad cognoscitiva, hace referencia a la capacidad que un sujeto posee para captar los aspectos de la realidad a través de los sentidos y comprenderlos, apreciando la criminalidad y lo injusto de su conducta (M</w:t>
      </w:r>
      <w:r w:rsidR="009C0646" w:rsidRPr="008B266E">
        <w:rPr>
          <w:rFonts w:ascii="Times New Roman" w:hAnsi="Times New Roman" w:cs="Times New Roman"/>
          <w:sz w:val="24"/>
          <w:szCs w:val="24"/>
        </w:rPr>
        <w:t>olina</w:t>
      </w:r>
      <w:r w:rsidR="00017D6D" w:rsidRPr="008B266E">
        <w:rPr>
          <w:rFonts w:ascii="Times New Roman" w:hAnsi="Times New Roman" w:cs="Times New Roman"/>
          <w:sz w:val="24"/>
          <w:szCs w:val="24"/>
        </w:rPr>
        <w:t xml:space="preserve"> et al.</w:t>
      </w:r>
      <w:r w:rsidR="009C0646" w:rsidRPr="008B266E">
        <w:rPr>
          <w:rFonts w:ascii="Times New Roman" w:hAnsi="Times New Roman" w:cs="Times New Roman"/>
          <w:sz w:val="24"/>
          <w:szCs w:val="24"/>
        </w:rPr>
        <w:t>,</w:t>
      </w:r>
      <w:r w:rsidR="00017D6D" w:rsidRPr="008B266E">
        <w:rPr>
          <w:rFonts w:ascii="Times New Roman" w:hAnsi="Times New Roman" w:cs="Times New Roman"/>
          <w:sz w:val="24"/>
          <w:szCs w:val="24"/>
        </w:rPr>
        <w:t xml:space="preserve"> </w:t>
      </w:r>
      <w:r w:rsidR="009C0646" w:rsidRPr="008B266E">
        <w:rPr>
          <w:rFonts w:ascii="Times New Roman" w:hAnsi="Times New Roman" w:cs="Times New Roman"/>
          <w:sz w:val="24"/>
          <w:szCs w:val="24"/>
        </w:rPr>
        <w:t>2009</w:t>
      </w:r>
      <w:r w:rsidRPr="008B266E">
        <w:rPr>
          <w:rFonts w:ascii="Times New Roman" w:hAnsi="Times New Roman" w:cs="Times New Roman"/>
          <w:sz w:val="24"/>
          <w:szCs w:val="24"/>
        </w:rPr>
        <w:t>; N</w:t>
      </w:r>
      <w:r w:rsidR="009C0646" w:rsidRPr="008B266E">
        <w:rPr>
          <w:rFonts w:ascii="Times New Roman" w:hAnsi="Times New Roman" w:cs="Times New Roman"/>
          <w:sz w:val="24"/>
          <w:szCs w:val="24"/>
        </w:rPr>
        <w:t>úñez y López, 2009</w:t>
      </w:r>
      <w:r w:rsidRPr="008B266E">
        <w:rPr>
          <w:rFonts w:ascii="Times New Roman" w:hAnsi="Times New Roman" w:cs="Times New Roman"/>
          <w:sz w:val="24"/>
          <w:szCs w:val="24"/>
        </w:rPr>
        <w:t>). La capacidad volitiva, como la aptitud de dirigir voluntariamente nuestra conducta, es decir, si se le pudiera exigir otra conducta distinta a la que realizó (A</w:t>
      </w:r>
      <w:r w:rsidR="009C0646" w:rsidRPr="008B266E">
        <w:rPr>
          <w:rFonts w:ascii="Times New Roman" w:hAnsi="Times New Roman" w:cs="Times New Roman"/>
          <w:sz w:val="24"/>
          <w:szCs w:val="24"/>
        </w:rPr>
        <w:t>rribas</w:t>
      </w:r>
      <w:r w:rsidRPr="008B266E">
        <w:rPr>
          <w:rFonts w:ascii="Times New Roman" w:hAnsi="Times New Roman" w:cs="Times New Roman"/>
          <w:sz w:val="24"/>
          <w:szCs w:val="24"/>
        </w:rPr>
        <w:t>, 2005</w:t>
      </w:r>
      <w:r w:rsidR="009C0646" w:rsidRPr="008B266E">
        <w:rPr>
          <w:rFonts w:ascii="Times New Roman" w:hAnsi="Times New Roman" w:cs="Times New Roman"/>
          <w:sz w:val="24"/>
          <w:szCs w:val="24"/>
        </w:rPr>
        <w:t xml:space="preserve"> citado en Molina et. al, 2009</w:t>
      </w:r>
      <w:r w:rsidRPr="008B266E">
        <w:rPr>
          <w:rFonts w:ascii="Times New Roman" w:hAnsi="Times New Roman" w:cs="Times New Roman"/>
          <w:sz w:val="24"/>
          <w:szCs w:val="24"/>
        </w:rPr>
        <w:t xml:space="preserve">). Según el artículo 20.1 del Código Penal, “Será considerado totalmente imputable todo aquel mayor de edad penal que no presente anomalía, alteración mental, </w:t>
      </w:r>
      <w:r w:rsidR="00547E3E" w:rsidRPr="008B266E">
        <w:rPr>
          <w:rFonts w:ascii="Times New Roman" w:hAnsi="Times New Roman" w:cs="Times New Roman"/>
          <w:sz w:val="24"/>
          <w:szCs w:val="24"/>
        </w:rPr>
        <w:t>intoxicación</w:t>
      </w:r>
      <w:r w:rsidRPr="008B266E">
        <w:rPr>
          <w:rFonts w:ascii="Times New Roman" w:hAnsi="Times New Roman" w:cs="Times New Roman"/>
          <w:sz w:val="24"/>
          <w:szCs w:val="24"/>
          <w:lang w:val="pt-PT"/>
        </w:rPr>
        <w:t xml:space="preserve"> o </w:t>
      </w:r>
      <w:proofErr w:type="spellStart"/>
      <w:r w:rsidRPr="008B266E">
        <w:rPr>
          <w:rFonts w:ascii="Times New Roman" w:hAnsi="Times New Roman" w:cs="Times New Roman"/>
          <w:sz w:val="24"/>
          <w:szCs w:val="24"/>
          <w:lang w:val="pt-PT"/>
        </w:rPr>
        <w:t>abstinencia</w:t>
      </w:r>
      <w:proofErr w:type="spellEnd"/>
      <w:r w:rsidRPr="008B266E">
        <w:rPr>
          <w:rFonts w:ascii="Times New Roman" w:hAnsi="Times New Roman" w:cs="Times New Roman"/>
          <w:sz w:val="24"/>
          <w:szCs w:val="24"/>
          <w:lang w:val="pt-PT"/>
        </w:rPr>
        <w:t xml:space="preserve"> a drogas </w:t>
      </w:r>
      <w:proofErr w:type="spellStart"/>
      <w:r w:rsidRPr="008B266E">
        <w:rPr>
          <w:rFonts w:ascii="Times New Roman" w:hAnsi="Times New Roman" w:cs="Times New Roman"/>
          <w:sz w:val="24"/>
          <w:szCs w:val="24"/>
          <w:lang w:val="pt-PT"/>
        </w:rPr>
        <w:t>psicotr</w:t>
      </w:r>
      <w:r w:rsidRPr="008B266E">
        <w:rPr>
          <w:rFonts w:ascii="Times New Roman" w:hAnsi="Times New Roman" w:cs="Times New Roman"/>
          <w:sz w:val="24"/>
          <w:szCs w:val="24"/>
        </w:rPr>
        <w:t>ópicas</w:t>
      </w:r>
      <w:proofErr w:type="spellEnd"/>
      <w:r w:rsidRPr="008B266E">
        <w:rPr>
          <w:rFonts w:ascii="Times New Roman" w:hAnsi="Times New Roman" w:cs="Times New Roman"/>
          <w:sz w:val="24"/>
          <w:szCs w:val="24"/>
        </w:rPr>
        <w:t>, alteraciones de la percepción o trastorno mental transitorio (no buscado a propósito para delinquir) en el momento de los hechos que afecte a la comprensión de lo ilícito (capacidad cognoscitiva) o la capacidad para adecuar su conducta a dicha comprensión (capacidad volitiva)”</w:t>
      </w:r>
    </w:p>
    <w:p w:rsidR="00E34AC1" w:rsidRPr="008B266E" w:rsidRDefault="00E34AC1"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Existen determinados comportamientos criminales que pueden relacionarse o atribuirse a anomalías mentales, la psicopatía es una de las alteraciones con frecuencia halladas entre los delincuentes reclusos (N</w:t>
      </w:r>
      <w:r w:rsidR="009C0646" w:rsidRPr="008B266E">
        <w:rPr>
          <w:rFonts w:ascii="Times New Roman" w:hAnsi="Times New Roman" w:cs="Times New Roman"/>
          <w:sz w:val="24"/>
          <w:szCs w:val="24"/>
        </w:rPr>
        <w:t>úñez y López, 2009</w:t>
      </w:r>
      <w:r w:rsidRPr="008B266E">
        <w:rPr>
          <w:rFonts w:ascii="Times New Roman" w:hAnsi="Times New Roman" w:cs="Times New Roman"/>
          <w:sz w:val="24"/>
          <w:szCs w:val="24"/>
        </w:rPr>
        <w:t>). Los sujetos que presentan psicopatía suelen cometer una gran variedad de delitos como robos, estafas, agresiones, violaciones u homicidios, siendo este trastorno el que mayor interés jurídico y forense tiene, ya que son los que mayor alarma social producen (</w:t>
      </w:r>
      <w:r w:rsidR="009C0646" w:rsidRPr="008B266E">
        <w:rPr>
          <w:rFonts w:ascii="Times New Roman" w:hAnsi="Times New Roman" w:cs="Times New Roman"/>
          <w:sz w:val="24"/>
          <w:szCs w:val="24"/>
        </w:rPr>
        <w:t>Molina et. al, 2009</w:t>
      </w:r>
      <w:r w:rsidRPr="008B266E">
        <w:rPr>
          <w:rFonts w:ascii="Times New Roman" w:hAnsi="Times New Roman" w:cs="Times New Roman"/>
          <w:sz w:val="24"/>
          <w:szCs w:val="24"/>
        </w:rPr>
        <w:t>). El tratamiento jurisprudencial en estos casos ha ido evolucionando a lo largo de la historia, el tema de la imputabilidad en la psicopatía ha sido muy debatido. Con el anterior Código Penal, 1944, el Tribunal Supremo consideraba que la psicopatía y los trastornos de personalidad no pertenecían a la categoría de enfermedad mental, por lo tanto, su imputabilidad era plena, con responsabilidad plena sobre delito, salvo en los casos de existencia de otra patología asociada, la cual afectase a las capacidades de la persona (</w:t>
      </w:r>
      <w:r w:rsidR="009C0646" w:rsidRPr="008B266E">
        <w:rPr>
          <w:rFonts w:ascii="Times New Roman" w:hAnsi="Times New Roman" w:cs="Times New Roman"/>
          <w:sz w:val="24"/>
          <w:szCs w:val="24"/>
        </w:rPr>
        <w:t>Molina et. al, 2009</w:t>
      </w:r>
      <w:r w:rsidRPr="008B266E">
        <w:rPr>
          <w:rFonts w:ascii="Times New Roman" w:hAnsi="Times New Roman" w:cs="Times New Roman"/>
          <w:sz w:val="24"/>
          <w:szCs w:val="24"/>
        </w:rPr>
        <w:t>). El psicópata, con la inteligencia y la voluntad intactas, pero frío, calculador y cruel en sus actos y que, según la legislación española, es imputable, por lo tanto, responsable plenamente del delito cometido y debe ingresar en un centro penitencia (</w:t>
      </w:r>
      <w:r w:rsidR="00851A57" w:rsidRPr="008B266E">
        <w:rPr>
          <w:rFonts w:ascii="Times New Roman" w:hAnsi="Times New Roman" w:cs="Times New Roman"/>
          <w:sz w:val="24"/>
          <w:szCs w:val="24"/>
        </w:rPr>
        <w:t>Núñez y López, 2009</w:t>
      </w:r>
      <w:r w:rsidRPr="008B266E">
        <w:rPr>
          <w:rFonts w:ascii="Times New Roman" w:hAnsi="Times New Roman" w:cs="Times New Roman"/>
          <w:sz w:val="24"/>
          <w:szCs w:val="24"/>
        </w:rPr>
        <w:t xml:space="preserve">; </w:t>
      </w:r>
      <w:r w:rsidR="009C0646" w:rsidRPr="008B266E">
        <w:rPr>
          <w:rFonts w:ascii="Times New Roman" w:hAnsi="Times New Roman" w:cs="Times New Roman"/>
          <w:sz w:val="24"/>
          <w:szCs w:val="24"/>
        </w:rPr>
        <w:t>Pintado, 2019</w:t>
      </w:r>
      <w:r w:rsidRPr="008B266E">
        <w:rPr>
          <w:rFonts w:ascii="Times New Roman" w:hAnsi="Times New Roman" w:cs="Times New Roman"/>
          <w:sz w:val="24"/>
          <w:szCs w:val="24"/>
        </w:rPr>
        <w:t xml:space="preserve">). Con la llegada del Código Penal de 1995, el Tribunal Supremo considera otras opciones más amplias en los casos de psicopatía. Considera una eximente completa “cuando se elimina totalmente la conciencia y la voluntad base de la imputabilidad”; una eximente incompleta “cuando aquella afección no es total y se manifiesta en una disminución de sus facultades, intelectivas o volitivas, con una indudable limitación para comprender la ilicitud del alcance y trascendencia de sus actos o para controlarlos voluntariamente”, cuando el sujeto psicopático presenta un trastorno asociado grave mayor a éste; una atenuante analógica cuando no concurren los presupuestos para apreciar las dos causas anteriores, como eximente completa o incompleta, pero “se detecta una menor intensidad de la imputabilidad o cuando la disminución carece de intensidad siendo sus efectos leves o de menor incidencia en la imputabilidad del agente”, cuando el sujeto presenta psicopatía con una patología </w:t>
      </w:r>
      <w:r w:rsidRPr="008B266E">
        <w:rPr>
          <w:rFonts w:ascii="Times New Roman" w:hAnsi="Times New Roman" w:cs="Times New Roman"/>
          <w:sz w:val="24"/>
          <w:szCs w:val="24"/>
        </w:rPr>
        <w:lastRenderedPageBreak/>
        <w:t>dual, oligofrenia leve, Trastorno Límite de la personalidad, alcoholismo, pedofilia, trastorno depresivos, otros trastornos de la personalidad asociados; y plena imputabilidad cuando solo presente psicopatía, estando conservadas sus capacidades cognitivas y volitivas. (STS de 26 de mayo de 1995, RJ 1995/3953</w:t>
      </w:r>
      <w:r w:rsidR="00851A57" w:rsidRPr="008B266E">
        <w:rPr>
          <w:rFonts w:ascii="Times New Roman" w:hAnsi="Times New Roman" w:cs="Times New Roman"/>
          <w:sz w:val="24"/>
          <w:szCs w:val="24"/>
        </w:rPr>
        <w:t xml:space="preserve"> citado en </w:t>
      </w:r>
      <w:proofErr w:type="spellStart"/>
      <w:r w:rsidR="00851A57" w:rsidRPr="008B266E">
        <w:rPr>
          <w:rFonts w:ascii="Times New Roman" w:hAnsi="Times New Roman" w:cs="Times New Roman"/>
          <w:sz w:val="24"/>
          <w:szCs w:val="24"/>
        </w:rPr>
        <w:t>Cuquerella</w:t>
      </w:r>
      <w:proofErr w:type="spellEnd"/>
      <w:r w:rsidR="00851A57" w:rsidRPr="008B266E">
        <w:rPr>
          <w:rFonts w:ascii="Times New Roman" w:hAnsi="Times New Roman" w:cs="Times New Roman"/>
          <w:sz w:val="24"/>
          <w:szCs w:val="24"/>
        </w:rPr>
        <w:t xml:space="preserve"> et. al, 2002</w:t>
      </w:r>
      <w:r w:rsidRPr="008B266E">
        <w:rPr>
          <w:rFonts w:ascii="Times New Roman" w:hAnsi="Times New Roman" w:cs="Times New Roman"/>
          <w:sz w:val="24"/>
          <w:szCs w:val="24"/>
        </w:rPr>
        <w:t>). El psicólogo o psiquiatra forense deberá por lo tanto informar al juez además de la existencia del trastorno de personalidad o no, de su tipo y de su intensidad, de la existencia de otro trastorno asociado, del consumo de tóxicos, de la existencia de otras capacidades afectadas y en resumen de cómo está afectada su capacidad cognoscitiva y volitiva para que el Juez pueda determinar sobre la imputabilidad del sujeto (</w:t>
      </w:r>
      <w:r w:rsidR="009C0646" w:rsidRPr="008B266E">
        <w:rPr>
          <w:rFonts w:ascii="Times New Roman" w:hAnsi="Times New Roman" w:cs="Times New Roman"/>
          <w:sz w:val="24"/>
          <w:szCs w:val="24"/>
        </w:rPr>
        <w:t>Molina et. al, 2009</w:t>
      </w:r>
      <w:r w:rsidRPr="008B266E">
        <w:rPr>
          <w:rFonts w:ascii="Times New Roman" w:hAnsi="Times New Roman" w:cs="Times New Roman"/>
          <w:sz w:val="24"/>
          <w:szCs w:val="24"/>
        </w:rPr>
        <w:t>). Los psicópatas tienen la capacidad para fingir enfermedades mentales y para exponerse conscientes y voluntariamente a estados de intoxicación que posteriormente pudieran resultarles beneficiosos (</w:t>
      </w:r>
      <w:proofErr w:type="spellStart"/>
      <w:r w:rsidR="00851A57" w:rsidRPr="008B266E">
        <w:rPr>
          <w:rFonts w:ascii="Times New Roman" w:hAnsi="Times New Roman" w:cs="Times New Roman"/>
          <w:sz w:val="24"/>
          <w:szCs w:val="24"/>
        </w:rPr>
        <w:t>Pozueco</w:t>
      </w:r>
      <w:proofErr w:type="spellEnd"/>
      <w:r w:rsidR="00851A57" w:rsidRPr="008B266E">
        <w:rPr>
          <w:rFonts w:ascii="Times New Roman" w:hAnsi="Times New Roman" w:cs="Times New Roman"/>
          <w:sz w:val="24"/>
          <w:szCs w:val="24"/>
        </w:rPr>
        <w:t xml:space="preserve"> et. al, 2011</w:t>
      </w:r>
      <w:r w:rsidRPr="008B266E">
        <w:rPr>
          <w:rFonts w:ascii="Times New Roman" w:hAnsi="Times New Roman" w:cs="Times New Roman"/>
          <w:sz w:val="24"/>
          <w:szCs w:val="24"/>
        </w:rPr>
        <w:t>). Por todo esto, es necesaria la realización de una v</w:t>
      </w:r>
      <w:r w:rsidR="00D059AA" w:rsidRPr="008B266E">
        <w:rPr>
          <w:rFonts w:ascii="Times New Roman" w:hAnsi="Times New Roman" w:cs="Times New Roman"/>
          <w:sz w:val="24"/>
          <w:szCs w:val="24"/>
        </w:rPr>
        <w:t>aloración individualizada de cad</w:t>
      </w:r>
      <w:r w:rsidRPr="008B266E">
        <w:rPr>
          <w:rFonts w:ascii="Times New Roman" w:hAnsi="Times New Roman" w:cs="Times New Roman"/>
          <w:sz w:val="24"/>
          <w:szCs w:val="24"/>
        </w:rPr>
        <w:t>a caso para determinar la responsabilidad (</w:t>
      </w:r>
      <w:r w:rsidR="009C0646" w:rsidRPr="008B266E">
        <w:rPr>
          <w:rFonts w:ascii="Times New Roman" w:hAnsi="Times New Roman" w:cs="Times New Roman"/>
          <w:sz w:val="24"/>
          <w:szCs w:val="24"/>
        </w:rPr>
        <w:t>Pintado, 2019</w:t>
      </w:r>
      <w:r w:rsidRPr="008B266E">
        <w:rPr>
          <w:rFonts w:ascii="Times New Roman" w:hAnsi="Times New Roman" w:cs="Times New Roman"/>
          <w:sz w:val="24"/>
          <w:szCs w:val="24"/>
        </w:rPr>
        <w:t xml:space="preserve">). </w:t>
      </w:r>
    </w:p>
    <w:p w:rsidR="00E34AC1" w:rsidRPr="008B266E" w:rsidRDefault="00E34AC1" w:rsidP="00FE15D7">
      <w:pPr>
        <w:pStyle w:val="Cuerpo"/>
        <w:spacing w:line="360" w:lineRule="auto"/>
        <w:jc w:val="both"/>
        <w:rPr>
          <w:rFonts w:ascii="Times New Roman" w:hAnsi="Times New Roman" w:cs="Times New Roman"/>
          <w:sz w:val="24"/>
          <w:szCs w:val="24"/>
        </w:rPr>
      </w:pPr>
    </w:p>
    <w:p w:rsidR="00E34AC1" w:rsidRPr="008B266E"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t xml:space="preserve">Otro factor a tener en cuenta es que el aspecto punitivo de la pena es prácticamente inservible como elemento </w:t>
      </w:r>
      <w:proofErr w:type="spellStart"/>
      <w:r w:rsidRPr="008B266E">
        <w:rPr>
          <w:rFonts w:ascii="Times New Roman" w:hAnsi="Times New Roman" w:cs="Times New Roman"/>
          <w:sz w:val="24"/>
          <w:szCs w:val="24"/>
        </w:rPr>
        <w:t>disuasor</w:t>
      </w:r>
      <w:proofErr w:type="spellEnd"/>
      <w:r w:rsidRPr="008B266E">
        <w:rPr>
          <w:rFonts w:ascii="Times New Roman" w:hAnsi="Times New Roman" w:cs="Times New Roman"/>
          <w:sz w:val="24"/>
          <w:szCs w:val="24"/>
        </w:rPr>
        <w:t xml:space="preserve"> de reincidencia en el delincuente psicopático por la dinámica de personalidad descrita, que la incapacitación para delinquir propia del estado de privación de libertad se circunscribe únicamente al tiempo de duración de la pena y que los programas de tratamiento no han sido adecuados para cumplir el fin resocializador de ésta, se entiende que los esfuerzos de política criminal con este tipo de delincuentes debieran dirigirse hacia dos líneas fundamentales: por un lado, el entrenamiento de los profesionales de la salud mental al servicio del Sistema de Justicia (forenses y penitenciarios) para realizar evaluaciones eficaces en la detección de estos individuos; y por otro, fomentar la investigación científica en el ámbito del tratamiento de este tipo de infractores que faciliten su reinserción social (M</w:t>
      </w:r>
      <w:r w:rsidR="00851A57" w:rsidRPr="008B266E">
        <w:rPr>
          <w:rFonts w:ascii="Times New Roman" w:hAnsi="Times New Roman" w:cs="Times New Roman"/>
          <w:sz w:val="24"/>
          <w:szCs w:val="24"/>
        </w:rPr>
        <w:t>uñoz, 20011</w:t>
      </w:r>
      <w:r w:rsidRPr="008B266E">
        <w:rPr>
          <w:rFonts w:ascii="Times New Roman" w:hAnsi="Times New Roman" w:cs="Times New Roman"/>
          <w:sz w:val="24"/>
          <w:szCs w:val="24"/>
        </w:rPr>
        <w:t xml:space="preserve">). A pesar de las penas prolongadas, </w:t>
      </w:r>
      <w:r w:rsidR="00EF4912" w:rsidRPr="008B266E">
        <w:rPr>
          <w:rFonts w:ascii="Times New Roman" w:hAnsi="Times New Roman" w:cs="Times New Roman"/>
          <w:sz w:val="24"/>
          <w:szCs w:val="24"/>
        </w:rPr>
        <w:t xml:space="preserve">es complicado que </w:t>
      </w:r>
      <w:r w:rsidRPr="008B266E">
        <w:rPr>
          <w:rFonts w:ascii="Times New Roman" w:hAnsi="Times New Roman" w:cs="Times New Roman"/>
          <w:sz w:val="24"/>
          <w:szCs w:val="24"/>
        </w:rPr>
        <w:t>el sujeto psicopático se resociali</w:t>
      </w:r>
      <w:r w:rsidR="00EF4912" w:rsidRPr="008B266E">
        <w:rPr>
          <w:rFonts w:ascii="Times New Roman" w:hAnsi="Times New Roman" w:cs="Times New Roman"/>
          <w:sz w:val="24"/>
          <w:szCs w:val="24"/>
        </w:rPr>
        <w:t>ce</w:t>
      </w:r>
      <w:r w:rsidRPr="008B266E">
        <w:rPr>
          <w:rFonts w:ascii="Times New Roman" w:hAnsi="Times New Roman" w:cs="Times New Roman"/>
          <w:sz w:val="24"/>
          <w:szCs w:val="24"/>
        </w:rPr>
        <w:t xml:space="preserve"> debido a que este trastorno es incurable, no sienten culpa, no aprenden de la experiencia y de los errores mostrando una alta tasa de reincidencia y no interiorizan la norma debido a la ausencia del miedo al castigo, cuando salga del centro penitenciario </w:t>
      </w:r>
      <w:r w:rsidR="00300764" w:rsidRPr="008B266E">
        <w:rPr>
          <w:rFonts w:ascii="Times New Roman" w:hAnsi="Times New Roman" w:cs="Times New Roman"/>
          <w:sz w:val="24"/>
          <w:szCs w:val="24"/>
        </w:rPr>
        <w:t>podrá seguir</w:t>
      </w:r>
      <w:r w:rsidRPr="008B266E">
        <w:rPr>
          <w:rFonts w:ascii="Times New Roman" w:hAnsi="Times New Roman" w:cs="Times New Roman"/>
          <w:sz w:val="24"/>
          <w:szCs w:val="24"/>
        </w:rPr>
        <w:t xml:space="preserve"> representando un riesgo para la sociedad, siendo la posibilidad de reincidencia de más de un 90% según Carlos </w:t>
      </w:r>
      <w:proofErr w:type="spellStart"/>
      <w:r w:rsidRPr="008B266E">
        <w:rPr>
          <w:rFonts w:ascii="Times New Roman" w:hAnsi="Times New Roman" w:cs="Times New Roman"/>
          <w:sz w:val="24"/>
          <w:szCs w:val="24"/>
        </w:rPr>
        <w:t>Saborio</w:t>
      </w:r>
      <w:proofErr w:type="spellEnd"/>
      <w:r w:rsidRPr="008B266E">
        <w:rPr>
          <w:rFonts w:ascii="Times New Roman" w:hAnsi="Times New Roman" w:cs="Times New Roman"/>
          <w:sz w:val="24"/>
          <w:szCs w:val="24"/>
        </w:rPr>
        <w:t xml:space="preserve"> (</w:t>
      </w:r>
      <w:r w:rsidR="00851A57" w:rsidRPr="008B266E">
        <w:rPr>
          <w:rFonts w:ascii="Times New Roman" w:hAnsi="Times New Roman" w:cs="Times New Roman"/>
          <w:sz w:val="24"/>
          <w:szCs w:val="24"/>
        </w:rPr>
        <w:t>Tirado-Álvarez, 2010</w:t>
      </w:r>
      <w:r w:rsidRPr="008B266E">
        <w:rPr>
          <w:rFonts w:ascii="Times New Roman" w:hAnsi="Times New Roman" w:cs="Times New Roman"/>
          <w:sz w:val="24"/>
          <w:szCs w:val="24"/>
        </w:rPr>
        <w:t xml:space="preserve">). José </w:t>
      </w:r>
      <w:proofErr w:type="spellStart"/>
      <w:r w:rsidRPr="008B266E">
        <w:rPr>
          <w:rFonts w:ascii="Times New Roman" w:hAnsi="Times New Roman" w:cs="Times New Roman"/>
          <w:sz w:val="24"/>
          <w:szCs w:val="24"/>
        </w:rPr>
        <w:t>Aróstegui</w:t>
      </w:r>
      <w:proofErr w:type="spellEnd"/>
      <w:r w:rsidRPr="008B266E">
        <w:rPr>
          <w:rFonts w:ascii="Times New Roman" w:hAnsi="Times New Roman" w:cs="Times New Roman"/>
          <w:sz w:val="24"/>
          <w:szCs w:val="24"/>
        </w:rPr>
        <w:t xml:space="preserve"> Moreno</w:t>
      </w:r>
      <w:r w:rsidR="00300764" w:rsidRPr="008B266E">
        <w:rPr>
          <w:rFonts w:ascii="Times New Roman" w:hAnsi="Times New Roman" w:cs="Times New Roman"/>
          <w:sz w:val="24"/>
          <w:szCs w:val="24"/>
        </w:rPr>
        <w:t xml:space="preserve"> señala que</w:t>
      </w:r>
      <w:r w:rsidR="009A104A" w:rsidRPr="008B266E">
        <w:rPr>
          <w:rFonts w:ascii="Times New Roman" w:hAnsi="Times New Roman" w:cs="Times New Roman"/>
          <w:sz w:val="24"/>
          <w:szCs w:val="24"/>
        </w:rPr>
        <w:t xml:space="preserve"> </w:t>
      </w:r>
      <w:r w:rsidRPr="008B266E">
        <w:rPr>
          <w:rFonts w:ascii="Times New Roman" w:hAnsi="Times New Roman" w:cs="Times New Roman"/>
          <w:sz w:val="24"/>
          <w:szCs w:val="24"/>
        </w:rPr>
        <w:t>es importante que se despierte en los juristas el interés por el estudio e investigación de los psicópatas ya que los delitos cometidos por éstos han aumentado en los últimos años y la OMS sostiene que el 2% de la población mundial es psicópata, es necesario más profundización en el tema (</w:t>
      </w:r>
      <w:r w:rsidR="00851A57" w:rsidRPr="008B266E">
        <w:rPr>
          <w:rFonts w:ascii="Times New Roman" w:hAnsi="Times New Roman" w:cs="Times New Roman"/>
          <w:sz w:val="24"/>
          <w:szCs w:val="24"/>
        </w:rPr>
        <w:t>Tirado-Álvarez, 2010</w:t>
      </w:r>
      <w:r w:rsidRPr="008B266E">
        <w:rPr>
          <w:rFonts w:ascii="Times New Roman" w:hAnsi="Times New Roman" w:cs="Times New Roman"/>
          <w:sz w:val="24"/>
          <w:szCs w:val="24"/>
        </w:rPr>
        <w:t>). Por otro lado, representan un gran gasto para la sociedad, estimándose en EEUU al rededor de 460.000 millones de dólares (</w:t>
      </w:r>
      <w:proofErr w:type="spellStart"/>
      <w:r w:rsidRPr="008B266E">
        <w:rPr>
          <w:rFonts w:ascii="Times New Roman" w:hAnsi="Times New Roman" w:cs="Times New Roman"/>
          <w:sz w:val="24"/>
          <w:szCs w:val="24"/>
        </w:rPr>
        <w:t>Kiehl</w:t>
      </w:r>
      <w:proofErr w:type="spellEnd"/>
      <w:r w:rsidRPr="008B266E">
        <w:rPr>
          <w:rFonts w:ascii="Times New Roman" w:hAnsi="Times New Roman" w:cs="Times New Roman"/>
          <w:sz w:val="24"/>
          <w:szCs w:val="24"/>
        </w:rPr>
        <w:t>, 2006). Esto se debe a que suelen ser arrestados en varias ocasiones, los gastos penitenciarios y los tratamientos de sus numerosas víctimas con daños psicológicos y físicos graves (</w:t>
      </w:r>
      <w:r w:rsidR="00851A57" w:rsidRPr="008B266E">
        <w:rPr>
          <w:rFonts w:ascii="Times New Roman" w:hAnsi="Times New Roman" w:cs="Times New Roman"/>
          <w:sz w:val="24"/>
          <w:szCs w:val="24"/>
        </w:rPr>
        <w:t>Ramos et. al</w:t>
      </w:r>
      <w:r w:rsidRPr="008B266E">
        <w:rPr>
          <w:rFonts w:ascii="Times New Roman" w:hAnsi="Times New Roman" w:cs="Times New Roman"/>
          <w:sz w:val="24"/>
          <w:szCs w:val="24"/>
        </w:rPr>
        <w:t>, 2017).</w:t>
      </w:r>
    </w:p>
    <w:p w:rsidR="00E34AC1" w:rsidRDefault="007D4A36" w:rsidP="00FE15D7">
      <w:pPr>
        <w:pStyle w:val="Cuerpo"/>
        <w:spacing w:line="360" w:lineRule="auto"/>
        <w:jc w:val="both"/>
        <w:rPr>
          <w:rFonts w:ascii="Times New Roman" w:hAnsi="Times New Roman" w:cs="Times New Roman"/>
          <w:sz w:val="24"/>
          <w:szCs w:val="24"/>
        </w:rPr>
      </w:pPr>
      <w:r w:rsidRPr="008B266E">
        <w:rPr>
          <w:rFonts w:ascii="Times New Roman" w:hAnsi="Times New Roman" w:cs="Times New Roman"/>
          <w:sz w:val="24"/>
          <w:szCs w:val="24"/>
        </w:rPr>
        <w:lastRenderedPageBreak/>
        <w:t>Tal y como señala Robert D. Hare en el libro “</w:t>
      </w:r>
      <w:r w:rsidRPr="0032288C">
        <w:rPr>
          <w:rFonts w:ascii="Times New Roman" w:hAnsi="Times New Roman" w:cs="Times New Roman"/>
          <w:i/>
          <w:iCs/>
          <w:sz w:val="24"/>
          <w:szCs w:val="24"/>
        </w:rPr>
        <w:t>Sin conciencia</w:t>
      </w:r>
      <w:r w:rsidRPr="008B266E">
        <w:rPr>
          <w:rFonts w:ascii="Times New Roman" w:hAnsi="Times New Roman" w:cs="Times New Roman"/>
          <w:sz w:val="24"/>
          <w:szCs w:val="24"/>
        </w:rPr>
        <w:t>”</w:t>
      </w:r>
      <w:r w:rsidR="00300764" w:rsidRPr="008B266E">
        <w:rPr>
          <w:rFonts w:ascii="Times New Roman" w:hAnsi="Times New Roman" w:cs="Times New Roman"/>
          <w:sz w:val="24"/>
          <w:szCs w:val="24"/>
        </w:rPr>
        <w:t xml:space="preserve"> (2003)</w:t>
      </w:r>
      <w:r w:rsidRPr="008B266E">
        <w:rPr>
          <w:rFonts w:ascii="Times New Roman" w:hAnsi="Times New Roman" w:cs="Times New Roman"/>
          <w:sz w:val="24"/>
          <w:szCs w:val="24"/>
        </w:rPr>
        <w:t>, el problema se encuentra en que todavía no se ha encontrado ningún tratamiento efectivo, los psicópatas no sienten que tengan ningún problema emocional o psicológico y no ven razón para cambiar su conducta, siendo algo necesario para el funcionamiento del tratamiento. No buscan ayuda por su cuenta, suelen ser los familiares desesperados quienes les empujan a terapia, y, si finalmente acuden, es solo para cumplir formalidades. Por otro lado, la mayoría de los programas terapéuticos hacen poco más que darles excusas y racionalizaciones para su conducta y nuevas ideas para atacar a la vulnerabilidad humana con estrategias para engañar, manipular y utilizar a la gente (Hare, 2003). Hay muy pocos programas espec</w:t>
      </w:r>
      <w:r w:rsidR="00851A57" w:rsidRPr="008B266E">
        <w:rPr>
          <w:rFonts w:ascii="Times New Roman" w:hAnsi="Times New Roman" w:cs="Times New Roman"/>
          <w:sz w:val="24"/>
          <w:szCs w:val="24"/>
        </w:rPr>
        <w:t>í</w:t>
      </w:r>
      <w:r w:rsidRPr="008B266E">
        <w:rPr>
          <w:rFonts w:ascii="Times New Roman" w:hAnsi="Times New Roman" w:cs="Times New Roman"/>
          <w:sz w:val="24"/>
          <w:szCs w:val="24"/>
        </w:rPr>
        <w:t xml:space="preserve">ficamente diseñados para los psicópatas, Hare (2003), propone en este libro que los tratamientos deben tratar de convencerle de que sus actitudes y su conducta actual no van a favor de sus intereses y que deben hacerse responsables de su comportamiento, mostrándoles como usar sus fuerzas y habilidades para satisfacer sus necesidades de manera que la sociedad pueda tolerarlos, sin centrarse unidamente en el desarrollo de la empatía y conciencia. Se evaluará qué funciona y qué no funciona para cada individuo en particular, y cuando éste se reintegre en la sociedad se aplicará un control y supervisión estrictos, con irrevocables consecuencias ante la transgresión. Se trata de un programa caro y lento de desarrollar, pero las alternativas como el alto gasto que implica mantener a un delincuente de alto riesgo en prisión o el riesgo que implica dejarlos salir no son válidas. </w:t>
      </w:r>
    </w:p>
    <w:p w:rsidR="00111D44" w:rsidRDefault="00111D44" w:rsidP="00FE15D7">
      <w:pPr>
        <w:pStyle w:val="Cuerpo"/>
        <w:spacing w:line="360" w:lineRule="auto"/>
        <w:jc w:val="both"/>
        <w:rPr>
          <w:rFonts w:ascii="Times New Roman" w:hAnsi="Times New Roman" w:cs="Times New Roman"/>
          <w:sz w:val="24"/>
          <w:szCs w:val="24"/>
        </w:rPr>
      </w:pPr>
    </w:p>
    <w:p w:rsidR="00111D44" w:rsidRPr="008B266E" w:rsidRDefault="00111D44" w:rsidP="00FE15D7">
      <w:pPr>
        <w:pStyle w:val="Cuerpo"/>
        <w:spacing w:line="360" w:lineRule="auto"/>
        <w:jc w:val="both"/>
        <w:rPr>
          <w:rFonts w:ascii="Times New Roman" w:hAnsi="Times New Roman" w:cs="Times New Roman"/>
          <w:sz w:val="24"/>
          <w:szCs w:val="24"/>
        </w:rPr>
      </w:pPr>
      <w:r>
        <w:rPr>
          <w:rFonts w:ascii="Times New Roman" w:hAnsi="Times New Roman" w:cs="Times New Roman"/>
          <w:sz w:val="24"/>
          <w:szCs w:val="24"/>
        </w:rPr>
        <w:t>Tras una exposición global de la psicopatía</w:t>
      </w:r>
      <w:r w:rsidR="00207D3C">
        <w:rPr>
          <w:rFonts w:ascii="Times New Roman" w:hAnsi="Times New Roman" w:cs="Times New Roman"/>
          <w:sz w:val="24"/>
          <w:szCs w:val="24"/>
        </w:rPr>
        <w:t>,</w:t>
      </w:r>
      <w:r>
        <w:rPr>
          <w:rFonts w:ascii="Times New Roman" w:hAnsi="Times New Roman" w:cs="Times New Roman"/>
          <w:sz w:val="24"/>
          <w:szCs w:val="24"/>
        </w:rPr>
        <w:t xml:space="preserve"> el trabajo finaliza con el análisis del trastorno en la población femenina, concretando las diferencias con los hombres. </w:t>
      </w:r>
    </w:p>
    <w:p w:rsidR="00120F94" w:rsidRPr="006338AE" w:rsidRDefault="00120F94" w:rsidP="006338AE">
      <w:pPr>
        <w:pStyle w:val="Cuerpo"/>
        <w:spacing w:line="360" w:lineRule="auto"/>
        <w:jc w:val="both"/>
        <w:rPr>
          <w:rFonts w:ascii="Times New Roman" w:hAnsi="Times New Roman" w:cs="Times New Roman"/>
          <w:sz w:val="24"/>
          <w:szCs w:val="24"/>
        </w:rPr>
      </w:pPr>
    </w:p>
    <w:p w:rsidR="00120F94" w:rsidRPr="006338AE" w:rsidRDefault="00120F94" w:rsidP="006338AE">
      <w:pPr>
        <w:pStyle w:val="Cuerpo"/>
        <w:spacing w:line="360" w:lineRule="auto"/>
        <w:jc w:val="both"/>
        <w:rPr>
          <w:rFonts w:ascii="Times New Roman" w:hAnsi="Times New Roman" w:cs="Times New Roman"/>
          <w:b/>
          <w:bCs/>
          <w:sz w:val="24"/>
          <w:szCs w:val="24"/>
        </w:rPr>
      </w:pPr>
      <w:r w:rsidRPr="006338AE">
        <w:rPr>
          <w:rFonts w:ascii="Times New Roman" w:hAnsi="Times New Roman" w:cs="Times New Roman"/>
          <w:b/>
          <w:bCs/>
          <w:sz w:val="24"/>
          <w:szCs w:val="24"/>
        </w:rPr>
        <w:t>La psicopatía en las mujeres</w:t>
      </w:r>
      <w:r w:rsidR="005B604A">
        <w:rPr>
          <w:rFonts w:ascii="Times New Roman" w:hAnsi="Times New Roman" w:cs="Times New Roman"/>
          <w:b/>
          <w:bCs/>
          <w:sz w:val="24"/>
          <w:szCs w:val="24"/>
        </w:rPr>
        <w:fldChar w:fldCharType="begin"/>
      </w:r>
      <w:r w:rsidR="005B604A">
        <w:instrText xml:space="preserve"> XE "</w:instrText>
      </w:r>
      <w:r w:rsidR="005B604A" w:rsidRPr="007B4A7C">
        <w:rPr>
          <w:rFonts w:ascii="Times New Roman" w:hAnsi="Times New Roman" w:cs="Times New Roman"/>
          <w:b/>
          <w:bCs/>
          <w:sz w:val="24"/>
          <w:szCs w:val="24"/>
        </w:rPr>
        <w:instrText>La psicopatía en las mujeres</w:instrText>
      </w:r>
      <w:r w:rsidR="005B604A">
        <w:instrText xml:space="preserve">" </w:instrText>
      </w:r>
      <w:r w:rsidR="005B604A">
        <w:rPr>
          <w:rFonts w:ascii="Times New Roman" w:hAnsi="Times New Roman" w:cs="Times New Roman"/>
          <w:b/>
          <w:bCs/>
          <w:sz w:val="24"/>
          <w:szCs w:val="24"/>
        </w:rPr>
        <w:fldChar w:fldCharType="end"/>
      </w:r>
    </w:p>
    <w:p w:rsidR="00120F94" w:rsidRPr="006338AE" w:rsidRDefault="00120F94" w:rsidP="006338AE">
      <w:pPr>
        <w:pStyle w:val="Cuerpo"/>
        <w:spacing w:line="360" w:lineRule="auto"/>
        <w:jc w:val="both"/>
        <w:rPr>
          <w:rFonts w:ascii="Times New Roman" w:hAnsi="Times New Roman" w:cs="Times New Roman"/>
          <w:sz w:val="24"/>
          <w:szCs w:val="24"/>
        </w:rPr>
      </w:pPr>
    </w:p>
    <w:p w:rsidR="00120F94" w:rsidRPr="006338AE" w:rsidRDefault="00120F94"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6338AE">
        <w:rPr>
          <w:color w:val="000000"/>
          <w:lang w:val="es-ES_tradnl" w:eastAsia="es-ES_tradnl"/>
        </w:rPr>
        <w:t>A lo largo de la historia, las investigaciones sobre psicopatía y TAP se han focalizado casi exclusivamente en hombres, como consecuencia, muy poco se sabe de ello en las mujeres, siendo un trabajo pionero el estudio del constructo y la validación de los instrumentos de medida en este género (</w:t>
      </w:r>
      <w:r w:rsidR="009F5C74" w:rsidRPr="006338AE">
        <w:rPr>
          <w:color w:val="000000"/>
          <w:lang w:val="es-ES_tradnl" w:eastAsia="es-ES_tradnl"/>
        </w:rPr>
        <w:t>Cale y Lilienfeld, 2002</w:t>
      </w:r>
      <w:r w:rsidRPr="006338AE">
        <w:rPr>
          <w:color w:val="000000"/>
          <w:lang w:val="es-ES_tradnl" w:eastAsia="es-ES_tradnl"/>
        </w:rPr>
        <w:t xml:space="preserve">; </w:t>
      </w:r>
      <w:r w:rsidR="009F5C74" w:rsidRPr="006338AE">
        <w:rPr>
          <w:color w:val="000000"/>
          <w:lang w:val="es-ES_tradnl" w:eastAsia="es-ES_tradnl"/>
        </w:rPr>
        <w:t>Verona y Vitale, 2006</w:t>
      </w:r>
      <w:r w:rsidRPr="006338AE">
        <w:rPr>
          <w:color w:val="000000"/>
          <w:lang w:val="es-ES_tradnl" w:eastAsia="es-ES_tradnl"/>
        </w:rPr>
        <w:t>).</w:t>
      </w:r>
    </w:p>
    <w:p w:rsidR="00120F94" w:rsidRPr="006338AE" w:rsidRDefault="00120F94"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6338AE">
        <w:rPr>
          <w:color w:val="000000"/>
          <w:lang w:val="es-ES_tradnl" w:eastAsia="es-ES_tradnl"/>
        </w:rPr>
        <w:t xml:space="preserve">La prevalencia de la psicopatía en las mujeres es menor que en los hombres, </w:t>
      </w:r>
      <w:r w:rsidR="003915DD">
        <w:rPr>
          <w:color w:val="000000"/>
          <w:lang w:val="es-ES_tradnl" w:eastAsia="es-ES_tradnl"/>
        </w:rPr>
        <w:t>1 a 8</w:t>
      </w:r>
      <w:r w:rsidRPr="006338AE">
        <w:rPr>
          <w:color w:val="000000"/>
          <w:lang w:val="es-ES_tradnl" w:eastAsia="es-ES_tradnl"/>
        </w:rPr>
        <w:t xml:space="preserve">, además, éstas presentan menores puntuaciones en los factores del PCL-R, por esto, tanto los diagnósticos como la representación estadística </w:t>
      </w:r>
      <w:r w:rsidR="003915DD">
        <w:rPr>
          <w:color w:val="000000"/>
          <w:lang w:val="es-ES_tradnl" w:eastAsia="es-ES_tradnl"/>
        </w:rPr>
        <w:t>son</w:t>
      </w:r>
      <w:r w:rsidRPr="006338AE">
        <w:rPr>
          <w:color w:val="000000"/>
          <w:lang w:val="es-ES_tradnl" w:eastAsia="es-ES_tradnl"/>
        </w:rPr>
        <w:t xml:space="preserve"> muy escas</w:t>
      </w:r>
      <w:r w:rsidR="003915DD">
        <w:rPr>
          <w:color w:val="000000"/>
          <w:lang w:val="es-ES_tradnl" w:eastAsia="es-ES_tradnl"/>
        </w:rPr>
        <w:t>os</w:t>
      </w:r>
      <w:r w:rsidRPr="006338AE">
        <w:rPr>
          <w:color w:val="000000"/>
          <w:lang w:val="es-ES_tradnl" w:eastAsia="es-ES_tradnl"/>
        </w:rPr>
        <w:t xml:space="preserve"> (</w:t>
      </w:r>
      <w:r w:rsidR="00AE4A2C" w:rsidRPr="006338AE">
        <w:rPr>
          <w:color w:val="000000"/>
          <w:lang w:val="es-ES_tradnl" w:eastAsia="es-ES_tradnl"/>
        </w:rPr>
        <w:t>Cale y Lilienfeld, 2002; Cale y Lilienfeld, 2002; López, 2013</w:t>
      </w:r>
      <w:r w:rsidRPr="006338AE">
        <w:rPr>
          <w:color w:val="000000"/>
          <w:lang w:val="es-ES_tradnl" w:eastAsia="es-ES_tradnl"/>
        </w:rPr>
        <w:t xml:space="preserve">; </w:t>
      </w:r>
      <w:r w:rsidR="00AE4A2C" w:rsidRPr="006338AE">
        <w:rPr>
          <w:color w:val="000000"/>
          <w:lang w:val="es-ES_tradnl" w:eastAsia="es-ES_tradnl"/>
        </w:rPr>
        <w:t xml:space="preserve">Mulder, Wells y </w:t>
      </w:r>
      <w:proofErr w:type="spellStart"/>
      <w:r w:rsidR="00AE4A2C" w:rsidRPr="006338AE">
        <w:rPr>
          <w:color w:val="000000"/>
          <w:lang w:val="es-ES_tradnl" w:eastAsia="es-ES_tradnl"/>
        </w:rPr>
        <w:t>Bushnell</w:t>
      </w:r>
      <w:proofErr w:type="spellEnd"/>
      <w:r w:rsidR="00AE4A2C" w:rsidRPr="006338AE">
        <w:rPr>
          <w:color w:val="000000"/>
          <w:lang w:val="es-ES_tradnl" w:eastAsia="es-ES_tradnl"/>
        </w:rPr>
        <w:t xml:space="preserve">, 1994; </w:t>
      </w:r>
      <w:proofErr w:type="spellStart"/>
      <w:r w:rsidRPr="006338AE">
        <w:rPr>
          <w:color w:val="000000"/>
          <w:lang w:val="es-ES_tradnl" w:eastAsia="es-ES_tradnl"/>
        </w:rPr>
        <w:t>R</w:t>
      </w:r>
      <w:r w:rsidR="009F5C74" w:rsidRPr="006338AE">
        <w:rPr>
          <w:color w:val="000000"/>
          <w:lang w:val="es-ES_tradnl" w:eastAsia="es-ES_tradnl"/>
        </w:rPr>
        <w:t>ogstad</w:t>
      </w:r>
      <w:proofErr w:type="spellEnd"/>
      <w:r w:rsidR="009F5C74" w:rsidRPr="006338AE">
        <w:rPr>
          <w:color w:val="000000"/>
          <w:lang w:val="es-ES_tradnl" w:eastAsia="es-ES_tradnl"/>
        </w:rPr>
        <w:t xml:space="preserve"> y Rogers, 2008</w:t>
      </w:r>
      <w:r w:rsidR="00AE4A2C" w:rsidRPr="006338AE">
        <w:rPr>
          <w:color w:val="000000"/>
          <w:lang w:val="es-ES_tradnl" w:eastAsia="es-ES_tradnl"/>
        </w:rPr>
        <w:t xml:space="preserve">). </w:t>
      </w:r>
      <w:r w:rsidRPr="006338AE">
        <w:rPr>
          <w:color w:val="000000"/>
          <w:lang w:val="es-ES_tradnl" w:eastAsia="es-ES_tradnl"/>
        </w:rPr>
        <w:t>A pesar de e</w:t>
      </w:r>
      <w:r w:rsidR="003915DD">
        <w:rPr>
          <w:color w:val="000000"/>
          <w:lang w:val="es-ES_tradnl" w:eastAsia="es-ES_tradnl"/>
        </w:rPr>
        <w:t>llo</w:t>
      </w:r>
      <w:r w:rsidRPr="006338AE">
        <w:rPr>
          <w:color w:val="000000"/>
          <w:lang w:val="es-ES_tradnl" w:eastAsia="es-ES_tradnl"/>
        </w:rPr>
        <w:t xml:space="preserve">, la evidencia y </w:t>
      </w:r>
      <w:r w:rsidR="003915DD">
        <w:rPr>
          <w:color w:val="000000"/>
          <w:lang w:val="es-ES_tradnl" w:eastAsia="es-ES_tradnl"/>
        </w:rPr>
        <w:t xml:space="preserve">el </w:t>
      </w:r>
      <w:r w:rsidRPr="006338AE">
        <w:rPr>
          <w:color w:val="000000"/>
          <w:lang w:val="es-ES_tradnl" w:eastAsia="es-ES_tradnl"/>
        </w:rPr>
        <w:t xml:space="preserve">registro de la existencia de las mujeres psicópatas se remonta a 1940, cuando </w:t>
      </w:r>
      <w:proofErr w:type="spellStart"/>
      <w:r w:rsidRPr="006338AE">
        <w:rPr>
          <w:color w:val="000000"/>
          <w:lang w:val="es-ES_tradnl" w:eastAsia="es-ES_tradnl"/>
        </w:rPr>
        <w:t>Cleckley</w:t>
      </w:r>
      <w:proofErr w:type="spellEnd"/>
      <w:r w:rsidRPr="006338AE">
        <w:rPr>
          <w:color w:val="000000"/>
          <w:lang w:val="es-ES_tradnl" w:eastAsia="es-ES_tradnl"/>
        </w:rPr>
        <w:t>, en su libro “</w:t>
      </w:r>
      <w:proofErr w:type="spellStart"/>
      <w:r w:rsidRPr="0032288C">
        <w:rPr>
          <w:i/>
          <w:iCs/>
          <w:color w:val="000000"/>
          <w:lang w:val="es-ES_tradnl" w:eastAsia="es-ES_tradnl"/>
        </w:rPr>
        <w:t>The</w:t>
      </w:r>
      <w:proofErr w:type="spellEnd"/>
      <w:r w:rsidRPr="0032288C">
        <w:rPr>
          <w:i/>
          <w:iCs/>
          <w:color w:val="000000"/>
          <w:lang w:val="es-ES_tradnl" w:eastAsia="es-ES_tradnl"/>
        </w:rPr>
        <w:t xml:space="preserve"> </w:t>
      </w:r>
      <w:proofErr w:type="spellStart"/>
      <w:r w:rsidRPr="0032288C">
        <w:rPr>
          <w:i/>
          <w:iCs/>
          <w:color w:val="000000"/>
          <w:lang w:val="es-ES_tradnl" w:eastAsia="es-ES_tradnl"/>
        </w:rPr>
        <w:t>Mask</w:t>
      </w:r>
      <w:proofErr w:type="spellEnd"/>
      <w:r w:rsidRPr="0032288C">
        <w:rPr>
          <w:i/>
          <w:iCs/>
          <w:color w:val="000000"/>
          <w:lang w:val="es-ES_tradnl" w:eastAsia="es-ES_tradnl"/>
        </w:rPr>
        <w:t xml:space="preserve"> of </w:t>
      </w:r>
      <w:proofErr w:type="spellStart"/>
      <w:r w:rsidRPr="0032288C">
        <w:rPr>
          <w:i/>
          <w:iCs/>
          <w:color w:val="000000"/>
          <w:lang w:val="es-ES_tradnl" w:eastAsia="es-ES_tradnl"/>
        </w:rPr>
        <w:t>Sanity</w:t>
      </w:r>
      <w:proofErr w:type="spellEnd"/>
      <w:r w:rsidRPr="006338AE">
        <w:rPr>
          <w:color w:val="000000"/>
          <w:lang w:val="es-ES_tradnl" w:eastAsia="es-ES_tradnl"/>
        </w:rPr>
        <w:t>”, enseña a Roberta, la cual muestra una gran variedad de características psicopáticas (</w:t>
      </w:r>
      <w:r w:rsidR="00510B91" w:rsidRPr="006338AE">
        <w:rPr>
          <w:color w:val="000000"/>
          <w:lang w:val="es-ES_tradnl" w:eastAsia="es-ES_tradnl"/>
        </w:rPr>
        <w:t>Vitale y Newman, 2001</w:t>
      </w:r>
      <w:r w:rsidRPr="006338AE">
        <w:rPr>
          <w:color w:val="000000"/>
          <w:lang w:val="es-ES_tradnl" w:eastAsia="es-ES_tradnl"/>
        </w:rPr>
        <w:t xml:space="preserve">). Roberta es una mujer de 20 años con falta de empatía y </w:t>
      </w:r>
      <w:r w:rsidRPr="006338AE">
        <w:rPr>
          <w:color w:val="000000"/>
          <w:lang w:val="es-ES_tradnl" w:eastAsia="es-ES_tradnl"/>
        </w:rPr>
        <w:lastRenderedPageBreak/>
        <w:t>remordimientos, sentimientos superficiales, miente compulsivamente y daña deliberadamente a las personas</w:t>
      </w:r>
      <w:r w:rsidR="003915DD">
        <w:rPr>
          <w:color w:val="000000"/>
          <w:lang w:val="es-ES_tradnl" w:eastAsia="es-ES_tradnl"/>
        </w:rPr>
        <w:t>; p</w:t>
      </w:r>
      <w:r w:rsidRPr="006338AE">
        <w:rPr>
          <w:color w:val="000000"/>
          <w:lang w:val="es-ES_tradnl" w:eastAsia="es-ES_tradnl"/>
        </w:rPr>
        <w:t xml:space="preserve">resenta altas tasas de absentismo en la escuela y un rendimiento escolar muy bajo, </w:t>
      </w:r>
      <w:r w:rsidR="003915DD">
        <w:rPr>
          <w:color w:val="000000"/>
          <w:lang w:val="es-ES_tradnl" w:eastAsia="es-ES_tradnl"/>
        </w:rPr>
        <w:t xml:space="preserve">aunque su </w:t>
      </w:r>
      <w:r w:rsidRPr="006338AE">
        <w:rPr>
          <w:color w:val="000000"/>
          <w:lang w:val="es-ES_tradnl" w:eastAsia="es-ES_tradnl"/>
        </w:rPr>
        <w:t>dese</w:t>
      </w:r>
      <w:r w:rsidR="003915DD">
        <w:rPr>
          <w:color w:val="000000"/>
          <w:lang w:val="es-ES_tradnl" w:eastAsia="es-ES_tradnl"/>
        </w:rPr>
        <w:t>o es</w:t>
      </w:r>
      <w:r w:rsidRPr="006338AE">
        <w:rPr>
          <w:color w:val="000000"/>
          <w:lang w:val="es-ES_tradnl" w:eastAsia="es-ES_tradnl"/>
        </w:rPr>
        <w:t xml:space="preserve"> ser médico, lo cual señala que sus expectativas de futuro no se corresponden con la realidad</w:t>
      </w:r>
      <w:r w:rsidR="003915DD">
        <w:rPr>
          <w:color w:val="000000"/>
          <w:lang w:val="es-ES_tradnl" w:eastAsia="es-ES_tradnl"/>
        </w:rPr>
        <w:t>; e</w:t>
      </w:r>
      <w:r w:rsidRPr="006338AE">
        <w:rPr>
          <w:color w:val="000000"/>
          <w:lang w:val="es-ES_tradnl" w:eastAsia="es-ES_tradnl"/>
        </w:rPr>
        <w:t xml:space="preserve">s irresponsable, se compromete con sus vecinos enfermos a prestarles ayuda, pero finalmente no aparece; se ha escapado de casa en varias ocasiones pasando la noche fuera; ha tenido un número elevado de novios y promiscuidad sexual; </w:t>
      </w:r>
      <w:r w:rsidR="003915DD">
        <w:rPr>
          <w:color w:val="000000"/>
          <w:lang w:val="es-ES_tradnl" w:eastAsia="es-ES_tradnl"/>
        </w:rPr>
        <w:t xml:space="preserve">y </w:t>
      </w:r>
      <w:r w:rsidRPr="006338AE">
        <w:rPr>
          <w:color w:val="000000"/>
          <w:lang w:val="es-ES_tradnl" w:eastAsia="es-ES_tradnl"/>
        </w:rPr>
        <w:t>sus padres están desesperados ya que los castigos nunca han servido con ella (</w:t>
      </w:r>
      <w:proofErr w:type="spellStart"/>
      <w:r w:rsidRPr="006338AE">
        <w:rPr>
          <w:color w:val="000000"/>
          <w:lang w:val="es-ES_tradnl" w:eastAsia="es-ES_tradnl"/>
        </w:rPr>
        <w:t>C</w:t>
      </w:r>
      <w:r w:rsidR="00C51D2A" w:rsidRPr="006338AE">
        <w:rPr>
          <w:color w:val="000000"/>
          <w:lang w:val="es-ES_tradnl" w:eastAsia="es-ES_tradnl"/>
        </w:rPr>
        <w:t>leckley</w:t>
      </w:r>
      <w:proofErr w:type="spellEnd"/>
      <w:r w:rsidR="00C51D2A" w:rsidRPr="006338AE">
        <w:rPr>
          <w:color w:val="000000"/>
          <w:lang w:val="es-ES_tradnl" w:eastAsia="es-ES_tradnl"/>
        </w:rPr>
        <w:t>, 1941</w:t>
      </w:r>
      <w:r w:rsidRPr="006338AE">
        <w:rPr>
          <w:color w:val="000000"/>
          <w:lang w:val="es-ES_tradnl" w:eastAsia="es-ES_tradnl"/>
        </w:rPr>
        <w:t>). Tal y como podemos ver, Roberta ejemplifica la definición de psicopatía en gran medida, ¿qué es lo que ocurre entonces?</w:t>
      </w:r>
    </w:p>
    <w:p w:rsidR="00120F94" w:rsidRPr="006338AE" w:rsidRDefault="00120F94"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6338AE">
        <w:rPr>
          <w:color w:val="000000"/>
          <w:lang w:val="es-ES_tradnl" w:eastAsia="es-ES_tradnl"/>
        </w:rPr>
        <w:t>Las mujeres psicópatas presentan una sintomatología y características similares a los hombres, pero difieren en las manifestaciones conductuales (</w:t>
      </w:r>
      <w:r w:rsidR="008E60AB" w:rsidRPr="006338AE">
        <w:rPr>
          <w:color w:val="000000"/>
          <w:lang w:val="es-ES_tradnl" w:eastAsia="es-ES_tradnl"/>
        </w:rPr>
        <w:t>Cale y Lilienfeld, 2002</w:t>
      </w:r>
      <w:r w:rsidR="00AE4A2C" w:rsidRPr="006338AE">
        <w:rPr>
          <w:color w:val="000000"/>
          <w:lang w:val="es-ES_tradnl" w:eastAsia="es-ES_tradnl"/>
        </w:rPr>
        <w:t>; Mulder et al., 1994</w:t>
      </w:r>
      <w:r w:rsidRPr="006338AE">
        <w:rPr>
          <w:color w:val="000000"/>
          <w:lang w:val="es-ES_tradnl" w:eastAsia="es-ES_tradnl"/>
        </w:rPr>
        <w:t xml:space="preserve">). Las mujeres son menos agresivas, no exhiben un comportamiento antisocial extremo y abierto como los hombres, por </w:t>
      </w:r>
      <w:r w:rsidR="003915DD">
        <w:rPr>
          <w:color w:val="000000"/>
          <w:lang w:val="es-ES_tradnl" w:eastAsia="es-ES_tradnl"/>
        </w:rPr>
        <w:t>lo tanto</w:t>
      </w:r>
      <w:r w:rsidRPr="006338AE">
        <w:rPr>
          <w:color w:val="000000"/>
          <w:lang w:val="es-ES_tradnl" w:eastAsia="es-ES_tradnl"/>
        </w:rPr>
        <w:t xml:space="preserve">, </w:t>
      </w:r>
      <w:r w:rsidR="003915DD">
        <w:rPr>
          <w:color w:val="000000"/>
          <w:lang w:val="es-ES_tradnl" w:eastAsia="es-ES_tradnl"/>
        </w:rPr>
        <w:t>su encarcelamiento es menor</w:t>
      </w:r>
      <w:r w:rsidRPr="006338AE">
        <w:rPr>
          <w:color w:val="000000"/>
          <w:lang w:val="es-ES_tradnl" w:eastAsia="es-ES_tradnl"/>
        </w:rPr>
        <w:t xml:space="preserve"> (</w:t>
      </w:r>
      <w:r w:rsidR="00AE4A2C" w:rsidRPr="006338AE">
        <w:rPr>
          <w:color w:val="000000"/>
          <w:lang w:val="es-ES_tradnl" w:eastAsia="es-ES_tradnl"/>
        </w:rPr>
        <w:t xml:space="preserve">Garrido, 2006; </w:t>
      </w:r>
      <w:r w:rsidR="00510B91" w:rsidRPr="006338AE">
        <w:rPr>
          <w:color w:val="000000"/>
          <w:lang w:val="es-ES_tradnl" w:eastAsia="es-ES_tradnl"/>
        </w:rPr>
        <w:t>Vitale y Newman, 2001</w:t>
      </w:r>
      <w:r w:rsidRPr="006338AE">
        <w:rPr>
          <w:color w:val="000000"/>
          <w:lang w:val="es-ES_tradnl" w:eastAsia="es-ES_tradnl"/>
        </w:rPr>
        <w:t xml:space="preserve">). La expresión del comportamiento psicopático en las mujeres se presenta principalmente en la familia y en las relaciones, a través de </w:t>
      </w:r>
      <w:r w:rsidR="003915DD">
        <w:rPr>
          <w:color w:val="000000"/>
          <w:lang w:val="es-ES_tradnl" w:eastAsia="es-ES_tradnl"/>
        </w:rPr>
        <w:t>actos</w:t>
      </w:r>
      <w:r w:rsidRPr="006338AE">
        <w:rPr>
          <w:color w:val="000000"/>
          <w:lang w:val="es-ES_tradnl" w:eastAsia="es-ES_tradnl"/>
        </w:rPr>
        <w:t xml:space="preserve"> como la manipulación, </w:t>
      </w:r>
      <w:r w:rsidR="003915DD">
        <w:rPr>
          <w:color w:val="000000"/>
          <w:lang w:val="es-ES_tradnl" w:eastAsia="es-ES_tradnl"/>
        </w:rPr>
        <w:t xml:space="preserve">la </w:t>
      </w:r>
      <w:r w:rsidRPr="006338AE">
        <w:rPr>
          <w:color w:val="000000"/>
          <w:lang w:val="es-ES_tradnl" w:eastAsia="es-ES_tradnl"/>
        </w:rPr>
        <w:t xml:space="preserve">coacción, </w:t>
      </w:r>
      <w:r w:rsidR="003915DD">
        <w:rPr>
          <w:color w:val="000000"/>
          <w:lang w:val="es-ES_tradnl" w:eastAsia="es-ES_tradnl"/>
        </w:rPr>
        <w:t xml:space="preserve">la </w:t>
      </w:r>
      <w:r w:rsidRPr="006338AE">
        <w:rPr>
          <w:color w:val="000000"/>
          <w:lang w:val="es-ES_tradnl" w:eastAsia="es-ES_tradnl"/>
        </w:rPr>
        <w:t xml:space="preserve">insinuación, </w:t>
      </w:r>
      <w:r w:rsidR="003915DD">
        <w:rPr>
          <w:color w:val="000000"/>
          <w:lang w:val="es-ES_tradnl" w:eastAsia="es-ES_tradnl"/>
        </w:rPr>
        <w:t xml:space="preserve">la </w:t>
      </w:r>
      <w:r w:rsidRPr="006338AE">
        <w:rPr>
          <w:color w:val="000000"/>
          <w:lang w:val="es-ES_tradnl" w:eastAsia="es-ES_tradnl"/>
        </w:rPr>
        <w:t xml:space="preserve">negligencia o </w:t>
      </w:r>
      <w:r w:rsidR="003915DD">
        <w:rPr>
          <w:color w:val="000000"/>
          <w:lang w:val="es-ES_tradnl" w:eastAsia="es-ES_tradnl"/>
        </w:rPr>
        <w:t xml:space="preserve">el </w:t>
      </w:r>
      <w:r w:rsidRPr="006338AE">
        <w:rPr>
          <w:color w:val="000000"/>
          <w:lang w:val="es-ES_tradnl" w:eastAsia="es-ES_tradnl"/>
        </w:rPr>
        <w:t>engaño, normalmente por motivos de lucro (</w:t>
      </w:r>
      <w:proofErr w:type="spellStart"/>
      <w:r w:rsidR="008E60AB" w:rsidRPr="006338AE">
        <w:rPr>
          <w:color w:val="000000"/>
          <w:lang w:val="es-ES_tradnl" w:eastAsia="es-ES_tradnl"/>
        </w:rPr>
        <w:t>Rogstad</w:t>
      </w:r>
      <w:proofErr w:type="spellEnd"/>
      <w:r w:rsidR="008E60AB" w:rsidRPr="006338AE">
        <w:rPr>
          <w:color w:val="000000"/>
          <w:lang w:val="es-ES_tradnl" w:eastAsia="es-ES_tradnl"/>
        </w:rPr>
        <w:t xml:space="preserve"> y Rogers, 2008</w:t>
      </w:r>
      <w:r w:rsidRPr="006338AE">
        <w:rPr>
          <w:color w:val="000000"/>
          <w:lang w:val="es-ES_tradnl" w:eastAsia="es-ES_tradnl"/>
        </w:rPr>
        <w:t xml:space="preserve">; </w:t>
      </w:r>
      <w:r w:rsidR="009F5C74" w:rsidRPr="006338AE">
        <w:rPr>
          <w:color w:val="000000"/>
          <w:lang w:val="es-ES_tradnl" w:eastAsia="es-ES_tradnl"/>
        </w:rPr>
        <w:t>Verona y Vitale, 2006</w:t>
      </w:r>
      <w:r w:rsidRPr="006338AE">
        <w:rPr>
          <w:color w:val="000000"/>
          <w:lang w:val="es-ES_tradnl" w:eastAsia="es-ES_tradnl"/>
        </w:rPr>
        <w:t>). Se caracterizan por ser madres irresponsables, la presencia de altas tasas de matrimonios rotos, maltrato de pareja, bajas tasas de empleo, problemas en el trabajo, prostitución, mentiras patológicas y asesinato o envenenamiento de amigos e hijos (</w:t>
      </w:r>
      <w:r w:rsidR="00AE4A2C" w:rsidRPr="006338AE">
        <w:rPr>
          <w:color w:val="000000"/>
          <w:lang w:val="es-ES_tradnl" w:eastAsia="es-ES_tradnl"/>
        </w:rPr>
        <w:t xml:space="preserve">Garrido, 2006; </w:t>
      </w:r>
      <w:r w:rsidR="008E60AB" w:rsidRPr="006338AE">
        <w:rPr>
          <w:color w:val="000000"/>
          <w:lang w:val="es-ES_tradnl" w:eastAsia="es-ES_tradnl"/>
        </w:rPr>
        <w:t>Mulder et al., 1994</w:t>
      </w:r>
      <w:r w:rsidRPr="006338AE">
        <w:rPr>
          <w:color w:val="000000"/>
          <w:lang w:val="es-ES_tradnl" w:eastAsia="es-ES_tradnl"/>
        </w:rPr>
        <w:t xml:space="preserve">; </w:t>
      </w:r>
      <w:r w:rsidR="009F5C74" w:rsidRPr="006338AE">
        <w:rPr>
          <w:color w:val="000000"/>
          <w:lang w:val="es-ES_tradnl" w:eastAsia="es-ES_tradnl"/>
        </w:rPr>
        <w:t>Verona y Vitale, 200</w:t>
      </w:r>
      <w:r w:rsidR="00AE4A2C" w:rsidRPr="006338AE">
        <w:rPr>
          <w:color w:val="000000"/>
          <w:lang w:val="es-ES_tradnl" w:eastAsia="es-ES_tradnl"/>
        </w:rPr>
        <w:t>6</w:t>
      </w:r>
      <w:r w:rsidRPr="006338AE">
        <w:rPr>
          <w:color w:val="000000"/>
          <w:lang w:val="es-ES_tradnl" w:eastAsia="es-ES_tradnl"/>
        </w:rPr>
        <w:t>). Así mismo, a la hora de la comisión de los crímenes, las mujeres son más cuidadosas, precisas, metódicas y tranquilas (</w:t>
      </w:r>
      <w:r w:rsidR="00E24DE6" w:rsidRPr="006338AE">
        <w:rPr>
          <w:lang w:val="es-ES"/>
        </w:rPr>
        <w:t>López, 2013</w:t>
      </w:r>
      <w:r w:rsidRPr="006338AE">
        <w:rPr>
          <w:color w:val="000000"/>
          <w:lang w:val="es-ES_tradnl" w:eastAsia="es-ES_tradnl"/>
        </w:rPr>
        <w:t xml:space="preserve">). Por </w:t>
      </w:r>
      <w:r w:rsidR="00391779">
        <w:rPr>
          <w:color w:val="000000"/>
          <w:lang w:val="es-ES_tradnl" w:eastAsia="es-ES_tradnl"/>
        </w:rPr>
        <w:t>el</w:t>
      </w:r>
      <w:r w:rsidRPr="006338AE">
        <w:rPr>
          <w:color w:val="000000"/>
          <w:lang w:val="es-ES_tradnl" w:eastAsia="es-ES_tradnl"/>
        </w:rPr>
        <w:t xml:space="preserve"> contrario, los hombres manifiestan una mayor impulsividad, problemas de conducta y comportamientos violentos, motivados por la búsqueda de sensaciones y la actividad sexual, presentando una menor capacidad en el control de los impulsos (</w:t>
      </w:r>
      <w:r w:rsidR="00AE4A2C" w:rsidRPr="006338AE">
        <w:rPr>
          <w:color w:val="000000"/>
          <w:lang w:val="es-ES_tradnl" w:eastAsia="es-ES_tradnl"/>
        </w:rPr>
        <w:t xml:space="preserve">Garrido, 2006; </w:t>
      </w:r>
      <w:proofErr w:type="spellStart"/>
      <w:r w:rsidR="008E60AB" w:rsidRPr="006338AE">
        <w:rPr>
          <w:color w:val="000000"/>
          <w:lang w:val="es-ES_tradnl" w:eastAsia="es-ES_tradnl"/>
        </w:rPr>
        <w:t>Rogstad</w:t>
      </w:r>
      <w:proofErr w:type="spellEnd"/>
      <w:r w:rsidR="008E60AB" w:rsidRPr="006338AE">
        <w:rPr>
          <w:color w:val="000000"/>
          <w:lang w:val="es-ES_tradnl" w:eastAsia="es-ES_tradnl"/>
        </w:rPr>
        <w:t xml:space="preserve"> y Rogers, 2008</w:t>
      </w:r>
      <w:r w:rsidRPr="006338AE">
        <w:rPr>
          <w:color w:val="000000"/>
          <w:lang w:val="es-ES_tradnl" w:eastAsia="es-ES_tradnl"/>
        </w:rPr>
        <w:t xml:space="preserve">). </w:t>
      </w:r>
    </w:p>
    <w:p w:rsidR="00120F94" w:rsidRPr="006338AE" w:rsidRDefault="00120F94"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6338AE">
        <w:rPr>
          <w:color w:val="000000"/>
          <w:lang w:val="es-ES_tradnl" w:eastAsia="es-ES_tradnl"/>
        </w:rPr>
        <w:t>Respecto a la comorbilidad, las mujeres psicópatas son diagnosticadas con frecuencia de trastorno límite</w:t>
      </w:r>
      <w:r w:rsidR="003915DD">
        <w:rPr>
          <w:color w:val="000000"/>
          <w:lang w:val="es-ES_tradnl" w:eastAsia="es-ES_tradnl"/>
        </w:rPr>
        <w:t xml:space="preserve"> y de</w:t>
      </w:r>
      <w:r w:rsidRPr="006338AE">
        <w:rPr>
          <w:color w:val="000000"/>
          <w:lang w:val="es-ES_tradnl" w:eastAsia="es-ES_tradnl"/>
        </w:rPr>
        <w:t xml:space="preserve"> trastorno histriónico, debido a sus características similares con la psicopatía como la propensión a la impulsividad, superficialidad, seducción y manipulación,</w:t>
      </w:r>
      <w:r w:rsidR="003915DD">
        <w:rPr>
          <w:color w:val="000000"/>
          <w:lang w:val="es-ES_tradnl" w:eastAsia="es-ES_tradnl"/>
        </w:rPr>
        <w:t xml:space="preserve"> ambos</w:t>
      </w:r>
      <w:r w:rsidRPr="006338AE">
        <w:rPr>
          <w:color w:val="000000"/>
          <w:lang w:val="es-ES_tradnl" w:eastAsia="es-ES_tradnl"/>
        </w:rPr>
        <w:t xml:space="preserve"> se han tipificado como manifestaciones alternativas de género de la psicopatía en las mujeres, al igual que el TAP en los hombres (</w:t>
      </w:r>
      <w:r w:rsidR="00AE4A2C" w:rsidRPr="006338AE">
        <w:rPr>
          <w:color w:val="000000"/>
          <w:lang w:val="es-ES_tradnl" w:eastAsia="es-ES_tradnl"/>
        </w:rPr>
        <w:t>Cale y Lilienfeld, 2002</w:t>
      </w:r>
      <w:r w:rsidRPr="006338AE">
        <w:rPr>
          <w:color w:val="000000"/>
          <w:lang w:val="es-ES_tradnl" w:eastAsia="es-ES_tradnl"/>
        </w:rPr>
        <w:t xml:space="preserve">; </w:t>
      </w:r>
      <w:r w:rsidR="008E60AB" w:rsidRPr="006338AE">
        <w:rPr>
          <w:color w:val="000000"/>
          <w:lang w:val="es-ES_tradnl" w:eastAsia="es-ES_tradnl"/>
        </w:rPr>
        <w:t>Cale y Lilienfeld, 2002</w:t>
      </w:r>
      <w:r w:rsidR="003915DD">
        <w:rPr>
          <w:color w:val="000000"/>
          <w:lang w:val="es-ES_tradnl" w:eastAsia="es-ES_tradnl"/>
        </w:rPr>
        <w:t>; Ve</w:t>
      </w:r>
      <w:r w:rsidR="003915DD" w:rsidRPr="006338AE">
        <w:rPr>
          <w:color w:val="000000"/>
          <w:lang w:val="es-ES_tradnl" w:eastAsia="es-ES_tradnl"/>
        </w:rPr>
        <w:t>rona y Vitale, 2006</w:t>
      </w:r>
      <w:r w:rsidRPr="006338AE">
        <w:rPr>
          <w:color w:val="000000"/>
          <w:lang w:val="es-ES_tradnl" w:eastAsia="es-ES_tradnl"/>
        </w:rPr>
        <w:t>). Por otro lado, tanto los hombres como las mujeres psicópatas, presentan altas tasas de abuso de alcohol y drogas (</w:t>
      </w:r>
      <w:r w:rsidR="008E60AB" w:rsidRPr="006338AE">
        <w:rPr>
          <w:color w:val="000000"/>
          <w:lang w:val="es-ES_tradnl" w:eastAsia="es-ES_tradnl"/>
        </w:rPr>
        <w:t>Mulder et al., 1994</w:t>
      </w:r>
      <w:r w:rsidRPr="006338AE">
        <w:rPr>
          <w:color w:val="000000"/>
          <w:lang w:val="es-ES_tradnl" w:eastAsia="es-ES_tradnl"/>
        </w:rPr>
        <w:t>).</w:t>
      </w:r>
    </w:p>
    <w:p w:rsidR="00120F94" w:rsidRPr="006338AE" w:rsidRDefault="00120F94"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6338AE">
        <w:rPr>
          <w:color w:val="000000"/>
          <w:lang w:val="es-ES_tradnl" w:eastAsia="es-ES_tradnl"/>
        </w:rPr>
        <w:t>Haciendo referencia a la etiología, también se encuentran diferencias en la edad de inicio y en los precursores. Los niños muestran problemas de conducta desde la infancia y una agresión más externa debido al pobre control de impulsos, viéndose involucrados en peleas, uso de armas, crueldad animal, vandalismo y provocación de fuegos (</w:t>
      </w:r>
      <w:r w:rsidR="00AE4A2C" w:rsidRPr="006338AE">
        <w:rPr>
          <w:color w:val="000000"/>
          <w:lang w:val="es-ES_tradnl" w:eastAsia="es-ES_tradnl"/>
        </w:rPr>
        <w:t>Cale y Lilienfeld, 2002; Verona y Vitale, 2006</w:t>
      </w:r>
      <w:r w:rsidRPr="006338AE">
        <w:rPr>
          <w:color w:val="000000"/>
          <w:lang w:val="es-ES_tradnl" w:eastAsia="es-ES_tradnl"/>
        </w:rPr>
        <w:t xml:space="preserve">). Sin embargo, los criterios del DSM no son apropiados para el diagnóstico del trastorno de </w:t>
      </w:r>
      <w:r w:rsidRPr="006338AE">
        <w:rPr>
          <w:color w:val="000000"/>
          <w:lang w:val="es-ES_tradnl" w:eastAsia="es-ES_tradnl"/>
        </w:rPr>
        <w:lastRenderedPageBreak/>
        <w:t xml:space="preserve">conducta en niñas debido a las diferencias de agresividad y criminalidad, ya que el tipo de agresión que muestran es la relacional, a través del </w:t>
      </w:r>
      <w:r w:rsidR="00391779">
        <w:rPr>
          <w:color w:val="000000"/>
          <w:lang w:val="es-ES_tradnl" w:eastAsia="es-ES_tradnl"/>
        </w:rPr>
        <w:t>“</w:t>
      </w:r>
      <w:r w:rsidRPr="006338AE">
        <w:rPr>
          <w:color w:val="000000"/>
          <w:lang w:val="es-ES_tradnl" w:eastAsia="es-ES_tradnl"/>
        </w:rPr>
        <w:t>cotilleo</w:t>
      </w:r>
      <w:r w:rsidR="00391779">
        <w:rPr>
          <w:color w:val="000000"/>
          <w:lang w:val="es-ES_tradnl" w:eastAsia="es-ES_tradnl"/>
        </w:rPr>
        <w:t>”</w:t>
      </w:r>
      <w:r w:rsidRPr="006338AE">
        <w:rPr>
          <w:color w:val="000000"/>
          <w:lang w:val="es-ES_tradnl" w:eastAsia="es-ES_tradnl"/>
        </w:rPr>
        <w:t>, manipulación o rechazo de los pares (</w:t>
      </w:r>
      <w:r w:rsidR="009F5C74" w:rsidRPr="006338AE">
        <w:rPr>
          <w:color w:val="000000"/>
          <w:lang w:val="es-ES_tradnl" w:eastAsia="es-ES_tradnl"/>
        </w:rPr>
        <w:t>Verona y Vitale, 2006</w:t>
      </w:r>
      <w:r w:rsidR="00AE4A2C" w:rsidRPr="006338AE">
        <w:rPr>
          <w:color w:val="000000"/>
          <w:lang w:val="es-ES_tradnl" w:eastAsia="es-ES_tradnl"/>
        </w:rPr>
        <w:t>; Vitale y Newman, 2001</w:t>
      </w:r>
      <w:r w:rsidRPr="006338AE">
        <w:rPr>
          <w:color w:val="000000"/>
          <w:lang w:val="es-ES_tradnl" w:eastAsia="es-ES_tradnl"/>
        </w:rPr>
        <w:t>). El comportamiento antisocial en las mujeres no comienza hasta la adolescencia, caracterizándose por el egocentrismo, búsqueda de sensaciones, absentismo y expulsiones en la escuela, peleas con los compañeros y profesores, bajo rendimiento escolar, escapadas de casa e inicio sexual temprano (</w:t>
      </w:r>
      <w:proofErr w:type="spellStart"/>
      <w:r w:rsidRPr="006338AE">
        <w:rPr>
          <w:color w:val="000000"/>
          <w:lang w:val="es-ES_tradnl" w:eastAsia="es-ES_tradnl"/>
        </w:rPr>
        <w:t>C</w:t>
      </w:r>
      <w:r w:rsidR="00C51D2A" w:rsidRPr="006338AE">
        <w:rPr>
          <w:color w:val="000000"/>
          <w:lang w:val="es-ES_tradnl" w:eastAsia="es-ES_tradnl"/>
        </w:rPr>
        <w:t>loninger</w:t>
      </w:r>
      <w:proofErr w:type="spellEnd"/>
      <w:r w:rsidR="00C51D2A" w:rsidRPr="006338AE">
        <w:rPr>
          <w:color w:val="000000"/>
          <w:lang w:val="es-ES_tradnl" w:eastAsia="es-ES_tradnl"/>
        </w:rPr>
        <w:t xml:space="preserve"> y </w:t>
      </w:r>
      <w:proofErr w:type="spellStart"/>
      <w:r w:rsidR="00C51D2A" w:rsidRPr="006338AE">
        <w:rPr>
          <w:color w:val="000000"/>
          <w:lang w:val="es-ES_tradnl" w:eastAsia="es-ES_tradnl"/>
        </w:rPr>
        <w:t>Guze</w:t>
      </w:r>
      <w:proofErr w:type="spellEnd"/>
      <w:r w:rsidR="00C51D2A" w:rsidRPr="006338AE">
        <w:rPr>
          <w:color w:val="000000"/>
          <w:lang w:val="es-ES_tradnl" w:eastAsia="es-ES_tradnl"/>
        </w:rPr>
        <w:t>, 1970</w:t>
      </w:r>
      <w:r w:rsidRPr="006338AE">
        <w:rPr>
          <w:color w:val="000000"/>
          <w:lang w:val="es-ES_tradnl" w:eastAsia="es-ES_tradnl"/>
        </w:rPr>
        <w:t xml:space="preserve">). Por otro lado, la vivencia de disfunciones familiares y traumas en la infancia, como el abuso sexual infantil, </w:t>
      </w:r>
      <w:r w:rsidR="005057DA">
        <w:rPr>
          <w:color w:val="000000"/>
          <w:lang w:val="es-ES_tradnl" w:eastAsia="es-ES_tradnl"/>
        </w:rPr>
        <w:t xml:space="preserve">la </w:t>
      </w:r>
      <w:r w:rsidRPr="006338AE">
        <w:rPr>
          <w:color w:val="000000"/>
          <w:lang w:val="es-ES_tradnl" w:eastAsia="es-ES_tradnl"/>
        </w:rPr>
        <w:t>negligencia por parte de los padres o</w:t>
      </w:r>
      <w:r w:rsidR="005057DA">
        <w:rPr>
          <w:color w:val="000000"/>
          <w:lang w:val="es-ES_tradnl" w:eastAsia="es-ES_tradnl"/>
        </w:rPr>
        <w:t xml:space="preserve"> la</w:t>
      </w:r>
      <w:r w:rsidRPr="006338AE">
        <w:rPr>
          <w:color w:val="000000"/>
          <w:lang w:val="es-ES_tradnl" w:eastAsia="es-ES_tradnl"/>
        </w:rPr>
        <w:t xml:space="preserve"> ausencia de éstos en el hogar, y los antecedentes </w:t>
      </w:r>
      <w:r w:rsidR="005057DA">
        <w:rPr>
          <w:color w:val="000000"/>
          <w:lang w:val="es-ES_tradnl" w:eastAsia="es-ES_tradnl"/>
        </w:rPr>
        <w:t xml:space="preserve">paternos </w:t>
      </w:r>
      <w:r w:rsidRPr="006338AE">
        <w:rPr>
          <w:color w:val="000000"/>
          <w:lang w:val="es-ES_tradnl" w:eastAsia="es-ES_tradnl"/>
        </w:rPr>
        <w:t xml:space="preserve">desfavorables, como diagnóstico de psicopatía o TAP, </w:t>
      </w:r>
      <w:r w:rsidR="005057DA">
        <w:rPr>
          <w:color w:val="000000"/>
          <w:lang w:val="es-ES_tradnl" w:eastAsia="es-ES_tradnl"/>
        </w:rPr>
        <w:t xml:space="preserve">de enfermedad </w:t>
      </w:r>
      <w:r w:rsidRPr="006338AE">
        <w:rPr>
          <w:color w:val="000000"/>
          <w:lang w:val="es-ES_tradnl" w:eastAsia="es-ES_tradnl"/>
        </w:rPr>
        <w:t>psiquiátric</w:t>
      </w:r>
      <w:r w:rsidR="005057DA">
        <w:rPr>
          <w:color w:val="000000"/>
          <w:lang w:val="es-ES_tradnl" w:eastAsia="es-ES_tradnl"/>
        </w:rPr>
        <w:t>a</w:t>
      </w:r>
      <w:r w:rsidRPr="006338AE">
        <w:rPr>
          <w:color w:val="000000"/>
          <w:lang w:val="es-ES_tradnl" w:eastAsia="es-ES_tradnl"/>
        </w:rPr>
        <w:t xml:space="preserve"> o consumo de sustancias y alcohol, favorecen al desarrollo del comportamiento antisocial y </w:t>
      </w:r>
      <w:r w:rsidR="005057DA">
        <w:rPr>
          <w:color w:val="000000"/>
          <w:lang w:val="es-ES_tradnl" w:eastAsia="es-ES_tradnl"/>
        </w:rPr>
        <w:t xml:space="preserve">de </w:t>
      </w:r>
      <w:r w:rsidRPr="006338AE">
        <w:rPr>
          <w:color w:val="000000"/>
          <w:lang w:val="es-ES_tradnl" w:eastAsia="es-ES_tradnl"/>
        </w:rPr>
        <w:t>psicopatologías, el consumo de drogas y el encarcelamiento de las mujeres (</w:t>
      </w:r>
      <w:proofErr w:type="spellStart"/>
      <w:r w:rsidR="00AE4A2C" w:rsidRPr="006338AE">
        <w:rPr>
          <w:color w:val="000000"/>
          <w:lang w:val="es-ES_tradnl" w:eastAsia="es-ES_tradnl"/>
        </w:rPr>
        <w:t>Cloninger</w:t>
      </w:r>
      <w:proofErr w:type="spellEnd"/>
      <w:r w:rsidR="00AE4A2C" w:rsidRPr="006338AE">
        <w:rPr>
          <w:color w:val="000000"/>
          <w:lang w:val="es-ES_tradnl" w:eastAsia="es-ES_tradnl"/>
        </w:rPr>
        <w:t xml:space="preserve"> y </w:t>
      </w:r>
      <w:proofErr w:type="spellStart"/>
      <w:r w:rsidR="00AE4A2C" w:rsidRPr="006338AE">
        <w:rPr>
          <w:color w:val="000000"/>
          <w:lang w:val="es-ES_tradnl" w:eastAsia="es-ES_tradnl"/>
        </w:rPr>
        <w:t>Guze</w:t>
      </w:r>
      <w:proofErr w:type="spellEnd"/>
      <w:r w:rsidR="00AE4A2C" w:rsidRPr="006338AE">
        <w:rPr>
          <w:color w:val="000000"/>
          <w:lang w:val="es-ES_tradnl" w:eastAsia="es-ES_tradnl"/>
        </w:rPr>
        <w:t xml:space="preserve">, 1970; </w:t>
      </w:r>
      <w:r w:rsidR="008E60AB" w:rsidRPr="006338AE">
        <w:rPr>
          <w:color w:val="000000"/>
          <w:lang w:val="es-ES_tradnl" w:eastAsia="es-ES_tradnl"/>
        </w:rPr>
        <w:t>Verona y Vitale, 2006</w:t>
      </w:r>
      <w:r w:rsidRPr="006338AE">
        <w:rPr>
          <w:color w:val="000000"/>
          <w:lang w:val="es-ES_tradnl" w:eastAsia="es-ES_tradnl"/>
        </w:rPr>
        <w:t xml:space="preserve">). </w:t>
      </w:r>
    </w:p>
    <w:p w:rsidR="00120F94" w:rsidRDefault="00120F94" w:rsidP="006338AE">
      <w:pPr>
        <w:pStyle w:val="Cuerpo"/>
        <w:spacing w:line="360" w:lineRule="auto"/>
        <w:jc w:val="both"/>
        <w:rPr>
          <w:rFonts w:ascii="Times New Roman" w:hAnsi="Times New Roman" w:cs="Times New Roman"/>
          <w:sz w:val="24"/>
          <w:szCs w:val="24"/>
        </w:rPr>
      </w:pPr>
      <w:r w:rsidRPr="006338AE">
        <w:rPr>
          <w:rFonts w:ascii="Times New Roman" w:hAnsi="Times New Roman" w:cs="Times New Roman"/>
          <w:sz w:val="24"/>
          <w:szCs w:val="24"/>
        </w:rPr>
        <w:t>La evaluación es otro tema bastante controvertido debido al escepticismo sobre si el instrumento de medida PCL-R discrimina adecuadamente a las mujeres psicópatas (</w:t>
      </w:r>
      <w:r w:rsidR="009F5C74" w:rsidRPr="006338AE">
        <w:rPr>
          <w:rFonts w:ascii="Times New Roman" w:hAnsi="Times New Roman" w:cs="Times New Roman"/>
          <w:sz w:val="24"/>
          <w:szCs w:val="24"/>
        </w:rPr>
        <w:t>Verona y Vitale, 2006</w:t>
      </w:r>
      <w:r w:rsidRPr="006338AE">
        <w:rPr>
          <w:rFonts w:ascii="Times New Roman" w:hAnsi="Times New Roman" w:cs="Times New Roman"/>
          <w:sz w:val="24"/>
          <w:szCs w:val="24"/>
        </w:rPr>
        <w:t xml:space="preserve">; </w:t>
      </w:r>
      <w:r w:rsidR="00510B91" w:rsidRPr="006338AE">
        <w:rPr>
          <w:rFonts w:ascii="Times New Roman" w:hAnsi="Times New Roman" w:cs="Times New Roman"/>
          <w:sz w:val="24"/>
          <w:szCs w:val="24"/>
        </w:rPr>
        <w:t>Vitale y Newman, 2001</w:t>
      </w:r>
      <w:r w:rsidRPr="006338AE">
        <w:rPr>
          <w:rFonts w:ascii="Times New Roman" w:hAnsi="Times New Roman" w:cs="Times New Roman"/>
          <w:sz w:val="24"/>
          <w:szCs w:val="24"/>
        </w:rPr>
        <w:t xml:space="preserve">). Las tres críticas principales que se realizan al modelo de los dos factores (interpersonal/afectivo </w:t>
      </w:r>
      <w:r w:rsidR="00D1400B" w:rsidRPr="006338AE">
        <w:rPr>
          <w:rFonts w:ascii="Times New Roman" w:hAnsi="Times New Roman" w:cs="Times New Roman"/>
          <w:sz w:val="24"/>
          <w:szCs w:val="24"/>
        </w:rPr>
        <w:t>y desviación social</w:t>
      </w:r>
      <w:r w:rsidRPr="006338AE">
        <w:rPr>
          <w:rFonts w:ascii="Times New Roman" w:hAnsi="Times New Roman" w:cs="Times New Roman"/>
          <w:sz w:val="24"/>
          <w:szCs w:val="24"/>
        </w:rPr>
        <w:t>) del PCL-R de Robert D. Hare son que se centra demasiado en la desviación social y</w:t>
      </w:r>
      <w:r w:rsidR="005057DA">
        <w:rPr>
          <w:rFonts w:ascii="Times New Roman" w:hAnsi="Times New Roman" w:cs="Times New Roman"/>
          <w:sz w:val="24"/>
          <w:szCs w:val="24"/>
        </w:rPr>
        <w:t xml:space="preserve"> en</w:t>
      </w:r>
      <w:r w:rsidRPr="006338AE">
        <w:rPr>
          <w:rFonts w:ascii="Times New Roman" w:hAnsi="Times New Roman" w:cs="Times New Roman"/>
          <w:sz w:val="24"/>
          <w:szCs w:val="24"/>
        </w:rPr>
        <w:t xml:space="preserve"> el comportamiento antisocial, que se basa predominantemente en muestras de hombres, y solo clasifica a un 11% de las mujeres encarceladas como psicópatas, contrastando con el 30% en el caso de los hombres (</w:t>
      </w:r>
      <w:proofErr w:type="spellStart"/>
      <w:r w:rsidR="008E60AB" w:rsidRPr="006338AE">
        <w:rPr>
          <w:rFonts w:ascii="Times New Roman" w:hAnsi="Times New Roman" w:cs="Times New Roman"/>
          <w:sz w:val="24"/>
          <w:szCs w:val="24"/>
        </w:rPr>
        <w:t>Rogstad</w:t>
      </w:r>
      <w:proofErr w:type="spellEnd"/>
      <w:r w:rsidR="008E60AB" w:rsidRPr="006338AE">
        <w:rPr>
          <w:rFonts w:ascii="Times New Roman" w:hAnsi="Times New Roman" w:cs="Times New Roman"/>
          <w:sz w:val="24"/>
          <w:szCs w:val="24"/>
        </w:rPr>
        <w:t xml:space="preserve"> y Rogers, 2008</w:t>
      </w:r>
      <w:r w:rsidRPr="006338AE">
        <w:rPr>
          <w:rFonts w:ascii="Times New Roman" w:hAnsi="Times New Roman" w:cs="Times New Roman"/>
          <w:sz w:val="24"/>
          <w:szCs w:val="24"/>
        </w:rPr>
        <w:t xml:space="preserve">; </w:t>
      </w:r>
      <w:r w:rsidR="00510B91" w:rsidRPr="006338AE">
        <w:rPr>
          <w:rFonts w:ascii="Times New Roman" w:hAnsi="Times New Roman" w:cs="Times New Roman"/>
          <w:sz w:val="24"/>
          <w:szCs w:val="24"/>
        </w:rPr>
        <w:t>Vitale y Newman, 2001</w:t>
      </w:r>
      <w:r w:rsidR="00AE4A2C" w:rsidRPr="006338AE">
        <w:rPr>
          <w:rFonts w:ascii="Times New Roman" w:hAnsi="Times New Roman" w:cs="Times New Roman"/>
          <w:sz w:val="24"/>
          <w:szCs w:val="24"/>
        </w:rPr>
        <w:t xml:space="preserve">; </w:t>
      </w:r>
      <w:proofErr w:type="spellStart"/>
      <w:r w:rsidR="00AE4A2C" w:rsidRPr="006338AE">
        <w:rPr>
          <w:rFonts w:ascii="Times New Roman" w:hAnsi="Times New Roman" w:cs="Times New Roman"/>
          <w:sz w:val="24"/>
          <w:szCs w:val="24"/>
        </w:rPr>
        <w:t>Weizmann-Henelius</w:t>
      </w:r>
      <w:proofErr w:type="spellEnd"/>
      <w:r w:rsidR="00AE4A2C" w:rsidRPr="006338AE">
        <w:rPr>
          <w:rFonts w:ascii="Times New Roman" w:hAnsi="Times New Roman" w:cs="Times New Roman"/>
          <w:sz w:val="24"/>
          <w:szCs w:val="24"/>
        </w:rPr>
        <w:t xml:space="preserve"> et al., 2010</w:t>
      </w:r>
      <w:r w:rsidRPr="006338AE">
        <w:rPr>
          <w:rFonts w:ascii="Times New Roman" w:hAnsi="Times New Roman" w:cs="Times New Roman"/>
          <w:sz w:val="24"/>
          <w:szCs w:val="24"/>
        </w:rPr>
        <w:t>). Una de las dificultades que se pueden encontrar es que las mujeres psicópatas presentan puntuaciones totales en el PCL-R menores que los hombres, Rutherford</w:t>
      </w:r>
      <w:r w:rsidR="009F5C74" w:rsidRPr="006338AE">
        <w:rPr>
          <w:rFonts w:ascii="Times New Roman" w:hAnsi="Times New Roman" w:cs="Times New Roman"/>
          <w:sz w:val="24"/>
          <w:szCs w:val="24"/>
        </w:rPr>
        <w:t xml:space="preserve"> et al.,</w:t>
      </w:r>
      <w:r w:rsidRPr="006338AE">
        <w:rPr>
          <w:rFonts w:ascii="Times New Roman" w:hAnsi="Times New Roman" w:cs="Times New Roman"/>
          <w:sz w:val="24"/>
          <w:szCs w:val="24"/>
        </w:rPr>
        <w:t xml:space="preserve"> (</w:t>
      </w:r>
      <w:r w:rsidR="009F5C74" w:rsidRPr="006338AE">
        <w:rPr>
          <w:rFonts w:ascii="Times New Roman" w:hAnsi="Times New Roman" w:cs="Times New Roman"/>
          <w:sz w:val="24"/>
          <w:szCs w:val="24"/>
        </w:rPr>
        <w:t>1998</w:t>
      </w:r>
      <w:r w:rsidR="008E60AB" w:rsidRPr="006338AE">
        <w:rPr>
          <w:rFonts w:ascii="Times New Roman" w:hAnsi="Times New Roman" w:cs="Times New Roman"/>
          <w:sz w:val="24"/>
          <w:szCs w:val="24"/>
        </w:rPr>
        <w:t xml:space="preserve">) </w:t>
      </w:r>
      <w:r w:rsidRPr="006338AE">
        <w:rPr>
          <w:rFonts w:ascii="Times New Roman" w:hAnsi="Times New Roman" w:cs="Times New Roman"/>
          <w:sz w:val="24"/>
          <w:szCs w:val="24"/>
        </w:rPr>
        <w:t>inhabilitó el uso de la puntuación de corte de 30 en las mujeres debido a que casi ninguna puntuaba por encima de 29, así mismo, Robert D. Hare (2003) propuso bajar dicha puntuación a 26 para el género femenino. Respecto a la composición de los ítems, algunos como la delincuencia juvenil, la grandiosidad o la crueldad son difícilmente aplicables a las mujeres, debido a la baja sensibilidad que presentan a estos, la cual se mide según el rango de comportamientos que ejemplifican el ítem, por ejemplo, en crueldad se puntúa alto si la persona tiene una historia de violencia física, en ausencia de agresión abierta como en la mayoría de los casos de mujeres psicópatas habría pocos ejemplos claros para poder puntuar en dicho ítem (</w:t>
      </w:r>
      <w:proofErr w:type="spellStart"/>
      <w:r w:rsidR="00AE4A2C" w:rsidRPr="006338AE">
        <w:rPr>
          <w:rFonts w:ascii="Times New Roman" w:hAnsi="Times New Roman" w:cs="Times New Roman"/>
          <w:sz w:val="24"/>
          <w:szCs w:val="24"/>
        </w:rPr>
        <w:t>Dolan</w:t>
      </w:r>
      <w:proofErr w:type="spellEnd"/>
      <w:r w:rsidR="00AE4A2C" w:rsidRPr="006338AE">
        <w:rPr>
          <w:rFonts w:ascii="Times New Roman" w:hAnsi="Times New Roman" w:cs="Times New Roman"/>
          <w:sz w:val="24"/>
          <w:szCs w:val="24"/>
        </w:rPr>
        <w:t xml:space="preserve"> y </w:t>
      </w:r>
      <w:proofErr w:type="spellStart"/>
      <w:r w:rsidR="00AE4A2C" w:rsidRPr="006338AE">
        <w:rPr>
          <w:rFonts w:ascii="Times New Roman" w:hAnsi="Times New Roman" w:cs="Times New Roman"/>
          <w:sz w:val="24"/>
          <w:szCs w:val="24"/>
        </w:rPr>
        <w:t>Völlm</w:t>
      </w:r>
      <w:proofErr w:type="spellEnd"/>
      <w:r w:rsidR="00AE4A2C" w:rsidRPr="006338AE">
        <w:rPr>
          <w:rFonts w:ascii="Times New Roman" w:hAnsi="Times New Roman" w:cs="Times New Roman"/>
          <w:sz w:val="24"/>
          <w:szCs w:val="24"/>
        </w:rPr>
        <w:t>, 2009</w:t>
      </w:r>
      <w:r w:rsidRPr="006338AE">
        <w:rPr>
          <w:rFonts w:ascii="Times New Roman" w:hAnsi="Times New Roman" w:cs="Times New Roman"/>
          <w:sz w:val="24"/>
          <w:szCs w:val="24"/>
        </w:rPr>
        <w:t xml:space="preserve">; </w:t>
      </w:r>
      <w:proofErr w:type="spellStart"/>
      <w:r w:rsidR="008E60AB" w:rsidRPr="006338AE">
        <w:rPr>
          <w:rFonts w:ascii="Times New Roman" w:hAnsi="Times New Roman" w:cs="Times New Roman"/>
          <w:sz w:val="24"/>
          <w:szCs w:val="24"/>
        </w:rPr>
        <w:t>Rogstad</w:t>
      </w:r>
      <w:proofErr w:type="spellEnd"/>
      <w:r w:rsidR="008E60AB" w:rsidRPr="006338AE">
        <w:rPr>
          <w:rFonts w:ascii="Times New Roman" w:hAnsi="Times New Roman" w:cs="Times New Roman"/>
          <w:sz w:val="24"/>
          <w:szCs w:val="24"/>
        </w:rPr>
        <w:t xml:space="preserve"> y Rogers, 2008</w:t>
      </w:r>
      <w:r w:rsidR="00AE4A2C" w:rsidRPr="006338AE">
        <w:rPr>
          <w:rFonts w:ascii="Times New Roman" w:hAnsi="Times New Roman" w:cs="Times New Roman"/>
          <w:sz w:val="24"/>
          <w:szCs w:val="24"/>
        </w:rPr>
        <w:t>; Vitale y Newman, 2001)</w:t>
      </w:r>
      <w:r w:rsidRPr="006338AE">
        <w:rPr>
          <w:rFonts w:ascii="Times New Roman" w:hAnsi="Times New Roman" w:cs="Times New Roman"/>
          <w:sz w:val="24"/>
          <w:szCs w:val="24"/>
        </w:rPr>
        <w:t>. Por otro lado, el factor uno del PCL-R en las mujeres se caracteriza por la falta de empatía o culpa, la decepción interpersonal, la tendencia al aburrimiento y la búsqueda de sensaciones, y el factor dos por los problemas de conducta tempranos, la promiscuidad sexual y el comportamiento antisocial en la adultez (</w:t>
      </w:r>
      <w:proofErr w:type="spellStart"/>
      <w:r w:rsidR="00651464" w:rsidRPr="006338AE">
        <w:rPr>
          <w:rFonts w:ascii="Times New Roman" w:hAnsi="Times New Roman" w:cs="Times New Roman"/>
          <w:sz w:val="24"/>
          <w:szCs w:val="24"/>
        </w:rPr>
        <w:t>Dolan</w:t>
      </w:r>
      <w:proofErr w:type="spellEnd"/>
      <w:r w:rsidR="00651464" w:rsidRPr="006338AE">
        <w:rPr>
          <w:rFonts w:ascii="Times New Roman" w:hAnsi="Times New Roman" w:cs="Times New Roman"/>
          <w:sz w:val="24"/>
          <w:szCs w:val="24"/>
        </w:rPr>
        <w:t xml:space="preserve"> y </w:t>
      </w:r>
      <w:proofErr w:type="spellStart"/>
      <w:r w:rsidR="00651464" w:rsidRPr="006338AE">
        <w:rPr>
          <w:rFonts w:ascii="Times New Roman" w:hAnsi="Times New Roman" w:cs="Times New Roman"/>
          <w:sz w:val="24"/>
          <w:szCs w:val="24"/>
        </w:rPr>
        <w:t>Völlm</w:t>
      </w:r>
      <w:proofErr w:type="spellEnd"/>
      <w:r w:rsidR="00651464" w:rsidRPr="006338AE">
        <w:rPr>
          <w:rFonts w:ascii="Times New Roman" w:hAnsi="Times New Roman" w:cs="Times New Roman"/>
          <w:sz w:val="24"/>
          <w:szCs w:val="24"/>
        </w:rPr>
        <w:t>, 2009</w:t>
      </w:r>
      <w:r w:rsidR="00AE4A2C" w:rsidRPr="006338AE">
        <w:rPr>
          <w:rFonts w:ascii="Times New Roman" w:hAnsi="Times New Roman" w:cs="Times New Roman"/>
          <w:sz w:val="24"/>
          <w:szCs w:val="24"/>
        </w:rPr>
        <w:t>; Vitale y Newman, 2001</w:t>
      </w:r>
      <w:r w:rsidRPr="006338AE">
        <w:rPr>
          <w:rFonts w:ascii="Times New Roman" w:hAnsi="Times New Roman" w:cs="Times New Roman"/>
          <w:sz w:val="24"/>
          <w:szCs w:val="24"/>
        </w:rPr>
        <w:t>). Sin embargo, los hombres puntúan de manera diferente en los factores, el uno se basa en la superficialidad y grandiosidad, y el dos en la falta de objetivos y el comportamiento antisocial en la adolescencia (</w:t>
      </w:r>
      <w:proofErr w:type="spellStart"/>
      <w:r w:rsidR="00AE4A2C" w:rsidRPr="006338AE">
        <w:rPr>
          <w:rFonts w:ascii="Times New Roman" w:hAnsi="Times New Roman" w:cs="Times New Roman"/>
          <w:sz w:val="24"/>
          <w:szCs w:val="24"/>
        </w:rPr>
        <w:t>Dolan</w:t>
      </w:r>
      <w:proofErr w:type="spellEnd"/>
      <w:r w:rsidR="00AE4A2C" w:rsidRPr="006338AE">
        <w:rPr>
          <w:rFonts w:ascii="Times New Roman" w:hAnsi="Times New Roman" w:cs="Times New Roman"/>
          <w:sz w:val="24"/>
          <w:szCs w:val="24"/>
        </w:rPr>
        <w:t xml:space="preserve"> y </w:t>
      </w:r>
      <w:proofErr w:type="spellStart"/>
      <w:r w:rsidR="00AE4A2C" w:rsidRPr="006338AE">
        <w:rPr>
          <w:rFonts w:ascii="Times New Roman" w:hAnsi="Times New Roman" w:cs="Times New Roman"/>
          <w:sz w:val="24"/>
          <w:szCs w:val="24"/>
        </w:rPr>
        <w:t>Völlm</w:t>
      </w:r>
      <w:proofErr w:type="spellEnd"/>
      <w:r w:rsidR="00AE4A2C" w:rsidRPr="006338AE">
        <w:rPr>
          <w:rFonts w:ascii="Times New Roman" w:hAnsi="Times New Roman" w:cs="Times New Roman"/>
          <w:sz w:val="24"/>
          <w:szCs w:val="24"/>
        </w:rPr>
        <w:t xml:space="preserve">, 2009; Vitale y </w:t>
      </w:r>
      <w:r w:rsidR="00AE4A2C" w:rsidRPr="006338AE">
        <w:rPr>
          <w:rFonts w:ascii="Times New Roman" w:hAnsi="Times New Roman" w:cs="Times New Roman"/>
          <w:sz w:val="24"/>
          <w:szCs w:val="24"/>
        </w:rPr>
        <w:lastRenderedPageBreak/>
        <w:t>Newman, 2001</w:t>
      </w:r>
      <w:r w:rsidRPr="006338AE">
        <w:rPr>
          <w:rFonts w:ascii="Times New Roman" w:hAnsi="Times New Roman" w:cs="Times New Roman"/>
          <w:sz w:val="24"/>
          <w:szCs w:val="24"/>
        </w:rPr>
        <w:t xml:space="preserve">). Por todo esto, se considera necesario incluir indicadores de expresiones del comportamiento antisocial específicamente femeninos como la violencia en la pareja, la prostitución, el abuso o negligencia en la infancia o la comorbilidad con psicopatología; otorgar un mayor peso a ítems más representativos de la psicopatía en este género como la promiscuidad sexual, las numerosas relaciones maritales y la versatilidad criminal; y proponer el uso del modelo de los tres factores (estilo interpersonal arrogante y deshonesto, experiencia afectiva deshonesta y estilo comportamental impulsivo e irresponsable) de </w:t>
      </w:r>
      <w:proofErr w:type="spellStart"/>
      <w:r w:rsidRPr="006338AE">
        <w:rPr>
          <w:rFonts w:ascii="Times New Roman" w:hAnsi="Times New Roman" w:cs="Times New Roman"/>
          <w:sz w:val="24"/>
          <w:szCs w:val="24"/>
        </w:rPr>
        <w:t>Cooke</w:t>
      </w:r>
      <w:proofErr w:type="spellEnd"/>
      <w:r w:rsidRPr="006338AE">
        <w:rPr>
          <w:rFonts w:ascii="Times New Roman" w:hAnsi="Times New Roman" w:cs="Times New Roman"/>
          <w:sz w:val="24"/>
          <w:szCs w:val="24"/>
        </w:rPr>
        <w:t xml:space="preserve"> y </w:t>
      </w:r>
      <w:proofErr w:type="spellStart"/>
      <w:r w:rsidRPr="006338AE">
        <w:rPr>
          <w:rFonts w:ascii="Times New Roman" w:hAnsi="Times New Roman" w:cs="Times New Roman"/>
          <w:sz w:val="24"/>
          <w:szCs w:val="24"/>
        </w:rPr>
        <w:t>Michie</w:t>
      </w:r>
      <w:proofErr w:type="spellEnd"/>
      <w:r w:rsidRPr="006338AE">
        <w:rPr>
          <w:rFonts w:ascii="Times New Roman" w:hAnsi="Times New Roman" w:cs="Times New Roman"/>
          <w:sz w:val="24"/>
          <w:szCs w:val="24"/>
        </w:rPr>
        <w:t xml:space="preserve"> (2001), ya que intenta capturar las tendencias básicas de la psicopatía en vez de las manifestaciones de la conducta, lo cual encaja con el argumento de que el comportamiento antisocial no es crucial para la psicopatía en las mujeres (</w:t>
      </w:r>
      <w:proofErr w:type="spellStart"/>
      <w:r w:rsidR="008E60AB" w:rsidRPr="006338AE">
        <w:rPr>
          <w:rFonts w:ascii="Times New Roman" w:hAnsi="Times New Roman" w:cs="Times New Roman"/>
          <w:sz w:val="24"/>
          <w:szCs w:val="24"/>
        </w:rPr>
        <w:t>Rogstad</w:t>
      </w:r>
      <w:proofErr w:type="spellEnd"/>
      <w:r w:rsidR="008E60AB" w:rsidRPr="006338AE">
        <w:rPr>
          <w:rFonts w:ascii="Times New Roman" w:hAnsi="Times New Roman" w:cs="Times New Roman"/>
          <w:sz w:val="24"/>
          <w:szCs w:val="24"/>
        </w:rPr>
        <w:t xml:space="preserve"> y Rogers, 2008</w:t>
      </w:r>
      <w:r w:rsidR="006A1CDB" w:rsidRPr="006338AE">
        <w:rPr>
          <w:rFonts w:ascii="Times New Roman" w:hAnsi="Times New Roman" w:cs="Times New Roman"/>
          <w:sz w:val="24"/>
          <w:szCs w:val="24"/>
        </w:rPr>
        <w:t xml:space="preserve">; Verona y Vitale, 2006; </w:t>
      </w:r>
      <w:proofErr w:type="spellStart"/>
      <w:r w:rsidR="006A1CDB" w:rsidRPr="006338AE">
        <w:rPr>
          <w:rFonts w:ascii="Times New Roman" w:hAnsi="Times New Roman" w:cs="Times New Roman"/>
          <w:sz w:val="24"/>
          <w:szCs w:val="24"/>
        </w:rPr>
        <w:t>Weizmann-Henelius</w:t>
      </w:r>
      <w:proofErr w:type="spellEnd"/>
      <w:r w:rsidR="006A1CDB" w:rsidRPr="006338AE">
        <w:rPr>
          <w:rFonts w:ascii="Times New Roman" w:hAnsi="Times New Roman" w:cs="Times New Roman"/>
          <w:sz w:val="24"/>
          <w:szCs w:val="24"/>
        </w:rPr>
        <w:t xml:space="preserve"> et al., 2010</w:t>
      </w:r>
      <w:r w:rsidRPr="006338AE">
        <w:rPr>
          <w:rFonts w:ascii="Times New Roman" w:hAnsi="Times New Roman" w:cs="Times New Roman"/>
          <w:sz w:val="24"/>
          <w:szCs w:val="24"/>
        </w:rPr>
        <w:t>).</w:t>
      </w: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9060D" w:rsidRDefault="00B9060D" w:rsidP="006338AE">
      <w:pPr>
        <w:pStyle w:val="Cuerpo"/>
        <w:spacing w:line="360" w:lineRule="auto"/>
        <w:jc w:val="both"/>
        <w:rPr>
          <w:rFonts w:ascii="Times New Roman" w:hAnsi="Times New Roman" w:cs="Times New Roman"/>
          <w:sz w:val="24"/>
          <w:szCs w:val="24"/>
        </w:rPr>
      </w:pPr>
    </w:p>
    <w:p w:rsidR="008B56EC" w:rsidRDefault="008B56EC" w:rsidP="006338AE">
      <w:pPr>
        <w:pStyle w:val="Cuerpo"/>
        <w:spacing w:line="360" w:lineRule="auto"/>
        <w:jc w:val="both"/>
        <w:rPr>
          <w:rFonts w:ascii="Times New Roman" w:hAnsi="Times New Roman" w:cs="Times New Roman"/>
          <w:sz w:val="24"/>
          <w:szCs w:val="24"/>
        </w:rPr>
      </w:pPr>
    </w:p>
    <w:p w:rsidR="008B56EC" w:rsidRDefault="008B56EC" w:rsidP="006338AE">
      <w:pPr>
        <w:pStyle w:val="Cuerpo"/>
        <w:spacing w:line="360" w:lineRule="auto"/>
        <w:jc w:val="both"/>
        <w:rPr>
          <w:rFonts w:ascii="Times New Roman" w:hAnsi="Times New Roman" w:cs="Times New Roman"/>
          <w:sz w:val="24"/>
          <w:szCs w:val="24"/>
        </w:rPr>
      </w:pPr>
    </w:p>
    <w:p w:rsidR="008B56EC" w:rsidRDefault="008B56EC" w:rsidP="006338AE">
      <w:pPr>
        <w:pStyle w:val="Cuerpo"/>
        <w:spacing w:line="360" w:lineRule="auto"/>
        <w:jc w:val="both"/>
        <w:rPr>
          <w:rFonts w:ascii="Times New Roman" w:hAnsi="Times New Roman" w:cs="Times New Roman"/>
          <w:sz w:val="24"/>
          <w:szCs w:val="24"/>
        </w:rPr>
      </w:pPr>
    </w:p>
    <w:p w:rsidR="001D7935" w:rsidRPr="006338AE" w:rsidRDefault="001D7935" w:rsidP="006338AE">
      <w:pPr>
        <w:pStyle w:val="Cuerpo"/>
        <w:spacing w:line="360" w:lineRule="auto"/>
        <w:jc w:val="both"/>
        <w:rPr>
          <w:rFonts w:ascii="Times New Roman" w:hAnsi="Times New Roman" w:cs="Times New Roman"/>
          <w:b/>
          <w:bCs/>
          <w:sz w:val="24"/>
          <w:szCs w:val="24"/>
        </w:rPr>
      </w:pPr>
      <w:r w:rsidRPr="006338AE">
        <w:rPr>
          <w:rFonts w:ascii="Times New Roman" w:hAnsi="Times New Roman" w:cs="Times New Roman"/>
          <w:b/>
          <w:bCs/>
          <w:sz w:val="24"/>
          <w:szCs w:val="24"/>
        </w:rPr>
        <w:lastRenderedPageBreak/>
        <w:t>Conclusiones</w:t>
      </w:r>
      <w:r w:rsidR="005B604A">
        <w:rPr>
          <w:rFonts w:ascii="Times New Roman" w:hAnsi="Times New Roman" w:cs="Times New Roman"/>
          <w:b/>
          <w:bCs/>
          <w:sz w:val="24"/>
          <w:szCs w:val="24"/>
        </w:rPr>
        <w:fldChar w:fldCharType="begin"/>
      </w:r>
      <w:r w:rsidR="005B604A">
        <w:instrText xml:space="preserve"> XE "</w:instrText>
      </w:r>
      <w:r w:rsidR="005B604A" w:rsidRPr="000468D0">
        <w:rPr>
          <w:rFonts w:ascii="Times New Roman" w:hAnsi="Times New Roman" w:cs="Times New Roman"/>
          <w:b/>
          <w:bCs/>
          <w:sz w:val="24"/>
          <w:szCs w:val="24"/>
        </w:rPr>
        <w:instrText>Conclusiones</w:instrText>
      </w:r>
      <w:r w:rsidR="005B604A">
        <w:instrText xml:space="preserve">" </w:instrText>
      </w:r>
      <w:r w:rsidR="005B604A">
        <w:rPr>
          <w:rFonts w:ascii="Times New Roman" w:hAnsi="Times New Roman" w:cs="Times New Roman"/>
          <w:b/>
          <w:bCs/>
          <w:sz w:val="24"/>
          <w:szCs w:val="24"/>
        </w:rPr>
        <w:fldChar w:fldCharType="end"/>
      </w:r>
    </w:p>
    <w:p w:rsidR="001D7935" w:rsidRPr="006338AE" w:rsidRDefault="001D7935" w:rsidP="006338AE">
      <w:pPr>
        <w:pStyle w:val="Cuerpo"/>
        <w:spacing w:line="360" w:lineRule="auto"/>
        <w:jc w:val="both"/>
        <w:rPr>
          <w:rFonts w:ascii="Times New Roman" w:hAnsi="Times New Roman" w:cs="Times New Roman"/>
          <w:sz w:val="24"/>
          <w:szCs w:val="24"/>
        </w:rPr>
      </w:pPr>
    </w:p>
    <w:p w:rsidR="00565D42" w:rsidRPr="006338AE" w:rsidRDefault="00565D42"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6338AE">
        <w:rPr>
          <w:color w:val="000000"/>
          <w:lang w:val="es-ES_tradnl" w:eastAsia="es-ES_tradnl"/>
        </w:rPr>
        <w:t>La significativa prevalencia de la psicopatía encontrada en la población penitenciaria, entorno a un 15 %, y su progresivo aumento en la población general en los últimos años, al rededor de un 1%,  es cada vez más reveladora y preocupante (Flórez et al., 2019; Hare, 2003). Desde el comienzo de su estudio, una gran controversia y confusión rodea la definición del constructo de psicopatía y sus características, además de su distinción con el Trastorno Antisocial de la Personalidad (Barber 2019; Gil y Gil, 2019). Actualmente, se define a partir de los criterios de evaluación del instrumento de medida PCL-R de Robert D. Hare, pero sigue</w:t>
      </w:r>
      <w:r w:rsidR="00D17B23">
        <w:rPr>
          <w:color w:val="000000"/>
          <w:lang w:val="es-ES_tradnl" w:eastAsia="es-ES_tradnl"/>
        </w:rPr>
        <w:t>n</w:t>
      </w:r>
      <w:r w:rsidRPr="006338AE">
        <w:rPr>
          <w:color w:val="000000"/>
          <w:lang w:val="es-ES_tradnl" w:eastAsia="es-ES_tradnl"/>
        </w:rPr>
        <w:t xml:space="preserve"> quedando varios interrogantes</w:t>
      </w:r>
      <w:r w:rsidR="00D17B23">
        <w:rPr>
          <w:color w:val="000000"/>
          <w:lang w:val="es-ES_tradnl" w:eastAsia="es-ES_tradnl"/>
        </w:rPr>
        <w:t xml:space="preserve"> encima de la mesa,</w:t>
      </w:r>
      <w:r w:rsidRPr="006338AE">
        <w:rPr>
          <w:color w:val="000000"/>
          <w:lang w:val="es-ES_tradnl" w:eastAsia="es-ES_tradnl"/>
        </w:rPr>
        <w:t xml:space="preserve"> como </w:t>
      </w:r>
      <w:r w:rsidR="00D17B23">
        <w:rPr>
          <w:color w:val="000000"/>
          <w:lang w:val="es-ES_tradnl" w:eastAsia="es-ES_tradnl"/>
        </w:rPr>
        <w:t>los</w:t>
      </w:r>
      <w:r w:rsidRPr="006338AE">
        <w:rPr>
          <w:color w:val="000000"/>
          <w:lang w:val="es-ES_tradnl" w:eastAsia="es-ES_tradnl"/>
        </w:rPr>
        <w:t xml:space="preserve"> caso</w:t>
      </w:r>
      <w:r w:rsidR="00D17B23">
        <w:rPr>
          <w:color w:val="000000"/>
          <w:lang w:val="es-ES_tradnl" w:eastAsia="es-ES_tradnl"/>
        </w:rPr>
        <w:t>s</w:t>
      </w:r>
      <w:r w:rsidRPr="006338AE">
        <w:rPr>
          <w:color w:val="000000"/>
          <w:lang w:val="es-ES_tradnl" w:eastAsia="es-ES_tradnl"/>
        </w:rPr>
        <w:t xml:space="preserve"> de la psicopatía subclínica o de la psicopatía en las mujeres. </w:t>
      </w:r>
    </w:p>
    <w:p w:rsidR="00565D42" w:rsidRPr="006338AE" w:rsidRDefault="00565D42"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6338AE">
        <w:rPr>
          <w:color w:val="000000"/>
          <w:lang w:val="es-ES_tradnl" w:eastAsia="es-ES_tradnl"/>
        </w:rPr>
        <w:t>Por otro lado, la población psicopática supone un al</w:t>
      </w:r>
      <w:r w:rsidR="00D17B23">
        <w:rPr>
          <w:color w:val="000000"/>
          <w:lang w:val="es-ES_tradnl" w:eastAsia="es-ES_tradnl"/>
        </w:rPr>
        <w:t>to</w:t>
      </w:r>
      <w:r w:rsidRPr="006338AE">
        <w:rPr>
          <w:color w:val="000000"/>
          <w:lang w:val="es-ES_tradnl" w:eastAsia="es-ES_tradnl"/>
        </w:rPr>
        <w:t xml:space="preserve"> coste económico causado por sus largas estancias en prisión y los repetidos arrestos, además de un elevado riesgo delictivo debido a su </w:t>
      </w:r>
      <w:r w:rsidR="00D17B23">
        <w:rPr>
          <w:color w:val="000000"/>
          <w:lang w:val="es-ES_tradnl" w:eastAsia="es-ES_tradnl"/>
        </w:rPr>
        <w:t xml:space="preserve">alta </w:t>
      </w:r>
      <w:r w:rsidRPr="006338AE">
        <w:rPr>
          <w:color w:val="000000"/>
          <w:lang w:val="es-ES_tradnl" w:eastAsia="es-ES_tradnl"/>
        </w:rPr>
        <w:t xml:space="preserve">reincidencia, conducta violenta y cronicidad, poniendo en peligro a la sociedad  (Ramos et. al, 2017; Pintado 2019). Se considera que la imputabilidad del psicópata es plena, ya que su inteligencia y voluntad están intactas, aún así, no hay unanimidad en las sentencias pudiendo encontrar en algunas circunstancias la presencia de atenuantes (Núñez y López, 2009). </w:t>
      </w:r>
    </w:p>
    <w:p w:rsidR="00565D42" w:rsidRPr="006338AE" w:rsidRDefault="00565D42"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6338AE">
        <w:rPr>
          <w:color w:val="000000"/>
          <w:lang w:val="es-ES_tradnl" w:eastAsia="es-ES_tradnl"/>
        </w:rPr>
        <w:t>Estas razones permiten concluir y resaltar la importancia y necesidad del aumento de la investigación y la realización de avances en torno a este trastorno,</w:t>
      </w:r>
      <w:r w:rsidR="003445EC">
        <w:rPr>
          <w:color w:val="000000"/>
          <w:lang w:val="es-ES_tradnl" w:eastAsia="es-ES_tradnl"/>
        </w:rPr>
        <w:t xml:space="preserve"> </w:t>
      </w:r>
      <w:r w:rsidRPr="006338AE">
        <w:rPr>
          <w:color w:val="000000"/>
          <w:lang w:val="es-ES_tradnl" w:eastAsia="es-ES_tradnl"/>
        </w:rPr>
        <w:t>con la finalidad de lograr un consenso sobre su definición e imputabilidad, eliminando la gran controversia y confusión que surge a su alrededor, y buscar un tratamiento eficaz y alternativo que permita reducir el daño causado.</w:t>
      </w:r>
    </w:p>
    <w:p w:rsidR="00565D42" w:rsidRPr="006338AE" w:rsidRDefault="00565D42"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p>
    <w:p w:rsidR="001D7935" w:rsidRPr="006338AE" w:rsidRDefault="00565D42" w:rsidP="006338AE">
      <w:pPr>
        <w:pStyle w:val="Cuerpo"/>
        <w:spacing w:line="360" w:lineRule="auto"/>
        <w:jc w:val="both"/>
        <w:rPr>
          <w:rFonts w:ascii="Times New Roman" w:hAnsi="Times New Roman" w:cs="Times New Roman"/>
          <w:sz w:val="24"/>
          <w:szCs w:val="24"/>
        </w:rPr>
      </w:pPr>
      <w:r w:rsidRPr="006338AE">
        <w:rPr>
          <w:rFonts w:ascii="Times New Roman" w:hAnsi="Times New Roman" w:cs="Times New Roman"/>
          <w:sz w:val="24"/>
          <w:szCs w:val="24"/>
        </w:rPr>
        <w:t>En el ámbito concreto de la psicopatía en las mujeres, debido a que la prevalencia es menor y que las lesiones causadas son más leves han sido ignoradas a lo largo de los años en los estudios (</w:t>
      </w:r>
      <w:r w:rsidR="00E24DE6" w:rsidRPr="006338AE">
        <w:rPr>
          <w:rFonts w:ascii="Times New Roman" w:hAnsi="Times New Roman" w:cs="Times New Roman"/>
          <w:sz w:val="24"/>
          <w:szCs w:val="24"/>
        </w:rPr>
        <w:t>López, 2013</w:t>
      </w:r>
      <w:r w:rsidRPr="006338AE">
        <w:rPr>
          <w:rFonts w:ascii="Times New Roman" w:hAnsi="Times New Roman" w:cs="Times New Roman"/>
          <w:sz w:val="24"/>
          <w:szCs w:val="24"/>
        </w:rPr>
        <w:t xml:space="preserve">; </w:t>
      </w:r>
      <w:r w:rsidR="0039626C" w:rsidRPr="006338AE">
        <w:rPr>
          <w:rFonts w:ascii="Times New Roman" w:hAnsi="Times New Roman" w:cs="Times New Roman"/>
          <w:sz w:val="24"/>
          <w:szCs w:val="24"/>
        </w:rPr>
        <w:t>Verona y Vitale, 2006</w:t>
      </w:r>
      <w:r w:rsidR="00C879D4" w:rsidRPr="006338AE">
        <w:rPr>
          <w:rFonts w:ascii="Times New Roman" w:hAnsi="Times New Roman" w:cs="Times New Roman"/>
          <w:sz w:val="24"/>
          <w:szCs w:val="24"/>
        </w:rPr>
        <w:t>; Vitale y Newman, 2001</w:t>
      </w:r>
      <w:r w:rsidRPr="006338AE">
        <w:rPr>
          <w:rFonts w:ascii="Times New Roman" w:hAnsi="Times New Roman" w:cs="Times New Roman"/>
          <w:sz w:val="24"/>
          <w:szCs w:val="24"/>
        </w:rPr>
        <w:t>). El escaso conocimiento sobre las manifestaciones características del comportamiento psicopático en las mujeres, la confusión diagnóstica con otros trastornos de la personalidad como el histriónico o el límite y el escepticismo sobre la capacidad del PCL-R para discriminar entre mujeres psicópatas y no psicópatas son algunas de las razones que muestran el descuidado estudio de esta población  (</w:t>
      </w:r>
      <w:r w:rsidR="0039626C" w:rsidRPr="006338AE">
        <w:rPr>
          <w:rFonts w:ascii="Times New Roman" w:hAnsi="Times New Roman" w:cs="Times New Roman"/>
          <w:sz w:val="24"/>
          <w:szCs w:val="24"/>
        </w:rPr>
        <w:t>Cale y Lilienfeld, 2002</w:t>
      </w:r>
      <w:r w:rsidRPr="006338AE">
        <w:rPr>
          <w:rFonts w:ascii="Times New Roman" w:hAnsi="Times New Roman" w:cs="Times New Roman"/>
          <w:sz w:val="24"/>
          <w:szCs w:val="24"/>
        </w:rPr>
        <w:t xml:space="preserve">; </w:t>
      </w:r>
      <w:r w:rsidR="00C879D4" w:rsidRPr="006338AE">
        <w:rPr>
          <w:rFonts w:ascii="Times New Roman" w:hAnsi="Times New Roman" w:cs="Times New Roman"/>
          <w:sz w:val="24"/>
          <w:szCs w:val="24"/>
        </w:rPr>
        <w:t xml:space="preserve">Mulder et al., 1994; </w:t>
      </w:r>
      <w:r w:rsidR="00C51D2A" w:rsidRPr="006338AE">
        <w:rPr>
          <w:rFonts w:ascii="Times New Roman" w:hAnsi="Times New Roman" w:cs="Times New Roman"/>
          <w:sz w:val="24"/>
          <w:szCs w:val="24"/>
        </w:rPr>
        <w:t>Vitale y Newman, 2001</w:t>
      </w:r>
      <w:r w:rsidRPr="006338AE">
        <w:rPr>
          <w:rFonts w:ascii="Times New Roman" w:hAnsi="Times New Roman" w:cs="Times New Roman"/>
          <w:sz w:val="24"/>
          <w:szCs w:val="24"/>
        </w:rPr>
        <w:t>). Por esto, se considera de gran relevancia la realización y ampliación de investigaciones sobre manifestaciones del comportamiento psicopático exclusivamente femeninas como la agresión relacional, y sobre las capacidades diagnósticas y predictoras de la conducta antisocial del PCL-R, determinando si tiene la misma utilidad forense en mujeres como en hombres (</w:t>
      </w:r>
      <w:r w:rsidR="0039626C" w:rsidRPr="006338AE">
        <w:rPr>
          <w:rFonts w:ascii="Times New Roman" w:hAnsi="Times New Roman" w:cs="Times New Roman"/>
          <w:sz w:val="24"/>
          <w:szCs w:val="24"/>
        </w:rPr>
        <w:t>Verona y Vitale, 2006</w:t>
      </w:r>
      <w:r w:rsidRPr="006338AE">
        <w:rPr>
          <w:rFonts w:ascii="Times New Roman" w:hAnsi="Times New Roman" w:cs="Times New Roman"/>
          <w:sz w:val="24"/>
          <w:szCs w:val="24"/>
        </w:rPr>
        <w:t xml:space="preserve">; </w:t>
      </w:r>
      <w:r w:rsidR="00C51D2A" w:rsidRPr="006338AE">
        <w:rPr>
          <w:rFonts w:ascii="Times New Roman" w:hAnsi="Times New Roman" w:cs="Times New Roman"/>
          <w:sz w:val="24"/>
          <w:szCs w:val="24"/>
        </w:rPr>
        <w:t>Vitale y Newman, 2001</w:t>
      </w:r>
      <w:r w:rsidRPr="006338AE">
        <w:rPr>
          <w:rFonts w:ascii="Times New Roman" w:hAnsi="Times New Roman" w:cs="Times New Roman"/>
          <w:sz w:val="24"/>
          <w:szCs w:val="24"/>
        </w:rPr>
        <w:t>).</w:t>
      </w:r>
    </w:p>
    <w:p w:rsidR="00565D42" w:rsidRPr="006338AE" w:rsidRDefault="00565D42" w:rsidP="006338AE">
      <w:pPr>
        <w:pStyle w:val="Cuerpo"/>
        <w:spacing w:line="360" w:lineRule="auto"/>
        <w:jc w:val="both"/>
        <w:rPr>
          <w:rFonts w:ascii="Times New Roman" w:hAnsi="Times New Roman" w:cs="Times New Roman"/>
          <w:sz w:val="24"/>
          <w:szCs w:val="24"/>
        </w:rPr>
      </w:pPr>
    </w:p>
    <w:p w:rsidR="001D7935" w:rsidRPr="006338AE" w:rsidRDefault="001D7935" w:rsidP="006338AE">
      <w:pPr>
        <w:pStyle w:val="Cuerpo"/>
        <w:spacing w:line="360" w:lineRule="auto"/>
        <w:jc w:val="both"/>
        <w:rPr>
          <w:rFonts w:ascii="Times New Roman" w:hAnsi="Times New Roman" w:cs="Times New Roman"/>
          <w:b/>
          <w:bCs/>
          <w:sz w:val="24"/>
          <w:szCs w:val="24"/>
        </w:rPr>
      </w:pPr>
      <w:r w:rsidRPr="006338AE">
        <w:rPr>
          <w:rFonts w:ascii="Times New Roman" w:hAnsi="Times New Roman" w:cs="Times New Roman"/>
          <w:b/>
          <w:bCs/>
          <w:sz w:val="24"/>
          <w:szCs w:val="24"/>
        </w:rPr>
        <w:lastRenderedPageBreak/>
        <w:t>Limitaciones y prospectiva</w:t>
      </w:r>
      <w:r w:rsidR="005B604A">
        <w:rPr>
          <w:rFonts w:ascii="Times New Roman" w:hAnsi="Times New Roman" w:cs="Times New Roman"/>
          <w:b/>
          <w:bCs/>
          <w:sz w:val="24"/>
          <w:szCs w:val="24"/>
        </w:rPr>
        <w:fldChar w:fldCharType="begin"/>
      </w:r>
      <w:r w:rsidR="005B604A">
        <w:instrText xml:space="preserve"> XE "</w:instrText>
      </w:r>
      <w:r w:rsidR="005B604A" w:rsidRPr="00861DA5">
        <w:rPr>
          <w:rFonts w:ascii="Times New Roman" w:hAnsi="Times New Roman" w:cs="Times New Roman"/>
          <w:b/>
          <w:bCs/>
          <w:sz w:val="24"/>
          <w:szCs w:val="24"/>
        </w:rPr>
        <w:instrText>Limitaciones y prospectiva</w:instrText>
      </w:r>
      <w:r w:rsidR="005B604A">
        <w:instrText xml:space="preserve">" </w:instrText>
      </w:r>
      <w:r w:rsidR="005B604A">
        <w:rPr>
          <w:rFonts w:ascii="Times New Roman" w:hAnsi="Times New Roman" w:cs="Times New Roman"/>
          <w:b/>
          <w:bCs/>
          <w:sz w:val="24"/>
          <w:szCs w:val="24"/>
        </w:rPr>
        <w:fldChar w:fldCharType="end"/>
      </w:r>
    </w:p>
    <w:p w:rsidR="001D7935" w:rsidRPr="006338AE" w:rsidRDefault="001D7935" w:rsidP="006338AE">
      <w:pPr>
        <w:pStyle w:val="Cuerpo"/>
        <w:spacing w:line="360" w:lineRule="auto"/>
        <w:jc w:val="both"/>
        <w:rPr>
          <w:rFonts w:ascii="Times New Roman" w:hAnsi="Times New Roman" w:cs="Times New Roman"/>
          <w:sz w:val="24"/>
          <w:szCs w:val="24"/>
        </w:rPr>
      </w:pPr>
    </w:p>
    <w:p w:rsidR="003773B5" w:rsidRPr="006338AE" w:rsidRDefault="003773B5"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6338AE">
        <w:rPr>
          <w:color w:val="000000"/>
          <w:lang w:val="es-ES_tradnl" w:eastAsia="es-ES_tradnl"/>
        </w:rPr>
        <w:t xml:space="preserve">La principal limitación encontrada durante el desarrollo de este trabajo ha sido la escasa existencia de estudios relacionados con la psicopatía en las mujeres. La mayoría de los artículos científicos utilizados son antiguos y hacen referencia a temas muy concretos, por lo tanto, la búsqueda de investigaciones actuales y la ampliación del ámbito de estudio no ha sido posible. Además, los estudios en España son inexistentes, centrándose todos en EEUU. </w:t>
      </w:r>
    </w:p>
    <w:p w:rsidR="003773B5" w:rsidRPr="006338AE" w:rsidRDefault="003773B5"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6338AE">
        <w:rPr>
          <w:color w:val="000000"/>
          <w:lang w:val="es-ES_tradnl" w:eastAsia="es-ES_tradnl"/>
        </w:rPr>
        <w:t>Otra de las limitaciones es la confusión entre los diferentes autores, principalmente sobre la definición de psicopatía y su diferenciación con el Trastorno Antisocial de Personalidad, encontrando información contradictoria</w:t>
      </w:r>
      <w:r w:rsidR="00D17B23">
        <w:rPr>
          <w:color w:val="000000"/>
          <w:lang w:val="es-ES_tradnl" w:eastAsia="es-ES_tradnl"/>
        </w:rPr>
        <w:t xml:space="preserve"> en algunas ocasiones</w:t>
      </w:r>
      <w:r w:rsidRPr="006338AE">
        <w:rPr>
          <w:color w:val="000000"/>
          <w:lang w:val="es-ES_tradnl" w:eastAsia="es-ES_tradnl"/>
        </w:rPr>
        <w:t>.</w:t>
      </w:r>
    </w:p>
    <w:p w:rsidR="003773B5" w:rsidRDefault="003773B5"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6338AE">
        <w:rPr>
          <w:color w:val="000000"/>
          <w:lang w:val="es-ES_tradnl" w:eastAsia="es-ES_tradnl"/>
        </w:rPr>
        <w:t xml:space="preserve">El idioma podría considerarse otra dificultad, ya que gran parte de los artículos sobre la etiología y la utilización del PCL-R están redactados en inglés, y la terminología sobre neurociencia y psicometría es muy técnica, </w:t>
      </w:r>
      <w:r w:rsidR="00D17B23">
        <w:rPr>
          <w:color w:val="000000"/>
          <w:lang w:val="es-ES_tradnl" w:eastAsia="es-ES_tradnl"/>
        </w:rPr>
        <w:t xml:space="preserve">complicando </w:t>
      </w:r>
      <w:r w:rsidRPr="006338AE">
        <w:rPr>
          <w:color w:val="000000"/>
          <w:lang w:val="es-ES_tradnl" w:eastAsia="es-ES_tradnl"/>
        </w:rPr>
        <w:t>su comprensión.</w:t>
      </w:r>
    </w:p>
    <w:p w:rsidR="00D17B23" w:rsidRPr="006338AE" w:rsidRDefault="00D17B23" w:rsidP="006338A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p>
    <w:p w:rsidR="001D7935" w:rsidRPr="006338AE" w:rsidRDefault="003773B5" w:rsidP="006338AE">
      <w:pPr>
        <w:pStyle w:val="Cuerpo"/>
        <w:spacing w:line="360" w:lineRule="auto"/>
        <w:jc w:val="both"/>
        <w:rPr>
          <w:rFonts w:ascii="Times New Roman" w:hAnsi="Times New Roman" w:cs="Times New Roman"/>
          <w:sz w:val="24"/>
          <w:szCs w:val="24"/>
        </w:rPr>
      </w:pPr>
      <w:r w:rsidRPr="006338AE">
        <w:rPr>
          <w:rFonts w:ascii="Times New Roman" w:hAnsi="Times New Roman" w:cs="Times New Roman"/>
          <w:sz w:val="24"/>
          <w:szCs w:val="24"/>
        </w:rPr>
        <w:t xml:space="preserve">Como futura línea de investigación, podría ampliarse el estudio de un instrumento de medida específico para la población psicopática femenina con una puntuación de corte de acuerdo a sus características. Continuar con la investigación de un tratamiento eficaz, teniendo en cuenta la diferencia entre los distintos tipos de psicopatía, criminal, subclínica y en mujeres. Y fomentar la posibilidad de la detección precoz del trastorno en la población infanto-juvenil, </w:t>
      </w:r>
      <w:r w:rsidR="00D17B23">
        <w:rPr>
          <w:rFonts w:ascii="Times New Roman" w:hAnsi="Times New Roman" w:cs="Times New Roman"/>
          <w:sz w:val="24"/>
          <w:szCs w:val="24"/>
        </w:rPr>
        <w:t>ayudando a</w:t>
      </w:r>
      <w:r w:rsidRPr="006338AE">
        <w:rPr>
          <w:rFonts w:ascii="Times New Roman" w:hAnsi="Times New Roman" w:cs="Times New Roman"/>
          <w:sz w:val="24"/>
          <w:szCs w:val="24"/>
        </w:rPr>
        <w:t xml:space="preserve"> la prevención.</w:t>
      </w:r>
    </w:p>
    <w:p w:rsidR="00090D65" w:rsidRPr="006338AE" w:rsidRDefault="00090D65" w:rsidP="006338AE">
      <w:pPr>
        <w:pStyle w:val="Cuerpo"/>
        <w:spacing w:line="360" w:lineRule="auto"/>
        <w:jc w:val="both"/>
        <w:rPr>
          <w:rFonts w:ascii="Times New Roman" w:hAnsi="Times New Roman" w:cs="Times New Roman"/>
          <w:sz w:val="24"/>
          <w:szCs w:val="24"/>
        </w:rPr>
      </w:pPr>
    </w:p>
    <w:p w:rsidR="00090D65" w:rsidRPr="006338AE" w:rsidRDefault="00090D65" w:rsidP="006338AE">
      <w:pPr>
        <w:pStyle w:val="Cuerpo"/>
        <w:spacing w:line="360" w:lineRule="auto"/>
        <w:jc w:val="both"/>
        <w:rPr>
          <w:rFonts w:ascii="Times New Roman" w:hAnsi="Times New Roman" w:cs="Times New Roman"/>
          <w:sz w:val="24"/>
          <w:szCs w:val="24"/>
        </w:rPr>
      </w:pPr>
    </w:p>
    <w:p w:rsidR="00090D65" w:rsidRDefault="00090D65"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Default="00B478B3" w:rsidP="006338AE">
      <w:pPr>
        <w:pStyle w:val="Cuerpo"/>
        <w:spacing w:line="360" w:lineRule="auto"/>
        <w:jc w:val="both"/>
        <w:rPr>
          <w:rFonts w:ascii="Times New Roman" w:hAnsi="Times New Roman" w:cs="Times New Roman"/>
          <w:sz w:val="24"/>
          <w:szCs w:val="24"/>
        </w:rPr>
      </w:pPr>
    </w:p>
    <w:p w:rsidR="00B478B3" w:rsidRPr="006338AE" w:rsidRDefault="00B478B3" w:rsidP="006338AE">
      <w:pPr>
        <w:pStyle w:val="Cuerpo"/>
        <w:spacing w:line="360" w:lineRule="auto"/>
        <w:jc w:val="both"/>
        <w:rPr>
          <w:rFonts w:ascii="Times New Roman" w:hAnsi="Times New Roman" w:cs="Times New Roman"/>
          <w:sz w:val="24"/>
          <w:szCs w:val="24"/>
        </w:rPr>
      </w:pPr>
    </w:p>
    <w:p w:rsidR="00090D65" w:rsidRPr="006338AE" w:rsidRDefault="00090D65" w:rsidP="006338AE">
      <w:pPr>
        <w:pStyle w:val="Cuerpo"/>
        <w:spacing w:line="360" w:lineRule="auto"/>
        <w:jc w:val="both"/>
        <w:rPr>
          <w:rFonts w:ascii="Times New Roman" w:hAnsi="Times New Roman" w:cs="Times New Roman"/>
          <w:sz w:val="24"/>
          <w:szCs w:val="24"/>
        </w:rPr>
      </w:pPr>
    </w:p>
    <w:p w:rsidR="00E958E7" w:rsidRPr="006338AE" w:rsidRDefault="00E958E7" w:rsidP="006338AE">
      <w:pPr>
        <w:pStyle w:val="Cuerpo"/>
        <w:spacing w:line="360" w:lineRule="auto"/>
        <w:jc w:val="both"/>
        <w:rPr>
          <w:rFonts w:ascii="Times New Roman" w:hAnsi="Times New Roman" w:cs="Times New Roman"/>
          <w:sz w:val="24"/>
          <w:szCs w:val="24"/>
        </w:rPr>
      </w:pPr>
    </w:p>
    <w:p w:rsidR="00017D6D" w:rsidRPr="006338AE" w:rsidRDefault="00017D6D" w:rsidP="008B266E">
      <w:pPr>
        <w:pStyle w:val="Cuerpo"/>
        <w:spacing w:line="360" w:lineRule="auto"/>
        <w:jc w:val="center"/>
        <w:rPr>
          <w:rFonts w:ascii="Times New Roman" w:hAnsi="Times New Roman" w:cs="Times New Roman"/>
          <w:b/>
          <w:bCs/>
          <w:sz w:val="24"/>
          <w:szCs w:val="24"/>
        </w:rPr>
      </w:pPr>
      <w:r w:rsidRPr="006338AE">
        <w:rPr>
          <w:rFonts w:ascii="Times New Roman" w:hAnsi="Times New Roman" w:cs="Times New Roman"/>
          <w:b/>
          <w:bCs/>
          <w:sz w:val="24"/>
          <w:szCs w:val="24"/>
        </w:rPr>
        <w:lastRenderedPageBreak/>
        <w:t>REFERENCIAS</w:t>
      </w:r>
      <w:r w:rsidR="005F2033" w:rsidRPr="006338AE">
        <w:rPr>
          <w:rFonts w:ascii="Times New Roman" w:hAnsi="Times New Roman" w:cs="Times New Roman"/>
          <w:b/>
          <w:bCs/>
          <w:sz w:val="24"/>
          <w:szCs w:val="24"/>
        </w:rPr>
        <w:fldChar w:fldCharType="begin"/>
      </w:r>
      <w:r w:rsidR="005F2033" w:rsidRPr="006338AE">
        <w:rPr>
          <w:rFonts w:ascii="Times New Roman" w:hAnsi="Times New Roman" w:cs="Times New Roman"/>
          <w:sz w:val="24"/>
          <w:szCs w:val="24"/>
        </w:rPr>
        <w:instrText xml:space="preserve"> XE "</w:instrText>
      </w:r>
      <w:r w:rsidR="005F2033" w:rsidRPr="006338AE">
        <w:rPr>
          <w:rFonts w:ascii="Times New Roman" w:hAnsi="Times New Roman" w:cs="Times New Roman"/>
          <w:b/>
          <w:bCs/>
          <w:sz w:val="24"/>
          <w:szCs w:val="24"/>
        </w:rPr>
        <w:instrText>REFERENCIAS</w:instrText>
      </w:r>
      <w:r w:rsidR="005F2033" w:rsidRPr="006338AE">
        <w:rPr>
          <w:rFonts w:ascii="Times New Roman" w:hAnsi="Times New Roman" w:cs="Times New Roman"/>
          <w:sz w:val="24"/>
          <w:szCs w:val="24"/>
        </w:rPr>
        <w:instrText xml:space="preserve">" </w:instrText>
      </w:r>
      <w:r w:rsidR="005F2033" w:rsidRPr="006338AE">
        <w:rPr>
          <w:rFonts w:ascii="Times New Roman" w:hAnsi="Times New Roman" w:cs="Times New Roman"/>
          <w:b/>
          <w:bCs/>
          <w:sz w:val="24"/>
          <w:szCs w:val="24"/>
        </w:rPr>
        <w:fldChar w:fldCharType="end"/>
      </w:r>
    </w:p>
    <w:p w:rsidR="00017D6D" w:rsidRPr="006338AE" w:rsidRDefault="00017D6D" w:rsidP="006338AE">
      <w:pPr>
        <w:pStyle w:val="Cuerpo"/>
        <w:spacing w:line="360" w:lineRule="auto"/>
        <w:jc w:val="both"/>
        <w:rPr>
          <w:rFonts w:ascii="Times New Roman" w:hAnsi="Times New Roman" w:cs="Times New Roman"/>
          <w:color w:val="000000" w:themeColor="text1"/>
          <w:sz w:val="24"/>
          <w:szCs w:val="24"/>
        </w:rPr>
      </w:pPr>
    </w:p>
    <w:p w:rsidR="00C754F5" w:rsidRPr="00D21C31" w:rsidRDefault="00C754F5" w:rsidP="007C5C26">
      <w:pPr>
        <w:pStyle w:val="Bibliografa"/>
        <w:spacing w:line="360" w:lineRule="auto"/>
        <w:ind w:left="720" w:hanging="720"/>
        <w:jc w:val="both"/>
        <w:rPr>
          <w:noProof/>
          <w:lang w:val="es-ES"/>
        </w:rPr>
      </w:pPr>
      <w:r w:rsidRPr="007C5C26">
        <w:rPr>
          <w:noProof/>
          <w:lang w:val="es-ES"/>
        </w:rPr>
        <w:t xml:space="preserve">Alfageme, A. (2019). </w:t>
      </w:r>
      <w:r w:rsidRPr="007C5C26">
        <w:rPr>
          <w:i/>
          <w:iCs/>
          <w:noProof/>
          <w:lang w:val="es-ES"/>
        </w:rPr>
        <w:t>La fiscal: “La única verdad que ha dicho es que mató al niño”</w:t>
      </w:r>
      <w:r w:rsidRPr="007C5C26">
        <w:rPr>
          <w:noProof/>
          <w:lang w:val="es-ES"/>
        </w:rPr>
        <w:t xml:space="preserve">. </w:t>
      </w:r>
      <w:r w:rsidRPr="00D21C31">
        <w:rPr>
          <w:noProof/>
          <w:lang w:val="es-ES"/>
        </w:rPr>
        <w:t>Obtenido de El País: https://elpais.com/sociedad/2019/09/17/actualidad/1568720315_621013.html</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APA (2002). </w:t>
      </w:r>
      <w:r w:rsidRPr="007C5C26">
        <w:rPr>
          <w:i/>
          <w:iCs/>
          <w:noProof/>
          <w:color w:val="000000" w:themeColor="text1"/>
          <w:lang w:val="es-ES"/>
        </w:rPr>
        <w:t>Manual Diagnóstico y Estadístico de Trastornos Mentales</w:t>
      </w:r>
      <w:r w:rsidRPr="007C5C26">
        <w:rPr>
          <w:noProof/>
          <w:color w:val="000000" w:themeColor="text1"/>
          <w:lang w:val="es-ES"/>
        </w:rPr>
        <w:t>. Cuarta Edición Revisada. Arlington: American Psychiatric Association Publishing.</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APA (2014). </w:t>
      </w:r>
      <w:r w:rsidRPr="007C5C26">
        <w:rPr>
          <w:i/>
          <w:iCs/>
          <w:noProof/>
          <w:color w:val="000000" w:themeColor="text1"/>
          <w:lang w:val="es-ES"/>
        </w:rPr>
        <w:t>Manual Diagnóstico y Estadístico de Trastornos Mentales</w:t>
      </w:r>
      <w:r w:rsidRPr="007C5C26">
        <w:rPr>
          <w:noProof/>
          <w:color w:val="000000" w:themeColor="text1"/>
          <w:lang w:val="es-ES"/>
        </w:rPr>
        <w:t>. Quinta Edición. Arlington: American Psychiatric Association Publishing.</w:t>
      </w:r>
    </w:p>
    <w:sdt>
      <w:sdtPr>
        <w:rPr>
          <w:rFonts w:ascii="Helvetica Neue" w:eastAsia="Times New Roman" w:hAnsi="Helvetica Neue" w:cs="Arial Unicode MS"/>
          <w:color w:val="000000" w:themeColor="text1"/>
          <w:sz w:val="22"/>
          <w:szCs w:val="22"/>
          <w:lang w:val="es-ES_tradnl" w:eastAsia="es-ES_tradnl"/>
          <w14:textOutline w14:w="0" w14:cap="flat" w14:cmpd="sng" w14:algn="ctr">
            <w14:noFill/>
            <w14:prstDash w14:val="solid"/>
            <w14:bevel/>
          </w14:textOutline>
        </w:rPr>
        <w:id w:val="111145805"/>
        <w:bibliography/>
      </w:sdtPr>
      <w:sdtEndPr>
        <w:rPr>
          <w:rFonts w:eastAsia="Arial Unicode MS"/>
          <w:color w:val="000000"/>
        </w:rPr>
      </w:sdtEndPr>
      <w:sdtContent>
        <w:p w:rsidR="00017D6D" w:rsidRPr="007C5C26" w:rsidRDefault="00017D6D" w:rsidP="007C5C26">
          <w:pPr>
            <w:pStyle w:val="Bibliografa"/>
            <w:spacing w:line="360" w:lineRule="auto"/>
            <w:ind w:left="720" w:hanging="720"/>
            <w:jc w:val="both"/>
            <w:rPr>
              <w:noProof/>
              <w:color w:val="000000" w:themeColor="text1"/>
              <w:lang w:val="en-GB"/>
            </w:rPr>
          </w:pPr>
          <w:r w:rsidRPr="007C5C26">
            <w:rPr>
              <w:rFonts w:eastAsiaTheme="minorHAnsi"/>
              <w:color w:val="000000" w:themeColor="text1"/>
              <w:bdr w:val="none" w:sz="0" w:space="0" w:color="auto"/>
              <w:lang w:val="es-ES"/>
            </w:rPr>
            <w:fldChar w:fldCharType="begin"/>
          </w:r>
          <w:r w:rsidRPr="007C5C26">
            <w:rPr>
              <w:color w:val="000000" w:themeColor="text1"/>
              <w:lang w:val="es-ES"/>
            </w:rPr>
            <w:instrText>BIBLIOGRAPHY</w:instrText>
          </w:r>
          <w:r w:rsidRPr="007C5C26">
            <w:rPr>
              <w:rFonts w:eastAsiaTheme="minorHAnsi"/>
              <w:color w:val="000000" w:themeColor="text1"/>
              <w:bdr w:val="none" w:sz="0" w:space="0" w:color="auto"/>
              <w:lang w:val="es-ES"/>
            </w:rPr>
            <w:fldChar w:fldCharType="separate"/>
          </w:r>
          <w:r w:rsidRPr="007C5C26">
            <w:rPr>
              <w:noProof/>
              <w:color w:val="000000" w:themeColor="text1"/>
              <w:lang w:val="es-ES"/>
            </w:rPr>
            <w:t xml:space="preserve">Barber, V. (2019). </w:t>
          </w:r>
          <w:r w:rsidRPr="007C5C26">
            <w:rPr>
              <w:i/>
              <w:iCs/>
              <w:noProof/>
              <w:color w:val="000000" w:themeColor="text1"/>
              <w:lang w:val="es-ES"/>
            </w:rPr>
            <w:t>Más allá del bien y del mal. Experiencias de una psicóloga forense.</w:t>
          </w:r>
          <w:r w:rsidRPr="007C5C26">
            <w:rPr>
              <w:noProof/>
              <w:color w:val="000000" w:themeColor="text1"/>
              <w:lang w:val="es-ES"/>
            </w:rPr>
            <w:t xml:space="preserve"> </w:t>
          </w:r>
          <w:r w:rsidRPr="007C5C26">
            <w:rPr>
              <w:noProof/>
              <w:color w:val="000000" w:themeColor="text1"/>
              <w:lang w:val="en-GB"/>
            </w:rPr>
            <w:t>Capellades, Barcelona: Penguin Random House.</w:t>
          </w:r>
        </w:p>
        <w:p w:rsidR="00017D6D" w:rsidRPr="007C5C26" w:rsidRDefault="00017D6D" w:rsidP="007C5C26">
          <w:pPr>
            <w:pStyle w:val="Bibliografa"/>
            <w:spacing w:line="360" w:lineRule="auto"/>
            <w:ind w:left="720" w:hanging="720"/>
            <w:jc w:val="both"/>
            <w:rPr>
              <w:noProof/>
              <w:color w:val="000000" w:themeColor="text1"/>
              <w:lang w:val="en-GB"/>
            </w:rPr>
          </w:pPr>
          <w:r w:rsidRPr="007C5C26">
            <w:rPr>
              <w:noProof/>
              <w:color w:val="000000" w:themeColor="text1"/>
              <w:lang w:val="en-GB"/>
            </w:rPr>
            <w:t xml:space="preserve">Blair, R. (2008). The amygdala and ventromedial prefrontal cortex: functional contributions and dysfunction in psychopathy. </w:t>
          </w:r>
          <w:r w:rsidRPr="007C5C26">
            <w:rPr>
              <w:i/>
              <w:iCs/>
              <w:noProof/>
              <w:color w:val="000000" w:themeColor="text1"/>
              <w:lang w:val="en-GB"/>
            </w:rPr>
            <w:t>Philosophical transactios of the Royal Society, 363</w:t>
          </w:r>
          <w:r w:rsidRPr="007C5C26">
            <w:rPr>
              <w:noProof/>
              <w:color w:val="000000" w:themeColor="text1"/>
              <w:lang w:val="en-GB"/>
            </w:rPr>
            <w:t>, 2557-2565.</w:t>
          </w:r>
        </w:p>
        <w:p w:rsidR="00017D6D" w:rsidRPr="007C5C26" w:rsidRDefault="00017D6D" w:rsidP="007C5C26">
          <w:pPr>
            <w:pStyle w:val="Bibliografa"/>
            <w:spacing w:line="360" w:lineRule="auto"/>
            <w:ind w:left="720" w:hanging="720"/>
            <w:jc w:val="both"/>
            <w:rPr>
              <w:noProof/>
              <w:color w:val="000000" w:themeColor="text1"/>
              <w:lang w:val="en-GB"/>
            </w:rPr>
          </w:pPr>
          <w:r w:rsidRPr="007C5C26">
            <w:rPr>
              <w:noProof/>
              <w:color w:val="000000" w:themeColor="text1"/>
            </w:rPr>
            <w:t xml:space="preserve">Blair, R. y Lee, T. (2013). </w:t>
          </w:r>
          <w:r w:rsidRPr="007C5C26">
            <w:rPr>
              <w:noProof/>
              <w:color w:val="000000" w:themeColor="text1"/>
              <w:lang w:val="en-GB"/>
            </w:rPr>
            <w:t xml:space="preserve">The social cognitive neuroscience of aggression, violence, and psychopathy. </w:t>
          </w:r>
          <w:r w:rsidRPr="007C5C26">
            <w:rPr>
              <w:i/>
              <w:iCs/>
              <w:noProof/>
              <w:color w:val="000000" w:themeColor="text1"/>
              <w:lang w:val="en-GB"/>
            </w:rPr>
            <w:t>Social Neuroscience, 8</w:t>
          </w:r>
          <w:r w:rsidRPr="007C5C26">
            <w:rPr>
              <w:noProof/>
              <w:color w:val="000000" w:themeColor="text1"/>
              <w:lang w:val="en-GB"/>
            </w:rPr>
            <w:t>(2), 108-111.</w:t>
          </w:r>
        </w:p>
        <w:p w:rsidR="00017D6D" w:rsidRPr="007C5C26" w:rsidRDefault="00017D6D" w:rsidP="007C5C26">
          <w:pPr>
            <w:pStyle w:val="Bibliografa"/>
            <w:spacing w:line="360" w:lineRule="auto"/>
            <w:ind w:left="720" w:hanging="720"/>
            <w:jc w:val="both"/>
            <w:rPr>
              <w:noProof/>
              <w:color w:val="000000" w:themeColor="text1"/>
              <w:lang w:val="en-GB"/>
            </w:rPr>
          </w:pPr>
          <w:r w:rsidRPr="007C5C26">
            <w:rPr>
              <w:noProof/>
              <w:color w:val="000000" w:themeColor="text1"/>
            </w:rPr>
            <w:t xml:space="preserve">Cale, E. y Lilienfeld, S. (2002). </w:t>
          </w:r>
          <w:r w:rsidRPr="007C5C26">
            <w:rPr>
              <w:noProof/>
              <w:color w:val="000000" w:themeColor="text1"/>
              <w:lang w:val="en-GB"/>
            </w:rPr>
            <w:t xml:space="preserve">Histrionic Personality Disorder and Antisocial Personality Disorder: Sex-differentiated manifestations of psychopathy? </w:t>
          </w:r>
          <w:r w:rsidRPr="007C5C26">
            <w:rPr>
              <w:i/>
              <w:iCs/>
              <w:noProof/>
              <w:color w:val="000000" w:themeColor="text1"/>
              <w:lang w:val="en-GB"/>
            </w:rPr>
            <w:t>Journal of Personality Disorders, 16</w:t>
          </w:r>
          <w:r w:rsidRPr="007C5C26">
            <w:rPr>
              <w:noProof/>
              <w:color w:val="000000" w:themeColor="text1"/>
              <w:lang w:val="en-GB"/>
            </w:rPr>
            <w:t>(1), 52-72.</w:t>
          </w:r>
        </w:p>
        <w:p w:rsidR="008A491D" w:rsidRPr="007C5C26" w:rsidRDefault="008A491D" w:rsidP="007C5C26">
          <w:pPr>
            <w:pStyle w:val="Bibliografa"/>
            <w:spacing w:line="360" w:lineRule="auto"/>
            <w:ind w:left="720" w:hanging="720"/>
            <w:jc w:val="both"/>
            <w:rPr>
              <w:noProof/>
              <w:color w:val="000000" w:themeColor="text1"/>
            </w:rPr>
          </w:pPr>
          <w:r w:rsidRPr="007C5C26">
            <w:rPr>
              <w:noProof/>
              <w:color w:val="000000" w:themeColor="text1"/>
            </w:rPr>
            <w:t xml:space="preserve">Cale, E. y Lilienfeld, S. (2002). Sex differences in psychopathy and antisocial personality disorder. A review and integration. </w:t>
          </w:r>
          <w:r w:rsidRPr="007C5C26">
            <w:rPr>
              <w:i/>
              <w:iCs/>
              <w:noProof/>
              <w:color w:val="000000" w:themeColor="text1"/>
            </w:rPr>
            <w:t>Clinical Psychology Review, 22</w:t>
          </w:r>
          <w:r w:rsidRPr="007C5C26">
            <w:rPr>
              <w:noProof/>
              <w:color w:val="000000" w:themeColor="text1"/>
            </w:rPr>
            <w:t>, 1179-1207.</w:t>
          </w:r>
        </w:p>
        <w:p w:rsidR="00017D6D" w:rsidRPr="007C5C26" w:rsidRDefault="00017D6D" w:rsidP="007C5C26">
          <w:pPr>
            <w:pStyle w:val="Bibliografa"/>
            <w:spacing w:line="360" w:lineRule="auto"/>
            <w:ind w:left="720" w:hanging="720"/>
            <w:jc w:val="both"/>
            <w:rPr>
              <w:noProof/>
              <w:color w:val="000000" w:themeColor="text1"/>
              <w:lang w:val="en-GB"/>
            </w:rPr>
          </w:pPr>
          <w:r w:rsidRPr="007C5C26">
            <w:rPr>
              <w:noProof/>
              <w:color w:val="000000" w:themeColor="text1"/>
            </w:rPr>
            <w:t xml:space="preserve">Calzada-Reyes, A., Álvarez-Amador, A., Galán-Garcáa, L. y Valdés-Sosa, M. (2013). </w:t>
          </w:r>
          <w:r w:rsidRPr="007C5C26">
            <w:rPr>
              <w:noProof/>
              <w:color w:val="000000" w:themeColor="text1"/>
              <w:lang w:val="en-GB"/>
            </w:rPr>
            <w:t xml:space="preserve">EEG abnormalities in psychopath and non-psychopath violent offenders. </w:t>
          </w:r>
          <w:r w:rsidRPr="007C5C26">
            <w:rPr>
              <w:i/>
              <w:iCs/>
              <w:noProof/>
              <w:color w:val="000000" w:themeColor="text1"/>
              <w:lang w:val="en-GB"/>
            </w:rPr>
            <w:t>Journal of Forensic and Legal Medicine, 20</w:t>
          </w:r>
          <w:r w:rsidRPr="007C5C26">
            <w:rPr>
              <w:noProof/>
              <w:color w:val="000000" w:themeColor="text1"/>
              <w:lang w:val="en-GB"/>
            </w:rPr>
            <w:t>, 19-26.</w:t>
          </w:r>
        </w:p>
        <w:p w:rsidR="00017D6D" w:rsidRPr="007C5C26" w:rsidRDefault="00017D6D" w:rsidP="007C5C26">
          <w:pPr>
            <w:pStyle w:val="Bibliografa"/>
            <w:spacing w:line="360" w:lineRule="auto"/>
            <w:ind w:left="720" w:hanging="720"/>
            <w:jc w:val="both"/>
            <w:rPr>
              <w:noProof/>
              <w:color w:val="000000" w:themeColor="text1"/>
              <w:lang w:val="en-GB"/>
            </w:rPr>
          </w:pPr>
          <w:r w:rsidRPr="007C5C26">
            <w:rPr>
              <w:noProof/>
              <w:color w:val="000000" w:themeColor="text1"/>
              <w:lang w:val="es-ES"/>
            </w:rPr>
            <w:t xml:space="preserve">Calzada-Reyes, A., Álvarez-Amador, A., Galán-García, L. y Valdés-Sosa, M. (2012). </w:t>
          </w:r>
          <w:r w:rsidRPr="007C5C26">
            <w:rPr>
              <w:noProof/>
              <w:color w:val="000000" w:themeColor="text1"/>
              <w:lang w:val="en-GB"/>
            </w:rPr>
            <w:t xml:space="preserve">Electroencephalographic abnormalities in antisocial personality disorder. </w:t>
          </w:r>
          <w:r w:rsidRPr="007C5C26">
            <w:rPr>
              <w:i/>
              <w:iCs/>
              <w:noProof/>
              <w:color w:val="000000" w:themeColor="text1"/>
              <w:lang w:val="en-GB"/>
            </w:rPr>
            <w:t>Journal of Forensic and Legal Medicine, 19</w:t>
          </w:r>
          <w:r w:rsidRPr="007C5C26">
            <w:rPr>
              <w:noProof/>
              <w:color w:val="000000" w:themeColor="text1"/>
              <w:lang w:val="en-GB"/>
            </w:rPr>
            <w:t>, 29-34.</w:t>
          </w:r>
        </w:p>
        <w:p w:rsidR="00C754F5" w:rsidRPr="007C5C26" w:rsidRDefault="00C754F5" w:rsidP="007C5C26">
          <w:pPr>
            <w:pStyle w:val="Bibliografa"/>
            <w:spacing w:line="360" w:lineRule="auto"/>
            <w:ind w:left="720" w:hanging="720"/>
            <w:jc w:val="both"/>
            <w:rPr>
              <w:noProof/>
              <w:lang w:val="es-ES"/>
            </w:rPr>
          </w:pPr>
          <w:r w:rsidRPr="007C5C26">
            <w:rPr>
              <w:noProof/>
              <w:lang w:val="es-ES"/>
            </w:rPr>
            <w:t xml:space="preserve">Ceberio, M. (2010). </w:t>
          </w:r>
          <w:r w:rsidRPr="007C5C26">
            <w:rPr>
              <w:i/>
              <w:iCs/>
              <w:noProof/>
              <w:lang w:val="es-ES"/>
            </w:rPr>
            <w:t>Unas gotas de veneno en cada sopa</w:t>
          </w:r>
          <w:r w:rsidRPr="007C5C26">
            <w:rPr>
              <w:noProof/>
              <w:lang w:val="es-ES"/>
            </w:rPr>
            <w:t>. Obtenido de El País: https://elpais.com/diario/2010/08/29/domingo/1283053959_850215.html</w:t>
          </w:r>
        </w:p>
        <w:p w:rsidR="008A491D" w:rsidRPr="007C5C26" w:rsidRDefault="008A491D" w:rsidP="007C5C26">
          <w:pPr>
            <w:pStyle w:val="Bibliografa"/>
            <w:spacing w:line="360" w:lineRule="auto"/>
            <w:ind w:left="720" w:hanging="720"/>
            <w:jc w:val="both"/>
            <w:rPr>
              <w:noProof/>
              <w:color w:val="000000" w:themeColor="text1"/>
            </w:rPr>
          </w:pPr>
          <w:r w:rsidRPr="007C5C26">
            <w:rPr>
              <w:noProof/>
              <w:color w:val="000000" w:themeColor="text1"/>
              <w:lang w:val="es-ES"/>
            </w:rPr>
            <w:t xml:space="preserve">Cloninger, C. y Guze, S. (1970). </w:t>
          </w:r>
          <w:r w:rsidRPr="007C5C26">
            <w:rPr>
              <w:noProof/>
              <w:color w:val="000000" w:themeColor="text1"/>
            </w:rPr>
            <w:t xml:space="preserve">Female Criminals: Their Personal, Familial, and Social Backgrounds. The Relation of These to the Diagnoses of Sociopathy and Hysteria. </w:t>
          </w:r>
          <w:r w:rsidRPr="007C5C26">
            <w:rPr>
              <w:i/>
              <w:iCs/>
              <w:noProof/>
              <w:color w:val="000000" w:themeColor="text1"/>
            </w:rPr>
            <w:t>Arch Gen Psychiat, 23</w:t>
          </w:r>
          <w:r w:rsidRPr="007C5C26">
            <w:rPr>
              <w:noProof/>
              <w:color w:val="000000" w:themeColor="text1"/>
            </w:rPr>
            <w:t>, 554-558.</w:t>
          </w:r>
        </w:p>
        <w:p w:rsidR="00E24DE6" w:rsidRPr="007C5C26" w:rsidRDefault="00E24DE6" w:rsidP="007C5C26">
          <w:pPr>
            <w:pStyle w:val="Bibliografa"/>
            <w:spacing w:line="360" w:lineRule="auto"/>
            <w:ind w:left="720" w:hanging="720"/>
            <w:jc w:val="both"/>
            <w:rPr>
              <w:noProof/>
              <w:lang w:val="es-ES"/>
            </w:rPr>
          </w:pPr>
          <w:r w:rsidRPr="007C5C26">
            <w:rPr>
              <w:noProof/>
            </w:rPr>
            <w:t xml:space="preserve">Cooke, D., &amp; Michie, C. (2001). Refining the Construct of Psychopathy: Towards a Hierarchical Model. </w:t>
          </w:r>
          <w:r w:rsidRPr="007C5C26">
            <w:rPr>
              <w:i/>
              <w:iCs/>
              <w:noProof/>
              <w:lang w:val="es-ES"/>
            </w:rPr>
            <w:t>Psychological Assessment, 13</w:t>
          </w:r>
          <w:r w:rsidRPr="007C5C26">
            <w:rPr>
              <w:noProof/>
              <w:lang w:val="es-ES"/>
            </w:rPr>
            <w:t>(2), 171-188.</w:t>
          </w:r>
        </w:p>
        <w:p w:rsidR="00017D6D" w:rsidRPr="007C5C26" w:rsidRDefault="00017D6D" w:rsidP="007C5C26">
          <w:pPr>
            <w:pStyle w:val="Bibliografa"/>
            <w:spacing w:line="360" w:lineRule="auto"/>
            <w:ind w:left="720" w:hanging="720"/>
            <w:jc w:val="both"/>
            <w:rPr>
              <w:noProof/>
              <w:color w:val="000000" w:themeColor="text1"/>
            </w:rPr>
          </w:pPr>
          <w:r w:rsidRPr="007C5C26">
            <w:rPr>
              <w:noProof/>
              <w:color w:val="000000" w:themeColor="text1"/>
              <w:lang w:val="es-ES"/>
            </w:rPr>
            <w:t xml:space="preserve">Cuquerella, Á., Subirana, M. y Mohíno, S. (2002). Evaluación forense de la psicopatía mediante la Psychopathy Checklist Screening Version. Peligrosidad del psicópata: pronóstico, perfiles criminales en el escenario del crimen. </w:t>
          </w:r>
          <w:r w:rsidRPr="007C5C26">
            <w:rPr>
              <w:i/>
              <w:iCs/>
              <w:noProof/>
              <w:color w:val="000000" w:themeColor="text1"/>
            </w:rPr>
            <w:t>Publicaciones Ministerio de Justicia</w:t>
          </w:r>
          <w:r w:rsidRPr="007C5C26">
            <w:rPr>
              <w:noProof/>
              <w:color w:val="000000" w:themeColor="text1"/>
            </w:rPr>
            <w:t>.</w:t>
          </w:r>
        </w:p>
        <w:p w:rsidR="008A491D" w:rsidRPr="007C5C26" w:rsidRDefault="008A491D" w:rsidP="007C5C26">
          <w:pPr>
            <w:pStyle w:val="Bibliografa"/>
            <w:spacing w:line="360" w:lineRule="auto"/>
            <w:ind w:left="720" w:hanging="720"/>
            <w:jc w:val="both"/>
            <w:rPr>
              <w:noProof/>
              <w:color w:val="000000" w:themeColor="text1"/>
              <w:lang w:val="es-ES"/>
            </w:rPr>
          </w:pPr>
          <w:r w:rsidRPr="007C5C26">
            <w:rPr>
              <w:noProof/>
              <w:color w:val="000000" w:themeColor="text1"/>
            </w:rPr>
            <w:lastRenderedPageBreak/>
            <w:t xml:space="preserve">Dolan, M. y Völlm, B. (2009). Antisocial personality disorder and psychopathy in women: A literature review on the reliability and validity of assessment instruments. </w:t>
          </w:r>
          <w:r w:rsidRPr="007C5C26">
            <w:rPr>
              <w:i/>
              <w:iCs/>
              <w:noProof/>
              <w:color w:val="000000" w:themeColor="text1"/>
              <w:lang w:val="es-ES"/>
            </w:rPr>
            <w:t>International Journal of Law and Psychiatry, 32</w:t>
          </w:r>
          <w:r w:rsidRPr="007C5C26">
            <w:rPr>
              <w:noProof/>
              <w:color w:val="000000" w:themeColor="text1"/>
              <w:lang w:val="es-ES"/>
            </w:rPr>
            <w:t>, 2-9.</w:t>
          </w:r>
        </w:p>
        <w:p w:rsidR="00C754F5" w:rsidRPr="00D21C31" w:rsidRDefault="00C754F5" w:rsidP="007C5C26">
          <w:pPr>
            <w:pStyle w:val="Bibliografa"/>
            <w:spacing w:line="360" w:lineRule="auto"/>
            <w:ind w:left="720" w:hanging="720"/>
            <w:jc w:val="both"/>
            <w:rPr>
              <w:noProof/>
              <w:lang w:val="es-ES"/>
            </w:rPr>
          </w:pPr>
          <w:r w:rsidRPr="007C5C26">
            <w:rPr>
              <w:noProof/>
              <w:lang w:val="es-ES"/>
            </w:rPr>
            <w:t xml:space="preserve">EFE. (2005). </w:t>
          </w:r>
          <w:r w:rsidRPr="007C5C26">
            <w:rPr>
              <w:i/>
              <w:iCs/>
              <w:noProof/>
              <w:lang w:val="es-ES"/>
            </w:rPr>
            <w:t xml:space="preserve">La 'envenenadora de Melilla', condenada a 84 años por tres asesinatos y un intento </w:t>
          </w:r>
          <w:r w:rsidRPr="007C5C26">
            <w:rPr>
              <w:noProof/>
              <w:lang w:val="es-ES"/>
            </w:rPr>
            <w:t xml:space="preserve">. </w:t>
          </w:r>
          <w:r w:rsidRPr="00D21C31">
            <w:rPr>
              <w:noProof/>
              <w:lang w:val="es-ES"/>
            </w:rPr>
            <w:t>Obtenido de El País: https://elpais.com/diario/2005/09/27/espana/1127772022_850215.html</w:t>
          </w:r>
        </w:p>
        <w:p w:rsidR="00C754F5" w:rsidRPr="00D21C31" w:rsidRDefault="00C754F5" w:rsidP="007C5C26">
          <w:pPr>
            <w:pStyle w:val="Bibliografa"/>
            <w:spacing w:line="360" w:lineRule="auto"/>
            <w:ind w:left="720" w:hanging="720"/>
            <w:jc w:val="both"/>
            <w:rPr>
              <w:noProof/>
              <w:lang w:val="es-ES"/>
            </w:rPr>
          </w:pPr>
          <w:r w:rsidRPr="007C5C26">
            <w:rPr>
              <w:noProof/>
              <w:lang w:val="es-ES"/>
            </w:rPr>
            <w:t xml:space="preserve">Esther. (2005). </w:t>
          </w:r>
          <w:r w:rsidRPr="007C5C26">
            <w:rPr>
              <w:i/>
              <w:iCs/>
              <w:noProof/>
              <w:lang w:val="es-ES"/>
            </w:rPr>
            <w:t>La envenenadora de Melilla confiesa tres asesinatos</w:t>
          </w:r>
          <w:r w:rsidRPr="007C5C26">
            <w:rPr>
              <w:noProof/>
              <w:lang w:val="es-ES"/>
            </w:rPr>
            <w:t xml:space="preserve">. </w:t>
          </w:r>
          <w:r w:rsidRPr="00D21C31">
            <w:rPr>
              <w:noProof/>
              <w:lang w:val="es-ES"/>
            </w:rPr>
            <w:t>Obtenido de Adeguello: http://www.adeguello.net/printade2005nov6.htm</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Flórez, G. (2016). Psicopatía, adicciones, violencia interpersonal y conducta antisocial, una relación mixta. </w:t>
          </w:r>
          <w:r w:rsidRPr="007C5C26">
            <w:rPr>
              <w:i/>
              <w:iCs/>
              <w:noProof/>
              <w:color w:val="000000" w:themeColor="text1"/>
              <w:lang w:val="es-ES"/>
            </w:rPr>
            <w:t>Adicciones, 28</w:t>
          </w:r>
          <w:r w:rsidRPr="007C5C26">
            <w:rPr>
              <w:noProof/>
              <w:color w:val="000000" w:themeColor="text1"/>
              <w:lang w:val="es-ES"/>
            </w:rPr>
            <w:t>(2), 65-70.</w:t>
          </w:r>
        </w:p>
        <w:p w:rsidR="007D10A2" w:rsidRPr="007D10A2" w:rsidRDefault="00017D6D" w:rsidP="007D10A2">
          <w:pPr>
            <w:pStyle w:val="Bibliografa"/>
            <w:spacing w:line="360" w:lineRule="auto"/>
            <w:ind w:left="720" w:hanging="720"/>
            <w:jc w:val="both"/>
            <w:rPr>
              <w:noProof/>
              <w:color w:val="000000" w:themeColor="text1"/>
              <w:lang w:val="es-ES"/>
            </w:rPr>
          </w:pPr>
          <w:r w:rsidRPr="007C5C26">
            <w:rPr>
              <w:noProof/>
              <w:color w:val="000000" w:themeColor="text1"/>
              <w:lang w:val="es-ES"/>
            </w:rPr>
            <w:t>Flórez, G., Ferrer, V., García, L., Crespo, M., Pérez, M. y Saiz, P. (2019). Trastornos de la personalid</w:t>
          </w:r>
          <w:r w:rsidRPr="007D10A2">
            <w:rPr>
              <w:noProof/>
              <w:color w:val="000000" w:themeColor="text1"/>
              <w:lang w:val="es-ES"/>
            </w:rPr>
            <w:t xml:space="preserve">ad, adicciones y psicopatía como predictores de la conducta delictiva en una muestra penitenciaria. </w:t>
          </w:r>
          <w:r w:rsidRPr="007D10A2">
            <w:rPr>
              <w:i/>
              <w:iCs/>
              <w:noProof/>
              <w:color w:val="000000" w:themeColor="text1"/>
              <w:lang w:val="es-ES"/>
            </w:rPr>
            <w:t>Revista Española de Sanidad Penitenciaria, 21</w:t>
          </w:r>
          <w:r w:rsidRPr="007D10A2">
            <w:rPr>
              <w:noProof/>
              <w:color w:val="000000" w:themeColor="text1"/>
              <w:lang w:val="es-ES"/>
            </w:rPr>
            <w:t>, 67-84.</w:t>
          </w:r>
        </w:p>
        <w:p w:rsidR="007D10A2" w:rsidRPr="007D10A2" w:rsidRDefault="007D10A2" w:rsidP="007D10A2">
          <w:pPr>
            <w:pStyle w:val="Bibliografa"/>
            <w:spacing w:line="360" w:lineRule="auto"/>
            <w:ind w:left="720" w:hanging="720"/>
            <w:jc w:val="both"/>
            <w:rPr>
              <w:color w:val="231F20"/>
              <w:lang w:val="es-ES"/>
            </w:rPr>
          </w:pPr>
          <w:r w:rsidRPr="007D10A2">
            <w:rPr>
              <w:color w:val="231F20"/>
              <w:lang w:val="es-ES"/>
            </w:rPr>
            <w:t>[Fotografía de Agencia EFE]. (Melilla, 2004). La envenenadora de Melilla, Francisca Ballesteros, en el momento de su detención. Melilla.</w:t>
          </w:r>
        </w:p>
        <w:p w:rsidR="007D10A2" w:rsidRPr="007D10A2" w:rsidRDefault="007D10A2" w:rsidP="007D10A2">
          <w:pPr>
            <w:pStyle w:val="Bibliografa"/>
            <w:spacing w:line="360" w:lineRule="auto"/>
            <w:ind w:left="720" w:hanging="720"/>
            <w:jc w:val="both"/>
            <w:rPr>
              <w:color w:val="231F20"/>
              <w:lang w:val="es-ES"/>
            </w:rPr>
          </w:pPr>
          <w:r w:rsidRPr="007D10A2">
            <w:rPr>
              <w:color w:val="231F20"/>
              <w:lang w:val="es-ES"/>
            </w:rPr>
            <w:t>[Fotografía de Carlos Barba]. (Almería, 2019). Ana Julia Quezada, autora confesa de la muerte de Gabriel Cruz. Sección Segunda de la Audiencia Provincial de Almería.</w:t>
          </w:r>
        </w:p>
        <w:p w:rsidR="007D10A2" w:rsidRPr="007D10A2" w:rsidRDefault="007D10A2" w:rsidP="007D10A2">
          <w:pPr>
            <w:pStyle w:val="Bibliografa"/>
            <w:spacing w:line="360" w:lineRule="auto"/>
            <w:ind w:left="720" w:hanging="720"/>
            <w:jc w:val="both"/>
            <w:rPr>
              <w:noProof/>
              <w:color w:val="000000" w:themeColor="text1"/>
              <w:lang w:val="es-ES"/>
            </w:rPr>
          </w:pPr>
          <w:r w:rsidRPr="007D10A2">
            <w:rPr>
              <w:color w:val="231F20"/>
              <w:lang w:val="es-ES"/>
            </w:rPr>
            <w:t xml:space="preserve">[Fotografía de Toni Garriga]. (Barcelona, 2012). María Ángeles Molina, alias Angie, la mujer acusada de matar a una amiga y dejar pistas falsas en Zaragoza durante el juicio. </w:t>
          </w:r>
          <w:r w:rsidRPr="003445EC">
            <w:rPr>
              <w:color w:val="231F20"/>
              <w:lang w:val="es-ES"/>
            </w:rPr>
            <w:t>Barcelona.</w:t>
          </w:r>
        </w:p>
        <w:p w:rsidR="00C754F5" w:rsidRPr="007D10A2" w:rsidRDefault="00C754F5" w:rsidP="007D10A2">
          <w:pPr>
            <w:pStyle w:val="Bibliografa"/>
            <w:spacing w:line="360" w:lineRule="auto"/>
            <w:ind w:left="720" w:hanging="720"/>
            <w:jc w:val="both"/>
            <w:rPr>
              <w:noProof/>
              <w:lang w:val="es-ES"/>
            </w:rPr>
          </w:pPr>
          <w:r w:rsidRPr="007D10A2">
            <w:rPr>
              <w:noProof/>
              <w:lang w:val="es-ES"/>
            </w:rPr>
            <w:t xml:space="preserve">Garcia , J. (2015). </w:t>
          </w:r>
          <w:r w:rsidRPr="007D10A2">
            <w:rPr>
              <w:i/>
              <w:iCs/>
              <w:noProof/>
              <w:lang w:val="es-ES"/>
            </w:rPr>
            <w:t>Un crimen perverso, pero no perfecto</w:t>
          </w:r>
          <w:r w:rsidRPr="007D10A2">
            <w:rPr>
              <w:noProof/>
              <w:lang w:val="es-ES"/>
            </w:rPr>
            <w:t>. Obtenido de El País: https://elpais.com/ccaa/2015/08/08/catalunya/1439063070_470912.html</w:t>
          </w:r>
        </w:p>
        <w:p w:rsidR="00C754F5" w:rsidRPr="007C5C26" w:rsidRDefault="00C754F5" w:rsidP="007D10A2">
          <w:pPr>
            <w:pStyle w:val="Bibliografa"/>
            <w:spacing w:line="360" w:lineRule="auto"/>
            <w:ind w:left="720" w:hanging="720"/>
            <w:jc w:val="both"/>
            <w:rPr>
              <w:noProof/>
              <w:lang w:val="es-ES"/>
            </w:rPr>
          </w:pPr>
          <w:r w:rsidRPr="007D10A2">
            <w:rPr>
              <w:noProof/>
              <w:lang w:val="es-ES"/>
            </w:rPr>
            <w:t xml:space="preserve">García, J. (2012). </w:t>
          </w:r>
          <w:r w:rsidRPr="007D10A2">
            <w:rPr>
              <w:i/>
              <w:iCs/>
              <w:noProof/>
              <w:lang w:val="es-ES"/>
            </w:rPr>
            <w:t>Las crueles fantasías de Angie</w:t>
          </w:r>
          <w:r w:rsidRPr="007D10A2">
            <w:rPr>
              <w:noProof/>
              <w:lang w:val="es-ES"/>
            </w:rPr>
            <w:t>. O</w:t>
          </w:r>
          <w:r w:rsidRPr="007C5C26">
            <w:rPr>
              <w:noProof/>
              <w:lang w:val="es-ES"/>
            </w:rPr>
            <w:t>btenido de El País: https://elpais.com/politica/2012/03/23/actualidad/1332510576_805241.html</w:t>
          </w:r>
        </w:p>
        <w:p w:rsidR="00E24DE6" w:rsidRPr="007C5C26" w:rsidRDefault="00E24DE6" w:rsidP="007C5C26">
          <w:pPr>
            <w:pStyle w:val="Bibliografa"/>
            <w:spacing w:line="360" w:lineRule="auto"/>
            <w:ind w:left="720" w:hanging="720"/>
            <w:jc w:val="both"/>
            <w:rPr>
              <w:noProof/>
              <w:lang w:val="es-ES"/>
            </w:rPr>
          </w:pPr>
          <w:r w:rsidRPr="007C5C26">
            <w:rPr>
              <w:noProof/>
              <w:lang w:val="es-ES"/>
            </w:rPr>
            <w:t xml:space="preserve">Garrido, V. (2006). </w:t>
          </w:r>
          <w:r w:rsidRPr="007C5C26">
            <w:rPr>
              <w:i/>
              <w:iCs/>
              <w:noProof/>
              <w:lang w:val="es-ES"/>
            </w:rPr>
            <w:t>Qué es la psicología criminológica.</w:t>
          </w:r>
          <w:r w:rsidRPr="007C5C26">
            <w:rPr>
              <w:noProof/>
              <w:lang w:val="es-ES"/>
            </w:rPr>
            <w:t xml:space="preserve"> Madrid, España: Biblioteca Nueva.</w:t>
          </w:r>
        </w:p>
        <w:p w:rsidR="00017D6D" w:rsidRPr="007C5C26" w:rsidRDefault="00017D6D" w:rsidP="007C5C26">
          <w:pPr>
            <w:pStyle w:val="Bibliografa"/>
            <w:spacing w:line="360" w:lineRule="auto"/>
            <w:ind w:left="720" w:hanging="720"/>
            <w:jc w:val="both"/>
            <w:rPr>
              <w:noProof/>
              <w:color w:val="000000" w:themeColor="text1"/>
              <w:lang w:val="en-GB"/>
            </w:rPr>
          </w:pPr>
          <w:r w:rsidRPr="007C5C26">
            <w:rPr>
              <w:noProof/>
              <w:color w:val="000000" w:themeColor="text1"/>
              <w:lang w:val="es-ES"/>
            </w:rPr>
            <w:t xml:space="preserve">Hare, R. (2003). </w:t>
          </w:r>
          <w:r w:rsidRPr="007C5C26">
            <w:rPr>
              <w:i/>
              <w:iCs/>
              <w:noProof/>
              <w:color w:val="000000" w:themeColor="text1"/>
              <w:lang w:val="es-ES"/>
            </w:rPr>
            <w:t>Sin conciencia. El inquietante mundo de los psicópatas que nos rodean.</w:t>
          </w:r>
          <w:r w:rsidRPr="007C5C26">
            <w:rPr>
              <w:noProof/>
              <w:color w:val="000000" w:themeColor="text1"/>
              <w:lang w:val="es-ES"/>
            </w:rPr>
            <w:t xml:space="preserve"> </w:t>
          </w:r>
          <w:r w:rsidRPr="007C5C26">
            <w:rPr>
              <w:noProof/>
              <w:color w:val="000000" w:themeColor="text1"/>
              <w:lang w:val="en-GB"/>
            </w:rPr>
            <w:t>Barcelona: Paidós Ibérica.</w:t>
          </w:r>
        </w:p>
        <w:p w:rsidR="00017D6D" w:rsidRPr="007C5C26" w:rsidRDefault="00017D6D" w:rsidP="007C5C26">
          <w:pPr>
            <w:pStyle w:val="Bibliografa"/>
            <w:spacing w:line="360" w:lineRule="auto"/>
            <w:ind w:left="720" w:hanging="720"/>
            <w:jc w:val="both"/>
            <w:rPr>
              <w:noProof/>
              <w:color w:val="000000" w:themeColor="text1"/>
              <w:lang w:val="en-GB"/>
            </w:rPr>
          </w:pPr>
          <w:r w:rsidRPr="007C5C26">
            <w:rPr>
              <w:noProof/>
              <w:color w:val="000000" w:themeColor="text1"/>
              <w:lang w:val="en-GB"/>
            </w:rPr>
            <w:t xml:space="preserve">Hare, R. y Neumann, C. (2006). The PCL-R Assessment of Psychopathy. Development, Structural Properties, and New Directions. En C. Patrick, </w:t>
          </w:r>
          <w:r w:rsidRPr="007C5C26">
            <w:rPr>
              <w:i/>
              <w:iCs/>
              <w:noProof/>
              <w:color w:val="000000" w:themeColor="text1"/>
              <w:lang w:val="en-GB"/>
            </w:rPr>
            <w:t>Handbook of Psychopathy</w:t>
          </w:r>
          <w:r w:rsidRPr="007C5C26">
            <w:rPr>
              <w:noProof/>
              <w:color w:val="000000" w:themeColor="text1"/>
              <w:lang w:val="en-GB"/>
            </w:rPr>
            <w:t xml:space="preserve"> (págs. 58-88). New York: The Guilford Press.</w:t>
          </w:r>
        </w:p>
        <w:p w:rsidR="00017D6D" w:rsidRPr="007C5C26" w:rsidRDefault="00017D6D" w:rsidP="007C5C26">
          <w:pPr>
            <w:pStyle w:val="Bibliografa"/>
            <w:spacing w:line="360" w:lineRule="auto"/>
            <w:ind w:left="720" w:hanging="720"/>
            <w:jc w:val="both"/>
            <w:rPr>
              <w:noProof/>
              <w:color w:val="000000" w:themeColor="text1"/>
              <w:lang w:val="en-GB"/>
            </w:rPr>
          </w:pPr>
          <w:r w:rsidRPr="007C5C26">
            <w:rPr>
              <w:noProof/>
              <w:color w:val="000000" w:themeColor="text1"/>
              <w:lang w:val="en-GB"/>
            </w:rPr>
            <w:t xml:space="preserve">Hawes, S., Byrd, A., Waller, R., Lynam, D. y Pardini, D. (2016). Late childhood interpersonal callousness and conduct problem trajectories interact to predict adult psychopathy. </w:t>
          </w:r>
          <w:r w:rsidRPr="007C5C26">
            <w:rPr>
              <w:i/>
              <w:iCs/>
              <w:noProof/>
              <w:color w:val="000000" w:themeColor="text1"/>
              <w:lang w:val="en-GB"/>
            </w:rPr>
            <w:t>Journal of Child Psychology and Psychiatry, 58</w:t>
          </w:r>
          <w:r w:rsidRPr="007C5C26">
            <w:rPr>
              <w:noProof/>
              <w:color w:val="000000" w:themeColor="text1"/>
              <w:lang w:val="en-GB"/>
            </w:rPr>
            <w:t>(1), 55-63.</w:t>
          </w:r>
        </w:p>
        <w:p w:rsidR="00C754F5" w:rsidRPr="007C5C26" w:rsidRDefault="00C754F5" w:rsidP="007C5C26">
          <w:pPr>
            <w:pStyle w:val="Bibliografa"/>
            <w:spacing w:line="360" w:lineRule="auto"/>
            <w:ind w:left="720" w:hanging="720"/>
            <w:jc w:val="both"/>
            <w:rPr>
              <w:noProof/>
              <w:lang w:val="es-ES"/>
            </w:rPr>
          </w:pPr>
          <w:r w:rsidRPr="00D21C31">
            <w:rPr>
              <w:noProof/>
            </w:rPr>
            <w:t xml:space="preserve">Judicial, G. d. (2017). </w:t>
          </w:r>
          <w:r w:rsidRPr="00D21C31">
            <w:rPr>
              <w:i/>
              <w:iCs/>
              <w:noProof/>
            </w:rPr>
            <w:t>Francisca Ballesteros, La fogosa</w:t>
          </w:r>
          <w:r w:rsidRPr="00D21C31">
            <w:rPr>
              <w:noProof/>
            </w:rPr>
            <w:t xml:space="preserve">. </w:t>
          </w:r>
          <w:r w:rsidRPr="007C5C26">
            <w:rPr>
              <w:noProof/>
              <w:lang w:val="es-ES"/>
            </w:rPr>
            <w:t>Obtenido de Crimen Scientia: http://crimenscientia.blogspot.com/2017/02/francisca-ballesteros-la-fogosa.html</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n-GB"/>
            </w:rPr>
            <w:t xml:space="preserve">Kiehl, K. (2006). A Cognitive Neuroscience Perspective on Psychopathy: Evidence for Paralimbuic System Dysfunction. </w:t>
          </w:r>
          <w:r w:rsidRPr="007C5C26">
            <w:rPr>
              <w:i/>
              <w:iCs/>
              <w:noProof/>
              <w:color w:val="000000" w:themeColor="text1"/>
              <w:lang w:val="es-ES"/>
            </w:rPr>
            <w:t xml:space="preserve">Psychiatry Research, 142 </w:t>
          </w:r>
          <w:r w:rsidRPr="007C5C26">
            <w:rPr>
              <w:noProof/>
              <w:color w:val="000000" w:themeColor="text1"/>
              <w:lang w:val="es-ES"/>
            </w:rPr>
            <w:t>(2-3), 107-128.</w:t>
          </w:r>
        </w:p>
        <w:p w:rsidR="00E24DE6" w:rsidRPr="007C5C26" w:rsidRDefault="00E24DE6" w:rsidP="007C5C26">
          <w:pPr>
            <w:spacing w:line="360" w:lineRule="auto"/>
            <w:jc w:val="both"/>
            <w:rPr>
              <w:noProof/>
              <w:lang w:val="es-ES"/>
            </w:rPr>
          </w:pPr>
          <w:r w:rsidRPr="007C5C26">
            <w:rPr>
              <w:noProof/>
              <w:lang w:val="es-ES"/>
            </w:rPr>
            <w:lastRenderedPageBreak/>
            <w:t xml:space="preserve">López, A. (2013). Las mujeres también matamos. </w:t>
          </w:r>
          <w:r w:rsidRPr="007C5C26">
            <w:rPr>
              <w:i/>
              <w:iCs/>
              <w:noProof/>
              <w:lang w:val="es-ES"/>
            </w:rPr>
            <w:t>Derecho y cambio social, 33</w:t>
          </w:r>
          <w:r w:rsidRPr="007C5C26">
            <w:rPr>
              <w:noProof/>
              <w:lang w:val="es-ES"/>
            </w:rPr>
            <w:t>, 1-7.</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López, C. y Robles, J. I. (2005). Aproximación histórica al concepto de psicopatía. </w:t>
          </w:r>
          <w:r w:rsidRPr="007C5C26">
            <w:rPr>
              <w:i/>
              <w:iCs/>
              <w:noProof/>
              <w:color w:val="000000" w:themeColor="text1"/>
              <w:lang w:val="es-ES"/>
            </w:rPr>
            <w:t>Psicopatología Clínica, Legal y Forense</w:t>
          </w:r>
          <w:r w:rsidRPr="007C5C26">
            <w:rPr>
              <w:noProof/>
              <w:color w:val="000000" w:themeColor="text1"/>
              <w:lang w:val="es-ES"/>
            </w:rPr>
            <w:t>(5), 137-168.</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López, M. J. y Núñez, M. d. (2009). Psicopatía versus trastorno antisocial de la personalidad. </w:t>
          </w:r>
          <w:r w:rsidRPr="007C5C26">
            <w:rPr>
              <w:i/>
              <w:iCs/>
              <w:noProof/>
              <w:color w:val="000000" w:themeColor="text1"/>
              <w:lang w:val="es-ES"/>
            </w:rPr>
            <w:t>Revista Española de Investigación Criminológica, 1</w:t>
          </w:r>
          <w:r w:rsidRPr="007C5C26">
            <w:rPr>
              <w:noProof/>
              <w:color w:val="000000" w:themeColor="text1"/>
              <w:lang w:val="es-ES"/>
            </w:rPr>
            <w:t>(7), 1-17.</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López, S. (2013). Revisión de la psicopatía: Pasado, presente y futuro. </w:t>
          </w:r>
          <w:r w:rsidRPr="007C5C26">
            <w:rPr>
              <w:i/>
              <w:iCs/>
              <w:noProof/>
              <w:color w:val="000000" w:themeColor="text1"/>
              <w:lang w:val="es-ES"/>
            </w:rPr>
            <w:t>Revista Puertorriqueña de Psicología, 24</w:t>
          </w:r>
          <w:r w:rsidRPr="007C5C26">
            <w:rPr>
              <w:noProof/>
              <w:color w:val="000000" w:themeColor="text1"/>
              <w:lang w:val="es-ES"/>
            </w:rPr>
            <w:t>(2), 1-16.</w:t>
          </w:r>
        </w:p>
        <w:p w:rsidR="00C754F5" w:rsidRPr="007C5C26" w:rsidRDefault="00C754F5"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Lozano, V.</w:t>
          </w:r>
          <w:r w:rsidR="00EF4B90">
            <w:rPr>
              <w:noProof/>
              <w:color w:val="000000" w:themeColor="text1"/>
              <w:lang w:val="es-ES"/>
            </w:rPr>
            <w:t xml:space="preserve"> y</w:t>
          </w:r>
          <w:r w:rsidRPr="007C5C26">
            <w:rPr>
              <w:noProof/>
              <w:color w:val="000000" w:themeColor="text1"/>
              <w:lang w:val="es-ES"/>
            </w:rPr>
            <w:t xml:space="preserve"> Rendueles, L. (2018). </w:t>
          </w:r>
          <w:r w:rsidRPr="007C5C26">
            <w:rPr>
              <w:i/>
              <w:iCs/>
              <w:noProof/>
              <w:color w:val="000000" w:themeColor="text1"/>
              <w:lang w:val="es-ES"/>
            </w:rPr>
            <w:t>Angie, la autora del 'crimen perfecto', se libra de la muerte de su marido</w:t>
          </w:r>
          <w:r w:rsidRPr="007C5C26">
            <w:rPr>
              <w:noProof/>
              <w:color w:val="000000" w:themeColor="text1"/>
              <w:lang w:val="es-ES"/>
            </w:rPr>
            <w:t>. Obtenido de El Periódico: https://www.elperiodico.com/es/sucesos-y-tribunales/20180927/angie-asesina-barcelona-libra-muerte-marido-7057950</w:t>
          </w:r>
        </w:p>
        <w:p w:rsidR="00C754F5" w:rsidRPr="00FD6EC0" w:rsidRDefault="00C754F5" w:rsidP="00FD6EC0">
          <w:pPr>
            <w:pStyle w:val="Bibliografa"/>
            <w:spacing w:line="360" w:lineRule="auto"/>
            <w:ind w:left="720" w:hanging="720"/>
            <w:jc w:val="both"/>
            <w:rPr>
              <w:noProof/>
              <w:lang w:val="es-ES"/>
            </w:rPr>
          </w:pPr>
          <w:r w:rsidRPr="007C5C26">
            <w:rPr>
              <w:noProof/>
              <w:lang w:val="es-ES"/>
            </w:rPr>
            <w:t xml:space="preserve">Malvar, A. (2004). </w:t>
          </w:r>
          <w:r w:rsidRPr="007C5C26">
            <w:rPr>
              <w:i/>
              <w:iCs/>
              <w:noProof/>
              <w:lang w:val="es-ES"/>
            </w:rPr>
            <w:t>Paqui, retrato de una asesina</w:t>
          </w:r>
          <w:r w:rsidRPr="007C5C26">
            <w:rPr>
              <w:noProof/>
              <w:lang w:val="es-ES"/>
            </w:rPr>
            <w:t>.</w:t>
          </w:r>
          <w:r w:rsidRPr="00FD6EC0">
            <w:rPr>
              <w:noProof/>
              <w:lang w:val="es-ES"/>
            </w:rPr>
            <w:t xml:space="preserve"> Obtenido de El Mundo: https://www.elmundo.es/cronica/2004/452/1087216577.html</w:t>
          </w:r>
        </w:p>
        <w:p w:rsidR="00FD6EC0" w:rsidRPr="00FD6EC0" w:rsidRDefault="00C754F5" w:rsidP="00FD6EC0">
          <w:pPr>
            <w:pStyle w:val="Bibliografa"/>
            <w:spacing w:line="360" w:lineRule="auto"/>
            <w:ind w:left="720" w:hanging="720"/>
            <w:jc w:val="both"/>
            <w:rPr>
              <w:noProof/>
              <w:lang w:val="es-ES"/>
            </w:rPr>
          </w:pPr>
          <w:r w:rsidRPr="00FD6EC0">
            <w:rPr>
              <w:noProof/>
              <w:lang w:val="es-ES"/>
            </w:rPr>
            <w:t xml:space="preserve">Melero, J. (2019). </w:t>
          </w:r>
          <w:r w:rsidRPr="00FD6EC0">
            <w:rPr>
              <w:i/>
              <w:iCs/>
              <w:noProof/>
              <w:lang w:val="es-ES"/>
            </w:rPr>
            <w:t>El perfil psicológico de Ana Julia Quezada: "Fría, manipuladora y con falta de empatía, pero no una psicópata"</w:t>
          </w:r>
          <w:r w:rsidRPr="00FD6EC0">
            <w:rPr>
              <w:noProof/>
              <w:lang w:val="es-ES"/>
            </w:rPr>
            <w:t>. Obtenido de Cope: https://www.cope.es/actualidad/espana/noticias/perfil-psicologico-ana-julia-quezada-fria-manipuladora-con-falta-empatia-pero-una-psicopata-20190908_493215</w:t>
          </w:r>
          <w:r w:rsidR="00FD6EC0" w:rsidRPr="00FD6EC0">
            <w:rPr>
              <w:noProof/>
              <w:lang w:val="es-ES"/>
            </w:rPr>
            <w:t xml:space="preserve"> </w:t>
          </w:r>
        </w:p>
        <w:p w:rsidR="00FD6EC0" w:rsidRPr="00FD6EC0" w:rsidRDefault="00FD6EC0" w:rsidP="00FD6EC0">
          <w:pPr>
            <w:pStyle w:val="Bibliografa"/>
            <w:spacing w:line="360" w:lineRule="auto"/>
            <w:ind w:left="720" w:hanging="720"/>
            <w:jc w:val="both"/>
            <w:rPr>
              <w:noProof/>
              <w:lang w:val="es-ES"/>
            </w:rPr>
          </w:pPr>
          <w:r w:rsidRPr="00FD6EC0">
            <w:rPr>
              <w:color w:val="000000"/>
              <w:lang w:val="es-ES_tradnl" w:eastAsia="es-ES_tradnl"/>
            </w:rPr>
            <w:t xml:space="preserve">Ministerio del Interior (2012). </w:t>
          </w:r>
          <w:r w:rsidRPr="00FD4F4A">
            <w:rPr>
              <w:i/>
              <w:iCs/>
              <w:color w:val="000000"/>
              <w:lang w:val="es-ES_tradnl" w:eastAsia="es-ES_tradnl"/>
            </w:rPr>
            <w:t>Informe sobre el homicidio</w:t>
          </w:r>
          <w:r w:rsidRPr="00FD6EC0">
            <w:rPr>
              <w:color w:val="000000"/>
              <w:lang w:val="es-ES_tradnl" w:eastAsia="es-ES_tradnl"/>
            </w:rPr>
            <w:t xml:space="preserve">. Recuperado de </w:t>
          </w:r>
          <w:hyperlink r:id="rId13" w:history="1">
            <w:r w:rsidRPr="00FD6EC0">
              <w:rPr>
                <w:color w:val="000000"/>
                <w:u w:val="single"/>
                <w:lang w:val="es-ES_tradnl" w:eastAsia="es-ES_tradnl"/>
              </w:rPr>
              <w:t>http://www.interior.gob.es/documents/10180/8736571/INFORME+HOMICIDIOS+2010_2012.pdf/b691a55e-af23-4e91-b948-6c938caa8cdd</w:t>
            </w:r>
          </w:hyperlink>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Molina, J. d., Trabazo, V. y López, L. (2009). Delictología de los trastornos de personalidad y su repercusión sobre la imputabilidad. </w:t>
          </w:r>
          <w:r w:rsidRPr="007C5C26">
            <w:rPr>
              <w:i/>
              <w:iCs/>
              <w:noProof/>
              <w:color w:val="000000" w:themeColor="text1"/>
              <w:lang w:val="es-ES"/>
            </w:rPr>
            <w:t>edyPsykhé, 8</w:t>
          </w:r>
          <w:r w:rsidRPr="007C5C26">
            <w:rPr>
              <w:noProof/>
              <w:color w:val="000000" w:themeColor="text1"/>
              <w:lang w:val="es-ES"/>
            </w:rPr>
            <w:t>(2), 101-126.</w:t>
          </w:r>
        </w:p>
        <w:p w:rsidR="00017D6D" w:rsidRPr="007C5C26" w:rsidRDefault="00017D6D" w:rsidP="007C5C26">
          <w:pPr>
            <w:pStyle w:val="Bibliografa"/>
            <w:spacing w:line="360" w:lineRule="auto"/>
            <w:ind w:left="720" w:hanging="720"/>
            <w:jc w:val="both"/>
            <w:rPr>
              <w:noProof/>
              <w:color w:val="000000" w:themeColor="text1"/>
            </w:rPr>
          </w:pPr>
          <w:r w:rsidRPr="007C5C26">
            <w:rPr>
              <w:noProof/>
              <w:color w:val="000000" w:themeColor="text1"/>
              <w:lang w:val="es-ES"/>
            </w:rPr>
            <w:t xml:space="preserve">Moreno, J. M., Pozueco, J. M., García, M. E., Blázquez, M., Guerrero, E. y Guerrero, M. (2019). Psicópatas versus trastornos de la personalidad: Matices clínico-conceptuales y aspectos diferenciales. </w:t>
          </w:r>
          <w:r w:rsidRPr="007C5C26">
            <w:rPr>
              <w:i/>
              <w:iCs/>
              <w:noProof/>
              <w:color w:val="000000" w:themeColor="text1"/>
            </w:rPr>
            <w:t>Summa Psicológica, 16</w:t>
          </w:r>
          <w:r w:rsidRPr="007C5C26">
            <w:rPr>
              <w:noProof/>
              <w:color w:val="000000" w:themeColor="text1"/>
            </w:rPr>
            <w:t>(1), 51-59.</w:t>
          </w:r>
        </w:p>
        <w:p w:rsidR="008A491D" w:rsidRPr="007C5C26" w:rsidRDefault="008A491D" w:rsidP="007C5C26">
          <w:pPr>
            <w:pStyle w:val="Bibliografa"/>
            <w:spacing w:line="360" w:lineRule="auto"/>
            <w:ind w:left="720" w:hanging="720"/>
            <w:jc w:val="both"/>
            <w:rPr>
              <w:noProof/>
              <w:color w:val="000000" w:themeColor="text1"/>
            </w:rPr>
          </w:pPr>
          <w:r w:rsidRPr="007C5C26">
            <w:rPr>
              <w:noProof/>
              <w:color w:val="000000" w:themeColor="text1"/>
            </w:rPr>
            <w:t xml:space="preserve">Mulder, R., Wells, J. y Bushnell, J. (1994). Antisocial Women. </w:t>
          </w:r>
          <w:r w:rsidRPr="007C5C26">
            <w:rPr>
              <w:i/>
              <w:iCs/>
              <w:noProof/>
              <w:color w:val="000000" w:themeColor="text1"/>
            </w:rPr>
            <w:t>Journal of Personality Disorders, 8</w:t>
          </w:r>
          <w:r w:rsidRPr="007C5C26">
            <w:rPr>
              <w:noProof/>
              <w:color w:val="000000" w:themeColor="text1"/>
            </w:rPr>
            <w:t>(4), 279-287.</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rPr>
            <w:t xml:space="preserve">Muñoz, J. M. (2011). </w:t>
          </w:r>
          <w:r w:rsidRPr="007C5C26">
            <w:rPr>
              <w:noProof/>
              <w:color w:val="000000" w:themeColor="text1"/>
              <w:lang w:val="es-ES"/>
            </w:rPr>
            <w:t xml:space="preserve">La Psicopatía y su Repercusión Criminológica: Un modelo Comprehensivo de la Dinámica de Personalidad Psicopática. </w:t>
          </w:r>
          <w:r w:rsidRPr="007C5C26">
            <w:rPr>
              <w:i/>
              <w:iCs/>
              <w:noProof/>
              <w:color w:val="000000" w:themeColor="text1"/>
              <w:lang w:val="es-ES"/>
            </w:rPr>
            <w:t>Anuario de Psicología Jurídica, 21</w:t>
          </w:r>
          <w:r w:rsidRPr="007C5C26">
            <w:rPr>
              <w:noProof/>
              <w:color w:val="000000" w:themeColor="text1"/>
              <w:lang w:val="es-ES"/>
            </w:rPr>
            <w:t>, 57-68.</w:t>
          </w:r>
        </w:p>
        <w:p w:rsidR="00C754F5" w:rsidRPr="007C5C26" w:rsidRDefault="00C754F5" w:rsidP="007C5C26">
          <w:pPr>
            <w:pStyle w:val="Bibliografa"/>
            <w:spacing w:line="360" w:lineRule="auto"/>
            <w:ind w:left="720" w:hanging="720"/>
            <w:jc w:val="both"/>
            <w:rPr>
              <w:noProof/>
              <w:lang w:val="es-ES"/>
            </w:rPr>
          </w:pPr>
          <w:r w:rsidRPr="007C5C26">
            <w:rPr>
              <w:noProof/>
              <w:lang w:val="es-ES"/>
            </w:rPr>
            <w:t xml:space="preserve">Navarro, M. (2017). </w:t>
          </w:r>
          <w:r w:rsidRPr="007C5C26">
            <w:rPr>
              <w:i/>
              <w:iCs/>
              <w:noProof/>
              <w:lang w:val="es-ES"/>
            </w:rPr>
            <w:t>Angie, acusada ahora de asesinar a su marido</w:t>
          </w:r>
          <w:r w:rsidRPr="007C5C26">
            <w:rPr>
              <w:noProof/>
              <w:lang w:val="es-ES"/>
            </w:rPr>
            <w:t>. Obtenido de La Vanguardia: https://www.lavanguardia.com/sucesos/20170708/423958725205/angie-crimen-ana-paez-juicio-asesinato-marido.html</w:t>
          </w:r>
        </w:p>
        <w:p w:rsidR="00C754F5" w:rsidRPr="007C5C26" w:rsidRDefault="00C754F5" w:rsidP="007C5C26">
          <w:pPr>
            <w:pStyle w:val="Bibliografa"/>
            <w:spacing w:line="360" w:lineRule="auto"/>
            <w:ind w:left="720" w:hanging="720"/>
            <w:jc w:val="both"/>
            <w:rPr>
              <w:noProof/>
              <w:lang w:val="es-ES"/>
            </w:rPr>
          </w:pPr>
          <w:r w:rsidRPr="007C5C26">
            <w:rPr>
              <w:noProof/>
              <w:lang w:val="es-ES"/>
            </w:rPr>
            <w:t xml:space="preserve">Navarro, M. (2019). </w:t>
          </w:r>
          <w:r w:rsidRPr="007C5C26">
            <w:rPr>
              <w:i/>
              <w:iCs/>
              <w:noProof/>
              <w:lang w:val="es-ES"/>
            </w:rPr>
            <w:t>Ana Julia Quezada: retrato de una mujer perversa</w:t>
          </w:r>
          <w:r w:rsidRPr="007C5C26">
            <w:rPr>
              <w:noProof/>
              <w:lang w:val="es-ES"/>
            </w:rPr>
            <w:t>. Obtenido de La Vanguardia: https://www.lavanguardia.com/sucesos/20190918/47445133175/ana-julia-quezada-perversa.html</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lastRenderedPageBreak/>
            <w:t xml:space="preserve">Núñez, M. d. y López, M. J. (2009). Psicopatía y delincuencia. Implicaciones en el concepto de imputabilidad. </w:t>
          </w:r>
          <w:r w:rsidRPr="007C5C26">
            <w:rPr>
              <w:i/>
              <w:iCs/>
              <w:noProof/>
              <w:color w:val="000000" w:themeColor="text1"/>
              <w:lang w:val="es-ES"/>
            </w:rPr>
            <w:t>Revista Electrónica de Ciencia Penal y Criminología</w:t>
          </w:r>
          <w:r w:rsidRPr="007C5C26">
            <w:rPr>
              <w:noProof/>
              <w:color w:val="000000" w:themeColor="text1"/>
              <w:lang w:val="es-ES"/>
            </w:rPr>
            <w:t>(11-r2), r2:1-r2:8.</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Pallaro, H. y González-Trijueque, D. (2009). Informe forense: imputabilidad y trastorno antisocial de la personalidad. </w:t>
          </w:r>
          <w:r w:rsidRPr="007C5C26">
            <w:rPr>
              <w:i/>
              <w:iCs/>
              <w:noProof/>
              <w:color w:val="000000" w:themeColor="text1"/>
              <w:lang w:val="es-ES"/>
            </w:rPr>
            <w:t>Cuad Med Forense, 15</w:t>
          </w:r>
          <w:r w:rsidRPr="007C5C26">
            <w:rPr>
              <w:noProof/>
              <w:color w:val="000000" w:themeColor="text1"/>
              <w:lang w:val="es-ES"/>
            </w:rPr>
            <w:t>(55), 55-66.</w:t>
          </w:r>
        </w:p>
        <w:p w:rsidR="00C754F5" w:rsidRPr="007C5C26" w:rsidRDefault="00C754F5" w:rsidP="007C5C26">
          <w:pPr>
            <w:pStyle w:val="Bibliografa"/>
            <w:spacing w:line="360" w:lineRule="auto"/>
            <w:ind w:left="720" w:hanging="720"/>
            <w:jc w:val="both"/>
            <w:rPr>
              <w:noProof/>
              <w:lang w:val="es-ES"/>
            </w:rPr>
          </w:pPr>
          <w:r w:rsidRPr="007C5C26">
            <w:rPr>
              <w:noProof/>
              <w:lang w:val="es-ES"/>
            </w:rPr>
            <w:t xml:space="preserve">Pau, M. (2019). </w:t>
          </w:r>
          <w:r w:rsidRPr="007C5C26">
            <w:rPr>
              <w:i/>
              <w:iCs/>
              <w:noProof/>
              <w:lang w:val="es-ES"/>
            </w:rPr>
            <w:t>Paqui, la fogosa de Melilla que envenenó a su familia para irse con su amante de internet</w:t>
          </w:r>
          <w:r w:rsidRPr="007C5C26">
            <w:rPr>
              <w:noProof/>
              <w:lang w:val="es-ES"/>
            </w:rPr>
            <w:t>. Obtenido de El Español: https://www.elespanol.com/reportajes/20190203/paqui-fogosa-melilla-enveneno-familia-amante-internet/373212969_0.html</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Pintado, O. (2019). Trastornos mentales y violencia: implicaciones jurídico foreses. </w:t>
          </w:r>
          <w:r w:rsidRPr="007C5C26">
            <w:rPr>
              <w:i/>
              <w:iCs/>
              <w:noProof/>
              <w:color w:val="000000" w:themeColor="text1"/>
              <w:lang w:val="es-ES"/>
            </w:rPr>
            <w:t>International e-Journal of Criminal Science, 2</w:t>
          </w:r>
          <w:r w:rsidRPr="007C5C26">
            <w:rPr>
              <w:noProof/>
              <w:color w:val="000000" w:themeColor="text1"/>
              <w:lang w:val="es-ES"/>
            </w:rPr>
            <w:t>(13), 1-36.</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Pozueco, J., Romero, S. y Casas, N. (2011). Psicopatía, violencia y criminalidad: un análisis psicológico-forense, psiquiátrico-lega y criminológico (Parte I). </w:t>
          </w:r>
          <w:r w:rsidRPr="007C5C26">
            <w:rPr>
              <w:i/>
              <w:iCs/>
              <w:noProof/>
              <w:color w:val="000000" w:themeColor="text1"/>
              <w:lang w:val="es-ES"/>
            </w:rPr>
            <w:t>Cuad Med Forense, 17</w:t>
          </w:r>
          <w:r w:rsidRPr="007C5C26">
            <w:rPr>
              <w:noProof/>
              <w:color w:val="000000" w:themeColor="text1"/>
              <w:lang w:val="es-ES"/>
            </w:rPr>
            <w:t>(3), 123-136.</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Pozueco, J., Romero, S. y Casas, N. (2011). Psicopatía, violencia y criminalidad: un análisis psicológico-forense, psiquiátrico-lega y criminológico (Parte II). </w:t>
          </w:r>
          <w:r w:rsidRPr="007C5C26">
            <w:rPr>
              <w:i/>
              <w:iCs/>
              <w:noProof/>
              <w:color w:val="000000" w:themeColor="text1"/>
              <w:lang w:val="es-ES"/>
            </w:rPr>
            <w:t>Cuad Med Forense, 17</w:t>
          </w:r>
          <w:r w:rsidRPr="007C5C26">
            <w:rPr>
              <w:noProof/>
              <w:color w:val="000000" w:themeColor="text1"/>
              <w:lang w:val="es-ES"/>
            </w:rPr>
            <w:t>(4), 175-192.</w:t>
          </w:r>
        </w:p>
        <w:p w:rsidR="00C754F5" w:rsidRPr="007C5C26" w:rsidRDefault="00C754F5" w:rsidP="007C5C26">
          <w:pPr>
            <w:pStyle w:val="Bibliografa"/>
            <w:spacing w:line="360" w:lineRule="auto"/>
            <w:ind w:left="720" w:hanging="720"/>
            <w:jc w:val="both"/>
            <w:rPr>
              <w:noProof/>
              <w:lang w:val="es-ES"/>
            </w:rPr>
          </w:pPr>
          <w:r w:rsidRPr="007C5C26">
            <w:rPr>
              <w:noProof/>
              <w:lang w:val="es-ES"/>
            </w:rPr>
            <w:t xml:space="preserve">Prieto, C. (2019). </w:t>
          </w:r>
          <w:r w:rsidRPr="007C5C26">
            <w:rPr>
              <w:i/>
              <w:iCs/>
              <w:noProof/>
              <w:lang w:val="es-ES"/>
            </w:rPr>
            <w:t>Jefa de recursos humanos, simuladora de orgías y asesina. La vida lunática de Angie</w:t>
          </w:r>
          <w:r w:rsidRPr="007C5C26">
            <w:rPr>
              <w:noProof/>
              <w:lang w:val="es-ES"/>
            </w:rPr>
            <w:t>. Obtenido de El Confidencial: https://www.elconfidencial.com/espana/2019-11-30/asesinato-barcelona-angie-mossos-crimen-perfecto_2351716/</w:t>
          </w:r>
        </w:p>
        <w:p w:rsidR="008A491D" w:rsidRPr="007C5C26" w:rsidRDefault="00017D6D" w:rsidP="007C5C26">
          <w:pPr>
            <w:pStyle w:val="Bibliografa"/>
            <w:spacing w:line="360" w:lineRule="auto"/>
            <w:ind w:left="720" w:hanging="720"/>
            <w:jc w:val="both"/>
            <w:rPr>
              <w:noProof/>
              <w:color w:val="000000" w:themeColor="text1"/>
            </w:rPr>
          </w:pPr>
          <w:r w:rsidRPr="007C5C26">
            <w:rPr>
              <w:noProof/>
              <w:color w:val="000000" w:themeColor="text1"/>
              <w:lang w:val="es-ES"/>
            </w:rPr>
            <w:t xml:space="preserve">Ramos, C., Duque-Grajales, J., Rendón, J., Montoya-Betancur, A., Baena, A., Pineda, D. y Tobón, C. (2017). Cambios en el EEG en reposo de exparticipantes en el conflicto armado colombiano con trastorno de personalidad antisocial. </w:t>
          </w:r>
          <w:r w:rsidRPr="007C5C26">
            <w:rPr>
              <w:i/>
              <w:iCs/>
              <w:noProof/>
              <w:color w:val="000000" w:themeColor="text1"/>
            </w:rPr>
            <w:t>Revista Colombiana de Psiquiatría, 47</w:t>
          </w:r>
          <w:r w:rsidRPr="007C5C26">
            <w:rPr>
              <w:noProof/>
              <w:color w:val="000000" w:themeColor="text1"/>
            </w:rPr>
            <w:t>(2), 90-97.</w:t>
          </w:r>
          <w:r w:rsidR="008A491D" w:rsidRPr="007C5C26">
            <w:rPr>
              <w:noProof/>
              <w:color w:val="000000" w:themeColor="text1"/>
            </w:rPr>
            <w:t xml:space="preserve"> </w:t>
          </w:r>
        </w:p>
        <w:p w:rsidR="00017D6D" w:rsidRPr="007C5C26" w:rsidRDefault="008A491D" w:rsidP="007C5C26">
          <w:pPr>
            <w:pStyle w:val="Bibliografa"/>
            <w:spacing w:line="360" w:lineRule="auto"/>
            <w:ind w:left="720" w:hanging="720"/>
            <w:jc w:val="both"/>
            <w:rPr>
              <w:noProof/>
              <w:color w:val="000000" w:themeColor="text1"/>
            </w:rPr>
          </w:pPr>
          <w:r w:rsidRPr="007C5C26">
            <w:rPr>
              <w:noProof/>
              <w:color w:val="000000" w:themeColor="text1"/>
            </w:rPr>
            <w:t xml:space="preserve">Rogstad, J. y Rogers, R. (2008). Gender differences in contributions of emotion to psychopathy and antisocial personality disorder. </w:t>
          </w:r>
          <w:r w:rsidRPr="007C5C26">
            <w:rPr>
              <w:i/>
              <w:iCs/>
              <w:noProof/>
              <w:color w:val="000000" w:themeColor="text1"/>
            </w:rPr>
            <w:t>Clinical Psychology Review, 28</w:t>
          </w:r>
          <w:r w:rsidRPr="007C5C26">
            <w:rPr>
              <w:noProof/>
              <w:color w:val="000000" w:themeColor="text1"/>
            </w:rPr>
            <w:t>, 1472-1484.</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rPr>
            <w:t xml:space="preserve">Rutherford, M., Alterman, A., Cacciola, J. y McKay, J. (1998). </w:t>
          </w:r>
          <w:r w:rsidRPr="007C5C26">
            <w:rPr>
              <w:noProof/>
              <w:color w:val="000000" w:themeColor="text1"/>
              <w:lang w:val="en-GB"/>
            </w:rPr>
            <w:t xml:space="preserve">Gender differences in the relationship of Antisocial Personality Disorder criteria to Psychopathy Checklist-Revised Scores. </w:t>
          </w:r>
          <w:r w:rsidRPr="007C5C26">
            <w:rPr>
              <w:i/>
              <w:iCs/>
              <w:noProof/>
              <w:color w:val="000000" w:themeColor="text1"/>
              <w:lang w:val="es-ES"/>
            </w:rPr>
            <w:t>Journal of Personality Disorders, 12</w:t>
          </w:r>
          <w:r w:rsidRPr="007C5C26">
            <w:rPr>
              <w:noProof/>
              <w:color w:val="000000" w:themeColor="text1"/>
              <w:lang w:val="es-ES"/>
            </w:rPr>
            <w:t>(1), 69-76.</w:t>
          </w:r>
        </w:p>
        <w:p w:rsidR="00C754F5" w:rsidRPr="00D21C31" w:rsidRDefault="00C754F5" w:rsidP="007C5C26">
          <w:pPr>
            <w:pStyle w:val="Bibliografa"/>
            <w:spacing w:line="360" w:lineRule="auto"/>
            <w:ind w:left="720" w:hanging="720"/>
            <w:jc w:val="both"/>
            <w:rPr>
              <w:noProof/>
              <w:lang w:val="es-ES"/>
            </w:rPr>
          </w:pPr>
          <w:r w:rsidRPr="007C5C26">
            <w:rPr>
              <w:noProof/>
              <w:lang w:val="es-ES"/>
            </w:rPr>
            <w:t xml:space="preserve">Sánchez, N. (2020). </w:t>
          </w:r>
          <w:r w:rsidRPr="007C5C26">
            <w:rPr>
              <w:i/>
              <w:iCs/>
              <w:noProof/>
              <w:lang w:val="es-ES"/>
            </w:rPr>
            <w:t>La justicia confirma la prisión permanente revisable para Ana Julia Quezada</w:t>
          </w:r>
          <w:r w:rsidRPr="007C5C26">
            <w:rPr>
              <w:noProof/>
              <w:lang w:val="es-ES"/>
            </w:rPr>
            <w:t xml:space="preserve">. </w:t>
          </w:r>
          <w:r w:rsidRPr="00D21C31">
            <w:rPr>
              <w:noProof/>
              <w:lang w:val="es-ES"/>
            </w:rPr>
            <w:t>Obtenido de El País: https://elpais.com/sociedad/2020/02/06/actualidad/1580993829_083842.html</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Tirado-Álvarez, M.-M. (2010). Necesidad de la creación de una sanción penal esècial para ser impuesta al sujeto que padece trastorno antisocial de la personalidad (psicopatía) en Colombia. </w:t>
          </w:r>
          <w:r w:rsidRPr="007C5C26">
            <w:rPr>
              <w:i/>
              <w:iCs/>
              <w:noProof/>
              <w:color w:val="000000" w:themeColor="text1"/>
              <w:lang w:val="es-ES"/>
            </w:rPr>
            <w:t>Revista Estudios Socio-Jurídicos, 12</w:t>
          </w:r>
          <w:r w:rsidRPr="007C5C26">
            <w:rPr>
              <w:noProof/>
              <w:color w:val="000000" w:themeColor="text1"/>
              <w:lang w:val="es-ES"/>
            </w:rPr>
            <w:t>(1), 127-154.</w:t>
          </w:r>
        </w:p>
        <w:p w:rsidR="00017D6D" w:rsidRPr="007C5C26" w:rsidRDefault="00017D6D" w:rsidP="007C5C26">
          <w:pPr>
            <w:pStyle w:val="Bibliografa"/>
            <w:spacing w:line="360" w:lineRule="auto"/>
            <w:ind w:left="720" w:hanging="720"/>
            <w:jc w:val="both"/>
            <w:rPr>
              <w:noProof/>
              <w:color w:val="000000" w:themeColor="text1"/>
              <w:lang w:val="es-ES"/>
            </w:rPr>
          </w:pPr>
          <w:r w:rsidRPr="007C5C26">
            <w:rPr>
              <w:noProof/>
              <w:color w:val="000000" w:themeColor="text1"/>
              <w:lang w:val="es-ES"/>
            </w:rPr>
            <w:t xml:space="preserve">Torrubia, R. y Cuquerella, Á. (2008). Psicopatía: una entidad clínica controvertida pero necesaria en psiquiatría forense. </w:t>
          </w:r>
          <w:r w:rsidRPr="007C5C26">
            <w:rPr>
              <w:i/>
              <w:iCs/>
              <w:noProof/>
              <w:color w:val="000000" w:themeColor="text1"/>
              <w:lang w:val="es-ES"/>
            </w:rPr>
            <w:t>Revista Española de Medicina Legal, 34</w:t>
          </w:r>
          <w:r w:rsidRPr="007C5C26">
            <w:rPr>
              <w:noProof/>
              <w:color w:val="000000" w:themeColor="text1"/>
              <w:lang w:val="es-ES"/>
            </w:rPr>
            <w:t>(25-35).</w:t>
          </w:r>
        </w:p>
        <w:p w:rsidR="008A491D" w:rsidRPr="007C5C26" w:rsidRDefault="00017D6D" w:rsidP="007C5C26">
          <w:pPr>
            <w:pStyle w:val="Bibliografa"/>
            <w:spacing w:line="360" w:lineRule="auto"/>
            <w:ind w:left="720" w:hanging="720"/>
            <w:jc w:val="both"/>
            <w:rPr>
              <w:noProof/>
              <w:color w:val="000000" w:themeColor="text1"/>
            </w:rPr>
          </w:pPr>
          <w:r w:rsidRPr="007C5C26">
            <w:rPr>
              <w:noProof/>
              <w:color w:val="000000" w:themeColor="text1"/>
              <w:lang w:val="es-ES"/>
            </w:rPr>
            <w:lastRenderedPageBreak/>
            <w:t xml:space="preserve">Vargas-Oviedo, J. A. (2017). Prisión preventiva en delitos comunes y Trastornos de la Personalidad en reos primarios, Centro Penitenciario de Cusco. </w:t>
          </w:r>
          <w:r w:rsidRPr="007C5C26">
            <w:rPr>
              <w:i/>
              <w:iCs/>
              <w:noProof/>
              <w:color w:val="000000" w:themeColor="text1"/>
            </w:rPr>
            <w:t>Investigación Andina, 17</w:t>
          </w:r>
          <w:r w:rsidRPr="007C5C26">
            <w:rPr>
              <w:noProof/>
              <w:color w:val="000000" w:themeColor="text1"/>
            </w:rPr>
            <w:t>(2), 66-75.</w:t>
          </w:r>
          <w:r w:rsidR="008A491D" w:rsidRPr="007C5C26">
            <w:rPr>
              <w:noProof/>
              <w:color w:val="000000" w:themeColor="text1"/>
            </w:rPr>
            <w:t xml:space="preserve"> </w:t>
          </w:r>
        </w:p>
        <w:p w:rsidR="00017D6D" w:rsidRPr="007C5C26" w:rsidRDefault="008A491D" w:rsidP="007C5C26">
          <w:pPr>
            <w:pStyle w:val="Bibliografa"/>
            <w:spacing w:line="360" w:lineRule="auto"/>
            <w:ind w:left="720" w:hanging="720"/>
            <w:jc w:val="both"/>
            <w:rPr>
              <w:noProof/>
              <w:color w:val="000000" w:themeColor="text1"/>
            </w:rPr>
          </w:pPr>
          <w:r w:rsidRPr="007C5C26">
            <w:rPr>
              <w:noProof/>
              <w:color w:val="000000" w:themeColor="text1"/>
            </w:rPr>
            <w:t xml:space="preserve">Verona, E. y Vitale, J. (2006). Psychopathy in Women. En C. Patrick, </w:t>
          </w:r>
          <w:r w:rsidRPr="007C5C26">
            <w:rPr>
              <w:i/>
              <w:iCs/>
              <w:noProof/>
              <w:color w:val="000000" w:themeColor="text1"/>
            </w:rPr>
            <w:t>Handbook of Psychopathy</w:t>
          </w:r>
          <w:r w:rsidRPr="007C5C26">
            <w:rPr>
              <w:noProof/>
              <w:color w:val="000000" w:themeColor="text1"/>
            </w:rPr>
            <w:t xml:space="preserve"> (págs. 415-436). New York: The Guilford Press.</w:t>
          </w:r>
        </w:p>
        <w:p w:rsidR="00017D6D" w:rsidRPr="007C5C26" w:rsidRDefault="00017D6D" w:rsidP="007C5C26">
          <w:pPr>
            <w:pStyle w:val="Bibliografa"/>
            <w:spacing w:line="360" w:lineRule="auto"/>
            <w:ind w:left="720" w:hanging="720"/>
            <w:jc w:val="both"/>
            <w:rPr>
              <w:noProof/>
              <w:color w:val="000000" w:themeColor="text1"/>
              <w:lang w:val="en-GB"/>
            </w:rPr>
          </w:pPr>
          <w:r w:rsidRPr="007C5C26">
            <w:rPr>
              <w:noProof/>
              <w:color w:val="000000" w:themeColor="text1"/>
            </w:rPr>
            <w:t xml:space="preserve">Visdómine, J. C., Gil, B. y Gil, J. (2019). </w:t>
          </w:r>
          <w:r w:rsidRPr="007C5C26">
            <w:rPr>
              <w:noProof/>
              <w:color w:val="000000" w:themeColor="text1"/>
              <w:lang w:val="es-ES"/>
            </w:rPr>
            <w:t xml:space="preserve">Aproximación contextual-funcional a la psicopatía: análisis de casos. </w:t>
          </w:r>
          <w:r w:rsidRPr="007C5C26">
            <w:rPr>
              <w:i/>
              <w:iCs/>
              <w:noProof/>
              <w:color w:val="000000" w:themeColor="text1"/>
              <w:lang w:val="en-GB"/>
            </w:rPr>
            <w:t>International Journal of Psychology and Psychological Therapy, 19</w:t>
          </w:r>
          <w:r w:rsidRPr="007C5C26">
            <w:rPr>
              <w:noProof/>
              <w:color w:val="000000" w:themeColor="text1"/>
              <w:lang w:val="en-GB"/>
            </w:rPr>
            <w:t>(2), 141-161.</w:t>
          </w:r>
        </w:p>
        <w:p w:rsidR="008A491D" w:rsidRPr="007C5C26" w:rsidRDefault="00017D6D" w:rsidP="007C5C26">
          <w:pPr>
            <w:pStyle w:val="Bibliografa"/>
            <w:spacing w:line="360" w:lineRule="auto"/>
            <w:ind w:left="720" w:hanging="720"/>
            <w:jc w:val="both"/>
            <w:rPr>
              <w:noProof/>
              <w:color w:val="000000" w:themeColor="text1"/>
              <w:lang w:val="en-GB"/>
            </w:rPr>
          </w:pPr>
          <w:r w:rsidRPr="007C5C26">
            <w:rPr>
              <w:noProof/>
              <w:color w:val="000000" w:themeColor="text1"/>
            </w:rPr>
            <w:t xml:space="preserve">Vitale, J. y Newman, J. (2001). </w:t>
          </w:r>
          <w:r w:rsidRPr="007C5C26">
            <w:rPr>
              <w:noProof/>
              <w:color w:val="000000" w:themeColor="text1"/>
              <w:lang w:val="en-GB"/>
            </w:rPr>
            <w:t xml:space="preserve">Using the Psychopathy Checklist-Revised With Female Samples: Reliability, Validity, and Implicatios for Clinical Utility. </w:t>
          </w:r>
          <w:r w:rsidRPr="007C5C26">
            <w:rPr>
              <w:i/>
              <w:iCs/>
              <w:noProof/>
              <w:color w:val="000000" w:themeColor="text1"/>
              <w:lang w:val="en-GB"/>
            </w:rPr>
            <w:t>Clinical Psychology: Science and Practice, 8</w:t>
          </w:r>
          <w:r w:rsidRPr="007C5C26">
            <w:rPr>
              <w:noProof/>
              <w:color w:val="000000" w:themeColor="text1"/>
              <w:lang w:val="en-GB"/>
            </w:rPr>
            <w:t>(1), 117-132.</w:t>
          </w:r>
          <w:r w:rsidR="008A491D" w:rsidRPr="007C5C26">
            <w:rPr>
              <w:noProof/>
              <w:color w:val="000000" w:themeColor="text1"/>
              <w:lang w:val="en-GB"/>
            </w:rPr>
            <w:t xml:space="preserve"> </w:t>
          </w:r>
        </w:p>
        <w:p w:rsidR="00CB4CF5" w:rsidRPr="00CC6431" w:rsidRDefault="008A491D" w:rsidP="007C5C26">
          <w:pPr>
            <w:pStyle w:val="Bibliografa"/>
            <w:spacing w:line="360" w:lineRule="auto"/>
            <w:ind w:left="720" w:hanging="720"/>
            <w:jc w:val="both"/>
            <w:rPr>
              <w:noProof/>
              <w:color w:val="000000" w:themeColor="text1"/>
              <w:lang w:val="es-ES"/>
            </w:rPr>
          </w:pPr>
          <w:r w:rsidRPr="007C5C26">
            <w:rPr>
              <w:noProof/>
              <w:color w:val="000000" w:themeColor="text1"/>
            </w:rPr>
            <w:t xml:space="preserve">Weizmann-Henelius, G., Putkonen, H., Grönroos, M., Lindberg, N., Eronen, M. y Häkkänen-Nyholm, H. (2010). Examination of psychopathy in female homicide offenders - Confirmatory factor analysis of the PCL-R. </w:t>
          </w:r>
          <w:r w:rsidRPr="00CC6431">
            <w:rPr>
              <w:i/>
              <w:iCs/>
              <w:noProof/>
              <w:color w:val="000000" w:themeColor="text1"/>
              <w:lang w:val="es-ES"/>
            </w:rPr>
            <w:t>International Journal of Law and Psychiatry, 33</w:t>
          </w:r>
          <w:r w:rsidRPr="00CC6431">
            <w:rPr>
              <w:noProof/>
              <w:color w:val="000000" w:themeColor="text1"/>
              <w:lang w:val="es-ES"/>
            </w:rPr>
            <w:t>, 177-183.</w:t>
          </w: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CB4CF5" w:rsidRPr="00CC6431" w:rsidRDefault="00CB4CF5" w:rsidP="007C5C26">
          <w:pPr>
            <w:spacing w:line="360" w:lineRule="auto"/>
            <w:jc w:val="both"/>
            <w:rPr>
              <w:lang w:val="es-ES"/>
            </w:rPr>
          </w:pPr>
        </w:p>
        <w:p w:rsidR="00017D6D" w:rsidRPr="00CC6431" w:rsidRDefault="00017D6D" w:rsidP="006A62BE">
          <w:pPr>
            <w:pStyle w:val="Bibliografa"/>
            <w:spacing w:line="360" w:lineRule="auto"/>
            <w:jc w:val="both"/>
            <w:rPr>
              <w:noProof/>
              <w:color w:val="000000" w:themeColor="text1"/>
              <w:lang w:val="es-ES"/>
            </w:rPr>
          </w:pPr>
        </w:p>
        <w:p w:rsidR="00CB4CF5" w:rsidRPr="00D21C31" w:rsidRDefault="00017D6D" w:rsidP="007D10A2">
          <w:pPr>
            <w:pStyle w:val="Cuerpo"/>
            <w:spacing w:line="360" w:lineRule="auto"/>
            <w:jc w:val="center"/>
          </w:pPr>
          <w:r w:rsidRPr="007C5C26">
            <w:rPr>
              <w:rFonts w:ascii="Times New Roman" w:hAnsi="Times New Roman" w:cs="Times New Roman"/>
              <w:b/>
              <w:bCs/>
              <w:noProof/>
              <w:color w:val="000000" w:themeColor="text1"/>
              <w:sz w:val="24"/>
              <w:szCs w:val="24"/>
            </w:rPr>
            <w:fldChar w:fldCharType="end"/>
          </w:r>
          <w:r w:rsidR="00CB4CF5" w:rsidRPr="005B604A">
            <w:rPr>
              <w:b/>
              <w:bCs/>
              <w:u w:val="single"/>
            </w:rPr>
            <w:t>ANEXO</w:t>
          </w:r>
          <w:r w:rsidR="005B604A">
            <w:rPr>
              <w:b/>
              <w:bCs/>
            </w:rPr>
            <w:fldChar w:fldCharType="begin"/>
          </w:r>
          <w:r w:rsidR="005B604A">
            <w:instrText xml:space="preserve"> XE "</w:instrText>
          </w:r>
          <w:r w:rsidR="005B604A" w:rsidRPr="004D3E6C">
            <w:rPr>
              <w:b/>
              <w:bCs/>
            </w:rPr>
            <w:instrText>ANEXO</w:instrText>
          </w:r>
          <w:r w:rsidR="005B604A">
            <w:instrText xml:space="preserve">" </w:instrText>
          </w:r>
          <w:r w:rsidR="005B604A">
            <w:rPr>
              <w:b/>
              <w:bCs/>
            </w:rPr>
            <w:fldChar w:fldCharType="end"/>
          </w:r>
        </w:p>
      </w:sdtContent>
    </w:sdt>
    <w:p w:rsidR="00CB4CF5" w:rsidRPr="00AD37E7" w:rsidRDefault="00CB4CF5" w:rsidP="00AD37E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b/>
          <w:bCs/>
          <w:color w:val="000000"/>
          <w:lang w:val="es-ES_tradnl" w:eastAsia="es-ES_tradnl"/>
        </w:rPr>
      </w:pPr>
    </w:p>
    <w:p w:rsidR="00CB4CF5" w:rsidRPr="00AD37E7" w:rsidRDefault="00CB4CF5" w:rsidP="00AD37E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b/>
          <w:bCs/>
          <w:color w:val="000000"/>
          <w:lang w:val="es-ES_tradnl" w:eastAsia="es-ES_tradnl"/>
        </w:rPr>
      </w:pPr>
      <w:r w:rsidRPr="00AD37E7">
        <w:rPr>
          <w:b/>
          <w:bCs/>
          <w:color w:val="000000"/>
          <w:lang w:val="es-ES_tradnl" w:eastAsia="es-ES_tradnl"/>
        </w:rPr>
        <w:t>Exposición de casos de mujeres psicópatas en España</w:t>
      </w:r>
    </w:p>
    <w:p w:rsidR="00AD37E7" w:rsidRPr="00AD37E7" w:rsidRDefault="00AD37E7" w:rsidP="00AD37E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b/>
          <w:bCs/>
          <w:color w:val="000000"/>
          <w:lang w:val="es-ES_tradnl" w:eastAsia="es-ES_tradnl"/>
        </w:rPr>
      </w:pPr>
    </w:p>
    <w:p w:rsidR="00AD37E7" w:rsidRPr="00AD37E7" w:rsidRDefault="00AD37E7" w:rsidP="00AD37E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AD37E7">
        <w:rPr>
          <w:color w:val="000000"/>
          <w:lang w:val="es-ES_tradnl" w:eastAsia="es-ES_tradnl"/>
        </w:rPr>
        <w:t>Se procede a analizar tres casos de mujeres psicópatas sucedidos en España</w:t>
      </w:r>
      <w:r w:rsidR="00391779">
        <w:rPr>
          <w:color w:val="000000"/>
          <w:lang w:val="es-ES_tradnl" w:eastAsia="es-ES_tradnl"/>
        </w:rPr>
        <w:t xml:space="preserve"> como muestra de lo expuesto en la teoría</w:t>
      </w:r>
      <w:r w:rsidRPr="00AD37E7">
        <w:rPr>
          <w:color w:val="000000"/>
          <w:lang w:val="es-ES_tradnl" w:eastAsia="es-ES_tradnl"/>
        </w:rPr>
        <w:t>, relacionando sus rasgos de personalidad y las características del acto delictivo cometido con los ítems del PCL-R de Robert D. Hare, según la información encontrada en los medios de comunicación y en internet.</w:t>
      </w:r>
    </w:p>
    <w:p w:rsidR="00003DA1" w:rsidRPr="00AD37E7" w:rsidRDefault="00003DA1" w:rsidP="00AD37E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b/>
          <w:bCs/>
          <w:color w:val="000000"/>
          <w:lang w:val="es-ES_tradnl" w:eastAsia="es-ES_tradnl"/>
        </w:rPr>
      </w:pPr>
    </w:p>
    <w:p w:rsidR="00003DA1" w:rsidRPr="00AD37E7" w:rsidRDefault="00003DA1" w:rsidP="00AD37E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val="single" w:color="000000"/>
          <w:lang w:val="es-ES_tradnl" w:eastAsia="es-ES_tradnl"/>
        </w:rPr>
      </w:pPr>
      <w:r w:rsidRPr="00AD37E7">
        <w:rPr>
          <w:color w:val="000000"/>
          <w:u w:val="single"/>
          <w:lang w:val="es-ES_tradnl" w:eastAsia="es-ES_tradnl"/>
        </w:rPr>
        <w:t xml:space="preserve">Francisca </w:t>
      </w:r>
      <w:r w:rsidRPr="00AD37E7">
        <w:rPr>
          <w:color w:val="000000"/>
          <w:u w:val="single" w:color="000000"/>
          <w:lang w:val="es-ES_tradnl" w:eastAsia="es-ES_tradnl"/>
        </w:rPr>
        <w:t>Ballesteros, caso de la envenenadora de Melilla</w:t>
      </w:r>
    </w:p>
    <w:p w:rsidR="00003DA1" w:rsidRPr="00AD37E7" w:rsidRDefault="00CB7B00" w:rsidP="00AD37E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Pr>
          <w:noProof/>
          <w:lang w:val="es-ES" w:eastAsia="es-ES"/>
        </w:rPr>
        <w:drawing>
          <wp:anchor distT="0" distB="0" distL="114300" distR="114300" simplePos="0" relativeHeight="251671552" behindDoc="0" locked="0" layoutInCell="1" allowOverlap="1" wp14:anchorId="53D7F062" wp14:editId="1E2DCE46">
            <wp:simplePos x="0" y="0"/>
            <wp:positionH relativeFrom="column">
              <wp:posOffset>5080</wp:posOffset>
            </wp:positionH>
            <wp:positionV relativeFrom="paragraph">
              <wp:posOffset>248920</wp:posOffset>
            </wp:positionV>
            <wp:extent cx="2469600" cy="1540800"/>
            <wp:effectExtent l="0" t="0" r="6985" b="2540"/>
            <wp:wrapSquare wrapText="bothSides"/>
            <wp:docPr id="11" name="Imagen 11" descr="Cianamida, la sustancia que utilizó la envenenadora de Mel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ianamida, la sustancia que utilizó la envenenadora de Melill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9600" cy="1540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3DA1" w:rsidRDefault="00003DA1" w:rsidP="00AD37E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AD37E7">
        <w:rPr>
          <w:color w:val="000000"/>
          <w:u w:color="000000"/>
          <w:lang w:val="es-ES_tradnl" w:eastAsia="es-ES_tradnl"/>
        </w:rPr>
        <w:t>Francisca Ballesteros, conocida como la envenenadora de Melilla. Entre los años 1990 y 2004, asesinó a su marido Antonio</w:t>
      </w:r>
      <w:r w:rsidRPr="00924C0D">
        <w:rPr>
          <w:color w:val="000000"/>
          <w:u w:color="000000"/>
          <w:lang w:val="es-ES_tradnl" w:eastAsia="es-ES_tradnl"/>
        </w:rPr>
        <w:t xml:space="preserve">, su hija Florinda de 6 meses y </w:t>
      </w:r>
      <w:r w:rsidR="007936FB">
        <w:rPr>
          <w:color w:val="000000"/>
          <w:u w:color="000000"/>
          <w:lang w:val="es-ES_tradnl" w:eastAsia="es-ES_tradnl"/>
        </w:rPr>
        <w:t xml:space="preserve">a </w:t>
      </w:r>
      <w:r w:rsidRPr="00924C0D">
        <w:rPr>
          <w:color w:val="000000"/>
          <w:u w:color="000000"/>
          <w:lang w:val="es-ES_tradnl" w:eastAsia="es-ES_tradnl"/>
        </w:rPr>
        <w:t>su hija Sandra de 15 años, además, de intentarlo con su hijo Antonio de 12 años, envenenándoles con colme, carbimida, zolpidem y otros sedantes (</w:t>
      </w:r>
      <w:r w:rsidR="00EF4B90">
        <w:rPr>
          <w:color w:val="000000"/>
          <w:u w:color="000000"/>
          <w:lang w:val="es-ES_tradnl" w:eastAsia="es-ES_tradnl"/>
        </w:rPr>
        <w:t>Cebrerio, 2010</w:t>
      </w:r>
      <w:r w:rsidRPr="00924C0D">
        <w:rPr>
          <w:color w:val="000000"/>
          <w:u w:color="000000"/>
          <w:lang w:val="es-ES_tradnl" w:eastAsia="es-ES_tradnl"/>
        </w:rPr>
        <w:t xml:space="preserve">). </w:t>
      </w:r>
    </w:p>
    <w:p w:rsidR="00CB7B00" w:rsidRPr="00186B44" w:rsidRDefault="00186B44" w:rsidP="00AD37E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sz w:val="18"/>
          <w:szCs w:val="18"/>
          <w:u w:color="000000"/>
          <w:lang w:val="es-ES" w:eastAsia="es-ES_tradnl"/>
        </w:rPr>
      </w:pPr>
      <w:r w:rsidRPr="00186B44">
        <w:rPr>
          <w:rFonts w:ascii="Times" w:hAnsi="Times"/>
          <w:color w:val="231F20"/>
          <w:sz w:val="18"/>
          <w:szCs w:val="18"/>
          <w:lang w:val="es-ES"/>
        </w:rPr>
        <w:t>[Fotografía de Agencia EFE]. (Melilla, 2004)</w:t>
      </w:r>
    </w:p>
    <w:p w:rsidR="00FC37DB" w:rsidRDefault="00FC37DB"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En 1987 se casó con Antonio, un funcionario de aduanas, alto y fuerte, que siempre estuvo enamorado de ella, con el que tuvo tres hijos</w:t>
      </w:r>
      <w:r w:rsidR="00207D3C">
        <w:rPr>
          <w:color w:val="000000"/>
          <w:u w:color="000000"/>
          <w:lang w:val="es-ES_tradnl" w:eastAsia="es-ES_tradnl"/>
        </w:rPr>
        <w:t xml:space="preserve"> </w:t>
      </w:r>
      <w:r w:rsidR="00207D3C" w:rsidRPr="00924C0D">
        <w:rPr>
          <w:color w:val="000000"/>
          <w:u w:color="000000"/>
          <w:lang w:val="es-ES_tradnl" w:eastAsia="es-ES_tradnl"/>
        </w:rPr>
        <w:t>(</w:t>
      </w:r>
      <w:r w:rsidR="00EF4B90">
        <w:rPr>
          <w:color w:val="000000"/>
          <w:u w:color="000000"/>
          <w:lang w:val="es-ES_tradnl" w:eastAsia="es-ES_tradnl"/>
        </w:rPr>
        <w:t>EFE, 2005</w:t>
      </w:r>
      <w:r w:rsidR="00207D3C" w:rsidRPr="00924C0D">
        <w:rPr>
          <w:color w:val="000000"/>
          <w:u w:color="000000"/>
          <w:lang w:val="es-ES_tradnl" w:eastAsia="es-ES_tradnl"/>
        </w:rPr>
        <w:t>)</w:t>
      </w:r>
      <w:r w:rsidRPr="00924C0D">
        <w:rPr>
          <w:color w:val="000000"/>
          <w:u w:color="000000"/>
          <w:lang w:val="es-ES_tradnl" w:eastAsia="es-ES_tradnl"/>
        </w:rPr>
        <w:t>. Después de 17 años de matrimonio Francisca empezó a sentir aburrimiento así que decidió explorar en los chats de relaciones de pareja de internet donde tuvo relaciones en la red con varios hombres, llegándose a prometer y a realizar viajes con un amante de Tenerife (</w:t>
      </w:r>
      <w:r w:rsidR="00EF4B90" w:rsidRPr="00EF4B90">
        <w:rPr>
          <w:lang w:val="es-ES"/>
        </w:rPr>
        <w:t>Pau</w:t>
      </w:r>
      <w:r w:rsidR="00EF4B90">
        <w:rPr>
          <w:lang w:val="es-ES"/>
        </w:rPr>
        <w:t>, 2019</w:t>
      </w:r>
      <w:r w:rsidRPr="00924C0D">
        <w:rPr>
          <w:color w:val="000000"/>
          <w:u w:color="000000"/>
          <w:lang w:val="es-ES_tradnl" w:eastAsia="es-ES_tradnl"/>
        </w:rPr>
        <w:t>). A partir de ese momento, Francisca consideraba a su familia como un estorbo, investigó por internet información sobre ciertos medicamentos y sedantes, y comenzó a envenenarles echando en las comidas y bebidas colme, un medicamento para combatir el alcoholismo con efectos secundarios como alucinaciones, infartos e insuficiencia coronaria y respirato</w:t>
      </w:r>
      <w:r w:rsidR="00EF4B90">
        <w:rPr>
          <w:color w:val="000000"/>
          <w:u w:color="000000"/>
          <w:lang w:val="es-ES_tradnl" w:eastAsia="es-ES_tradnl"/>
        </w:rPr>
        <w:t>ria (</w:t>
      </w:r>
      <w:r w:rsidR="00EF4B90" w:rsidRPr="00EF4B90">
        <w:rPr>
          <w:lang w:val="es-ES"/>
        </w:rPr>
        <w:t>Pau</w:t>
      </w:r>
      <w:r w:rsidR="00EF4B90">
        <w:rPr>
          <w:lang w:val="es-ES"/>
        </w:rPr>
        <w:t>, 2019</w:t>
      </w:r>
      <w:r w:rsidR="00207D3C" w:rsidRPr="00924C0D">
        <w:rPr>
          <w:color w:val="000000"/>
          <w:u w:color="000000"/>
          <w:lang w:val="es-ES_tradnl" w:eastAsia="es-ES_tradnl"/>
        </w:rPr>
        <w:t>)</w:t>
      </w:r>
      <w:r w:rsidRPr="00924C0D">
        <w:rPr>
          <w:color w:val="000000"/>
          <w:u w:color="000000"/>
          <w:lang w:val="es-ES_tradnl" w:eastAsia="es-ES_tradnl"/>
        </w:rPr>
        <w:t xml:space="preserve">. </w:t>
      </w: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En diciembre 2003, tanto los hijos como el marido fueron ingresados en la UVI del hospital por intoxicación en varias ocasiones, pero Francisca lo justificó diciendo que se debía a la fumigación que habían realizado en su casa dos semanas antes. En febrero de 2004, su marido Antonio muere a causa de un infarto de miocardio</w:t>
      </w:r>
      <w:r w:rsidR="00207D3C">
        <w:rPr>
          <w:color w:val="000000"/>
          <w:u w:color="000000"/>
          <w:lang w:val="es-ES_tradnl" w:eastAsia="es-ES_tradnl"/>
        </w:rPr>
        <w:t xml:space="preserve"> </w:t>
      </w:r>
      <w:r w:rsidR="00207D3C" w:rsidRPr="00924C0D">
        <w:rPr>
          <w:color w:val="000000"/>
          <w:u w:color="000000"/>
          <w:lang w:val="es-ES_tradnl" w:eastAsia="es-ES_tradnl"/>
        </w:rPr>
        <w:t>(</w:t>
      </w:r>
      <w:r w:rsidR="00EF4B90" w:rsidRPr="00EF4B90">
        <w:rPr>
          <w:lang w:val="es-ES"/>
        </w:rPr>
        <w:t>Pau</w:t>
      </w:r>
      <w:r w:rsidR="00EF4B90">
        <w:rPr>
          <w:lang w:val="es-ES"/>
        </w:rPr>
        <w:t>, 2019</w:t>
      </w:r>
      <w:r w:rsidR="00207D3C">
        <w:rPr>
          <w:color w:val="000000"/>
          <w:u w:color="000000"/>
          <w:lang w:val="es-ES_tradnl" w:eastAsia="es-ES_tradnl"/>
        </w:rPr>
        <w:t>)</w:t>
      </w:r>
      <w:r w:rsidRPr="00924C0D">
        <w:rPr>
          <w:color w:val="000000"/>
          <w:u w:color="000000"/>
          <w:lang w:val="es-ES_tradnl" w:eastAsia="es-ES_tradnl"/>
        </w:rPr>
        <w:t xml:space="preserve">. Los hijos, Sandra y Antonio, empezaron a faltar mucho a clase, sufrían temblores en las piernas y agarrotamiento, además de alucinaciones nocturnas. Francisca justificaba esta situación diciendo que todo era causado por el gran dolor que </w:t>
      </w:r>
      <w:r w:rsidRPr="00924C0D">
        <w:rPr>
          <w:color w:val="000000"/>
          <w:u w:color="000000"/>
          <w:lang w:val="es-ES_tradnl" w:eastAsia="es-ES_tradnl"/>
        </w:rPr>
        <w:lastRenderedPageBreak/>
        <w:t xml:space="preserve">suponía para los niños la muerte de su padre, y les aisló, de tal manera que ni amigos ni familia pudieran ver su estado ni ellos pudieran </w:t>
      </w:r>
      <w:r w:rsidRPr="00391779">
        <w:rPr>
          <w:color w:val="000000"/>
          <w:lang w:val="es-ES_tradnl" w:eastAsia="es-ES_tradnl"/>
        </w:rPr>
        <w:t>hablar</w:t>
      </w:r>
      <w:r w:rsidR="00207D3C" w:rsidRPr="00391779">
        <w:rPr>
          <w:color w:val="000000"/>
          <w:lang w:val="es-ES_tradnl" w:eastAsia="es-ES_tradnl"/>
        </w:rPr>
        <w:t xml:space="preserve"> </w:t>
      </w:r>
      <w:r w:rsidR="00EF4B90" w:rsidRPr="00391779">
        <w:rPr>
          <w:color w:val="000000"/>
          <w:lang w:val="es-ES_tradnl" w:eastAsia="es-ES_tradnl"/>
        </w:rPr>
        <w:t>(</w:t>
      </w:r>
      <w:r w:rsidR="00EF4B90" w:rsidRPr="00391779">
        <w:rPr>
          <w:lang w:val="es-ES"/>
        </w:rPr>
        <w:t>Pau, 2019</w:t>
      </w:r>
      <w:r w:rsidR="00207D3C" w:rsidRPr="00391779">
        <w:rPr>
          <w:color w:val="000000"/>
          <w:lang w:val="es-ES_tradnl" w:eastAsia="es-ES_tradnl"/>
        </w:rPr>
        <w:t>)</w:t>
      </w:r>
      <w:r w:rsidRPr="00391779">
        <w:rPr>
          <w:color w:val="000000"/>
          <w:lang w:val="es-ES_tradnl" w:eastAsia="es-ES_tradnl"/>
        </w:rPr>
        <w:t>.</w:t>
      </w:r>
      <w:r w:rsidRPr="00924C0D">
        <w:rPr>
          <w:color w:val="000000"/>
          <w:u w:color="000000"/>
          <w:lang w:val="es-ES_tradnl" w:eastAsia="es-ES_tradnl"/>
        </w:rPr>
        <w:t xml:space="preserve"> Ante el vecindario se mostraba como una madre y esposa que estaba pasando por un calvario, desesperada porque su familia llevaba meses padeciendo molestias, mientras que ella se entregaba en cuerpo y alma</w:t>
      </w:r>
      <w:r w:rsidR="00712806">
        <w:rPr>
          <w:color w:val="000000"/>
          <w:u w:color="000000"/>
          <w:lang w:val="es-ES_tradnl" w:eastAsia="es-ES_tradnl"/>
        </w:rPr>
        <w:t xml:space="preserve"> (</w:t>
      </w:r>
      <w:r w:rsidR="00EF4B90">
        <w:rPr>
          <w:color w:val="000000"/>
          <w:u w:color="000000"/>
          <w:lang w:val="es-ES_tradnl" w:eastAsia="es-ES_tradnl"/>
        </w:rPr>
        <w:t>Esther, 2005</w:t>
      </w:r>
      <w:r w:rsidR="00712806">
        <w:rPr>
          <w:color w:val="000000"/>
          <w:u w:color="000000"/>
          <w:lang w:val="es-ES_tradnl" w:eastAsia="es-ES_tradnl"/>
        </w:rPr>
        <w:t>)</w:t>
      </w:r>
      <w:r w:rsidRPr="00924C0D">
        <w:rPr>
          <w:color w:val="000000"/>
          <w:u w:color="000000"/>
          <w:lang w:val="es-ES_tradnl" w:eastAsia="es-ES_tradnl"/>
        </w:rPr>
        <w:t>.</w:t>
      </w: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El 4 de junio de 2004, la abuela de los niños fue a su casa e insistió hasta poder entrar. Encontró a Sandra tendida en la cama agonizante, llena de llagas por el cuerpo y pústulas en la cara, apenas podía respirar y las palabras no le salían por la debilidad</w:t>
      </w:r>
      <w:r w:rsidR="00712806">
        <w:rPr>
          <w:color w:val="000000"/>
          <w:u w:color="000000"/>
          <w:lang w:val="es-ES_tradnl" w:eastAsia="es-ES_tradnl"/>
        </w:rPr>
        <w:t xml:space="preserve"> (</w:t>
      </w:r>
      <w:r w:rsidR="00EF4B90">
        <w:rPr>
          <w:color w:val="000000"/>
          <w:u w:color="000000"/>
          <w:lang w:val="es-ES_tradnl" w:eastAsia="es-ES_tradnl"/>
        </w:rPr>
        <w:t>Malvar, 2004</w:t>
      </w:r>
      <w:r w:rsidR="00712806">
        <w:rPr>
          <w:color w:val="000000"/>
          <w:u w:color="000000"/>
          <w:lang w:val="es-ES_tradnl" w:eastAsia="es-ES_tradnl"/>
        </w:rPr>
        <w:t>)</w:t>
      </w:r>
      <w:r w:rsidRPr="00924C0D">
        <w:rPr>
          <w:color w:val="000000"/>
          <w:u w:color="000000"/>
          <w:lang w:val="es-ES_tradnl" w:eastAsia="es-ES_tradnl"/>
        </w:rPr>
        <w:t>. Francisca le comentó que ya había llamado al médico, que no se preocupase, pero que no habían ingresado a la niña en el hospital por falta de camas. La abuela, no conforme con la explicación, avisó a Ricardo, un tío de los niños, el cual se presentó en casa y llamó a una ambulancia</w:t>
      </w:r>
      <w:r w:rsidR="00712806">
        <w:rPr>
          <w:color w:val="000000"/>
          <w:u w:color="000000"/>
          <w:lang w:val="es-ES_tradnl" w:eastAsia="es-ES_tradnl"/>
        </w:rPr>
        <w:t xml:space="preserve"> (</w:t>
      </w:r>
      <w:r w:rsidR="00EF4B90">
        <w:rPr>
          <w:color w:val="000000"/>
          <w:u w:color="000000"/>
          <w:lang w:val="es-ES_tradnl" w:eastAsia="es-ES_tradnl"/>
        </w:rPr>
        <w:t>Malvar, 2004</w:t>
      </w:r>
      <w:r w:rsidR="00712806">
        <w:rPr>
          <w:color w:val="000000"/>
          <w:u w:color="000000"/>
          <w:lang w:val="es-ES_tradnl" w:eastAsia="es-ES_tradnl"/>
        </w:rPr>
        <w:t>)</w:t>
      </w:r>
      <w:r w:rsidRPr="00924C0D">
        <w:rPr>
          <w:color w:val="000000"/>
          <w:u w:color="000000"/>
          <w:lang w:val="es-ES_tradnl" w:eastAsia="es-ES_tradnl"/>
        </w:rPr>
        <w:t>. Sin embargo, ya era demasiado tarde para Sandra quien, al cabo de unas horas, falleció por intoxicación. Ese mismo día, su hermano Antonio también fue ingresado con una sintomatología similar, gracias a esto consiguió sobrevivir. En la autopsia se Sandra se declaró como causa de muerte cirrosis, dicha enfermedad no cuadraba con la edad de la niña, además, encontraron restos de colme, siendo el único caso porque se elimina del organismo entre 6 o 12 horas tras ingerirlo, alertando a los médicos que pusieron en conocimiento de la justicia el suceso</w:t>
      </w:r>
      <w:r w:rsidR="00712806">
        <w:rPr>
          <w:color w:val="000000"/>
          <w:u w:color="000000"/>
          <w:lang w:val="es-ES_tradnl" w:eastAsia="es-ES_tradnl"/>
        </w:rPr>
        <w:t xml:space="preserve"> (</w:t>
      </w:r>
      <w:r w:rsidR="00EF4B90">
        <w:rPr>
          <w:color w:val="000000"/>
          <w:u w:color="000000"/>
          <w:lang w:val="es-ES_tradnl" w:eastAsia="es-ES_tradnl"/>
        </w:rPr>
        <w:t>Judicial, 2017</w:t>
      </w:r>
      <w:r w:rsidR="00712806">
        <w:rPr>
          <w:color w:val="000000"/>
          <w:u w:color="000000"/>
          <w:lang w:val="es-ES_tradnl" w:eastAsia="es-ES_tradnl"/>
        </w:rPr>
        <w:t>)</w:t>
      </w:r>
      <w:r w:rsidRPr="00924C0D">
        <w:rPr>
          <w:color w:val="000000"/>
          <w:u w:color="000000"/>
          <w:lang w:val="es-ES_tradnl" w:eastAsia="es-ES_tradnl"/>
        </w:rPr>
        <w:t xml:space="preserve">. </w:t>
      </w: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Finalmente, el 7 de junio de 2004, a la edad de 34 años, Francisca fue arrestada por la policía. Confesó el asesinato de su hija Florinda de 6 meses</w:t>
      </w:r>
      <w:r w:rsidR="00391779">
        <w:rPr>
          <w:color w:val="000000"/>
          <w:u w:color="000000"/>
          <w:lang w:val="es-ES_tradnl" w:eastAsia="es-ES_tradnl"/>
        </w:rPr>
        <w:t xml:space="preserve"> y f</w:t>
      </w:r>
      <w:r w:rsidRPr="00924C0D">
        <w:rPr>
          <w:color w:val="000000"/>
          <w:u w:color="000000"/>
          <w:lang w:val="es-ES_tradnl" w:eastAsia="es-ES_tradnl"/>
        </w:rPr>
        <w:t>ue condenada a 84 años, con plena imputabilidad, ya que tenía pleno uso de sus capacidades, con la aplicación de agravantes por alevosía, ensañamiento y parentesco</w:t>
      </w:r>
      <w:r w:rsidR="00712806">
        <w:rPr>
          <w:color w:val="000000"/>
          <w:u w:color="000000"/>
          <w:lang w:val="es-ES_tradnl" w:eastAsia="es-ES_tradnl"/>
        </w:rPr>
        <w:t xml:space="preserve"> (</w:t>
      </w:r>
      <w:r w:rsidR="00EF4B90">
        <w:rPr>
          <w:color w:val="000000"/>
          <w:u w:color="000000"/>
          <w:lang w:val="es-ES_tradnl" w:eastAsia="es-ES_tradnl"/>
        </w:rPr>
        <w:t>Malvar, 2004</w:t>
      </w:r>
      <w:r w:rsidR="00712806">
        <w:rPr>
          <w:color w:val="000000"/>
          <w:u w:color="000000"/>
          <w:lang w:val="es-ES_tradnl" w:eastAsia="es-ES_tradnl"/>
        </w:rPr>
        <w:t>)</w:t>
      </w:r>
      <w:r w:rsidR="00C70F4F">
        <w:rPr>
          <w:color w:val="000000"/>
          <w:u w:color="000000"/>
          <w:lang w:val="es-ES_tradnl" w:eastAsia="es-ES_tradnl"/>
        </w:rPr>
        <w:t>.</w:t>
      </w:r>
      <w:r w:rsidRPr="00924C0D">
        <w:rPr>
          <w:color w:val="000000"/>
          <w:u w:color="000000"/>
          <w:lang w:val="es-ES_tradnl" w:eastAsia="es-ES_tradnl"/>
        </w:rPr>
        <w:t xml:space="preserve"> </w:t>
      </w: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Respecto a la personalidad de Francisca y en relación con el PCL-R, sus vecinos y conocidos la describían como una buena persona y una esposa y madre devota y entregada (locuacidad y encanto superficial - ítem 1). Empezó a investigar y hablar por internet con otros hombres porque se sentía aburrida y buscaba experiencias nuevas (necesidad de estimulación y tendencia al aburrimiento - ítem 3). A las parejas en la red les decía que era viuda, ya que su marido y sus dos hijos habían fallecido en un accidente de tráfico (mentirosa patológica - ítem 4; estafadora/engañadora y manipuladora - ítem 5). En referencia a las relaciones de pareja, Francisca fue infiel a su marido en varias ocasiones, tanto físicamente como online (conducta sexual promiscua - ítem 11; frecuentes relaciones maritales de corta duración - ítem 17). Además, tenía intenciones de volver a casarse con su amante de Tenerife al terminar de asesinar a su familia (ausencia de metas realistas a largo plazo - ítem 13). De hecho, en diciembre de 2003, a los pocos días de haber estado toda su familia ingresada en la UVI por intoxicación, se fue una semana de viaje a Tenerife con él (irresponsabilidad al irse con su familia enferma - ítem 15).</w:t>
      </w: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lastRenderedPageBreak/>
        <w:t xml:space="preserve">Respecto a las características de delito cometido, estuvo 14 </w:t>
      </w:r>
      <w:r w:rsidR="007936FB">
        <w:rPr>
          <w:color w:val="000000"/>
          <w:u w:color="000000"/>
          <w:lang w:val="es-ES_tradnl" w:eastAsia="es-ES_tradnl"/>
        </w:rPr>
        <w:t>años</w:t>
      </w:r>
      <w:r w:rsidRPr="00924C0D">
        <w:rPr>
          <w:color w:val="000000"/>
          <w:u w:color="000000"/>
          <w:lang w:val="es-ES_tradnl" w:eastAsia="es-ES_tradnl"/>
        </w:rPr>
        <w:t xml:space="preserve"> engañando a su familia y a los vecinos (mentirosa patológica - ítem 4; estafadora/engañadora y manipuladora - ítem 5). Durante el juicio, Francisca nunca mostró arrepentimiento o culpabilidad por los asesinatos a su familia, ni empatía al ver agonizar a sus hijos, y declaró que su familia era un estorbo para comenzar su nueva vida con el amante de Tenerife (ausencia de remordimientos o sentimientos de culpa - ítem 6; afecto superficial - ítem 7; insensibilidad afectiva o ausencia de empatía - ítem 8). Estuvo envenenando a su familia durante 14 años, aunque los últimos años aumentó considerablemente la dosis de colme ya que quería irse con su amante de Tenerife (alto autocontrol de la conducta - ítem 10; </w:t>
      </w:r>
      <w:r w:rsidR="005F73BC">
        <w:rPr>
          <w:color w:val="000000"/>
          <w:u w:color="000000"/>
          <w:lang w:val="es-ES_tradnl" w:eastAsia="es-ES_tradnl"/>
        </w:rPr>
        <w:t>baja</w:t>
      </w:r>
      <w:r w:rsidR="00391779">
        <w:rPr>
          <w:color w:val="000000"/>
          <w:u w:color="000000"/>
          <w:lang w:val="es-ES_tradnl" w:eastAsia="es-ES_tradnl"/>
        </w:rPr>
        <w:t xml:space="preserve"> </w:t>
      </w:r>
      <w:r w:rsidRPr="00924C0D">
        <w:rPr>
          <w:color w:val="000000"/>
          <w:u w:color="000000"/>
          <w:lang w:val="es-ES_tradnl" w:eastAsia="es-ES_tradnl"/>
        </w:rPr>
        <w:t xml:space="preserve">impulsividad - ítem 14). En ningún momento asumió sus actos, aunque confesó los asesinatos, justifico el de su marido por malos tratos, y el de su hija Florinda de 6 meses a causa de una depresión </w:t>
      </w:r>
      <w:proofErr w:type="gramStart"/>
      <w:r w:rsidRPr="00924C0D">
        <w:rPr>
          <w:color w:val="000000"/>
          <w:u w:color="000000"/>
          <w:lang w:val="es-ES_tradnl" w:eastAsia="es-ES_tradnl"/>
        </w:rPr>
        <w:t>post-parto</w:t>
      </w:r>
      <w:proofErr w:type="gramEnd"/>
      <w:r w:rsidR="00712806">
        <w:rPr>
          <w:color w:val="000000"/>
          <w:u w:color="000000"/>
          <w:lang w:val="es-ES_tradnl" w:eastAsia="es-ES_tradnl"/>
        </w:rPr>
        <w:t xml:space="preserve"> (</w:t>
      </w:r>
      <w:r w:rsidR="00EF4B90">
        <w:rPr>
          <w:color w:val="000000"/>
          <w:u w:color="000000"/>
          <w:lang w:val="es-ES_tradnl" w:eastAsia="es-ES_tradnl"/>
        </w:rPr>
        <w:t>Judicial, 2017</w:t>
      </w:r>
      <w:r w:rsidR="00712806">
        <w:rPr>
          <w:color w:val="000000"/>
          <w:u w:color="000000"/>
          <w:lang w:val="es-ES_tradnl" w:eastAsia="es-ES_tradnl"/>
        </w:rPr>
        <w:t>)</w:t>
      </w:r>
      <w:r w:rsidRPr="00924C0D">
        <w:rPr>
          <w:color w:val="000000"/>
          <w:u w:color="000000"/>
          <w:lang w:val="es-ES_tradnl" w:eastAsia="es-ES_tradnl"/>
        </w:rPr>
        <w:t xml:space="preserve"> (incapacidad para aceptar la responsabilidad de sus acciones - ítem 16).</w:t>
      </w: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Respecto a la información encontrada en los medios de comunicación, Francisca nunca ha sido considerada como una psicópata, señalan que no tenía un trastorno de personalidad, simplemente se dejó llevar por el entusiasmo de un nuevo estilo de vida y una nueva relación amorosa. Como hemos analizado, esto es una gran incongruencia, ya que el envenenamiento de la familia duró 14 años y fue planeado minuciosamente, sin ningún tipo de impulsividad o descontrol. Además, puntúa en gran parte de los ítems del PCL-R.</w:t>
      </w: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i/>
          <w:iCs/>
          <w:color w:val="000000"/>
          <w:u w:color="000000"/>
          <w:lang w:val="es-ES_tradnl" w:eastAsia="es-ES_tradnl"/>
        </w:rPr>
      </w:pPr>
      <w:r w:rsidRPr="00924C0D">
        <w:rPr>
          <w:i/>
          <w:iCs/>
          <w:color w:val="000000"/>
          <w:u w:color="000000"/>
          <w:lang w:val="es-ES_tradnl" w:eastAsia="es-ES_tradnl"/>
        </w:rPr>
        <w:t>Evaluación a través de los ítems del PCL-R</w:t>
      </w:r>
    </w:p>
    <w:p w:rsidR="00003DA1" w:rsidRPr="00924C0D"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Pr="00924C0D"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Locuacidad y encanto superficial - 2</w:t>
      </w:r>
    </w:p>
    <w:p w:rsidR="00003DA1" w:rsidRPr="00924C0D"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Sentido desmesurado de autovalía</w:t>
      </w:r>
      <w:r w:rsidR="003A166F">
        <w:rPr>
          <w:color w:val="000000"/>
          <w:u w:color="000000"/>
          <w:lang w:val="es-ES_tradnl" w:eastAsia="es-ES_tradnl"/>
        </w:rPr>
        <w:t xml:space="preserve"> - 2</w:t>
      </w:r>
    </w:p>
    <w:p w:rsidR="00003DA1" w:rsidRPr="00924C0D"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Necesidad de estimulación y tendencia al aburrimiento - 2</w:t>
      </w:r>
    </w:p>
    <w:p w:rsidR="00003DA1" w:rsidRPr="00924C0D"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Mentiros</w:t>
      </w:r>
      <w:r>
        <w:rPr>
          <w:color w:val="000000"/>
          <w:u w:color="000000"/>
          <w:lang w:val="es-ES_tradnl" w:eastAsia="es-ES_tradnl"/>
        </w:rPr>
        <w:t>a</w:t>
      </w:r>
      <w:r w:rsidRPr="00924C0D">
        <w:rPr>
          <w:color w:val="000000"/>
          <w:u w:color="000000"/>
          <w:lang w:val="es-ES_tradnl" w:eastAsia="es-ES_tradnl"/>
        </w:rPr>
        <w:t xml:space="preserve"> patológic</w:t>
      </w:r>
      <w:r>
        <w:rPr>
          <w:color w:val="000000"/>
          <w:u w:color="000000"/>
          <w:lang w:val="es-ES_tradnl" w:eastAsia="es-ES_tradnl"/>
        </w:rPr>
        <w:t>a</w:t>
      </w:r>
      <w:r w:rsidRPr="00924C0D">
        <w:rPr>
          <w:color w:val="000000"/>
          <w:u w:color="000000"/>
          <w:lang w:val="es-ES_tradnl" w:eastAsia="es-ES_tradnl"/>
        </w:rPr>
        <w:t xml:space="preserve"> - 2</w:t>
      </w:r>
    </w:p>
    <w:p w:rsidR="00003DA1" w:rsidRPr="00924C0D"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Estafador</w:t>
      </w:r>
      <w:r>
        <w:rPr>
          <w:color w:val="000000"/>
          <w:u w:color="000000"/>
          <w:lang w:val="es-ES_tradnl" w:eastAsia="es-ES_tradnl"/>
        </w:rPr>
        <w:t>a</w:t>
      </w:r>
      <w:r w:rsidRPr="00924C0D">
        <w:rPr>
          <w:color w:val="000000"/>
          <w:u w:color="000000"/>
          <w:lang w:val="es-ES_tradnl" w:eastAsia="es-ES_tradnl"/>
        </w:rPr>
        <w:t>/engañador</w:t>
      </w:r>
      <w:r>
        <w:rPr>
          <w:color w:val="000000"/>
          <w:u w:color="000000"/>
          <w:lang w:val="es-ES_tradnl" w:eastAsia="es-ES_tradnl"/>
        </w:rPr>
        <w:t>a</w:t>
      </w:r>
      <w:r w:rsidRPr="00924C0D">
        <w:rPr>
          <w:color w:val="000000"/>
          <w:u w:color="000000"/>
          <w:lang w:val="es-ES_tradnl" w:eastAsia="es-ES_tradnl"/>
        </w:rPr>
        <w:t xml:space="preserve"> y manipulador</w:t>
      </w:r>
      <w:r>
        <w:rPr>
          <w:color w:val="000000"/>
          <w:u w:color="000000"/>
          <w:lang w:val="es-ES_tradnl" w:eastAsia="es-ES_tradnl"/>
        </w:rPr>
        <w:t>a</w:t>
      </w:r>
      <w:r w:rsidRPr="00924C0D">
        <w:rPr>
          <w:color w:val="000000"/>
          <w:u w:color="000000"/>
          <w:lang w:val="es-ES_tradnl" w:eastAsia="es-ES_tradnl"/>
        </w:rPr>
        <w:t xml:space="preserve"> - 2</w:t>
      </w:r>
    </w:p>
    <w:p w:rsidR="00003DA1" w:rsidRPr="00924C0D"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 xml:space="preserve">Ausencia de remordimientos o sentimientos de culpa - 2 </w:t>
      </w:r>
    </w:p>
    <w:p w:rsidR="00003DA1" w:rsidRPr="00924C0D"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Afecto superficial - 2</w:t>
      </w:r>
    </w:p>
    <w:p w:rsidR="00003DA1" w:rsidRPr="00924C0D"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Insensibilidad afectiva o ausencia de empatía - 2</w:t>
      </w:r>
    </w:p>
    <w:p w:rsidR="00003DA1" w:rsidRPr="00924C0D"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 xml:space="preserve">Estilo de vida parasitario - </w:t>
      </w:r>
      <w:r w:rsidR="00391779">
        <w:rPr>
          <w:color w:val="000000"/>
          <w:u w:color="000000"/>
          <w:lang w:val="es-ES_tradnl" w:eastAsia="es-ES_tradnl"/>
        </w:rPr>
        <w:t>Omisión</w:t>
      </w:r>
    </w:p>
    <w:p w:rsidR="00003DA1" w:rsidRPr="00924C0D"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Pobre autocontrol de la conducta - 0</w:t>
      </w:r>
    </w:p>
    <w:p w:rsidR="00003DA1" w:rsidRPr="00003DA1"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Conducta sexual promiscua - 2</w:t>
      </w:r>
    </w:p>
    <w:p w:rsidR="00003DA1" w:rsidRPr="00003DA1"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Problemas de conducta en la infancia. Omisión.</w:t>
      </w:r>
    </w:p>
    <w:p w:rsidR="00003DA1" w:rsidRPr="00003DA1"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Ausencia de metas realistas a largo plazo - 1</w:t>
      </w:r>
    </w:p>
    <w:p w:rsidR="00003DA1" w:rsidRPr="00003DA1"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lastRenderedPageBreak/>
        <w:t>Impulsividad - 0</w:t>
      </w:r>
    </w:p>
    <w:p w:rsidR="00003DA1" w:rsidRPr="00003DA1"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Irresponsabilidad - 1</w:t>
      </w:r>
    </w:p>
    <w:p w:rsidR="00003DA1" w:rsidRPr="00003DA1"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Incapacidad para aceptar la responsabilidad de sus propias acciones - 2</w:t>
      </w:r>
    </w:p>
    <w:p w:rsidR="00003DA1" w:rsidRPr="00003DA1"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 xml:space="preserve">Frecuentes relaciones maritales de corta </w:t>
      </w:r>
      <w:r>
        <w:rPr>
          <w:color w:val="000000"/>
          <w:u w:color="000000"/>
          <w:lang w:val="es-ES_tradnl" w:eastAsia="es-ES_tradnl"/>
        </w:rPr>
        <w:t>duración</w:t>
      </w:r>
      <w:r w:rsidRPr="00003DA1">
        <w:rPr>
          <w:color w:val="000000"/>
          <w:u w:color="000000"/>
          <w:lang w:val="es-ES_tradnl" w:eastAsia="es-ES_tradnl"/>
        </w:rPr>
        <w:t xml:space="preserve"> - 2</w:t>
      </w:r>
    </w:p>
    <w:p w:rsidR="00003DA1" w:rsidRPr="00003DA1"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Delincuencia juvenil. Omisión.</w:t>
      </w:r>
    </w:p>
    <w:p w:rsidR="00003DA1" w:rsidRPr="00003DA1"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 xml:space="preserve">Revocación de la libertad - 0 </w:t>
      </w:r>
    </w:p>
    <w:p w:rsidR="00003DA1" w:rsidRPr="00003DA1" w:rsidRDefault="00003DA1" w:rsidP="00003DA1">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 xml:space="preserve">Versatilidad criminal - 0   </w:t>
      </w:r>
    </w:p>
    <w:p w:rsidR="00003DA1" w:rsidRPr="00FD4F4A" w:rsidRDefault="003A166F" w:rsidP="003A166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360"/>
        <w:jc w:val="both"/>
        <w:rPr>
          <w:color w:val="000000" w:themeColor="text1"/>
          <w:u w:color="000000"/>
          <w:lang w:val="es-ES_tradnl" w:eastAsia="es-ES_tradnl"/>
        </w:rPr>
      </w:pPr>
      <w:r>
        <w:rPr>
          <w:color w:val="000000"/>
          <w:u w:color="000000"/>
          <w:lang w:val="es-ES_tradnl" w:eastAsia="es-ES_tradnl"/>
        </w:rPr>
        <w:t>Total: 2</w:t>
      </w:r>
      <w:r w:rsidR="008806E3">
        <w:rPr>
          <w:color w:val="000000"/>
          <w:u w:color="000000"/>
          <w:lang w:val="es-ES_tradnl" w:eastAsia="es-ES_tradnl"/>
        </w:rPr>
        <w:t>4</w:t>
      </w:r>
      <w:r w:rsidR="00757E3D">
        <w:rPr>
          <w:color w:val="000000"/>
          <w:u w:color="000000"/>
          <w:lang w:val="es-ES_tradnl" w:eastAsia="es-ES_tradnl"/>
        </w:rPr>
        <w:t xml:space="preserve">; Factor </w:t>
      </w:r>
      <w:r w:rsidR="00757E3D" w:rsidRPr="00FD4F4A">
        <w:rPr>
          <w:color w:val="000000" w:themeColor="text1"/>
          <w:u w:color="000000"/>
          <w:lang w:val="es-ES_tradnl" w:eastAsia="es-ES_tradnl"/>
        </w:rPr>
        <w:t xml:space="preserve">1: 16 – Factor 2: </w:t>
      </w:r>
      <w:r w:rsidR="00391779" w:rsidRPr="00FD4F4A">
        <w:rPr>
          <w:color w:val="000000" w:themeColor="text1"/>
          <w:u w:color="000000"/>
          <w:lang w:val="es-ES_tradnl" w:eastAsia="es-ES_tradnl"/>
        </w:rPr>
        <w:t>4</w:t>
      </w:r>
    </w:p>
    <w:p w:rsidR="00A140D2" w:rsidRPr="00FD4F4A" w:rsidRDefault="00A140D2" w:rsidP="003A166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360"/>
        <w:jc w:val="both"/>
        <w:rPr>
          <w:color w:val="000000" w:themeColor="text1"/>
          <w:u w:color="000000"/>
          <w:lang w:val="es-ES_tradnl" w:eastAsia="es-ES_tradnl"/>
        </w:rPr>
      </w:pPr>
    </w:p>
    <w:p w:rsidR="00A140D2" w:rsidRPr="00FD4F4A" w:rsidRDefault="00A140D2" w:rsidP="00A140D2">
      <w:pPr>
        <w:autoSpaceDE w:val="0"/>
        <w:autoSpaceDN w:val="0"/>
        <w:adjustRightInd w:val="0"/>
        <w:spacing w:line="360" w:lineRule="auto"/>
        <w:jc w:val="both"/>
        <w:rPr>
          <w:color w:val="000000" w:themeColor="text1"/>
          <w:lang w:val="es-ES_tradnl"/>
        </w:rPr>
      </w:pPr>
      <w:r w:rsidRPr="00FD4F4A">
        <w:rPr>
          <w:color w:val="000000" w:themeColor="text1"/>
          <w:lang w:val="es-ES_tradnl"/>
        </w:rPr>
        <w:t xml:space="preserve">Relacionando el caso de Francisca con la teoría expuesta a lo largo del trabajo, se puede observar que no hay muestras de agresividad externa, comete el crimen de manera tranquila, metódica y cuidadosa. La forma de asesinar es a través del envenenamiento, característico de las mujeres psicópatas, y se produce en el seno de la familia, sus hijos y su marido, siendo una madre irresponsable y negligente. Así mismo, cumpliría con las características de insinuación, manipulación y engaño con las diferentes parejas que tuvo en la red. Respecto al PCL-R, la puntuación en el Factor 2 relacionado con la conducta antisocial es mucho menor, lo que hace que se reduzca la puntuación total del test siendo ésta de 24, por lo tanto, no llegaría a la puntuación de corte de 30 siendo clasificada como no psicópata, a pesar de que la puntuación en el Factor 1 es la máxima posible. </w:t>
      </w:r>
    </w:p>
    <w:p w:rsidR="00CB4CF5" w:rsidRPr="00CB4CF5" w:rsidRDefault="00CB4CF5"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p>
    <w:p w:rsidR="00CB4CF5" w:rsidRPr="00CB4CF5" w:rsidRDefault="00CB4CF5"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val="single" w:color="000000"/>
          <w:lang w:val="es-ES_tradnl" w:eastAsia="es-ES_tradnl"/>
        </w:rPr>
      </w:pPr>
      <w:r w:rsidRPr="00CB4CF5">
        <w:rPr>
          <w:color w:val="000000"/>
          <w:u w:val="single" w:color="000000"/>
          <w:lang w:val="es-ES_tradnl" w:eastAsia="es-ES_tradnl"/>
        </w:rPr>
        <w:t>María Ángeles Molina, Caso Angie</w:t>
      </w:r>
      <w:r w:rsidR="00CB7B00">
        <w:rPr>
          <w:color w:val="000000"/>
          <w:u w:val="single" w:color="000000"/>
          <w:lang w:val="es-ES_tradnl" w:eastAsia="es-ES_tradnl"/>
        </w:rPr>
        <w:t xml:space="preserve"> </w:t>
      </w:r>
    </w:p>
    <w:p w:rsidR="008F336D" w:rsidRDefault="008F336D"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Pr>
          <w:noProof/>
          <w:lang w:val="es-ES" w:eastAsia="es-ES"/>
        </w:rPr>
        <w:drawing>
          <wp:anchor distT="0" distB="0" distL="114300" distR="114300" simplePos="0" relativeHeight="251668480" behindDoc="0" locked="0" layoutInCell="1" allowOverlap="1" wp14:anchorId="5E4F11C5" wp14:editId="1A699134">
            <wp:simplePos x="0" y="0"/>
            <wp:positionH relativeFrom="column">
              <wp:posOffset>47625</wp:posOffset>
            </wp:positionH>
            <wp:positionV relativeFrom="paragraph">
              <wp:posOffset>186690</wp:posOffset>
            </wp:positionV>
            <wp:extent cx="2468880" cy="1791970"/>
            <wp:effectExtent l="0" t="0" r="7620" b="0"/>
            <wp:wrapSquare wrapText="bothSides"/>
            <wp:docPr id="10" name="Imagen 10" descr="Maria Ángeles Molina, alias Angie, la mujer acusada de matar a una amiga y dejar pistas falsas en Zaragoza durante el juicio el 20 de febrero de 20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ia Ángeles Molina, alias Angie, la mujer acusada de matar a una amiga y dejar pistas falsas en Zaragoza durante el juicio el 20 de febrero de 201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8880" cy="1791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4CF5" w:rsidRPr="00CB4CF5" w:rsidRDefault="00CB4CF5"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186B44" w:rsidRDefault="00CB4CF5"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 xml:space="preserve">El </w:t>
      </w:r>
      <w:r w:rsidR="00391779">
        <w:rPr>
          <w:color w:val="000000"/>
          <w:u w:color="000000"/>
          <w:lang w:val="es-ES_tradnl" w:eastAsia="es-ES_tradnl"/>
        </w:rPr>
        <w:t>segundo</w:t>
      </w:r>
      <w:r w:rsidRPr="00CB4CF5">
        <w:rPr>
          <w:color w:val="000000"/>
          <w:u w:color="000000"/>
          <w:lang w:val="es-ES_tradnl" w:eastAsia="es-ES_tradnl"/>
        </w:rPr>
        <w:t xml:space="preserve"> caso para presentar es María Ángeles Molina, conocida como Angie. A la edad de 40 años, suplantó durante dos años la identidad de la víctima, Ana María Páez de 35 años, para contratar préstamos bancarios (</w:t>
      </w:r>
      <w:r w:rsidR="00672EAC">
        <w:rPr>
          <w:color w:val="000000"/>
          <w:u w:color="000000"/>
          <w:lang w:val="es-ES_tradnl" w:eastAsia="es-ES_tradnl"/>
        </w:rPr>
        <w:t>García, 2012</w:t>
      </w:r>
      <w:r w:rsidRPr="00CB4CF5">
        <w:rPr>
          <w:color w:val="000000"/>
          <w:u w:color="000000"/>
          <w:lang w:val="es-ES_tradnl" w:eastAsia="es-ES_tradnl"/>
        </w:rPr>
        <w:t xml:space="preserve">). </w:t>
      </w:r>
    </w:p>
    <w:p w:rsidR="008F336D" w:rsidRDefault="008F336D"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Times" w:hAnsi="Times"/>
          <w:color w:val="231F20"/>
          <w:sz w:val="18"/>
          <w:szCs w:val="18"/>
          <w:lang w:val="es-ES"/>
        </w:rPr>
      </w:pPr>
    </w:p>
    <w:p w:rsidR="00186B44" w:rsidRPr="00186B44" w:rsidRDefault="00186B44"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sz w:val="18"/>
          <w:szCs w:val="18"/>
          <w:u w:color="000000"/>
          <w:lang w:val="es-ES" w:eastAsia="es-ES_tradnl"/>
        </w:rPr>
      </w:pPr>
      <w:r w:rsidRPr="00186B44">
        <w:rPr>
          <w:rFonts w:ascii="Times" w:hAnsi="Times"/>
          <w:color w:val="231F20"/>
          <w:sz w:val="18"/>
          <w:szCs w:val="18"/>
          <w:lang w:val="es-ES"/>
        </w:rPr>
        <w:t>[Fotografía de Toni Garriga]. (Barcelona, 2012)</w:t>
      </w:r>
    </w:p>
    <w:p w:rsidR="00186B44" w:rsidRDefault="00186B44"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CB4CF5" w:rsidRPr="00CB4CF5" w:rsidRDefault="00CB4CF5"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Angie comenzó a trabajar en una empresa textil como responsable de recursos humanos, donde conoció a Ana María haciéndose amigas. Esta posición como superior permitía a Angie tener un fácil acceso a la documentación de los empleados, consiguiendo así los datos de Ana María necesarios para la comisión de los hechos delictivos (</w:t>
      </w:r>
      <w:r w:rsidR="00672EAC">
        <w:rPr>
          <w:color w:val="000000"/>
          <w:u w:color="000000"/>
          <w:lang w:val="es-ES_tradnl" w:eastAsia="es-ES_tradnl"/>
        </w:rPr>
        <w:t>García, 2012</w:t>
      </w:r>
      <w:r w:rsidRPr="00CB4CF5">
        <w:rPr>
          <w:color w:val="000000"/>
          <w:u w:color="000000"/>
          <w:lang w:val="es-ES_tradnl" w:eastAsia="es-ES_tradnl"/>
        </w:rPr>
        <w:t xml:space="preserve">). El 19 de febrero de 2008, con la finalidad de cobrar un seguro de vida, asesinó a Ana María asfixiándola con una bolsa de </w:t>
      </w:r>
      <w:r w:rsidRPr="00CB4CF5">
        <w:rPr>
          <w:color w:val="000000"/>
          <w:u w:color="000000"/>
          <w:lang w:val="es-ES_tradnl" w:eastAsia="es-ES_tradnl"/>
        </w:rPr>
        <w:lastRenderedPageBreak/>
        <w:t>plástico, simulando un delito sexual modificando la escena del crimen. Ese mismo día las amigas quedaron a cenar, Angie drogó a Ana para que se quedase dormida en su apartamento. Previamente, contrató a dos g</w:t>
      </w:r>
      <w:r w:rsidR="007936FB">
        <w:rPr>
          <w:color w:val="000000"/>
          <w:u w:color="000000"/>
          <w:lang w:val="es-ES_tradnl" w:eastAsia="es-ES_tradnl"/>
        </w:rPr>
        <w:t>i</w:t>
      </w:r>
      <w:r w:rsidRPr="00CB4CF5">
        <w:rPr>
          <w:color w:val="000000"/>
          <w:u w:color="000000"/>
          <w:lang w:val="es-ES_tradnl" w:eastAsia="es-ES_tradnl"/>
        </w:rPr>
        <w:t xml:space="preserve">golos para que eyacularan en un bote, para después situar el semen en la boca y la vagina de Ana María </w:t>
      </w:r>
      <w:r w:rsidR="00672EAC">
        <w:rPr>
          <w:color w:val="000000"/>
          <w:u w:color="000000"/>
          <w:lang w:val="es-ES_tradnl" w:eastAsia="es-ES_tradnl"/>
        </w:rPr>
        <w:t>(Prieto, 2019</w:t>
      </w:r>
      <w:r w:rsidRPr="00CB4CF5">
        <w:rPr>
          <w:color w:val="000000"/>
          <w:u w:color="000000"/>
          <w:lang w:val="es-ES_tradnl" w:eastAsia="es-ES_tradnl"/>
        </w:rPr>
        <w:t>). Por este crimen Angie fue condenada a 18 años de prisión, fue consideraba completamente imputable ya que sabía perfectamente lo que hacía, sus capacidades volitivas y cognoscitivas estaban intactas, había planificado el caso con antelación, de manera premeditada y meticulosa</w:t>
      </w:r>
      <w:r w:rsidR="00672EAC">
        <w:rPr>
          <w:color w:val="000000"/>
          <w:u w:color="000000"/>
          <w:lang w:val="es-ES_tradnl" w:eastAsia="es-ES_tradnl"/>
        </w:rPr>
        <w:t xml:space="preserve"> (Lozano y Rendueles, 2018)</w:t>
      </w:r>
      <w:r w:rsidRPr="00CB4CF5">
        <w:rPr>
          <w:color w:val="000000"/>
          <w:u w:color="000000"/>
          <w:lang w:val="es-ES_tradnl" w:eastAsia="es-ES_tradnl"/>
        </w:rPr>
        <w:t>.</w:t>
      </w:r>
    </w:p>
    <w:p w:rsidR="00CB4CF5" w:rsidRPr="00CB4CF5" w:rsidRDefault="00CB4CF5"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CB4CF5" w:rsidRPr="004A79CD" w:rsidRDefault="00CB4CF5"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themeColor="text1"/>
          <w:u w:color="000000"/>
          <w:lang w:val="es-ES_tradnl" w:eastAsia="es-ES_tradnl"/>
        </w:rPr>
      </w:pPr>
      <w:r w:rsidRPr="00CB4CF5">
        <w:rPr>
          <w:color w:val="000000"/>
          <w:u w:color="000000"/>
          <w:lang w:val="es-ES_tradnl" w:eastAsia="es-ES_tradnl"/>
        </w:rPr>
        <w:t xml:space="preserve">Angie también </w:t>
      </w:r>
      <w:r w:rsidR="00391779">
        <w:rPr>
          <w:color w:val="000000"/>
          <w:u w:color="000000"/>
          <w:lang w:val="es-ES_tradnl" w:eastAsia="es-ES_tradnl"/>
        </w:rPr>
        <w:t>ha sido</w:t>
      </w:r>
      <w:r w:rsidRPr="00CB4CF5">
        <w:rPr>
          <w:color w:val="000000"/>
          <w:u w:color="000000"/>
          <w:lang w:val="es-ES_tradnl" w:eastAsia="es-ES_tradnl"/>
        </w:rPr>
        <w:t xml:space="preserve"> </w:t>
      </w:r>
      <w:r w:rsidRPr="004A79CD">
        <w:rPr>
          <w:color w:val="000000" w:themeColor="text1"/>
          <w:u w:color="000000"/>
          <w:lang w:val="es-ES_tradnl" w:eastAsia="es-ES_tradnl"/>
        </w:rPr>
        <w:t>investigada por el posible asesinato de su marido, Juan Antonio Álvarez, un empresario argentino de 41 años que regentaba varios restaurantes en Gran Canaria (</w:t>
      </w:r>
      <w:r w:rsidR="00672EAC" w:rsidRPr="004A79CD">
        <w:rPr>
          <w:color w:val="000000" w:themeColor="text1"/>
          <w:u w:color="000000"/>
          <w:lang w:val="es-ES_tradnl" w:eastAsia="es-ES_tradnl"/>
        </w:rPr>
        <w:t>Navarro, 2017</w:t>
      </w:r>
      <w:r w:rsidRPr="004A79CD">
        <w:rPr>
          <w:color w:val="000000" w:themeColor="text1"/>
          <w:u w:color="000000"/>
          <w:lang w:val="es-ES_tradnl" w:eastAsia="es-ES_tradnl"/>
        </w:rPr>
        <w:t>). El 22 de noviembre de 1996 fue encontrado desnudo tumbado en la cama, en circunstancias sospechosas, tras haber jugado un partido de p</w:t>
      </w:r>
      <w:r w:rsidR="007936FB" w:rsidRPr="004A79CD">
        <w:rPr>
          <w:color w:val="000000" w:themeColor="text1"/>
          <w:u w:color="000000"/>
          <w:lang w:val="es-ES_tradnl" w:eastAsia="es-ES_tradnl"/>
        </w:rPr>
        <w:t>á</w:t>
      </w:r>
      <w:r w:rsidRPr="004A79CD">
        <w:rPr>
          <w:color w:val="000000" w:themeColor="text1"/>
          <w:u w:color="000000"/>
          <w:lang w:val="es-ES_tradnl" w:eastAsia="es-ES_tradnl"/>
        </w:rPr>
        <w:t xml:space="preserve">del </w:t>
      </w:r>
      <w:r w:rsidR="00672EAC" w:rsidRPr="004A79CD">
        <w:rPr>
          <w:color w:val="000000" w:themeColor="text1"/>
          <w:u w:color="000000"/>
          <w:lang w:val="es-ES_tradnl" w:eastAsia="es-ES_tradnl"/>
        </w:rPr>
        <w:t>(Navarro, 2017)</w:t>
      </w:r>
      <w:r w:rsidRPr="004A79CD">
        <w:rPr>
          <w:color w:val="000000" w:themeColor="text1"/>
          <w:u w:color="000000"/>
          <w:lang w:val="es-ES_tradnl" w:eastAsia="es-ES_tradnl"/>
        </w:rPr>
        <w:t>.  Tras el fallecimiento Angie recibió 80 millones de pesetas (</w:t>
      </w:r>
      <w:r w:rsidR="00672EAC" w:rsidRPr="004A79CD">
        <w:rPr>
          <w:color w:val="000000" w:themeColor="text1"/>
          <w:u w:color="000000"/>
          <w:lang w:val="es-ES_tradnl" w:eastAsia="es-ES_tradnl"/>
        </w:rPr>
        <w:t>Navarro, 2017</w:t>
      </w:r>
      <w:r w:rsidRPr="004A79CD">
        <w:rPr>
          <w:color w:val="000000" w:themeColor="text1"/>
          <w:u w:color="000000"/>
          <w:lang w:val="es-ES_tradnl" w:eastAsia="es-ES_tradnl"/>
        </w:rPr>
        <w:t>). La autopsia certificó como causa de la muerte suicidio por ingesta de fosfato, una sustancia presente en los detergentes</w:t>
      </w:r>
      <w:r w:rsidR="00391779" w:rsidRPr="004A79CD">
        <w:rPr>
          <w:color w:val="000000" w:themeColor="text1"/>
          <w:u w:color="000000"/>
          <w:lang w:val="es-ES_tradnl" w:eastAsia="es-ES_tradnl"/>
        </w:rPr>
        <w:t>.</w:t>
      </w:r>
      <w:r w:rsidR="008806E3" w:rsidRPr="004A79CD">
        <w:rPr>
          <w:color w:val="000000" w:themeColor="text1"/>
          <w:u w:color="000000"/>
          <w:lang w:val="es-ES_tradnl" w:eastAsia="es-ES_tradnl"/>
        </w:rPr>
        <w:t xml:space="preserve"> En ese momento, Angie declaró que se había producido un robo en su casa</w:t>
      </w:r>
      <w:r w:rsidR="004A79CD" w:rsidRPr="004A79CD">
        <w:rPr>
          <w:color w:val="000000" w:themeColor="text1"/>
          <w:u w:color="000000"/>
          <w:lang w:val="es-ES_tradnl" w:eastAsia="es-ES_tradnl"/>
        </w:rPr>
        <w:t xml:space="preserve"> y</w:t>
      </w:r>
      <w:r w:rsidR="008806E3" w:rsidRPr="004A79CD">
        <w:rPr>
          <w:color w:val="000000" w:themeColor="text1"/>
          <w:u w:color="000000"/>
          <w:lang w:val="es-ES_tradnl" w:eastAsia="es-ES_tradnl"/>
        </w:rPr>
        <w:t xml:space="preserve"> que la cartera de su marido había sido robada. Dicha cartera fue encontrada por la policía once años más tarde en casa de Angie durante el registro por el caso de Ana María, motivo por el que se reabrió la investigación (García, 2015). </w:t>
      </w:r>
      <w:r w:rsidRPr="004A79CD">
        <w:rPr>
          <w:color w:val="000000" w:themeColor="text1"/>
          <w:u w:color="000000"/>
          <w:lang w:val="es-ES_tradnl" w:eastAsia="es-ES_tradnl"/>
        </w:rPr>
        <w:t>Además,</w:t>
      </w:r>
      <w:r w:rsidR="008806E3" w:rsidRPr="004A79CD">
        <w:rPr>
          <w:color w:val="000000" w:themeColor="text1"/>
          <w:u w:color="000000"/>
          <w:lang w:val="es-ES_tradnl" w:eastAsia="es-ES_tradnl"/>
        </w:rPr>
        <w:t xml:space="preserve"> se añade que</w:t>
      </w:r>
      <w:r w:rsidRPr="004A79CD">
        <w:rPr>
          <w:color w:val="000000" w:themeColor="text1"/>
          <w:u w:color="000000"/>
          <w:lang w:val="es-ES_tradnl" w:eastAsia="es-ES_tradnl"/>
        </w:rPr>
        <w:t xml:space="preserve"> dos meses antes del fallecimiento ya había previsto su traslado a otra ciudad y había escolarizado a su hija en el colegio de la localidad.</w:t>
      </w:r>
      <w:r w:rsidR="008806E3" w:rsidRPr="004A79CD">
        <w:rPr>
          <w:color w:val="000000" w:themeColor="text1"/>
          <w:u w:color="000000"/>
          <w:lang w:val="es-ES_tradnl" w:eastAsia="es-ES_tradnl"/>
        </w:rPr>
        <w:t xml:space="preserve"> </w:t>
      </w:r>
    </w:p>
    <w:p w:rsidR="00CB4CF5" w:rsidRPr="00CB4CF5" w:rsidRDefault="00CB4CF5" w:rsidP="00CB4CF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CB4CF5" w:rsidRPr="00924C0D" w:rsidRDefault="00CB4CF5" w:rsidP="00924C0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 xml:space="preserve">Respecto a la personalidad de Angie y relacionándose con los ítems del PCL-R, sus conocidos la consideraban una persona guapa, encantadora, inteligente y muy segura de sí misma, calificándola de altiva </w:t>
      </w:r>
      <w:r w:rsidR="00672EAC">
        <w:rPr>
          <w:color w:val="000000"/>
          <w:u w:color="000000"/>
          <w:lang w:val="es-ES_tradnl" w:eastAsia="es-ES_tradnl"/>
        </w:rPr>
        <w:t xml:space="preserve">(Prieto, 2019) </w:t>
      </w:r>
      <w:r w:rsidRPr="00CB4CF5">
        <w:rPr>
          <w:color w:val="000000"/>
          <w:u w:color="000000"/>
          <w:lang w:val="es-ES_tradnl" w:eastAsia="es-ES_tradnl"/>
        </w:rPr>
        <w:t>(locua</w:t>
      </w:r>
      <w:r w:rsidR="007936FB">
        <w:rPr>
          <w:color w:val="000000"/>
          <w:u w:color="000000"/>
          <w:lang w:val="es-ES_tradnl" w:eastAsia="es-ES_tradnl"/>
        </w:rPr>
        <w:t>c</w:t>
      </w:r>
      <w:r w:rsidRPr="00CB4CF5">
        <w:rPr>
          <w:color w:val="000000"/>
          <w:u w:color="000000"/>
          <w:lang w:val="es-ES_tradnl" w:eastAsia="es-ES_tradnl"/>
        </w:rPr>
        <w:t xml:space="preserve">idad y encanto superficial - ítem 1). Declaran </w:t>
      </w:r>
      <w:r w:rsidR="008806E3">
        <w:rPr>
          <w:color w:val="000000"/>
          <w:u w:color="000000"/>
          <w:lang w:val="es-ES_tradnl" w:eastAsia="es-ES_tradnl"/>
        </w:rPr>
        <w:t>que intentaba</w:t>
      </w:r>
      <w:r w:rsidRPr="00CB4CF5">
        <w:rPr>
          <w:color w:val="000000"/>
          <w:u w:color="000000"/>
          <w:lang w:val="es-ES_tradnl" w:eastAsia="es-ES_tradnl"/>
        </w:rPr>
        <w:t xml:space="preserve"> ocul</w:t>
      </w:r>
      <w:r w:rsidR="008806E3">
        <w:rPr>
          <w:color w:val="000000"/>
          <w:u w:color="000000"/>
          <w:lang w:val="es-ES_tradnl" w:eastAsia="es-ES_tradnl"/>
        </w:rPr>
        <w:t>t</w:t>
      </w:r>
      <w:r w:rsidRPr="00CB4CF5">
        <w:rPr>
          <w:color w:val="000000"/>
          <w:u w:color="000000"/>
          <w:lang w:val="es-ES_tradnl" w:eastAsia="es-ES_tradnl"/>
        </w:rPr>
        <w:t>ar su origen proletario</w:t>
      </w:r>
      <w:r w:rsidR="008806E3">
        <w:rPr>
          <w:color w:val="000000"/>
          <w:u w:color="000000"/>
          <w:lang w:val="es-ES_tradnl" w:eastAsia="es-ES_tradnl"/>
        </w:rPr>
        <w:t xml:space="preserve"> constantemente</w:t>
      </w:r>
      <w:r w:rsidRPr="00CB4CF5">
        <w:rPr>
          <w:color w:val="000000"/>
          <w:u w:color="000000"/>
          <w:lang w:val="es-ES_tradnl" w:eastAsia="es-ES_tradnl"/>
        </w:rPr>
        <w:t xml:space="preserve">, </w:t>
      </w:r>
      <w:r w:rsidR="008806E3">
        <w:rPr>
          <w:color w:val="000000"/>
          <w:u w:color="000000"/>
          <w:lang w:val="es-ES_tradnl" w:eastAsia="es-ES_tradnl"/>
        </w:rPr>
        <w:t>tenía</w:t>
      </w:r>
      <w:r w:rsidRPr="00CB4CF5">
        <w:rPr>
          <w:color w:val="000000"/>
          <w:u w:color="000000"/>
          <w:lang w:val="es-ES_tradnl" w:eastAsia="es-ES_tradnl"/>
        </w:rPr>
        <w:t xml:space="preserve"> una gran necesidad de tener cosas materiales de lujo que le permitieran aparentar riqueza y estatus, por ejemplo, conducía un Hummer por Barcelona, cambia de Porsche</w:t>
      </w:r>
      <w:r w:rsidR="007936FB">
        <w:rPr>
          <w:color w:val="000000"/>
          <w:u w:color="000000"/>
          <w:lang w:val="es-ES_tradnl" w:eastAsia="es-ES_tradnl"/>
        </w:rPr>
        <w:t xml:space="preserve"> cada poco tiempo</w:t>
      </w:r>
      <w:r w:rsidRPr="00CB4CF5">
        <w:rPr>
          <w:color w:val="000000"/>
          <w:u w:color="000000"/>
          <w:lang w:val="es-ES_tradnl" w:eastAsia="es-ES_tradnl"/>
        </w:rPr>
        <w:t>, y gastaba mucho dinero en ropa de lujo, principalmente en Louis Vuitton (</w:t>
      </w:r>
      <w:r w:rsidR="00672EAC">
        <w:rPr>
          <w:color w:val="000000"/>
          <w:u w:color="000000"/>
          <w:lang w:val="es-ES_tradnl" w:eastAsia="es-ES_tradnl"/>
        </w:rPr>
        <w:t>García, 2015)</w:t>
      </w:r>
      <w:r w:rsidRPr="00CB4CF5">
        <w:rPr>
          <w:color w:val="000000"/>
          <w:u w:color="000000"/>
          <w:lang w:val="es-ES_tradnl" w:eastAsia="es-ES_tradnl"/>
        </w:rPr>
        <w:t xml:space="preserve"> (sentido desmesurado de autovalía - ítem 2; necesidad de estimulación por la conducción de los coches - ítem 3; ausencia de metas realistas a largo plazo, al considerar que podía mantener ese estilo de vida - ítem 13). De hecho, cuando conoció en 1988 a su marido Juan, se presentó como una mujer adinerada, proveniente de una familia con títulos y tierras, lo cual era mentira (mentirosa patológica - ítem 4; estafadora/engañadora y manipuladora - ítem 5). Por otro lado, ha sido definida como una persona fría, calculadora, sin empatía ni sentimientos de culpa, por ejemplo, acudió al entierro de Ana María ajena al dolor de la familia (ausencia de remordimientos o sentimientos de culpa - ítem 6; insensibilidad afectiva o ausencia de empatía - ítem 8). Y con dificultades para expresar sus sentimientos, por ejemplo, durante una época su madre estuvo </w:t>
      </w:r>
      <w:r w:rsidRPr="00CB4CF5">
        <w:rPr>
          <w:color w:val="000000"/>
          <w:u w:color="000000"/>
          <w:lang w:val="es-ES_tradnl" w:eastAsia="es-ES_tradnl"/>
        </w:rPr>
        <w:lastRenderedPageBreak/>
        <w:t xml:space="preserve">viviendo en su casa y cuando recibía visita la escondía, y nunca se la vio afectada tras la muerte de su marido (afecto superficial - ítem 7). Haciendo referencia a las relaciones con las parejas, Angie fue </w:t>
      </w:r>
      <w:r w:rsidRPr="00924C0D">
        <w:rPr>
          <w:color w:val="000000"/>
          <w:u w:color="000000"/>
          <w:lang w:val="es-ES_tradnl" w:eastAsia="es-ES_tradnl"/>
        </w:rPr>
        <w:t>infiel a su marido y a otros hombres con los que mantuvo una relación breve, además, ejercía la prostitución sin necesidad (conducta sexual promiscua - ítem 11; frecuentes relaciones maritales de corta relación - ítem 17). Finalmente, Angie tiene una hija, de la cual no ha sido posible encontrar casi información, pero, debido a su larga estancia en prisión, no ha podido encargarse de su cuidado y educación (irresponsabilidad - ítem 15).</w:t>
      </w:r>
    </w:p>
    <w:p w:rsidR="00CB4CF5" w:rsidRPr="00924C0D" w:rsidRDefault="00CB4CF5" w:rsidP="00924C0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924C0D" w:rsidRPr="00924C0D" w:rsidRDefault="00CB4CF5" w:rsidP="00924C0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Respecto a las características de los crímenes, la suplantación de una identidad durante dos años (necesidad de estimulación y tendencia al aburrimiento - ítem 3). La simulación en el caso del marido de un supuesto robo y de Ana María de un delito sexual modificando ambas escenas del crimen (mentirosa patológica - ítem 4; estafadora/engañadora y manipuladora - ítem 5). La planificación y premeditación de los crímenes (baja impulsividad - ítem 14) aunque su necesidad de opulencia y dinero provocaba que se involucrase en situaciones conflictivas</w:t>
      </w:r>
      <w:r w:rsidR="00D21C31">
        <w:rPr>
          <w:color w:val="000000"/>
          <w:u w:color="000000"/>
          <w:lang w:val="es-ES_tradnl" w:eastAsia="es-ES_tradnl"/>
        </w:rPr>
        <w:t xml:space="preserve"> (Lozano y Rendueles, 2018)</w:t>
      </w:r>
      <w:r w:rsidRPr="00924C0D">
        <w:rPr>
          <w:color w:val="000000"/>
          <w:u w:color="000000"/>
          <w:lang w:val="es-ES_tradnl" w:eastAsia="es-ES_tradnl"/>
        </w:rPr>
        <w:t xml:space="preserve"> (pobre autocontrol de la conducta - ítem 10). Nunca ha llegado a confesar y aceptar la comisión de los actos delictivos, defendiéndose y justificándose en el juicio con coartadas inverosímiles</w:t>
      </w:r>
      <w:r w:rsidR="00D21C31">
        <w:rPr>
          <w:color w:val="000000"/>
          <w:u w:color="000000"/>
          <w:lang w:val="es-ES_tradnl" w:eastAsia="es-ES_tradnl"/>
        </w:rPr>
        <w:t xml:space="preserve"> (Lozano y Rendueles, 2018)</w:t>
      </w:r>
      <w:r w:rsidRPr="00924C0D">
        <w:rPr>
          <w:color w:val="000000"/>
          <w:u w:color="000000"/>
          <w:lang w:val="es-ES_tradnl" w:eastAsia="es-ES_tradnl"/>
        </w:rPr>
        <w:t xml:space="preserve"> (incapacidad para aceptar la responsabilidad de sus propias acciones - ítem 16). En referencia al juicio, se vistió con chupa de cuero, botas de ante, pantalones ajustados, como si fuera a una fiesta, y habló con gran serenidad, sin aparente preocupación ante los 24 años de prisión que pedía el fiscal </w:t>
      </w:r>
      <w:r w:rsidR="00672EAC">
        <w:rPr>
          <w:color w:val="000000"/>
          <w:u w:color="000000"/>
          <w:lang w:val="es-ES_tradnl" w:eastAsia="es-ES_tradnl"/>
        </w:rPr>
        <w:t>(Lozano y Rendueles, 2018)</w:t>
      </w:r>
      <w:r w:rsidRPr="00924C0D">
        <w:rPr>
          <w:color w:val="000000"/>
          <w:u w:color="000000"/>
          <w:lang w:val="es-ES_tradnl" w:eastAsia="es-ES_tradnl"/>
        </w:rPr>
        <w:t xml:space="preserve"> (sentido desmesurado de autovalía - ítem 2).</w:t>
      </w:r>
      <w:r w:rsidR="00924C0D" w:rsidRPr="00924C0D">
        <w:rPr>
          <w:color w:val="000000"/>
          <w:u w:color="000000"/>
          <w:lang w:val="es-ES_tradnl" w:eastAsia="es-ES_tradnl"/>
        </w:rPr>
        <w:t xml:space="preserve"> </w:t>
      </w:r>
    </w:p>
    <w:p w:rsidR="00924C0D" w:rsidRPr="00924C0D" w:rsidRDefault="00924C0D" w:rsidP="00924C0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924C0D" w:rsidRPr="00924C0D" w:rsidRDefault="00924C0D" w:rsidP="00924C0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r w:rsidRPr="00924C0D">
        <w:rPr>
          <w:color w:val="000000"/>
          <w:lang w:val="es-ES_tradnl" w:eastAsia="es-ES_tradnl"/>
        </w:rPr>
        <w:t>Respecto a la información encontrada en los medios de comunicación, presenta alta congruencia y Angie es calificada como psicópata, lo que concuerda con sus rasgos de personalidad y su conducta antisocial.</w:t>
      </w:r>
    </w:p>
    <w:p w:rsidR="00924C0D" w:rsidRPr="00924C0D" w:rsidRDefault="00924C0D" w:rsidP="00924C0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lang w:val="es-ES_tradnl" w:eastAsia="es-ES_tradnl"/>
        </w:rPr>
      </w:pPr>
    </w:p>
    <w:p w:rsidR="00CB4CF5" w:rsidRPr="00924C0D" w:rsidRDefault="00924C0D" w:rsidP="00924C0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924C0D">
        <w:rPr>
          <w:i/>
          <w:iCs/>
          <w:color w:val="000000"/>
          <w:lang w:val="es-ES_tradnl" w:eastAsia="es-ES_tradnl"/>
        </w:rPr>
        <w:t>Evaluación a través de los ítems del PCL-R</w:t>
      </w:r>
    </w:p>
    <w:p w:rsidR="00CB4CF5" w:rsidRPr="00924C0D" w:rsidRDefault="00CB4CF5" w:rsidP="00924C0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CB4CF5" w:rsidRPr="00924C0D"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Locua</w:t>
      </w:r>
      <w:r w:rsidR="007936FB">
        <w:rPr>
          <w:color w:val="000000"/>
          <w:u w:color="000000"/>
          <w:lang w:val="es-ES_tradnl" w:eastAsia="es-ES_tradnl"/>
        </w:rPr>
        <w:t>c</w:t>
      </w:r>
      <w:r w:rsidRPr="00924C0D">
        <w:rPr>
          <w:color w:val="000000"/>
          <w:u w:color="000000"/>
          <w:lang w:val="es-ES_tradnl" w:eastAsia="es-ES_tradnl"/>
        </w:rPr>
        <w:t>idad y encanto superficial - 2</w:t>
      </w:r>
    </w:p>
    <w:p w:rsidR="00CB4CF5" w:rsidRPr="00924C0D"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Sentido desmesurado de autovalía - 2</w:t>
      </w:r>
    </w:p>
    <w:p w:rsidR="00CB4CF5" w:rsidRPr="00924C0D"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Necesidad de estimulación y tendencia al aburrimiento - 2</w:t>
      </w:r>
    </w:p>
    <w:p w:rsidR="00CB4CF5" w:rsidRPr="00924C0D"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Mentiros</w:t>
      </w:r>
      <w:r w:rsidR="00924C0D">
        <w:rPr>
          <w:color w:val="000000"/>
          <w:u w:color="000000"/>
          <w:lang w:val="es-ES_tradnl" w:eastAsia="es-ES_tradnl"/>
        </w:rPr>
        <w:t>a</w:t>
      </w:r>
      <w:r w:rsidRPr="00924C0D">
        <w:rPr>
          <w:color w:val="000000"/>
          <w:u w:color="000000"/>
          <w:lang w:val="es-ES_tradnl" w:eastAsia="es-ES_tradnl"/>
        </w:rPr>
        <w:t xml:space="preserve"> patológic</w:t>
      </w:r>
      <w:r w:rsidR="00924C0D">
        <w:rPr>
          <w:color w:val="000000"/>
          <w:u w:color="000000"/>
          <w:lang w:val="es-ES_tradnl" w:eastAsia="es-ES_tradnl"/>
        </w:rPr>
        <w:t>a</w:t>
      </w:r>
      <w:r w:rsidRPr="00924C0D">
        <w:rPr>
          <w:color w:val="000000"/>
          <w:u w:color="000000"/>
          <w:lang w:val="es-ES_tradnl" w:eastAsia="es-ES_tradnl"/>
        </w:rPr>
        <w:t xml:space="preserve"> - 2</w:t>
      </w:r>
    </w:p>
    <w:p w:rsidR="00CB4CF5" w:rsidRPr="00924C0D"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Estafador</w:t>
      </w:r>
      <w:r w:rsidR="00924C0D">
        <w:rPr>
          <w:color w:val="000000"/>
          <w:u w:color="000000"/>
          <w:lang w:val="es-ES_tradnl" w:eastAsia="es-ES_tradnl"/>
        </w:rPr>
        <w:t>a</w:t>
      </w:r>
      <w:r w:rsidRPr="00924C0D">
        <w:rPr>
          <w:color w:val="000000"/>
          <w:u w:color="000000"/>
          <w:lang w:val="es-ES_tradnl" w:eastAsia="es-ES_tradnl"/>
        </w:rPr>
        <w:t>/engañador</w:t>
      </w:r>
      <w:r w:rsidR="00924C0D">
        <w:rPr>
          <w:color w:val="000000"/>
          <w:u w:color="000000"/>
          <w:lang w:val="es-ES_tradnl" w:eastAsia="es-ES_tradnl"/>
        </w:rPr>
        <w:t>a</w:t>
      </w:r>
      <w:r w:rsidRPr="00924C0D">
        <w:rPr>
          <w:color w:val="000000"/>
          <w:u w:color="000000"/>
          <w:lang w:val="es-ES_tradnl" w:eastAsia="es-ES_tradnl"/>
        </w:rPr>
        <w:t xml:space="preserve"> y manipulador</w:t>
      </w:r>
      <w:r w:rsidR="00924C0D">
        <w:rPr>
          <w:color w:val="000000"/>
          <w:u w:color="000000"/>
          <w:lang w:val="es-ES_tradnl" w:eastAsia="es-ES_tradnl"/>
        </w:rPr>
        <w:t>a</w:t>
      </w:r>
      <w:r w:rsidRPr="00924C0D">
        <w:rPr>
          <w:color w:val="000000"/>
          <w:u w:color="000000"/>
          <w:lang w:val="es-ES_tradnl" w:eastAsia="es-ES_tradnl"/>
        </w:rPr>
        <w:t xml:space="preserve"> - 2</w:t>
      </w:r>
    </w:p>
    <w:p w:rsidR="00CB4CF5" w:rsidRPr="00924C0D"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Ausencia de remordimientos o sentimientos de culpa - 2</w:t>
      </w:r>
    </w:p>
    <w:p w:rsidR="00CB4CF5" w:rsidRPr="00924C0D"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Afecto superficial - 2</w:t>
      </w:r>
    </w:p>
    <w:p w:rsidR="00CB4CF5" w:rsidRPr="00CB4CF5"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lastRenderedPageBreak/>
        <w:t>Insensibilidad afectiva o ausencia</w:t>
      </w:r>
      <w:r w:rsidRPr="00CB4CF5">
        <w:rPr>
          <w:color w:val="000000"/>
          <w:u w:color="000000"/>
          <w:lang w:val="es-ES_tradnl" w:eastAsia="es-ES_tradnl"/>
        </w:rPr>
        <w:t xml:space="preserve"> de empatía - 2</w:t>
      </w:r>
    </w:p>
    <w:p w:rsidR="00CB4CF5" w:rsidRPr="00CB4CF5"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Estilo de vida parasitario - 0</w:t>
      </w:r>
    </w:p>
    <w:p w:rsidR="00CB4CF5" w:rsidRPr="00CB4CF5"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Pobre autocontrol de la conducta - 1</w:t>
      </w:r>
    </w:p>
    <w:p w:rsidR="00CB4CF5" w:rsidRPr="00CB4CF5"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Conducta sexual promiscua - 2</w:t>
      </w:r>
    </w:p>
    <w:p w:rsidR="00CB4CF5" w:rsidRPr="00CB4CF5"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 xml:space="preserve">Problemas de conducta en la infancia - Omisión. </w:t>
      </w:r>
    </w:p>
    <w:p w:rsidR="00CB4CF5" w:rsidRPr="00CB4CF5"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Ausencia de metas realistas a largo plazo - 1</w:t>
      </w:r>
    </w:p>
    <w:p w:rsidR="00CB4CF5" w:rsidRPr="00CB4CF5"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Impulsividad - 0</w:t>
      </w:r>
    </w:p>
    <w:p w:rsidR="00CB4CF5" w:rsidRPr="00CB4CF5"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Irresponsabilidad - 1</w:t>
      </w:r>
    </w:p>
    <w:p w:rsidR="00CB4CF5" w:rsidRPr="00CB4CF5"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Incapacidad para aceptar la responsabilidad de sus propias acciones - 2</w:t>
      </w:r>
    </w:p>
    <w:p w:rsidR="00CB4CF5" w:rsidRPr="00CB4CF5"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 xml:space="preserve">Frecuentes relaciones maritales de corta </w:t>
      </w:r>
      <w:r w:rsidR="00003DA1">
        <w:rPr>
          <w:color w:val="000000"/>
          <w:u w:color="000000"/>
          <w:lang w:val="es-ES_tradnl" w:eastAsia="es-ES_tradnl"/>
        </w:rPr>
        <w:t>duración</w:t>
      </w:r>
      <w:r w:rsidRPr="00CB4CF5">
        <w:rPr>
          <w:color w:val="000000"/>
          <w:u w:color="000000"/>
          <w:lang w:val="es-ES_tradnl" w:eastAsia="es-ES_tradnl"/>
        </w:rPr>
        <w:t xml:space="preserve"> - 2</w:t>
      </w:r>
    </w:p>
    <w:p w:rsidR="00CB4CF5" w:rsidRPr="00CB4CF5"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CB4CF5">
        <w:rPr>
          <w:color w:val="000000"/>
          <w:u w:color="000000"/>
          <w:lang w:val="es-ES_tradnl" w:eastAsia="es-ES_tradnl"/>
        </w:rPr>
        <w:t>Delincuencia juvenil - Omisión.</w:t>
      </w:r>
    </w:p>
    <w:p w:rsidR="00CB4CF5" w:rsidRPr="00924C0D"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924C0D">
        <w:rPr>
          <w:color w:val="000000"/>
          <w:u w:color="000000"/>
          <w:lang w:val="es-ES_tradnl" w:eastAsia="es-ES_tradnl"/>
        </w:rPr>
        <w:t>Revocación de la libertad condicional - 0</w:t>
      </w:r>
    </w:p>
    <w:p w:rsidR="00CB4CF5" w:rsidRPr="00FD4F4A" w:rsidRDefault="00CB4CF5" w:rsidP="00003DA1">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themeColor="text1"/>
          <w:u w:color="000000"/>
          <w:lang w:val="es-ES_tradnl" w:eastAsia="es-ES_tradnl"/>
        </w:rPr>
      </w:pPr>
      <w:r w:rsidRPr="00924C0D">
        <w:rPr>
          <w:color w:val="000000"/>
          <w:u w:color="000000"/>
          <w:lang w:val="es-ES_tradnl" w:eastAsia="es-ES_tradnl"/>
        </w:rPr>
        <w:t>Versatilidad crimina</w:t>
      </w:r>
      <w:r w:rsidR="00000559">
        <w:rPr>
          <w:color w:val="000000"/>
          <w:u w:color="000000"/>
          <w:lang w:val="es-ES_tradnl" w:eastAsia="es-ES_tradnl"/>
        </w:rPr>
        <w:t>l - 0</w:t>
      </w:r>
    </w:p>
    <w:p w:rsidR="008806E3" w:rsidRPr="00FD4F4A" w:rsidRDefault="00CB4CF5" w:rsidP="00924C0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themeColor="text1"/>
          <w:u w:color="000000"/>
          <w:lang w:val="es-ES_tradnl" w:eastAsia="es-ES_tradnl"/>
        </w:rPr>
      </w:pPr>
      <w:r w:rsidRPr="00FD4F4A">
        <w:rPr>
          <w:color w:val="000000" w:themeColor="text1"/>
          <w:u w:color="000000"/>
          <w:lang w:val="es-ES_tradnl" w:eastAsia="es-ES_tradnl"/>
        </w:rPr>
        <w:t xml:space="preserve">Total: </w:t>
      </w:r>
      <w:r w:rsidR="003A166F" w:rsidRPr="00FD4F4A">
        <w:rPr>
          <w:color w:val="000000" w:themeColor="text1"/>
          <w:u w:color="000000"/>
          <w:lang w:val="es-ES_tradnl" w:eastAsia="es-ES_tradnl"/>
        </w:rPr>
        <w:t>25</w:t>
      </w:r>
      <w:r w:rsidR="00757E3D" w:rsidRPr="00FD4F4A">
        <w:rPr>
          <w:color w:val="000000" w:themeColor="text1"/>
          <w:u w:color="000000"/>
          <w:lang w:val="es-ES_tradnl" w:eastAsia="es-ES_tradnl"/>
        </w:rPr>
        <w:t>; Factor 1: 16 – Factor 2: 5</w:t>
      </w:r>
    </w:p>
    <w:p w:rsidR="00A140D2" w:rsidRPr="00FD4F4A" w:rsidRDefault="00A140D2" w:rsidP="00924C0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themeColor="text1"/>
          <w:u w:color="000000"/>
          <w:lang w:val="es-ES_tradnl" w:eastAsia="es-ES_tradnl"/>
        </w:rPr>
      </w:pPr>
    </w:p>
    <w:p w:rsidR="00A140D2" w:rsidRPr="00FD4F4A" w:rsidRDefault="00A140D2" w:rsidP="00A140D2">
      <w:pPr>
        <w:autoSpaceDE w:val="0"/>
        <w:autoSpaceDN w:val="0"/>
        <w:adjustRightInd w:val="0"/>
        <w:spacing w:line="360" w:lineRule="auto"/>
        <w:jc w:val="both"/>
        <w:rPr>
          <w:color w:val="000000" w:themeColor="text1"/>
          <w:lang w:val="es-ES_tradnl"/>
        </w:rPr>
      </w:pPr>
      <w:r w:rsidRPr="00FD4F4A">
        <w:rPr>
          <w:color w:val="000000" w:themeColor="text1"/>
          <w:lang w:val="es-ES_tradnl"/>
        </w:rPr>
        <w:t xml:space="preserve">En relación con la teoría, Angie lleva a cabo las conductas características de las mujeres psicópatas de manipulación, coacción, e insinuación. Además, ejercía la prostitución y tuvo varias relaciones de corta duración, siéndole infiel a su marido. Tanto el crimen de Ana María como el presunto crimen a su marido, fueron realizados por motivo de lucro, en la familia o las relaciones cercanas, y de forma premeditada, metódica y precisa. Toda la vida de Angie giraba en torno a una mentira patológica sobre su estatus social y el dinero que tenía, ocultando su origen proletario. Se podría concluir que es una madre irresponsable, ya que no se ha podido encargar del cuidado de su hija debido a su estancia en prisión. Finalmente, respecto al PCL-R, ocurre lo mismo que en el caso anterior de Francisca, la puntuación en el Factor 1 es la máxima, sin embargo, en el Factor 2 es mínima, influyendo a la puntuación total de 25, por lo tanto, siendo clasificada como no psicópata. </w:t>
      </w:r>
    </w:p>
    <w:p w:rsidR="00003DA1" w:rsidRP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val="single" w:color="000000"/>
          <w:lang w:val="es-ES_tradnl" w:eastAsia="es-ES_tradnl"/>
        </w:rPr>
      </w:pPr>
      <w:r w:rsidRPr="00003DA1">
        <w:rPr>
          <w:color w:val="000000"/>
          <w:u w:val="single" w:color="000000"/>
          <w:lang w:val="es-ES_tradnl" w:eastAsia="es-ES_tradnl"/>
        </w:rPr>
        <w:t>Ana Julia Quezada, caso Gabriel</w:t>
      </w:r>
    </w:p>
    <w:p w:rsidR="00CB7B00" w:rsidRDefault="00186B44"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val="single" w:color="000000"/>
          <w:lang w:val="es-ES_tradnl" w:eastAsia="es-ES_tradnl"/>
        </w:rPr>
      </w:pPr>
      <w:r>
        <w:rPr>
          <w:noProof/>
          <w:lang w:val="es-ES" w:eastAsia="es-ES"/>
        </w:rPr>
        <w:drawing>
          <wp:anchor distT="0" distB="0" distL="114300" distR="114300" simplePos="0" relativeHeight="251665408" behindDoc="0" locked="0" layoutInCell="1" allowOverlap="1" wp14:anchorId="5EF43B2D" wp14:editId="5A8F0B88">
            <wp:simplePos x="0" y="0"/>
            <wp:positionH relativeFrom="column">
              <wp:posOffset>5080</wp:posOffset>
            </wp:positionH>
            <wp:positionV relativeFrom="paragraph">
              <wp:posOffset>40005</wp:posOffset>
            </wp:positionV>
            <wp:extent cx="2468880" cy="1511300"/>
            <wp:effectExtent l="0" t="0" r="7620" b="0"/>
            <wp:wrapSquare wrapText="bothSides"/>
            <wp:docPr id="9" name="Imagen 9" descr="Ana Julia Quezada reaparece con una nueva imagen en el primer día de ju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a Julia Quezada reaparece con una nueva imagen en el primer día de juici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68880" cy="1511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3DA1" w:rsidRP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Ana Julia Quezada, mujer de 48 años, acusada en marzo de 2018 por el asesinato de Gabriel Cruz, el hijo de 8 años de su pareja, Ángel David Cruz, conocido como “el pescaito” en Hortic</w:t>
      </w:r>
      <w:r w:rsidR="00F21754">
        <w:rPr>
          <w:color w:val="000000"/>
          <w:u w:color="000000"/>
          <w:lang w:val="es-ES_tradnl" w:eastAsia="es-ES_tradnl"/>
        </w:rPr>
        <w:t>h</w:t>
      </w:r>
      <w:r w:rsidRPr="00003DA1">
        <w:rPr>
          <w:color w:val="000000"/>
          <w:u w:color="000000"/>
          <w:lang w:val="es-ES_tradnl" w:eastAsia="es-ES_tradnl"/>
        </w:rPr>
        <w:t>uelas, Almería.</w:t>
      </w:r>
    </w:p>
    <w:p w:rsidR="00186B44" w:rsidRDefault="00186B44"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186B44" w:rsidRDefault="00186B44" w:rsidP="00186B44">
      <w:pPr>
        <w:jc w:val="both"/>
        <w:rPr>
          <w:rFonts w:ascii="Times" w:hAnsi="Times"/>
          <w:color w:val="231F20"/>
          <w:sz w:val="16"/>
          <w:szCs w:val="16"/>
          <w:lang w:val="es-ES"/>
        </w:rPr>
      </w:pPr>
      <w:r w:rsidRPr="00186B44">
        <w:rPr>
          <w:rFonts w:ascii="Times" w:hAnsi="Times"/>
          <w:color w:val="231F20"/>
          <w:sz w:val="16"/>
          <w:szCs w:val="16"/>
          <w:lang w:val="es-ES"/>
        </w:rPr>
        <w:t xml:space="preserve">[Fotografía de Carlos Barba]. (Almería, 2019). </w:t>
      </w:r>
    </w:p>
    <w:p w:rsidR="00186B44" w:rsidRDefault="00186B44" w:rsidP="00186B44">
      <w:pPr>
        <w:jc w:val="both"/>
        <w:rPr>
          <w:color w:val="000000"/>
          <w:u w:color="000000"/>
          <w:lang w:val="es-ES_tradnl" w:eastAsia="es-ES_tradnl"/>
        </w:rPr>
      </w:pPr>
    </w:p>
    <w:p w:rsidR="00003DA1" w:rsidRP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lastRenderedPageBreak/>
        <w:t>El 27 de febrero de 2018, Ana Julia asfixió a Gabriel hasta su muerte en la finca de Rodalquilar de su pareja, tapándole la boca y la nariz con las manos, y después lo enterró. Ese mismo día sus padres denunciaron la desaparición del niño</w:t>
      </w:r>
      <w:r w:rsidR="00D21C31">
        <w:rPr>
          <w:color w:val="000000"/>
          <w:u w:color="000000"/>
          <w:lang w:val="es-ES_tradnl" w:eastAsia="es-ES_tradnl"/>
        </w:rPr>
        <w:t xml:space="preserve"> (Melero, 2019)</w:t>
      </w:r>
      <w:r w:rsidRPr="00003DA1">
        <w:rPr>
          <w:color w:val="000000"/>
          <w:u w:color="000000"/>
          <w:lang w:val="es-ES_tradnl" w:eastAsia="es-ES_tradnl"/>
        </w:rPr>
        <w:t>. Durante los 13 días siguientes, Ana Julia actuó ante la familia de Gabriel, los padres, todo el país y los medios de comunicación, como una persona muy preocupada por el estado de</w:t>
      </w:r>
      <w:r w:rsidR="00F21754">
        <w:rPr>
          <w:color w:val="000000"/>
          <w:u w:color="000000"/>
          <w:lang w:val="es-ES_tradnl" w:eastAsia="es-ES_tradnl"/>
        </w:rPr>
        <w:t>l</w:t>
      </w:r>
      <w:r w:rsidRPr="00003DA1">
        <w:rPr>
          <w:color w:val="000000"/>
          <w:u w:color="000000"/>
          <w:lang w:val="es-ES_tradnl" w:eastAsia="es-ES_tradnl"/>
        </w:rPr>
        <w:t xml:space="preserve"> niño, como el resto de sus allegados, con gran aflicción, compungida y apesadumbrada, participando en las labores de búsqueda (</w:t>
      </w:r>
      <w:r w:rsidR="00672EAC">
        <w:rPr>
          <w:color w:val="000000"/>
          <w:u w:color="000000"/>
          <w:lang w:val="es-ES_tradnl" w:eastAsia="es-ES_tradnl"/>
        </w:rPr>
        <w:t>Melero, 2019</w:t>
      </w:r>
      <w:r w:rsidRPr="00003DA1">
        <w:rPr>
          <w:color w:val="000000"/>
          <w:u w:color="000000"/>
          <w:lang w:val="es-ES_tradnl" w:eastAsia="es-ES_tradnl"/>
        </w:rPr>
        <w:t>). Al quinto día comet</w:t>
      </w:r>
      <w:r w:rsidR="007936FB">
        <w:rPr>
          <w:color w:val="000000"/>
          <w:u w:color="000000"/>
          <w:lang w:val="es-ES_tradnl" w:eastAsia="es-ES_tradnl"/>
        </w:rPr>
        <w:t>i</w:t>
      </w:r>
      <w:r w:rsidRPr="00003DA1">
        <w:rPr>
          <w:color w:val="000000"/>
          <w:u w:color="000000"/>
          <w:lang w:val="es-ES_tradnl" w:eastAsia="es-ES_tradnl"/>
        </w:rPr>
        <w:t xml:space="preserve">ó el primer error, ya que colocó una camiseta de Gabriel durante la batida, estratégicamente a pocos kilómetros de la depuradora, y la entregó ella misma a la policía, pero ésta no estaba lo suficientemente mojada </w:t>
      </w:r>
      <w:r w:rsidR="007936FB">
        <w:rPr>
          <w:color w:val="000000"/>
          <w:u w:color="000000"/>
          <w:lang w:val="es-ES_tradnl" w:eastAsia="es-ES_tradnl"/>
        </w:rPr>
        <w:t>como</w:t>
      </w:r>
      <w:r w:rsidRPr="00003DA1">
        <w:rPr>
          <w:color w:val="000000"/>
          <w:u w:color="000000"/>
          <w:lang w:val="es-ES_tradnl" w:eastAsia="es-ES_tradnl"/>
        </w:rPr>
        <w:t xml:space="preserve"> correspondería </w:t>
      </w:r>
      <w:r w:rsidR="007936FB">
        <w:rPr>
          <w:color w:val="000000"/>
          <w:u w:color="000000"/>
          <w:lang w:val="es-ES_tradnl" w:eastAsia="es-ES_tradnl"/>
        </w:rPr>
        <w:t>con</w:t>
      </w:r>
      <w:r w:rsidRPr="00003DA1">
        <w:rPr>
          <w:color w:val="000000"/>
          <w:u w:color="000000"/>
          <w:lang w:val="es-ES_tradnl" w:eastAsia="es-ES_tradnl"/>
        </w:rPr>
        <w:t xml:space="preserve"> las lluvias que se habían producido los días anteriores, así que la policía comenzó a tenerla vigilada. El 11 de mazo, Ana Julia volvió a la finca para mover el cadáver a otro lugar, fue arrestada durante el trayecto</w:t>
      </w:r>
      <w:r w:rsidR="00672EAC">
        <w:rPr>
          <w:color w:val="000000"/>
          <w:u w:color="000000"/>
          <w:lang w:val="es-ES_tradnl" w:eastAsia="es-ES_tradnl"/>
        </w:rPr>
        <w:t xml:space="preserve"> (Navarro, 2019)</w:t>
      </w:r>
      <w:r w:rsidRPr="00003DA1">
        <w:rPr>
          <w:color w:val="000000"/>
          <w:u w:color="000000"/>
          <w:lang w:val="es-ES_tradnl" w:eastAsia="es-ES_tradnl"/>
        </w:rPr>
        <w:t xml:space="preserve">. </w:t>
      </w:r>
    </w:p>
    <w:p w:rsidR="00003DA1" w:rsidRP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Durante el primer día del juicio, se presentó muy dolorida, entre sollozos, intentando justificar el crimen culpabilizando a Gabriel e intentando que la sociedad empatice con ella, pidiendo perdón. Sin embargo, al recordar al niño y al escuchar la sentencia de prisión permanente revisable, Ana Julia se mostró impasible, sin una lágrima (</w:t>
      </w:r>
      <w:r w:rsidR="007C5C26">
        <w:rPr>
          <w:color w:val="000000"/>
          <w:u w:color="000000"/>
          <w:lang w:val="es-ES_tradnl" w:eastAsia="es-ES_tradnl"/>
        </w:rPr>
        <w:t xml:space="preserve">Sánchez, 2020; </w:t>
      </w:r>
      <w:r w:rsidR="00672EAC">
        <w:rPr>
          <w:color w:val="000000"/>
          <w:u w:color="000000"/>
          <w:lang w:val="es-ES_tradnl" w:eastAsia="es-ES_tradnl"/>
        </w:rPr>
        <w:t>Navarro, 2019</w:t>
      </w:r>
      <w:r w:rsidRPr="00003DA1">
        <w:rPr>
          <w:color w:val="000000"/>
          <w:u w:color="000000"/>
          <w:lang w:val="es-ES_tradnl" w:eastAsia="es-ES_tradnl"/>
        </w:rPr>
        <w:t xml:space="preserve">). </w:t>
      </w:r>
    </w:p>
    <w:p w:rsidR="00003DA1" w:rsidRP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P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Respecto a la personalidad de Ana Julia y relacionándose con los ítems del PCL-R, era considerada por las personas de su alrededor como alguien frío, manipulador, egocéntrico y con maldad (</w:t>
      </w:r>
      <w:r w:rsidR="007C5C26">
        <w:rPr>
          <w:color w:val="000000"/>
          <w:u w:color="000000"/>
          <w:lang w:val="es-ES_tradnl" w:eastAsia="es-ES_tradnl"/>
        </w:rPr>
        <w:t>Alfageme, 2019</w:t>
      </w:r>
      <w:r w:rsidRPr="00003DA1">
        <w:rPr>
          <w:color w:val="000000"/>
          <w:u w:color="000000"/>
          <w:lang w:val="es-ES_tradnl" w:eastAsia="es-ES_tradnl"/>
        </w:rPr>
        <w:t>) (afecto superficial - ítem 7; insensibilidad o ausencia de empatía - ítem 8). Trabajó en prostíbulos, clubes y bares de joven, hasta que vino a España y se casó para no seguir con dichas actividades (estilo de vida parasitario - ítem 9). Respecto a la conducta sexual, se ha descrito a Ana Julia como una mujer obsesionada con el sexo y el dinero, que ejercía la prostitución (conducta sexual promiscua - ítem 11) y con varias relaciones de pareja (frecuentes relaciones maritales de corta duración - ítem 17; locuacidad y encanto superficial - ítem 1). Tuvo una hija, Judith, con 17 años, la cual no quiere verla, y otra fallecida a la edad de 4 años precipitándose por una ventana (irresponsabilidad - ítem 15). Estaba obsesionada con el dinero y poder llevar una vida de lujo</w:t>
      </w:r>
      <w:r w:rsidR="00D21C31">
        <w:rPr>
          <w:color w:val="000000"/>
          <w:u w:color="000000"/>
          <w:lang w:val="es-ES_tradnl" w:eastAsia="es-ES_tradnl"/>
        </w:rPr>
        <w:t xml:space="preserve"> (Alfageme, 2019)</w:t>
      </w:r>
      <w:r w:rsidRPr="00003DA1">
        <w:rPr>
          <w:color w:val="000000"/>
          <w:u w:color="000000"/>
          <w:lang w:val="es-ES_tradnl" w:eastAsia="es-ES_tradnl"/>
        </w:rPr>
        <w:t xml:space="preserve"> (ausencia de metas realistas a largo plazo - ítem 13). </w:t>
      </w:r>
    </w:p>
    <w:p w:rsidR="00003DA1" w:rsidRP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P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 xml:space="preserve">Respecto a las características del crimen, estuvo fingiendo y actuando durante trece días, mostrándose triste y compungida y colaborando en la búsqueda de Gabriel, además de intentar manipular las pruebas colocando ella misma la camiseta del niño (mentirosa patológica - ítem 4; estafadora/engañadora y manipulador - ítem 5; necesidad de estimulación - ítem 3). Durante varios días mantuvo la esperanza de los padres, dañándoles psicológicamente (afecto superficial - ítem 7; insensibilidad o ausencia de empatía - ítem 8). Asfixió a Gabriel con sus manos, pudiendo verle la cara, y conociéndole ya que había estado viviendo con él y su padre (ausencia de remordimientos o </w:t>
      </w:r>
      <w:r w:rsidRPr="00003DA1">
        <w:rPr>
          <w:color w:val="000000"/>
          <w:u w:color="000000"/>
          <w:lang w:val="es-ES_tradnl" w:eastAsia="es-ES_tradnl"/>
        </w:rPr>
        <w:lastRenderedPageBreak/>
        <w:t>sentimientos de culpa - ítem 6; afecto superficial - ítem 7; insensibilidad o ausencia de empatía - ítem 8).</w:t>
      </w:r>
      <w:r w:rsidR="005F73BC">
        <w:rPr>
          <w:color w:val="000000"/>
          <w:u w:color="000000"/>
          <w:lang w:val="es-ES_tradnl" w:eastAsia="es-ES_tradnl"/>
        </w:rPr>
        <w:t xml:space="preserve"> Se considera que hubo planificación previa del asesinato y, a pesar de la búsqueda, esperó varios días para mover el cuerpo del niño en el momento más idóneo, pensando que no estaba siendo vigilada </w:t>
      </w:r>
      <w:r w:rsidRPr="00003DA1">
        <w:rPr>
          <w:color w:val="000000"/>
          <w:u w:color="000000"/>
          <w:lang w:val="es-ES_tradnl" w:eastAsia="es-ES_tradnl"/>
        </w:rPr>
        <w:t>(</w:t>
      </w:r>
      <w:r w:rsidR="005F73BC">
        <w:rPr>
          <w:color w:val="000000"/>
          <w:u w:color="000000"/>
          <w:lang w:val="es-ES_tradnl" w:eastAsia="es-ES_tradnl"/>
        </w:rPr>
        <w:t>alto</w:t>
      </w:r>
      <w:r w:rsidRPr="00003DA1">
        <w:rPr>
          <w:color w:val="000000"/>
          <w:u w:color="000000"/>
          <w:lang w:val="es-ES_tradnl" w:eastAsia="es-ES_tradnl"/>
        </w:rPr>
        <w:t xml:space="preserve"> autocontrol de la conducta - ítem 9; </w:t>
      </w:r>
      <w:r w:rsidR="005F73BC">
        <w:rPr>
          <w:color w:val="000000"/>
          <w:u w:color="000000"/>
          <w:lang w:val="es-ES_tradnl" w:eastAsia="es-ES_tradnl"/>
        </w:rPr>
        <w:t xml:space="preserve">baja </w:t>
      </w:r>
      <w:r w:rsidRPr="00003DA1">
        <w:rPr>
          <w:color w:val="000000"/>
          <w:u w:color="000000"/>
          <w:lang w:val="es-ES_tradnl" w:eastAsia="es-ES_tradnl"/>
        </w:rPr>
        <w:t>impulsividad 14). A lo largo del juicio, Ana Julia intentó culpar al niño de lo sucedido declarando que “alguna vez el niño me dijo qué nariz más fea tienes, parece que te han dado una hostia”, “Gabriel fue quien cogió el hacha y gritó: negra, tú a mi no me mandas”</w:t>
      </w:r>
      <w:r w:rsidR="007C5C26">
        <w:rPr>
          <w:color w:val="000000"/>
          <w:u w:color="000000"/>
          <w:lang w:val="es-ES_tradnl" w:eastAsia="es-ES_tradnl"/>
        </w:rPr>
        <w:t xml:space="preserve"> (Sánchez, 20</w:t>
      </w:r>
      <w:r w:rsidR="00D21C31">
        <w:rPr>
          <w:color w:val="000000"/>
          <w:u w:color="000000"/>
          <w:lang w:val="es-ES_tradnl" w:eastAsia="es-ES_tradnl"/>
        </w:rPr>
        <w:t>2</w:t>
      </w:r>
      <w:r w:rsidR="007C5C26">
        <w:rPr>
          <w:color w:val="000000"/>
          <w:u w:color="000000"/>
          <w:lang w:val="es-ES_tradnl" w:eastAsia="es-ES_tradnl"/>
        </w:rPr>
        <w:t>0)</w:t>
      </w:r>
      <w:r w:rsidRPr="00003DA1">
        <w:rPr>
          <w:color w:val="000000"/>
          <w:u w:color="000000"/>
          <w:lang w:val="es-ES_tradnl" w:eastAsia="es-ES_tradnl"/>
        </w:rPr>
        <w:t xml:space="preserve"> (incapacidad para aceptar la responsabilidad de sus propias acciones - ítem 16).</w:t>
      </w:r>
    </w:p>
    <w:p w:rsidR="00003DA1" w:rsidRP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 xml:space="preserve">Respecto a la información encontrada en los medios de comunicación, Ana Julia no es considerada psicópata, ya que señalan que el móvil eran los celos </w:t>
      </w:r>
      <w:r w:rsidR="007C5C26">
        <w:rPr>
          <w:color w:val="000000"/>
          <w:u w:color="000000"/>
          <w:lang w:val="es-ES_tradnl" w:eastAsia="es-ES_tradnl"/>
        </w:rPr>
        <w:t>(Melero, 2019</w:t>
      </w:r>
      <w:r w:rsidRPr="00003DA1">
        <w:rPr>
          <w:color w:val="000000"/>
          <w:u w:color="000000"/>
          <w:lang w:val="es-ES_tradnl" w:eastAsia="es-ES_tradnl"/>
        </w:rPr>
        <w:t>). Podríamos considerar esta información una incongruencia debido a que las mujeres psicópatas también se mueven por móviles, buscando lo que más les conviene a ellas. Además, puntúa en gran parte de las características psicopáticas del PCL-R.</w:t>
      </w:r>
    </w:p>
    <w:p w:rsid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P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i/>
          <w:iCs/>
          <w:color w:val="000000"/>
          <w:u w:color="000000"/>
          <w:lang w:val="es-ES_tradnl" w:eastAsia="es-ES_tradnl"/>
        </w:rPr>
      </w:pPr>
      <w:r w:rsidRPr="00924C0D">
        <w:rPr>
          <w:i/>
          <w:iCs/>
          <w:color w:val="000000"/>
          <w:u w:color="000000"/>
          <w:lang w:val="es-ES_tradnl" w:eastAsia="es-ES_tradnl"/>
        </w:rPr>
        <w:t>Evaluación a través de los ítems del PCL-R</w:t>
      </w:r>
    </w:p>
    <w:p w:rsidR="00003DA1" w:rsidRPr="00003DA1"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Locuacidad y encanto superficial - 2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 xml:space="preserve">Sentido desmesurado de autovalía - </w:t>
      </w:r>
      <w:r w:rsidR="00000559">
        <w:rPr>
          <w:color w:val="000000"/>
          <w:u w:color="000000"/>
          <w:lang w:val="es-ES_tradnl" w:eastAsia="es-ES_tradnl"/>
        </w:rPr>
        <w:t>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Necesidad de estimulación y tendencia al aburrimiento - 2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Mentiroso patológico - 2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Estafador/engañador y manipulador - 2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Ausencia de remordimientos o sentimientos de culpa - 2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Afecto superficial - 2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Insensibilidad afectiva o ausencia de empatía - 2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Estilo de vida parasitario - 1</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 xml:space="preserve">Pobre autocontrol de la conducta - </w:t>
      </w:r>
      <w:r w:rsidR="005F73BC">
        <w:rPr>
          <w:color w:val="000000"/>
          <w:u w:color="000000"/>
          <w:lang w:val="es-ES_tradnl" w:eastAsia="es-ES_tradnl"/>
        </w:rPr>
        <w:t>0</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Conducta sexual promiscua - 2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Problemas de conducta en la infancia - Omisión.</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Ausencia de metas realistas a largo plazo - 1</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 xml:space="preserve">Impulsividad - </w:t>
      </w:r>
      <w:r w:rsidR="005F73BC">
        <w:rPr>
          <w:color w:val="000000"/>
          <w:u w:color="000000"/>
          <w:lang w:val="es-ES_tradnl" w:eastAsia="es-ES_tradnl"/>
        </w:rPr>
        <w:t>0</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Irresponsabilidad - 2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Incapacidad para aceptar la responsabilidad de sus propias acciones - 2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 xml:space="preserve">Frecuentes relaciones maritales de corta </w:t>
      </w:r>
      <w:r>
        <w:rPr>
          <w:color w:val="000000"/>
          <w:u w:color="000000"/>
          <w:lang w:val="es-ES_tradnl" w:eastAsia="es-ES_tradnl"/>
        </w:rPr>
        <w:t>duración</w:t>
      </w:r>
      <w:r w:rsidRPr="00003DA1">
        <w:rPr>
          <w:color w:val="000000"/>
          <w:u w:color="000000"/>
          <w:lang w:val="es-ES_tradnl" w:eastAsia="es-ES_tradnl"/>
        </w:rPr>
        <w:t xml:space="preserve"> - 2</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Delincuencia juvenil - Omisión</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lastRenderedPageBreak/>
        <w:t>Revocación de la libertad condicional - 0</w:t>
      </w:r>
    </w:p>
    <w:p w:rsidR="00003DA1" w:rsidRPr="00003DA1" w:rsidRDefault="00003DA1" w:rsidP="00003DA1">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425"/>
        </w:tabs>
        <w:autoSpaceDE w:val="0"/>
        <w:autoSpaceDN w:val="0"/>
        <w:adjustRightInd w:val="0"/>
        <w:spacing w:line="360" w:lineRule="auto"/>
        <w:jc w:val="both"/>
        <w:rPr>
          <w:color w:val="000000"/>
          <w:u w:color="000000"/>
          <w:lang w:val="es-ES_tradnl" w:eastAsia="es-ES_tradnl"/>
        </w:rPr>
      </w:pPr>
      <w:r w:rsidRPr="00003DA1">
        <w:rPr>
          <w:color w:val="000000"/>
          <w:u w:color="000000"/>
          <w:lang w:val="es-ES_tradnl" w:eastAsia="es-ES_tradnl"/>
        </w:rPr>
        <w:t>Versatilidad criminal - 0</w:t>
      </w:r>
    </w:p>
    <w:p w:rsidR="00003DA1" w:rsidRPr="00FD4F4A" w:rsidRDefault="00003DA1"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themeColor="text1"/>
          <w:u w:color="000000"/>
          <w:lang w:val="es-ES_tradnl" w:eastAsia="es-ES_tradnl"/>
        </w:rPr>
      </w:pPr>
      <w:r w:rsidRPr="00FD4F4A">
        <w:rPr>
          <w:color w:val="000000" w:themeColor="text1"/>
          <w:u w:color="000000"/>
          <w:lang w:val="es-ES_tradnl" w:eastAsia="es-ES_tradnl"/>
        </w:rPr>
        <w:t>Total:</w:t>
      </w:r>
      <w:r w:rsidR="003A166F" w:rsidRPr="00FD4F4A">
        <w:rPr>
          <w:color w:val="000000" w:themeColor="text1"/>
          <w:u w:color="000000"/>
          <w:lang w:val="es-ES_tradnl" w:eastAsia="es-ES_tradnl"/>
        </w:rPr>
        <w:t xml:space="preserve"> 2</w:t>
      </w:r>
      <w:r w:rsidR="005F73BC" w:rsidRPr="00FD4F4A">
        <w:rPr>
          <w:color w:val="000000" w:themeColor="text1"/>
          <w:u w:color="000000"/>
          <w:lang w:val="es-ES_tradnl" w:eastAsia="es-ES_tradnl"/>
        </w:rPr>
        <w:t>6</w:t>
      </w:r>
      <w:r w:rsidR="00757E3D" w:rsidRPr="00FD4F4A">
        <w:rPr>
          <w:color w:val="000000" w:themeColor="text1"/>
          <w:u w:color="000000"/>
          <w:lang w:val="es-ES_tradnl" w:eastAsia="es-ES_tradnl"/>
        </w:rPr>
        <w:t xml:space="preserve">; Factor 1: 16 – Factor 2: </w:t>
      </w:r>
      <w:r w:rsidR="005F73BC" w:rsidRPr="00FD4F4A">
        <w:rPr>
          <w:color w:val="000000" w:themeColor="text1"/>
          <w:u w:color="000000"/>
          <w:lang w:val="es-ES_tradnl" w:eastAsia="es-ES_tradnl"/>
        </w:rPr>
        <w:t>6</w:t>
      </w:r>
    </w:p>
    <w:p w:rsidR="00A140D2" w:rsidRPr="00FD4F4A" w:rsidRDefault="00A140D2"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themeColor="text1"/>
          <w:u w:color="000000"/>
          <w:lang w:val="es-ES_tradnl" w:eastAsia="es-ES_tradnl"/>
        </w:rPr>
      </w:pPr>
    </w:p>
    <w:p w:rsidR="00A140D2" w:rsidRPr="00FD4F4A" w:rsidRDefault="00A140D2" w:rsidP="00A140D2">
      <w:pPr>
        <w:spacing w:line="360" w:lineRule="auto"/>
        <w:jc w:val="both"/>
        <w:rPr>
          <w:color w:val="000000" w:themeColor="text1"/>
          <w:lang w:val="es-ES"/>
        </w:rPr>
      </w:pPr>
      <w:r w:rsidRPr="00FD4F4A">
        <w:rPr>
          <w:color w:val="000000" w:themeColor="text1"/>
          <w:lang w:val="es-ES_tradnl"/>
        </w:rPr>
        <w:t>Según lo expuesto en la teoría, el crimen cometido por Ana Julia cumple con las características de ser metódico, preciso y cuidadoso, tratándose del asesinato de una persona de su círculo social cercano, el hijo de su pareja. Ana Julia utilizó la manipulación, el engaño y la mentira para despistar a los operativos en la investigación del caso de Gabriel. Presenta una baja tasa de empleo y varias relaciones de pareja, además, ejercía la prostitución. Es una madre irresponsable, ya que su hija de 4 años falleció y su otra hija de 17 años no quiere tener contacto con ella. Respecto al PCL-R, ocurre exactamente los mismo que en los dos casos anteriores.</w:t>
      </w:r>
    </w:p>
    <w:p w:rsidR="00757E3D" w:rsidRPr="00FD4F4A" w:rsidRDefault="00757E3D" w:rsidP="00757E3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themeColor="text1"/>
          <w:u w:color="000000"/>
          <w:lang w:val="es-ES_tradnl" w:eastAsia="es-ES_tradnl"/>
        </w:rPr>
      </w:pPr>
    </w:p>
    <w:p w:rsidR="00757E3D" w:rsidRPr="00FD4F4A" w:rsidRDefault="00757E3D" w:rsidP="00757E3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themeColor="text1"/>
          <w:lang w:val="es-ES_tradnl" w:eastAsia="es-ES_tradnl"/>
        </w:rPr>
      </w:pPr>
      <w:r w:rsidRPr="00FD4F4A">
        <w:rPr>
          <w:color w:val="000000" w:themeColor="text1"/>
          <w:lang w:val="es-ES_tradnl" w:eastAsia="es-ES_tradnl"/>
        </w:rPr>
        <w:t>Haciendo un comentario final al análisis de los casos, cabría señalar que en todos ellos los crímenes se producen en el entorno más cercano de las mujeres, afectando a sus familiares o amigos, tal y como se señala a lo largo de este trabajo, por lo que podría considerarse una característica relevante en la detección de la psicopatía en el género femenino</w:t>
      </w:r>
      <w:r w:rsidR="00FD6EC0" w:rsidRPr="00FD4F4A">
        <w:rPr>
          <w:color w:val="000000" w:themeColor="text1"/>
          <w:lang w:val="es-ES_tradnl" w:eastAsia="es-ES_tradnl"/>
        </w:rPr>
        <w:t xml:space="preserve"> (Ministerio del Interior, 2012)</w:t>
      </w:r>
      <w:r w:rsidRPr="00FD4F4A">
        <w:rPr>
          <w:color w:val="000000" w:themeColor="text1"/>
          <w:lang w:val="es-ES_tradnl" w:eastAsia="es-ES_tradnl"/>
        </w:rPr>
        <w:t xml:space="preserve">. </w:t>
      </w:r>
    </w:p>
    <w:p w:rsidR="00757E3D" w:rsidRPr="00FD4F4A" w:rsidRDefault="00757E3D" w:rsidP="00757E3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themeColor="text1"/>
          <w:lang w:val="es-ES_tradnl" w:eastAsia="es-ES_tradnl"/>
        </w:rPr>
      </w:pPr>
      <w:r w:rsidRPr="00FD4F4A">
        <w:rPr>
          <w:color w:val="000000" w:themeColor="text1"/>
          <w:lang w:val="es-ES_tradnl" w:eastAsia="es-ES_tradnl"/>
        </w:rPr>
        <w:t>Por otro lado, en lo referente a la evaluación a través del PCL-R, ninguna de ellas llega a la puntuación de corte de 30, siendo la máxima 2</w:t>
      </w:r>
      <w:r w:rsidR="00D263EE" w:rsidRPr="00FD4F4A">
        <w:rPr>
          <w:color w:val="000000" w:themeColor="text1"/>
          <w:lang w:val="es-ES_tradnl" w:eastAsia="es-ES_tradnl"/>
        </w:rPr>
        <w:t>6</w:t>
      </w:r>
      <w:r w:rsidRPr="00FD4F4A">
        <w:rPr>
          <w:color w:val="000000" w:themeColor="text1"/>
          <w:lang w:val="es-ES_tradnl" w:eastAsia="es-ES_tradnl"/>
        </w:rPr>
        <w:t>. Esto se debe a que no muestra</w:t>
      </w:r>
      <w:r w:rsidR="007936FB" w:rsidRPr="00FD4F4A">
        <w:rPr>
          <w:color w:val="000000" w:themeColor="text1"/>
          <w:lang w:val="es-ES_tradnl" w:eastAsia="es-ES_tradnl"/>
        </w:rPr>
        <w:t>n</w:t>
      </w:r>
      <w:r w:rsidRPr="00FD4F4A">
        <w:rPr>
          <w:color w:val="000000" w:themeColor="text1"/>
          <w:lang w:val="es-ES_tradnl" w:eastAsia="es-ES_tradnl"/>
        </w:rPr>
        <w:t xml:space="preserve"> impulsividad ni pobre autocontrol de la conducta, y si lo hacen es en un grado leve, ya que son cautelosas, meticulosas y planifican sus actuaciones con premeditación. Tampoco se conocen indicios sobre delincuencia juvenil ni problemas de conducta en la infancia, la versatilidad criminal es escasa centrándose en homicidio o estafa, y no hay revocación de la libertad condicional, afectando a la calificación de varios ítems. Las características más relevantes encontradas son las correspondientes al Factor 1 de interpersonal/afectivo, resaltando la mentira patológica, la manipulación, la ausencia de remordimientos y de empatía, el afecto superficial y la incapacidad para aceptar la responsabilidad de sus propios actos, a los que hay que añadir la conducta sexual promiscua y las frecuentes relaciones maritales de corta duración. Por todo esto, el Factor 2 de desviación social se queda mayormente desbancado, minimizando la puntuación total de tal manera que no se puede clasificar a estas mujeres como psicópatas. </w:t>
      </w:r>
      <w:r w:rsidR="00D263EE" w:rsidRPr="00FD4F4A">
        <w:rPr>
          <w:color w:val="000000" w:themeColor="text1"/>
          <w:lang w:val="es-ES_tradnl" w:eastAsia="es-ES_tradnl"/>
        </w:rPr>
        <w:t xml:space="preserve">Robert D. Hare propuso rebajar la puntuación de corte a 26, a pesar de esto, se puede comprobar que solo en el caso de Ana Julia llegaría a ella, siendo la única clasificada como psicópata. </w:t>
      </w:r>
      <w:r w:rsidRPr="00FD4F4A">
        <w:rPr>
          <w:color w:val="000000" w:themeColor="text1"/>
          <w:lang w:val="es-ES_tradnl" w:eastAsia="es-ES_tradnl"/>
        </w:rPr>
        <w:t xml:space="preserve">Con estas conclusiones, se enfatiza la importancia de la investigación y desarrollo de un instrumento de medida específico para el género femenino en la psicopatía. </w:t>
      </w:r>
    </w:p>
    <w:p w:rsidR="00757E3D" w:rsidRPr="00003DA1" w:rsidRDefault="00757E3D" w:rsidP="00003DA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color="000000"/>
          <w:lang w:val="es-ES_tradnl" w:eastAsia="es-ES_tradnl"/>
        </w:rPr>
      </w:pPr>
    </w:p>
    <w:p w:rsidR="00924C0D" w:rsidRPr="00924C0D" w:rsidRDefault="00924C0D" w:rsidP="00924C0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color w:val="000000"/>
          <w:u w:val="single"/>
          <w:lang w:val="es-ES_tradnl" w:eastAsia="es-ES_tradnl"/>
        </w:rPr>
      </w:pPr>
    </w:p>
    <w:p w:rsidR="00017D6D" w:rsidRDefault="00017D6D"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rPr>
          <w:rFonts w:ascii="Times New Roman" w:hAnsi="Times New Roman" w:cs="Times New Roman"/>
          <w:sz w:val="24"/>
          <w:szCs w:val="24"/>
        </w:rPr>
      </w:pPr>
    </w:p>
    <w:p w:rsidR="00CD678F" w:rsidRDefault="00CD678F" w:rsidP="006338AE">
      <w:pPr>
        <w:pStyle w:val="Cuerpo"/>
        <w:spacing w:line="360" w:lineRule="auto"/>
        <w:jc w:val="both"/>
      </w:pPr>
    </w:p>
    <w:p w:rsidR="00CD678F" w:rsidRDefault="00CD678F" w:rsidP="006338AE">
      <w:pPr>
        <w:pStyle w:val="Cuerpo"/>
        <w:spacing w:line="360" w:lineRule="auto"/>
        <w:jc w:val="both"/>
        <w:rPr>
          <w:rFonts w:ascii="Arial" w:hAnsi="Arial" w:cs="Arial"/>
          <w:caps/>
          <w:color w:val="111111"/>
          <w:sz w:val="20"/>
          <w:szCs w:val="20"/>
          <w:bdr w:val="none" w:sz="0" w:space="0" w:color="auto" w:frame="1"/>
          <w:shd w:val="clear" w:color="auto" w:fill="FFFFFF"/>
        </w:rPr>
      </w:pPr>
    </w:p>
    <w:sectPr w:rsidR="00CD678F" w:rsidSect="005B604A">
      <w:type w:val="continuous"/>
      <w:pgSz w:w="11906" w:h="16838"/>
      <w:pgMar w:top="1134" w:right="1134" w:bottom="1134" w:left="1134" w:header="709" w:footer="85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6DD7" w:rsidRDefault="00DC6DD7">
      <w:r>
        <w:separator/>
      </w:r>
    </w:p>
  </w:endnote>
  <w:endnote w:type="continuationSeparator" w:id="0">
    <w:p w:rsidR="00DC6DD7" w:rsidRDefault="00DC6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90738302"/>
      <w:docPartObj>
        <w:docPartGallery w:val="Page Numbers (Bottom of Page)"/>
        <w:docPartUnique/>
      </w:docPartObj>
    </w:sdtPr>
    <w:sdtEndPr>
      <w:rPr>
        <w:rStyle w:val="Nmerodepgina"/>
      </w:rPr>
    </w:sdtEndPr>
    <w:sdtContent>
      <w:p w:rsidR="00391779" w:rsidRDefault="00391779" w:rsidP="00207D3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391779" w:rsidRDefault="00391779" w:rsidP="00FE15D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923013627"/>
      <w:docPartObj>
        <w:docPartGallery w:val="Page Numbers (Bottom of Page)"/>
        <w:docPartUnique/>
      </w:docPartObj>
    </w:sdtPr>
    <w:sdtEndPr>
      <w:rPr>
        <w:rStyle w:val="Nmerodepgina"/>
      </w:rPr>
    </w:sdtEndPr>
    <w:sdtContent>
      <w:p w:rsidR="00391779" w:rsidRDefault="00391779" w:rsidP="00207D3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sdtContent>
  </w:sdt>
  <w:p w:rsidR="00391779" w:rsidRDefault="00391779" w:rsidP="00FE15D7">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6DD7" w:rsidRDefault="00DC6DD7">
      <w:r>
        <w:separator/>
      </w:r>
    </w:p>
  </w:footnote>
  <w:footnote w:type="continuationSeparator" w:id="0">
    <w:p w:rsidR="00DC6DD7" w:rsidRDefault="00DC6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1779" w:rsidRDefault="0039177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0A0CEF"/>
    <w:multiLevelType w:val="hybridMultilevel"/>
    <w:tmpl w:val="C9AA1876"/>
    <w:lvl w:ilvl="0" w:tplc="040A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19383F"/>
    <w:multiLevelType w:val="hybridMultilevel"/>
    <w:tmpl w:val="C6B49356"/>
    <w:lvl w:ilvl="0" w:tplc="227C684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CC0580E"/>
    <w:multiLevelType w:val="hybridMultilevel"/>
    <w:tmpl w:val="AD0AF6AC"/>
    <w:lvl w:ilvl="0" w:tplc="C3AA022A">
      <w:start w:val="1"/>
      <w:numFmt w:val="decimal"/>
      <w:lvlText w:val="%1"/>
      <w:lvlJc w:val="left"/>
      <w:pPr>
        <w:ind w:left="720" w:hanging="360"/>
      </w:pPr>
      <w:rPr>
        <w:rFonts w:ascii="Times New Roman" w:eastAsia="Arial Unicode MS"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BB86509"/>
    <w:multiLevelType w:val="hybridMultilevel"/>
    <w:tmpl w:val="A5BA730C"/>
    <w:lvl w:ilvl="0" w:tplc="040A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32D849A7"/>
    <w:multiLevelType w:val="hybridMultilevel"/>
    <w:tmpl w:val="17FA5A48"/>
    <w:numStyleLink w:val="Guion"/>
  </w:abstractNum>
  <w:abstractNum w:abstractNumId="6" w15:restartNumberingAfterBreak="0">
    <w:nsid w:val="45B45DA9"/>
    <w:multiLevelType w:val="hybridMultilevel"/>
    <w:tmpl w:val="9F8C298C"/>
    <w:lvl w:ilvl="0" w:tplc="470CE9F6">
      <w:start w:val="1"/>
      <w:numFmt w:val="decimal"/>
      <w:lvlText w:val="%1"/>
      <w:lvlJc w:val="left"/>
      <w:pPr>
        <w:ind w:left="720" w:hanging="360"/>
      </w:pPr>
      <w:rPr>
        <w:rFonts w:ascii="Times New Roman" w:eastAsia="Arial Unicode MS"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1EE4FEB"/>
    <w:multiLevelType w:val="hybridMultilevel"/>
    <w:tmpl w:val="CBEA60F8"/>
    <w:lvl w:ilvl="0" w:tplc="6BA6524E">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5EC0C2F"/>
    <w:multiLevelType w:val="hybridMultilevel"/>
    <w:tmpl w:val="24E0088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5CB0284F"/>
    <w:multiLevelType w:val="hybridMultilevel"/>
    <w:tmpl w:val="17FA5A48"/>
    <w:styleLink w:val="Guion"/>
    <w:lvl w:ilvl="0" w:tplc="DF5C64C4">
      <w:start w:val="1"/>
      <w:numFmt w:val="bullet"/>
      <w:lvlText w:val="-"/>
      <w:lvlJc w:val="left"/>
      <w:pPr>
        <w:ind w:left="2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1" w:tplc="0E46DDDC">
      <w:start w:val="1"/>
      <w:numFmt w:val="bullet"/>
      <w:lvlText w:val="-"/>
      <w:lvlJc w:val="left"/>
      <w:pPr>
        <w:ind w:left="5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2" w:tplc="FCF0143C">
      <w:start w:val="1"/>
      <w:numFmt w:val="bullet"/>
      <w:lvlText w:val="-"/>
      <w:lvlJc w:val="left"/>
      <w:pPr>
        <w:ind w:left="7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3" w:tplc="C706EF30">
      <w:start w:val="1"/>
      <w:numFmt w:val="bullet"/>
      <w:lvlText w:val="-"/>
      <w:lvlJc w:val="left"/>
      <w:pPr>
        <w:ind w:left="10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4" w:tplc="A7DAE1C6">
      <w:start w:val="1"/>
      <w:numFmt w:val="bullet"/>
      <w:lvlText w:val="-"/>
      <w:lvlJc w:val="left"/>
      <w:pPr>
        <w:ind w:left="124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5" w:tplc="F0A22C7C">
      <w:start w:val="1"/>
      <w:numFmt w:val="bullet"/>
      <w:lvlText w:val="-"/>
      <w:lvlJc w:val="left"/>
      <w:pPr>
        <w:ind w:left="14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6" w:tplc="E1E0ED22">
      <w:start w:val="1"/>
      <w:numFmt w:val="bullet"/>
      <w:lvlText w:val="-"/>
      <w:lvlJc w:val="left"/>
      <w:pPr>
        <w:ind w:left="17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7" w:tplc="E4620604">
      <w:start w:val="1"/>
      <w:numFmt w:val="bullet"/>
      <w:lvlText w:val="-"/>
      <w:lvlJc w:val="left"/>
      <w:pPr>
        <w:ind w:left="19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8" w:tplc="4AAE469E">
      <w:start w:val="1"/>
      <w:numFmt w:val="bullet"/>
      <w:lvlText w:val="-"/>
      <w:lvlJc w:val="left"/>
      <w:pPr>
        <w:ind w:left="22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abstractNum>
  <w:abstractNum w:abstractNumId="10" w15:restartNumberingAfterBreak="0">
    <w:nsid w:val="5DB531BA"/>
    <w:multiLevelType w:val="hybridMultilevel"/>
    <w:tmpl w:val="657845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F1C2063"/>
    <w:multiLevelType w:val="hybridMultilevel"/>
    <w:tmpl w:val="A71A142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9"/>
  </w:num>
  <w:num w:numId="2">
    <w:abstractNumId w:val="5"/>
  </w:num>
  <w:num w:numId="3">
    <w:abstractNumId w:val="5"/>
    <w:lvlOverride w:ilvl="0">
      <w:lvl w:ilvl="0" w:tplc="40F8BCFA">
        <w:start w:val="1"/>
        <w:numFmt w:val="bullet"/>
        <w:lvlText w:val="-"/>
        <w:lvlJc w:val="left"/>
        <w:pPr>
          <w:ind w:left="284" w:hanging="284"/>
        </w:pPr>
        <w:rPr>
          <w:rFonts w:hAnsi="Arial Unicode MS"/>
          <w:b/>
          <w:bCs/>
          <w:caps w:val="0"/>
          <w:smallCaps w:val="0"/>
          <w:strike w:val="0"/>
          <w:dstrike w:val="0"/>
          <w:outline w:val="0"/>
          <w:emboss w:val="0"/>
          <w:imprint w:val="0"/>
          <w:spacing w:val="0"/>
          <w:w w:val="100"/>
          <w:kern w:val="0"/>
          <w:position w:val="4"/>
          <w:sz w:val="31"/>
          <w:szCs w:val="31"/>
          <w:highlight w:val="none"/>
          <w:vertAlign w:val="baseline"/>
        </w:rPr>
      </w:lvl>
    </w:lvlOverride>
    <w:lvlOverride w:ilvl="1">
      <w:lvl w:ilvl="1" w:tplc="4DFC1996">
        <w:start w:val="1"/>
        <w:numFmt w:val="bullet"/>
        <w:lvlText w:val="-"/>
        <w:lvlJc w:val="left"/>
        <w:pPr>
          <w:ind w:left="524" w:hanging="284"/>
        </w:pPr>
        <w:rPr>
          <w:rFonts w:hAnsi="Arial Unicode MS"/>
          <w:b/>
          <w:bCs/>
          <w:caps w:val="0"/>
          <w:smallCaps w:val="0"/>
          <w:strike w:val="0"/>
          <w:dstrike w:val="0"/>
          <w:outline w:val="0"/>
          <w:emboss w:val="0"/>
          <w:imprint w:val="0"/>
          <w:spacing w:val="0"/>
          <w:w w:val="100"/>
          <w:kern w:val="0"/>
          <w:position w:val="4"/>
          <w:sz w:val="31"/>
          <w:szCs w:val="31"/>
          <w:highlight w:val="none"/>
          <w:vertAlign w:val="baseline"/>
        </w:rPr>
      </w:lvl>
    </w:lvlOverride>
    <w:lvlOverride w:ilvl="2">
      <w:lvl w:ilvl="2" w:tplc="F39C44BA">
        <w:start w:val="1"/>
        <w:numFmt w:val="bullet"/>
        <w:lvlText w:val="-"/>
        <w:lvlJc w:val="left"/>
        <w:pPr>
          <w:ind w:left="764" w:hanging="284"/>
        </w:pPr>
        <w:rPr>
          <w:rFonts w:hAnsi="Arial Unicode MS"/>
          <w:b/>
          <w:bCs/>
          <w:caps w:val="0"/>
          <w:smallCaps w:val="0"/>
          <w:strike w:val="0"/>
          <w:dstrike w:val="0"/>
          <w:outline w:val="0"/>
          <w:emboss w:val="0"/>
          <w:imprint w:val="0"/>
          <w:spacing w:val="0"/>
          <w:w w:val="100"/>
          <w:kern w:val="0"/>
          <w:position w:val="4"/>
          <w:sz w:val="31"/>
          <w:szCs w:val="31"/>
          <w:highlight w:val="none"/>
          <w:vertAlign w:val="baseline"/>
        </w:rPr>
      </w:lvl>
    </w:lvlOverride>
    <w:lvlOverride w:ilvl="3">
      <w:lvl w:ilvl="3" w:tplc="EAFEC0F6">
        <w:start w:val="1"/>
        <w:numFmt w:val="bullet"/>
        <w:lvlText w:val="-"/>
        <w:lvlJc w:val="left"/>
        <w:pPr>
          <w:ind w:left="1004" w:hanging="284"/>
        </w:pPr>
        <w:rPr>
          <w:rFonts w:hAnsi="Arial Unicode MS"/>
          <w:b/>
          <w:bCs/>
          <w:caps w:val="0"/>
          <w:smallCaps w:val="0"/>
          <w:strike w:val="0"/>
          <w:dstrike w:val="0"/>
          <w:outline w:val="0"/>
          <w:emboss w:val="0"/>
          <w:imprint w:val="0"/>
          <w:spacing w:val="0"/>
          <w:w w:val="100"/>
          <w:kern w:val="0"/>
          <w:position w:val="4"/>
          <w:sz w:val="31"/>
          <w:szCs w:val="31"/>
          <w:highlight w:val="none"/>
          <w:vertAlign w:val="baseline"/>
        </w:rPr>
      </w:lvl>
    </w:lvlOverride>
    <w:lvlOverride w:ilvl="4">
      <w:lvl w:ilvl="4" w:tplc="48DA4B48">
        <w:start w:val="1"/>
        <w:numFmt w:val="bullet"/>
        <w:lvlText w:val="-"/>
        <w:lvlJc w:val="left"/>
        <w:pPr>
          <w:ind w:left="1244" w:hanging="284"/>
        </w:pPr>
        <w:rPr>
          <w:rFonts w:hAnsi="Arial Unicode MS"/>
          <w:b/>
          <w:bCs/>
          <w:caps w:val="0"/>
          <w:smallCaps w:val="0"/>
          <w:strike w:val="0"/>
          <w:dstrike w:val="0"/>
          <w:outline w:val="0"/>
          <w:emboss w:val="0"/>
          <w:imprint w:val="0"/>
          <w:spacing w:val="0"/>
          <w:w w:val="100"/>
          <w:kern w:val="0"/>
          <w:position w:val="4"/>
          <w:sz w:val="31"/>
          <w:szCs w:val="31"/>
          <w:highlight w:val="none"/>
          <w:vertAlign w:val="baseline"/>
        </w:rPr>
      </w:lvl>
    </w:lvlOverride>
    <w:lvlOverride w:ilvl="5">
      <w:lvl w:ilvl="5" w:tplc="695C73DE">
        <w:start w:val="1"/>
        <w:numFmt w:val="bullet"/>
        <w:lvlText w:val="-"/>
        <w:lvlJc w:val="left"/>
        <w:pPr>
          <w:ind w:left="1484" w:hanging="284"/>
        </w:pPr>
        <w:rPr>
          <w:rFonts w:hAnsi="Arial Unicode MS"/>
          <w:b/>
          <w:bCs/>
          <w:caps w:val="0"/>
          <w:smallCaps w:val="0"/>
          <w:strike w:val="0"/>
          <w:dstrike w:val="0"/>
          <w:outline w:val="0"/>
          <w:emboss w:val="0"/>
          <w:imprint w:val="0"/>
          <w:spacing w:val="0"/>
          <w:w w:val="100"/>
          <w:kern w:val="0"/>
          <w:position w:val="4"/>
          <w:sz w:val="31"/>
          <w:szCs w:val="31"/>
          <w:highlight w:val="none"/>
          <w:vertAlign w:val="baseline"/>
        </w:rPr>
      </w:lvl>
    </w:lvlOverride>
    <w:lvlOverride w:ilvl="6">
      <w:lvl w:ilvl="6" w:tplc="769E1520">
        <w:start w:val="1"/>
        <w:numFmt w:val="bullet"/>
        <w:lvlText w:val="-"/>
        <w:lvlJc w:val="left"/>
        <w:pPr>
          <w:ind w:left="1724" w:hanging="284"/>
        </w:pPr>
        <w:rPr>
          <w:rFonts w:hAnsi="Arial Unicode MS"/>
          <w:b/>
          <w:bCs/>
          <w:caps w:val="0"/>
          <w:smallCaps w:val="0"/>
          <w:strike w:val="0"/>
          <w:dstrike w:val="0"/>
          <w:outline w:val="0"/>
          <w:emboss w:val="0"/>
          <w:imprint w:val="0"/>
          <w:spacing w:val="0"/>
          <w:w w:val="100"/>
          <w:kern w:val="0"/>
          <w:position w:val="4"/>
          <w:sz w:val="31"/>
          <w:szCs w:val="31"/>
          <w:highlight w:val="none"/>
          <w:vertAlign w:val="baseline"/>
        </w:rPr>
      </w:lvl>
    </w:lvlOverride>
    <w:lvlOverride w:ilvl="7">
      <w:lvl w:ilvl="7" w:tplc="E9669E72">
        <w:start w:val="1"/>
        <w:numFmt w:val="bullet"/>
        <w:lvlText w:val="-"/>
        <w:lvlJc w:val="left"/>
        <w:pPr>
          <w:ind w:left="1964" w:hanging="284"/>
        </w:pPr>
        <w:rPr>
          <w:rFonts w:hAnsi="Arial Unicode MS"/>
          <w:b/>
          <w:bCs/>
          <w:caps w:val="0"/>
          <w:smallCaps w:val="0"/>
          <w:strike w:val="0"/>
          <w:dstrike w:val="0"/>
          <w:outline w:val="0"/>
          <w:emboss w:val="0"/>
          <w:imprint w:val="0"/>
          <w:spacing w:val="0"/>
          <w:w w:val="100"/>
          <w:kern w:val="0"/>
          <w:position w:val="4"/>
          <w:sz w:val="31"/>
          <w:szCs w:val="31"/>
          <w:highlight w:val="none"/>
          <w:vertAlign w:val="baseline"/>
        </w:rPr>
      </w:lvl>
    </w:lvlOverride>
    <w:lvlOverride w:ilvl="8">
      <w:lvl w:ilvl="8" w:tplc="120A7E02">
        <w:start w:val="1"/>
        <w:numFmt w:val="bullet"/>
        <w:lvlText w:val="-"/>
        <w:lvlJc w:val="left"/>
        <w:pPr>
          <w:ind w:left="2204" w:hanging="284"/>
        </w:pPr>
        <w:rPr>
          <w:rFonts w:hAnsi="Arial Unicode MS"/>
          <w:b/>
          <w:bCs/>
          <w:caps w:val="0"/>
          <w:smallCaps w:val="0"/>
          <w:strike w:val="0"/>
          <w:dstrike w:val="0"/>
          <w:outline w:val="0"/>
          <w:emboss w:val="0"/>
          <w:imprint w:val="0"/>
          <w:spacing w:val="0"/>
          <w:w w:val="100"/>
          <w:kern w:val="0"/>
          <w:position w:val="4"/>
          <w:sz w:val="31"/>
          <w:szCs w:val="31"/>
          <w:highlight w:val="none"/>
          <w:vertAlign w:val="baseline"/>
        </w:rPr>
      </w:lvl>
    </w:lvlOverride>
  </w:num>
  <w:num w:numId="4">
    <w:abstractNumId w:val="11"/>
  </w:num>
  <w:num w:numId="5">
    <w:abstractNumId w:val="2"/>
  </w:num>
  <w:num w:numId="6">
    <w:abstractNumId w:val="6"/>
  </w:num>
  <w:num w:numId="7">
    <w:abstractNumId w:val="7"/>
  </w:num>
  <w:num w:numId="8">
    <w:abstractNumId w:val="3"/>
  </w:num>
  <w:num w:numId="9">
    <w:abstractNumId w:val="10"/>
  </w:num>
  <w:num w:numId="10">
    <w:abstractNumId w:val="0"/>
  </w:num>
  <w:num w:numId="11">
    <w:abstractNumId w:val="4"/>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4AC1"/>
    <w:rsid w:val="00000559"/>
    <w:rsid w:val="00003DA1"/>
    <w:rsid w:val="00017D6D"/>
    <w:rsid w:val="000428BD"/>
    <w:rsid w:val="00046077"/>
    <w:rsid w:val="000770E5"/>
    <w:rsid w:val="00090D65"/>
    <w:rsid w:val="000C36A1"/>
    <w:rsid w:val="000C684C"/>
    <w:rsid w:val="000D0544"/>
    <w:rsid w:val="000E5B7F"/>
    <w:rsid w:val="00111D44"/>
    <w:rsid w:val="00120F94"/>
    <w:rsid w:val="00126BA8"/>
    <w:rsid w:val="001408A6"/>
    <w:rsid w:val="001428F2"/>
    <w:rsid w:val="00153449"/>
    <w:rsid w:val="00175448"/>
    <w:rsid w:val="00186B44"/>
    <w:rsid w:val="001A355F"/>
    <w:rsid w:val="001D7935"/>
    <w:rsid w:val="001E33D8"/>
    <w:rsid w:val="001E4184"/>
    <w:rsid w:val="00203B33"/>
    <w:rsid w:val="00207D3C"/>
    <w:rsid w:val="00274075"/>
    <w:rsid w:val="002A0212"/>
    <w:rsid w:val="002A35F1"/>
    <w:rsid w:val="002A4973"/>
    <w:rsid w:val="002A5579"/>
    <w:rsid w:val="002C24EE"/>
    <w:rsid w:val="00300764"/>
    <w:rsid w:val="0032288C"/>
    <w:rsid w:val="00334009"/>
    <w:rsid w:val="003445EC"/>
    <w:rsid w:val="003456DC"/>
    <w:rsid w:val="003537D5"/>
    <w:rsid w:val="00374B51"/>
    <w:rsid w:val="00376ED2"/>
    <w:rsid w:val="003773B5"/>
    <w:rsid w:val="003915DD"/>
    <w:rsid w:val="00391779"/>
    <w:rsid w:val="0039626C"/>
    <w:rsid w:val="003A166F"/>
    <w:rsid w:val="003B1160"/>
    <w:rsid w:val="003D3913"/>
    <w:rsid w:val="003F5D5A"/>
    <w:rsid w:val="00404B7B"/>
    <w:rsid w:val="00450029"/>
    <w:rsid w:val="004A72B1"/>
    <w:rsid w:val="004A79CD"/>
    <w:rsid w:val="005057DA"/>
    <w:rsid w:val="00510B91"/>
    <w:rsid w:val="00524FF5"/>
    <w:rsid w:val="00547E3E"/>
    <w:rsid w:val="00565D42"/>
    <w:rsid w:val="005A25C9"/>
    <w:rsid w:val="005B4993"/>
    <w:rsid w:val="005B604A"/>
    <w:rsid w:val="005E2229"/>
    <w:rsid w:val="005E3E80"/>
    <w:rsid w:val="005F2033"/>
    <w:rsid w:val="005F70F9"/>
    <w:rsid w:val="005F73BC"/>
    <w:rsid w:val="00613A04"/>
    <w:rsid w:val="006338AE"/>
    <w:rsid w:val="006363DD"/>
    <w:rsid w:val="00651464"/>
    <w:rsid w:val="00672EAC"/>
    <w:rsid w:val="00674FE7"/>
    <w:rsid w:val="00685FE7"/>
    <w:rsid w:val="00693458"/>
    <w:rsid w:val="006A1CDB"/>
    <w:rsid w:val="006A62BE"/>
    <w:rsid w:val="006B35F0"/>
    <w:rsid w:val="006C7601"/>
    <w:rsid w:val="006D2E52"/>
    <w:rsid w:val="006F79E1"/>
    <w:rsid w:val="00712806"/>
    <w:rsid w:val="0072099F"/>
    <w:rsid w:val="00757E3D"/>
    <w:rsid w:val="00763588"/>
    <w:rsid w:val="007936FB"/>
    <w:rsid w:val="007C5C26"/>
    <w:rsid w:val="007D10A2"/>
    <w:rsid w:val="007D4A36"/>
    <w:rsid w:val="007F75C0"/>
    <w:rsid w:val="00807572"/>
    <w:rsid w:val="00815ED4"/>
    <w:rsid w:val="00833C7B"/>
    <w:rsid w:val="00851A57"/>
    <w:rsid w:val="008616B1"/>
    <w:rsid w:val="008806E3"/>
    <w:rsid w:val="00895AFD"/>
    <w:rsid w:val="008A491D"/>
    <w:rsid w:val="008B266E"/>
    <w:rsid w:val="008B56EC"/>
    <w:rsid w:val="008C4771"/>
    <w:rsid w:val="008C6361"/>
    <w:rsid w:val="008D64CF"/>
    <w:rsid w:val="008E60AB"/>
    <w:rsid w:val="008F336D"/>
    <w:rsid w:val="00924C0D"/>
    <w:rsid w:val="00976115"/>
    <w:rsid w:val="009928D8"/>
    <w:rsid w:val="00996E33"/>
    <w:rsid w:val="009A104A"/>
    <w:rsid w:val="009C0646"/>
    <w:rsid w:val="009D741A"/>
    <w:rsid w:val="009E79C1"/>
    <w:rsid w:val="009F4391"/>
    <w:rsid w:val="009F5C74"/>
    <w:rsid w:val="00A10062"/>
    <w:rsid w:val="00A140D2"/>
    <w:rsid w:val="00AD27CE"/>
    <w:rsid w:val="00AD37E7"/>
    <w:rsid w:val="00AD5F67"/>
    <w:rsid w:val="00AE4A2C"/>
    <w:rsid w:val="00AF27A2"/>
    <w:rsid w:val="00B30A28"/>
    <w:rsid w:val="00B36FB8"/>
    <w:rsid w:val="00B478B3"/>
    <w:rsid w:val="00B9060D"/>
    <w:rsid w:val="00C47223"/>
    <w:rsid w:val="00C51D2A"/>
    <w:rsid w:val="00C70F4F"/>
    <w:rsid w:val="00C754F5"/>
    <w:rsid w:val="00C759CE"/>
    <w:rsid w:val="00C879D4"/>
    <w:rsid w:val="00C96094"/>
    <w:rsid w:val="00CA138B"/>
    <w:rsid w:val="00CB4CF5"/>
    <w:rsid w:val="00CB7B00"/>
    <w:rsid w:val="00CC6431"/>
    <w:rsid w:val="00CC72C2"/>
    <w:rsid w:val="00CD3180"/>
    <w:rsid w:val="00CD678F"/>
    <w:rsid w:val="00CF12E7"/>
    <w:rsid w:val="00D059AA"/>
    <w:rsid w:val="00D1003C"/>
    <w:rsid w:val="00D1400B"/>
    <w:rsid w:val="00D17B23"/>
    <w:rsid w:val="00D21C31"/>
    <w:rsid w:val="00D263EE"/>
    <w:rsid w:val="00D43361"/>
    <w:rsid w:val="00D938FB"/>
    <w:rsid w:val="00DA6B8D"/>
    <w:rsid w:val="00DC6DD7"/>
    <w:rsid w:val="00DF0147"/>
    <w:rsid w:val="00DF29A2"/>
    <w:rsid w:val="00E24DE6"/>
    <w:rsid w:val="00E34AC1"/>
    <w:rsid w:val="00E351A6"/>
    <w:rsid w:val="00E50D32"/>
    <w:rsid w:val="00E65122"/>
    <w:rsid w:val="00E72DC7"/>
    <w:rsid w:val="00E87DCC"/>
    <w:rsid w:val="00E958E7"/>
    <w:rsid w:val="00EB420C"/>
    <w:rsid w:val="00EC61B7"/>
    <w:rsid w:val="00ED0D97"/>
    <w:rsid w:val="00EF4912"/>
    <w:rsid w:val="00EF4B90"/>
    <w:rsid w:val="00F21754"/>
    <w:rsid w:val="00F274AB"/>
    <w:rsid w:val="00F5015F"/>
    <w:rsid w:val="00F601D6"/>
    <w:rsid w:val="00F702E1"/>
    <w:rsid w:val="00FB32A7"/>
    <w:rsid w:val="00FC331E"/>
    <w:rsid w:val="00FC37DB"/>
    <w:rsid w:val="00FD4F4A"/>
    <w:rsid w:val="00FD6EC0"/>
    <w:rsid w:val="00FE15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F1E2E"/>
  <w15:docId w15:val="{7653763A-55AC-D541-892A-0F998E05F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s-ES" w:eastAsia="es-ES_trad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7E7"/>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uerpo">
    <w:name w:val="Cuerpo"/>
    <w:rPr>
      <w:rFonts w:ascii="Helvetica Neue" w:hAnsi="Helvetica Neue" w:cs="Arial Unicode MS"/>
      <w:color w:val="000000"/>
      <w:sz w:val="22"/>
      <w:szCs w:val="22"/>
      <w:lang w:val="es-ES_tradnl"/>
      <w14:textOutline w14:w="0" w14:cap="flat" w14:cmpd="sng" w14:algn="ctr">
        <w14:noFill/>
        <w14:prstDash w14:val="solid"/>
        <w14:bevel/>
      </w14:textOutline>
    </w:rPr>
  </w:style>
  <w:style w:type="numbering" w:customStyle="1" w:styleId="Guion">
    <w:name w:val="Guion"/>
    <w:pPr>
      <w:numPr>
        <w:numId w:val="1"/>
      </w:numPr>
    </w:pPr>
  </w:style>
  <w:style w:type="paragraph" w:customStyle="1" w:styleId="Poromisin">
    <w:name w:val="Por omisión"/>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Ninguno">
    <w:name w:val="Ninguno"/>
  </w:style>
  <w:style w:type="paragraph" w:styleId="Piedepgina">
    <w:name w:val="footer"/>
    <w:basedOn w:val="Normal"/>
    <w:link w:val="PiedepginaCar"/>
    <w:uiPriority w:val="99"/>
    <w:unhideWhenUsed/>
    <w:rsid w:val="00FE15D7"/>
    <w:pPr>
      <w:tabs>
        <w:tab w:val="center" w:pos="4419"/>
        <w:tab w:val="right" w:pos="8838"/>
      </w:tabs>
    </w:pPr>
  </w:style>
  <w:style w:type="character" w:customStyle="1" w:styleId="PiedepginaCar">
    <w:name w:val="Pie de página Car"/>
    <w:basedOn w:val="Fuentedeprrafopredeter"/>
    <w:link w:val="Piedepgina"/>
    <w:uiPriority w:val="99"/>
    <w:rsid w:val="00FE15D7"/>
    <w:rPr>
      <w:sz w:val="24"/>
      <w:szCs w:val="24"/>
      <w:lang w:val="en-US" w:eastAsia="en-US"/>
    </w:rPr>
  </w:style>
  <w:style w:type="character" w:styleId="Nmerodepgina">
    <w:name w:val="page number"/>
    <w:basedOn w:val="Fuentedeprrafopredeter"/>
    <w:uiPriority w:val="99"/>
    <w:semiHidden/>
    <w:unhideWhenUsed/>
    <w:rsid w:val="00FE15D7"/>
  </w:style>
  <w:style w:type="paragraph" w:styleId="Textodeglobo">
    <w:name w:val="Balloon Text"/>
    <w:basedOn w:val="Normal"/>
    <w:link w:val="TextodegloboCar"/>
    <w:uiPriority w:val="99"/>
    <w:semiHidden/>
    <w:unhideWhenUsed/>
    <w:rsid w:val="005E2229"/>
    <w:rPr>
      <w:rFonts w:ascii="Tahoma" w:hAnsi="Tahoma" w:cs="Tahoma"/>
      <w:sz w:val="16"/>
      <w:szCs w:val="16"/>
    </w:rPr>
  </w:style>
  <w:style w:type="character" w:customStyle="1" w:styleId="TextodegloboCar">
    <w:name w:val="Texto de globo Car"/>
    <w:basedOn w:val="Fuentedeprrafopredeter"/>
    <w:link w:val="Textodeglobo"/>
    <w:uiPriority w:val="99"/>
    <w:semiHidden/>
    <w:rsid w:val="005E2229"/>
    <w:rPr>
      <w:rFonts w:ascii="Tahoma" w:hAnsi="Tahoma" w:cs="Tahoma"/>
      <w:sz w:val="16"/>
      <w:szCs w:val="16"/>
      <w:lang w:val="en-US" w:eastAsia="en-US"/>
    </w:rPr>
  </w:style>
  <w:style w:type="table" w:styleId="Tablaconcuadrcula">
    <w:name w:val="Table Grid"/>
    <w:basedOn w:val="Tablanormal"/>
    <w:uiPriority w:val="39"/>
    <w:rsid w:val="005E22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017D6D"/>
  </w:style>
  <w:style w:type="paragraph" w:styleId="Sinespaciado">
    <w:name w:val="No Spacing"/>
    <w:link w:val="SinespaciadoCar"/>
    <w:uiPriority w:val="1"/>
    <w:qFormat/>
    <w:rsid w:val="00090D65"/>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val="en-US" w:eastAsia="zh-CN"/>
    </w:rPr>
  </w:style>
  <w:style w:type="character" w:customStyle="1" w:styleId="SinespaciadoCar">
    <w:name w:val="Sin espaciado Car"/>
    <w:basedOn w:val="Fuentedeprrafopredeter"/>
    <w:link w:val="Sinespaciado"/>
    <w:uiPriority w:val="1"/>
    <w:rsid w:val="00090D65"/>
    <w:rPr>
      <w:rFonts w:asciiTheme="minorHAnsi" w:eastAsiaTheme="minorEastAsia" w:hAnsiTheme="minorHAnsi" w:cstheme="minorBidi"/>
      <w:sz w:val="22"/>
      <w:szCs w:val="22"/>
      <w:bdr w:val="none" w:sz="0" w:space="0" w:color="auto"/>
      <w:lang w:val="en-US" w:eastAsia="zh-CN"/>
    </w:rPr>
  </w:style>
  <w:style w:type="paragraph" w:styleId="ndice1">
    <w:name w:val="index 1"/>
    <w:basedOn w:val="Normal"/>
    <w:next w:val="Normal"/>
    <w:autoRedefine/>
    <w:uiPriority w:val="99"/>
    <w:unhideWhenUsed/>
    <w:rsid w:val="00126BA8"/>
    <w:pPr>
      <w:tabs>
        <w:tab w:val="right" w:leader="dot" w:pos="9628"/>
      </w:tabs>
      <w:spacing w:line="360" w:lineRule="auto"/>
      <w:ind w:left="240" w:hanging="240"/>
      <w:jc w:val="both"/>
    </w:pPr>
    <w:rPr>
      <w:bCs/>
      <w:noProof/>
    </w:rPr>
  </w:style>
  <w:style w:type="paragraph" w:styleId="ndice2">
    <w:name w:val="index 2"/>
    <w:basedOn w:val="Normal"/>
    <w:next w:val="Normal"/>
    <w:autoRedefine/>
    <w:uiPriority w:val="99"/>
    <w:unhideWhenUsed/>
    <w:rsid w:val="005F2033"/>
    <w:pPr>
      <w:ind w:left="480" w:hanging="240"/>
    </w:pPr>
    <w:rPr>
      <w:rFonts w:asciiTheme="minorHAnsi" w:hAnsiTheme="minorHAnsi"/>
      <w:sz w:val="20"/>
      <w:szCs w:val="20"/>
    </w:rPr>
  </w:style>
  <w:style w:type="paragraph" w:styleId="ndice3">
    <w:name w:val="index 3"/>
    <w:basedOn w:val="Normal"/>
    <w:next w:val="Normal"/>
    <w:autoRedefine/>
    <w:uiPriority w:val="99"/>
    <w:unhideWhenUsed/>
    <w:rsid w:val="005F2033"/>
    <w:pPr>
      <w:ind w:left="720" w:hanging="240"/>
    </w:pPr>
    <w:rPr>
      <w:rFonts w:asciiTheme="minorHAnsi" w:hAnsiTheme="minorHAnsi"/>
      <w:sz w:val="20"/>
      <w:szCs w:val="20"/>
    </w:rPr>
  </w:style>
  <w:style w:type="paragraph" w:styleId="ndice4">
    <w:name w:val="index 4"/>
    <w:basedOn w:val="Normal"/>
    <w:next w:val="Normal"/>
    <w:autoRedefine/>
    <w:uiPriority w:val="99"/>
    <w:unhideWhenUsed/>
    <w:rsid w:val="005F2033"/>
    <w:pPr>
      <w:ind w:left="960" w:hanging="240"/>
    </w:pPr>
    <w:rPr>
      <w:rFonts w:asciiTheme="minorHAnsi" w:hAnsiTheme="minorHAnsi"/>
      <w:sz w:val="20"/>
      <w:szCs w:val="20"/>
    </w:rPr>
  </w:style>
  <w:style w:type="paragraph" w:styleId="ndice5">
    <w:name w:val="index 5"/>
    <w:basedOn w:val="Normal"/>
    <w:next w:val="Normal"/>
    <w:autoRedefine/>
    <w:uiPriority w:val="99"/>
    <w:unhideWhenUsed/>
    <w:rsid w:val="005F2033"/>
    <w:pPr>
      <w:ind w:left="1200" w:hanging="240"/>
    </w:pPr>
    <w:rPr>
      <w:rFonts w:asciiTheme="minorHAnsi" w:hAnsiTheme="minorHAnsi"/>
      <w:sz w:val="20"/>
      <w:szCs w:val="20"/>
    </w:rPr>
  </w:style>
  <w:style w:type="paragraph" w:styleId="ndice6">
    <w:name w:val="index 6"/>
    <w:basedOn w:val="Normal"/>
    <w:next w:val="Normal"/>
    <w:autoRedefine/>
    <w:uiPriority w:val="99"/>
    <w:unhideWhenUsed/>
    <w:rsid w:val="005F2033"/>
    <w:pPr>
      <w:ind w:left="1440" w:hanging="240"/>
    </w:pPr>
    <w:rPr>
      <w:rFonts w:asciiTheme="minorHAnsi" w:hAnsiTheme="minorHAnsi"/>
      <w:sz w:val="20"/>
      <w:szCs w:val="20"/>
    </w:rPr>
  </w:style>
  <w:style w:type="paragraph" w:styleId="ndice7">
    <w:name w:val="index 7"/>
    <w:basedOn w:val="Normal"/>
    <w:next w:val="Normal"/>
    <w:autoRedefine/>
    <w:uiPriority w:val="99"/>
    <w:unhideWhenUsed/>
    <w:rsid w:val="005F2033"/>
    <w:pPr>
      <w:ind w:left="1680" w:hanging="240"/>
    </w:pPr>
    <w:rPr>
      <w:rFonts w:asciiTheme="minorHAnsi" w:hAnsiTheme="minorHAnsi"/>
      <w:sz w:val="20"/>
      <w:szCs w:val="20"/>
    </w:rPr>
  </w:style>
  <w:style w:type="paragraph" w:styleId="ndice8">
    <w:name w:val="index 8"/>
    <w:basedOn w:val="Normal"/>
    <w:next w:val="Normal"/>
    <w:autoRedefine/>
    <w:uiPriority w:val="99"/>
    <w:unhideWhenUsed/>
    <w:rsid w:val="005F2033"/>
    <w:pPr>
      <w:ind w:left="1920" w:hanging="240"/>
    </w:pPr>
    <w:rPr>
      <w:rFonts w:asciiTheme="minorHAnsi" w:hAnsiTheme="minorHAnsi"/>
      <w:sz w:val="20"/>
      <w:szCs w:val="20"/>
    </w:rPr>
  </w:style>
  <w:style w:type="paragraph" w:styleId="ndice9">
    <w:name w:val="index 9"/>
    <w:basedOn w:val="Normal"/>
    <w:next w:val="Normal"/>
    <w:autoRedefine/>
    <w:uiPriority w:val="99"/>
    <w:unhideWhenUsed/>
    <w:rsid w:val="005F2033"/>
    <w:pPr>
      <w:ind w:left="2160" w:hanging="240"/>
    </w:pPr>
    <w:rPr>
      <w:rFonts w:asciiTheme="minorHAnsi" w:hAnsiTheme="minorHAnsi"/>
      <w:sz w:val="20"/>
      <w:szCs w:val="20"/>
    </w:rPr>
  </w:style>
  <w:style w:type="paragraph" w:styleId="Ttulodendice">
    <w:name w:val="index heading"/>
    <w:basedOn w:val="Normal"/>
    <w:next w:val="ndice1"/>
    <w:uiPriority w:val="99"/>
    <w:unhideWhenUsed/>
    <w:rsid w:val="005F2033"/>
    <w:pPr>
      <w:spacing w:before="120" w:after="120"/>
    </w:pPr>
    <w:rPr>
      <w:rFonts w:asciiTheme="minorHAnsi" w:hAnsiTheme="minorHAnsi"/>
      <w:b/>
      <w:bCs/>
      <w:i/>
      <w:iCs/>
      <w:sz w:val="20"/>
      <w:szCs w:val="20"/>
    </w:rPr>
  </w:style>
  <w:style w:type="paragraph" w:styleId="Prrafodelista">
    <w:name w:val="List Paragraph"/>
    <w:basedOn w:val="Normal"/>
    <w:uiPriority w:val="34"/>
    <w:qFormat/>
    <w:rsid w:val="00003DA1"/>
    <w:pPr>
      <w:ind w:left="720"/>
      <w:contextualSpacing/>
    </w:pPr>
  </w:style>
  <w:style w:type="character" w:customStyle="1" w:styleId="foto-texto">
    <w:name w:val="foto-texto"/>
    <w:basedOn w:val="Fuentedeprrafopredeter"/>
    <w:rsid w:val="00CD678F"/>
  </w:style>
  <w:style w:type="character" w:customStyle="1" w:styleId="foto-autor">
    <w:name w:val="foto-autor"/>
    <w:basedOn w:val="Fuentedeprrafopredeter"/>
    <w:rsid w:val="00CD678F"/>
  </w:style>
  <w:style w:type="character" w:customStyle="1" w:styleId="source">
    <w:name w:val="source"/>
    <w:basedOn w:val="Fuentedeprrafopredeter"/>
    <w:rsid w:val="00CD678F"/>
  </w:style>
  <w:style w:type="character" w:customStyle="1" w:styleId="author">
    <w:name w:val="author"/>
    <w:basedOn w:val="Fuentedeprrafopredeter"/>
    <w:rsid w:val="00CD678F"/>
  </w:style>
  <w:style w:type="character" w:customStyle="1" w:styleId="credits">
    <w:name w:val="credits"/>
    <w:basedOn w:val="Fuentedeprrafopredeter"/>
    <w:rsid w:val="00613A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268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terior.gob.es/documents/10180/8736571/INFORME+HOMICIDIOS+2010_2012.pdf/b691a55e-af23-4e91-b948-6c938caa8cdd"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jpeg"/><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Tutora: Lucía Halty Barrutia</Abstract>
  <CompanyAddress/>
  <CompanyPhone/>
  <CompanyFax/>
  <CompanyEmail>Universidad Pontificia de Comillas</CompanyEmail>
</CoverPageProperties>
</file>

<file path=customXml/item2.xml><?xml version="1.0" encoding="utf-8"?>
<b:Sources xmlns:b="http://schemas.openxmlformats.org/officeDocument/2006/bibliography" xmlns="http://schemas.openxmlformats.org/officeDocument/2006/bibliography" SelectedStyle="\APA.XSL" StyleName="APA">
  <b:Source>
    <b:Tag>Ver06</b:Tag>
    <b:SourceType>BookSection</b:SourceType>
    <b:Guid>{14A01B56-70F1-A74B-8BBB-B2518C338FFD}</b:Guid>
    <b:Title>Psychopathy in Women</b:Title>
    <b:Year>2006</b:Year>
    <b:City>New York</b:City>
    <b:Publisher>The Guilford Press</b:Publisher>
    <b:BookTitle>Handbook of Psychopathy</b:BookTitle>
    <b:Pages>415-436</b:Pages>
    <b:Author>
      <b:Author>
        <b:NameList>
          <b:Person>
            <b:Last>Verona</b:Last>
            <b:First>Edelyn</b:First>
          </b:Person>
          <b:Person>
            <b:Last>Vitale</b:Last>
            <b:First>Jennifer</b:First>
          </b:Person>
        </b:NameList>
      </b:Author>
      <b:BookAuthor>
        <b:NameList>
          <b:Person>
            <b:Last>Patrick</b:Last>
            <b:First>Christopher J.</b:First>
          </b:Person>
        </b:NameList>
      </b:BookAuthor>
    </b:Author>
    <b:RefOrder>2</b:RefOrder>
  </b:Source>
  <b:Source>
    <b:Tag>Har93</b:Tag>
    <b:SourceType>Book</b:SourceType>
    <b:Guid>{B51424BE-F579-F54A-9918-E0D1936D94DD}</b:Guid>
    <b:Title>Without Consciente</b:Title>
    <b:City>New York</b:City>
    <b:Publisher>The Guilford Press</b:Publisher>
    <b:Year>1993</b:Year>
    <b:Author>
      <b:Author>
        <b:NameList>
          <b:Person>
            <b:Last>Hare</b:Last>
            <b:First>Robert D.</b:First>
          </b:Person>
        </b:NameList>
      </b:Author>
    </b:Author>
    <b:RefOrder>3</b:RefOrder>
  </b:Source>
  <b:Source>
    <b:Tag>Cuq02</b:Tag>
    <b:SourceType>JournalArticle</b:SourceType>
    <b:Guid>{3938F16E-25A9-154A-9FF0-5B7E1B2BBB57}</b:Guid>
    <b:Title>Evaluación forense de la psicopatía mediante la Psychopathy Checklist Screening Version. Peligrosidad del psicópata: pronóstico, perfiles criminales en el escenario del crimen.</b:Title>
    <b:Year>2002</b:Year>
    <b:JournalName>Publicaciones Ministerio de Justicia</b:JournalName>
    <b:Author>
      <b:Author>
        <b:NameList>
          <b:Person>
            <b:Last>Cuquerella Fuentes</b:Last>
            <b:First>Ángel</b:First>
          </b:Person>
          <b:Person>
            <b:Last>Subirana Domènech</b:Last>
            <b:First>Mercé</b:First>
          </b:Person>
          <b:Person>
            <b:Last>Mohíno Justes</b:Last>
            <b:First>Susana</b:First>
          </b:Person>
        </b:NameList>
      </b:Author>
    </b:Author>
    <b:RefOrder>4</b:RefOrder>
  </b:Source>
  <b:Source>
    <b:Tag>Lóp09</b:Tag>
    <b:SourceType>JournalArticle</b:SourceType>
    <b:Guid>{D5B6D16A-EEB2-3044-8C16-F3FAAA48F5EE}</b:Guid>
    <b:Title>Psicopatía versus trastorno antisocial de la personalidad</b:Title>
    <b:JournalName>Revista Española de Investigación Criminológica</b:JournalName>
    <b:Year>2009</b:Year>
    <b:Pages>1-17</b:Pages>
    <b:Author>
      <b:Author>
        <b:NameList>
          <b:Person>
            <b:Last>López Miguel</b:Last>
            <b:First>María</b:First>
            <b:Middle>José</b:Middle>
          </b:Person>
          <b:Person>
            <b:Last>Núñez Gaitán</b:Last>
            <b:First>María</b:First>
            <b:Middle>del Carmen</b:Middle>
          </b:Person>
        </b:NameList>
      </b:Author>
    </b:Author>
    <b:RefOrder>5</b:RefOrder>
  </b:Source>
  <b:Source>
    <b:Tag>Mol09</b:Tag>
    <b:SourceType>JournalArticle</b:SourceType>
    <b:Guid>{CB45AC41-48CE-5941-A9CD-18462EFC60D0}</b:Guid>
    <b:Title>Delictología de los trastornos de personalidad y su repercusión sobre la imputabilidad</b:Title>
    <b:Year>2009</b:Year>
    <b:Pages>101-126</b:Pages>
    <b:JournalName>eduPsykhé</b:JournalName>
    <b:Author>
      <b:Author>
        <b:NameList>
          <b:Person>
            <b:Last>Molina Martín</b:Last>
            <b:First>Juan</b:First>
            <b:Middle>de Dios</b:Middle>
          </b:Person>
          <b:Person>
            <b:Last>Trabazo Arias</b:Last>
            <b:First>Victoria</b:First>
          </b:Person>
          <b:Person>
            <b:Last>López Sánchez</b:Last>
            <b:First>Laura</b:First>
          </b:Person>
          <b:Person>
            <b:Last>Fernández Liaño</b:Last>
            <b:First>Sara</b:First>
          </b:Person>
        </b:NameList>
      </b:Author>
    </b:Author>
    <b:RefOrder>6</b:RefOrder>
  </b:Source>
  <b:Source>
    <b:Tag>Núñ09</b:Tag>
    <b:SourceType>JournalArticle</b:SourceType>
    <b:Guid>{DBBBAF1E-46F6-B743-9088-CF6BD1F1F2E2}</b:Guid>
    <b:Title>Psicopatología y delincuencia. Implicaciones en el concepto de imputabilidad. </b:Title>
    <b:JournalName>Revista Electrónica de Ciencia Penal y Criminología</b:JournalName>
    <b:Year>2009</b:Year>
    <b:Pages>r2:1-r2:8</b:Pages>
    <b:Author>
      <b:Author>
        <b:NameList>
          <b:Person>
            <b:Last>Núñez Gaitán</b:Last>
            <b:First>Mª</b:First>
            <b:Middle>del Carmen</b:Middle>
          </b:Person>
          <b:Person>
            <b:Last>López Miguel</b:Last>
            <b:First>Mª</b:First>
            <b:Middle>José</b:Middle>
          </b:Person>
        </b:NameList>
      </b:Author>
    </b:Author>
    <b:RefOrder>7</b:RefOrder>
  </b:Source>
  <b:Source>
    <b:Tag>Pal09</b:Tag>
    <b:SourceType>JournalArticle</b:SourceType>
    <b:Guid>{809D2D4E-BD14-0146-ADCE-9D2A8DCD2970}</b:Guid>
    <b:Title>Informe forense: imputabilidad y trastorno antisocial de la personalidad</b:Title>
    <b:JournalName>Cuad Med Forense</b:JournalName>
    <b:Year>2009</b:Year>
    <b:Pages>55-66</b:Pages>
    <b:Author>
      <b:Author>
        <b:NameList>
          <b:Person>
            <b:Last>Pallaro</b:Last>
            <b:First>HA</b:First>
          </b:Person>
          <b:Person>
            <b:Last>González-Trijueque</b:Last>
            <b:First>D</b:First>
          </b:Person>
        </b:NameList>
      </b:Author>
    </b:Author>
    <b:RefOrder>8</b:RefOrder>
  </b:Source>
  <b:Source>
    <b:Tag>Muñ11</b:Tag>
    <b:SourceType>JournalArticle</b:SourceType>
    <b:Guid>{F6E4EFEF-DF34-9A4E-A6D0-B8E2F832975F}</b:Guid>
    <b:Title>La Psicopatía y su Repercusión Criminológica: Un modelo Comprehensivo de la Dinámica de Personalidad Psicopática </b:Title>
    <b:JournalName>Anuario de Psicología Jurídica</b:JournalName>
    <b:Year>2011</b:Year>
    <b:Pages>57-68</b:Pages>
    <b:Author>
      <b:Author>
        <b:NameList>
          <b:Person>
            <b:Last>Muñoz Vicente</b:Last>
            <b:First>José</b:First>
            <b:Middle>Manuel</b:Middle>
          </b:Person>
        </b:NameList>
      </b:Author>
    </b:Author>
    <b:RefOrder>9</b:RefOrder>
  </b:Source>
  <b:Source>
    <b:Tag>Poz11</b:Tag>
    <b:SourceType>JournalArticle</b:SourceType>
    <b:Guid>{714400B2-2539-384E-8FBF-1E48047918CA}</b:Guid>
    <b:Title>Psicopatía, violencia y criminalidad: un análisis psicológico-forense, psiquiátrico-legal y criminológico (Parte I)</b:Title>
    <b:JournalName>Cuad Med Forense</b:JournalName>
    <b:Year>2011</b:Year>
    <b:Pages>123-136</b:Pages>
    <b:Author>
      <b:Author>
        <b:NameList>
          <b:Person>
            <b:Last>Pozueco Romero</b:Last>
            <b:First>JM.</b:First>
          </b:Person>
          <b:Person>
            <b:Last>Romero Guillena</b:Last>
            <b:First>SL.</b:First>
          </b:Person>
          <b:Person>
            <b:Last>Casas Baquero</b:Last>
            <b:First>N.</b:First>
          </b:Person>
        </b:NameList>
      </b:Author>
    </b:Author>
    <b:RefOrder>10</b:RefOrder>
  </b:Source>
  <b:Source>
    <b:Tag>Poz111</b:Tag>
    <b:SourceType>JournalArticle</b:SourceType>
    <b:Guid>{5DEFC69E-539D-1A4F-9498-1A27C4CF18E4}</b:Guid>
    <b:Author>
      <b:Author>
        <b:NameList>
          <b:Person>
            <b:Last>Pozueco Romero</b:Last>
            <b:First>JM.</b:First>
          </b:Person>
          <b:Person>
            <b:Last>Romero Guillena</b:Last>
            <b:First>SL.</b:First>
          </b:Person>
          <b:Person>
            <b:Last>Casas Barquero</b:Last>
            <b:First>N.</b:First>
          </b:Person>
        </b:NameList>
      </b:Author>
    </b:Author>
    <b:Title>Psicopatía, violencia y criminalidad: un análisis psicológico-forense, psiquiátrico-legal y criminológico (Parte II)</b:Title>
    <b:JournalName>Cuad Med Forense</b:JournalName>
    <b:Year>2011</b:Year>
    <b:Pages>175-192</b:Pages>
    <b:RefOrder>11</b:RefOrder>
  </b:Source>
  <b:Source>
    <b:Tag>Poz112</b:Tag>
    <b:SourceType>JournalArticle</b:SourceType>
    <b:Guid>{FB018455-AC60-9445-9D02-9B922842B42B}</b:Guid>
    <b:Title>Psicopatía, violencia y criminalidad: un análisis psicológico-forense, psiquiátrico-legal y criminológico (Parte II)</b:Title>
    <b:JournalName>Cuad Med Forense</b:JournalName>
    <b:Year>2011</b:Year>
    <b:Pages>175-192</b:Pages>
    <b:Author>
      <b:Author>
        <b:NameList>
          <b:Person>
            <b:Last>Pozueco Romero</b:Last>
            <b:First>JM.</b:First>
          </b:Person>
          <b:Person>
            <b:Last>Romero Guilleno</b:Last>
            <b:First>SL.</b:First>
          </b:Person>
          <b:Person>
            <b:Last>Casas Barquero</b:Last>
            <b:First>N.</b:First>
          </b:Person>
        </b:NameList>
      </b:Author>
    </b:Author>
    <b:RefOrder>12</b:RefOrder>
  </b:Source>
  <b:Source>
    <b:Tag>Rig06</b:Tag>
    <b:SourceType>JournalArticle</b:SourceType>
    <b:Guid>{A5EBF9DE-760C-FA4E-9563-E07AFA71EB0E}</b:Guid>
    <b:Title>Psicopatía, agresividad y trastorno antisocial de la personalidad en sujetos homicidas</b:Title>
    <b:JournalName>Revista Iberoamericana de Diagnóstico y Evaluación</b:JournalName>
    <b:Year>2006</b:Year>
    <b:Pages>111-131</b:Pages>
    <b:Author>
      <b:Author>
        <b:NameList>
          <b:Person>
            <b:Last>Rigazzio</b:Last>
            <b:First>Juan Miguel</b:First>
          </b:Person>
        </b:NameList>
      </b:Author>
    </b:Author>
    <b:RefOrder>13</b:RefOrder>
  </b:Source>
  <b:Source>
    <b:Tag>Tir10</b:Tag>
    <b:SourceType>JournalArticle</b:SourceType>
    <b:Guid>{E7C693C9-0320-BD4E-AE82-36141AFC3278}</b:Guid>
    <b:Title>Necesidad de la creación de una sanción penal especial para ser impuesta al sujeto que padece trastorno antisocial de la personalidad (psicopatía) en Colombia</b:Title>
    <b:JournalName>Revista Estudios Socio-Jurídicos</b:JournalName>
    <b:Year>2010</b:Year>
    <b:Pages>127-154</b:Pages>
    <b:Author>
      <b:Author>
        <b:NameList>
          <b:Person>
            <b:Last>Tirado-Álvarez</b:Last>
            <b:First>María-Margarita</b:First>
          </b:Person>
        </b:NameList>
      </b:Author>
    </b:Author>
    <b:RefOrder>14</b:RefOrder>
  </b:Source>
  <b:Source>
    <b:Tag>Tor08</b:Tag>
    <b:SourceType>JournalArticle</b:SourceType>
    <b:Guid>{AEEB8F34-659C-2E48-9E66-C8AB4F5B05D8}</b:Guid>
    <b:Title>Psicopatía: una entidad clínica controvertida pero necesaria en psiquiatría forense</b:Title>
    <b:JournalName>Revista Española de Medicina Legal</b:JournalName>
    <b:Year>2008</b:Year>
    <b:Pages>25-35</b:Pages>
    <b:Author>
      <b:Author>
        <b:NameList>
          <b:Person>
            <b:Last>Torrubia Beltri</b:Last>
            <b:First>Rafael</b:First>
          </b:Person>
          <b:Person>
            <b:Last>Cuquerella Fuentes</b:Last>
            <b:First>Ángel</b:First>
          </b:Person>
        </b:NameList>
      </b:Author>
    </b:Author>
    <b:RefOrder>15</b:RefOrder>
  </b:Source>
  <b:Source>
    <b:Tag>Mul94</b:Tag>
    <b:SourceType>JournalArticle</b:SourceType>
    <b:Guid>{7F2F0413-80B1-8C4B-9F81-99CCA3217C90}</b:Guid>
    <b:Title>Antisocial Women</b:Title>
    <b:JournalName>Journal of Personality Disorders</b:JournalName>
    <b:Year>1994</b:Year>
    <b:Pages>279-287</b:Pages>
    <b:Author>
      <b:Author>
        <b:NameList>
          <b:Person>
            <b:Last>Mulder</b:Last>
            <b:First>R.T.</b:First>
          </b:Person>
          <b:Person>
            <b:Last>Wells</b:Last>
            <b:First>J.E.</b:First>
          </b:Person>
          <b:Person>
            <b:Last>Bushnell</b:Last>
            <b:First>J.A.</b:First>
          </b:Person>
        </b:NameList>
      </b:Author>
    </b:Author>
    <b:RefOrder>16</b:RefOrder>
  </b:Source>
  <b:Source>
    <b:Tag>Mul941</b:Tag>
    <b:SourceType>JournalArticle</b:SourceType>
    <b:Guid>{D1AB283B-31F2-5B47-B962-05A78F6E2256}</b:Guid>
    <b:Title>Antisocial Women</b:Title>
    <b:JournalName>Journal of Personality Disorders</b:JournalName>
    <b:Year>1994</b:Year>
    <b:Pages>279-287</b:Pages>
    <b:Author>
      <b:Author>
        <b:NameList>
          <b:Person>
            <b:Last>Mulder</b:Last>
            <b:First>R.T.</b:First>
          </b:Person>
          <b:Person>
            <b:Last>Wells</b:Last>
            <b:First>J.E.</b:First>
          </b:Person>
          <b:Person>
            <b:Last>Bushnell</b:Last>
            <b:First>J.A.</b:First>
          </b:Person>
        </b:NameList>
      </b:Author>
    </b:Author>
    <b:Publisher>The Guilford Press</b:Publisher>
    <b:Volume>8</b:Volume>
    <b:Issue>4</b:Issue>
    <b:RefOrder>17</b:RefOrder>
  </b:Source>
  <b:Source>
    <b:Tag>Mul942</b:Tag>
    <b:SourceType>JournalArticle</b:SourceType>
    <b:Guid>{78049680-BBA9-8141-89C2-66C20F840A38}</b:Guid>
    <b:Title>Antisocial Women</b:Title>
    <b:JournalName>Journal of Personality Disorders</b:JournalName>
    <b:Year>1994</b:Year>
    <b:Pages>279-287</b:Pages>
    <b:Author>
      <b:Author>
        <b:NameList>
          <b:Person>
            <b:Last>Mulder</b:Last>
            <b:First>R.T.</b:First>
          </b:Person>
          <b:Person>
            <b:Last>Wells</b:Last>
            <b:First>J.E.</b:First>
          </b:Person>
          <b:Person>
            <b:Last>Bushnell</b:Last>
            <b:First>J.A.</b:First>
          </b:Person>
        </b:NameList>
      </b:Author>
    </b:Author>
    <b:Publisher>The Guilford Press</b:Publisher>
    <b:Volume>8</b:Volume>
    <b:Issue>4</b:Issue>
    <b:RefOrder>18</b:RefOrder>
  </b:Source>
  <b:Source>
    <b:Tag>Tor081</b:Tag>
    <b:SourceType>JournalArticle</b:SourceType>
    <b:Guid>{79F12ED7-FEDC-284A-B238-7C0538B8C030}</b:Guid>
    <b:Title>Psicopatía: una entidad clínica controvertida pero necesaria en psiquiatría forense</b:Title>
    <b:JournalName>Revista Española de Medicina Legal</b:JournalName>
    <b:Year>2008</b:Year>
    <b:Author>
      <b:Author>
        <b:NameList>
          <b:Person>
            <b:Last>Torrubia</b:Last>
            <b:First>Rafael</b:First>
          </b:Person>
          <b:Person>
            <b:Last>Cuquerella</b:Last>
            <b:First>Ángel</b:First>
          </b:Person>
        </b:NameList>
      </b:Author>
    </b:Author>
    <b:Publisher>Elsevier Doyma</b:Publisher>
    <b:Volume>34</b:Volume>
    <b:Issue>25-35</b:Issue>
    <b:RefOrder>19</b:RefOrder>
  </b:Source>
  <b:Source>
    <b:Tag>Mol091</b:Tag>
    <b:SourceType>JournalArticle</b:SourceType>
    <b:Guid>{808D9460-4A1C-7044-ABF3-F5AB97A69072}</b:Guid>
    <b:Title>Delictología de los trastornos de personalidad y su repercusión sobre la imputabilidad</b:Title>
    <b:JournalName>edyPsykhé</b:JournalName>
    <b:Year>2009</b:Year>
    <b:Pages>101-126</b:Pages>
    <b:Author>
      <b:Author>
        <b:NameList>
          <b:Person>
            <b:Last>Molina</b:Last>
            <b:First>Juan</b:First>
            <b:Middle>de Dios</b:Middle>
          </b:Person>
          <b:Person>
            <b:Last>Trabazo</b:Last>
            <b:First>Victoria</b:First>
          </b:Person>
          <b:Person>
            <b:Last>López</b:Last>
            <b:First>Laura</b:First>
          </b:Person>
        </b:NameList>
      </b:Author>
    </b:Author>
    <b:Volume>8</b:Volume>
    <b:Issue>2</b:Issue>
    <b:RefOrder>20</b:RefOrder>
  </b:Source>
  <b:Source>
    <b:Tag>Lóp091</b:Tag>
    <b:SourceType>JournalArticle</b:SourceType>
    <b:Guid>{700D746A-7D26-044C-B403-6C4411DD735F}</b:Guid>
    <b:Title>Psicopatía versus trastorno antisocial de la personalidad</b:Title>
    <b:JournalName>Revista Española de Investigación Criminológica</b:JournalName>
    <b:Year>2009</b:Year>
    <b:Pages>1-17</b:Pages>
    <b:Author>
      <b:Author>
        <b:NameList>
          <b:Person>
            <b:Last>López</b:Last>
            <b:First>María</b:First>
            <b:Middle>José</b:Middle>
          </b:Person>
          <b:Person>
            <b:Last>Núñez</b:Last>
            <b:First>María</b:First>
            <b:Middle>del Carmen</b:Middle>
          </b:Person>
        </b:NameList>
      </b:Author>
    </b:Author>
    <b:Volume>1</b:Volume>
    <b:Issue>7</b:Issue>
    <b:RefOrder>21</b:RefOrder>
  </b:Source>
  <b:Source>
    <b:Tag>Pal091</b:Tag>
    <b:SourceType>JournalArticle</b:SourceType>
    <b:Guid>{BD916082-3781-284D-94FB-E16F5423CB4D}</b:Guid>
    <b:Title>Informe forense: imputabilidad y trastorno antisocial de la personalidad</b:Title>
    <b:JournalName>Cuad Med Forense</b:JournalName>
    <b:Year>2009</b:Year>
    <b:Pages>55-66</b:Pages>
    <b:Author>
      <b:Author>
        <b:NameList>
          <b:Person>
            <b:Last>Pallaro</b:Last>
            <b:First>HA.</b:First>
          </b:Person>
          <b:Person>
            <b:Last>González-Trijueque</b:Last>
            <b:First>D.</b:First>
          </b:Person>
        </b:NameList>
      </b:Author>
    </b:Author>
    <b:Volume>15</b:Volume>
    <b:Issue>55</b:Issue>
    <b:RefOrder>22</b:RefOrder>
  </b:Source>
  <b:Source>
    <b:Tag>Núñ091</b:Tag>
    <b:SourceType>JournalArticle</b:SourceType>
    <b:Guid>{534C1C86-56FA-F744-B927-32BA38F104E9}</b:Guid>
    <b:Title>Psicopatía y delincuencia. Implicaciones en el concepto de imputabilidad</b:Title>
    <b:JournalName>Revista Electrónica de Ciencia Penal y Criminología</b:JournalName>
    <b:Year>2009</b:Year>
    <b:Pages>r2:1-r2:8</b:Pages>
    <b:Issue>11-r2</b:Issue>
    <b:Author>
      <b:Author>
        <b:NameList>
          <b:Person>
            <b:Last>Núñez</b:Last>
            <b:First>Mª</b:First>
            <b:Middle>del Carmen</b:Middle>
          </b:Person>
          <b:Person>
            <b:Last>López</b:Last>
            <b:First>Mª</b:First>
            <b:Middle>José</b:Middle>
          </b:Person>
        </b:NameList>
      </b:Author>
    </b:Author>
    <b:RefOrder>23</b:RefOrder>
  </b:Source>
  <b:Source>
    <b:Tag>Muñ111</b:Tag>
    <b:SourceType>JournalArticle</b:SourceType>
    <b:Guid>{E3CD0CE9-CC0F-0A46-B7FB-B8C596B46D23}</b:Guid>
    <b:Title>La Psicopatía y su Repercusión Criminológica: Un modelo Comprehensivo de la Dinámica de Personalidad Psicopática</b:Title>
    <b:JournalName>Anuario de Psicología Jurídica</b:JournalName>
    <b:Year>2011</b:Year>
    <b:Pages>57-68</b:Pages>
    <b:Author>
      <b:Author>
        <b:NameList>
          <b:Person>
            <b:Last>Muñoz</b:Last>
            <b:First>José</b:First>
            <b:Middle>Manuel</b:Middle>
          </b:Person>
        </b:NameList>
      </b:Author>
    </b:Author>
    <b:Volume>21</b:Volume>
    <b:RefOrder>24</b:RefOrder>
  </b:Source>
  <b:Source>
    <b:Tag>Jua06</b:Tag>
    <b:SourceType>JournalArticle</b:SourceType>
    <b:Guid>{03E08F0D-EBBF-5244-9AD1-E4BBB8839A69}</b:Guid>
    <b:Title>Revista Iberoamericana de Diagnóstico y Evaluación</b:Title>
    <b:Year>2006</b:Year>
    <b:Pages>111-131</b:Pages>
    <b:Author>
      <b:Author>
        <b:NameList>
          <b:Person>
            <b:Last>Juan Miguel</b:Last>
            <b:First>Rigazzio</b:First>
          </b:Person>
        </b:NameList>
      </b:Author>
    </b:Author>
    <b:Volume>2</b:Volume>
    <b:Issue>22</b:Issue>
    <b:RefOrder>25</b:RefOrder>
  </b:Source>
  <b:Source>
    <b:Tag>Poz113</b:Tag>
    <b:SourceType>JournalArticle</b:SourceType>
    <b:Guid>{8DF8FC3A-D7B6-FD4C-A82D-B8098D8AA577}</b:Guid>
    <b:Title>Psicopatía, violencia y criminalidad: un análisis psicológico-forense, psiquiátrico-lega y criminológico (Parte I)</b:Title>
    <b:JournalName>Cuad Med Forense</b:JournalName>
    <b:Year>2011</b:Year>
    <b:Pages>123-136</b:Pages>
    <b:Author>
      <b:Author>
        <b:NameList>
          <b:Person>
            <b:Last>Pozueco</b:Last>
            <b:First>JM.</b:First>
          </b:Person>
          <b:Person>
            <b:Last>Romero</b:Last>
            <b:First>SL.</b:First>
          </b:Person>
          <b:Person>
            <b:Last>Casas</b:Last>
            <b:First>N.</b:First>
          </b:Person>
        </b:NameList>
      </b:Author>
    </b:Author>
    <b:Volume>17</b:Volume>
    <b:Issue>3</b:Issue>
    <b:RefOrder>26</b:RefOrder>
  </b:Source>
  <b:Source>
    <b:Tag>Poz114</b:Tag>
    <b:SourceType>JournalArticle</b:SourceType>
    <b:Guid>{50BE9921-CC9A-BD43-B03A-90092DBFF3F5}</b:Guid>
    <b:Title>Psicopatía, violencia y criminalidad: un análisis psicológico-forense, psiquiátrico-lega y criminológico (Parte II)</b:Title>
    <b:JournalName>Cuad Med Forense</b:JournalName>
    <b:Year>2011</b:Year>
    <b:Pages>175-192</b:Pages>
    <b:Volume>17</b:Volume>
    <b:Issue>4</b:Issue>
    <b:Author>
      <b:Author>
        <b:NameList>
          <b:Person>
            <b:Last>Pozueco</b:Last>
            <b:First>JM.</b:First>
          </b:Person>
          <b:Person>
            <b:Last>Romero</b:Last>
            <b:First>SL.</b:First>
          </b:Person>
          <b:Person>
            <b:Last>Casas</b:Last>
            <b:First>N.</b:First>
          </b:Person>
        </b:NameList>
      </b:Author>
    </b:Author>
    <b:RefOrder>27</b:RefOrder>
  </b:Source>
  <b:Source>
    <b:Tag>Tir101</b:Tag>
    <b:SourceType>JournalArticle</b:SourceType>
    <b:Guid>{76EE578C-9433-4446-B050-D30D90C03508}</b:Guid>
    <b:Title>Necesidad de la creación de una sanción penal esècial para ser impuesta al sujeto que padece trastorno antisocial de la personalidad (psicopatía) en Colombia</b:Title>
    <b:JournalName>Revista Estudios Socio-Jurídicos</b:JournalName>
    <b:Year>2010</b:Year>
    <b:Pages>127-154</b:Pages>
    <b:Author>
      <b:Author>
        <b:NameList>
          <b:Person>
            <b:Last>Tirado-Álvarez</b:Last>
            <b:First>María-Margarita</b:First>
          </b:Person>
        </b:NameList>
      </b:Author>
    </b:Author>
    <b:Volume>12</b:Volume>
    <b:Issue>1</b:Issue>
    <b:RefOrder>28</b:RefOrder>
  </b:Source>
  <b:Source>
    <b:Tag>Cal02</b:Tag>
    <b:SourceType>JournalArticle</b:SourceType>
    <b:Guid>{A9CBE7F6-B7CC-0745-AC45-5967162399F2}</b:Guid>
    <b:Title>Sex differences in psychopathy and antisocial personality disorder. A review and integration.</b:Title>
    <b:JournalName>Clinical Psychology Review</b:JournalName>
    <b:Year>2002</b:Year>
    <b:Pages>1179-1207</b:Pages>
    <b:Author>
      <b:Author>
        <b:NameList>
          <b:Person>
            <b:Last>Cale</b:Last>
            <b:First>Ellison M.</b:First>
          </b:Person>
          <b:Person>
            <b:Last>Lilienfeld</b:Last>
            <b:First>Scott O.</b:First>
          </b:Person>
        </b:NameList>
      </b:Author>
    </b:Author>
    <b:Volume>22</b:Volume>
    <b:RefOrder>29</b:RefOrder>
  </b:Source>
  <b:Source>
    <b:Tag>Cal021</b:Tag>
    <b:SourceType>JournalArticle</b:SourceType>
    <b:Guid>{8F7A8835-DA81-6D42-9558-1B82460E655A}</b:Guid>
    <b:Title>Histrionic Personality Disorder and Antisocial Personality Disorder: Sex-differentiated manifestations of psychopathy?</b:Title>
    <b:JournalName>Journal of Personality Disorders</b:JournalName>
    <b:Year>2002</b:Year>
    <b:Pages>52-72</b:Pages>
    <b:Author>
      <b:Author>
        <b:NameList>
          <b:Person>
            <b:Last>Cale</b:Last>
            <b:First>Ellison M.</b:First>
          </b:Person>
          <b:Person>
            <b:Last>Lilienfeld</b:Last>
            <b:First>Scott O.</b:First>
          </b:Person>
        </b:NameList>
      </b:Author>
    </b:Author>
    <b:Volume>16</b:Volume>
    <b:Issue>1</b:Issue>
    <b:RefOrder>30</b:RefOrder>
  </b:Source>
  <b:Source>
    <b:Tag>Clo70</b:Tag>
    <b:SourceType>JournalArticle</b:SourceType>
    <b:Guid>{F467B58D-D4FD-BB48-A388-493E662D39C8}</b:Guid>
    <b:Title>Female Criminals: Their Personal, Familial, and Social Backgrounds. The Relation of These to the Diagnoses of Sociopathy and Hysteria</b:Title>
    <b:JournalName>Arch Gen Psychiat</b:JournalName>
    <b:Year>1970</b:Year>
    <b:Pages>554-558</b:Pages>
    <b:Volume>23</b:Volume>
    <b:Author>
      <b:Author>
        <b:NameList>
          <b:Person>
            <b:Last>Cloninger</b:Last>
            <b:First>C. Robert</b:First>
          </b:Person>
          <b:Person>
            <b:Last>Guze</b:Last>
            <b:First>Samuel B.</b:First>
          </b:Person>
        </b:NameList>
      </b:Author>
    </b:Author>
    <b:RefOrder>31</b:RefOrder>
  </b:Source>
  <b:Source>
    <b:Tag>Cle41</b:Tag>
    <b:SourceType>Book</b:SourceType>
    <b:Guid>{F385EFA5-9CF7-CB44-BF87-665F5075CE1C}</b:Guid>
    <b:Title>The mask of sanity: an attempt to clarify some issues about the so-called psychopathic personality</b:Title>
    <b:Year>1941</b:Year>
    <b:City>St. Louis</b:City>
    <b:Publisher>Mosby</b:Publisher>
    <b:Author>
      <b:Author>
        <b:NameList>
          <b:Person>
            <b:Last>Cleckley</b:Last>
            <b:First>Hervey</b:First>
          </b:Person>
        </b:NameList>
      </b:Author>
    </b:Author>
    <b:RefOrder>32</b:RefOrder>
  </b:Source>
  <b:Source>
    <b:Tag>Har03</b:Tag>
    <b:SourceType>Book</b:SourceType>
    <b:Guid>{171D0F9E-C0B1-A84A-979A-99C60CA815F4}</b:Guid>
    <b:Title>Sin conciencia. El inquietante mundo de los psicópatas que nos rodean.</b:Title>
    <b:City>Barcelona</b:City>
    <b:Publisher>Paidós Ibérica</b:Publisher>
    <b:Year>2003</b:Year>
    <b:Author>
      <b:Author>
        <b:NameList>
          <b:Person>
            <b:Last>Hare</b:Last>
            <b:First>Robert D.</b:First>
          </b:Person>
        </b:NameList>
      </b:Author>
    </b:Author>
    <b:RefOrder>33</b:RefOrder>
  </b:Source>
  <b:Source>
    <b:Tag>Har06</b:Tag>
    <b:SourceType>BookSection</b:SourceType>
    <b:Guid>{26033CD0-273F-3249-B113-2FD520957182}</b:Guid>
    <b:Title>The PCL-R Assessment of Psychopathy. Development, Structural Properties, and New Directions</b:Title>
    <b:BookTitle>Handbook of Psychopathy</b:BookTitle>
    <b:City>New York</b:City>
    <b:Publisher>The Guilford Press</b:Publisher>
    <b:Year>2006</b:Year>
    <b:Pages>58-88</b:Pages>
    <b:Author>
      <b:BookAuthor>
        <b:NameList>
          <b:Person>
            <b:Last>Patrick</b:Last>
            <b:First>C.</b:First>
          </b:Person>
        </b:NameList>
      </b:BookAuthor>
      <b:Author>
        <b:NameList>
          <b:Person>
            <b:Last>Hare</b:Last>
            <b:First>Robert D.</b:First>
          </b:Person>
          <b:Person>
            <b:Last>Neumann</b:Last>
            <b:First>Craig S.</b:First>
          </b:Person>
        </b:NameList>
      </b:Author>
    </b:Author>
    <b:RefOrder>34</b:RefOrder>
  </b:Source>
  <b:Source>
    <b:Tag>Rut98</b:Tag>
    <b:SourceType>JournalArticle</b:SourceType>
    <b:Guid>{F0912DA3-7083-AF48-8B65-5546187977FD}</b:Guid>
    <b:Title>Gender differences in the relationship of Antisocial Personality Disorder criteria to Psychopathy Checklist-Revised Scores</b:Title>
    <b:JournalName>Journal of Personality Disorders</b:JournalName>
    <b:Year>1998</b:Year>
    <b:Pages>69-76</b:Pages>
    <b:Volume>12</b:Volume>
    <b:Issue>1</b:Issue>
    <b:Author>
      <b:Author>
        <b:NameList>
          <b:Person>
            <b:Last>Rutherford</b:Last>
            <b:First>Megan J.</b:First>
          </b:Person>
          <b:Person>
            <b:Last>Alterman</b:Last>
            <b:First>Arthur I.</b:First>
          </b:Person>
          <b:Person>
            <b:Last>Cacciola</b:Last>
            <b:First>John S.</b:First>
          </b:Person>
          <b:Person>
            <b:Last>McKay</b:Last>
            <b:First>James R.</b:First>
          </b:Person>
        </b:NameList>
      </b:Author>
    </b:Author>
    <b:RefOrder>35</b:RefOrder>
  </b:Source>
  <b:Source>
    <b:Tag>Vit01</b:Tag>
    <b:SourceType>JournalArticle</b:SourceType>
    <b:Guid>{92755B4E-C62C-A04A-80D7-526335466ABA}</b:Guid>
    <b:Title>Using the Psychopathy Checklist-Revised With Female Samples: Reliability, Validity, and Implicatios for Clinical Utility</b:Title>
    <b:JournalName>Clinical Psychology: Science and Practice</b:JournalName>
    <b:Year>2001</b:Year>
    <b:Pages>117-132</b:Pages>
    <b:Volume>8</b:Volume>
    <b:Issue>1</b:Issue>
    <b:Author>
      <b:Author>
        <b:NameList>
          <b:Person>
            <b:Last>Vitale</b:Last>
            <b:First>Jennifer E.</b:First>
          </b:Person>
          <b:Person>
            <b:Last>Newman</b:Last>
            <b:First>Joseph P.</b:First>
          </b:Person>
        </b:NameList>
      </b:Author>
    </b:Author>
    <b:RefOrder>36</b:RefOrder>
  </b:Source>
  <b:Source>
    <b:Tag>Dol09</b:Tag>
    <b:SourceType>JournalArticle</b:SourceType>
    <b:Guid>{E3033749-3692-194A-BAF6-909C86BA5592}</b:Guid>
    <b:Title>Antisocial personality disorder and psychopathy in women: A literature review on the reliability and validity of assessment instruments</b:Title>
    <b:JournalName>International Journal of Law and Psychiatry</b:JournalName>
    <b:Year>2009</b:Year>
    <b:Pages>2-9</b:Pages>
    <b:Volume>32</b:Volume>
    <b:Author>
      <b:Author>
        <b:NameList>
          <b:Person>
            <b:Last>Dolan</b:Last>
            <b:First>Mairead</b:First>
          </b:Person>
          <b:Person>
            <b:Last>Völlm</b:Last>
            <b:First>Birgit</b:First>
          </b:Person>
        </b:NameList>
      </b:Author>
    </b:Author>
    <b:RefOrder>37</b:RefOrder>
  </b:Source>
  <b:Source>
    <b:Tag>Lóp05</b:Tag>
    <b:SourceType>JournalArticle</b:SourceType>
    <b:Guid>{20E861C4-4D81-C24C-B74E-17A62AFB76DD}</b:Guid>
    <b:Title>Aproximación histórica al concepto de psicopatía</b:Title>
    <b:JournalName>Psicopatología Clínica, Legal y Forense</b:JournalName>
    <b:Year>2005</b:Year>
    <b:Pages>137-168</b:Pages>
    <b:Issue>5</b:Issue>
    <b:Author>
      <b:Author>
        <b:NameList>
          <b:Person>
            <b:Last>López</b:Last>
            <b:First>Carolina</b:First>
          </b:Person>
          <b:Person>
            <b:Last>Robles</b:Last>
            <b:First>José</b:First>
            <b:Middle>Ignacio</b:Middle>
          </b:Person>
        </b:NameList>
      </b:Author>
    </b:Author>
    <b:RefOrder>38</b:RefOrder>
  </b:Source>
  <b:Source>
    <b:Tag>Rog08</b:Tag>
    <b:SourceType>JournalArticle</b:SourceType>
    <b:Guid>{68E7A645-FA51-374F-BA62-326F78FACC1E}</b:Guid>
    <b:Title>Gender differences in contributions of emotion to psychopathy and antisocial personality disorder</b:Title>
    <b:JournalName>Clinical Psychology Review</b:JournalName>
    <b:Year>2008</b:Year>
    <b:Pages>1472-1484</b:Pages>
    <b:Volume>28</b:Volume>
    <b:Author>
      <b:Author>
        <b:NameList>
          <b:Person>
            <b:Last>Rogstad</b:Last>
            <b:First>Jill E.</b:First>
          </b:Person>
          <b:Person>
            <b:Last>Rogers</b:Last>
            <b:First>Richard</b:First>
          </b:Person>
        </b:NameList>
      </b:Author>
    </b:Author>
    <b:RefOrder>39</b:RefOrder>
  </b:Source>
  <b:Source>
    <b:Tag>Hic10</b:Tag>
    <b:SourceType>JournalArticle</b:SourceType>
    <b:Guid>{28C284FF-4861-D442-B114-05BA31728A22}</b:Guid>
    <b:Title>Validiting Female Psychopathy Subtypes: Differences in Personality, Antisocial and Violent Behaviour, Substance Abuso, Trauma, and Mental Health</b:Title>
    <b:JournalName>Personality Disorders: Theory, Research, and Treatment</b:JournalName>
    <b:Year>2010</b:Year>
    <b:Pages>38-57</b:Pages>
    <b:Volume>1</b:Volume>
    <b:Issue>1</b:Issue>
    <b:Author>
      <b:Author>
        <b:NameList>
          <b:Person>
            <b:Last>Hicks</b:Last>
            <b:First>Brian M.</b:First>
          </b:Person>
        </b:NameList>
      </b:Author>
    </b:Author>
    <b:RefOrder>40</b:RefOrder>
  </b:Source>
  <b:Source>
    <b:Tag>Wei10</b:Tag>
    <b:SourceType>JournalArticle</b:SourceType>
    <b:Guid>{EA537645-3B98-8E4B-A478-42EA8DD152C1}</b:Guid>
    <b:Title>Examination of psychopathy in female homicide offenders - Confirmatory factor analysis of the PCL-R</b:Title>
    <b:JournalName>International Journal of Law and Psychiatry</b:JournalName>
    <b:Year>2010</b:Year>
    <b:Pages>177-183</b:Pages>
    <b:Volume>33</b:Volume>
    <b:Author>
      <b:Author>
        <b:NameList>
          <b:Person>
            <b:Last>Weizmann-Henelius</b:Last>
            <b:First>Ghitta</b:First>
          </b:Person>
          <b:Person>
            <b:Last>Putkonen</b:Last>
            <b:First>Hanna</b:First>
          </b:Person>
          <b:Person>
            <b:Last>Grönroos</b:Last>
            <b:First>Matti</b:First>
          </b:Person>
          <b:Person>
            <b:Last>Lindberg</b:Last>
            <b:First>Nina</b:First>
          </b:Person>
          <b:Person>
            <b:Last>Eronen</b:Last>
            <b:First>Markku</b:First>
          </b:Person>
          <b:Person>
            <b:Last>Häkkänen-Nyholm</b:Last>
            <b:First>Helinä</b:First>
          </b:Person>
        </b:NameList>
      </b:Author>
    </b:Author>
    <b:RefOrder>41</b:RefOrder>
  </b:Source>
  <b:Source>
    <b:Tag>Lóp13</b:Tag>
    <b:SourceType>JournalArticle</b:SourceType>
    <b:Guid>{0534EA49-1FDF-9042-BC39-5184260D1469}</b:Guid>
    <b:Title>Revisión de la psicopatía: Pasado, presente y futuro</b:Title>
    <b:JournalName>Revista Puertorriqueña de Psicología</b:JournalName>
    <b:Year>2013</b:Year>
    <b:Pages>1-16</b:Pages>
    <b:Volume>24</b:Volume>
    <b:Issue>2</b:Issue>
    <b:Author>
      <b:Author>
        <b:NameList>
          <b:Person>
            <b:Last>López</b:Last>
            <b:First>Sebastián</b:First>
          </b:Person>
        </b:NameList>
      </b:Author>
    </b:Author>
    <b:RefOrder>42</b:RefOrder>
  </b:Source>
  <b:Source>
    <b:Tag>Spr12</b:Tag>
    <b:SourceType>JournalArticle</b:SourceType>
    <b:Guid>{91C40B09-B525-564F-8933-FF14E95DF0FF}</b:Guid>
    <b:Title>Borderline Personality Disorder as a Female Phenotypic Expression of Psychopathy?</b:Title>
    <b:JournalName>Personal Disord</b:JournalName>
    <b:Year>2012</b:Year>
    <b:Pages>127-139</b:Pages>
    <b:Volume>3</b:Volume>
    <b:Issue>2</b:Issue>
    <b:Author>
      <b:Author>
        <b:NameList>
          <b:Person>
            <b:Last>Sprague</b:Last>
            <b:First>Jenessa</b:First>
          </b:Person>
          <b:Person>
            <b:Last>Javdani</b:Last>
            <b:First>Shabnam</b:First>
          </b:Person>
          <b:Person>
            <b:Last>Sadeh</b:Last>
            <b:First>Naomi</b:First>
          </b:Person>
          <b:Person>
            <b:Last>Newman</b:Last>
            <b:First>Joseph P.</b:First>
          </b:Person>
          <b:Person>
            <b:Last>Verona</b:Last>
            <b:First>Edelyn</b:First>
          </b:Person>
        </b:NameList>
      </b:Author>
    </b:Author>
    <b:RefOrder>43</b:RefOrder>
  </b:Source>
  <b:Source>
    <b:Tag>Var17</b:Tag>
    <b:SourceType>JournalArticle</b:SourceType>
    <b:Guid>{02B05490-15A1-CF46-8371-675188AAFF9C}</b:Guid>
    <b:Title>Prisión preventiva en delitos comunes y Trastornos de la Personalidad en reos primarios, Centro Penitenciario de Cusco</b:Title>
    <b:JournalName>Investigación Andina</b:JournalName>
    <b:Year>2017</b:Year>
    <b:Pages>66-75</b:Pages>
    <b:Volume>17</b:Volume>
    <b:Issue>2</b:Issue>
    <b:Author>
      <b:Author>
        <b:NameList>
          <b:Person>
            <b:Last>Vargas-Oviedo</b:Last>
            <b:First>José</b:First>
            <b:Middle>Antonio</b:Middle>
          </b:Person>
        </b:NameList>
      </b:Author>
    </b:Author>
    <b:RefOrder>44</b:RefOrder>
  </b:Source>
  <b:Source>
    <b:Tag>Pin19</b:Tag>
    <b:SourceType>JournalArticle</b:SourceType>
    <b:Guid>{FC80756C-2B11-7741-AF72-03B5EFF4C449}</b:Guid>
    <b:Title>Trastornos mentales y violencia: implicaciones jurídico foreses</b:Title>
    <b:JournalName>International e-Journal of Criminal Science</b:JournalName>
    <b:Year>2019</b:Year>
    <b:Pages>1-36</b:Pages>
    <b:Author>
      <b:Author>
        <b:NameList>
          <b:Person>
            <b:Last>Pintado</b:Last>
            <b:First>Olatz</b:First>
          </b:Person>
        </b:NameList>
      </b:Author>
    </b:Author>
    <b:Volume>2</b:Volume>
    <b:Issue>13</b:Issue>
    <b:RefOrder>45</b:RefOrder>
  </b:Source>
  <b:Source>
    <b:Tag>Bar19</b:Tag>
    <b:SourceType>Book</b:SourceType>
    <b:Guid>{68AA0398-F9D5-744E-925B-F7E26DB4CD1C}</b:Guid>
    <b:Title>Más allá del bien y del mal. Experiencias de una psicóloga forense</b:Title>
    <b:Year>2019</b:Year>
    <b:City>Capellades</b:City>
    <b:Publisher>Penguin Random House</b:Publisher>
    <b:StateProvince>Barcelona</b:StateProvince>
    <b:Author>
      <b:Author>
        <b:NameList>
          <b:Person>
            <b:Last>Barber</b:Last>
            <b:First>Virginia</b:First>
          </b:Person>
        </b:NameList>
      </b:Author>
    </b:Author>
    <b:RefOrder>46</b:RefOrder>
  </b:Source>
  <b:Source>
    <b:Tag>Mor19</b:Tag>
    <b:SourceType>JournalArticle</b:SourceType>
    <b:Guid>{29C994E7-68A7-D049-8919-ACCE554A1170}</b:Guid>
    <b:Title>Psicópatas versus trastornos de la personalidad: Matices clínico-conceptuales y aspectos diferenciales</b:Title>
    <b:JournalName>Summa Psicológica</b:JournalName>
    <b:Year>2019</b:Year>
    <b:Pages>51-59</b:Pages>
    <b:Volume>16</b:Volume>
    <b:Issue>1</b:Issue>
    <b:Author>
      <b:Author>
        <b:NameList>
          <b:Person>
            <b:Last>Moreno</b:Last>
            <b:First>Juan</b:First>
            <b:Middle>Manuel</b:Middle>
          </b:Person>
          <b:Person>
            <b:Last>Pozueco</b:Last>
            <b:First>José</b:First>
            <b:Middle>Manuel</b:Middle>
          </b:Person>
          <b:Person>
            <b:Last>García</b:Last>
            <b:First>Mª</b:First>
            <b:Middle>Elena</b:Middle>
          </b:Person>
          <b:Person>
            <b:Last>Blázquez</b:Last>
            <b:First>Macarena</b:First>
          </b:Person>
          <b:Person>
            <b:Last>Guerrero</b:Last>
            <b:First>Eloísa</b:First>
          </b:Person>
          <b:Person>
            <b:Last>Guerrero</b:Last>
            <b:First>Mónica</b:First>
          </b:Person>
        </b:NameList>
      </b:Author>
    </b:Author>
    <b:RefOrder>47</b:RefOrder>
  </b:Source>
  <b:Source>
    <b:Tag>Fló19</b:Tag>
    <b:SourceType>JournalArticle</b:SourceType>
    <b:Guid>{4200B7C9-8F48-E145-AC16-8E47FD07C097}</b:Guid>
    <b:Title>Trastornos de la personalidad, adicciones y psicopatía como predictores de la conducta delictiva en una muestra penitenciaria</b:Title>
    <b:JournalName>Revista Española de Sanidad Penitenciaria</b:JournalName>
    <b:Year>2019</b:Year>
    <b:Pages>67-84</b:Pages>
    <b:Volume>21</b:Volume>
    <b:Author>
      <b:Author>
        <b:NameList>
          <b:Person>
            <b:Last>Flórez</b:Last>
            <b:First>G</b:First>
          </b:Person>
          <b:Person>
            <b:Last>Ferrer</b:Last>
            <b:First>V</b:First>
          </b:Person>
          <b:Person>
            <b:Last>García</b:Last>
            <b:First>LS</b:First>
          </b:Person>
          <b:Person>
            <b:Last>Crespo</b:Last>
            <b:First>MR</b:First>
          </b:Person>
          <b:Person>
            <b:Last>Pérez</b:Last>
            <b:First>M</b:First>
          </b:Person>
          <b:Person>
            <b:Last>Saiz</b:Last>
            <b:First>PA</b:First>
          </b:Person>
        </b:NameList>
      </b:Author>
    </b:Author>
    <b:RefOrder>48</b:RefOrder>
  </b:Source>
  <b:Source>
    <b:Tag>Vis19</b:Tag>
    <b:SourceType>JournalArticle</b:SourceType>
    <b:Guid>{E8641880-87B8-2644-9308-FE6DE848EEDC}</b:Guid>
    <b:Title>Aproximación contextual-funcional a la psicopatía: análisis de casos</b:Title>
    <b:JournalName>International Journal of Psychology and Psychological Therapy</b:JournalName>
    <b:Year>2019</b:Year>
    <b:Pages>141-161</b:Pages>
    <b:Volume>19</b:Volume>
    <b:Issue>2</b:Issue>
    <b:Author>
      <b:Author>
        <b:NameList>
          <b:Person>
            <b:Last>Visdómine</b:Last>
            <b:First>J.</b:First>
            <b:Middle>Carmelo</b:Middle>
          </b:Person>
          <b:Person>
            <b:Last>Gil</b:Last>
            <b:First>Bárbara</b:First>
          </b:Person>
          <b:Person>
            <b:Last>Gil</b:Last>
            <b:First>Jesús</b:First>
          </b:Person>
        </b:NameList>
      </b:Author>
    </b:Author>
    <b:RefOrder>49</b:RefOrder>
  </b:Source>
  <b:Source>
    <b:Tag>Fló16</b:Tag>
    <b:SourceType>JournalArticle</b:SourceType>
    <b:Guid>{4EE11675-A684-BA4E-BB5B-A10A39CD4516}</b:Guid>
    <b:Title>Psicopatía, adicciones, violencia interpersonal y conducta antisocial, una relación mixta</b:Title>
    <b:JournalName>Adicciones</b:JournalName>
    <b:Year>2016</b:Year>
    <b:Pages>65-70</b:Pages>
    <b:Volume>28</b:Volume>
    <b:Issue>2</b:Issue>
    <b:Author>
      <b:Author>
        <b:NameList>
          <b:Person>
            <b:Last>Flórez</b:Last>
            <b:First>Gerardo</b:First>
          </b:Person>
        </b:NameList>
      </b:Author>
    </b:Author>
    <b:RefOrder>50</b:RefOrder>
  </b:Source>
  <b:Source>
    <b:Tag>Lor15</b:Tag>
    <b:SourceType>JournalArticle</b:SourceType>
    <b:Guid>{D86DB96B-D1D2-F44D-9BAD-27392EC7EFED}</b:Guid>
    <b:Title>Trastornos de la personalidad en la jurisprudencia española</b:Title>
    <b:JournalName>Revista Española de Medicina Legal</b:JournalName>
    <b:Year>2015</b:Year>
    <b:Pages>1-5</b:Pages>
    <b:Volume>137</b:Volume>
    <b:Author>
      <b:Author>
        <b:NameList>
          <b:Person>
            <b:Last>Lorenzo</b:Last>
            <b:First>Florencia</b:First>
          </b:Person>
          <b:Person>
            <b:Last>Agustina</b:Last>
            <b:First>José</b:First>
            <b:Middle>R.</b:Middle>
          </b:Person>
          <b:Person>
            <b:Last>Gómez-Durán</b:Last>
            <b:First>Esperanza</b:First>
            <b:Middle>L.</b:Middle>
          </b:Person>
          <b:Person>
            <b:Last>Martín-Fumadó</b:Last>
            <b:First>Carles</b:First>
          </b:Person>
        </b:NameList>
      </b:Author>
    </b:Author>
    <b:RefOrder>51</b:RefOrder>
  </b:Source>
  <b:Source>
    <b:Tag>Haw16</b:Tag>
    <b:SourceType>JournalArticle</b:SourceType>
    <b:Guid>{95C9A96A-77F0-DC41-83A4-D12C07DE54AA}</b:Guid>
    <b:Title>Late childhood interpersonal callousness and conduct problem trajectories interact to predicr adult psychopathy</b:Title>
    <b:JournalName>Journal of Child Psychology and Psychiatry</b:JournalName>
    <b:Year>2016</b:Year>
    <b:Author>
      <b:Author>
        <b:NameList>
          <b:Person>
            <b:Last>Hawes</b:Last>
            <b:First>Samuel W.</b:First>
          </b:Person>
          <b:Person>
            <b:Last>Byrd</b:Last>
            <b:First>Amy L.</b:First>
          </b:Person>
          <b:Person>
            <b:Last>Waller</b:Last>
            <b:First>Rebecca</b:First>
          </b:Person>
          <b:Person>
            <b:Last>Lynam</b:Last>
            <b:First>Donald R.</b:First>
          </b:Person>
          <b:Person>
            <b:Last>Pardini</b:Last>
            <b:First>Dustin A.</b:First>
          </b:Person>
        </b:NameList>
      </b:Author>
    </b:Author>
    <b:RefOrder>52</b:RefOrder>
  </b:Source>
  <b:Source>
    <b:Tag>Haw161</b:Tag>
    <b:SourceType>JournalArticle</b:SourceType>
    <b:Guid>{A13AA005-4816-C543-91DF-81851E02B123}</b:Guid>
    <b:Title>Late childhood interpersonal callousness and conduct problem trajectories interact to predict adult psychopathy</b:Title>
    <b:JournalName>Journal of Child Psychology and Psychiatry</b:JournalName>
    <b:Year>2016</b:Year>
    <b:Pages>55-63</b:Pages>
    <b:Volume>58</b:Volume>
    <b:Issue>1</b:Issue>
    <b:Author>
      <b:Author>
        <b:NameList>
          <b:Person>
            <b:Last>Hawes</b:Last>
            <b:First>Samuel W.</b:First>
          </b:Person>
          <b:Person>
            <b:Last>Byrd</b:Last>
            <b:First>Amy L.</b:First>
          </b:Person>
          <b:Person>
            <b:Last>Waller</b:Last>
            <b:First>Rebecca</b:First>
          </b:Person>
          <b:Person>
            <b:Last>Lynam</b:Last>
            <b:First>Donald R.</b:First>
          </b:Person>
          <b:Person>
            <b:Last>Pardini</b:Last>
            <b:First>Dustin A.</b:First>
          </b:Person>
        </b:NameList>
      </b:Author>
    </b:Author>
    <b:RefOrder>53</b:RefOrder>
  </b:Source>
  <b:Source>
    <b:Tag>Ram17</b:Tag>
    <b:SourceType>JournalArticle</b:SourceType>
    <b:Guid>{AB3CC308-860E-AC4F-B2D4-3755B231E79A}</b:Guid>
    <b:Title>Cambios en el EEG en reposo de exparticipantes en el conflicto armado colombiano con trastorno de personalidad antisocial</b:Title>
    <b:JournalName>Revista Colombiana de Psiquiatría</b:JournalName>
    <b:Year>2017</b:Year>
    <b:Pages>90-97</b:Pages>
    <b:Volume>47</b:Volume>
    <b:Issue>2</b:Issue>
    <b:Author>
      <b:Author>
        <b:NameList>
          <b:Person>
            <b:Last>Ramos</b:Last>
            <b:First>Claudia</b:First>
          </b:Person>
          <b:Person>
            <b:Last>Duque-Grajales</b:Last>
            <b:First>Jon</b:First>
          </b:Person>
          <b:Person>
            <b:Last>Rendón</b:Last>
            <b:First>Jorge</b:First>
          </b:Person>
          <b:Person>
            <b:Last>Montoya-Betancur</b:Last>
            <b:First>Alejandro</b:First>
          </b:Person>
          <b:Person>
            <b:Last>Baena</b:Last>
            <b:First>Ana</b:First>
          </b:Person>
          <b:Person>
            <b:Last>Pineda</b:Last>
            <b:First>David</b:First>
          </b:Person>
          <b:Person>
            <b:Last>Tobón</b:Last>
            <b:First>Carlos</b:First>
          </b:Person>
        </b:NameList>
      </b:Author>
    </b:Author>
    <b:RefOrder>54</b:RefOrder>
  </b:Source>
  <b:Source>
    <b:Tag>Bla08</b:Tag>
    <b:SourceType>JournalArticle</b:SourceType>
    <b:Guid>{1157F469-5E35-6949-BB8C-791CC25FAFCB}</b:Guid>
    <b:Title>The amygdala and ventromedial prefrontal cortex: functional contributions and dysfunction in psychopathy</b:Title>
    <b:JournalName>Philosophical transactios of the Royal Society</b:JournalName>
    <b:Year>2008</b:Year>
    <b:Pages>2557-2565</b:Pages>
    <b:Volume>363</b:Volume>
    <b:Author>
      <b:Author>
        <b:NameList>
          <b:Person>
            <b:Last>Blair</b:Last>
            <b:First>R.J.R.</b:First>
          </b:Person>
        </b:NameList>
      </b:Author>
    </b:Author>
    <b:RefOrder>55</b:RefOrder>
  </b:Source>
  <b:Source>
    <b:Tag>Pin191</b:Tag>
    <b:SourceType>JournalArticle</b:SourceType>
    <b:Guid>{FFB9AF4A-FF8F-E34A-A387-C6491E16F035}</b:Guid>
    <b:Title>Trastornos mentales y violencia: implicaciones jurídico forenses</b:Title>
    <b:JournalName>International E-Journal of Criminal Science</b:JournalName>
    <b:Year>2019</b:Year>
    <b:Author>
      <b:Author>
        <b:NameList>
          <b:Person>
            <b:Last>Pintado</b:Last>
            <b:First>Olatz</b:First>
          </b:Person>
        </b:NameList>
      </b:Author>
    </b:Author>
    <b:Volume>2</b:Volume>
    <b:Issue>13</b:Issue>
    <b:RefOrder>56</b:RefOrder>
  </b:Source>
  <b:Source>
    <b:Tag>Cal12</b:Tag>
    <b:SourceType>JournalArticle</b:SourceType>
    <b:Guid>{DAE6305D-6C80-DD48-B716-2432414EE1D7}</b:Guid>
    <b:Title>Electroencephalographic abnormalities in antisocial personality disorder</b:Title>
    <b:JournalName>Journal of Forensic and Legal Medicine</b:JournalName>
    <b:Year>2012</b:Year>
    <b:Pages>29-34</b:Pages>
    <b:Volume>19</b:Volume>
    <b:Author>
      <b:Author>
        <b:NameList>
          <b:Person>
            <b:Last>Calzada-Reyes</b:Last>
            <b:First>Ana</b:First>
          </b:Person>
          <b:Person>
            <b:Last>Álvarez-Amador</b:Last>
            <b:First>Alfredo</b:First>
          </b:Person>
          <b:Person>
            <b:Last>Galán-García</b:Last>
            <b:First>Lídice</b:First>
          </b:Person>
          <b:Person>
            <b:Last>Valdés-Sosa</b:Last>
            <b:First>Mitchell</b:First>
          </b:Person>
        </b:NameList>
      </b:Author>
    </b:Author>
    <b:RefOrder>57</b:RefOrder>
  </b:Source>
  <b:Source>
    <b:Tag>Cal13</b:Tag>
    <b:SourceType>JournalArticle</b:SourceType>
    <b:Guid>{14AEB362-550A-4449-B7AF-95748E13B81E}</b:Guid>
    <b:Title>EEG abnormalities in psychopath and non-psychopath violent offenders</b:Title>
    <b:JournalName>Journal of Forensic and Legal Medicine</b:JournalName>
    <b:Year>2013</b:Year>
    <b:Pages>19-26</b:Pages>
    <b:Volume>20</b:Volume>
    <b:Author>
      <b:Author>
        <b:NameList>
          <b:Person>
            <b:Last>Calzada-Reyes</b:Last>
            <b:First>Ana</b:First>
          </b:Person>
          <b:Person>
            <b:Last>Álvarez-Amador</b:Last>
            <b:First>Alfredo</b:First>
          </b:Person>
          <b:Person>
            <b:Last>Galán-Garcáa</b:Last>
            <b:First>Lídice</b:First>
          </b:Person>
          <b:Person>
            <b:Last>Valdés-Sosa</b:Last>
            <b:First>Mitchell</b:First>
          </b:Person>
        </b:NameList>
      </b:Author>
    </b:Author>
    <b:RefOrder>58</b:RefOrder>
  </b:Source>
  <b:Source>
    <b:Tag>Bla13</b:Tag>
    <b:SourceType>JournalArticle</b:SourceType>
    <b:Guid>{40553E13-6FE6-A74C-B917-06928302567D}</b:Guid>
    <b:Title>The social cognitive neuroscience of aggression, violence, and psychopathy</b:Title>
    <b:JournalName>Social Neuroscience</b:JournalName>
    <b:Year>2013</b:Year>
    <b:Pages>108-111</b:Pages>
    <b:Volume>8</b:Volume>
    <b:Issue>2</b:Issue>
    <b:Author>
      <b:Author>
        <b:NameList>
          <b:Person>
            <b:Last>Blair</b:Last>
            <b:First>R.J.R</b:First>
          </b:Person>
          <b:Person>
            <b:Last>Lee</b:Last>
            <b:First>Tatia M.C.</b:First>
          </b:Person>
        </b:NameList>
      </b:Author>
    </b:Author>
    <b:RefOrder>59</b:RefOrder>
  </b:Source>
  <b:Source>
    <b:Tag>Kie06</b:Tag>
    <b:SourceType>JournalArticle</b:SourceType>
    <b:Guid>{A0AE68F5-1AC0-427E-B112-0C6091F5496E}</b:Guid>
    <b:Title>A Cognitive Neuroscience Perspective on Psychopathy: Evidence for Paralimbuic System Dysfunction</b:Title>
    <b:Year>2006</b:Year>
    <b:JournalName>Psychiatry Research</b:JournalName>
    <b:Pages>107-128</b:Pages>
    <b:Volume>142 </b:Volume>
    <b:Issue>2-3</b:Issue>
    <b:Author>
      <b:Author>
        <b:NameList>
          <b:Person>
            <b:Last>Kiehl</b:Last>
            <b:First>Kent A</b:First>
          </b:Person>
        </b:NameList>
      </b:Author>
    </b:Author>
    <b:RefOrder>60</b:RefOrder>
  </b:Source>
  <b:Source>
    <b:Tag>Gar06</b:Tag>
    <b:SourceType>Book</b:SourceType>
    <b:Guid>{20DA1FC2-D729-A445-B374-E8DB7063405A}</b:Guid>
    <b:Title>Qué es la psicología criminológica</b:Title>
    <b:Year>2006</b:Year>
    <b:City>Madrid</b:City>
    <b:Publisher>Biblioteca Nueva</b:Publisher>
    <b:StateProvince>España</b:StateProvince>
    <b:Author>
      <b:Author>
        <b:NameList>
          <b:Person>
            <b:Last>Garrido</b:Last>
            <b:First>Vicente</b:First>
          </b:Person>
        </b:NameList>
      </b:Author>
    </b:Author>
    <b:RefOrder>61</b:RefOrder>
  </b:Source>
  <b:Source>
    <b:Tag>Pau19</b:Tag>
    <b:SourceType>InternetSite</b:SourceType>
    <b:Guid>{9E5EF349-8268-C842-9C02-B2EEEDF98A05}</b:Guid>
    <b:Title>Paqui, la fogosa de Melilla que envenenó a su familia para irse con su amante de internet</b:Title>
    <b:InternetSiteTitle>El Español</b:InternetSiteTitle>
    <b:URL>https://www.elespanol.com/reportajes/20190203/paqui-fogosa-melilla-enveneno-familia-amante-internet/373212969_0.html</b:URL>
    <b:Year>2019</b:Year>
    <b:Author>
      <b:Author>
        <b:NameList>
          <b:Person>
            <b:Last>Pau</b:Last>
            <b:First>Mari</b:First>
          </b:Person>
        </b:NameList>
      </b:Author>
    </b:Author>
    <b:RefOrder>1</b:RefOrder>
  </b:Source>
  <b:Source>
    <b:Tag>Gar061</b:Tag>
    <b:SourceType>Book</b:SourceType>
    <b:Guid>{FF615C8E-A7B4-F74B-8D80-ACF97006EDE7}</b:Guid>
    <b:Title>Qué es la psicología criminológica</b:Title>
    <b:City>Madrid</b:City>
    <b:Publisher>Biblioteca Nueva</b:Publisher>
    <b:Year>2006</b:Year>
    <b:CountryRegion>España</b:CountryRegion>
    <b:Author>
      <b:Author>
        <b:NameList>
          <b:Person>
            <b:Last>Garrido</b:Last>
            <b:First>Vicente</b:First>
          </b:Person>
        </b:NameList>
      </b:Author>
    </b:Author>
    <b:RefOrder>43</b:RefOrder>
  </b:Source>
  <b:Source>
    <b:Tag>Lóp131</b:Tag>
    <b:SourceType>JournalArticle</b:SourceType>
    <b:Guid>{F73FB818-959B-9D44-929E-D9ADEC65857C}</b:Guid>
    <b:Title>Las mujeres también matamos</b:Title>
    <b:Year>2013</b:Year>
    <b:JournalName>Derecho y cambio social</b:JournalName>
    <b:Pages>1-7</b:Pages>
    <b:Volume>33</b:Volume>
    <b:Author>
      <b:Author>
        <b:NameList>
          <b:Person>
            <b:Last>López</b:Last>
            <b:First>Andrea</b:First>
          </b:Person>
        </b:NameList>
      </b:Author>
    </b:Author>
    <b:RefOrder>44</b:RefOrder>
  </b:Source>
  <b:Source>
    <b:Tag>Coo01</b:Tag>
    <b:SourceType>JournalArticle</b:SourceType>
    <b:Guid>{C2175441-9B74-384A-BF68-EF62815B6145}</b:Guid>
    <b:Title>Refining the Construct of Psychopathy: Towards a Hierarchical Model</b:Title>
    <b:JournalName>Psychological Assessment</b:JournalName>
    <b:Year>2001</b:Year>
    <b:Pages>171-188</b:Pages>
    <b:Volume>13</b:Volume>
    <b:Issue>2</b:Issue>
    <b:Author>
      <b:Author>
        <b:NameList>
          <b:Person>
            <b:Last>Cooke</b:Last>
            <b:First>D. J.</b:First>
          </b:Person>
          <b:Person>
            <b:Last>Michie</b:Last>
            <b:First>C.</b:First>
          </b:Person>
        </b:NameList>
      </b:Author>
    </b:Author>
    <b:RefOrder>45</b:RefOrder>
  </b:Source>
  <b:Source>
    <b:Tag>EFE</b:Tag>
    <b:SourceType>InternetSite</b:SourceType>
    <b:Guid>{4D81C5DB-A2C2-FE4F-A2FC-82DD6CB058A3}</b:Guid>
    <b:Title>La 'envenenadora de Melilla', condenada a 84 años por tres asesinatos y un intento</b:Title>
    <b:InternetSiteTitle>El País</b:InternetSiteTitle>
    <b:URL>https://elpais.com/diario/2005/09/27/espana/1127772022_850215.html</b:URL>
    <b:Author>
      <b:Author>
        <b:NameList>
          <b:Person>
            <b:Last>EFE</b:Last>
          </b:Person>
        </b:NameList>
      </b:Author>
    </b:Author>
    <b:RefOrder>77</b:RefOrder>
  </b:Source>
  <b:Source>
    <b:Tag>EFE05</b:Tag>
    <b:SourceType>InternetSite</b:SourceType>
    <b:Guid>{6F3C3501-9BA6-9447-B66B-B2888B70B087}</b:Guid>
    <b:Title>La 'envenenadora de Melilla', condenada a 84 años por tres asesinatos y un intento </b:Title>
    <b:InternetSiteTitle>El País</b:InternetSiteTitle>
    <b:URL>https://elpais.com/diario/2005/09/27/espana/1127772022_850215.html</b:URL>
    <b:Year>2005</b:Year>
    <b:Author>
      <b:Author>
        <b:NameList>
          <b:Person>
            <b:Last>EFE</b:Last>
          </b:Person>
        </b:NameList>
      </b:Author>
    </b:Author>
    <b:RefOrder>47</b:RefOrder>
  </b:Source>
  <b:Source>
    <b:Tag>Est05</b:Tag>
    <b:SourceType>InternetSite</b:SourceType>
    <b:Guid>{C0D15FDE-6775-5A4A-A038-E231F0D28C1A}</b:Guid>
    <b:Author>
      <b:Author>
        <b:NameList>
          <b:Person>
            <b:Last>Esther</b:Last>
          </b:Person>
        </b:NameList>
      </b:Author>
    </b:Author>
    <b:Title>La envenenadora de Melilla confiesa tres asesinatos</b:Title>
    <b:InternetSiteTitle>Adeguello</b:InternetSiteTitle>
    <b:URL>http://www.adeguello.net/printade2005nov6.htm</b:URL>
    <b:Year>2005</b:Year>
    <b:RefOrder>48</b:RefOrder>
  </b:Source>
  <b:Source>
    <b:Tag>Ceb</b:Tag>
    <b:SourceType>InternetSite</b:SourceType>
    <b:Guid>{38DB5131-9736-FB4E-B1A6-3EABBB6FC0BD}</b:Guid>
    <b:Title>Unas gotas de veneno en cada sopa</b:Title>
    <b:InternetSiteTitle>El País</b:InternetSiteTitle>
    <b:URL>https://elpais.com/diario/2010/08/29/domingo/1283053959_850215.html</b:URL>
    <b:Author>
      <b:Author>
        <b:NameList>
          <b:Person>
            <b:Last>Ceberio</b:Last>
            <b:First>Mónica</b:First>
          </b:Person>
        </b:NameList>
      </b:Author>
    </b:Author>
    <b:RefOrder>78</b:RefOrder>
  </b:Source>
  <b:Source>
    <b:Tag>Ceb10</b:Tag>
    <b:SourceType>InternetSite</b:SourceType>
    <b:Guid>{18EAA121-F7AE-F143-A129-33E61F735355}</b:Guid>
    <b:Title>Unas gotas de veneno en cada sopa</b:Title>
    <b:InternetSiteTitle>El País</b:InternetSiteTitle>
    <b:URL>https://elpais.com/diario/2010/08/29/domingo/1283053959_850215.html</b:URL>
    <b:Year>2010</b:Year>
    <b:Author>
      <b:Author>
        <b:NameList>
          <b:Person>
            <b:Last>Ceberio</b:Last>
            <b:First>Mónica</b:First>
          </b:Person>
        </b:NameList>
      </b:Author>
    </b:Author>
    <b:RefOrder>49</b:RefOrder>
  </b:Source>
  <b:Source>
    <b:Tag>Gab17</b:Tag>
    <b:SourceType>InternetSite</b:SourceType>
    <b:Guid>{4C3E01D7-53B5-654A-A665-9C0A476A704D}</b:Guid>
    <b:Author>
      <b:Author>
        <b:NameList>
          <b:Person>
            <b:Last>Judicial</b:Last>
            <b:First>Gabinete</b:First>
            <b:Middle>de Criminología</b:Middle>
          </b:Person>
        </b:NameList>
      </b:Author>
    </b:Author>
    <b:Title>Francisca Ballesteros, La fogosa</b:Title>
    <b:InternetSiteTitle>Crimen Scientia</b:InternetSiteTitle>
    <b:URL>http://crimenscientia.blogspot.com/2017/02/francisca-ballesteros-la-fogosa.html</b:URL>
    <b:Year>2017</b:Year>
    <b:RefOrder>50</b:RefOrder>
  </b:Source>
  <b:Source>
    <b:Tag>Mal04</b:Tag>
    <b:SourceType>InternetSite</b:SourceType>
    <b:Guid>{EBFF13E6-282E-EE4C-A0CA-AC321E0C8C93}</b:Guid>
    <b:Title>Paqui, retrato de una asesina</b:Title>
    <b:InternetSiteTitle>El Mundo</b:InternetSiteTitle>
    <b:URL>https://www.elmundo.es/cronica/2004/452/1087216577.html</b:URL>
    <b:Year>2004</b:Year>
    <b:Author>
      <b:Author>
        <b:NameList>
          <b:Person>
            <b:Last>Malvar</b:Last>
            <b:First>Anibal</b:First>
          </b:Person>
        </b:NameList>
      </b:Author>
    </b:Author>
    <b:RefOrder>51</b:RefOrder>
  </b:Source>
  <b:Source>
    <b:Tag>Gar12</b:Tag>
    <b:SourceType>InternetSite</b:SourceType>
    <b:Guid>{0F4E5C73-8692-7A4C-A162-F20F687DC139}</b:Guid>
    <b:Title>Las crueles fantasías de Angie</b:Title>
    <b:InternetSiteTitle>El País</b:InternetSiteTitle>
    <b:URL>https://elpais.com/politica/2012/03/23/actualidad/1332510576_805241.html</b:URL>
    <b:Year>2012</b:Year>
    <b:Author>
      <b:Author>
        <b:NameList>
          <b:Person>
            <b:Last>García</b:Last>
            <b:First>Jesús</b:First>
          </b:Person>
        </b:NameList>
      </b:Author>
    </b:Author>
    <b:RefOrder>52</b:RefOrder>
  </b:Source>
  <b:Source>
    <b:Tag>Pri191</b:Tag>
    <b:SourceType>InternetSite</b:SourceType>
    <b:Guid>{4EBC7A92-698F-0F4D-95AE-78054582FF83}</b:Guid>
    <b:Title>Jefa de recursos humanos, simuladora de orgías y asesina. La vida lunática de Angie</b:Title>
    <b:InternetSiteTitle>El Confidencial</b:InternetSiteTitle>
    <b:URL>https://www.elconfidencial.com/espana/2019-11-30/asesinato-barcelona-angie-mossos-crimen-perfecto_2351716/</b:URL>
    <b:Year>2019</b:Year>
    <b:Author>
      <b:Author>
        <b:NameList>
          <b:Person>
            <b:Last>Prieto</b:Last>
            <b:First>Carlos</b:First>
          </b:Person>
        </b:NameList>
      </b:Author>
    </b:Author>
    <b:RefOrder>53</b:RefOrder>
  </b:Source>
  <b:Source>
    <b:Tag>Nav17</b:Tag>
    <b:SourceType>InternetSite</b:SourceType>
    <b:Guid>{369E2D69-23D5-A14E-8A01-EE9E84787BDF}</b:Guid>
    <b:Title>Angie, acusada ahora de asesinar a su marido</b:Title>
    <b:InternetSiteTitle>La Vanguardia</b:InternetSiteTitle>
    <b:URL>https://www.lavanguardia.com/sucesos/20170708/423958725205/angie-crimen-ana-paez-juicio-asesinato-marido.html</b:URL>
    <b:Year>2017</b:Year>
    <b:Author>
      <b:Author>
        <b:NameList>
          <b:Person>
            <b:Last>Navarro</b:Last>
            <b:First>Mayka</b:First>
          </b:Person>
        </b:NameList>
      </b:Author>
    </b:Author>
    <b:RefOrder>54</b:RefOrder>
  </b:Source>
  <b:Source>
    <b:Tag>Loz18</b:Tag>
    <b:SourceType>InternetSite</b:SourceType>
    <b:Guid>{891DADA4-CC59-7C4B-8C5C-DC63FAB22A20}</b:Guid>
    <b:Title>Angie, la autora del 'crimen perfecto', se libra de la muerte de su marido</b:Title>
    <b:InternetSiteTitle>El Periódico</b:InternetSiteTitle>
    <b:URL>https://www.elperiodico.com/es/sucesos-y-tribunales/20180927/angie-asesina-barcelona-libra-muerte-marido-7057950</b:URL>
    <b:Year>2018</b:Year>
    <b:Author>
      <b:Author>
        <b:NameList>
          <b:Person>
            <b:Last>Lozano</b:Last>
            <b:First>Vanesa</b:First>
          </b:Person>
          <b:Person>
            <b:Last>Rendueles</b:Last>
            <b:First>Luis</b:First>
          </b:Person>
        </b:NameList>
      </b:Author>
    </b:Author>
    <b:RefOrder>55</b:RefOrder>
  </b:Source>
  <b:Source>
    <b:Tag>Gar15</b:Tag>
    <b:SourceType>InternetSite</b:SourceType>
    <b:Guid>{622EFCB5-8632-2D4F-BF85-A017151890B2}</b:Guid>
    <b:Title>Un crimen perverso, pero no perfecto</b:Title>
    <b:InternetSiteTitle>El País</b:InternetSiteTitle>
    <b:URL>https://elpais.com/ccaa/2015/08/08/catalunya/1439063070_470912.html</b:URL>
    <b:Year>2015</b:Year>
    <b:Author>
      <b:Author>
        <b:NameList>
          <b:Person>
            <b:Last>Garcia </b:Last>
            <b:First>Jesus</b:First>
          </b:Person>
        </b:NameList>
      </b:Author>
    </b:Author>
    <b:RefOrder>56</b:RefOrder>
  </b:Source>
  <b:Source>
    <b:Tag>Sán20</b:Tag>
    <b:SourceType>InternetSite</b:SourceType>
    <b:Guid>{20FF0E84-F23D-C34E-BE8D-60CAFAB0738D}</b:Guid>
    <b:Title>La justicia confirma la prisión permanente revisable para Ana Julia Quezada</b:Title>
    <b:InternetSiteTitle>El País</b:InternetSiteTitle>
    <b:URL>https://elpais.com/sociedad/2020/02/06/actualidad/1580993829_083842.html</b:URL>
    <b:Year>2020</b:Year>
    <b:Author>
      <b:Author>
        <b:NameList>
          <b:Person>
            <b:Last>Sánchez</b:Last>
            <b:First>Nacho</b:First>
          </b:Person>
        </b:NameList>
      </b:Author>
    </b:Author>
    <b:RefOrder>57</b:RefOrder>
  </b:Source>
  <b:Source>
    <b:Tag>Alf19</b:Tag>
    <b:SourceType>InternetSite</b:SourceType>
    <b:Guid>{1F65699E-754E-C246-99D8-34280CAB317D}</b:Guid>
    <b:Title>La fiscal: “La única verdad que ha dicho es que mató al niño”</b:Title>
    <b:InternetSiteTitle>El País</b:InternetSiteTitle>
    <b:URL>https://elpais.com/sociedad/2019/09/17/actualidad/1568720315_621013.html</b:URL>
    <b:Year>2019</b:Year>
    <b:Author>
      <b:Author>
        <b:NameList>
          <b:Person>
            <b:Last>Alfageme</b:Last>
            <b:First>Ana</b:First>
          </b:Person>
        </b:NameList>
      </b:Author>
    </b:Author>
    <b:RefOrder>58</b:RefOrder>
  </b:Source>
  <b:Source>
    <b:Tag>Nav19</b:Tag>
    <b:SourceType>InternetSite</b:SourceType>
    <b:Guid>{A235B8AE-F195-FF41-B670-BEBE43398AF0}</b:Guid>
    <b:Title>Ana Julia Quezada: retrato de una mujer perversa</b:Title>
    <b:InternetSiteTitle>La Vanguardia</b:InternetSiteTitle>
    <b:URL>https://www.lavanguardia.com/sucesos/20190918/47445133175/ana-julia-quezada-perversa.html</b:URL>
    <b:Year>2019</b:Year>
    <b:Author>
      <b:Author>
        <b:NameList>
          <b:Person>
            <b:Last>Navarro</b:Last>
            <b:First>Mayka</b:First>
          </b:Person>
        </b:NameList>
      </b:Author>
    </b:Author>
    <b:RefOrder>59</b:RefOrder>
  </b:Source>
  <b:Source>
    <b:Tag>Mel19</b:Tag>
    <b:SourceType>InternetSite</b:SourceType>
    <b:Guid>{B6B60036-1611-4340-892E-3769F75D71B6}</b:Guid>
    <b:Title>El perfil psicológico de Ana Julia Quezada: "Fría, manipuladora y con falta de empatía, pero no una psicópata"</b:Title>
    <b:InternetSiteTitle>Cope</b:InternetSiteTitle>
    <b:URL>https://www.cope.es/actualidad/espana/noticias/perfil-psicologico-ana-julia-quezada-fria-manipuladora-con-falta-empatia-pero-una-psicopata-20190908_493215</b:URL>
    <b:Year>2019</b:Year>
    <b:Author>
      <b:Author>
        <b:NameList>
          <b:Person>
            <b:Last>Melero</b:Last>
            <b:First>José</b:First>
          </b:Person>
        </b:NameList>
      </b:Author>
    </b:Author>
    <b:RefOrder>60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93F74D-A52E-1E4A-BCC6-FB7E1CDBC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672</TotalTime>
  <Pages>40</Pages>
  <Words>13978</Words>
  <Characters>76884</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La psicopatía en las mujeres</vt:lpstr>
    </vt:vector>
  </TitlesOfParts>
  <Company/>
  <LinksUpToDate>false</LinksUpToDate>
  <CharactersWithSpaces>90681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psicopatía en las mujeres</dc:title>
  <dc:subject>TFG Criminología</dc:subject>
  <dc:creator>Rocío Reglero Lara</dc:creator>
  <cp:lastModifiedBy>Rocío Reglero Lara</cp:lastModifiedBy>
  <cp:revision>96</cp:revision>
  <dcterms:created xsi:type="dcterms:W3CDTF">2019-12-11T22:58:00Z</dcterms:created>
  <dcterms:modified xsi:type="dcterms:W3CDTF">2020-03-19T20:21:00Z</dcterms:modified>
</cp:coreProperties>
</file>