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1CDC02" w14:textId="77777777" w:rsidR="008B531E" w:rsidRPr="008B531E" w:rsidRDefault="008B531E" w:rsidP="008B531E">
      <w:pPr>
        <w:jc w:val="center"/>
        <w:rPr>
          <w:b/>
        </w:rPr>
      </w:pPr>
      <w:bookmarkStart w:id="0" w:name="_GoBack"/>
      <w:bookmarkEnd w:id="0"/>
      <w:r w:rsidRPr="008B531E">
        <w:rPr>
          <w:b/>
        </w:rPr>
        <w:t>Sesgo de exceso de confianza</w:t>
      </w:r>
    </w:p>
    <w:p w14:paraId="1DFEC040" w14:textId="77777777" w:rsidR="008B531E" w:rsidRDefault="008B531E" w:rsidP="00C415FD">
      <w:pPr>
        <w:jc w:val="both"/>
      </w:pPr>
    </w:p>
    <w:p w14:paraId="26915EBD" w14:textId="43AA5A24" w:rsidR="008B531E" w:rsidRPr="00CD79E1" w:rsidRDefault="008B531E" w:rsidP="008B531E">
      <w:pPr>
        <w:jc w:val="right"/>
        <w:rPr>
          <w:sz w:val="18"/>
          <w:szCs w:val="18"/>
        </w:rPr>
      </w:pPr>
      <w:r w:rsidRPr="00CD79E1">
        <w:rPr>
          <w:sz w:val="18"/>
          <w:szCs w:val="18"/>
        </w:rPr>
        <w:t>Natalia Cassinello Plaza</w:t>
      </w:r>
    </w:p>
    <w:p w14:paraId="34E6B372" w14:textId="31E0D16A" w:rsidR="008B531E" w:rsidRPr="00CD79E1" w:rsidRDefault="008B531E" w:rsidP="008B531E">
      <w:pPr>
        <w:jc w:val="right"/>
        <w:rPr>
          <w:sz w:val="18"/>
          <w:szCs w:val="18"/>
        </w:rPr>
      </w:pPr>
      <w:r w:rsidRPr="00CD79E1">
        <w:rPr>
          <w:sz w:val="18"/>
          <w:szCs w:val="18"/>
        </w:rPr>
        <w:t xml:space="preserve">Grupo de investigación en </w:t>
      </w:r>
      <w:proofErr w:type="spellStart"/>
      <w:r w:rsidRPr="00CD79E1">
        <w:rPr>
          <w:sz w:val="18"/>
          <w:szCs w:val="18"/>
        </w:rPr>
        <w:t>Behavioral</w:t>
      </w:r>
      <w:proofErr w:type="spellEnd"/>
      <w:r w:rsidRPr="00CD79E1">
        <w:rPr>
          <w:sz w:val="18"/>
          <w:szCs w:val="18"/>
        </w:rPr>
        <w:t xml:space="preserve"> Finance, Universidad Pontificia Comillas</w:t>
      </w:r>
    </w:p>
    <w:p w14:paraId="51222925" w14:textId="77777777" w:rsidR="008B531E" w:rsidRDefault="008B531E" w:rsidP="00C415FD">
      <w:pPr>
        <w:jc w:val="both"/>
      </w:pPr>
    </w:p>
    <w:p w14:paraId="6E83799C" w14:textId="5461C6A9" w:rsidR="00155BC1" w:rsidRDefault="005A1A11" w:rsidP="00C415FD">
      <w:pPr>
        <w:jc w:val="both"/>
      </w:pPr>
      <w:r>
        <w:t xml:space="preserve">Tendemos a sobrevalorar nuestra capacidad intuitiva para razonar y hacer predicciones. </w:t>
      </w:r>
      <w:r w:rsidR="00F67B00">
        <w:t xml:space="preserve">Es el llamado sesgo de </w:t>
      </w:r>
      <w:r w:rsidR="00155BC1">
        <w:t>exceso de confianza</w:t>
      </w:r>
      <w:r w:rsidR="00F67B00">
        <w:t xml:space="preserve"> (</w:t>
      </w:r>
      <w:r w:rsidR="00155BC1">
        <w:t xml:space="preserve">del término inglés </w:t>
      </w:r>
      <w:proofErr w:type="spellStart"/>
      <w:r w:rsidR="00F67B00" w:rsidRPr="00155BC1">
        <w:rPr>
          <w:i/>
        </w:rPr>
        <w:t>overconfidence</w:t>
      </w:r>
      <w:proofErr w:type="spellEnd"/>
      <w:r w:rsidR="00F67B00" w:rsidRPr="00155BC1">
        <w:rPr>
          <w:i/>
        </w:rPr>
        <w:t xml:space="preserve"> </w:t>
      </w:r>
      <w:proofErr w:type="spellStart"/>
      <w:r w:rsidR="00F67B00" w:rsidRPr="00155BC1">
        <w:rPr>
          <w:i/>
        </w:rPr>
        <w:t>Bias</w:t>
      </w:r>
      <w:proofErr w:type="spellEnd"/>
      <w:r w:rsidR="00F67B00">
        <w:t xml:space="preserve">). </w:t>
      </w:r>
      <w:r w:rsidR="00155BC1">
        <w:t xml:space="preserve">Así lo demuestran numerosos </w:t>
      </w:r>
      <w:r w:rsidR="009210A2">
        <w:t>artículos</w:t>
      </w:r>
      <w:r w:rsidR="00155BC1">
        <w:t xml:space="preserve"> académicos que establecen que este sesgo es uno de</w:t>
      </w:r>
      <w:r w:rsidR="003B1BA6">
        <w:t xml:space="preserve"> los principales que nos afecta a la hora de  tomar decisiones</w:t>
      </w:r>
      <w:r>
        <w:t xml:space="preserve">.  </w:t>
      </w:r>
    </w:p>
    <w:p w14:paraId="791A90CB" w14:textId="77777777" w:rsidR="00155BC1" w:rsidRDefault="00155BC1" w:rsidP="00C415FD">
      <w:pPr>
        <w:jc w:val="both"/>
      </w:pPr>
    </w:p>
    <w:p w14:paraId="50028905" w14:textId="1CFB4C22" w:rsidR="009210A2" w:rsidRDefault="003B1BA6" w:rsidP="009210A2">
      <w:pPr>
        <w:jc w:val="both"/>
      </w:pPr>
      <w:r>
        <w:t xml:space="preserve">Por otra parte, los </w:t>
      </w:r>
      <w:r w:rsidR="00BA450B">
        <w:t>estudios</w:t>
      </w:r>
      <w:r w:rsidR="00155BC1">
        <w:t xml:space="preserve"> también muestran</w:t>
      </w:r>
      <w:r w:rsidR="00BA450B">
        <w:t>,</w:t>
      </w:r>
      <w:r w:rsidR="00155BC1">
        <w:t xml:space="preserve"> que </w:t>
      </w:r>
      <w:r w:rsidR="00BA450B">
        <w:t xml:space="preserve">nos es </w:t>
      </w:r>
      <w:r w:rsidR="00155BC1">
        <w:t xml:space="preserve">difícil </w:t>
      </w:r>
      <w:r w:rsidR="00BA450B">
        <w:t xml:space="preserve">reconocer nuestros </w:t>
      </w:r>
      <w:r w:rsidR="00155BC1">
        <w:t>propio</w:t>
      </w:r>
      <w:r w:rsidR="00BA450B">
        <w:t>s</w:t>
      </w:r>
      <w:r w:rsidR="00155BC1">
        <w:t xml:space="preserve"> sesgo</w:t>
      </w:r>
      <w:r w:rsidR="00BA450B">
        <w:t>s</w:t>
      </w:r>
      <w:r w:rsidR="00155BC1">
        <w:t xml:space="preserve">, por lo que resulta </w:t>
      </w:r>
      <w:r w:rsidR="00BA450B">
        <w:t xml:space="preserve">gran utilidad </w:t>
      </w:r>
      <w:r w:rsidR="00155BC1">
        <w:t>que nos ayuden a conocernos.</w:t>
      </w:r>
      <w:r>
        <w:t xml:space="preserve"> Las</w:t>
      </w:r>
      <w:r w:rsidR="00155BC1">
        <w:t xml:space="preserve"> teorías de </w:t>
      </w:r>
      <w:proofErr w:type="spellStart"/>
      <w:r w:rsidR="00155BC1">
        <w:t>Behavioral</w:t>
      </w:r>
      <w:proofErr w:type="spellEnd"/>
      <w:r w:rsidR="00155BC1">
        <w:t xml:space="preserve"> Finance, </w:t>
      </w:r>
      <w:r>
        <w:t xml:space="preserve">analizan los posibles  sesgos </w:t>
      </w:r>
      <w:r w:rsidR="00155BC1">
        <w:t>para identificar perfiles y mejorar así el asesoramiento financiero.</w:t>
      </w:r>
      <w:r w:rsidR="009210A2">
        <w:t xml:space="preserve"> </w:t>
      </w:r>
    </w:p>
    <w:p w14:paraId="5B9EA853" w14:textId="77777777" w:rsidR="009210A2" w:rsidRDefault="009210A2" w:rsidP="009210A2">
      <w:pPr>
        <w:jc w:val="both"/>
      </w:pPr>
    </w:p>
    <w:p w14:paraId="0BF756B1" w14:textId="4EBCB7E8" w:rsidR="009210A2" w:rsidRDefault="009210A2" w:rsidP="009210A2">
      <w:pPr>
        <w:jc w:val="both"/>
      </w:pPr>
      <w:r>
        <w:t xml:space="preserve">¿Pero </w:t>
      </w:r>
      <w:r w:rsidR="00BA450B">
        <w:t>qué</w:t>
      </w:r>
      <w:r>
        <w:t xml:space="preserve"> quiere decir que tenemos un exceso de confianza?  La </w:t>
      </w:r>
      <w:r w:rsidR="0085708B">
        <w:t>“</w:t>
      </w:r>
      <w:proofErr w:type="spellStart"/>
      <w:r w:rsidRPr="0085708B">
        <w:rPr>
          <w:i/>
        </w:rPr>
        <w:t>sobreconfianza</w:t>
      </w:r>
      <w:proofErr w:type="spellEnd"/>
      <w:r w:rsidR="0085708B">
        <w:rPr>
          <w:i/>
        </w:rPr>
        <w:t>”</w:t>
      </w:r>
      <w:r>
        <w:t xml:space="preserve"> nos lleva a creer que tenemos más conocimientos o información que el resto para tomar las decisiones con más precisión (conocido como “</w:t>
      </w:r>
      <w:proofErr w:type="spellStart"/>
      <w:r w:rsidRPr="0085708B">
        <w:rPr>
          <w:i/>
        </w:rPr>
        <w:t>certainty</w:t>
      </w:r>
      <w:proofErr w:type="spellEnd"/>
      <w:r w:rsidRPr="0085708B">
        <w:rPr>
          <w:i/>
        </w:rPr>
        <w:t xml:space="preserve"> </w:t>
      </w:r>
      <w:proofErr w:type="spellStart"/>
      <w:r w:rsidRPr="0085708B">
        <w:rPr>
          <w:i/>
        </w:rPr>
        <w:t>overconfidence</w:t>
      </w:r>
      <w:proofErr w:type="spellEnd"/>
      <w:r>
        <w:t xml:space="preserve">”). Y en el caso de tener que hacer predicciones este </w:t>
      </w:r>
      <w:r w:rsidR="00BA450B">
        <w:t>sesgo</w:t>
      </w:r>
      <w:r>
        <w:t xml:space="preserve"> nos lleva a </w:t>
      </w:r>
      <w:r w:rsidR="00BA450B">
        <w:t>pensar</w:t>
      </w:r>
      <w:r>
        <w:t xml:space="preserve"> que la probabilidad de fracaso es menor que la real</w:t>
      </w:r>
      <w:r w:rsidR="00BA450B">
        <w:t>,</w:t>
      </w:r>
      <w:r>
        <w:t xml:space="preserve"> al igual que damos más probabilidad a acertar de la que correspondería (conocido como el “</w:t>
      </w:r>
      <w:proofErr w:type="spellStart"/>
      <w:r w:rsidRPr="0085708B">
        <w:rPr>
          <w:i/>
        </w:rPr>
        <w:t>prediction</w:t>
      </w:r>
      <w:proofErr w:type="spellEnd"/>
      <w:r w:rsidRPr="0085708B">
        <w:rPr>
          <w:i/>
        </w:rPr>
        <w:t xml:space="preserve"> </w:t>
      </w:r>
      <w:proofErr w:type="spellStart"/>
      <w:r w:rsidRPr="0085708B">
        <w:rPr>
          <w:i/>
        </w:rPr>
        <w:t>overconfidence</w:t>
      </w:r>
      <w:proofErr w:type="spellEnd"/>
      <w:r>
        <w:t xml:space="preserve">”). </w:t>
      </w:r>
    </w:p>
    <w:p w14:paraId="46743FDF" w14:textId="47E3DF39" w:rsidR="009210A2" w:rsidRDefault="009210A2" w:rsidP="009210A2">
      <w:pPr>
        <w:jc w:val="both"/>
      </w:pPr>
    </w:p>
    <w:p w14:paraId="490E98A3" w14:textId="782A55DE" w:rsidR="009210A2" w:rsidRDefault="009210A2" w:rsidP="009210A2">
      <w:pPr>
        <w:jc w:val="both"/>
      </w:pPr>
      <w:r>
        <w:t>En el ámbito financiero, una persona “</w:t>
      </w:r>
      <w:proofErr w:type="spellStart"/>
      <w:r w:rsidRPr="0085708B">
        <w:rPr>
          <w:i/>
        </w:rPr>
        <w:t>sobreconfiada</w:t>
      </w:r>
      <w:proofErr w:type="spellEnd"/>
      <w:r>
        <w:t xml:space="preserve">”, de acuerdo con Michel M. </w:t>
      </w:r>
      <w:proofErr w:type="spellStart"/>
      <w:r>
        <w:t>Pompian</w:t>
      </w:r>
      <w:proofErr w:type="spellEnd"/>
      <w:r>
        <w:t>, tiende a infravalorar los riesgos de las decisiones financieras, a la vez que va a sobreestimar las ganancias esperadas. E</w:t>
      </w:r>
      <w:r w:rsidR="00BA450B">
        <w:t>n general</w:t>
      </w:r>
      <w:r>
        <w:t xml:space="preserve"> les lleva a realizar compraventas en exceso, incurriendo en altos costes de transacción que reducen la rentabilidad y a tener carteras de inversión no suficientemente diversificadas. </w:t>
      </w:r>
    </w:p>
    <w:p w14:paraId="4345B6EE" w14:textId="77777777" w:rsidR="00155BC1" w:rsidRDefault="00155BC1" w:rsidP="00C415FD">
      <w:pPr>
        <w:jc w:val="both"/>
      </w:pPr>
    </w:p>
    <w:p w14:paraId="56FA3E72" w14:textId="62B36977" w:rsidR="00D42FF3" w:rsidRDefault="00155BC1" w:rsidP="00C415FD">
      <w:pPr>
        <w:jc w:val="both"/>
      </w:pPr>
      <w:r>
        <w:t>El exceso de confianza lo m</w:t>
      </w:r>
      <w:r w:rsidR="003B1BA6">
        <w:t xml:space="preserve">ostramos en muchos ámbitos de nuestra </w:t>
      </w:r>
      <w:r>
        <w:t xml:space="preserve">vida diaria, pudiendo identificar la existencia de este sesgo a través de preguntas como ¿Considera usted que conduce mejor o peor que la media? o </w:t>
      </w:r>
      <w:r w:rsidRPr="00BA450B">
        <w:t xml:space="preserve">¿Tiene una alta confianza en </w:t>
      </w:r>
      <w:proofErr w:type="spellStart"/>
      <w:r w:rsidR="003B1BA6">
        <w:t>aceertar</w:t>
      </w:r>
      <w:proofErr w:type="spellEnd"/>
      <w:r w:rsidRPr="00BA450B">
        <w:t xml:space="preserve"> cuando </w:t>
      </w:r>
      <w:r w:rsidR="00BA450B" w:rsidRPr="00BA450B">
        <w:t>hace estimaciones</w:t>
      </w:r>
      <w:r w:rsidRPr="00BA450B">
        <w:t>?</w:t>
      </w:r>
      <w:r>
        <w:t xml:space="preserve"> </w:t>
      </w:r>
      <w:r w:rsidR="009210A2">
        <w:t xml:space="preserve"> </w:t>
      </w:r>
      <w:r w:rsidR="00D42FF3">
        <w:t>Sería necesario realizar un test con un número de pregun</w:t>
      </w:r>
      <w:r w:rsidR="00BA450B">
        <w:t>t</w:t>
      </w:r>
      <w:r w:rsidR="00D42FF3">
        <w:t xml:space="preserve">as significativas para </w:t>
      </w:r>
      <w:r w:rsidR="001F0C82">
        <w:t>confirmar la existencia de un sesgo</w:t>
      </w:r>
      <w:r w:rsidR="003B1BA6">
        <w:t>.</w:t>
      </w:r>
    </w:p>
    <w:p w14:paraId="32E1EE16" w14:textId="77777777" w:rsidR="00D42FF3" w:rsidRDefault="00D42FF3" w:rsidP="00C415FD">
      <w:pPr>
        <w:jc w:val="both"/>
      </w:pPr>
    </w:p>
    <w:p w14:paraId="5B0024EA" w14:textId="77777777" w:rsidR="00CD79E1" w:rsidRDefault="000277EC" w:rsidP="00C415FD">
      <w:pPr>
        <w:jc w:val="both"/>
      </w:pPr>
      <w:r>
        <w:t xml:space="preserve">De la encuesta realizada en junio de 2016 por </w:t>
      </w:r>
      <w:r w:rsidR="00A25060">
        <w:t>69 inverso</w:t>
      </w:r>
      <w:r>
        <w:t xml:space="preserve">res en España, </w:t>
      </w:r>
      <w:r w:rsidR="008B531E">
        <w:t>e</w:t>
      </w:r>
      <w:r w:rsidR="00D42FF3">
        <w:t>l 39% de la mue</w:t>
      </w:r>
      <w:r w:rsidR="0085708B">
        <w:t>s</w:t>
      </w:r>
      <w:r w:rsidR="00D42FF3">
        <w:t xml:space="preserve">tra considera que conduce por encima de la media, y si bien en algunos casos será correcto, no lo es en el 100% de ellos. </w:t>
      </w:r>
      <w:r w:rsidR="00F91E9C">
        <w:t xml:space="preserve"> Los estudios académicos muestran que considerase mejor a la media está correlacionado con </w:t>
      </w:r>
      <w:r w:rsidR="00D42FF3">
        <w:t>el exceso de confianza</w:t>
      </w:r>
      <w:r w:rsidR="00A13219">
        <w:t xml:space="preserve"> y por lo tanto</w:t>
      </w:r>
      <w:r w:rsidR="00D42FF3">
        <w:t xml:space="preserve">s son </w:t>
      </w:r>
      <w:r w:rsidR="00A13219">
        <w:t xml:space="preserve"> susceptibles de este sesgo</w:t>
      </w:r>
      <w:r w:rsidR="00FB4634">
        <w:t>.</w:t>
      </w:r>
      <w:r w:rsidR="00CD79E1">
        <w:t xml:space="preserve"> </w:t>
      </w:r>
    </w:p>
    <w:p w14:paraId="63A71BBE" w14:textId="2F9515A0" w:rsidR="00CD79E1" w:rsidRDefault="00CD79E1" w:rsidP="00C415FD">
      <w:pPr>
        <w:jc w:val="both"/>
      </w:pPr>
      <w:r>
        <w:t>Figura 1:</w:t>
      </w:r>
    </w:p>
    <w:p w14:paraId="0C48DFAD" w14:textId="75E5FD03" w:rsidR="00FB4634" w:rsidRDefault="008E3BCE" w:rsidP="00C415FD">
      <w:pPr>
        <w:jc w:val="both"/>
      </w:pPr>
      <w:r>
        <w:rPr>
          <w:noProof/>
          <w:lang w:val="es-ES"/>
        </w:rPr>
        <w:lastRenderedPageBreak/>
        <w:drawing>
          <wp:inline distT="0" distB="0" distL="0" distR="0" wp14:anchorId="49C052B2" wp14:editId="76ECBCD3">
            <wp:extent cx="5019675" cy="1571625"/>
            <wp:effectExtent l="0" t="0" r="9525" b="9525"/>
            <wp:docPr id="1" name="Gráfico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14:paraId="2196A874" w14:textId="77777777" w:rsidR="008E3BCE" w:rsidRDefault="008E3BCE" w:rsidP="00C415FD">
      <w:pPr>
        <w:jc w:val="both"/>
      </w:pPr>
    </w:p>
    <w:p w14:paraId="0E892503" w14:textId="77777777" w:rsidR="00FB4634" w:rsidRDefault="00FB4634" w:rsidP="00C415FD">
      <w:pPr>
        <w:jc w:val="both"/>
      </w:pPr>
    </w:p>
    <w:p w14:paraId="7FF222F1" w14:textId="77777777" w:rsidR="00A13219" w:rsidRDefault="00A13219" w:rsidP="00A13219">
      <w:pPr>
        <w:jc w:val="both"/>
      </w:pPr>
      <w:r>
        <w:t>En relación con la probabilidad de acertar una pregunta de geografía el 43% estaba absolutamente seguro y un 23% bastante seguro, siendo ambos susceptibles del sesgo de exceso de confianza.</w:t>
      </w:r>
    </w:p>
    <w:p w14:paraId="0BE82537" w14:textId="77777777" w:rsidR="00191D34" w:rsidRDefault="00191D34" w:rsidP="00C415FD">
      <w:pPr>
        <w:jc w:val="both"/>
      </w:pPr>
    </w:p>
    <w:p w14:paraId="63E8562B" w14:textId="7D3191F2" w:rsidR="00191D34" w:rsidRDefault="008B531E" w:rsidP="00C415FD">
      <w:pPr>
        <w:jc w:val="both"/>
      </w:pPr>
      <w:r>
        <w:t xml:space="preserve">Figura 2: </w:t>
      </w:r>
    </w:p>
    <w:p w14:paraId="2F4E8592" w14:textId="14FEB05F" w:rsidR="00CD79E1" w:rsidRDefault="00CD79E1" w:rsidP="00C415FD">
      <w:pPr>
        <w:jc w:val="both"/>
      </w:pPr>
      <w:r>
        <w:rPr>
          <w:noProof/>
          <w:lang w:val="es-ES"/>
        </w:rPr>
        <w:drawing>
          <wp:inline distT="0" distB="0" distL="0" distR="0" wp14:anchorId="09C0F439" wp14:editId="654C3EB8">
            <wp:extent cx="5019675" cy="1857375"/>
            <wp:effectExtent l="0" t="0" r="9525" b="9525"/>
            <wp:docPr id="8" name="Gráfico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14:paraId="19F36397" w14:textId="77777777" w:rsidR="00CD79E1" w:rsidRDefault="00CD79E1" w:rsidP="00C415FD">
      <w:pPr>
        <w:jc w:val="both"/>
      </w:pPr>
    </w:p>
    <w:p w14:paraId="15E91585" w14:textId="77777777" w:rsidR="00446435" w:rsidRDefault="00446435" w:rsidP="00C415FD">
      <w:pPr>
        <w:jc w:val="both"/>
      </w:pPr>
    </w:p>
    <w:p w14:paraId="7EAC15B1" w14:textId="7F8A9138" w:rsidR="00CD54BE" w:rsidRDefault="00A13219" w:rsidP="00C415FD">
      <w:pPr>
        <w:jc w:val="both"/>
      </w:pPr>
      <w:r>
        <w:t>Por otra parte, a</w:t>
      </w:r>
      <w:r w:rsidR="00CD54BE">
        <w:t xml:space="preserve"> la hora de hacer predicciones, el acotar el margen de variación a un rango estrecho está correlacionado con el exceso de confianza. Un 59% se identifica c</w:t>
      </w:r>
      <w:r w:rsidR="002039E0">
        <w:t>on una predic</w:t>
      </w:r>
      <w:r>
        <w:t>ción de rango bastante acotado</w:t>
      </w:r>
      <w:r w:rsidR="003B1BA6">
        <w:t xml:space="preserve"> (</w:t>
      </w:r>
      <w:r w:rsidR="001214C3">
        <w:t xml:space="preserve">Resaltar el </w:t>
      </w:r>
      <w:r w:rsidR="00AF0136">
        <w:t xml:space="preserve">19% </w:t>
      </w:r>
      <w:r w:rsidR="001214C3">
        <w:t xml:space="preserve">que </w:t>
      </w:r>
      <w:r w:rsidR="00AF0136">
        <w:t>se lanzan a un porcentaje casi fijo</w:t>
      </w:r>
      <w:r w:rsidR="003B1BA6">
        <w:t>)</w:t>
      </w:r>
      <w:r w:rsidR="001214C3">
        <w:t>.</w:t>
      </w:r>
    </w:p>
    <w:p w14:paraId="24679528" w14:textId="77777777" w:rsidR="00CD54BE" w:rsidRDefault="00CD54BE" w:rsidP="00C415FD">
      <w:pPr>
        <w:jc w:val="both"/>
      </w:pPr>
    </w:p>
    <w:p w14:paraId="7416BD2D" w14:textId="5EE45F32" w:rsidR="00CD54BE" w:rsidRDefault="008B531E" w:rsidP="00C415FD">
      <w:pPr>
        <w:jc w:val="both"/>
      </w:pPr>
      <w:r>
        <w:t xml:space="preserve">Figura </w:t>
      </w:r>
      <w:r w:rsidR="00CD54BE">
        <w:t xml:space="preserve"> 3:</w:t>
      </w:r>
    </w:p>
    <w:p w14:paraId="01E28A31" w14:textId="374AFC24" w:rsidR="00CD79E1" w:rsidRDefault="00CD79E1" w:rsidP="00C415FD">
      <w:pPr>
        <w:jc w:val="both"/>
      </w:pPr>
      <w:r>
        <w:rPr>
          <w:noProof/>
          <w:lang w:val="es-ES"/>
        </w:rPr>
        <w:drawing>
          <wp:inline distT="0" distB="0" distL="0" distR="0" wp14:anchorId="52B7C12D" wp14:editId="799C77D2">
            <wp:extent cx="5067300" cy="1495425"/>
            <wp:effectExtent l="0" t="0" r="0" b="9525"/>
            <wp:docPr id="9" name="Gráfico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14:paraId="6ADC31D8" w14:textId="77777777" w:rsidR="00CD79E1" w:rsidRDefault="00CD79E1" w:rsidP="00C415FD">
      <w:pPr>
        <w:jc w:val="both"/>
      </w:pPr>
    </w:p>
    <w:p w14:paraId="45EF0BFF" w14:textId="77777777" w:rsidR="00CD54BE" w:rsidRDefault="00CD54BE" w:rsidP="00C415FD">
      <w:pPr>
        <w:jc w:val="both"/>
      </w:pPr>
    </w:p>
    <w:p w14:paraId="28398637" w14:textId="6EE95429" w:rsidR="00EB559E" w:rsidRDefault="003B1BA6" w:rsidP="00C415FD">
      <w:pPr>
        <w:jc w:val="both"/>
      </w:pPr>
      <w:r>
        <w:t xml:space="preserve">En la actualidad, </w:t>
      </w:r>
      <w:r w:rsidR="001214C3">
        <w:t>dada la gran cantidad de información que está accesible de forma rápida a través de la red, se</w:t>
      </w:r>
      <w:r w:rsidR="00D42FF3">
        <w:t xml:space="preserve"> ha cuestionado </w:t>
      </w:r>
      <w:r w:rsidR="007645B9">
        <w:t xml:space="preserve"> el papel de internet en el aumento o no de la confianza en la toma de decisiones</w:t>
      </w:r>
      <w:r w:rsidR="00D42FF3">
        <w:t>.</w:t>
      </w:r>
      <w:r w:rsidR="00EB559E">
        <w:t xml:space="preserve"> El buceo por diferentes páginas y el fácil acceso a recomendaciones de expertos online, nos lleva a pensar que tenemos toda </w:t>
      </w:r>
      <w:r w:rsidR="00EB559E">
        <w:lastRenderedPageBreak/>
        <w:t xml:space="preserve">la información necesaria para tomar decisiones creyendo que sabemos más de lo que sabemos. </w:t>
      </w:r>
    </w:p>
    <w:p w14:paraId="0EBE9B64" w14:textId="77777777" w:rsidR="00CD54BE" w:rsidRDefault="00CD54BE" w:rsidP="00C415FD">
      <w:pPr>
        <w:jc w:val="both"/>
      </w:pPr>
    </w:p>
    <w:p w14:paraId="3D45B851" w14:textId="084E8CC7" w:rsidR="002D6B75" w:rsidRDefault="00E9223F" w:rsidP="00C415FD">
      <w:pPr>
        <w:jc w:val="both"/>
      </w:pPr>
      <w:r>
        <w:t xml:space="preserve">De los encuestados, un </w:t>
      </w:r>
      <w:r w:rsidR="00CD54BE">
        <w:t>67% se ha mostrado a favor de la mejora de internet para la toma de decisiones financieras frente al 22% que considera que las empeora.   Sin embargo esta opinión contrasta con estudios académicos que muestran que</w:t>
      </w:r>
      <w:r w:rsidR="007A7B0D">
        <w:t xml:space="preserve"> au</w:t>
      </w:r>
      <w:r>
        <w:t>nq</w:t>
      </w:r>
      <w:r w:rsidR="007A7B0D">
        <w:t xml:space="preserve">ue </w:t>
      </w:r>
      <w:r w:rsidR="00AC5517">
        <w:t>se mejora</w:t>
      </w:r>
      <w:r w:rsidR="007A7B0D">
        <w:t xml:space="preserve"> la cultura financiera, </w:t>
      </w:r>
      <w:r w:rsidR="00CD54BE">
        <w:t xml:space="preserve"> también aumentan el sesgo de </w:t>
      </w:r>
      <w:proofErr w:type="spellStart"/>
      <w:r w:rsidR="00CD54BE" w:rsidRPr="001214C3">
        <w:rPr>
          <w:i/>
        </w:rPr>
        <w:t>sobreconfianza</w:t>
      </w:r>
      <w:proofErr w:type="spellEnd"/>
      <w:r w:rsidR="00CD54BE">
        <w:t xml:space="preserve"> </w:t>
      </w:r>
      <w:r w:rsidR="007A7B0D">
        <w:t xml:space="preserve"> llevando</w:t>
      </w:r>
      <w:r w:rsidR="00CD54BE">
        <w:t xml:space="preserve"> al inversor a tomar decis</w:t>
      </w:r>
      <w:r w:rsidR="007A7B0D">
        <w:t>i</w:t>
      </w:r>
      <w:r w:rsidR="00CD54BE">
        <w:t xml:space="preserve">ones financieras </w:t>
      </w:r>
      <w:r w:rsidR="007A7B0D">
        <w:t xml:space="preserve">con falta de los conocimientos necesarios. </w:t>
      </w:r>
    </w:p>
    <w:p w14:paraId="53DE6E07" w14:textId="77777777" w:rsidR="00063D67" w:rsidRDefault="00063D67" w:rsidP="00C415FD">
      <w:pPr>
        <w:jc w:val="both"/>
      </w:pPr>
    </w:p>
    <w:p w14:paraId="172FD74A" w14:textId="7598E883" w:rsidR="00063D67" w:rsidRDefault="008B531E" w:rsidP="00C415FD">
      <w:pPr>
        <w:jc w:val="both"/>
      </w:pPr>
      <w:r>
        <w:t xml:space="preserve">Figura </w:t>
      </w:r>
      <w:r w:rsidR="00063D67">
        <w:t xml:space="preserve"> 4:</w:t>
      </w:r>
    </w:p>
    <w:p w14:paraId="3D666F0D" w14:textId="711352AD" w:rsidR="008E3BCE" w:rsidRDefault="008E3BCE" w:rsidP="00C415FD">
      <w:pPr>
        <w:jc w:val="both"/>
      </w:pPr>
      <w:r>
        <w:rPr>
          <w:noProof/>
          <w:lang w:val="es-ES"/>
        </w:rPr>
        <w:drawing>
          <wp:inline distT="0" distB="0" distL="0" distR="0" wp14:anchorId="0D579B7B" wp14:editId="44D61385">
            <wp:extent cx="5057775" cy="2085975"/>
            <wp:effectExtent l="0" t="0" r="9525" b="9525"/>
            <wp:docPr id="4" name="Gráfico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7B55C889" w14:textId="77777777" w:rsidR="002D6B75" w:rsidRDefault="002D6B75" w:rsidP="00C415FD">
      <w:pPr>
        <w:jc w:val="both"/>
      </w:pPr>
    </w:p>
    <w:p w14:paraId="415C0C24" w14:textId="1CDBFB46" w:rsidR="00CD54BE" w:rsidRDefault="001214C3" w:rsidP="00C415FD">
      <w:pPr>
        <w:jc w:val="both"/>
      </w:pPr>
      <w:r>
        <w:t xml:space="preserve">¿Tendré yo el sesgo de exceso de confianza u otros sesgos? </w:t>
      </w:r>
      <w:r w:rsidR="00E34A83">
        <w:t xml:space="preserve">Surge así la necesidad de </w:t>
      </w:r>
      <w:r w:rsidR="002D6B75">
        <w:t xml:space="preserve">buscar las herramientas </w:t>
      </w:r>
      <w:r>
        <w:t xml:space="preserve">que nos permitan </w:t>
      </w:r>
      <w:r w:rsidR="00E34A83">
        <w:t>conocer</w:t>
      </w:r>
      <w:r>
        <w:t xml:space="preserve"> mejor </w:t>
      </w:r>
      <w:r w:rsidR="00E34A83">
        <w:t>nuestros sesgos par</w:t>
      </w:r>
      <w:r w:rsidR="008E3BCE">
        <w:t>a mejorar la toma</w:t>
      </w:r>
      <w:r w:rsidR="00E34A83">
        <w:t xml:space="preserve"> de </w:t>
      </w:r>
      <w:r w:rsidR="002D6B75">
        <w:t xml:space="preserve">decisiones de inversión. </w:t>
      </w:r>
    </w:p>
    <w:p w14:paraId="034A9F7E" w14:textId="77777777" w:rsidR="00CD54BE" w:rsidRDefault="00CD54BE" w:rsidP="00C415FD">
      <w:pPr>
        <w:jc w:val="both"/>
      </w:pPr>
    </w:p>
    <w:p w14:paraId="60D55327" w14:textId="77777777" w:rsidR="00CD54BE" w:rsidRDefault="00CD54BE" w:rsidP="00C415FD">
      <w:pPr>
        <w:jc w:val="both"/>
      </w:pPr>
    </w:p>
    <w:p w14:paraId="1652C943" w14:textId="77777777" w:rsidR="00EB559E" w:rsidRDefault="00EB559E" w:rsidP="00C415FD">
      <w:pPr>
        <w:jc w:val="both"/>
      </w:pPr>
    </w:p>
    <w:sectPr w:rsidR="00EB559E" w:rsidSect="006A31A7"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egoe UI"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657"/>
    <w:rsid w:val="000277EC"/>
    <w:rsid w:val="00036D85"/>
    <w:rsid w:val="00063D67"/>
    <w:rsid w:val="00072FA2"/>
    <w:rsid w:val="000A2CDD"/>
    <w:rsid w:val="000C4D4D"/>
    <w:rsid w:val="001214C3"/>
    <w:rsid w:val="00155BC1"/>
    <w:rsid w:val="00164732"/>
    <w:rsid w:val="00173ACA"/>
    <w:rsid w:val="00191D34"/>
    <w:rsid w:val="001F0C82"/>
    <w:rsid w:val="002039E0"/>
    <w:rsid w:val="00221549"/>
    <w:rsid w:val="00226618"/>
    <w:rsid w:val="00234662"/>
    <w:rsid w:val="002D6B75"/>
    <w:rsid w:val="003B1BA6"/>
    <w:rsid w:val="003E62D2"/>
    <w:rsid w:val="004436E8"/>
    <w:rsid w:val="00446435"/>
    <w:rsid w:val="00467561"/>
    <w:rsid w:val="00487E18"/>
    <w:rsid w:val="004F0E54"/>
    <w:rsid w:val="0051181D"/>
    <w:rsid w:val="005A1A11"/>
    <w:rsid w:val="005D24E6"/>
    <w:rsid w:val="00645657"/>
    <w:rsid w:val="006A31A7"/>
    <w:rsid w:val="007645B9"/>
    <w:rsid w:val="007A7B0D"/>
    <w:rsid w:val="007D7E33"/>
    <w:rsid w:val="0085708B"/>
    <w:rsid w:val="008B531E"/>
    <w:rsid w:val="008D1594"/>
    <w:rsid w:val="008E3BCE"/>
    <w:rsid w:val="008E5BB1"/>
    <w:rsid w:val="009210A2"/>
    <w:rsid w:val="00975DE4"/>
    <w:rsid w:val="009955A1"/>
    <w:rsid w:val="00A13219"/>
    <w:rsid w:val="00A25060"/>
    <w:rsid w:val="00A55C71"/>
    <w:rsid w:val="00AA0F39"/>
    <w:rsid w:val="00AC5517"/>
    <w:rsid w:val="00AF0136"/>
    <w:rsid w:val="00B40721"/>
    <w:rsid w:val="00BA450B"/>
    <w:rsid w:val="00C415FD"/>
    <w:rsid w:val="00C45E78"/>
    <w:rsid w:val="00C571B2"/>
    <w:rsid w:val="00C66285"/>
    <w:rsid w:val="00CA5B3C"/>
    <w:rsid w:val="00CD54BE"/>
    <w:rsid w:val="00CD79E1"/>
    <w:rsid w:val="00D42FF3"/>
    <w:rsid w:val="00E34A83"/>
    <w:rsid w:val="00E56ADF"/>
    <w:rsid w:val="00E9223F"/>
    <w:rsid w:val="00EA7A3E"/>
    <w:rsid w:val="00EB559E"/>
    <w:rsid w:val="00F67B00"/>
    <w:rsid w:val="00F7509C"/>
    <w:rsid w:val="00F91E9C"/>
    <w:rsid w:val="00FB4634"/>
    <w:rsid w:val="00FB6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3F53E78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571B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571B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571B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571B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chart" Target="charts/chart1.xml"/><Relationship Id="rId6" Type="http://schemas.openxmlformats.org/officeDocument/2006/relationships/chart" Target="charts/chart2.xml"/><Relationship Id="rId7" Type="http://schemas.openxmlformats.org/officeDocument/2006/relationships/chart" Target="charts/chart3.xml"/><Relationship Id="rId8" Type="http://schemas.openxmlformats.org/officeDocument/2006/relationships/chart" Target="charts/chart4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ncassinello\Desktop\BF%20encuesta%20junio%20de%20Detallado_Junio.xls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ncassinello\Desktop\BF%20encuesta%20junio%20de%20Detallado_Junio.xls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ncassinello\Desktop\BF%20encuesta%20junio%20de%20Detallado_Junio.xls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ncassinello\Desktop\BF%20encuesta%20junio%20de%20Detallado_Junio.xls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s-ES_tradnl"/>
              <a:t>¿C</a:t>
            </a:r>
            <a:r>
              <a:rPr lang="es-ES"/>
              <a:t>ómo de buen conductor</a:t>
            </a:r>
            <a:r>
              <a:rPr lang="es-ES" baseline="0"/>
              <a:t> se considera usted en relación a la media española?</a:t>
            </a:r>
            <a:endParaRPr lang="es-ES_tradnl"/>
          </a:p>
        </c:rich>
      </c:tx>
      <c:layout/>
      <c:overlay val="0"/>
      <c:spPr>
        <a:noFill/>
        <a:ln w="25400">
          <a:noFill/>
        </a:ln>
      </c:spPr>
    </c:title>
    <c:autoTitleDeleted val="0"/>
    <c:plotArea>
      <c:layout/>
      <c:pieChart>
        <c:varyColors val="1"/>
        <c:ser>
          <c:idx val="0"/>
          <c:order val="0"/>
          <c:spPr>
            <a:solidFill>
              <a:srgbClr val="70AD47"/>
            </a:solidFill>
            <a:ln w="25400">
              <a:noFill/>
            </a:ln>
          </c:spPr>
          <c:dPt>
            <c:idx val="0"/>
            <c:bubble3D val="0"/>
          </c:dPt>
          <c:dPt>
            <c:idx val="1"/>
            <c:bubble3D val="0"/>
            <c:spPr>
              <a:solidFill>
                <a:srgbClr val="4472C4"/>
              </a:solidFill>
              <a:ln w="25400">
                <a:noFill/>
              </a:ln>
            </c:spPr>
          </c:dPt>
          <c:dPt>
            <c:idx val="2"/>
            <c:bubble3D val="0"/>
            <c:spPr>
              <a:solidFill>
                <a:srgbClr val="FFC000"/>
              </a:solidFill>
              <a:ln w="25400">
                <a:noFill/>
              </a:ln>
            </c:spPr>
          </c:dPt>
          <c:dLbls>
            <c:dLbl>
              <c:idx val="0"/>
              <c:layout/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 w="25400">
                <a:noFill/>
              </a:ln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ES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3175">
                  <a:solidFill>
                    <a:srgbClr val="969696"/>
                  </a:solidFill>
                  <a:prstDash val="solid"/>
                </a:ln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Hoja1!$B$173:$D$173</c:f>
              <c:strCache>
                <c:ptCount val="3"/>
                <c:pt idx="0">
                  <c:v>Por encima de la media</c:v>
                </c:pt>
                <c:pt idx="1">
                  <c:v>En la media</c:v>
                </c:pt>
                <c:pt idx="2">
                  <c:v>Por debajo de la media</c:v>
                </c:pt>
              </c:strCache>
            </c:strRef>
          </c:cat>
          <c:val>
            <c:numRef>
              <c:f>Hoja1!$B$174:$D$174</c:f>
              <c:numCache>
                <c:formatCode>0%</c:formatCode>
                <c:ptCount val="3"/>
                <c:pt idx="0">
                  <c:v>0.391304347826087</c:v>
                </c:pt>
                <c:pt idx="1">
                  <c:v>0.55072463768116</c:v>
                </c:pt>
                <c:pt idx="2">
                  <c:v>0.0579710144927536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 w="25400">
          <a:noFill/>
        </a:ln>
      </c:spPr>
    </c:plotArea>
    <c:legend>
      <c:legendPos val="r"/>
      <c:layout>
        <c:manualLayout>
          <c:xMode val="edge"/>
          <c:yMode val="edge"/>
          <c:x val="0.675572519083969"/>
          <c:y val="0.575972844383851"/>
          <c:w val="0.261450381679389"/>
          <c:h val="0.261484469918292"/>
        </c:manualLayout>
      </c:layout>
      <c:overlay val="0"/>
      <c:spPr>
        <a:noFill/>
        <a:ln w="25400">
          <a:noFill/>
        </a:ln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s-ES"/>
        </a:p>
      </c:txPr>
    </c:legend>
    <c:plotVisOnly val="1"/>
    <c:dispBlanksAs val="gap"/>
    <c:showDLblsOverMax val="0"/>
  </c:chart>
  <c:spPr>
    <a:solidFill>
      <a:srgbClr val="FFFFFF"/>
    </a:solidFill>
    <a:ln w="3175">
      <a:solidFill>
        <a:srgbClr val="C0C0C0"/>
      </a:solidFill>
      <a:prstDash val="solid"/>
    </a:ln>
  </c:spPr>
  <c:txPr>
    <a:bodyPr/>
    <a:lstStyle/>
    <a:p>
      <a:pPr>
        <a:defRPr/>
      </a:pPr>
      <a:endParaRPr lang="es-ES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s-ES_tradnl"/>
              <a:t>Si lees en un peri</a:t>
            </a:r>
            <a:r>
              <a:rPr lang="es-ES"/>
              <a:t>ódico que "la capital de Ruanda es Kigali",</a:t>
            </a:r>
            <a:r>
              <a:rPr lang="es-ES" baseline="0"/>
              <a:t> con qué probabilidad de certeza estás de acuerdo o en desacuerdo</a:t>
            </a:r>
            <a:endParaRPr lang="es-ES_tradnl"/>
          </a:p>
        </c:rich>
      </c:tx>
      <c:layout/>
      <c:overlay val="0"/>
      <c:spPr>
        <a:noFill/>
        <a:ln w="25400">
          <a:noFill/>
        </a:ln>
      </c:spPr>
    </c:title>
    <c:autoTitleDeleted val="0"/>
    <c:plotArea>
      <c:layout/>
      <c:pieChart>
        <c:varyColors val="1"/>
        <c:ser>
          <c:idx val="0"/>
          <c:order val="0"/>
          <c:spPr>
            <a:solidFill>
              <a:srgbClr val="5B9BD5"/>
            </a:solidFill>
            <a:ln w="25400">
              <a:noFill/>
            </a:ln>
          </c:spPr>
          <c:dPt>
            <c:idx val="0"/>
            <c:bubble3D val="0"/>
          </c:dPt>
          <c:dPt>
            <c:idx val="1"/>
            <c:bubble3D val="0"/>
            <c:spPr>
              <a:solidFill>
                <a:srgbClr val="ED7D31"/>
              </a:solidFill>
              <a:ln w="25400">
                <a:noFill/>
              </a:ln>
            </c:spPr>
          </c:dPt>
          <c:dPt>
            <c:idx val="2"/>
            <c:bubble3D val="0"/>
            <c:spPr>
              <a:solidFill>
                <a:srgbClr val="A5A5A5"/>
              </a:solidFill>
              <a:ln w="25400">
                <a:noFill/>
              </a:ln>
            </c:spPr>
          </c:dPt>
          <c:dPt>
            <c:idx val="3"/>
            <c:bubble3D val="0"/>
            <c:spPr>
              <a:solidFill>
                <a:srgbClr val="FFC000"/>
              </a:solidFill>
              <a:ln w="25400">
                <a:noFill/>
              </a:ln>
            </c:spPr>
          </c:dPt>
          <c:dPt>
            <c:idx val="4"/>
            <c:bubble3D val="0"/>
            <c:spPr>
              <a:solidFill>
                <a:srgbClr val="4472C4"/>
              </a:solidFill>
              <a:ln w="25400">
                <a:noFill/>
              </a:ln>
            </c:spPr>
          </c:dPt>
          <c:dLbls>
            <c:spPr>
              <a:noFill/>
              <a:ln w="25400">
                <a:noFill/>
              </a:ln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ES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3175">
                  <a:solidFill>
                    <a:srgbClr val="969696"/>
                  </a:solidFill>
                  <a:prstDash val="solid"/>
                </a:ln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Hoja1!$B$196:$F$196</c:f>
              <c:strCache>
                <c:ptCount val="5"/>
                <c:pt idx="0">
                  <c:v>a. 100%</c:v>
                </c:pt>
                <c:pt idx="1">
                  <c:v>b. 80%</c:v>
                </c:pt>
                <c:pt idx="2">
                  <c:v>c. 60%</c:v>
                </c:pt>
                <c:pt idx="3">
                  <c:v>d. 40%</c:v>
                </c:pt>
                <c:pt idx="4">
                  <c:v>e. 20%</c:v>
                </c:pt>
              </c:strCache>
            </c:strRef>
          </c:cat>
          <c:val>
            <c:numRef>
              <c:f>Hoja1!$B$197:$F$197</c:f>
              <c:numCache>
                <c:formatCode>0%</c:formatCode>
                <c:ptCount val="5"/>
                <c:pt idx="0">
                  <c:v>0.434782608695652</c:v>
                </c:pt>
                <c:pt idx="1">
                  <c:v>0.231884057971014</c:v>
                </c:pt>
                <c:pt idx="2">
                  <c:v>0.144927536231884</c:v>
                </c:pt>
                <c:pt idx="3">
                  <c:v>0.0869565217391304</c:v>
                </c:pt>
                <c:pt idx="4">
                  <c:v>0.101449275362319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 w="25400">
          <a:noFill/>
        </a:ln>
      </c:spPr>
    </c:plotArea>
    <c:legend>
      <c:legendPos val="r"/>
      <c:layout>
        <c:manualLayout>
          <c:xMode val="edge"/>
          <c:yMode val="edge"/>
          <c:x val="0.841818945359103"/>
          <c:y val="0.545454545454545"/>
          <c:w val="0.110909281794321"/>
          <c:h val="0.405844155844156"/>
        </c:manualLayout>
      </c:layout>
      <c:overlay val="0"/>
      <c:spPr>
        <a:noFill/>
        <a:ln w="25400">
          <a:noFill/>
        </a:ln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s-ES"/>
        </a:p>
      </c:txPr>
    </c:legend>
    <c:plotVisOnly val="1"/>
    <c:dispBlanksAs val="gap"/>
    <c:showDLblsOverMax val="0"/>
  </c:chart>
  <c:spPr>
    <a:solidFill>
      <a:srgbClr val="FFFFFF"/>
    </a:solidFill>
    <a:ln w="3175">
      <a:solidFill>
        <a:srgbClr val="C0C0C0"/>
      </a:solidFill>
      <a:prstDash val="solid"/>
    </a:ln>
  </c:spPr>
  <c:txPr>
    <a:bodyPr/>
    <a:lstStyle/>
    <a:p>
      <a:pPr>
        <a:defRPr/>
      </a:pPr>
      <a:endParaRPr lang="es-ES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s-ES_tradnl"/>
              <a:t>Indique con cuál de las siguientes respuestas se identifica usted para estimar mejor cual será la variación del IBEX-35 al final de este año 2016</a:t>
            </a:r>
          </a:p>
        </c:rich>
      </c:tx>
      <c:layout/>
      <c:overlay val="0"/>
      <c:spPr>
        <a:noFill/>
        <a:ln w="25400">
          <a:noFill/>
        </a:ln>
      </c:spPr>
    </c:title>
    <c:autoTitleDeleted val="0"/>
    <c:plotArea>
      <c:layout/>
      <c:pieChart>
        <c:varyColors val="1"/>
        <c:ser>
          <c:idx val="0"/>
          <c:order val="0"/>
          <c:spPr>
            <a:solidFill>
              <a:srgbClr val="5B9BD5"/>
            </a:solidFill>
            <a:ln w="25400">
              <a:noFill/>
            </a:ln>
          </c:spPr>
          <c:dPt>
            <c:idx val="0"/>
            <c:bubble3D val="0"/>
          </c:dPt>
          <c:dPt>
            <c:idx val="1"/>
            <c:bubble3D val="0"/>
            <c:spPr>
              <a:solidFill>
                <a:srgbClr val="A5A5A5"/>
              </a:solidFill>
              <a:ln w="25400">
                <a:noFill/>
              </a:ln>
            </c:spPr>
          </c:dPt>
          <c:dPt>
            <c:idx val="2"/>
            <c:bubble3D val="0"/>
            <c:spPr>
              <a:solidFill>
                <a:srgbClr val="4472C4"/>
              </a:solidFill>
              <a:ln w="25400">
                <a:noFill/>
              </a:ln>
            </c:spPr>
          </c:dPt>
          <c:dPt>
            <c:idx val="3"/>
            <c:bubble3D val="0"/>
            <c:spPr>
              <a:solidFill>
                <a:srgbClr val="255E91"/>
              </a:solidFill>
              <a:ln w="25400">
                <a:noFill/>
              </a:ln>
            </c:spPr>
          </c:dPt>
          <c:dLbls>
            <c:spPr>
              <a:noFill/>
              <a:ln w="25400">
                <a:noFill/>
              </a:ln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ES"/>
              </a:p>
            </c:txPr>
            <c:dLblPos val="out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3175">
                  <a:solidFill>
                    <a:srgbClr val="969696"/>
                  </a:solidFill>
                  <a:prstDash val="solid"/>
                </a:ln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Hoja1!$B$221:$E$221</c:f>
              <c:strCache>
                <c:ptCount val="4"/>
                <c:pt idx="0">
                  <c:v>Alrededor de un 5%</c:v>
                </c:pt>
                <c:pt idx="1">
                  <c:v>Entre un 4% y un 10%</c:v>
                </c:pt>
                <c:pt idx="2">
                  <c:v>Entre un 1% y un 20%</c:v>
                </c:pt>
                <c:pt idx="3">
                  <c:v>Entre un 0% y un 50%</c:v>
                </c:pt>
              </c:strCache>
            </c:strRef>
          </c:cat>
          <c:val>
            <c:numRef>
              <c:f>Hoja1!$B$222:$E$222</c:f>
              <c:numCache>
                <c:formatCode>0%</c:formatCode>
                <c:ptCount val="4"/>
                <c:pt idx="0">
                  <c:v>0.188405797101449</c:v>
                </c:pt>
                <c:pt idx="1">
                  <c:v>0.405797101449275</c:v>
                </c:pt>
                <c:pt idx="2">
                  <c:v>0.347826086956522</c:v>
                </c:pt>
                <c:pt idx="3">
                  <c:v>0.0579710144927536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 w="25400">
          <a:noFill/>
        </a:ln>
      </c:spPr>
    </c:plotArea>
    <c:legend>
      <c:legendPos val="r"/>
      <c:layout>
        <c:manualLayout>
          <c:xMode val="edge"/>
          <c:yMode val="edge"/>
          <c:x val="0.687022900763359"/>
          <c:y val="0.595746914614397"/>
          <c:w val="0.24618320610687"/>
          <c:h val="0.354611045959681"/>
        </c:manualLayout>
      </c:layout>
      <c:overlay val="0"/>
      <c:spPr>
        <a:noFill/>
        <a:ln w="25400">
          <a:noFill/>
        </a:ln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s-ES"/>
        </a:p>
      </c:txPr>
    </c:legend>
    <c:plotVisOnly val="1"/>
    <c:dispBlanksAs val="gap"/>
    <c:showDLblsOverMax val="0"/>
  </c:chart>
  <c:spPr>
    <a:solidFill>
      <a:srgbClr val="FFFFFF"/>
    </a:solidFill>
    <a:ln w="3175">
      <a:solidFill>
        <a:srgbClr val="C0C0C0"/>
      </a:solidFill>
      <a:prstDash val="solid"/>
    </a:ln>
  </c:spPr>
  <c:txPr>
    <a:bodyPr/>
    <a:lstStyle/>
    <a:p>
      <a:pPr>
        <a:defRPr/>
      </a:pPr>
      <a:endParaRPr lang="es-ES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s-ES_tradnl"/>
              <a:t>¿Cómo considera que la utilización de internet afecta a la toma de decisiones financieras a los inversores?</a:t>
            </a:r>
          </a:p>
        </c:rich>
      </c:tx>
      <c:layout/>
      <c:overlay val="0"/>
      <c:spPr>
        <a:noFill/>
        <a:ln w="25400">
          <a:noFill/>
        </a:ln>
      </c:spPr>
    </c:title>
    <c:autoTitleDeleted val="0"/>
    <c:plotArea>
      <c:layout/>
      <c:pieChart>
        <c:varyColors val="1"/>
        <c:ser>
          <c:idx val="0"/>
          <c:order val="0"/>
          <c:spPr>
            <a:solidFill>
              <a:srgbClr val="ED7D31"/>
            </a:solidFill>
            <a:ln w="25400">
              <a:noFill/>
            </a:ln>
          </c:spPr>
          <c:dPt>
            <c:idx val="0"/>
            <c:bubble3D val="0"/>
          </c:dPt>
          <c:dPt>
            <c:idx val="1"/>
            <c:bubble3D val="0"/>
            <c:spPr>
              <a:solidFill>
                <a:srgbClr val="FFC000"/>
              </a:solidFill>
              <a:ln w="25400">
                <a:noFill/>
              </a:ln>
            </c:spPr>
          </c:dPt>
          <c:dPt>
            <c:idx val="2"/>
            <c:bubble3D val="0"/>
            <c:spPr>
              <a:solidFill>
                <a:srgbClr val="70AD47"/>
              </a:solidFill>
              <a:ln w="25400">
                <a:noFill/>
              </a:ln>
            </c:spPr>
          </c:dPt>
          <c:dLbls>
            <c:spPr>
              <a:noFill/>
              <a:ln w="25400">
                <a:noFill/>
              </a:ln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ES"/>
              </a:p>
            </c:txPr>
            <c:dLblPos val="out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3175">
                  <a:solidFill>
                    <a:srgbClr val="969696"/>
                  </a:solidFill>
                  <a:prstDash val="solid"/>
                </a:ln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Hoja1!$B$245:$D$245</c:f>
              <c:strCache>
                <c:ptCount val="3"/>
                <c:pt idx="0">
                  <c:v>Internet mejora la toma de decisiones financieras</c:v>
                </c:pt>
                <c:pt idx="1">
                  <c:v>Internet empeora la toma de decisiones financieras</c:v>
                </c:pt>
                <c:pt idx="2">
                  <c:v>Internet es prácticamente neutro para la toma de decisiones financieras</c:v>
                </c:pt>
              </c:strCache>
            </c:strRef>
          </c:cat>
          <c:val>
            <c:numRef>
              <c:f>Hoja1!$B$246:$D$246</c:f>
              <c:numCache>
                <c:formatCode>0%</c:formatCode>
                <c:ptCount val="3"/>
                <c:pt idx="0">
                  <c:v>0.666666666666667</c:v>
                </c:pt>
                <c:pt idx="1">
                  <c:v>0.217391304347826</c:v>
                </c:pt>
                <c:pt idx="2">
                  <c:v>0.115942028985507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 w="25400">
          <a:noFill/>
        </a:ln>
      </c:spPr>
    </c:plotArea>
    <c:legend>
      <c:legendPos val="r"/>
      <c:layout>
        <c:manualLayout>
          <c:xMode val="edge"/>
          <c:yMode val="edge"/>
          <c:x val="0.621415516177113"/>
          <c:y val="0.420495441603368"/>
          <c:w val="0.313575726552345"/>
          <c:h val="0.568905706574664"/>
        </c:manualLayout>
      </c:layout>
      <c:overlay val="0"/>
      <c:spPr>
        <a:noFill/>
        <a:ln w="25400">
          <a:noFill/>
        </a:ln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s-ES"/>
        </a:p>
      </c:txPr>
    </c:legend>
    <c:plotVisOnly val="1"/>
    <c:dispBlanksAs val="gap"/>
    <c:showDLblsOverMax val="0"/>
  </c:chart>
  <c:spPr>
    <a:solidFill>
      <a:srgbClr val="FFFFFF"/>
    </a:solidFill>
    <a:ln w="3175">
      <a:solidFill>
        <a:srgbClr val="C0C0C0"/>
      </a:solidFill>
      <a:prstDash val="solid"/>
    </a:ln>
  </c:spPr>
  <c:txPr>
    <a:bodyPr/>
    <a:lstStyle/>
    <a:p>
      <a:pPr>
        <a:defRPr/>
      </a:pPr>
      <a:endParaRPr lang="es-ES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616</Words>
  <Characters>3392</Characters>
  <Application>Microsoft Macintosh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Cassinello</dc:creator>
  <cp:keywords/>
  <dc:description/>
  <cp:lastModifiedBy>Natalia Cassinello</cp:lastModifiedBy>
  <cp:revision>2</cp:revision>
  <cp:lastPrinted>2016-06-27T10:43:00Z</cp:lastPrinted>
  <dcterms:created xsi:type="dcterms:W3CDTF">2016-10-31T16:52:00Z</dcterms:created>
  <dcterms:modified xsi:type="dcterms:W3CDTF">2016-10-31T16:52:00Z</dcterms:modified>
</cp:coreProperties>
</file>