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top w:w="75" w:type="dxa"/>
          <w:left w:w="75" w:type="dxa"/>
          <w:bottom w:w="75" w:type="dxa"/>
          <w:right w:w="75" w:type="dxa"/>
        </w:tblCellMar>
        <w:tblLook w:val="04A0" w:firstRow="1" w:lastRow="0" w:firstColumn="1" w:lastColumn="0" w:noHBand="0" w:noVBand="1"/>
      </w:tblPr>
      <w:tblGrid>
        <w:gridCol w:w="8504"/>
      </w:tblGrid>
      <w:tr w:rsidR="005C6257" w:rsidTr="005C6257">
        <w:tc>
          <w:tcPr>
            <w:tcW w:w="0" w:type="auto"/>
            <w:hideMark/>
          </w:tcPr>
          <w:p w:rsidR="005C6257" w:rsidRDefault="005C6257">
            <w:pPr>
              <w:rPr>
                <w:rFonts w:ascii="Arial" w:eastAsia="Times New Roman" w:hAnsi="Arial" w:cs="Arial"/>
                <w:b/>
                <w:bCs/>
                <w:sz w:val="18"/>
                <w:szCs w:val="18"/>
              </w:rPr>
            </w:pPr>
            <w:r>
              <w:rPr>
                <w:rFonts w:ascii="Arial" w:eastAsia="Times New Roman" w:hAnsi="Arial" w:cs="Arial"/>
                <w:sz w:val="18"/>
                <w:szCs w:val="18"/>
              </w:rPr>
              <w:t>European film as catalyst to reintegrate solidarity and trust</w:t>
            </w:r>
          </w:p>
        </w:tc>
      </w:tr>
      <w:tr w:rsidR="005C6257" w:rsidTr="005C6257">
        <w:tc>
          <w:tcPr>
            <w:tcW w:w="0" w:type="auto"/>
            <w:hideMark/>
          </w:tcPr>
          <w:p w:rsidR="005C6257" w:rsidRDefault="005C6257">
            <w:pPr>
              <w:rPr>
                <w:rFonts w:ascii="Arial" w:eastAsia="Times New Roman" w:hAnsi="Arial" w:cs="Arial"/>
                <w:sz w:val="18"/>
                <w:szCs w:val="18"/>
              </w:rPr>
            </w:pPr>
            <w:r w:rsidRPr="005C6257">
              <w:rPr>
                <w:rFonts w:ascii="Arial" w:eastAsia="Times New Roman" w:hAnsi="Arial" w:cs="Arial"/>
                <w:sz w:val="18"/>
                <w:szCs w:val="18"/>
                <w:u w:val="single"/>
                <w:lang w:val="es-ES"/>
              </w:rPr>
              <w:t>Almudena González Del Valle - Brena</w:t>
            </w:r>
            <w:r w:rsidRPr="005C6257">
              <w:rPr>
                <w:rFonts w:ascii="Arial" w:eastAsia="Times New Roman" w:hAnsi="Arial" w:cs="Arial"/>
                <w:sz w:val="18"/>
                <w:szCs w:val="18"/>
                <w:vertAlign w:val="superscript"/>
                <w:lang w:val="es-ES"/>
              </w:rPr>
              <w:t>1</w:t>
            </w:r>
            <w:r w:rsidRPr="005C6257">
              <w:rPr>
                <w:rFonts w:ascii="Arial" w:eastAsia="Times New Roman" w:hAnsi="Arial" w:cs="Arial"/>
                <w:sz w:val="18"/>
                <w:szCs w:val="18"/>
                <w:lang w:val="es-ES"/>
              </w:rPr>
              <w:t>, María-Jesús Díaz-González</w:t>
            </w:r>
            <w:r w:rsidRPr="005C6257">
              <w:rPr>
                <w:rFonts w:ascii="Arial" w:eastAsia="Times New Roman" w:hAnsi="Arial" w:cs="Arial"/>
                <w:sz w:val="18"/>
                <w:szCs w:val="18"/>
                <w:vertAlign w:val="superscript"/>
                <w:lang w:val="es-ES"/>
              </w:rPr>
              <w:t>2</w:t>
            </w:r>
            <w:r w:rsidRPr="005C6257">
              <w:rPr>
                <w:rFonts w:ascii="Arial" w:eastAsia="Times New Roman" w:hAnsi="Arial" w:cs="Arial"/>
                <w:sz w:val="18"/>
                <w:szCs w:val="18"/>
                <w:lang w:val="es-ES"/>
              </w:rPr>
              <w:t>.</w:t>
            </w:r>
            <w:r w:rsidRPr="005C6257">
              <w:rPr>
                <w:rFonts w:ascii="Arial" w:eastAsia="Times New Roman" w:hAnsi="Arial" w:cs="Arial"/>
                <w:sz w:val="18"/>
                <w:szCs w:val="18"/>
                <w:lang w:val="es-ES"/>
              </w:rPr>
              <w:br/>
            </w:r>
            <w:r>
              <w:rPr>
                <w:rFonts w:ascii="Arial" w:eastAsia="Times New Roman" w:hAnsi="Arial" w:cs="Arial"/>
                <w:sz w:val="18"/>
                <w:szCs w:val="18"/>
                <w:vertAlign w:val="superscript"/>
              </w:rPr>
              <w:t>1</w:t>
            </w:r>
            <w:r>
              <w:rPr>
                <w:rFonts w:ascii="Arial" w:eastAsia="Times New Roman" w:hAnsi="Arial" w:cs="Arial"/>
                <w:sz w:val="18"/>
                <w:szCs w:val="18"/>
              </w:rPr>
              <w:t xml:space="preserve">Universidad Pontificia </w:t>
            </w:r>
            <w:proofErr w:type="spellStart"/>
            <w:r>
              <w:rPr>
                <w:rFonts w:ascii="Arial" w:eastAsia="Times New Roman" w:hAnsi="Arial" w:cs="Arial"/>
                <w:sz w:val="18"/>
                <w:szCs w:val="18"/>
              </w:rPr>
              <w:t>Comillas</w:t>
            </w:r>
            <w:proofErr w:type="spellEnd"/>
            <w:r>
              <w:rPr>
                <w:rFonts w:ascii="Arial" w:eastAsia="Times New Roman" w:hAnsi="Arial" w:cs="Arial"/>
                <w:sz w:val="18"/>
                <w:szCs w:val="18"/>
              </w:rPr>
              <w:t>, International Relations, Madrid, Spain.</w:t>
            </w:r>
            <w:r>
              <w:rPr>
                <w:rFonts w:ascii="Arial" w:eastAsia="Times New Roman" w:hAnsi="Arial" w:cs="Arial"/>
                <w:sz w:val="18"/>
                <w:szCs w:val="18"/>
              </w:rPr>
              <w:br/>
            </w:r>
            <w:r>
              <w:rPr>
                <w:rFonts w:ascii="Arial" w:eastAsia="Times New Roman" w:hAnsi="Arial" w:cs="Arial"/>
                <w:sz w:val="18"/>
                <w:szCs w:val="18"/>
                <w:vertAlign w:val="superscript"/>
              </w:rPr>
              <w:t>2</w:t>
            </w:r>
            <w:r>
              <w:rPr>
                <w:rFonts w:ascii="Arial" w:eastAsia="Times New Roman" w:hAnsi="Arial" w:cs="Arial"/>
                <w:sz w:val="18"/>
                <w:szCs w:val="18"/>
              </w:rPr>
              <w:t>University of A-Coruna, Department Sociology and Communication Science, A-</w:t>
            </w:r>
            <w:proofErr w:type="spellStart"/>
            <w:r>
              <w:rPr>
                <w:rFonts w:ascii="Arial" w:eastAsia="Times New Roman" w:hAnsi="Arial" w:cs="Arial"/>
                <w:sz w:val="18"/>
                <w:szCs w:val="18"/>
              </w:rPr>
              <w:t>Coruña</w:t>
            </w:r>
            <w:proofErr w:type="spellEnd"/>
            <w:r>
              <w:rPr>
                <w:rFonts w:ascii="Arial" w:eastAsia="Times New Roman" w:hAnsi="Arial" w:cs="Arial"/>
                <w:sz w:val="18"/>
                <w:szCs w:val="18"/>
              </w:rPr>
              <w:t>, Spain.</w:t>
            </w:r>
          </w:p>
        </w:tc>
      </w:tr>
      <w:tr w:rsidR="005C6257" w:rsidTr="005C6257">
        <w:tc>
          <w:tcPr>
            <w:tcW w:w="0" w:type="auto"/>
          </w:tcPr>
          <w:p w:rsidR="005C6257" w:rsidRDefault="005C6257">
            <w:pPr>
              <w:pStyle w:val="NormalWeb"/>
            </w:pPr>
            <w:r>
              <w:t>Agnieszka Holland (2019) recently stated that “film was a catalyst for change in post-war Europe. It can be again”. In 2020 European citizens face insecure times and lean towards egoistic individualism (</w:t>
            </w:r>
            <w:hyperlink r:id="rId4" w:history="1">
              <w:r>
                <w:rPr>
                  <w:rStyle w:val="Hipervnculo"/>
                </w:rPr>
                <w:t>https://www.theguardian.com/profile/agnieszka-holland</w:t>
              </w:r>
            </w:hyperlink>
            <w:r>
              <w:t>). One pressing issue for Europeans is how a political community is constructed. Without solidarity, social life in Europe would not be possible and solidarity is linked to concepts that bond together society, such as trust. For such a community to have a future, citizens must have a commitment to each other, which make take the form of solidarity (Delanty, 2018a). </w:t>
            </w:r>
          </w:p>
          <w:p w:rsidR="005C6257" w:rsidRDefault="005C6257">
            <w:pPr>
              <w:pStyle w:val="NormalWeb"/>
            </w:pPr>
            <w:r>
              <w:t xml:space="preserve">Approaches from the social sciences realm are useful to study the potential significance of cultural forms, such as cinema, to be catalyst for change in the above-mentioned direction. </w:t>
            </w:r>
            <w:proofErr w:type="spellStart"/>
            <w:r>
              <w:t>Delanty’s</w:t>
            </w:r>
            <w:proofErr w:type="spellEnd"/>
            <w:r>
              <w:t xml:space="preserve"> critical cosmopolitanism work (2008, 2006) and his recent research on the transnational aspects of European cultural heritage (2018b) are examples of such social sciences sphere of thought. In addition, cosmopolitan cinema has been theorised by the work of </w:t>
            </w:r>
            <w:proofErr w:type="spellStart"/>
            <w:r>
              <w:t>Rovisco</w:t>
            </w:r>
            <w:proofErr w:type="spellEnd"/>
            <w:r>
              <w:t xml:space="preserve"> (2013) amongst others.</w:t>
            </w:r>
          </w:p>
          <w:p w:rsidR="005C6257" w:rsidRDefault="005C6257">
            <w:pPr>
              <w:pStyle w:val="NormalWeb"/>
            </w:pPr>
            <w:r>
              <w:t>This paper will explore how European cinema, as a cultural heritage form may contribute to reintegrate solidarity within the European community along the critical cosmopolitanism lines.</w:t>
            </w:r>
          </w:p>
          <w:p w:rsidR="005C6257" w:rsidRDefault="005C6257">
            <w:pPr>
              <w:pStyle w:val="NormalWeb"/>
            </w:pPr>
            <w:r>
              <w:t xml:space="preserve">The methodology will consist of content analysis, applying </w:t>
            </w:r>
            <w:proofErr w:type="spellStart"/>
            <w:r>
              <w:t>Delanty’s</w:t>
            </w:r>
            <w:proofErr w:type="spellEnd"/>
            <w:r>
              <w:t xml:space="preserve"> cosmopolitan dimensions (2006) to a sample of feature films. The sample consists of two sets: one comprises films having won the European Parliament Lux Prize (awarded by politicians); the second comprises films winners of the European Film Awards in three specific categories awarded by the public (People’s Choice Award, Young Audience Award and European University Film Award). The sample should be representative of European citizens’ consensus, thus not determined by a priori market motives. Time period covered starts in 2016 (first year The University Film Award was organised) until 2019. </w:t>
            </w:r>
          </w:p>
          <w:p w:rsidR="005C6257" w:rsidRDefault="005C6257">
            <w:pPr>
              <w:pStyle w:val="NormalWeb"/>
            </w:pPr>
            <w:r>
              <w:t>The paper will argue that European cinema may be a primary vehicle to reintroduce solidarity and trust within the European community, a context in which the states cannot any longer impose a normative order.</w:t>
            </w:r>
          </w:p>
          <w:p w:rsidR="005C6257" w:rsidRDefault="005C6257">
            <w:pPr>
              <w:pStyle w:val="NormalWeb"/>
            </w:pPr>
            <w:r>
              <w:t> </w:t>
            </w:r>
          </w:p>
          <w:p w:rsidR="005C6257" w:rsidRDefault="005C6257">
            <w:pPr>
              <w:pStyle w:val="NormalWeb"/>
            </w:pPr>
            <w:r>
              <w:t>REFERENCES</w:t>
            </w:r>
          </w:p>
          <w:p w:rsidR="005C6257" w:rsidRDefault="005C6257">
            <w:pPr>
              <w:pStyle w:val="NormalWeb"/>
            </w:pPr>
            <w:r>
              <w:t>Delanty, G. (2018a). The European Heritage. A critical re-interpretation. London: Routledge</w:t>
            </w:r>
          </w:p>
          <w:p w:rsidR="005C6257" w:rsidRDefault="005C6257">
            <w:pPr>
              <w:pStyle w:val="NormalWeb"/>
            </w:pPr>
            <w:r>
              <w:t>-       </w:t>
            </w:r>
            <w:proofErr w:type="gramStart"/>
            <w:r>
              <w:t>   (</w:t>
            </w:r>
            <w:proofErr w:type="gramEnd"/>
            <w:r>
              <w:t xml:space="preserve">2018b). What unites Europe and what divides it? Solidarity and the European heritage reconsidered. </w:t>
            </w:r>
            <w:r>
              <w:rPr>
                <w:rStyle w:val="nfasis"/>
              </w:rPr>
              <w:t>Asian Journal of German and European Studies</w:t>
            </w:r>
            <w:r>
              <w:t>, 3(3) doi:10.1186/s40856-018-0025-x.</w:t>
            </w:r>
          </w:p>
          <w:p w:rsidR="005C6257" w:rsidRDefault="005C6257">
            <w:pPr>
              <w:pStyle w:val="NormalWeb"/>
            </w:pPr>
            <w:r>
              <w:t xml:space="preserve">Delanty, G. (2008). Models of European identity: Reconciling universalism and Particularism. </w:t>
            </w:r>
            <w:r>
              <w:rPr>
                <w:rStyle w:val="nfasis"/>
              </w:rPr>
              <w:t>Perspectives on European Politics and Society</w:t>
            </w:r>
            <w:r>
              <w:t>, 3(3), pp. 345-359.</w:t>
            </w:r>
          </w:p>
          <w:p w:rsidR="005C6257" w:rsidRDefault="005C6257">
            <w:pPr>
              <w:pStyle w:val="NormalWeb"/>
            </w:pPr>
            <w:r>
              <w:t xml:space="preserve">Delanty, G. (2006). The cosmopolitan imagination: critical cosmopolitanism and social theory. </w:t>
            </w:r>
            <w:r>
              <w:rPr>
                <w:rStyle w:val="nfasis"/>
              </w:rPr>
              <w:t>The British Journal of Sociology</w:t>
            </w:r>
            <w:r>
              <w:t>, 57(1), pp. 25-47.</w:t>
            </w:r>
          </w:p>
          <w:p w:rsidR="005C6257" w:rsidRDefault="005C6257">
            <w:pPr>
              <w:pStyle w:val="NormalWeb"/>
            </w:pPr>
            <w:proofErr w:type="spellStart"/>
            <w:r>
              <w:t>Rovisco</w:t>
            </w:r>
            <w:proofErr w:type="spellEnd"/>
            <w:r>
              <w:t xml:space="preserve"> M (2013). Towards a cosmopolitan cinema: Understanding the connection between borders, mobility and cosmopolitanism in fiction film. Mobilities 8(1): 148–165.</w:t>
            </w:r>
          </w:p>
          <w:p w:rsidR="005C6257" w:rsidRDefault="005C6257">
            <w:pPr>
              <w:pStyle w:val="NormalWeb"/>
            </w:pPr>
          </w:p>
          <w:p w:rsidR="005C6257" w:rsidRDefault="005C6257">
            <w:pPr>
              <w:pStyle w:val="NormalWeb"/>
            </w:pPr>
          </w:p>
          <w:p w:rsidR="005C6257" w:rsidRDefault="005C6257">
            <w:pPr>
              <w:pStyle w:val="NormalWeb"/>
            </w:pPr>
            <w:r>
              <w:t> </w:t>
            </w:r>
          </w:p>
        </w:tc>
      </w:tr>
    </w:tbl>
    <w:p w:rsidR="005C6257" w:rsidRDefault="005C6257">
      <w:bookmarkStart w:id="0" w:name="_GoBack"/>
      <w:bookmarkEnd w:id="0"/>
    </w:p>
    <w:sectPr w:rsidR="005C625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257"/>
    <w:rsid w:val="005C6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65326C-55B3-420B-A6A0-B7947F2AE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257"/>
    <w:pPr>
      <w:spacing w:after="0" w:line="240" w:lineRule="auto"/>
    </w:pPr>
    <w:rPr>
      <w:rFonts w:ascii="Calibri" w:hAnsi="Calibri" w:cs="Calibri"/>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C6257"/>
    <w:rPr>
      <w:color w:val="FFA500"/>
      <w:u w:val="single"/>
    </w:rPr>
  </w:style>
  <w:style w:type="paragraph" w:styleId="NormalWeb">
    <w:name w:val="Normal (Web)"/>
    <w:basedOn w:val="Normal"/>
    <w:uiPriority w:val="99"/>
    <w:semiHidden/>
    <w:unhideWhenUsed/>
    <w:rsid w:val="005C6257"/>
    <w:pPr>
      <w:spacing w:before="240" w:after="240"/>
    </w:pPr>
    <w:rPr>
      <w:rFonts w:ascii="Arial" w:hAnsi="Arial" w:cs="Arial"/>
      <w:sz w:val="18"/>
      <w:szCs w:val="18"/>
    </w:rPr>
  </w:style>
  <w:style w:type="character" w:styleId="nfasis">
    <w:name w:val="Emphasis"/>
    <w:basedOn w:val="Fuentedeprrafopredeter"/>
    <w:uiPriority w:val="20"/>
    <w:qFormat/>
    <w:rsid w:val="005C62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63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guardian.com/profile/agnieszka-hollan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493</Words>
  <Characters>2816</Characters>
  <Application>Microsoft Office Word</Application>
  <DocSecurity>0</DocSecurity>
  <Lines>23</Lines>
  <Paragraphs>6</Paragraphs>
  <ScaleCrop>false</ScaleCrop>
  <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Almudena Gonzalez del Valle</dc:creator>
  <cp:keywords/>
  <dc:description/>
  <cp:lastModifiedBy>Almudena Gonzalez del Valle</cp:lastModifiedBy>
  <cp:revision>1</cp:revision>
  <dcterms:created xsi:type="dcterms:W3CDTF">2020-01-15T10:56:00Z</dcterms:created>
  <dcterms:modified xsi:type="dcterms:W3CDTF">2020-01-15T10:56:00Z</dcterms:modified>
</cp:coreProperties>
</file>