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CD4" w:rsidRPr="00ED7CD4" w:rsidRDefault="00C42BF5" w:rsidP="00ED7CD4">
      <w:pPr>
        <w:pStyle w:val="Puesto"/>
        <w:spacing w:line="360" w:lineRule="auto"/>
        <w:jc w:val="both"/>
        <w:rPr>
          <w:rStyle w:val="nfasisintenso"/>
          <w:rFonts w:ascii="Arial" w:hAnsi="Arial" w:cs="Arial"/>
          <w:bCs w:val="0"/>
          <w:i w:val="0"/>
          <w:iCs w:val="0"/>
          <w:color w:val="0070C0"/>
          <w:sz w:val="28"/>
          <w:szCs w:val="28"/>
        </w:rPr>
      </w:pPr>
      <w:r>
        <w:rPr>
          <w:rStyle w:val="nfasisintenso"/>
          <w:rFonts w:ascii="Arial" w:hAnsi="Arial" w:cs="Arial"/>
          <w:color w:val="0070C0"/>
          <w:sz w:val="28"/>
          <w:szCs w:val="28"/>
        </w:rPr>
        <w:t>L</w:t>
      </w:r>
      <w:r w:rsidR="00434D0D">
        <w:rPr>
          <w:rStyle w:val="nfasisintenso"/>
          <w:rFonts w:ascii="Arial" w:hAnsi="Arial" w:cs="Arial"/>
          <w:color w:val="0070C0"/>
          <w:sz w:val="28"/>
          <w:szCs w:val="28"/>
        </w:rPr>
        <w:t xml:space="preserve">a </w:t>
      </w:r>
      <w:r w:rsidR="00271449">
        <w:rPr>
          <w:rStyle w:val="nfasisintenso"/>
          <w:rFonts w:ascii="Arial" w:hAnsi="Arial" w:cs="Arial"/>
          <w:color w:val="0070C0"/>
          <w:sz w:val="28"/>
          <w:szCs w:val="28"/>
        </w:rPr>
        <w:t>toma</w:t>
      </w:r>
      <w:r w:rsidR="00434D0D">
        <w:rPr>
          <w:rStyle w:val="nfasisintenso"/>
          <w:rFonts w:ascii="Arial" w:hAnsi="Arial" w:cs="Arial"/>
          <w:color w:val="0070C0"/>
          <w:sz w:val="28"/>
          <w:szCs w:val="28"/>
        </w:rPr>
        <w:t xml:space="preserve"> del otro</w:t>
      </w:r>
      <w:r>
        <w:rPr>
          <w:rStyle w:val="nfasisintenso"/>
          <w:rFonts w:ascii="Arial" w:hAnsi="Arial" w:cs="Arial"/>
          <w:color w:val="0070C0"/>
          <w:sz w:val="28"/>
          <w:szCs w:val="28"/>
        </w:rPr>
        <w:t>, la partición del yo</w:t>
      </w:r>
      <w:r w:rsidR="00434D0D">
        <w:rPr>
          <w:rStyle w:val="nfasisintenso"/>
          <w:rFonts w:ascii="Arial" w:hAnsi="Arial" w:cs="Arial"/>
          <w:color w:val="0070C0"/>
          <w:sz w:val="28"/>
          <w:szCs w:val="28"/>
        </w:rPr>
        <w:t xml:space="preserve"> y la digestión</w:t>
      </w:r>
      <w:r>
        <w:rPr>
          <w:rStyle w:val="nfasisintenso"/>
          <w:rFonts w:ascii="Arial" w:hAnsi="Arial" w:cs="Arial"/>
          <w:color w:val="0070C0"/>
          <w:sz w:val="28"/>
          <w:szCs w:val="28"/>
        </w:rPr>
        <w:t xml:space="preserve"> jurídica</w:t>
      </w:r>
      <w:r w:rsidR="00ED7CD4" w:rsidRPr="00ED7CD4">
        <w:rPr>
          <w:rStyle w:val="nfasisintenso"/>
          <w:rFonts w:ascii="Arial" w:hAnsi="Arial" w:cs="Arial"/>
          <w:color w:val="0070C0"/>
          <w:sz w:val="28"/>
          <w:szCs w:val="28"/>
        </w:rPr>
        <w:t>: inclusión de la exclusión, partición de la participación</w:t>
      </w:r>
      <w:r w:rsidR="009D5004">
        <w:rPr>
          <w:rStyle w:val="nfasisintenso"/>
          <w:rFonts w:ascii="Arial" w:hAnsi="Arial" w:cs="Arial"/>
          <w:color w:val="0070C0"/>
          <w:sz w:val="28"/>
          <w:szCs w:val="28"/>
        </w:rPr>
        <w:t xml:space="preserve"> (Kant, Giner de los Ríos, Freud)</w:t>
      </w:r>
    </w:p>
    <w:p w:rsidR="00ED7CD4" w:rsidRPr="00CF432F" w:rsidRDefault="009D5004" w:rsidP="00ED7CD4">
      <w:pPr>
        <w:spacing w:line="360" w:lineRule="auto"/>
        <w:jc w:val="both"/>
        <w:rPr>
          <w:rFonts w:ascii="Arial" w:hAnsi="Arial" w:cs="Arial"/>
          <w:b/>
          <w:i/>
          <w:color w:val="0070C0"/>
          <w:lang w:val="en-US"/>
        </w:rPr>
      </w:pPr>
      <w:r>
        <w:rPr>
          <w:rFonts w:ascii="Arial" w:hAnsi="Arial" w:cs="Arial"/>
          <w:b/>
          <w:i/>
          <w:color w:val="0070C0"/>
          <w:lang w:val="en-US"/>
        </w:rPr>
        <w:t>The Self</w:t>
      </w:r>
      <w:r w:rsidR="00C81FEF">
        <w:rPr>
          <w:rFonts w:ascii="Arial" w:hAnsi="Arial" w:cs="Arial"/>
          <w:b/>
          <w:i/>
          <w:color w:val="0070C0"/>
          <w:lang w:val="en-US"/>
        </w:rPr>
        <w:t xml:space="preserve"> splitted</w:t>
      </w:r>
      <w:r w:rsidR="00ED7CD4" w:rsidRPr="00CF432F">
        <w:rPr>
          <w:rFonts w:ascii="Arial" w:hAnsi="Arial" w:cs="Arial"/>
          <w:b/>
          <w:i/>
          <w:color w:val="0070C0"/>
          <w:lang w:val="en-US"/>
        </w:rPr>
        <w:t>:</w:t>
      </w:r>
      <w:r w:rsidR="00C81FEF">
        <w:rPr>
          <w:rFonts w:ascii="Arial" w:hAnsi="Arial" w:cs="Arial"/>
          <w:b/>
          <w:i/>
          <w:color w:val="0070C0"/>
          <w:lang w:val="en-US"/>
        </w:rPr>
        <w:t xml:space="preserve"> exclusion’s inclusion, </w:t>
      </w:r>
    </w:p>
    <w:p w:rsidR="00ED7CD4" w:rsidRPr="00D5411D" w:rsidRDefault="00ED7CD4" w:rsidP="00434D0D">
      <w:pPr>
        <w:tabs>
          <w:tab w:val="left" w:pos="3345"/>
          <w:tab w:val="right" w:pos="8504"/>
        </w:tabs>
        <w:spacing w:after="0" w:line="240" w:lineRule="auto"/>
        <w:rPr>
          <w:rFonts w:ascii="Arial" w:hAnsi="Arial" w:cs="Arial"/>
          <w:color w:val="0070C0"/>
          <w:sz w:val="20"/>
          <w:szCs w:val="20"/>
        </w:rPr>
      </w:pPr>
      <w:r w:rsidRPr="00CF432F">
        <w:rPr>
          <w:rFonts w:ascii="Arial" w:hAnsi="Arial" w:cs="Arial"/>
          <w:color w:val="0070C0"/>
          <w:sz w:val="20"/>
          <w:szCs w:val="20"/>
          <w:lang w:val="en-US"/>
        </w:rPr>
        <w:tab/>
      </w:r>
      <w:r w:rsidRPr="00CF432F">
        <w:rPr>
          <w:rFonts w:ascii="Arial" w:hAnsi="Arial" w:cs="Arial"/>
          <w:color w:val="0070C0"/>
          <w:sz w:val="20"/>
          <w:szCs w:val="20"/>
          <w:lang w:val="en-US"/>
        </w:rPr>
        <w:tab/>
      </w:r>
      <w:r w:rsidRPr="00D5411D">
        <w:rPr>
          <w:rFonts w:ascii="Arial" w:hAnsi="Arial" w:cs="Arial"/>
          <w:color w:val="0070C0"/>
          <w:sz w:val="20"/>
          <w:szCs w:val="20"/>
        </w:rPr>
        <w:t>José Manuel Vázquez-Romero</w:t>
      </w:r>
    </w:p>
    <w:p w:rsidR="00ED7CD4" w:rsidRPr="00ED7CD4" w:rsidRDefault="00ED7CD4" w:rsidP="00434D0D">
      <w:pPr>
        <w:tabs>
          <w:tab w:val="left" w:pos="3345"/>
          <w:tab w:val="right" w:pos="8504"/>
        </w:tabs>
        <w:spacing w:after="0" w:line="240" w:lineRule="auto"/>
        <w:jc w:val="right"/>
        <w:rPr>
          <w:rFonts w:ascii="Arial" w:hAnsi="Arial" w:cs="Arial"/>
          <w:color w:val="0070C0"/>
          <w:sz w:val="20"/>
          <w:szCs w:val="20"/>
        </w:rPr>
      </w:pPr>
      <w:r>
        <w:rPr>
          <w:rFonts w:ascii="Arial" w:hAnsi="Arial" w:cs="Arial"/>
          <w:color w:val="0070C0"/>
          <w:sz w:val="20"/>
          <w:szCs w:val="20"/>
        </w:rPr>
        <w:t>Profesor</w:t>
      </w:r>
      <w:r w:rsidR="00970A74">
        <w:rPr>
          <w:rFonts w:ascii="Arial" w:hAnsi="Arial" w:cs="Arial"/>
          <w:color w:val="0070C0"/>
          <w:sz w:val="20"/>
          <w:szCs w:val="20"/>
        </w:rPr>
        <w:t xml:space="preserve"> propio</w:t>
      </w:r>
    </w:p>
    <w:p w:rsidR="00ED7CD4" w:rsidRDefault="00ED7CD4" w:rsidP="00434D0D">
      <w:pPr>
        <w:spacing w:after="0" w:line="240" w:lineRule="auto"/>
        <w:jc w:val="right"/>
        <w:rPr>
          <w:rFonts w:ascii="Arial" w:hAnsi="Arial" w:cs="Arial"/>
          <w:color w:val="0070C0"/>
          <w:sz w:val="20"/>
          <w:szCs w:val="20"/>
        </w:rPr>
      </w:pPr>
      <w:r w:rsidRPr="00ED7CD4">
        <w:rPr>
          <w:rFonts w:ascii="Arial" w:hAnsi="Arial" w:cs="Arial"/>
          <w:color w:val="0070C0"/>
          <w:sz w:val="20"/>
          <w:szCs w:val="20"/>
        </w:rPr>
        <w:t>Universidad P. Comillas, Madrid</w:t>
      </w:r>
    </w:p>
    <w:p w:rsidR="00ED7CD4" w:rsidRPr="00ED7CD4" w:rsidRDefault="00ED7CD4" w:rsidP="00434D0D">
      <w:pPr>
        <w:spacing w:after="0" w:line="240" w:lineRule="auto"/>
        <w:jc w:val="right"/>
        <w:rPr>
          <w:rFonts w:ascii="Arial" w:hAnsi="Arial" w:cs="Arial"/>
          <w:color w:val="0070C0"/>
          <w:sz w:val="20"/>
          <w:szCs w:val="20"/>
        </w:rPr>
      </w:pPr>
      <w:r>
        <w:rPr>
          <w:rFonts w:ascii="Arial" w:hAnsi="Arial" w:cs="Arial"/>
          <w:color w:val="0070C0"/>
          <w:sz w:val="20"/>
          <w:szCs w:val="20"/>
        </w:rPr>
        <w:t>vazquez@comillas.edu</w:t>
      </w:r>
    </w:p>
    <w:p w:rsidR="00ED7CD4" w:rsidRPr="00ED7CD4" w:rsidRDefault="00ED7CD4" w:rsidP="00ED7CD4">
      <w:pPr>
        <w:pStyle w:val="Subttulo"/>
        <w:spacing w:line="360" w:lineRule="auto"/>
        <w:rPr>
          <w:rFonts w:ascii="Arial" w:hAnsi="Arial" w:cs="Arial"/>
          <w:color w:val="0070C0"/>
        </w:rPr>
      </w:pPr>
    </w:p>
    <w:p w:rsidR="00ED7CD4" w:rsidRDefault="00ED7CD4" w:rsidP="00ED7CD4">
      <w:pPr>
        <w:spacing w:line="360" w:lineRule="auto"/>
        <w:rPr>
          <w:rFonts w:ascii="Arial" w:hAnsi="Arial" w:cs="Arial"/>
          <w:b/>
          <w:color w:val="0070C0"/>
        </w:rPr>
      </w:pPr>
      <w:r>
        <w:rPr>
          <w:rFonts w:ascii="Arial" w:hAnsi="Arial" w:cs="Arial"/>
          <w:b/>
          <w:color w:val="0070C0"/>
        </w:rPr>
        <w:t>Resumen:</w:t>
      </w:r>
    </w:p>
    <w:p w:rsidR="00ED7CD4" w:rsidRPr="00ED7CD4" w:rsidRDefault="00ED7CD4" w:rsidP="00ED7CD4">
      <w:pPr>
        <w:spacing w:line="360" w:lineRule="auto"/>
        <w:rPr>
          <w:rFonts w:ascii="Arial" w:hAnsi="Arial" w:cs="Arial"/>
          <w:b/>
          <w:color w:val="0070C0"/>
        </w:rPr>
      </w:pPr>
      <w:r>
        <w:rPr>
          <w:rFonts w:ascii="Arial" w:hAnsi="Arial" w:cs="Arial"/>
          <w:b/>
          <w:color w:val="0070C0"/>
        </w:rPr>
        <w:t>Abstract:</w:t>
      </w:r>
    </w:p>
    <w:p w:rsidR="00ED7CD4" w:rsidRPr="00ED7CD4" w:rsidRDefault="00ED7CD4" w:rsidP="00ED7CD4">
      <w:pPr>
        <w:spacing w:line="360" w:lineRule="auto"/>
        <w:rPr>
          <w:rFonts w:ascii="Arial" w:hAnsi="Arial" w:cs="Arial"/>
          <w:color w:val="0070C0"/>
        </w:rPr>
      </w:pPr>
    </w:p>
    <w:p w:rsidR="00ED7CD4" w:rsidRPr="00ED7CD4" w:rsidRDefault="00ED7CD4" w:rsidP="00434D0D">
      <w:pPr>
        <w:spacing w:line="240" w:lineRule="auto"/>
        <w:ind w:left="4248"/>
        <w:jc w:val="both"/>
        <w:rPr>
          <w:rFonts w:ascii="Arial" w:hAnsi="Arial" w:cs="Arial"/>
          <w:color w:val="0070C0"/>
          <w:sz w:val="20"/>
          <w:szCs w:val="20"/>
        </w:rPr>
      </w:pPr>
      <w:r w:rsidRPr="00ED7CD4">
        <w:rPr>
          <w:rFonts w:ascii="Arial" w:hAnsi="Arial" w:cs="Arial"/>
          <w:i/>
          <w:color w:val="0070C0"/>
          <w:sz w:val="20"/>
          <w:szCs w:val="20"/>
        </w:rPr>
        <w:t>Medir el grado de la pena según el grado del conocimiento que se tiene o en general se puede obtener de la historia de un delito,—¿no choca esto contra toda equidad?</w:t>
      </w:r>
      <w:r w:rsidRPr="00ED7CD4">
        <w:rPr>
          <w:rFonts w:ascii="Arial" w:hAnsi="Arial" w:cs="Arial"/>
          <w:color w:val="0070C0"/>
          <w:sz w:val="20"/>
          <w:szCs w:val="20"/>
        </w:rPr>
        <w:t xml:space="preserve"> (F. Nietzsche, </w:t>
      </w:r>
      <w:r w:rsidRPr="00ED7CD4">
        <w:rPr>
          <w:rFonts w:ascii="Arial" w:hAnsi="Arial" w:cs="Arial"/>
          <w:i/>
          <w:color w:val="0070C0"/>
          <w:sz w:val="20"/>
          <w:szCs w:val="20"/>
        </w:rPr>
        <w:t>Humano, demasiado humano</w:t>
      </w:r>
      <w:r w:rsidRPr="00ED7CD4">
        <w:rPr>
          <w:rFonts w:ascii="Arial" w:hAnsi="Arial" w:cs="Arial"/>
          <w:color w:val="0070C0"/>
          <w:sz w:val="20"/>
          <w:szCs w:val="20"/>
        </w:rPr>
        <w:t>, vol. II, §24)</w:t>
      </w:r>
    </w:p>
    <w:p w:rsidR="00ED7CD4" w:rsidRPr="00ED7CD4" w:rsidRDefault="00ED7CD4" w:rsidP="00ED7CD4">
      <w:pPr>
        <w:spacing w:line="360" w:lineRule="auto"/>
        <w:jc w:val="both"/>
        <w:rPr>
          <w:rFonts w:ascii="Arial" w:hAnsi="Arial" w:cs="Arial"/>
          <w:color w:val="0070C0"/>
          <w:sz w:val="20"/>
          <w:szCs w:val="20"/>
        </w:rPr>
      </w:pPr>
    </w:p>
    <w:p w:rsidR="00ED7CD4" w:rsidRPr="00ED7CD4" w:rsidRDefault="00ED7CD4" w:rsidP="00ED7CD4">
      <w:pPr>
        <w:pStyle w:val="Subttulo"/>
        <w:spacing w:line="360" w:lineRule="auto"/>
        <w:rPr>
          <w:rFonts w:ascii="Arial" w:hAnsi="Arial" w:cs="Arial"/>
          <w:color w:val="0070C0"/>
        </w:rPr>
      </w:pPr>
      <w:r w:rsidRPr="00ED7CD4">
        <w:rPr>
          <w:rFonts w:ascii="Arial" w:hAnsi="Arial" w:cs="Arial"/>
          <w:b/>
          <w:i w:val="0"/>
          <w:color w:val="0070C0"/>
        </w:rPr>
        <w:t>1</w:t>
      </w:r>
      <w:r w:rsidRPr="00ED7CD4">
        <w:rPr>
          <w:rFonts w:ascii="Arial" w:hAnsi="Arial" w:cs="Arial"/>
          <w:b/>
          <w:color w:val="0070C0"/>
        </w:rPr>
        <w:t xml:space="preserve">. </w:t>
      </w:r>
      <w:r w:rsidRPr="00ED7CD4">
        <w:rPr>
          <w:rFonts w:ascii="Arial" w:hAnsi="Arial" w:cs="Arial"/>
          <w:b/>
          <w:i w:val="0"/>
          <w:color w:val="0070C0"/>
        </w:rPr>
        <w:t>Muertos vivientes krausistas</w:t>
      </w:r>
    </w:p>
    <w:p w:rsidR="00ED7CD4" w:rsidRPr="00ED7CD4" w:rsidRDefault="00ED7CD4" w:rsidP="00ED7CD4">
      <w:pPr>
        <w:spacing w:line="360" w:lineRule="auto"/>
        <w:jc w:val="both"/>
        <w:rPr>
          <w:rFonts w:ascii="Arial" w:hAnsi="Arial" w:cs="Arial"/>
          <w:color w:val="0070C0"/>
          <w:sz w:val="24"/>
          <w:szCs w:val="24"/>
        </w:rPr>
      </w:pP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Los krausistas españoles se vieron enredados y acosados, desde bien pronto, en las luchas por el control ideológico y político de la instrucción pública. Ya en la década de los sesenta del siglo diecinueve, fueron señalados, desde la prensa neocatólica, como una amenaza, y se montó una campaña contra ellos, motejándolos de ‘textos vivos’: el intelectual es convertido en estandarte de doctrina o, mejor, en error—vivo—que difunde, ejemplarmente, las novedades filosóficas, con lo que la letra—muerta—adquiere virtualidad evangélica. Los textos adquieren así vida: textos vivos o muertos vivientes, “… ayudándose para este fin la autoridad del maestro del prestigio del escritor, y recibiendo en cambio nueva fuerza de la palabra viva de aquel la letra muerta y mortal del libro, todo para mayor estrago y más segura ruina de las almas y de la sociedad”</w:t>
      </w:r>
      <w:r w:rsidRPr="00ED7CD4">
        <w:rPr>
          <w:rStyle w:val="Refdenotaalpie"/>
          <w:rFonts w:ascii="Arial" w:hAnsi="Arial" w:cs="Arial"/>
          <w:color w:val="0070C0"/>
          <w:sz w:val="24"/>
          <w:szCs w:val="24"/>
        </w:rPr>
        <w:footnoteReference w:id="1"/>
      </w:r>
      <w:r w:rsidRPr="00ED7CD4">
        <w:rPr>
          <w:rFonts w:ascii="Arial" w:hAnsi="Arial" w:cs="Arial"/>
          <w:color w:val="0070C0"/>
          <w:sz w:val="24"/>
          <w:szCs w:val="24"/>
        </w:rPr>
        <w:t>.</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lastRenderedPageBreak/>
        <w:t>La acusación doctrinal común contra esos zombis krausistas es la de panteísmo, concebido como una infección importada, como “… la importación del panteísmo germánico, representado en una de sus evoluciones más perniciosas, o sea en la doctrina del sofista Krause”</w:t>
      </w:r>
      <w:r w:rsidRPr="00ED7CD4">
        <w:rPr>
          <w:rStyle w:val="Refdenotaalpie"/>
          <w:rFonts w:ascii="Arial" w:hAnsi="Arial" w:cs="Arial"/>
          <w:color w:val="0070C0"/>
          <w:sz w:val="24"/>
          <w:szCs w:val="24"/>
        </w:rPr>
        <w:footnoteReference w:id="2"/>
      </w:r>
      <w:r w:rsidRPr="00ED7CD4">
        <w:rPr>
          <w:rFonts w:ascii="Arial" w:hAnsi="Arial" w:cs="Arial"/>
          <w:color w:val="0070C0"/>
          <w:sz w:val="24"/>
          <w:szCs w:val="24"/>
        </w:rPr>
        <w:t>. La perniciosa mutación de ese virus, en cuanto error, es el materialismo; y la perniciosa mutación de ese virus, en cuanto vicio, es la soberbia. Esa doble secuencia no corre paralela, sino que se acaba remitiendo el error doctrinal al pecado individual y, por ello, no se ciñe a la discusión especulativa, sino que encuentra su lugar natural en la incriminación personal.</w:t>
      </w:r>
    </w:p>
    <w:p w:rsidR="00ED7CD4" w:rsidRPr="00ED7CD4" w:rsidRDefault="00ED7CD4" w:rsidP="00ED7CD4">
      <w:pPr>
        <w:spacing w:line="360" w:lineRule="auto"/>
        <w:jc w:val="both"/>
        <w:rPr>
          <w:rFonts w:ascii="Arial" w:hAnsi="Arial" w:cs="Arial"/>
          <w:color w:val="0070C0"/>
        </w:rPr>
      </w:pPr>
      <w:r w:rsidRPr="00ED7CD4">
        <w:rPr>
          <w:rFonts w:ascii="Arial" w:hAnsi="Arial" w:cs="Arial"/>
          <w:color w:val="0070C0"/>
          <w:sz w:val="24"/>
          <w:szCs w:val="24"/>
        </w:rPr>
        <w:t>Esa ‘campaña de los textos vivos’ preludia otras trifulcas que afectaron a la enseñanza superior, en las que se depuraron a profesores universitarios que rechazaron artículos de los decretos ministeriales que juzgaban atentatorios contra la libertad de cátedra: las dos ‘cuestiones universitarias’, la primera, en vísperas de la primera república; la segunda, al inicio de la restauración monárquica. Fueron las tribulaciones de esa segunda, en la que se sancionó a eminentes krausistas con la separación de sus cátedras, las que dieron ocasión para reconducir sus afanes hacia la enseñanza privada, esperando que desde una institución educativa libre—ni partidista, ni sectaria, ni ideológica—fuera posible la promoción científica y espiritual española. La confianza ya no se pone en reformas legislativas, tal como ocurrió durante el sexenio con el proyecto de ley nonato de instrucción pública, sino en la transformación del país por obra de la educación social; además, ya al cabo de un par de años la índole universitaria del proyecto de establecimiento libre de enseñanza se ha transformado, consagrándose desde entonces a las enseñanzas primeras:</w:t>
      </w:r>
    </w:p>
    <w:p w:rsidR="00ED7CD4" w:rsidRPr="00ED7CD4" w:rsidRDefault="00ED7CD4" w:rsidP="00ED7CD4">
      <w:pPr>
        <w:spacing w:line="360" w:lineRule="auto"/>
        <w:ind w:left="708"/>
        <w:jc w:val="both"/>
        <w:rPr>
          <w:rFonts w:ascii="Arial" w:hAnsi="Arial" w:cs="Arial"/>
          <w:color w:val="0070C0"/>
          <w:sz w:val="20"/>
          <w:szCs w:val="20"/>
        </w:rPr>
      </w:pPr>
      <w:r w:rsidRPr="00ED7CD4">
        <w:rPr>
          <w:rFonts w:ascii="Arial" w:hAnsi="Arial" w:cs="Arial"/>
          <w:color w:val="0070C0"/>
          <w:sz w:val="20"/>
          <w:szCs w:val="20"/>
        </w:rPr>
        <w:lastRenderedPageBreak/>
        <w:t>Consagrada la «Institución» a cooperar a la obra de la educación nacional, y convencida de que la reforma pedagógica deber ser progresiva, partiendo del primer grado de la escuela, si ha de dar frutos, y de que el influjo pedagógico que hoy puede ejercerse en esta esfera es mucho mayor que en ninguna otra, atiende en la actualidad, muy principalmente a la educación general, o sea, a la primera y segunda enseñanza.</w:t>
      </w:r>
    </w:p>
    <w:p w:rsidR="00ED7CD4" w:rsidRPr="00ED7CD4" w:rsidRDefault="00ED7CD4" w:rsidP="00ED7CD4">
      <w:pPr>
        <w:spacing w:line="360" w:lineRule="auto"/>
        <w:ind w:left="708"/>
        <w:jc w:val="both"/>
        <w:rPr>
          <w:rFonts w:ascii="Arial" w:hAnsi="Arial" w:cs="Arial"/>
          <w:color w:val="0070C0"/>
        </w:rPr>
      </w:pPr>
      <w:r w:rsidRPr="00ED7CD4">
        <w:rPr>
          <w:rFonts w:ascii="Arial" w:hAnsi="Arial" w:cs="Arial"/>
          <w:color w:val="0070C0"/>
          <w:sz w:val="20"/>
          <w:szCs w:val="20"/>
        </w:rPr>
        <w:t>Cuando cuente con alumnos formados en su seno y en disposición de emprender una profesión (tal vez dentro de dos o tres años), llevará, conforme las necesidades lo exijan, su espíritu y sus métodos a los estudios superiores, los cuales, por tanto, están llamados durante algún tiempo a tener menos desarrollo que los generales.</w:t>
      </w:r>
      <w:r w:rsidRPr="00ED7CD4">
        <w:rPr>
          <w:rStyle w:val="Refdenotaalpie"/>
          <w:rFonts w:ascii="Arial" w:hAnsi="Arial" w:cs="Arial"/>
          <w:color w:val="0070C0"/>
          <w:sz w:val="20"/>
          <w:szCs w:val="20"/>
        </w:rPr>
        <w:footnoteReference w:id="3"/>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La obra de regeneración nacional tenía que emprenderse ‘desde abajo’. ¿Supuso esa conversión educativa un ab</w:t>
      </w:r>
      <w:r w:rsidR="00D1572B">
        <w:rPr>
          <w:rFonts w:ascii="Arial" w:hAnsi="Arial" w:cs="Arial"/>
          <w:color w:val="0070C0"/>
          <w:sz w:val="24"/>
          <w:szCs w:val="24"/>
        </w:rPr>
        <w:t>andono del cariz jurídico e ius</w:t>
      </w:r>
      <w:r w:rsidRPr="00ED7CD4">
        <w:rPr>
          <w:rFonts w:ascii="Arial" w:hAnsi="Arial" w:cs="Arial"/>
          <w:color w:val="0070C0"/>
          <w:sz w:val="24"/>
          <w:szCs w:val="24"/>
        </w:rPr>
        <w:t xml:space="preserve">filosófico que el krausismo español adquirió desde bien pronto, a favor de su calificación educativa y pedagógica? Seguramente no, pues aquel apóstrofe de ‘textos vivos’, que con intención inquisitorial se lanzaba contra los krausistas, apuntaba a algo genuino: la vocación de estos por encarnar la ‘buena nueva’—tal y como en el ángel apocalíptico ordena </w:t>
      </w:r>
      <w:r w:rsidRPr="00ED7CD4">
        <w:rPr>
          <w:rFonts w:ascii="Arial" w:hAnsi="Arial" w:cs="Arial"/>
          <w:i/>
          <w:color w:val="0070C0"/>
          <w:sz w:val="24"/>
          <w:szCs w:val="24"/>
        </w:rPr>
        <w:t xml:space="preserve">tomar y devorar el librito para después profetizar </w:t>
      </w:r>
      <w:r w:rsidRPr="00ED7CD4">
        <w:rPr>
          <w:rFonts w:ascii="Arial" w:hAnsi="Arial" w:cs="Arial"/>
          <w:color w:val="0070C0"/>
          <w:sz w:val="24"/>
          <w:szCs w:val="24"/>
        </w:rPr>
        <w:t>(</w:t>
      </w:r>
      <w:r w:rsidRPr="00ED7CD4">
        <w:rPr>
          <w:rFonts w:ascii="Arial" w:hAnsi="Arial" w:cs="Arial"/>
          <w:b/>
          <w:color w:val="0070C0"/>
          <w:sz w:val="24"/>
          <w:szCs w:val="24"/>
        </w:rPr>
        <w:t>10</w:t>
      </w:r>
      <w:r w:rsidRPr="00ED7CD4">
        <w:rPr>
          <w:rFonts w:ascii="Arial" w:hAnsi="Arial" w:cs="Arial"/>
          <w:color w:val="0070C0"/>
          <w:sz w:val="24"/>
          <w:szCs w:val="24"/>
        </w:rPr>
        <w:t>, 8-11). Y esa obra de regeneración social, en la que el derecho tendría un papel capital, tenía que emprenderse ‘desde dentro’, “buscando la salud de la vida pública, no en la fuerza ni en la ley, sino en la raíz de toda vida, en el interior y como una acción de dentro a fuera, procura ante todo la educación de los individuos y pueblos en el espíritu de la justicia…”</w:t>
      </w:r>
      <w:r w:rsidRPr="00ED7CD4">
        <w:rPr>
          <w:rStyle w:val="Refdenotaalpie"/>
          <w:rFonts w:ascii="Arial" w:hAnsi="Arial" w:cs="Arial"/>
          <w:color w:val="0070C0"/>
          <w:sz w:val="24"/>
          <w:szCs w:val="24"/>
        </w:rPr>
        <w:footnoteReference w:id="4"/>
      </w:r>
      <w:r w:rsidRPr="00ED7CD4">
        <w:rPr>
          <w:rFonts w:ascii="Arial" w:hAnsi="Arial" w:cs="Arial"/>
          <w:color w:val="0070C0"/>
          <w:sz w:val="24"/>
          <w:szCs w:val="24"/>
        </w:rPr>
        <w:t xml:space="preserve">. Y, por ende, en la raíz viva del derecho. </w:t>
      </w:r>
    </w:p>
    <w:p w:rsidR="00ED7CD4" w:rsidRPr="00ED7CD4" w:rsidRDefault="00ED7CD4" w:rsidP="00ED7CD4">
      <w:pPr>
        <w:spacing w:line="360" w:lineRule="auto"/>
        <w:jc w:val="both"/>
        <w:rPr>
          <w:rFonts w:ascii="Arial" w:hAnsi="Arial" w:cs="Arial"/>
          <w:color w:val="0070C0"/>
          <w:sz w:val="24"/>
          <w:szCs w:val="24"/>
        </w:rPr>
      </w:pPr>
    </w:p>
    <w:p w:rsidR="00ED7CD4" w:rsidRPr="00ED7CD4" w:rsidRDefault="00ED7CD4" w:rsidP="00ED7CD4">
      <w:pPr>
        <w:spacing w:line="360" w:lineRule="auto"/>
        <w:rPr>
          <w:rFonts w:ascii="Arial" w:hAnsi="Arial" w:cs="Arial"/>
          <w:i/>
          <w:color w:val="0070C0"/>
          <w:sz w:val="24"/>
          <w:szCs w:val="24"/>
        </w:rPr>
      </w:pPr>
      <w:r w:rsidRPr="00ED7CD4">
        <w:rPr>
          <w:rFonts w:ascii="Arial" w:hAnsi="Arial" w:cs="Arial"/>
          <w:b/>
          <w:color w:val="0070C0"/>
          <w:sz w:val="24"/>
          <w:szCs w:val="24"/>
        </w:rPr>
        <w:t>2. Derecho… ¡inmanente!</w:t>
      </w:r>
    </w:p>
    <w:p w:rsidR="00ED7CD4" w:rsidRPr="00ED7CD4" w:rsidRDefault="00ED7CD4" w:rsidP="00ED7CD4">
      <w:pPr>
        <w:spacing w:line="360" w:lineRule="auto"/>
        <w:jc w:val="both"/>
        <w:rPr>
          <w:rFonts w:ascii="Arial" w:hAnsi="Arial" w:cs="Arial"/>
          <w:color w:val="0070C0"/>
          <w:sz w:val="24"/>
          <w:szCs w:val="24"/>
        </w:rPr>
      </w:pP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Repasemos, con el fin de afianzar el asunto, el concepto de derecho gineriano</w:t>
      </w:r>
      <w:r w:rsidRPr="00ED7CD4">
        <w:rPr>
          <w:rStyle w:val="Refdenotaalpie"/>
          <w:rFonts w:ascii="Arial" w:hAnsi="Arial" w:cs="Arial"/>
          <w:color w:val="0070C0"/>
          <w:sz w:val="24"/>
          <w:szCs w:val="24"/>
        </w:rPr>
        <w:footnoteReference w:id="5"/>
      </w:r>
      <w:r w:rsidRPr="00ED7CD4">
        <w:rPr>
          <w:rFonts w:ascii="Arial" w:hAnsi="Arial" w:cs="Arial"/>
          <w:color w:val="0070C0"/>
          <w:sz w:val="24"/>
          <w:szCs w:val="24"/>
        </w:rPr>
        <w:t>:</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lastRenderedPageBreak/>
        <w:t xml:space="preserve">Su base analítica o punto de partida es la intuición de que cada uno de nosotros </w:t>
      </w:r>
      <w:r w:rsidRPr="00ED7CD4">
        <w:rPr>
          <w:rFonts w:ascii="Arial" w:hAnsi="Arial" w:cs="Arial"/>
          <w:i/>
          <w:color w:val="0070C0"/>
          <w:sz w:val="24"/>
          <w:szCs w:val="24"/>
        </w:rPr>
        <w:t>es un ser de derecho</w:t>
      </w:r>
      <w:r w:rsidRPr="00ED7CD4">
        <w:rPr>
          <w:rFonts w:ascii="Arial" w:hAnsi="Arial" w:cs="Arial"/>
          <w:color w:val="0070C0"/>
          <w:sz w:val="24"/>
          <w:szCs w:val="24"/>
        </w:rPr>
        <w:t>, concibiendo el derecho como una propiedad de relación de alguien que se obliga con alguien (yo mismo u otro) a la prestación de un servicio necesario para la consecución de un fin racional</w:t>
      </w:r>
      <w:r w:rsidRPr="00ED7CD4">
        <w:rPr>
          <w:rStyle w:val="Refdenotaalpie"/>
          <w:rFonts w:ascii="Arial" w:hAnsi="Arial" w:cs="Arial"/>
          <w:color w:val="0070C0"/>
          <w:sz w:val="24"/>
          <w:szCs w:val="24"/>
        </w:rPr>
        <w:footnoteReference w:id="6"/>
      </w:r>
      <w:r w:rsidRPr="00ED7CD4">
        <w:rPr>
          <w:rFonts w:ascii="Arial" w:hAnsi="Arial" w:cs="Arial"/>
          <w:color w:val="0070C0"/>
          <w:sz w:val="24"/>
          <w:szCs w:val="24"/>
        </w:rPr>
        <w:t>.</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Son dos las esferas donde el derecho se realiza:</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 xml:space="preserve">Una, la </w:t>
      </w:r>
      <w:r w:rsidRPr="00ED7CD4">
        <w:rPr>
          <w:rFonts w:ascii="Arial" w:hAnsi="Arial" w:cs="Arial"/>
          <w:i/>
          <w:color w:val="0070C0"/>
          <w:sz w:val="24"/>
          <w:szCs w:val="24"/>
        </w:rPr>
        <w:t>transitiva o social</w:t>
      </w:r>
      <w:r w:rsidRPr="00ED7CD4">
        <w:rPr>
          <w:rFonts w:ascii="Arial" w:hAnsi="Arial" w:cs="Arial"/>
          <w:color w:val="0070C0"/>
          <w:sz w:val="24"/>
          <w:szCs w:val="24"/>
        </w:rPr>
        <w:t>, que supone dos o más personas pero no la reciprocidad de las prestaciones—pudiendo así quedar obligados con aquellos que no pueden retribuir con servicios, “así, el niño, que a penas puede prestar servicio alguno a los demás…”</w:t>
      </w:r>
      <w:r w:rsidRPr="00ED7CD4">
        <w:rPr>
          <w:rStyle w:val="Refdenotaalpie"/>
          <w:rFonts w:ascii="Arial" w:hAnsi="Arial" w:cs="Arial"/>
          <w:color w:val="0070C0"/>
          <w:sz w:val="24"/>
          <w:szCs w:val="24"/>
        </w:rPr>
        <w:footnoteReference w:id="7"/>
      </w:r>
      <w:r w:rsidRPr="00ED7CD4">
        <w:rPr>
          <w:rFonts w:ascii="Arial" w:hAnsi="Arial" w:cs="Arial"/>
          <w:color w:val="0070C0"/>
          <w:sz w:val="24"/>
          <w:szCs w:val="24"/>
        </w:rPr>
        <w:t>—, ni la publicidad de sus actos, por lo que</w:t>
      </w:r>
    </w:p>
    <w:p w:rsidR="00ED7CD4" w:rsidRPr="00ED7CD4" w:rsidRDefault="00ED7CD4" w:rsidP="00ED7CD4">
      <w:pPr>
        <w:spacing w:line="360" w:lineRule="auto"/>
        <w:ind w:left="708"/>
        <w:jc w:val="both"/>
        <w:rPr>
          <w:rFonts w:ascii="Arial" w:hAnsi="Arial" w:cs="Arial"/>
          <w:color w:val="0070C0"/>
          <w:sz w:val="20"/>
          <w:szCs w:val="20"/>
        </w:rPr>
      </w:pPr>
      <w:r w:rsidRPr="00ED7CD4">
        <w:rPr>
          <w:rFonts w:ascii="Arial" w:hAnsi="Arial" w:cs="Arial"/>
          <w:color w:val="0070C0"/>
          <w:sz w:val="20"/>
          <w:szCs w:val="20"/>
        </w:rPr>
        <w:t>la infracción de estas obligaciones no es siempre punible ante los tribunales de la sociedad; pero no deja de constituir por eso un verdadero agravio del derecho que cada cual se atribuye para que los juicios, afectos, propósitos, etc., de los demás con respecto a él sean tales como corresponden: derecho que, como todos, nace de la necesidad de esas condiciones para la vida racional del interesado.</w:t>
      </w:r>
      <w:r w:rsidRPr="00ED7CD4">
        <w:rPr>
          <w:rStyle w:val="Refdenotaalpie"/>
          <w:rFonts w:ascii="Arial" w:hAnsi="Arial" w:cs="Arial"/>
          <w:color w:val="0070C0"/>
          <w:sz w:val="20"/>
          <w:szCs w:val="20"/>
        </w:rPr>
        <w:footnoteReference w:id="8"/>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 xml:space="preserve">Dos, la </w:t>
      </w:r>
      <w:r w:rsidRPr="00ED7CD4">
        <w:rPr>
          <w:rFonts w:ascii="Arial" w:hAnsi="Arial" w:cs="Arial"/>
          <w:i/>
          <w:color w:val="0070C0"/>
          <w:sz w:val="24"/>
          <w:szCs w:val="24"/>
        </w:rPr>
        <w:t>inmanente o intransitiva</w:t>
      </w:r>
      <w:r w:rsidRPr="00ED7CD4">
        <w:rPr>
          <w:rFonts w:ascii="Arial" w:hAnsi="Arial" w:cs="Arial"/>
          <w:color w:val="0070C0"/>
          <w:sz w:val="24"/>
          <w:szCs w:val="24"/>
        </w:rPr>
        <w:t>, en la que prestaciones y obligaciones convergen en una misma persona. Ésta será la esfera del derecho fundamental, por cuanto el cumplimiento de los fines depende últimamente de la voluntad del individuo de aplicar los medios.</w:t>
      </w:r>
    </w:p>
    <w:p w:rsidR="00ED7CD4" w:rsidRPr="00ED7CD4" w:rsidRDefault="00ED7CD4" w:rsidP="00ED7CD4">
      <w:pPr>
        <w:spacing w:line="360" w:lineRule="auto"/>
        <w:ind w:left="708"/>
        <w:jc w:val="both"/>
        <w:rPr>
          <w:rFonts w:ascii="Arial" w:hAnsi="Arial" w:cs="Arial"/>
          <w:color w:val="0070C0"/>
          <w:sz w:val="20"/>
          <w:szCs w:val="20"/>
        </w:rPr>
      </w:pPr>
      <w:r w:rsidRPr="00ED7CD4">
        <w:rPr>
          <w:rFonts w:ascii="Arial" w:hAnsi="Arial" w:cs="Arial"/>
          <w:color w:val="0070C0"/>
          <w:sz w:val="20"/>
          <w:szCs w:val="20"/>
        </w:rPr>
        <w:t xml:space="preserve">Así pone el maestro en la educación todas las condiciones exteriores que están en su posibilidad al alcance del discípulo; pero a éste es a quien toca, en definitiva, apropiárselas […]: aprovechamiento que pertenece a la esfera inmanente del derecho de cada persona, en el cual su actividad propia es de todo punto insustituíble. De igual suerte, el deudor nos entrega una suma de medios, perfectamente inútiles hasta que los aplicamos nosotros.  Descuidadas estas relaciones íntimas, el Derecho quedaría sin cumplimiento, aun en la hipótesis de que todos los hombres se prestaran </w:t>
      </w:r>
      <w:r w:rsidRPr="00ED7CD4">
        <w:rPr>
          <w:rFonts w:ascii="Arial" w:hAnsi="Arial" w:cs="Arial"/>
          <w:color w:val="0070C0"/>
          <w:sz w:val="20"/>
          <w:szCs w:val="20"/>
        </w:rPr>
        <w:lastRenderedPageBreak/>
        <w:t>recíprocamente las condiciones exteriores que se deben. Esta hipótesis es, además, inadmisible, por absurda. Sin el cumplimiento de los deberes que cada hombre tiene para consigo propio, no se concibe que cumpliese con los demás.</w:t>
      </w:r>
      <w:r w:rsidRPr="00ED7CD4">
        <w:rPr>
          <w:rStyle w:val="Refdenotaalpie"/>
          <w:rFonts w:ascii="Arial" w:hAnsi="Arial" w:cs="Arial"/>
          <w:color w:val="0070C0"/>
          <w:sz w:val="20"/>
          <w:szCs w:val="20"/>
        </w:rPr>
        <w:footnoteReference w:id="9"/>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La recusación de la exterioridad como ámbito, y de la coercitividad como garantía, de las relaciones de derecho rechinará en las orejas jurídicas kantianas</w:t>
      </w:r>
      <w:r w:rsidRPr="00ED7CD4">
        <w:rPr>
          <w:rStyle w:val="Refdenotaalpie"/>
          <w:rFonts w:ascii="Arial" w:hAnsi="Arial" w:cs="Arial"/>
          <w:color w:val="0070C0"/>
          <w:sz w:val="24"/>
          <w:szCs w:val="24"/>
        </w:rPr>
        <w:footnoteReference w:id="10"/>
      </w:r>
      <w:r w:rsidRPr="00ED7CD4">
        <w:rPr>
          <w:rFonts w:ascii="Arial" w:hAnsi="Arial" w:cs="Arial"/>
          <w:color w:val="0070C0"/>
          <w:sz w:val="24"/>
          <w:szCs w:val="24"/>
        </w:rPr>
        <w:t xml:space="preserve">; sin embargo, si los buenos kantianos las tapan escucharán a aquella divinidad que no se oye: </w:t>
      </w:r>
      <w:r w:rsidRPr="00ED7CD4">
        <w:rPr>
          <w:rFonts w:ascii="Arial" w:hAnsi="Arial" w:cs="Arial"/>
          <w:i/>
          <w:color w:val="0070C0"/>
          <w:sz w:val="24"/>
          <w:szCs w:val="24"/>
        </w:rPr>
        <w:t>Aequitas</w:t>
      </w:r>
      <w:r w:rsidRPr="00ED7CD4">
        <w:rPr>
          <w:rFonts w:ascii="Arial" w:hAnsi="Arial" w:cs="Arial"/>
          <w:color w:val="0070C0"/>
          <w:sz w:val="24"/>
          <w:szCs w:val="24"/>
        </w:rPr>
        <w:t>, la equidad—de ese modo nos oiremos a nosotros mismos.</w:t>
      </w:r>
      <w:r w:rsidRPr="00ED7CD4">
        <w:rPr>
          <w:rStyle w:val="Refdenotaalpie"/>
          <w:rFonts w:ascii="Arial" w:hAnsi="Arial" w:cs="Arial"/>
          <w:color w:val="0070C0"/>
          <w:sz w:val="24"/>
          <w:szCs w:val="24"/>
        </w:rPr>
        <w:footnoteReference w:id="11"/>
      </w:r>
    </w:p>
    <w:p w:rsidR="00ED7CD4" w:rsidRPr="00ED7CD4" w:rsidRDefault="00ED7CD4" w:rsidP="00ED7CD4">
      <w:pPr>
        <w:spacing w:line="360" w:lineRule="auto"/>
        <w:jc w:val="both"/>
        <w:rPr>
          <w:rFonts w:ascii="Arial" w:hAnsi="Arial" w:cs="Arial"/>
          <w:color w:val="0070C0"/>
          <w:sz w:val="24"/>
          <w:szCs w:val="24"/>
        </w:rPr>
      </w:pPr>
    </w:p>
    <w:p w:rsidR="00ED7CD4" w:rsidRPr="00ED7CD4" w:rsidRDefault="00ED7CD4" w:rsidP="00ED7CD4">
      <w:pPr>
        <w:spacing w:line="360" w:lineRule="auto"/>
        <w:rPr>
          <w:rFonts w:ascii="Arial" w:hAnsi="Arial" w:cs="Arial"/>
          <w:b/>
          <w:color w:val="0070C0"/>
          <w:sz w:val="24"/>
          <w:szCs w:val="24"/>
        </w:rPr>
      </w:pPr>
      <w:r w:rsidRPr="00ED7CD4">
        <w:rPr>
          <w:rFonts w:ascii="Arial" w:hAnsi="Arial" w:cs="Arial"/>
          <w:b/>
          <w:color w:val="0070C0"/>
          <w:sz w:val="24"/>
          <w:szCs w:val="24"/>
        </w:rPr>
        <w:t xml:space="preserve">3. </w:t>
      </w:r>
      <w:r w:rsidRPr="00ED7CD4">
        <w:rPr>
          <w:rFonts w:ascii="Arial" w:hAnsi="Arial" w:cs="Arial"/>
          <w:b/>
          <w:i/>
          <w:color w:val="0070C0"/>
          <w:sz w:val="24"/>
          <w:szCs w:val="24"/>
        </w:rPr>
        <w:t>Aequitas</w:t>
      </w:r>
      <w:r w:rsidRPr="00ED7CD4">
        <w:rPr>
          <w:rFonts w:ascii="Arial" w:hAnsi="Arial" w:cs="Arial"/>
          <w:b/>
          <w:color w:val="0070C0"/>
          <w:sz w:val="24"/>
          <w:szCs w:val="24"/>
        </w:rPr>
        <w:t>, ¿muda?</w:t>
      </w:r>
    </w:p>
    <w:p w:rsidR="00ED7CD4" w:rsidRPr="00ED7CD4" w:rsidRDefault="00ED7CD4" w:rsidP="00ED7CD4">
      <w:pPr>
        <w:spacing w:line="360" w:lineRule="auto"/>
        <w:jc w:val="both"/>
        <w:rPr>
          <w:rFonts w:ascii="Arial" w:hAnsi="Arial" w:cs="Arial"/>
          <w:color w:val="0070C0"/>
          <w:sz w:val="24"/>
          <w:szCs w:val="24"/>
        </w:rPr>
      </w:pP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Según la argumentación iusfilosófica kantiana, el derecho de equidad es mudo por encontrarse privado de coacción, ya que, al no ser manifiestas sus condiciones, se torna indecidible: por ej., para “el que en una sociedad mercantil, constituida sobre la igualdad de los beneficios y que se ha disuelto, ha contribuido más que los otros, pero ha perdido más que ellos…”, o para “el sirviente al que se paga el sueldo anual en moneda devaluada…”.</w:t>
      </w:r>
      <w:r w:rsidRPr="00ED7CD4">
        <w:rPr>
          <w:rStyle w:val="Refdenotaalpie"/>
          <w:rFonts w:ascii="Arial" w:hAnsi="Arial" w:cs="Arial"/>
          <w:color w:val="0070C0"/>
          <w:sz w:val="24"/>
          <w:szCs w:val="24"/>
        </w:rPr>
        <w:footnoteReference w:id="12"/>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 xml:space="preserve">De resultas, la equidad resulta considerada un derecho equívoco; hasta contradictorio—“… un </w:t>
      </w:r>
      <w:r w:rsidRPr="00ED7CD4">
        <w:rPr>
          <w:rFonts w:ascii="Arial" w:hAnsi="Arial" w:cs="Arial"/>
          <w:i/>
          <w:color w:val="0070C0"/>
          <w:sz w:val="24"/>
          <w:szCs w:val="24"/>
        </w:rPr>
        <w:t>tribunal de equidad</w:t>
      </w:r>
      <w:r w:rsidRPr="00ED7CD4">
        <w:rPr>
          <w:rFonts w:ascii="Arial" w:hAnsi="Arial" w:cs="Arial"/>
          <w:color w:val="0070C0"/>
          <w:sz w:val="24"/>
          <w:szCs w:val="24"/>
        </w:rPr>
        <w:t xml:space="preserve"> (en una querella de otros sobre sus derechos) encierra en sí una contradicción”—, por cuanto no puedo tener </w:t>
      </w:r>
      <w:r w:rsidRPr="00ED7CD4">
        <w:rPr>
          <w:rFonts w:ascii="Arial" w:hAnsi="Arial" w:cs="Arial"/>
          <w:color w:val="0070C0"/>
          <w:sz w:val="24"/>
          <w:szCs w:val="24"/>
        </w:rPr>
        <w:lastRenderedPageBreak/>
        <w:t xml:space="preserve">derecho y no tenerlo a la vez: la equidad que reclamamos es derecho—“… el que exige algo sobre esta base se apoya en su </w:t>
      </w:r>
      <w:r w:rsidRPr="00ED7CD4">
        <w:rPr>
          <w:rFonts w:ascii="Arial" w:hAnsi="Arial" w:cs="Arial"/>
          <w:i/>
          <w:color w:val="0070C0"/>
          <w:sz w:val="24"/>
          <w:szCs w:val="24"/>
        </w:rPr>
        <w:t>derecho</w:t>
      </w:r>
      <w:r w:rsidRPr="00ED7CD4">
        <w:rPr>
          <w:rFonts w:ascii="Arial" w:hAnsi="Arial" w:cs="Arial"/>
          <w:color w:val="0070C0"/>
          <w:sz w:val="24"/>
          <w:szCs w:val="24"/>
        </w:rPr>
        <w:t>…”—, pero es también no-derecho—“… según el derecho propiamente dicho (estricto), sería recusado junto con su reclamación…”; “… no puede invocar su derecho…”</w:t>
      </w:r>
      <w:r w:rsidRPr="00ED7CD4">
        <w:rPr>
          <w:rStyle w:val="Refdenotaalpie"/>
          <w:rFonts w:ascii="Arial" w:hAnsi="Arial" w:cs="Arial"/>
          <w:color w:val="0070C0"/>
          <w:sz w:val="24"/>
          <w:szCs w:val="24"/>
        </w:rPr>
        <w:footnoteReference w:id="13"/>
      </w:r>
      <w:r w:rsidRPr="00ED7CD4">
        <w:rPr>
          <w:rFonts w:ascii="Arial" w:hAnsi="Arial" w:cs="Arial"/>
          <w:color w:val="0070C0"/>
          <w:sz w:val="24"/>
          <w:szCs w:val="24"/>
        </w:rPr>
        <w:t>.</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 xml:space="preserve">La solución kantiana a esa contradicción comporta un traslado, desplazando o retornando la fallida jurisdicción exterior—“… este daño que no puede remediarse por el camino jurídico, aunque afecte a una exigencia jurídica…”—a la propia autodeterminación interior, donde se preserva a la aporía de cualquier limitación extraña y se indaga su fuente en el interior de la voluntad—“… porque ésta [exigencia jurídica] sólo pertenece al </w:t>
      </w:r>
      <w:r w:rsidRPr="00ED7CD4">
        <w:rPr>
          <w:rFonts w:ascii="Arial" w:hAnsi="Arial" w:cs="Arial"/>
          <w:i/>
          <w:color w:val="0070C0"/>
          <w:sz w:val="24"/>
          <w:szCs w:val="24"/>
        </w:rPr>
        <w:t>tribunal de la conciencia</w:t>
      </w:r>
      <w:r w:rsidRPr="00ED7CD4">
        <w:rPr>
          <w:rFonts w:ascii="Arial" w:hAnsi="Arial" w:cs="Arial"/>
          <w:color w:val="0070C0"/>
          <w:sz w:val="24"/>
          <w:szCs w:val="24"/>
        </w:rPr>
        <w:t>…”</w:t>
      </w:r>
      <w:r w:rsidRPr="00ED7CD4">
        <w:rPr>
          <w:rStyle w:val="Refdenotaalpie"/>
          <w:rFonts w:ascii="Arial" w:hAnsi="Arial" w:cs="Arial"/>
          <w:color w:val="0070C0"/>
          <w:sz w:val="24"/>
          <w:szCs w:val="24"/>
        </w:rPr>
        <w:footnoteReference w:id="14"/>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 xml:space="preserve">Parece, pues, que, kantianamente, sólo se podría prestar oídos morales, y no oídos jurídicos, a esa divinidad muda, </w:t>
      </w:r>
      <w:r w:rsidRPr="00ED7CD4">
        <w:rPr>
          <w:rFonts w:ascii="Arial" w:hAnsi="Arial" w:cs="Arial"/>
          <w:i/>
          <w:color w:val="0070C0"/>
          <w:sz w:val="24"/>
          <w:szCs w:val="24"/>
        </w:rPr>
        <w:t>Aequitas</w:t>
      </w:r>
      <w:r w:rsidRPr="00ED7CD4">
        <w:rPr>
          <w:rFonts w:ascii="Arial" w:hAnsi="Arial" w:cs="Arial"/>
          <w:color w:val="0070C0"/>
          <w:sz w:val="24"/>
          <w:szCs w:val="24"/>
        </w:rPr>
        <w:t>. ¿Es así? Supongamos:</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 xml:space="preserve">Una </w:t>
      </w:r>
      <w:r w:rsidRPr="00ED7CD4">
        <w:rPr>
          <w:rFonts w:ascii="Arial" w:hAnsi="Arial" w:cs="Arial"/>
          <w:i/>
          <w:color w:val="0070C0"/>
          <w:sz w:val="24"/>
          <w:szCs w:val="24"/>
        </w:rPr>
        <w:t>primera suposición</w:t>
      </w:r>
      <w:r w:rsidRPr="00ED7CD4">
        <w:rPr>
          <w:rFonts w:ascii="Arial" w:hAnsi="Arial" w:cs="Arial"/>
          <w:color w:val="0070C0"/>
          <w:sz w:val="24"/>
          <w:szCs w:val="24"/>
        </w:rPr>
        <w:t>: que queden vulnerados los derechos del propio juez por culpa de terceros; entonces, aquél, por estar al tanto íntimamente de las circunstancias, resulta competente para decidir: “sólo cuando quedan afectados los propios derechos del juez y en aquello que puede disponer personalmente, puede y debe prestar oídos a la equidad”</w:t>
      </w:r>
      <w:r w:rsidRPr="00ED7CD4">
        <w:rPr>
          <w:rStyle w:val="Refdenotaalpie"/>
          <w:rFonts w:ascii="Arial" w:hAnsi="Arial" w:cs="Arial"/>
          <w:color w:val="0070C0"/>
          <w:sz w:val="24"/>
          <w:szCs w:val="24"/>
        </w:rPr>
        <w:footnoteReference w:id="15"/>
      </w:r>
      <w:r w:rsidRPr="00ED7CD4">
        <w:rPr>
          <w:rFonts w:ascii="Arial" w:hAnsi="Arial" w:cs="Arial"/>
          <w:color w:val="0070C0"/>
          <w:sz w:val="24"/>
          <w:szCs w:val="24"/>
        </w:rPr>
        <w:t xml:space="preserve">. Pero, ¿no queda, entonces, </w:t>
      </w:r>
      <w:r w:rsidRPr="00ED7CD4">
        <w:rPr>
          <w:rFonts w:ascii="Arial" w:hAnsi="Arial" w:cs="Arial"/>
          <w:color w:val="0070C0"/>
          <w:sz w:val="24"/>
          <w:szCs w:val="24"/>
        </w:rPr>
        <w:lastRenderedPageBreak/>
        <w:t>cuestionada, o por lo menos desplazada, la exterioridad jurídica?, ¿no nos las habemos, entonces, con una relación jurídica que podemos considerar como inmanente?</w:t>
      </w:r>
    </w:p>
    <w:p w:rsidR="00ED7CD4" w:rsidRPr="00ED7CD4" w:rsidRDefault="00ED7CD4" w:rsidP="00ED7CD4">
      <w:pPr>
        <w:spacing w:line="360" w:lineRule="auto"/>
        <w:jc w:val="both"/>
        <w:rPr>
          <w:rFonts w:ascii="Arial" w:hAnsi="Arial" w:cs="Arial"/>
          <w:color w:val="0070C0"/>
        </w:rPr>
      </w:pPr>
      <w:r w:rsidRPr="00ED7CD4">
        <w:rPr>
          <w:rFonts w:ascii="Arial" w:hAnsi="Arial" w:cs="Arial"/>
          <w:color w:val="0070C0"/>
          <w:sz w:val="24"/>
          <w:szCs w:val="24"/>
        </w:rPr>
        <w:t>Una</w:t>
      </w:r>
      <w:r w:rsidRPr="00ED7CD4">
        <w:rPr>
          <w:rFonts w:ascii="Arial" w:hAnsi="Arial" w:cs="Arial"/>
          <w:i/>
          <w:color w:val="0070C0"/>
          <w:sz w:val="24"/>
          <w:szCs w:val="24"/>
        </w:rPr>
        <w:t xml:space="preserve"> segunda suposición</w:t>
      </w:r>
      <w:r w:rsidRPr="00ED7CD4">
        <w:rPr>
          <w:rFonts w:ascii="Arial" w:hAnsi="Arial" w:cs="Arial"/>
          <w:color w:val="0070C0"/>
          <w:sz w:val="24"/>
          <w:szCs w:val="24"/>
        </w:rPr>
        <w:t>: que queden vulnerados los derechos de unos terceros por culpa del propio juez y que éste se condene a sí mismo, que se condene ¡a muerte, nada menos! ¿Cómo es esto posible?, porque no puede tratarse de un consentimiento a perder mi propia vida, algo que sería contradictorio porque “nadie sufre un castigo porque lo haya querido…”</w:t>
      </w:r>
      <w:r w:rsidRPr="00ED7CD4">
        <w:rPr>
          <w:rStyle w:val="Refdenotaalpie"/>
          <w:rFonts w:ascii="Arial" w:hAnsi="Arial" w:cs="Arial"/>
          <w:color w:val="0070C0"/>
          <w:sz w:val="24"/>
          <w:szCs w:val="24"/>
        </w:rPr>
        <w:footnoteReference w:id="16"/>
      </w:r>
      <w:r w:rsidRPr="00ED7CD4">
        <w:rPr>
          <w:rFonts w:ascii="Arial" w:hAnsi="Arial" w:cs="Arial"/>
          <w:color w:val="0070C0"/>
          <w:sz w:val="24"/>
          <w:szCs w:val="24"/>
        </w:rPr>
        <w:t>. La salida de ese aprieto estriba en distinguir dos personas en uno mismo:</w:t>
      </w:r>
    </w:p>
    <w:p w:rsidR="00ED7CD4" w:rsidRPr="00ED7CD4" w:rsidRDefault="00ED7CD4" w:rsidP="00ED7CD4">
      <w:pPr>
        <w:spacing w:line="360" w:lineRule="auto"/>
        <w:jc w:val="both"/>
        <w:rPr>
          <w:rFonts w:ascii="Arial" w:hAnsi="Arial" w:cs="Arial"/>
          <w:color w:val="0070C0"/>
        </w:rPr>
      </w:pPr>
    </w:p>
    <w:p w:rsidR="00ED7CD4" w:rsidRPr="00ED7CD4" w:rsidRDefault="00ED7CD4" w:rsidP="00ED7CD4">
      <w:pPr>
        <w:spacing w:line="360" w:lineRule="auto"/>
        <w:ind w:left="708"/>
        <w:jc w:val="both"/>
        <w:rPr>
          <w:rFonts w:ascii="Arial" w:hAnsi="Arial" w:cs="Arial"/>
          <w:color w:val="0070C0"/>
          <w:sz w:val="20"/>
          <w:szCs w:val="20"/>
        </w:rPr>
      </w:pPr>
      <w:r w:rsidRPr="00ED7CD4">
        <w:rPr>
          <w:rFonts w:ascii="Arial" w:hAnsi="Arial" w:cs="Arial"/>
          <w:color w:val="0070C0"/>
          <w:sz w:val="20"/>
          <w:szCs w:val="20"/>
        </w:rPr>
        <w:t xml:space="preserve">Yo, como colegislador que decreta la </w:t>
      </w:r>
      <w:r w:rsidRPr="00ED7CD4">
        <w:rPr>
          <w:rFonts w:ascii="Arial" w:hAnsi="Arial" w:cs="Arial"/>
          <w:i/>
          <w:color w:val="0070C0"/>
          <w:sz w:val="20"/>
          <w:szCs w:val="20"/>
        </w:rPr>
        <w:t>ley penal</w:t>
      </w:r>
      <w:r w:rsidRPr="00ED7CD4">
        <w:rPr>
          <w:rFonts w:ascii="Arial" w:hAnsi="Arial" w:cs="Arial"/>
          <w:color w:val="0070C0"/>
          <w:sz w:val="20"/>
          <w:szCs w:val="20"/>
        </w:rPr>
        <w:t xml:space="preserve">, no puedo ser la misma persona que, como súbdito, es castigada según la ley; porque como tal, es decir, como criminal, no puedo tener un voto en la legislación (el legislador es santo). Por tanto, cuando yo formulo una ley penal contra mí, como criminal, es la razón pura jurídico-legisladora en mí </w:t>
      </w:r>
      <w:r w:rsidRPr="00ED7CD4">
        <w:rPr>
          <w:rFonts w:ascii="Arial" w:hAnsi="Arial" w:cs="Arial"/>
          <w:i/>
          <w:color w:val="0070C0"/>
          <w:sz w:val="20"/>
          <w:szCs w:val="20"/>
        </w:rPr>
        <w:t>(homo noumenon)</w:t>
      </w:r>
      <w:r w:rsidRPr="00ED7CD4">
        <w:rPr>
          <w:rFonts w:ascii="Arial" w:hAnsi="Arial" w:cs="Arial"/>
          <w:color w:val="0070C0"/>
          <w:sz w:val="20"/>
          <w:szCs w:val="20"/>
        </w:rPr>
        <w:t xml:space="preserve"> la que me somete a la ley penal a mí, como capaz de cometer crímenes, por consiguiente, como otra persona </w:t>
      </w:r>
      <w:r w:rsidRPr="00ED7CD4">
        <w:rPr>
          <w:rFonts w:ascii="Arial" w:hAnsi="Arial" w:cs="Arial"/>
          <w:i/>
          <w:color w:val="0070C0"/>
          <w:sz w:val="20"/>
          <w:szCs w:val="20"/>
        </w:rPr>
        <w:t>(homo phaenomenon)</w:t>
      </w:r>
      <w:r w:rsidRPr="00ED7CD4">
        <w:rPr>
          <w:rFonts w:ascii="Arial" w:hAnsi="Arial" w:cs="Arial"/>
          <w:color w:val="0070C0"/>
          <w:sz w:val="20"/>
          <w:szCs w:val="20"/>
        </w:rPr>
        <w:t xml:space="preserve"> junto con todas las demás en una asociación civil.</w:t>
      </w:r>
      <w:r w:rsidRPr="00ED7CD4">
        <w:rPr>
          <w:rStyle w:val="Refdenotaalpie"/>
          <w:rFonts w:ascii="Arial" w:hAnsi="Arial" w:cs="Arial"/>
          <w:color w:val="0070C0"/>
          <w:sz w:val="20"/>
          <w:szCs w:val="20"/>
        </w:rPr>
        <w:footnoteReference w:id="17"/>
      </w:r>
    </w:p>
    <w:p w:rsidR="00ED7CD4" w:rsidRPr="00ED7CD4" w:rsidRDefault="00ED7CD4" w:rsidP="00ED7CD4">
      <w:pPr>
        <w:spacing w:line="360" w:lineRule="auto"/>
        <w:jc w:val="both"/>
        <w:rPr>
          <w:rFonts w:ascii="Arial" w:hAnsi="Arial" w:cs="Arial"/>
          <w:color w:val="0070C0"/>
        </w:rPr>
      </w:pP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La solución consistiría en que se representen como separados en dos personas distintas el delito y la sentencia, pero… dos en uno y el mismo tribunal, una y la misma conciencia: legislador y criminal, juez y parte, o hasta amigo y enemigo, reunidos</w:t>
      </w:r>
      <w:r w:rsidRPr="00ED7CD4">
        <w:rPr>
          <w:rStyle w:val="Refdenotaalpie"/>
          <w:rFonts w:ascii="Arial" w:hAnsi="Arial" w:cs="Arial"/>
          <w:color w:val="0070C0"/>
          <w:sz w:val="24"/>
          <w:szCs w:val="24"/>
        </w:rPr>
        <w:footnoteReference w:id="18"/>
      </w:r>
      <w:r w:rsidRPr="00ED7CD4">
        <w:rPr>
          <w:rFonts w:ascii="Arial" w:hAnsi="Arial" w:cs="Arial"/>
          <w:color w:val="0070C0"/>
          <w:sz w:val="24"/>
          <w:szCs w:val="24"/>
        </w:rPr>
        <w:t xml:space="preserve">. Si para el derecho de equidad esa reunión </w:t>
      </w:r>
      <w:r w:rsidRPr="00ED7CD4">
        <w:rPr>
          <w:rFonts w:ascii="Arial" w:hAnsi="Arial" w:cs="Arial"/>
          <w:color w:val="0070C0"/>
          <w:sz w:val="24"/>
          <w:szCs w:val="24"/>
        </w:rPr>
        <w:lastRenderedPageBreak/>
        <w:t>conllevaba el desplazamiento ético (hacia el tribunal de la conciencia), la competencia jurídica para el caso límite del juez que estuviese al tanto de las circunstancias y la representación posible de que dictara sentencia en su contra conllevaría que la posibilidad de una coacción recíproca exterior, que definiría kantianamente al derecho</w:t>
      </w:r>
      <w:r w:rsidRPr="00ED7CD4">
        <w:rPr>
          <w:rStyle w:val="Refdenotaalpie"/>
          <w:rFonts w:ascii="Arial" w:hAnsi="Arial" w:cs="Arial"/>
          <w:color w:val="0070C0"/>
          <w:sz w:val="24"/>
          <w:szCs w:val="24"/>
        </w:rPr>
        <w:footnoteReference w:id="19"/>
      </w:r>
      <w:r w:rsidRPr="00ED7CD4">
        <w:rPr>
          <w:rFonts w:ascii="Arial" w:hAnsi="Arial" w:cs="Arial"/>
          <w:color w:val="0070C0"/>
          <w:sz w:val="24"/>
          <w:szCs w:val="24"/>
        </w:rPr>
        <w:t>, se remplazaría por una coacción recíproca interior, en la que se recurriría a la conciencia como móvil y como tribunal.</w:t>
      </w:r>
    </w:p>
    <w:p w:rsidR="00ED7CD4" w:rsidRPr="00ED7CD4" w:rsidRDefault="00ED7CD4" w:rsidP="00ED7CD4">
      <w:pPr>
        <w:spacing w:line="360" w:lineRule="auto"/>
        <w:jc w:val="both"/>
        <w:rPr>
          <w:rFonts w:ascii="Arial" w:hAnsi="Arial" w:cs="Arial"/>
          <w:color w:val="0070C0"/>
          <w:sz w:val="24"/>
          <w:szCs w:val="24"/>
        </w:rPr>
      </w:pPr>
    </w:p>
    <w:p w:rsidR="00ED7CD4" w:rsidRPr="00ED7CD4" w:rsidRDefault="00ED7CD4" w:rsidP="00ED7CD4">
      <w:pPr>
        <w:spacing w:line="360" w:lineRule="auto"/>
        <w:jc w:val="both"/>
        <w:rPr>
          <w:rFonts w:ascii="Arial" w:hAnsi="Arial" w:cs="Arial"/>
          <w:b/>
          <w:color w:val="0070C0"/>
          <w:sz w:val="24"/>
          <w:szCs w:val="24"/>
        </w:rPr>
      </w:pPr>
      <w:r w:rsidRPr="00ED7CD4">
        <w:rPr>
          <w:rFonts w:ascii="Arial" w:hAnsi="Arial" w:cs="Arial"/>
          <w:b/>
          <w:color w:val="0070C0"/>
          <w:sz w:val="24"/>
          <w:szCs w:val="24"/>
        </w:rPr>
        <w:t>4. Estado… ¡individual!</w:t>
      </w:r>
    </w:p>
    <w:p w:rsidR="00ED7CD4" w:rsidRPr="00ED7CD4" w:rsidRDefault="00ED7CD4" w:rsidP="00ED7CD4">
      <w:pPr>
        <w:spacing w:line="360" w:lineRule="auto"/>
        <w:jc w:val="both"/>
        <w:rPr>
          <w:rFonts w:ascii="Arial" w:hAnsi="Arial" w:cs="Arial"/>
          <w:color w:val="0070C0"/>
          <w:sz w:val="24"/>
          <w:szCs w:val="24"/>
        </w:rPr>
      </w:pPr>
    </w:p>
    <w:p w:rsidR="00ED7CD4" w:rsidRPr="00ED7CD4" w:rsidRDefault="00ED7CD4" w:rsidP="00ED7CD4">
      <w:pPr>
        <w:spacing w:line="360" w:lineRule="auto"/>
        <w:jc w:val="both"/>
        <w:rPr>
          <w:rFonts w:ascii="Arial" w:hAnsi="Arial" w:cs="Arial"/>
          <w:color w:val="0070C0"/>
          <w:sz w:val="24"/>
          <w:szCs w:val="24"/>
          <w:highlight w:val="yellow"/>
        </w:rPr>
      </w:pPr>
      <w:r w:rsidRPr="00ED7CD4">
        <w:rPr>
          <w:rFonts w:ascii="Arial" w:hAnsi="Arial" w:cs="Arial"/>
          <w:color w:val="0070C0"/>
          <w:sz w:val="24"/>
          <w:szCs w:val="24"/>
        </w:rPr>
        <w:t xml:space="preserve">Esa aporética kantiana conduce muy cerca de la aporética gineriana; si </w:t>
      </w:r>
      <w:r w:rsidRPr="00ED7CD4">
        <w:rPr>
          <w:rFonts w:ascii="Arial" w:hAnsi="Arial" w:cs="Arial"/>
          <w:i/>
          <w:color w:val="0070C0"/>
          <w:sz w:val="24"/>
          <w:szCs w:val="24"/>
        </w:rPr>
        <w:t>kantianamente</w:t>
      </w:r>
      <w:r w:rsidRPr="00ED7CD4">
        <w:rPr>
          <w:rFonts w:ascii="Arial" w:hAnsi="Arial" w:cs="Arial"/>
          <w:color w:val="0070C0"/>
          <w:sz w:val="24"/>
          <w:szCs w:val="24"/>
        </w:rPr>
        <w:t xml:space="preserve"> se  revierte la contradicción de la equidad, entendida como negación exterior a la que no es posible rendir cuenta, en oposición interior, </w:t>
      </w:r>
      <w:r w:rsidRPr="00ED7CD4">
        <w:rPr>
          <w:rFonts w:ascii="Arial" w:hAnsi="Arial" w:cs="Arial"/>
          <w:i/>
          <w:color w:val="0070C0"/>
          <w:sz w:val="24"/>
          <w:szCs w:val="24"/>
        </w:rPr>
        <w:t xml:space="preserve">ginerianamente </w:t>
      </w:r>
      <w:r w:rsidRPr="00ED7CD4">
        <w:rPr>
          <w:rFonts w:ascii="Arial" w:hAnsi="Arial" w:cs="Arial"/>
          <w:color w:val="0070C0"/>
          <w:sz w:val="24"/>
          <w:szCs w:val="24"/>
        </w:rPr>
        <w:t>se revierte la relación jurídica a esa misma polaridad:</w:t>
      </w:r>
    </w:p>
    <w:p w:rsidR="00ED7CD4" w:rsidRPr="00ED7CD4" w:rsidRDefault="00ED7CD4" w:rsidP="00ED7CD4">
      <w:pPr>
        <w:spacing w:line="360" w:lineRule="auto"/>
        <w:ind w:left="708"/>
        <w:jc w:val="both"/>
        <w:rPr>
          <w:rFonts w:ascii="Arial" w:hAnsi="Arial" w:cs="Arial"/>
          <w:color w:val="0070C0"/>
          <w:sz w:val="20"/>
          <w:szCs w:val="20"/>
        </w:rPr>
      </w:pPr>
      <w:r w:rsidRPr="00ED7CD4">
        <w:rPr>
          <w:rFonts w:ascii="Arial" w:hAnsi="Arial" w:cs="Arial"/>
          <w:color w:val="0070C0"/>
          <w:sz w:val="20"/>
          <w:szCs w:val="20"/>
        </w:rPr>
        <w:t>Cada hombre es justamente un ser racional, coesencial, idéntico con todos, y un sujeto, en cuanto individual, enteramente original […]; y la oposición entre el hombre ideal, por decirlo así, y la obra de cada individuo se ha de resolver no por el mero criterio de éste, sino por el criterio y autoridad objetiva de la naturaleza racional humana…</w:t>
      </w:r>
    </w:p>
    <w:p w:rsidR="00ED7CD4" w:rsidRPr="00ED7CD4" w:rsidRDefault="00ED7CD4" w:rsidP="00ED7CD4">
      <w:pPr>
        <w:spacing w:line="360" w:lineRule="auto"/>
        <w:ind w:left="708"/>
        <w:jc w:val="both"/>
        <w:rPr>
          <w:rFonts w:ascii="Arial" w:hAnsi="Arial" w:cs="Arial"/>
          <w:color w:val="0070C0"/>
          <w:sz w:val="20"/>
          <w:szCs w:val="20"/>
        </w:rPr>
      </w:pPr>
      <w:r w:rsidRPr="00ED7CD4">
        <w:rPr>
          <w:rFonts w:ascii="Arial" w:hAnsi="Arial" w:cs="Arial"/>
          <w:color w:val="0070C0"/>
          <w:sz w:val="20"/>
          <w:szCs w:val="20"/>
        </w:rPr>
        <w:t>Sin salir, pues, de la esfera del que pudiéramos decir (siguiendo a Platón) «Estado individual», y sin necesidad de suponer pluralidad de seres […], cabe ya reconocer la existencia de un «soberano» y un «súbdito» dentro de nosotros mismos…</w:t>
      </w:r>
      <w:r w:rsidRPr="00ED7CD4">
        <w:rPr>
          <w:rStyle w:val="Refdenotaalpie"/>
          <w:rFonts w:ascii="Arial" w:hAnsi="Arial" w:cs="Arial"/>
          <w:color w:val="0070C0"/>
          <w:sz w:val="20"/>
          <w:szCs w:val="20"/>
        </w:rPr>
        <w:footnoteReference w:id="20"/>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lastRenderedPageBreak/>
        <w:t>La interiorización supone, a fin de cuentas, una apropiación de la alteridad, apropiación que debiera comportar una determinación de la identidad p</w:t>
      </w:r>
      <w:r w:rsidR="00D1572B">
        <w:rPr>
          <w:rFonts w:ascii="Arial" w:hAnsi="Arial" w:cs="Arial"/>
          <w:color w:val="0070C0"/>
          <w:sz w:val="24"/>
          <w:szCs w:val="24"/>
        </w:rPr>
        <w:t>or la que, partiéndome en dos (</w:t>
      </w:r>
      <w:r w:rsidRPr="00ED7CD4">
        <w:rPr>
          <w:rFonts w:ascii="Arial" w:hAnsi="Arial" w:cs="Arial"/>
          <w:color w:val="0070C0"/>
          <w:sz w:val="24"/>
          <w:szCs w:val="24"/>
        </w:rPr>
        <w:t>juez y reo, soberano y súbdito), me vuelvo, a la vez, activo y pasivo: ‘yo me juzgo a m</w:t>
      </w:r>
      <w:r w:rsidR="00D1572B">
        <w:rPr>
          <w:rFonts w:ascii="Arial" w:hAnsi="Arial" w:cs="Arial"/>
          <w:color w:val="0070C0"/>
          <w:sz w:val="24"/>
          <w:szCs w:val="24"/>
        </w:rPr>
        <w:t>í mismo’, ‘yo me gobierno a mí</w:t>
      </w:r>
      <w:r w:rsidRPr="00ED7CD4">
        <w:rPr>
          <w:rFonts w:ascii="Arial" w:hAnsi="Arial" w:cs="Arial"/>
          <w:color w:val="0070C0"/>
          <w:sz w:val="24"/>
          <w:szCs w:val="24"/>
        </w:rPr>
        <w:t xml:space="preserve"> mismo’. Pero, por mor de esa operación, ¿no resultamos sujetos en una reflexividad que nos engulle, sea que el espejo se abombe convexamente, para devolver(me) la </w:t>
      </w:r>
      <w:r w:rsidRPr="00ED7CD4">
        <w:rPr>
          <w:rFonts w:ascii="Arial" w:hAnsi="Arial" w:cs="Arial"/>
          <w:color w:val="0070C0"/>
          <w:sz w:val="24"/>
          <w:szCs w:val="24"/>
        </w:rPr>
        <w:lastRenderedPageBreak/>
        <w:t>imagen de un imponente superyó, sea que se encoja cóncavamente, para devolver(me) la imagen de un insignificante yo?; ¿acaso esa disociación no es una trampa, hasta, o sobre todo, cuando pido perdón, por cuanto he de dividirme entre el que pide perdón y aquel para quien pido perdón?</w:t>
      </w:r>
      <w:r w:rsidRPr="00ED7CD4">
        <w:rPr>
          <w:rStyle w:val="Refdenotaalpie"/>
          <w:rFonts w:ascii="Arial" w:hAnsi="Arial" w:cs="Arial"/>
          <w:color w:val="0070C0"/>
          <w:sz w:val="24"/>
          <w:szCs w:val="24"/>
        </w:rPr>
        <w:footnoteReference w:id="21"/>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Y, siguiendo ese guion, ¿no nos las habemos con un un núcleo perverso, encapsulado en esa subjetividad partida, en la que comulgarían ambos paradigmas, kantiano y gineriano, ya se recuente la equidad en un recuento moral (kantiano)—sea porque el derecho resulte impotente para garantizar la equivalencia jurídica—, ya se recuente en uno jurídico (gineriano)—sea porque el derecho arraigue últimamente en la interioridad de la persona?</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Un núcleo perverso, que cabría calificar, primeramente, de ‘paranoide’, pues mi juez interior me vigila en la cámara de mi conciencia moral como un ominoso doble, donde la mudez de la equidad resuena como la voz que no puedo dejar de oír.</w:t>
      </w:r>
      <w:r w:rsidRPr="00ED7CD4">
        <w:rPr>
          <w:rStyle w:val="Refdenotaalpie"/>
          <w:rFonts w:ascii="Arial" w:hAnsi="Arial" w:cs="Arial"/>
          <w:color w:val="0070C0"/>
          <w:sz w:val="24"/>
          <w:szCs w:val="24"/>
        </w:rPr>
        <w:footnoteReference w:id="22"/>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lastRenderedPageBreak/>
        <w:t>Un núcleo perverso que cabría calificar, después, de ‘narcisista’, puesto que esa internalización se asegura del éxito de su represión al idealizar el yo por medio de su sujeción a un ideal del yo que se instituye soberanamente.</w:t>
      </w:r>
      <w:r w:rsidRPr="00ED7CD4">
        <w:rPr>
          <w:rStyle w:val="Refdenotaalpie"/>
          <w:rFonts w:ascii="Arial" w:hAnsi="Arial" w:cs="Arial"/>
          <w:color w:val="0070C0"/>
          <w:sz w:val="24"/>
          <w:szCs w:val="24"/>
        </w:rPr>
        <w:footnoteReference w:id="23"/>
      </w:r>
    </w:p>
    <w:p w:rsidR="00ED7CD4" w:rsidRPr="00ED7CD4" w:rsidRDefault="00ED7CD4" w:rsidP="00ED7CD4">
      <w:pPr>
        <w:spacing w:line="360" w:lineRule="auto"/>
        <w:jc w:val="both"/>
        <w:rPr>
          <w:rFonts w:ascii="Arial" w:hAnsi="Arial" w:cs="Arial"/>
          <w:color w:val="0070C0"/>
          <w:sz w:val="24"/>
          <w:szCs w:val="24"/>
        </w:rPr>
      </w:pPr>
    </w:p>
    <w:p w:rsidR="00ED7CD4" w:rsidRPr="00ED7CD4" w:rsidRDefault="00ED7CD4" w:rsidP="00ED7CD4">
      <w:pPr>
        <w:spacing w:line="360" w:lineRule="auto"/>
        <w:jc w:val="both"/>
        <w:rPr>
          <w:rFonts w:ascii="Arial" w:hAnsi="Arial" w:cs="Arial"/>
          <w:b/>
          <w:i/>
          <w:color w:val="0070C0"/>
          <w:sz w:val="24"/>
          <w:szCs w:val="24"/>
        </w:rPr>
      </w:pPr>
      <w:r w:rsidRPr="00ED7CD4">
        <w:rPr>
          <w:rFonts w:ascii="Arial" w:hAnsi="Arial" w:cs="Arial"/>
          <w:b/>
          <w:color w:val="0070C0"/>
          <w:sz w:val="24"/>
          <w:szCs w:val="24"/>
        </w:rPr>
        <w:t>5. Pero… ¿hay relación jurídica?</w:t>
      </w:r>
    </w:p>
    <w:p w:rsidR="00ED7CD4" w:rsidRPr="00ED7CD4" w:rsidRDefault="00ED7CD4" w:rsidP="00ED7CD4">
      <w:pPr>
        <w:spacing w:line="360" w:lineRule="auto"/>
        <w:jc w:val="both"/>
        <w:rPr>
          <w:rFonts w:ascii="Arial" w:hAnsi="Arial" w:cs="Arial"/>
          <w:color w:val="0070C0"/>
          <w:sz w:val="24"/>
          <w:szCs w:val="24"/>
        </w:rPr>
      </w:pP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¿Es posible cortocircuitar ese círculo vicioso?</w:t>
      </w:r>
      <w:r w:rsidRPr="00ED7CD4">
        <w:rPr>
          <w:rStyle w:val="Refdenotaalpie"/>
          <w:rFonts w:ascii="Arial" w:hAnsi="Arial" w:cs="Arial"/>
          <w:color w:val="0070C0"/>
          <w:sz w:val="24"/>
          <w:szCs w:val="24"/>
        </w:rPr>
        <w:footnoteReference w:id="24"/>
      </w:r>
      <w:r w:rsidRPr="00ED7CD4">
        <w:rPr>
          <w:rFonts w:ascii="Arial" w:hAnsi="Arial" w:cs="Arial"/>
          <w:color w:val="0070C0"/>
          <w:sz w:val="24"/>
          <w:szCs w:val="24"/>
        </w:rPr>
        <w:t xml:space="preserve"> Si estimamos la calificación instrumental que califica ginerianamente a la relación jurídica—la prestación libre de un servicio “… por su exclusiva cualidad de servir para esos fines [racionales de la vida universal], por su carácter de condiciones o medios, sin atender a más”</w:t>
      </w:r>
      <w:r w:rsidRPr="00ED7CD4">
        <w:rPr>
          <w:rStyle w:val="Refdenotaalpie"/>
          <w:rFonts w:ascii="Arial" w:hAnsi="Arial" w:cs="Arial"/>
          <w:color w:val="0070C0"/>
          <w:sz w:val="24"/>
          <w:szCs w:val="24"/>
        </w:rPr>
        <w:footnoteReference w:id="25"/>
      </w:r>
      <w:r w:rsidRPr="00ED7CD4">
        <w:rPr>
          <w:rFonts w:ascii="Arial" w:hAnsi="Arial" w:cs="Arial"/>
          <w:color w:val="0070C0"/>
          <w:sz w:val="24"/>
          <w:szCs w:val="24"/>
        </w:rPr>
        <w:t xml:space="preserve">—, ¿quebraría esa mediación la especularidad que amenaza </w:t>
      </w:r>
      <w:r w:rsidRPr="00ED7CD4">
        <w:rPr>
          <w:rFonts w:ascii="Arial" w:hAnsi="Arial" w:cs="Arial"/>
          <w:color w:val="0070C0"/>
          <w:sz w:val="24"/>
          <w:szCs w:val="24"/>
        </w:rPr>
        <w:lastRenderedPageBreak/>
        <w:t xml:space="preserve">al derecho, sea en la reciprocidad exterior kantiana, sea en la sujeción interior gineriana? Porque si, para el </w:t>
      </w:r>
      <w:r w:rsidRPr="00ED7CD4">
        <w:rPr>
          <w:rFonts w:ascii="Arial" w:hAnsi="Arial" w:cs="Arial"/>
          <w:i/>
          <w:color w:val="0070C0"/>
          <w:sz w:val="24"/>
          <w:szCs w:val="24"/>
        </w:rPr>
        <w:t>kantiano</w:t>
      </w:r>
      <w:r w:rsidRPr="00ED7CD4">
        <w:rPr>
          <w:rFonts w:ascii="Arial" w:hAnsi="Arial" w:cs="Arial"/>
          <w:color w:val="0070C0"/>
          <w:sz w:val="24"/>
          <w:szCs w:val="24"/>
        </w:rPr>
        <w:t xml:space="preserve">, la reversión del derecho de equidad comporta un desplazamiento o externalización moral, que es, en cuanto tal, una interiorización—la de la intencionalidad moral—, en cambio, para el </w:t>
      </w:r>
      <w:r w:rsidRPr="00ED7CD4">
        <w:rPr>
          <w:rFonts w:ascii="Arial" w:hAnsi="Arial" w:cs="Arial"/>
          <w:i/>
          <w:color w:val="0070C0"/>
          <w:sz w:val="24"/>
          <w:szCs w:val="24"/>
        </w:rPr>
        <w:t>gineriano</w:t>
      </w:r>
      <w:r w:rsidRPr="00ED7CD4">
        <w:rPr>
          <w:rFonts w:ascii="Arial" w:hAnsi="Arial" w:cs="Arial"/>
          <w:color w:val="0070C0"/>
          <w:sz w:val="24"/>
          <w:szCs w:val="24"/>
        </w:rPr>
        <w:t xml:space="preserve"> comporta un desplazamiento o internalización jurídico, que es, en cuanto tal, una exteriorización—la del acto jurídico: “en el Derecho la intención trasciende del acto…”</w:t>
      </w:r>
      <w:r w:rsidRPr="00ED7CD4">
        <w:rPr>
          <w:rStyle w:val="Refdenotaalpie"/>
          <w:rFonts w:ascii="Arial" w:hAnsi="Arial" w:cs="Arial"/>
          <w:color w:val="0070C0"/>
          <w:sz w:val="24"/>
          <w:szCs w:val="24"/>
        </w:rPr>
        <w:footnoteReference w:id="26"/>
      </w:r>
      <w:r w:rsidRPr="00ED7CD4">
        <w:rPr>
          <w:rFonts w:ascii="Arial" w:hAnsi="Arial" w:cs="Arial"/>
          <w:color w:val="0070C0"/>
          <w:sz w:val="24"/>
          <w:szCs w:val="24"/>
        </w:rPr>
        <w:t>.</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 xml:space="preserve">Según este último paradigma, la intencionalidad moral queda intramuros: “… versa sobre el acto y su propio valor absoluto, formulándose, en lo tanto, el principio de la moralidad en el precepto: </w:t>
      </w:r>
      <w:r w:rsidRPr="00ED7CD4">
        <w:rPr>
          <w:rFonts w:ascii="Arial" w:hAnsi="Arial" w:cs="Arial"/>
          <w:i/>
          <w:color w:val="0070C0"/>
          <w:sz w:val="24"/>
          <w:szCs w:val="24"/>
        </w:rPr>
        <w:t>haz el bien por el bien</w:t>
      </w:r>
      <w:r w:rsidRPr="00ED7CD4">
        <w:rPr>
          <w:rFonts w:ascii="Arial" w:hAnsi="Arial" w:cs="Arial"/>
          <w:color w:val="0070C0"/>
          <w:sz w:val="24"/>
          <w:szCs w:val="24"/>
        </w:rPr>
        <w:t xml:space="preserve">”; por el contrario, “en el Derecho, la intención trasciende del acto, al cual sólo estima en su cualidad de medio, en su utilidad, en su eficacia para realizar algo; pudiendo formularse así su precepto: </w:t>
      </w:r>
      <w:r w:rsidRPr="00ED7CD4">
        <w:rPr>
          <w:rFonts w:ascii="Arial" w:hAnsi="Arial" w:cs="Arial"/>
          <w:i/>
          <w:color w:val="0070C0"/>
          <w:sz w:val="24"/>
          <w:szCs w:val="24"/>
        </w:rPr>
        <w:t>haz el bien para que el fin se cumpla</w:t>
      </w:r>
      <w:r w:rsidRPr="00ED7CD4">
        <w:rPr>
          <w:rFonts w:ascii="Arial" w:hAnsi="Arial" w:cs="Arial"/>
          <w:color w:val="0070C0"/>
          <w:sz w:val="24"/>
          <w:szCs w:val="24"/>
        </w:rPr>
        <w:t>”</w:t>
      </w:r>
      <w:r w:rsidRPr="00ED7CD4">
        <w:rPr>
          <w:rStyle w:val="Refdenotaalpie"/>
          <w:rFonts w:ascii="Arial" w:hAnsi="Arial" w:cs="Arial"/>
          <w:color w:val="0070C0"/>
          <w:sz w:val="24"/>
          <w:szCs w:val="24"/>
        </w:rPr>
        <w:footnoteReference w:id="27"/>
      </w:r>
      <w:r w:rsidRPr="00ED7CD4">
        <w:rPr>
          <w:rFonts w:ascii="Arial" w:hAnsi="Arial" w:cs="Arial"/>
          <w:color w:val="0070C0"/>
          <w:sz w:val="24"/>
          <w:szCs w:val="24"/>
        </w:rPr>
        <w:t>. Y, si bien se estipula una correspondencia biunívoca entre ambos conjuntos—puesto que “el sistema de los deberes (morales) coincide, pues, en absoluto, con el de los derechos”</w:t>
      </w:r>
      <w:r w:rsidRPr="00ED7CD4">
        <w:rPr>
          <w:rStyle w:val="Refdenotaalpie"/>
          <w:rFonts w:ascii="Arial" w:hAnsi="Arial" w:cs="Arial"/>
          <w:color w:val="0070C0"/>
          <w:sz w:val="24"/>
          <w:szCs w:val="24"/>
        </w:rPr>
        <w:footnoteReference w:id="28"/>
      </w:r>
      <w:r w:rsidRPr="00ED7CD4">
        <w:rPr>
          <w:rFonts w:ascii="Arial" w:hAnsi="Arial" w:cs="Arial"/>
          <w:color w:val="0070C0"/>
          <w:sz w:val="24"/>
          <w:szCs w:val="24"/>
        </w:rPr>
        <w:t>—, la alteridad con la que se compromete el acto jurídico pudiera desequilibrar la intención moral dado su potencial imprevisto y, así, hasta llegar a extrañarnos de nosotros mismos.</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Sin embargo, ¿no ocurre que se estipula que la actividad jurídica del sujeto está siempre y en exclusiva predeterminada para el cumplimiento del derecho? La mediación y la condicionalidad jurídicas están preservadas de cualquier deseconomía, homologadas con el fin externo—“todo medio es al propio tiempo un fin, merced al organismo de la vida, y recíprocamente…”</w:t>
      </w:r>
      <w:r w:rsidRPr="00ED7CD4">
        <w:rPr>
          <w:rStyle w:val="Refdenotaalpie"/>
          <w:rFonts w:ascii="Arial" w:hAnsi="Arial" w:cs="Arial"/>
          <w:color w:val="0070C0"/>
          <w:sz w:val="24"/>
          <w:szCs w:val="24"/>
        </w:rPr>
        <w:footnoteReference w:id="29"/>
      </w:r>
      <w:r w:rsidRPr="00ED7CD4">
        <w:rPr>
          <w:rFonts w:ascii="Arial" w:hAnsi="Arial" w:cs="Arial"/>
          <w:color w:val="0070C0"/>
          <w:sz w:val="24"/>
          <w:szCs w:val="24"/>
        </w:rPr>
        <w:t>. Por tanto, toda obligación jurídica se equilibra con una prestación jurídica, esto es,</w:t>
      </w:r>
    </w:p>
    <w:p w:rsidR="00ED7CD4" w:rsidRPr="00ED7CD4" w:rsidRDefault="00ED7CD4" w:rsidP="00ED7CD4">
      <w:pPr>
        <w:spacing w:line="360" w:lineRule="auto"/>
        <w:ind w:left="708"/>
        <w:jc w:val="both"/>
        <w:rPr>
          <w:rFonts w:ascii="Arial" w:hAnsi="Arial" w:cs="Arial"/>
          <w:color w:val="0070C0"/>
          <w:sz w:val="20"/>
          <w:szCs w:val="20"/>
        </w:rPr>
      </w:pPr>
      <w:r w:rsidRPr="00ED7CD4">
        <w:rPr>
          <w:rFonts w:ascii="Arial" w:hAnsi="Arial" w:cs="Arial"/>
          <w:color w:val="0070C0"/>
          <w:sz w:val="20"/>
          <w:szCs w:val="20"/>
        </w:rPr>
        <w:lastRenderedPageBreak/>
        <w:t>que a todo deber […] corresponde un derecho, no cabiendo uno sin otro; que este derecho reside en un sér, a saber: aquel a quien interesa que el deber se cumpla, y que no es más que la relación entre este interés y el medio con que el obligado ha de satisfacerlo. El sistema de los deberes (morales) coincide, pues, en absoluto, con el de los derechos.</w:t>
      </w:r>
      <w:r w:rsidRPr="00ED7CD4">
        <w:rPr>
          <w:rStyle w:val="Refdenotaalpie"/>
          <w:rFonts w:ascii="Arial" w:hAnsi="Arial" w:cs="Arial"/>
          <w:color w:val="0070C0"/>
          <w:sz w:val="20"/>
          <w:szCs w:val="20"/>
        </w:rPr>
        <w:footnoteReference w:id="30"/>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Aun así, verifiquemos esa coincidencia preguntando del revés: ¿corresponde a todo derecho un deber? Pues bien, hay, al menos, dos excepciones:</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i/>
          <w:color w:val="0070C0"/>
          <w:sz w:val="24"/>
          <w:szCs w:val="24"/>
        </w:rPr>
        <w:t>1ª</w:t>
      </w:r>
      <w:r w:rsidRPr="00ED7CD4">
        <w:rPr>
          <w:rFonts w:ascii="Arial" w:hAnsi="Arial" w:cs="Arial"/>
          <w:color w:val="0070C0"/>
          <w:sz w:val="24"/>
          <w:szCs w:val="24"/>
        </w:rPr>
        <w:t xml:space="preserve">, la </w:t>
      </w:r>
      <w:r w:rsidRPr="00ED7CD4">
        <w:rPr>
          <w:rFonts w:ascii="Arial" w:hAnsi="Arial" w:cs="Arial"/>
          <w:i/>
          <w:color w:val="0070C0"/>
          <w:sz w:val="24"/>
          <w:szCs w:val="24"/>
        </w:rPr>
        <w:t>relación jurídica entre hombre y Dios</w:t>
      </w:r>
      <w:r w:rsidRPr="00ED7CD4">
        <w:rPr>
          <w:rFonts w:ascii="Arial" w:hAnsi="Arial" w:cs="Arial"/>
          <w:color w:val="0070C0"/>
          <w:sz w:val="24"/>
          <w:szCs w:val="24"/>
        </w:rPr>
        <w:t>:</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El hombre tiene derecho a los medios de los que depende para el cumplimiento de sus fines, aunque Dios no tiene ninguna cuenta pendiente por ser infinito; es en absoluto independiente de cualquier condición que le preste el hombre. Si bien, en cuanto</w:t>
      </w:r>
    </w:p>
    <w:p w:rsidR="00ED7CD4" w:rsidRPr="00ED7CD4" w:rsidRDefault="00ED7CD4" w:rsidP="00ED7CD4">
      <w:pPr>
        <w:spacing w:line="360" w:lineRule="auto"/>
        <w:ind w:left="708"/>
        <w:jc w:val="both"/>
        <w:rPr>
          <w:rFonts w:ascii="Arial" w:hAnsi="Arial" w:cs="Arial"/>
          <w:color w:val="0070C0"/>
          <w:sz w:val="20"/>
          <w:szCs w:val="20"/>
        </w:rPr>
      </w:pPr>
      <w:r w:rsidRPr="00ED7CD4">
        <w:rPr>
          <w:rFonts w:ascii="Arial" w:hAnsi="Arial" w:cs="Arial"/>
          <w:color w:val="0070C0"/>
          <w:sz w:val="20"/>
          <w:szCs w:val="20"/>
        </w:rPr>
        <w:t>… el cumplimiento de los fines de Dios en el mundo (lo que suele llamarse «el plan de la Providencia») se halla en parte confiado a la libre actividad humana, en cuyo sentido puede considerarse al hombre como cooperador en la obra del destino universal, tiene Dios derecho a esa cooperación y el hombre obligación de prestarla. Así concibe con necesidad la razón esas relaciones, en que se funda el carácter religioso del Derecho.</w:t>
      </w:r>
      <w:r w:rsidRPr="00ED7CD4">
        <w:rPr>
          <w:rStyle w:val="Refdenotaalpie"/>
          <w:rFonts w:ascii="Arial" w:hAnsi="Arial" w:cs="Arial"/>
          <w:color w:val="0070C0"/>
          <w:sz w:val="20"/>
          <w:szCs w:val="20"/>
        </w:rPr>
        <w:footnoteReference w:id="31"/>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De esa asimetría entre obligación y prestación parece desprenderse un desecho, del que se asegura que no pondría en peligro, de ningún modo, el ajuste del orden simbólico (del Derecho), y así se juzga insignificante la “… rebeldía [del hombre], [que] como toda perturbación, sea cualquiera su naturaleza, en nada afecta, no ya a la vida divina, pero ni aun al orden universal de las cosas…”</w:t>
      </w:r>
      <w:r w:rsidRPr="00ED7CD4">
        <w:rPr>
          <w:rStyle w:val="Refdenotaalpie"/>
          <w:rFonts w:ascii="Arial" w:hAnsi="Arial" w:cs="Arial"/>
          <w:color w:val="0070C0"/>
          <w:sz w:val="24"/>
          <w:szCs w:val="24"/>
        </w:rPr>
        <w:footnoteReference w:id="32"/>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i/>
          <w:color w:val="0070C0"/>
          <w:sz w:val="24"/>
          <w:szCs w:val="24"/>
        </w:rPr>
        <w:t>2ª</w:t>
      </w:r>
      <w:r w:rsidRPr="00ED7CD4">
        <w:rPr>
          <w:rFonts w:ascii="Arial" w:hAnsi="Arial" w:cs="Arial"/>
          <w:color w:val="0070C0"/>
          <w:sz w:val="24"/>
          <w:szCs w:val="24"/>
        </w:rPr>
        <w:t xml:space="preserve">, la </w:t>
      </w:r>
      <w:r w:rsidRPr="00ED7CD4">
        <w:rPr>
          <w:rFonts w:ascii="Arial" w:hAnsi="Arial" w:cs="Arial"/>
          <w:i/>
          <w:color w:val="0070C0"/>
          <w:sz w:val="24"/>
          <w:szCs w:val="24"/>
        </w:rPr>
        <w:t>representación jurídica de los incapaces de ejercer</w:t>
      </w:r>
      <w:r w:rsidRPr="00ED7CD4">
        <w:rPr>
          <w:rFonts w:ascii="Arial" w:hAnsi="Arial" w:cs="Arial"/>
          <w:color w:val="0070C0"/>
          <w:sz w:val="24"/>
          <w:szCs w:val="24"/>
        </w:rPr>
        <w:t xml:space="preserve"> </w:t>
      </w:r>
      <w:r w:rsidRPr="00ED7CD4">
        <w:rPr>
          <w:rFonts w:ascii="Arial" w:hAnsi="Arial" w:cs="Arial"/>
          <w:i/>
          <w:color w:val="0070C0"/>
          <w:sz w:val="24"/>
          <w:szCs w:val="24"/>
        </w:rPr>
        <w:t>su facultad de obrar</w:t>
      </w:r>
      <w:r w:rsidRPr="00ED7CD4">
        <w:rPr>
          <w:rFonts w:ascii="Arial" w:hAnsi="Arial" w:cs="Arial"/>
          <w:color w:val="0070C0"/>
          <w:sz w:val="24"/>
          <w:szCs w:val="24"/>
        </w:rPr>
        <w:t>:</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Cualquiera debe asistir a quienes padecen limitaciones, aunque sobre éstos no puedan recaer obligaciones; están exentos de deberes de acuerdo con su incapacidad. Si bien, en cuanto su arbitrio o voluntad subjetiva jamás deben prevalecer, son sometidos a la autoridad de un tutor.</w:t>
      </w:r>
    </w:p>
    <w:p w:rsidR="00ED7CD4" w:rsidRPr="00ED7CD4" w:rsidRDefault="00ED7CD4" w:rsidP="00ED7CD4">
      <w:pPr>
        <w:spacing w:line="360" w:lineRule="auto"/>
        <w:ind w:left="708"/>
        <w:jc w:val="both"/>
        <w:rPr>
          <w:rFonts w:ascii="Arial" w:hAnsi="Arial" w:cs="Arial"/>
          <w:color w:val="0070C0"/>
          <w:sz w:val="20"/>
          <w:szCs w:val="20"/>
        </w:rPr>
      </w:pPr>
      <w:r w:rsidRPr="00ED7CD4">
        <w:rPr>
          <w:rFonts w:ascii="Arial" w:hAnsi="Arial" w:cs="Arial"/>
          <w:color w:val="0070C0"/>
          <w:sz w:val="20"/>
          <w:szCs w:val="20"/>
        </w:rPr>
        <w:lastRenderedPageBreak/>
        <w:t>El niño recién nacido, por ejemplo, es sujeto jurídico; pero no teniendo que cumplir obligación alguna (pues las que se suelen decir afectas a su patrimonio no son tales […], y quedan enteramente independientes de su acción), aprovecha el Derecho, pero no lo cumple, no es Estado, mientras no lo informa como tal la tutela, creando una autoridad para el gobierno de su vida.</w:t>
      </w:r>
      <w:r w:rsidRPr="00ED7CD4">
        <w:rPr>
          <w:rStyle w:val="Refdenotaalpie"/>
          <w:rFonts w:ascii="Arial" w:hAnsi="Arial" w:cs="Arial"/>
          <w:color w:val="0070C0"/>
          <w:sz w:val="20"/>
          <w:szCs w:val="20"/>
        </w:rPr>
        <w:footnoteReference w:id="33"/>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 xml:space="preserve">De nuevo, el recurso a la asistencia excluye toda discordia: “… el mismo principio de la justa relación entre gobernantes y gobernados prescribe que, sin excluir jamás la propia dirección de éstos [incapaces] (imposible de suprimir, aún en el niño), pueda y deba pasar desde la dictadura a la plena autarquía </w:t>
      </w:r>
      <w:r w:rsidRPr="00ED7CD4">
        <w:rPr>
          <w:rFonts w:ascii="Arial" w:hAnsi="Arial" w:cs="Arial"/>
          <w:i/>
          <w:color w:val="0070C0"/>
          <w:sz w:val="24"/>
          <w:szCs w:val="24"/>
        </w:rPr>
        <w:t>(self-government)</w:t>
      </w:r>
      <w:r w:rsidRPr="00ED7CD4">
        <w:rPr>
          <w:rFonts w:ascii="Arial" w:hAnsi="Arial" w:cs="Arial"/>
          <w:color w:val="0070C0"/>
          <w:sz w:val="24"/>
          <w:szCs w:val="24"/>
        </w:rPr>
        <w:t>…”</w:t>
      </w:r>
      <w:r w:rsidRPr="00ED7CD4">
        <w:rPr>
          <w:rStyle w:val="Refdenotaalpie"/>
          <w:rFonts w:ascii="Arial" w:hAnsi="Arial" w:cs="Arial"/>
          <w:color w:val="0070C0"/>
          <w:sz w:val="24"/>
          <w:szCs w:val="24"/>
        </w:rPr>
        <w:footnoteReference w:id="34"/>
      </w:r>
    </w:p>
    <w:p w:rsidR="00ED7CD4" w:rsidRPr="00ED7CD4" w:rsidRDefault="00ED7CD4" w:rsidP="00ED7CD4">
      <w:pPr>
        <w:spacing w:line="360" w:lineRule="auto"/>
        <w:jc w:val="both"/>
        <w:rPr>
          <w:rFonts w:ascii="Arial" w:hAnsi="Arial" w:cs="Arial"/>
          <w:b/>
          <w:color w:val="0070C0"/>
          <w:sz w:val="24"/>
          <w:szCs w:val="24"/>
        </w:rPr>
      </w:pPr>
    </w:p>
    <w:p w:rsidR="00ED7CD4" w:rsidRPr="00ED7CD4" w:rsidRDefault="00ED7CD4" w:rsidP="00ED7CD4">
      <w:pPr>
        <w:spacing w:line="360" w:lineRule="auto"/>
        <w:jc w:val="both"/>
        <w:rPr>
          <w:rFonts w:ascii="Arial" w:hAnsi="Arial" w:cs="Arial"/>
          <w:b/>
          <w:color w:val="0070C0"/>
          <w:sz w:val="24"/>
          <w:szCs w:val="24"/>
        </w:rPr>
      </w:pPr>
      <w:r w:rsidRPr="00ED7CD4">
        <w:rPr>
          <w:rFonts w:ascii="Arial" w:hAnsi="Arial" w:cs="Arial"/>
          <w:b/>
          <w:color w:val="0070C0"/>
          <w:sz w:val="24"/>
          <w:szCs w:val="24"/>
        </w:rPr>
        <w:t>6. Excepción, no-todo</w:t>
      </w:r>
    </w:p>
    <w:p w:rsidR="00ED7CD4" w:rsidRPr="00ED7CD4" w:rsidRDefault="00ED7CD4" w:rsidP="00ED7CD4">
      <w:pPr>
        <w:spacing w:line="360" w:lineRule="auto"/>
        <w:jc w:val="both"/>
        <w:rPr>
          <w:rFonts w:ascii="Arial" w:hAnsi="Arial" w:cs="Arial"/>
          <w:b/>
          <w:color w:val="0070C0"/>
          <w:sz w:val="24"/>
          <w:szCs w:val="24"/>
        </w:rPr>
      </w:pPr>
      <w:r w:rsidRPr="00ED7CD4">
        <w:rPr>
          <w:rFonts w:ascii="Arial" w:hAnsi="Arial" w:cs="Arial"/>
          <w:b/>
          <w:color w:val="0070C0"/>
          <w:sz w:val="24"/>
          <w:szCs w:val="24"/>
        </w:rPr>
        <w:t xml:space="preserve"> </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Se pretende que el derecho aparece en una perfecta circularidad dentro de la cual no podría sino girar en un intercambio estricto entre valores jurídicos equivalentes (obligación = prestación).</w:t>
      </w:r>
      <w:r w:rsidRPr="00ED7CD4">
        <w:rPr>
          <w:rStyle w:val="Refdenotaalpie"/>
          <w:rFonts w:ascii="Arial" w:hAnsi="Arial" w:cs="Arial"/>
          <w:color w:val="0070C0"/>
          <w:sz w:val="24"/>
          <w:szCs w:val="24"/>
        </w:rPr>
        <w:footnoteReference w:id="35"/>
      </w:r>
      <w:r w:rsidRPr="00ED7CD4">
        <w:rPr>
          <w:rFonts w:ascii="Arial" w:hAnsi="Arial" w:cs="Arial"/>
          <w:color w:val="0070C0"/>
          <w:sz w:val="24"/>
          <w:szCs w:val="24"/>
        </w:rPr>
        <w:t>. Por consiguiente</w:t>
      </w:r>
      <w:r w:rsidRPr="00ED7CD4">
        <w:rPr>
          <w:rStyle w:val="Refdenotaalpie"/>
          <w:rFonts w:ascii="Arial" w:hAnsi="Arial" w:cs="Arial"/>
          <w:color w:val="0070C0"/>
          <w:sz w:val="24"/>
          <w:szCs w:val="24"/>
        </w:rPr>
        <w:footnoteReference w:id="36"/>
      </w:r>
      <w:r w:rsidRPr="00ED7CD4">
        <w:rPr>
          <w:rFonts w:ascii="Arial" w:hAnsi="Arial" w:cs="Arial"/>
          <w:color w:val="0070C0"/>
          <w:sz w:val="24"/>
          <w:szCs w:val="24"/>
        </w:rPr>
        <w:t>:</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«Todo derecho implica un deber.»</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 xml:space="preserve">Sin embargo, como adelantamos, existe un derecho al que no corresponde deber alguno, ya que la actividad divina todo lo tiene saldado de antemano; por tanto, un balance jurídico excepcional en medio y medio de la armonía del orden simbólico (del derecho). La incondicionalidad del ser infinito fundaría onto-teológicamente el orden jurídico excluyéndose a sí de la relación jurídica </w:t>
      </w:r>
      <w:r w:rsidRPr="00ED7CD4">
        <w:rPr>
          <w:rFonts w:ascii="Arial" w:hAnsi="Arial" w:cs="Arial"/>
          <w:color w:val="0070C0"/>
          <w:sz w:val="24"/>
          <w:szCs w:val="24"/>
        </w:rPr>
        <w:lastRenderedPageBreak/>
        <w:t>con el hombre, pero incluyendo a éste al comisionarlo para el cumplimiento de los fines providenciales.</w:t>
      </w:r>
      <w:r w:rsidRPr="00ED7CD4">
        <w:rPr>
          <w:rStyle w:val="Refdenotaalpie"/>
          <w:rFonts w:ascii="Arial" w:hAnsi="Arial" w:cs="Arial"/>
          <w:color w:val="0070C0"/>
          <w:sz w:val="24"/>
          <w:szCs w:val="24"/>
        </w:rPr>
        <w:footnoteReference w:id="37"/>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 xml:space="preserve">Con todo, esa comisión supone el diferir como </w:t>
      </w:r>
      <w:r w:rsidRPr="00ED7CD4">
        <w:rPr>
          <w:rFonts w:ascii="Arial" w:hAnsi="Arial" w:cs="Arial"/>
          <w:i/>
          <w:color w:val="0070C0"/>
          <w:sz w:val="24"/>
          <w:szCs w:val="24"/>
        </w:rPr>
        <w:t>vida del Derecho</w:t>
      </w:r>
      <w:r w:rsidRPr="00ED7CD4">
        <w:rPr>
          <w:rFonts w:ascii="Arial" w:hAnsi="Arial" w:cs="Arial"/>
          <w:color w:val="0070C0"/>
          <w:sz w:val="24"/>
          <w:szCs w:val="24"/>
        </w:rPr>
        <w:t xml:space="preserve"> la latencia de la cesura entre deber y derecho que conlleva aquella excepcionalidad (</w:t>
      </w:r>
      <w:r w:rsidRPr="00ED7CD4">
        <w:rPr>
          <w:rFonts w:ascii="Arial" w:hAnsi="Arial" w:cs="Arial"/>
          <w:i/>
          <w:color w:val="0070C0"/>
          <w:sz w:val="24"/>
          <w:szCs w:val="24"/>
        </w:rPr>
        <w:t>exclusión inclusiva</w:t>
      </w:r>
      <w:r w:rsidRPr="00ED7CD4">
        <w:rPr>
          <w:rFonts w:ascii="Arial" w:hAnsi="Arial" w:cs="Arial"/>
          <w:color w:val="0070C0"/>
          <w:sz w:val="24"/>
          <w:szCs w:val="24"/>
        </w:rPr>
        <w:t xml:space="preserve">), dejando entonces margen para poder revisar la validez de la traducción de la idea de derecho en la facticidad como regla jurídica o legislación positiva, es decir, para </w:t>
      </w:r>
      <w:r w:rsidRPr="00ED7CD4">
        <w:rPr>
          <w:rFonts w:ascii="Arial" w:hAnsi="Arial" w:cs="Arial"/>
          <w:i/>
          <w:color w:val="0070C0"/>
          <w:sz w:val="24"/>
          <w:szCs w:val="24"/>
        </w:rPr>
        <w:t>ser equitativo</w:t>
      </w:r>
      <w:r w:rsidRPr="00ED7CD4">
        <w:rPr>
          <w:rStyle w:val="Refdenotaalpie"/>
          <w:rFonts w:ascii="Arial" w:hAnsi="Arial" w:cs="Arial"/>
          <w:color w:val="0070C0"/>
          <w:sz w:val="24"/>
          <w:szCs w:val="24"/>
        </w:rPr>
        <w:footnoteReference w:id="38"/>
      </w:r>
      <w:r w:rsidRPr="00ED7CD4">
        <w:rPr>
          <w:rFonts w:ascii="Arial" w:hAnsi="Arial" w:cs="Arial"/>
          <w:color w:val="0070C0"/>
          <w:sz w:val="24"/>
          <w:szCs w:val="24"/>
        </w:rPr>
        <w:t>. En definitiva, margen para el distanciamiento del sujeto más allá de su condición de replicante del orden simbólico, y, por ello mismo, poder quedar al margen como nota disonante y rebelde en esa armonía del derecho que lo sujeta como representante del género.</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Demos una vuelta más a la tuerca, reformulando de otro modo el principio orgánico del derecho:</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«No hay derecho que no implique un deber.»</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Sin embargo, como adelantamos, no-todos los derechos implican deberes, ya que la imposibilidad de un efectivo actuar jurídico exime a los incapaces (loco, menor, criminal, sordomudo no educado, etc.) de las obligaciones que les corresponden como personas humanas y sujetos jurídicos, pero obliga a prestarles asistencia y tutela a sus intereses jurídicos y así preservar la capacidad general del derecho.</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 xml:space="preserve">Con todo, en esa subrogación subsiste el perturbador residuo marginal o infrarrepresentativo de los actos que disuenan o se desvían de los fines </w:t>
      </w:r>
      <w:r w:rsidRPr="00ED7CD4">
        <w:rPr>
          <w:rFonts w:ascii="Arial" w:hAnsi="Arial" w:cs="Arial"/>
          <w:color w:val="0070C0"/>
          <w:sz w:val="24"/>
          <w:szCs w:val="24"/>
        </w:rPr>
        <w:lastRenderedPageBreak/>
        <w:t>jurídicos y que deben ser excluidos, pues “… el representado, quiéralo o no, se encuentra ligado por los actos justos de quien tomó su nombre”</w:t>
      </w:r>
      <w:r w:rsidRPr="00ED7CD4">
        <w:rPr>
          <w:rStyle w:val="Refdenotaalpie"/>
          <w:rFonts w:ascii="Arial" w:hAnsi="Arial" w:cs="Arial"/>
          <w:color w:val="0070C0"/>
          <w:sz w:val="24"/>
          <w:szCs w:val="24"/>
        </w:rPr>
        <w:footnoteReference w:id="39"/>
      </w:r>
      <w:r w:rsidRPr="00ED7CD4">
        <w:rPr>
          <w:rFonts w:ascii="Arial" w:hAnsi="Arial" w:cs="Arial"/>
          <w:color w:val="0070C0"/>
          <w:sz w:val="24"/>
          <w:szCs w:val="24"/>
        </w:rPr>
        <w:t>, para ser tratados como patologías (</w:t>
      </w:r>
      <w:r w:rsidRPr="00ED7CD4">
        <w:rPr>
          <w:rFonts w:ascii="Arial" w:hAnsi="Arial" w:cs="Arial"/>
          <w:i/>
          <w:color w:val="0070C0"/>
          <w:sz w:val="24"/>
          <w:szCs w:val="24"/>
        </w:rPr>
        <w:t>exclusión inclusiva</w:t>
      </w:r>
      <w:r w:rsidRPr="00ED7CD4">
        <w:rPr>
          <w:rFonts w:ascii="Arial" w:hAnsi="Arial" w:cs="Arial"/>
          <w:color w:val="0070C0"/>
          <w:sz w:val="24"/>
          <w:szCs w:val="24"/>
        </w:rPr>
        <w:t>)</w:t>
      </w:r>
      <w:r w:rsidRPr="00ED7CD4">
        <w:rPr>
          <w:rStyle w:val="Refdenotaalpie"/>
          <w:rFonts w:ascii="Arial" w:hAnsi="Arial" w:cs="Arial"/>
          <w:color w:val="0070C0"/>
          <w:sz w:val="24"/>
          <w:szCs w:val="24"/>
        </w:rPr>
        <w:footnoteReference w:id="40"/>
      </w:r>
      <w:r w:rsidRPr="00ED7CD4">
        <w:rPr>
          <w:rFonts w:ascii="Arial" w:hAnsi="Arial" w:cs="Arial"/>
          <w:color w:val="0070C0"/>
          <w:sz w:val="24"/>
          <w:szCs w:val="24"/>
        </w:rPr>
        <w:t>. Con ello, esa relación de representación se configura como una externalización de la relación jurídica inmanente, poniendo de manifiesto cómo la anomalía provoca que la relación jurídica se establezca últimamente como dominación política en (el)- nombre- de(l)-Otro.</w:t>
      </w:r>
    </w:p>
    <w:p w:rsidR="00ED7CD4" w:rsidRPr="00ED7CD4" w:rsidRDefault="00ED7CD4" w:rsidP="00ED7CD4">
      <w:pPr>
        <w:spacing w:line="360" w:lineRule="auto"/>
        <w:jc w:val="both"/>
        <w:rPr>
          <w:rFonts w:ascii="Arial" w:hAnsi="Arial" w:cs="Arial"/>
          <w:color w:val="0070C0"/>
          <w:sz w:val="24"/>
          <w:szCs w:val="24"/>
        </w:rPr>
      </w:pPr>
    </w:p>
    <w:p w:rsidR="00ED7CD4" w:rsidRPr="00ED7CD4" w:rsidRDefault="00ED7CD4" w:rsidP="00ED7CD4">
      <w:pPr>
        <w:spacing w:line="360" w:lineRule="auto"/>
        <w:jc w:val="both"/>
        <w:rPr>
          <w:rFonts w:ascii="Arial" w:hAnsi="Arial" w:cs="Arial"/>
          <w:b/>
          <w:color w:val="0070C0"/>
          <w:sz w:val="24"/>
          <w:szCs w:val="24"/>
        </w:rPr>
      </w:pPr>
      <w:r w:rsidRPr="00ED7CD4">
        <w:rPr>
          <w:rFonts w:ascii="Arial" w:hAnsi="Arial" w:cs="Arial"/>
          <w:b/>
          <w:color w:val="0070C0"/>
          <w:sz w:val="24"/>
          <w:szCs w:val="24"/>
        </w:rPr>
        <w:t xml:space="preserve">7. Vacío </w:t>
      </w:r>
      <w:r w:rsidRPr="00ED7CD4">
        <w:rPr>
          <w:rFonts w:ascii="Arial" w:hAnsi="Arial" w:cs="Arial"/>
          <w:b/>
          <w:i/>
          <w:color w:val="0070C0"/>
          <w:sz w:val="24"/>
          <w:szCs w:val="24"/>
        </w:rPr>
        <w:t>del</w:t>
      </w:r>
      <w:r w:rsidRPr="00ED7CD4">
        <w:rPr>
          <w:rFonts w:ascii="Arial" w:hAnsi="Arial" w:cs="Arial"/>
          <w:b/>
          <w:color w:val="0070C0"/>
          <w:sz w:val="24"/>
          <w:szCs w:val="24"/>
        </w:rPr>
        <w:t xml:space="preserve"> otro</w:t>
      </w:r>
    </w:p>
    <w:p w:rsidR="00ED7CD4" w:rsidRPr="00ED7CD4" w:rsidRDefault="00ED7CD4" w:rsidP="00ED7CD4">
      <w:pPr>
        <w:spacing w:line="360" w:lineRule="auto"/>
        <w:jc w:val="both"/>
        <w:rPr>
          <w:rFonts w:ascii="Arial" w:hAnsi="Arial" w:cs="Arial"/>
          <w:b/>
          <w:color w:val="0070C0"/>
          <w:sz w:val="24"/>
          <w:szCs w:val="24"/>
        </w:rPr>
      </w:pP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 xml:space="preserve">El antagonismo comentado entre la obligación y la prestación no sólo supone </w:t>
      </w:r>
      <w:r w:rsidRPr="00ED7CD4">
        <w:rPr>
          <w:rFonts w:ascii="Arial" w:hAnsi="Arial" w:cs="Arial"/>
          <w:i/>
          <w:color w:val="0070C0"/>
          <w:sz w:val="24"/>
          <w:szCs w:val="24"/>
        </w:rPr>
        <w:t>(i)</w:t>
      </w:r>
      <w:r w:rsidRPr="00ED7CD4">
        <w:rPr>
          <w:rFonts w:ascii="Arial" w:hAnsi="Arial" w:cs="Arial"/>
          <w:color w:val="0070C0"/>
          <w:sz w:val="24"/>
          <w:szCs w:val="24"/>
        </w:rPr>
        <w:t xml:space="preserve"> que los términos de la relación jurídica—obligación y prestación—puedan divergir, pues de ese modo aún podríamos apelar a un metabolismo basal del </w:t>
      </w:r>
      <w:r w:rsidRPr="00ED7CD4">
        <w:rPr>
          <w:rFonts w:ascii="Arial" w:hAnsi="Arial" w:cs="Arial"/>
          <w:i/>
          <w:color w:val="0070C0"/>
          <w:sz w:val="24"/>
          <w:szCs w:val="24"/>
        </w:rPr>
        <w:t>ser de Derecho</w:t>
      </w:r>
      <w:r w:rsidRPr="00ED7CD4">
        <w:rPr>
          <w:rFonts w:ascii="Arial" w:hAnsi="Arial" w:cs="Arial"/>
          <w:color w:val="0070C0"/>
          <w:sz w:val="24"/>
          <w:szCs w:val="24"/>
        </w:rPr>
        <w:t>, sino que—y aquí abandonamos sin mirar atrás el paradigma krauso-gineriano—</w:t>
      </w:r>
      <w:r w:rsidRPr="00ED7CD4">
        <w:rPr>
          <w:rFonts w:ascii="Arial" w:hAnsi="Arial" w:cs="Arial"/>
          <w:i/>
          <w:color w:val="0070C0"/>
          <w:sz w:val="24"/>
          <w:szCs w:val="24"/>
        </w:rPr>
        <w:t>(ii)</w:t>
      </w:r>
      <w:r w:rsidRPr="00ED7CD4">
        <w:rPr>
          <w:rFonts w:ascii="Arial" w:hAnsi="Arial" w:cs="Arial"/>
          <w:color w:val="0070C0"/>
          <w:sz w:val="24"/>
          <w:szCs w:val="24"/>
        </w:rPr>
        <w:t xml:space="preserve"> supone que su convergencia se impone y opera en el vacío del sujeto: en la dislocación que supone la excepción del hay-Uno-que-no tiene deberes </w:t>
      </w:r>
      <w:r w:rsidRPr="00ED7CD4">
        <w:rPr>
          <w:rFonts w:ascii="Arial" w:hAnsi="Arial" w:cs="Arial"/>
          <w:i/>
          <w:color w:val="0070C0"/>
          <w:sz w:val="24"/>
          <w:szCs w:val="24"/>
        </w:rPr>
        <w:t>(Dios)</w:t>
      </w:r>
      <w:r w:rsidRPr="00ED7CD4">
        <w:rPr>
          <w:rFonts w:ascii="Arial" w:hAnsi="Arial" w:cs="Arial"/>
          <w:color w:val="0070C0"/>
          <w:sz w:val="24"/>
          <w:szCs w:val="24"/>
        </w:rPr>
        <w:t xml:space="preserve">; en la dislocación que suponen los restos irrepresentables del no-todo que no tiene deberes </w:t>
      </w:r>
      <w:r w:rsidRPr="00ED7CD4">
        <w:rPr>
          <w:rFonts w:ascii="Arial" w:hAnsi="Arial" w:cs="Arial"/>
          <w:i/>
          <w:color w:val="0070C0"/>
          <w:sz w:val="24"/>
          <w:szCs w:val="24"/>
        </w:rPr>
        <w:t>(incapaces)</w:t>
      </w:r>
      <w:r w:rsidRPr="00ED7CD4">
        <w:rPr>
          <w:rFonts w:ascii="Arial" w:hAnsi="Arial" w:cs="Arial"/>
          <w:color w:val="0070C0"/>
          <w:sz w:val="24"/>
          <w:szCs w:val="24"/>
        </w:rPr>
        <w:t>.</w:t>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 xml:space="preserve">Hacia ese vacío es, pues, hacia donde apuntan como correlativas, cada una a su modo, las dos figuras de otreidad que hemos analizado—ser infinito, ser incapaz. Cada una a su modo, ya sea como excepción, ya sea como descarte del orden jurídico; también, reclamando que la idea de derecho se ligue definitivamente en la conciencia del individuo como relación jurídico-política entre soberano y súbdito interiores, “… pues nadie puede ser acreedor </w:t>
      </w:r>
      <w:r w:rsidRPr="00ED7CD4">
        <w:rPr>
          <w:rFonts w:ascii="Arial" w:hAnsi="Arial" w:cs="Arial"/>
          <w:color w:val="0070C0"/>
          <w:sz w:val="24"/>
          <w:szCs w:val="24"/>
        </w:rPr>
        <w:lastRenderedPageBreak/>
        <w:t>respecto de otro sino en cuanto y hasta donde es deudor respecto para sí propio y sus fines”.</w:t>
      </w:r>
      <w:r w:rsidRPr="00ED7CD4">
        <w:rPr>
          <w:rStyle w:val="Refdenotaalpie"/>
          <w:rFonts w:ascii="Arial" w:hAnsi="Arial" w:cs="Arial"/>
          <w:color w:val="0070C0"/>
          <w:sz w:val="24"/>
          <w:szCs w:val="24"/>
        </w:rPr>
        <w:footnoteReference w:id="41"/>
      </w:r>
    </w:p>
    <w:p w:rsidR="00ED7CD4" w:rsidRP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 xml:space="preserve">La intimidad se sorprendería acosada y partida por ese otro ambiguo, por cuanto quiere—pero, ¿qué quiere?, si su asimetría, sea como excepción </w:t>
      </w:r>
      <w:r w:rsidRPr="00ED7CD4">
        <w:rPr>
          <w:rFonts w:ascii="Arial" w:hAnsi="Arial" w:cs="Arial"/>
          <w:i/>
          <w:color w:val="0070C0"/>
          <w:sz w:val="24"/>
          <w:szCs w:val="24"/>
        </w:rPr>
        <w:t>(Dios)</w:t>
      </w:r>
      <w:r w:rsidRPr="00ED7CD4">
        <w:rPr>
          <w:rFonts w:ascii="Arial" w:hAnsi="Arial" w:cs="Arial"/>
          <w:color w:val="0070C0"/>
          <w:sz w:val="24"/>
          <w:szCs w:val="24"/>
        </w:rPr>
        <w:t xml:space="preserve">, sea como resto </w:t>
      </w:r>
      <w:r w:rsidRPr="00ED7CD4">
        <w:rPr>
          <w:rFonts w:ascii="Arial" w:hAnsi="Arial" w:cs="Arial"/>
          <w:i/>
          <w:color w:val="0070C0"/>
          <w:sz w:val="24"/>
          <w:szCs w:val="24"/>
        </w:rPr>
        <w:t>(incapaz)</w:t>
      </w:r>
      <w:r w:rsidRPr="00ED7CD4">
        <w:rPr>
          <w:rFonts w:ascii="Arial" w:hAnsi="Arial" w:cs="Arial"/>
          <w:color w:val="0070C0"/>
          <w:sz w:val="24"/>
          <w:szCs w:val="24"/>
        </w:rPr>
        <w:t xml:space="preserve"> parece infinita—y no adeuda, quebrando así la especularidad de la relación de derecho y tomándonos y participándonos, al inscribirse como obligación para mí, precipitándonos inmanentemente en su </w:t>
      </w:r>
      <w:r w:rsidRPr="00ED7CD4">
        <w:rPr>
          <w:rFonts w:ascii="Arial" w:hAnsi="Arial" w:cs="Arial"/>
          <w:i/>
          <w:color w:val="0070C0"/>
          <w:sz w:val="24"/>
          <w:szCs w:val="24"/>
        </w:rPr>
        <w:t>trascendencia extraña</w:t>
      </w:r>
      <w:r w:rsidRPr="00ED7CD4">
        <w:rPr>
          <w:rStyle w:val="Refdenotaalpie"/>
          <w:rFonts w:ascii="Arial" w:hAnsi="Arial" w:cs="Arial"/>
          <w:color w:val="0070C0"/>
          <w:sz w:val="24"/>
          <w:szCs w:val="24"/>
        </w:rPr>
        <w:footnoteReference w:id="42"/>
      </w:r>
      <w:r w:rsidRPr="00ED7CD4">
        <w:rPr>
          <w:rFonts w:ascii="Arial" w:hAnsi="Arial" w:cs="Arial"/>
          <w:color w:val="0070C0"/>
          <w:sz w:val="24"/>
          <w:szCs w:val="24"/>
        </w:rPr>
        <w:t xml:space="preserve">. Trascendencia de la intención en mi actividad jurídica, pero porque es poseída por lo extraño—no ya sólo amigo o enemigo, sino otro que no se deja reconducir a la mismidad, que no me deja reconducirme a mi mismidad. </w:t>
      </w:r>
    </w:p>
    <w:p w:rsidR="00ED7CD4" w:rsidRPr="00ED7CD4" w:rsidRDefault="00ED7CD4" w:rsidP="00ED7CD4">
      <w:pPr>
        <w:spacing w:line="360" w:lineRule="auto"/>
        <w:jc w:val="both"/>
        <w:rPr>
          <w:rFonts w:ascii="Arial" w:hAnsi="Arial" w:cs="Arial"/>
          <w:i/>
          <w:color w:val="0070C0"/>
          <w:sz w:val="24"/>
          <w:szCs w:val="24"/>
        </w:rPr>
      </w:pPr>
      <w:r w:rsidRPr="00ED7CD4">
        <w:rPr>
          <w:rFonts w:ascii="Arial" w:hAnsi="Arial" w:cs="Arial"/>
          <w:color w:val="0070C0"/>
          <w:sz w:val="24"/>
          <w:szCs w:val="24"/>
        </w:rPr>
        <w:t>La voz, con la que el otro me llama a la infinita equidad, me parte en dos y resuena en esa grieta del entredós, que me atraviesa de dentro a fuera, hasta exponerme a campo abierto a la participación. Como un eco: externo al derecho—como la equidad kantiana—, extraño a la moral—como el fin del acto jurídico gineriano—, pero que se desplaza hasta la interioridad—como la sentencia del que se condenaba judicialmente a sí mismo, o como en la relación jurídica inmante en la que me someto políticamente a mi mismo</w:t>
      </w:r>
      <w:r w:rsidRPr="00ED7CD4">
        <w:rPr>
          <w:rFonts w:ascii="Arial" w:hAnsi="Arial" w:cs="Arial"/>
          <w:i/>
          <w:color w:val="0070C0"/>
          <w:sz w:val="24"/>
          <w:szCs w:val="24"/>
        </w:rPr>
        <w:t>.</w:t>
      </w:r>
    </w:p>
    <w:p w:rsidR="00ED7CD4" w:rsidRDefault="00ED7CD4" w:rsidP="00ED7CD4">
      <w:pPr>
        <w:spacing w:line="360" w:lineRule="auto"/>
        <w:jc w:val="both"/>
        <w:rPr>
          <w:rFonts w:ascii="Arial" w:hAnsi="Arial" w:cs="Arial"/>
          <w:color w:val="0070C0"/>
          <w:sz w:val="24"/>
          <w:szCs w:val="24"/>
        </w:rPr>
      </w:pPr>
      <w:r w:rsidRPr="00ED7CD4">
        <w:rPr>
          <w:rFonts w:ascii="Arial" w:hAnsi="Arial" w:cs="Arial"/>
          <w:color w:val="0070C0"/>
          <w:sz w:val="24"/>
          <w:szCs w:val="24"/>
        </w:rPr>
        <w:t xml:space="preserve">El deseo extraño del otro, que jurídicamente se postula como obligación a la prestación jurídica, constituye mi subjetividad en-(el)-torno de esa inquietud. La condición superyoica de la equidad, esto es, la perversión paranoico-narcisista de la relación inmanente ética,  sería el síntoma de la inclusión de la extrañeza del otro y, en cuanto tal, de su traumática participación—moral, jurídica y </w:t>
      </w:r>
      <w:r w:rsidRPr="00ED7CD4">
        <w:rPr>
          <w:rFonts w:ascii="Arial" w:hAnsi="Arial" w:cs="Arial"/>
          <w:color w:val="0070C0"/>
          <w:sz w:val="24"/>
          <w:szCs w:val="24"/>
        </w:rPr>
        <w:lastRenderedPageBreak/>
        <w:t>política</w:t>
      </w:r>
      <w:r w:rsidRPr="00ED7CD4">
        <w:rPr>
          <w:rStyle w:val="Refdenotaalpie"/>
          <w:rFonts w:ascii="Arial" w:hAnsi="Arial" w:cs="Arial"/>
          <w:color w:val="0070C0"/>
          <w:sz w:val="24"/>
          <w:szCs w:val="24"/>
        </w:rPr>
        <w:footnoteReference w:id="43"/>
      </w:r>
      <w:r w:rsidRPr="00ED7CD4">
        <w:rPr>
          <w:rFonts w:ascii="Arial" w:hAnsi="Arial" w:cs="Arial"/>
          <w:color w:val="0070C0"/>
          <w:sz w:val="24"/>
          <w:szCs w:val="24"/>
        </w:rPr>
        <w:t xml:space="preserve">—en la estructura del sujeto. Los ‘productos patológicos’, como cuando oímos ser-oídos, responden en su generalidad a la organización psíquica en términos de la oposición actividad-pasividad, dando testimonio del acontecimiento desorbitado del otro: amigo y enemigo, asesino y rehén, pero, también, de que </w:t>
      </w:r>
      <w:r w:rsidRPr="00ED7CD4">
        <w:rPr>
          <w:rFonts w:ascii="Arial" w:hAnsi="Arial" w:cs="Arial"/>
          <w:i/>
          <w:color w:val="0070C0"/>
          <w:sz w:val="24"/>
          <w:szCs w:val="24"/>
        </w:rPr>
        <w:t>la vuelta hacia la persona propia</w:t>
      </w:r>
      <w:r w:rsidRPr="00ED7CD4">
        <w:rPr>
          <w:rFonts w:ascii="Arial" w:hAnsi="Arial" w:cs="Arial"/>
          <w:color w:val="0070C0"/>
          <w:sz w:val="24"/>
          <w:szCs w:val="24"/>
        </w:rPr>
        <w:t xml:space="preserve">: el sujeto, sólo es posible siguiendo el rastro de la huella del otro—como probaría la voz de la </w:t>
      </w:r>
      <w:r w:rsidRPr="00ED7CD4">
        <w:rPr>
          <w:rFonts w:ascii="Arial" w:hAnsi="Arial" w:cs="Arial"/>
          <w:i/>
          <w:color w:val="0070C0"/>
          <w:sz w:val="24"/>
          <w:szCs w:val="24"/>
        </w:rPr>
        <w:t>Aequitas</w:t>
      </w:r>
      <w:r w:rsidRPr="00ED7CD4">
        <w:rPr>
          <w:rFonts w:ascii="Arial" w:hAnsi="Arial" w:cs="Arial"/>
          <w:color w:val="0070C0"/>
          <w:sz w:val="24"/>
          <w:szCs w:val="24"/>
        </w:rPr>
        <w:t xml:space="preserve"> muda. Como si el mandato viniera desde antes del aprovisionamiento de los medios o condiciones, con riesgo de precariedad, o como si la prestación estuviera almacenada antes del pedido, con riesgo de caducidad, o ambos a la vez.</w:t>
      </w:r>
    </w:p>
    <w:p w:rsidR="00922B8B" w:rsidRPr="00ED7CD4" w:rsidRDefault="00922B8B" w:rsidP="00ED7CD4">
      <w:pPr>
        <w:spacing w:line="360" w:lineRule="auto"/>
        <w:jc w:val="both"/>
        <w:rPr>
          <w:rFonts w:ascii="Arial" w:hAnsi="Arial" w:cs="Arial"/>
          <w:color w:val="0070C0"/>
          <w:sz w:val="24"/>
          <w:szCs w:val="24"/>
        </w:rPr>
      </w:pPr>
    </w:p>
    <w:p w:rsidR="00ED7CD4" w:rsidRPr="00922B8B" w:rsidRDefault="00B35FCE" w:rsidP="00ED7CD4">
      <w:pPr>
        <w:spacing w:line="360" w:lineRule="auto"/>
        <w:jc w:val="both"/>
        <w:rPr>
          <w:rFonts w:ascii="Arial" w:hAnsi="Arial" w:cs="Arial"/>
          <w:b/>
          <w:color w:val="0070C0"/>
          <w:sz w:val="24"/>
          <w:szCs w:val="24"/>
        </w:rPr>
      </w:pPr>
      <w:r>
        <w:rPr>
          <w:rFonts w:ascii="Arial" w:hAnsi="Arial" w:cs="Arial"/>
          <w:b/>
          <w:color w:val="0070C0"/>
          <w:sz w:val="24"/>
          <w:szCs w:val="24"/>
        </w:rPr>
        <w:t>8. M</w:t>
      </w:r>
      <w:r w:rsidR="00945CB3">
        <w:rPr>
          <w:rFonts w:ascii="Arial" w:hAnsi="Arial" w:cs="Arial"/>
          <w:b/>
          <w:color w:val="0070C0"/>
          <w:sz w:val="24"/>
          <w:szCs w:val="24"/>
        </w:rPr>
        <w:t>elancolía</w:t>
      </w:r>
      <w:r w:rsidR="00922B8B">
        <w:rPr>
          <w:rFonts w:ascii="Arial" w:hAnsi="Arial" w:cs="Arial"/>
          <w:b/>
          <w:color w:val="0070C0"/>
          <w:sz w:val="24"/>
          <w:szCs w:val="24"/>
        </w:rPr>
        <w:t xml:space="preserve"> freudiana</w:t>
      </w:r>
    </w:p>
    <w:p w:rsidR="00922B8B" w:rsidRDefault="00922B8B" w:rsidP="00ED7CD4">
      <w:pPr>
        <w:spacing w:line="360" w:lineRule="auto"/>
        <w:jc w:val="both"/>
        <w:rPr>
          <w:rFonts w:ascii="Arial" w:hAnsi="Arial" w:cs="Arial"/>
          <w:color w:val="FF0000"/>
          <w:sz w:val="24"/>
          <w:szCs w:val="24"/>
        </w:rPr>
      </w:pPr>
    </w:p>
    <w:p w:rsidR="00C65A40" w:rsidRPr="00383D93" w:rsidRDefault="00922B8B" w:rsidP="00ED7CD4">
      <w:pPr>
        <w:spacing w:line="360" w:lineRule="auto"/>
        <w:jc w:val="both"/>
        <w:rPr>
          <w:rFonts w:ascii="Arial" w:hAnsi="Arial" w:cs="Arial"/>
          <w:color w:val="0070C0"/>
          <w:sz w:val="24"/>
          <w:szCs w:val="24"/>
        </w:rPr>
      </w:pPr>
      <w:r w:rsidRPr="00383D93">
        <w:rPr>
          <w:rFonts w:ascii="Arial" w:hAnsi="Arial" w:cs="Arial"/>
          <w:color w:val="0070C0"/>
          <w:sz w:val="24"/>
          <w:szCs w:val="24"/>
        </w:rPr>
        <w:t>Hemos recusado un metabolismo basal del derecho, esto es, un orden jurídico que presupondría la convergencia virtual de la relación jurídica, arguyendo que sólo por la deriva de la diferencia, que d</w:t>
      </w:r>
      <w:r w:rsidR="006A4862" w:rsidRPr="00383D93">
        <w:rPr>
          <w:rFonts w:ascii="Arial" w:hAnsi="Arial" w:cs="Arial"/>
          <w:color w:val="0070C0"/>
          <w:sz w:val="24"/>
          <w:szCs w:val="24"/>
        </w:rPr>
        <w:t>isloca</w:t>
      </w:r>
      <w:r w:rsidRPr="00383D93">
        <w:rPr>
          <w:rFonts w:ascii="Arial" w:hAnsi="Arial" w:cs="Arial"/>
          <w:color w:val="0070C0"/>
          <w:sz w:val="24"/>
          <w:szCs w:val="24"/>
        </w:rPr>
        <w:t xml:space="preserve"> la</w:t>
      </w:r>
      <w:r w:rsidR="006A4862" w:rsidRPr="00383D93">
        <w:rPr>
          <w:rFonts w:ascii="Arial" w:hAnsi="Arial" w:cs="Arial"/>
          <w:color w:val="0070C0"/>
          <w:sz w:val="24"/>
          <w:szCs w:val="24"/>
        </w:rPr>
        <w:t xml:space="preserve"> presunta</w:t>
      </w:r>
      <w:r w:rsidRPr="00383D93">
        <w:rPr>
          <w:rFonts w:ascii="Arial" w:hAnsi="Arial" w:cs="Arial"/>
          <w:color w:val="0070C0"/>
          <w:sz w:val="24"/>
          <w:szCs w:val="24"/>
        </w:rPr>
        <w:t xml:space="preserve"> simetría entre obligación y prestación</w:t>
      </w:r>
      <w:r w:rsidR="001255EC" w:rsidRPr="00383D93">
        <w:rPr>
          <w:rFonts w:ascii="Arial" w:hAnsi="Arial" w:cs="Arial"/>
          <w:color w:val="0070C0"/>
          <w:sz w:val="24"/>
          <w:szCs w:val="24"/>
        </w:rPr>
        <w:t>, amaga</w:t>
      </w:r>
      <w:r w:rsidR="006A4862" w:rsidRPr="00383D93">
        <w:rPr>
          <w:rFonts w:ascii="Arial" w:hAnsi="Arial" w:cs="Arial"/>
          <w:color w:val="0070C0"/>
          <w:sz w:val="24"/>
          <w:szCs w:val="24"/>
        </w:rPr>
        <w:t xml:space="preserve"> la alteridad, aun cuando se trasvista como </w:t>
      </w:r>
      <w:r w:rsidR="006A4862" w:rsidRPr="00383D93">
        <w:rPr>
          <w:rFonts w:ascii="Arial" w:hAnsi="Arial" w:cs="Arial"/>
          <w:color w:val="0070C0"/>
          <w:sz w:val="24"/>
          <w:szCs w:val="24"/>
        </w:rPr>
        <w:lastRenderedPageBreak/>
        <w:t xml:space="preserve">duplicidad o geminación del yo (homo noumenon / homo phaenomenon, </w:t>
      </w:r>
      <w:r w:rsidR="006A4862" w:rsidRPr="00383D93">
        <w:rPr>
          <w:rFonts w:ascii="Arial" w:hAnsi="Arial" w:cs="Arial"/>
          <w:i/>
          <w:color w:val="0070C0"/>
          <w:sz w:val="24"/>
          <w:szCs w:val="24"/>
        </w:rPr>
        <w:t>hombre ideal / individuo</w:t>
      </w:r>
      <w:r w:rsidR="006A4862" w:rsidRPr="00383D93">
        <w:rPr>
          <w:rFonts w:ascii="Arial" w:hAnsi="Arial" w:cs="Arial"/>
          <w:color w:val="0070C0"/>
          <w:sz w:val="24"/>
          <w:szCs w:val="24"/>
        </w:rPr>
        <w:t xml:space="preserve">, </w:t>
      </w:r>
      <w:r w:rsidR="00BB7D45" w:rsidRPr="00383D93">
        <w:rPr>
          <w:rFonts w:ascii="Arial" w:hAnsi="Arial" w:cs="Arial"/>
          <w:color w:val="0070C0"/>
          <w:sz w:val="24"/>
          <w:szCs w:val="24"/>
        </w:rPr>
        <w:t xml:space="preserve">etc.). </w:t>
      </w:r>
      <w:r w:rsidR="001255EC" w:rsidRPr="00383D93">
        <w:rPr>
          <w:rFonts w:ascii="Arial" w:hAnsi="Arial" w:cs="Arial"/>
          <w:color w:val="0070C0"/>
          <w:sz w:val="24"/>
          <w:szCs w:val="24"/>
        </w:rPr>
        <w:t>L</w:t>
      </w:r>
      <w:r w:rsidR="00BB7D45" w:rsidRPr="00383D93">
        <w:rPr>
          <w:rFonts w:ascii="Arial" w:hAnsi="Arial" w:cs="Arial"/>
          <w:color w:val="0070C0"/>
          <w:sz w:val="24"/>
          <w:szCs w:val="24"/>
        </w:rPr>
        <w:t xml:space="preserve">a bipartición </w:t>
      </w:r>
      <w:r w:rsidR="001255EC" w:rsidRPr="00383D93">
        <w:rPr>
          <w:rFonts w:ascii="Arial" w:hAnsi="Arial" w:cs="Arial"/>
          <w:color w:val="0070C0"/>
          <w:sz w:val="24"/>
          <w:szCs w:val="24"/>
        </w:rPr>
        <w:t>del</w:t>
      </w:r>
      <w:r w:rsidR="00BB7D45" w:rsidRPr="00383D93">
        <w:rPr>
          <w:rFonts w:ascii="Arial" w:hAnsi="Arial" w:cs="Arial"/>
          <w:color w:val="0070C0"/>
          <w:sz w:val="24"/>
          <w:szCs w:val="24"/>
        </w:rPr>
        <w:t xml:space="preserve"> yo</w:t>
      </w:r>
      <w:r w:rsidR="001255EC" w:rsidRPr="00383D93">
        <w:rPr>
          <w:rFonts w:ascii="Arial" w:hAnsi="Arial" w:cs="Arial"/>
          <w:color w:val="0070C0"/>
          <w:sz w:val="24"/>
          <w:szCs w:val="24"/>
        </w:rPr>
        <w:t xml:space="preserve"> incuba</w:t>
      </w:r>
      <w:r w:rsidR="00BB7D45" w:rsidRPr="00383D93">
        <w:rPr>
          <w:rFonts w:ascii="Arial" w:hAnsi="Arial" w:cs="Arial"/>
          <w:color w:val="0070C0"/>
          <w:sz w:val="24"/>
          <w:szCs w:val="24"/>
        </w:rPr>
        <w:t xml:space="preserve"> en</w:t>
      </w:r>
      <w:r w:rsidR="001255EC" w:rsidRPr="00383D93">
        <w:rPr>
          <w:rFonts w:ascii="Arial" w:hAnsi="Arial" w:cs="Arial"/>
          <w:color w:val="0070C0"/>
          <w:sz w:val="24"/>
          <w:szCs w:val="24"/>
        </w:rPr>
        <w:t xml:space="preserve"> su fisura</w:t>
      </w:r>
      <w:r w:rsidR="00383D93" w:rsidRPr="00383D93">
        <w:rPr>
          <w:rFonts w:ascii="Arial" w:hAnsi="Arial" w:cs="Arial"/>
          <w:color w:val="0070C0"/>
          <w:sz w:val="24"/>
          <w:szCs w:val="24"/>
        </w:rPr>
        <w:t xml:space="preserve"> su íncubo: </w:t>
      </w:r>
      <w:r w:rsidR="00383D93" w:rsidRPr="00C84911">
        <w:rPr>
          <w:rFonts w:ascii="Arial" w:hAnsi="Arial" w:cs="Arial"/>
          <w:color w:val="0070C0"/>
          <w:sz w:val="24"/>
          <w:szCs w:val="24"/>
        </w:rPr>
        <w:t>la sombra del objeto, el eco</w:t>
      </w:r>
      <w:r w:rsidR="00383D93" w:rsidRPr="00383D93">
        <w:rPr>
          <w:rFonts w:ascii="Arial" w:hAnsi="Arial" w:cs="Arial"/>
          <w:color w:val="0070C0"/>
          <w:sz w:val="24"/>
          <w:szCs w:val="24"/>
        </w:rPr>
        <w:t xml:space="preserve"> del otro;</w:t>
      </w:r>
      <w:r w:rsidR="00DC611C" w:rsidRPr="00383D93">
        <w:rPr>
          <w:rFonts w:ascii="Arial" w:hAnsi="Arial" w:cs="Arial"/>
          <w:color w:val="0070C0"/>
          <w:sz w:val="24"/>
          <w:szCs w:val="24"/>
        </w:rPr>
        <w:t xml:space="preserve"> p</w:t>
      </w:r>
      <w:r w:rsidR="001255EC" w:rsidRPr="00383D93">
        <w:rPr>
          <w:rFonts w:ascii="Arial" w:hAnsi="Arial" w:cs="Arial"/>
          <w:color w:val="0070C0"/>
          <w:sz w:val="24"/>
          <w:szCs w:val="24"/>
        </w:rPr>
        <w:t>or tanto, no en la circularidad de la correspondencia respectiva, ni siquiera en la convergencia ideal, sino en la oquedad de la insatisfacción</w:t>
      </w:r>
      <w:r w:rsidR="00945CB3">
        <w:rPr>
          <w:rFonts w:ascii="Arial" w:hAnsi="Arial" w:cs="Arial"/>
          <w:color w:val="0070C0"/>
          <w:sz w:val="24"/>
          <w:szCs w:val="24"/>
        </w:rPr>
        <w:t xml:space="preserve"> donde resuena la retirada de la investidura libidinosa</w:t>
      </w:r>
      <w:r w:rsidR="001255EC" w:rsidRPr="00383D93">
        <w:rPr>
          <w:rFonts w:ascii="Arial" w:hAnsi="Arial" w:cs="Arial"/>
          <w:color w:val="0070C0"/>
          <w:sz w:val="24"/>
          <w:szCs w:val="24"/>
        </w:rPr>
        <w:t>.</w:t>
      </w:r>
    </w:p>
    <w:p w:rsidR="00BB7D45" w:rsidRPr="00383D93" w:rsidRDefault="00C65A40" w:rsidP="00BF5CAD">
      <w:pPr>
        <w:spacing w:line="360" w:lineRule="auto"/>
        <w:ind w:left="708"/>
        <w:jc w:val="both"/>
        <w:rPr>
          <w:rFonts w:ascii="Arial" w:hAnsi="Arial" w:cs="Arial"/>
          <w:color w:val="0070C0"/>
          <w:sz w:val="20"/>
          <w:szCs w:val="20"/>
        </w:rPr>
      </w:pPr>
      <w:r w:rsidRPr="00383D93">
        <w:rPr>
          <w:rFonts w:ascii="Arial" w:hAnsi="Arial" w:cs="Arial"/>
          <w:color w:val="0070C0"/>
          <w:sz w:val="20"/>
          <w:szCs w:val="20"/>
        </w:rPr>
        <w:t>Hubo una elección de o</w:t>
      </w:r>
      <w:r w:rsidR="001255EC" w:rsidRPr="00383D93">
        <w:rPr>
          <w:rFonts w:ascii="Arial" w:hAnsi="Arial" w:cs="Arial"/>
          <w:color w:val="0070C0"/>
          <w:sz w:val="20"/>
          <w:szCs w:val="20"/>
        </w:rPr>
        <w:t>bj</w:t>
      </w:r>
      <w:r w:rsidRPr="00383D93">
        <w:rPr>
          <w:rFonts w:ascii="Arial" w:hAnsi="Arial" w:cs="Arial"/>
          <w:color w:val="0070C0"/>
          <w:sz w:val="20"/>
          <w:szCs w:val="20"/>
        </w:rPr>
        <w:t xml:space="preserve">eto, una ligadura de la libido a una persona determinada; por obra de </w:t>
      </w:r>
      <w:r w:rsidRPr="00383D93">
        <w:rPr>
          <w:rFonts w:ascii="Arial" w:hAnsi="Arial" w:cs="Arial"/>
          <w:i/>
          <w:color w:val="0070C0"/>
          <w:sz w:val="20"/>
          <w:szCs w:val="20"/>
        </w:rPr>
        <w:t>una afrenta real o un desengaño</w:t>
      </w:r>
      <w:r w:rsidRPr="00383D93">
        <w:rPr>
          <w:rFonts w:ascii="Arial" w:hAnsi="Arial" w:cs="Arial"/>
          <w:color w:val="0070C0"/>
          <w:sz w:val="20"/>
          <w:szCs w:val="20"/>
        </w:rPr>
        <w:t xml:space="preserve"> de parte de la persona amada sobrevino un sacudimiento de ese vínculo de objeto. […] La investidura de objeto resultó poco resistente, fue cancelada, pero la libido libre no se desplazó a otro objeto sino que se retiró sobre el yo. Pero ahí no encontró un uso cualquiera, sino que sirvió para establecer una </w:t>
      </w:r>
      <w:r w:rsidRPr="00383D93">
        <w:rPr>
          <w:rFonts w:ascii="Arial" w:hAnsi="Arial" w:cs="Arial"/>
          <w:i/>
          <w:color w:val="0070C0"/>
          <w:sz w:val="20"/>
          <w:szCs w:val="20"/>
        </w:rPr>
        <w:t>identificación</w:t>
      </w:r>
      <w:r w:rsidRPr="00383D93">
        <w:rPr>
          <w:rFonts w:ascii="Arial" w:hAnsi="Arial" w:cs="Arial"/>
          <w:color w:val="0070C0"/>
          <w:sz w:val="20"/>
          <w:szCs w:val="20"/>
        </w:rPr>
        <w:t xml:space="preserve"> del yo con el objeto resignado. La sombra del objeto </w:t>
      </w:r>
      <w:r w:rsidR="00C84911">
        <w:rPr>
          <w:rFonts w:ascii="Arial" w:hAnsi="Arial" w:cs="Arial"/>
          <w:i/>
          <w:color w:val="0070C0"/>
          <w:sz w:val="20"/>
          <w:szCs w:val="20"/>
        </w:rPr>
        <w:t>(Der Schatten des Objekts)</w:t>
      </w:r>
      <w:r w:rsidR="00C84911">
        <w:rPr>
          <w:rFonts w:ascii="Arial" w:hAnsi="Arial" w:cs="Arial"/>
          <w:color w:val="0070C0"/>
          <w:sz w:val="20"/>
          <w:szCs w:val="20"/>
        </w:rPr>
        <w:t xml:space="preserve"> </w:t>
      </w:r>
      <w:r w:rsidRPr="00383D93">
        <w:rPr>
          <w:rFonts w:ascii="Arial" w:hAnsi="Arial" w:cs="Arial"/>
          <w:color w:val="0070C0"/>
          <w:sz w:val="20"/>
          <w:szCs w:val="20"/>
        </w:rPr>
        <w:t>cayó sobre el yo, quien</w:t>
      </w:r>
      <w:r w:rsidR="00383D93" w:rsidRPr="00383D93">
        <w:rPr>
          <w:rFonts w:ascii="Arial" w:hAnsi="Arial" w:cs="Arial"/>
          <w:color w:val="0070C0"/>
          <w:sz w:val="20"/>
          <w:szCs w:val="20"/>
        </w:rPr>
        <w:t>,</w:t>
      </w:r>
      <w:r w:rsidRPr="00383D93">
        <w:rPr>
          <w:rFonts w:ascii="Arial" w:hAnsi="Arial" w:cs="Arial"/>
          <w:color w:val="0070C0"/>
          <w:sz w:val="20"/>
          <w:szCs w:val="20"/>
        </w:rPr>
        <w:t xml:space="preserve"> en lo sucesivo, pudo ser juzgado por una instancia particular como un objeto, como el objeto abandonado. De esa manera, la pérdida del objeto hubo de mudarse en una pérdida del yo, y el conflicto entre el yo y la persona amada, en una bipartición entre el yo crítico y el yo alterado por identificación</w:t>
      </w:r>
      <w:r w:rsidR="00C84911">
        <w:rPr>
          <w:rFonts w:ascii="Arial" w:hAnsi="Arial" w:cs="Arial"/>
          <w:color w:val="0070C0"/>
          <w:sz w:val="20"/>
          <w:szCs w:val="20"/>
        </w:rPr>
        <w:t xml:space="preserve"> </w:t>
      </w:r>
      <w:r w:rsidR="00C84911">
        <w:rPr>
          <w:rFonts w:ascii="Arial" w:hAnsi="Arial" w:cs="Arial"/>
          <w:i/>
          <w:color w:val="0070C0"/>
          <w:sz w:val="20"/>
          <w:szCs w:val="20"/>
        </w:rPr>
        <w:t>(in einem Zwispalt zwischen der Ichkritik un dem durch Identifizierung veränderten Ich))</w:t>
      </w:r>
      <w:r w:rsidR="00BF5CAD" w:rsidRPr="00383D93">
        <w:rPr>
          <w:rStyle w:val="Refdenotaalpie"/>
          <w:rFonts w:ascii="Arial" w:hAnsi="Arial" w:cs="Arial"/>
          <w:color w:val="0070C0"/>
          <w:sz w:val="20"/>
          <w:szCs w:val="20"/>
        </w:rPr>
        <w:footnoteReference w:id="44"/>
      </w:r>
      <w:r w:rsidR="00BF5CAD" w:rsidRPr="00383D93">
        <w:rPr>
          <w:rFonts w:ascii="Arial" w:hAnsi="Arial" w:cs="Arial"/>
          <w:color w:val="0070C0"/>
          <w:sz w:val="20"/>
          <w:szCs w:val="20"/>
        </w:rPr>
        <w:t>.</w:t>
      </w:r>
    </w:p>
    <w:p w:rsidR="001B6795" w:rsidRDefault="00C65A40" w:rsidP="00ED7CD4">
      <w:pPr>
        <w:spacing w:line="360" w:lineRule="auto"/>
        <w:jc w:val="both"/>
        <w:rPr>
          <w:rFonts w:ascii="Arial" w:hAnsi="Arial" w:cs="Arial"/>
          <w:color w:val="0070C0"/>
          <w:sz w:val="24"/>
          <w:szCs w:val="24"/>
        </w:rPr>
      </w:pPr>
      <w:r w:rsidRPr="00383D93">
        <w:rPr>
          <w:rFonts w:ascii="Arial" w:hAnsi="Arial" w:cs="Arial"/>
          <w:color w:val="0070C0"/>
          <w:sz w:val="24"/>
          <w:szCs w:val="24"/>
        </w:rPr>
        <w:t>Se exige que esa identificación tenga por base un narcisismo originario que justifique</w:t>
      </w:r>
      <w:r w:rsidR="00945CB3">
        <w:rPr>
          <w:rFonts w:ascii="Arial" w:hAnsi="Arial" w:cs="Arial"/>
          <w:color w:val="0070C0"/>
          <w:sz w:val="24"/>
          <w:szCs w:val="24"/>
        </w:rPr>
        <w:t xml:space="preserve"> la investidura libidinosa inicial y, a la vez, la regresión identificatoria al sujeto;</w:t>
      </w:r>
      <w:r w:rsidRPr="00383D93">
        <w:rPr>
          <w:rFonts w:ascii="Arial" w:hAnsi="Arial" w:cs="Arial"/>
          <w:color w:val="0070C0"/>
          <w:sz w:val="24"/>
          <w:szCs w:val="24"/>
        </w:rPr>
        <w:t xml:space="preserve"> </w:t>
      </w:r>
      <w:r w:rsidR="00945CB3">
        <w:rPr>
          <w:rFonts w:ascii="Arial" w:hAnsi="Arial" w:cs="Arial"/>
          <w:color w:val="0070C0"/>
          <w:sz w:val="24"/>
          <w:szCs w:val="24"/>
        </w:rPr>
        <w:t xml:space="preserve">sin embargo, </w:t>
      </w:r>
      <w:r w:rsidRPr="004E5B27">
        <w:rPr>
          <w:rFonts w:ascii="Arial" w:hAnsi="Arial" w:cs="Arial"/>
          <w:color w:val="0070C0"/>
          <w:sz w:val="24"/>
          <w:szCs w:val="24"/>
        </w:rPr>
        <w:t xml:space="preserve">suplantación del objeto (persona amada) por la identificación (narcisista) no es </w:t>
      </w:r>
      <w:r w:rsidR="001255EC" w:rsidRPr="004E5B27">
        <w:rPr>
          <w:rFonts w:ascii="Arial" w:hAnsi="Arial" w:cs="Arial"/>
          <w:color w:val="0070C0"/>
          <w:sz w:val="24"/>
          <w:szCs w:val="24"/>
        </w:rPr>
        <w:t>un</w:t>
      </w:r>
      <w:r w:rsidR="00945CB3">
        <w:rPr>
          <w:rFonts w:ascii="Arial" w:hAnsi="Arial" w:cs="Arial"/>
          <w:color w:val="0070C0"/>
          <w:sz w:val="24"/>
          <w:szCs w:val="24"/>
        </w:rPr>
        <w:t>a vuelta a la casilla inicial de la partida</w:t>
      </w:r>
      <w:r w:rsidR="001255EC" w:rsidRPr="004E5B27">
        <w:rPr>
          <w:rFonts w:ascii="Arial" w:hAnsi="Arial" w:cs="Arial"/>
          <w:color w:val="0070C0"/>
          <w:sz w:val="24"/>
          <w:szCs w:val="24"/>
        </w:rPr>
        <w:t>,</w:t>
      </w:r>
      <w:r w:rsidRPr="004E5B27">
        <w:rPr>
          <w:rFonts w:ascii="Arial" w:hAnsi="Arial" w:cs="Arial"/>
          <w:color w:val="0070C0"/>
          <w:sz w:val="24"/>
          <w:szCs w:val="24"/>
        </w:rPr>
        <w:t xml:space="preserve"> sino </w:t>
      </w:r>
      <w:r w:rsidR="00945CB3">
        <w:rPr>
          <w:rFonts w:ascii="Arial" w:hAnsi="Arial" w:cs="Arial"/>
          <w:color w:val="0070C0"/>
          <w:sz w:val="24"/>
          <w:szCs w:val="24"/>
        </w:rPr>
        <w:t>una retirada dolorosa que deja una herida abierta</w:t>
      </w:r>
      <w:r w:rsidR="00945CB3" w:rsidRPr="00945CB3">
        <w:rPr>
          <w:rStyle w:val="Refdenotaalpie"/>
          <w:rFonts w:ascii="Arial" w:hAnsi="Arial" w:cs="Arial"/>
          <w:color w:val="0070C0"/>
          <w:sz w:val="24"/>
          <w:szCs w:val="24"/>
        </w:rPr>
        <w:footnoteReference w:id="45"/>
      </w:r>
      <w:r w:rsidR="00945CB3">
        <w:rPr>
          <w:rFonts w:ascii="Arial" w:hAnsi="Arial" w:cs="Arial"/>
          <w:color w:val="0070C0"/>
          <w:sz w:val="24"/>
          <w:szCs w:val="24"/>
        </w:rPr>
        <w:t>, que se infecta en la vuelta hacia</w:t>
      </w:r>
      <w:r w:rsidR="00BF5CAD" w:rsidRPr="004E5B27">
        <w:rPr>
          <w:rFonts w:ascii="Arial" w:hAnsi="Arial" w:cs="Arial"/>
          <w:color w:val="0070C0"/>
          <w:sz w:val="24"/>
          <w:szCs w:val="24"/>
        </w:rPr>
        <w:t xml:space="preserve"> la persona </w:t>
      </w:r>
      <w:r w:rsidR="00BF5CAD" w:rsidRPr="00C84911">
        <w:rPr>
          <w:rFonts w:ascii="Arial" w:hAnsi="Arial" w:cs="Arial"/>
          <w:color w:val="0070C0"/>
          <w:sz w:val="24"/>
          <w:szCs w:val="24"/>
        </w:rPr>
        <w:t>propia</w:t>
      </w:r>
      <w:r w:rsidR="00BF5CAD" w:rsidRPr="004E5B27">
        <w:rPr>
          <w:rFonts w:ascii="Arial" w:hAnsi="Arial" w:cs="Arial"/>
          <w:color w:val="0070C0"/>
          <w:sz w:val="24"/>
          <w:szCs w:val="24"/>
        </w:rPr>
        <w:t xml:space="preserve">. Y ello, con toda la ambivalencia presupuesta en la </w:t>
      </w:r>
      <w:r w:rsidR="004E5B27" w:rsidRPr="004E5B27">
        <w:rPr>
          <w:rFonts w:ascii="Arial" w:hAnsi="Arial" w:cs="Arial"/>
          <w:color w:val="0070C0"/>
          <w:sz w:val="24"/>
          <w:szCs w:val="24"/>
        </w:rPr>
        <w:t>identificación</w:t>
      </w:r>
      <w:r w:rsidR="004E5B27" w:rsidRPr="004E5B27">
        <w:rPr>
          <w:rStyle w:val="Refdenotaalpie"/>
          <w:rFonts w:ascii="Arial" w:hAnsi="Arial" w:cs="Arial"/>
          <w:color w:val="0070C0"/>
          <w:sz w:val="24"/>
          <w:szCs w:val="24"/>
        </w:rPr>
        <w:footnoteReference w:id="46"/>
      </w:r>
      <w:r w:rsidR="00033180">
        <w:rPr>
          <w:rFonts w:ascii="Arial" w:hAnsi="Arial" w:cs="Arial"/>
          <w:color w:val="0070C0"/>
          <w:sz w:val="24"/>
          <w:szCs w:val="24"/>
        </w:rPr>
        <w:t xml:space="preserve">, que da relevo a las ligaduras o investiduras del ello, desquitándose de los objetos deseados al darles la espalda, pero dejando así </w:t>
      </w:r>
      <w:r w:rsidR="00033180">
        <w:rPr>
          <w:rFonts w:ascii="Arial" w:hAnsi="Arial" w:cs="Arial"/>
          <w:color w:val="0070C0"/>
          <w:sz w:val="24"/>
          <w:szCs w:val="24"/>
        </w:rPr>
        <w:lastRenderedPageBreak/>
        <w:t>en franquía l</w:t>
      </w:r>
      <w:r w:rsidR="00DC611C" w:rsidRPr="004E5B27">
        <w:rPr>
          <w:rFonts w:ascii="Arial" w:hAnsi="Arial" w:cs="Arial"/>
          <w:color w:val="0070C0"/>
          <w:sz w:val="24"/>
          <w:szCs w:val="24"/>
        </w:rPr>
        <w:t>as tendencias sádicas</w:t>
      </w:r>
      <w:r w:rsidR="004E5B27" w:rsidRPr="004E5B27">
        <w:rPr>
          <w:rFonts w:ascii="Arial" w:hAnsi="Arial" w:cs="Arial"/>
          <w:color w:val="0070C0"/>
          <w:sz w:val="24"/>
          <w:szCs w:val="24"/>
        </w:rPr>
        <w:t xml:space="preserve"> y de odio</w:t>
      </w:r>
      <w:r w:rsidR="00033180">
        <w:rPr>
          <w:rFonts w:ascii="Arial" w:hAnsi="Arial" w:cs="Arial"/>
          <w:color w:val="0070C0"/>
          <w:sz w:val="24"/>
          <w:szCs w:val="24"/>
        </w:rPr>
        <w:t xml:space="preserve"> (pulsión de muerte) que se mezclaban con nuestros arrebatos eróticos, y que ahora se revuelven a la sombra de nuestro costado</w:t>
      </w:r>
      <w:r w:rsidR="004E5B27" w:rsidRPr="004E5B27">
        <w:rPr>
          <w:rFonts w:ascii="Arial" w:hAnsi="Arial" w:cs="Arial"/>
          <w:color w:val="0070C0"/>
          <w:sz w:val="24"/>
          <w:szCs w:val="24"/>
        </w:rPr>
        <w:t xml:space="preserve"> </w:t>
      </w:r>
      <w:r w:rsidR="00033180">
        <w:rPr>
          <w:rFonts w:ascii="Arial" w:hAnsi="Arial" w:cs="Arial"/>
          <w:color w:val="0070C0"/>
          <w:sz w:val="24"/>
          <w:szCs w:val="24"/>
        </w:rPr>
        <w:t>apost</w:t>
      </w:r>
      <w:r w:rsidR="006E3A3B">
        <w:rPr>
          <w:rFonts w:ascii="Arial" w:hAnsi="Arial" w:cs="Arial"/>
          <w:color w:val="0070C0"/>
          <w:sz w:val="24"/>
          <w:szCs w:val="24"/>
        </w:rPr>
        <w:t>ándose</w:t>
      </w:r>
      <w:r w:rsidR="00033180">
        <w:rPr>
          <w:rFonts w:ascii="Arial" w:hAnsi="Arial" w:cs="Arial"/>
          <w:color w:val="0070C0"/>
          <w:sz w:val="24"/>
          <w:szCs w:val="24"/>
        </w:rPr>
        <w:t xml:space="preserve"> en el superyó.</w:t>
      </w:r>
    </w:p>
    <w:p w:rsidR="001B6795" w:rsidRPr="004E5B27" w:rsidRDefault="001B6795" w:rsidP="001B6795">
      <w:pPr>
        <w:spacing w:line="360" w:lineRule="auto"/>
        <w:ind w:left="708"/>
        <w:jc w:val="both"/>
        <w:rPr>
          <w:rFonts w:ascii="Arial" w:hAnsi="Arial" w:cs="Arial"/>
          <w:color w:val="0070C0"/>
          <w:sz w:val="20"/>
          <w:szCs w:val="20"/>
        </w:rPr>
      </w:pPr>
      <w:r w:rsidRPr="004E5B27">
        <w:rPr>
          <w:rFonts w:ascii="Arial" w:hAnsi="Arial" w:cs="Arial"/>
          <w:color w:val="0070C0"/>
          <w:sz w:val="20"/>
          <w:szCs w:val="20"/>
        </w:rPr>
        <w:t>[Estas melancolías] nos muestran al yo dividido, descompuesto en dos fragmentos</w:t>
      </w:r>
      <w:r w:rsidR="0076228F">
        <w:rPr>
          <w:rFonts w:ascii="Arial" w:hAnsi="Arial" w:cs="Arial"/>
          <w:color w:val="0070C0"/>
          <w:sz w:val="20"/>
          <w:szCs w:val="20"/>
        </w:rPr>
        <w:t xml:space="preserve"> </w:t>
      </w:r>
      <w:r w:rsidR="0076228F">
        <w:rPr>
          <w:rFonts w:ascii="Arial" w:hAnsi="Arial" w:cs="Arial"/>
          <w:i/>
          <w:color w:val="0070C0"/>
          <w:sz w:val="20"/>
          <w:szCs w:val="20"/>
        </w:rPr>
        <w:t>(das Ich geteilt, in zwei Stücke zerfällt)</w:t>
      </w:r>
      <w:r w:rsidRPr="004E5B27">
        <w:rPr>
          <w:rFonts w:ascii="Arial" w:hAnsi="Arial" w:cs="Arial"/>
          <w:color w:val="0070C0"/>
          <w:sz w:val="20"/>
          <w:szCs w:val="20"/>
        </w:rPr>
        <w:t>, uno de los cuales arroja su furia sobre el otro. Este otro fragmento es el alterado</w:t>
      </w:r>
      <w:r w:rsidR="0076228F">
        <w:rPr>
          <w:rFonts w:ascii="Arial" w:hAnsi="Arial" w:cs="Arial"/>
          <w:color w:val="0070C0"/>
          <w:sz w:val="20"/>
          <w:szCs w:val="20"/>
        </w:rPr>
        <w:t xml:space="preserve"> </w:t>
      </w:r>
      <w:r w:rsidR="0076228F">
        <w:rPr>
          <w:rFonts w:ascii="Arial" w:hAnsi="Arial" w:cs="Arial"/>
          <w:i/>
          <w:color w:val="0070C0"/>
          <w:sz w:val="20"/>
          <w:szCs w:val="20"/>
        </w:rPr>
        <w:t>(veränderte)</w:t>
      </w:r>
      <w:r w:rsidRPr="004E5B27">
        <w:rPr>
          <w:rFonts w:ascii="Arial" w:hAnsi="Arial" w:cs="Arial"/>
          <w:color w:val="0070C0"/>
          <w:sz w:val="20"/>
          <w:szCs w:val="20"/>
        </w:rPr>
        <w:t xml:space="preserve"> por introyección, que incluye al objeto perdido. […]. […] en nuestro yo se desarrolla una instancia así, que se separa del resto del yo</w:t>
      </w:r>
      <w:r w:rsidR="0076228F">
        <w:rPr>
          <w:rFonts w:ascii="Arial" w:hAnsi="Arial" w:cs="Arial"/>
          <w:color w:val="0070C0"/>
          <w:sz w:val="20"/>
          <w:szCs w:val="20"/>
        </w:rPr>
        <w:t xml:space="preserve"> </w:t>
      </w:r>
      <w:r w:rsidR="0076228F">
        <w:rPr>
          <w:rFonts w:ascii="Arial" w:hAnsi="Arial" w:cs="Arial"/>
          <w:i/>
          <w:color w:val="0070C0"/>
          <w:sz w:val="20"/>
          <w:szCs w:val="20"/>
        </w:rPr>
        <w:t>(von anderen Ich)</w:t>
      </w:r>
      <w:r w:rsidRPr="004E5B27">
        <w:rPr>
          <w:rFonts w:ascii="Arial" w:hAnsi="Arial" w:cs="Arial"/>
          <w:color w:val="0070C0"/>
          <w:sz w:val="20"/>
          <w:szCs w:val="20"/>
        </w:rPr>
        <w:t xml:space="preserve"> y puede entrar en conflicto con él. La llamamos el «ideal del yo», y le atribuimos las funciones de la observación de sí, la conciencia moral, la censura onírica y el ejercicio de la principal influencia en la represión. Dijimos que era la herencia del narcisismo originario, en el que el yo infantil se contentaba a sí mismo. Poco a poco toma, de los influjos del medio, las exigencias que este plantea al yo y a las que el yo no siempre puede allanarse, de manera que el ser humano, toda vez que no puede contentarse consigo en su yo, puede hallar su satisfacción en el ideal del yo, diferenciado a partir de aquel. […] en el delirio de observación se vuelve patente la descomposición de esa instancia</w:t>
      </w:r>
      <w:r w:rsidR="0076228F">
        <w:rPr>
          <w:rFonts w:ascii="Arial" w:hAnsi="Arial" w:cs="Arial"/>
          <w:color w:val="0070C0"/>
          <w:sz w:val="20"/>
          <w:szCs w:val="20"/>
        </w:rPr>
        <w:t xml:space="preserve"> </w:t>
      </w:r>
      <w:r w:rsidR="0076228F">
        <w:rPr>
          <w:rFonts w:ascii="Arial" w:hAnsi="Arial" w:cs="Arial"/>
          <w:i/>
          <w:color w:val="0070C0"/>
          <w:sz w:val="20"/>
          <w:szCs w:val="20"/>
        </w:rPr>
        <w:t>(der zerfall dieser Instanz)</w:t>
      </w:r>
      <w:r w:rsidRPr="004E5B27">
        <w:rPr>
          <w:rFonts w:ascii="Arial" w:hAnsi="Arial" w:cs="Arial"/>
          <w:color w:val="0070C0"/>
          <w:sz w:val="20"/>
          <w:szCs w:val="20"/>
        </w:rPr>
        <w:t>, y así descubre su origen, que son las influencias de las autoridades, sobre todo de los padres.</w:t>
      </w:r>
      <w:r w:rsidRPr="004E5B27">
        <w:rPr>
          <w:rStyle w:val="Refdenotaalpie"/>
          <w:rFonts w:ascii="Arial" w:hAnsi="Arial" w:cs="Arial"/>
          <w:color w:val="0070C0"/>
          <w:sz w:val="20"/>
          <w:szCs w:val="20"/>
        </w:rPr>
        <w:footnoteReference w:id="47"/>
      </w:r>
    </w:p>
    <w:p w:rsidR="00DC611C" w:rsidRPr="004E5B27" w:rsidRDefault="00033180" w:rsidP="001B6795">
      <w:pPr>
        <w:spacing w:line="360" w:lineRule="auto"/>
        <w:jc w:val="both"/>
        <w:rPr>
          <w:rFonts w:ascii="Arial" w:hAnsi="Arial" w:cs="Arial"/>
          <w:color w:val="0070C0"/>
          <w:sz w:val="20"/>
          <w:szCs w:val="20"/>
        </w:rPr>
      </w:pPr>
      <w:r>
        <w:rPr>
          <w:rFonts w:ascii="Arial" w:hAnsi="Arial" w:cs="Arial"/>
          <w:color w:val="0070C0"/>
          <w:sz w:val="24"/>
          <w:szCs w:val="24"/>
        </w:rPr>
        <w:t xml:space="preserve">En consecuencia, </w:t>
      </w:r>
      <w:r w:rsidR="0076228F">
        <w:rPr>
          <w:rFonts w:ascii="Arial" w:hAnsi="Arial" w:cs="Arial"/>
          <w:color w:val="0070C0"/>
          <w:sz w:val="24"/>
          <w:szCs w:val="24"/>
        </w:rPr>
        <w:t xml:space="preserve">el camino de </w:t>
      </w:r>
      <w:r>
        <w:rPr>
          <w:rFonts w:ascii="Arial" w:hAnsi="Arial" w:cs="Arial"/>
          <w:color w:val="0070C0"/>
          <w:sz w:val="24"/>
          <w:szCs w:val="24"/>
        </w:rPr>
        <w:t xml:space="preserve">esa regresión resulta </w:t>
      </w:r>
      <w:r w:rsidR="0076228F">
        <w:rPr>
          <w:rFonts w:ascii="Arial" w:hAnsi="Arial" w:cs="Arial"/>
          <w:color w:val="0070C0"/>
          <w:sz w:val="24"/>
          <w:szCs w:val="24"/>
        </w:rPr>
        <w:t xml:space="preserve">alterado como </w:t>
      </w:r>
      <w:r>
        <w:rPr>
          <w:rFonts w:ascii="Arial" w:hAnsi="Arial" w:cs="Arial"/>
          <w:color w:val="0070C0"/>
          <w:sz w:val="24"/>
          <w:szCs w:val="24"/>
        </w:rPr>
        <w:t xml:space="preserve">el rodeo forzado por la huella del otro: el sentimiento de culpa. Se nos advierte de que si no es consciente, esto es, moral, “una particular </w:t>
      </w:r>
      <w:r>
        <w:rPr>
          <w:rFonts w:ascii="Arial" w:hAnsi="Arial" w:cs="Arial"/>
          <w:i/>
          <w:color w:val="0070C0"/>
          <w:sz w:val="24"/>
          <w:szCs w:val="24"/>
        </w:rPr>
        <w:t>chance</w:t>
      </w:r>
      <w:r>
        <w:rPr>
          <w:rFonts w:ascii="Arial" w:hAnsi="Arial" w:cs="Arial"/>
          <w:color w:val="0070C0"/>
          <w:sz w:val="24"/>
          <w:szCs w:val="24"/>
        </w:rPr>
        <w:t xml:space="preserve"> de influir sobre él se tiene cuando ese sentimiento </w:t>
      </w:r>
      <w:r>
        <w:rPr>
          <w:rFonts w:ascii="Arial" w:hAnsi="Arial" w:cs="Arial"/>
          <w:i/>
          <w:color w:val="0070C0"/>
          <w:sz w:val="24"/>
          <w:szCs w:val="24"/>
        </w:rPr>
        <w:t>icc</w:t>
      </w:r>
      <w:r>
        <w:rPr>
          <w:rFonts w:ascii="Arial" w:hAnsi="Arial" w:cs="Arial"/>
          <w:color w:val="0070C0"/>
          <w:sz w:val="24"/>
          <w:szCs w:val="24"/>
        </w:rPr>
        <w:t xml:space="preserve"> [inconsciente] de culpa</w:t>
      </w:r>
      <w:r w:rsidR="006E3A3B">
        <w:rPr>
          <w:rFonts w:ascii="Arial" w:hAnsi="Arial" w:cs="Arial"/>
          <w:color w:val="0070C0"/>
          <w:sz w:val="24"/>
          <w:szCs w:val="24"/>
        </w:rPr>
        <w:t xml:space="preserve"> es </w:t>
      </w:r>
      <w:r w:rsidR="006E3A3B" w:rsidRPr="00AE6F5E">
        <w:rPr>
          <w:rFonts w:ascii="Arial" w:hAnsi="Arial" w:cs="Arial"/>
          <w:i/>
          <w:color w:val="0070C0"/>
          <w:sz w:val="24"/>
          <w:szCs w:val="24"/>
        </w:rPr>
        <w:t>prestado</w:t>
      </w:r>
      <w:r w:rsidR="0076228F">
        <w:rPr>
          <w:rFonts w:ascii="Arial" w:hAnsi="Arial" w:cs="Arial"/>
          <w:i/>
          <w:color w:val="0070C0"/>
          <w:sz w:val="24"/>
          <w:szCs w:val="24"/>
        </w:rPr>
        <w:t xml:space="preserve"> </w:t>
      </w:r>
      <w:r w:rsidR="0076228F">
        <w:rPr>
          <w:rFonts w:ascii="Arial" w:hAnsi="Arial" w:cs="Arial"/>
          <w:color w:val="0070C0"/>
          <w:sz w:val="24"/>
          <w:szCs w:val="24"/>
        </w:rPr>
        <w:t xml:space="preserve">(entlehntes </w:t>
      </w:r>
      <w:r w:rsidR="0076228F">
        <w:rPr>
          <w:rFonts w:ascii="Arial" w:hAnsi="Arial" w:cs="Arial"/>
          <w:i/>
          <w:color w:val="0070C0"/>
          <w:sz w:val="24"/>
          <w:szCs w:val="24"/>
        </w:rPr>
        <w:t>ist)</w:t>
      </w:r>
      <w:r w:rsidR="006E3A3B">
        <w:rPr>
          <w:rFonts w:ascii="Arial" w:hAnsi="Arial" w:cs="Arial"/>
          <w:color w:val="0070C0"/>
          <w:sz w:val="24"/>
          <w:szCs w:val="24"/>
        </w:rPr>
        <w:t>, vale decir, el resultado de la identificación con otra persona que antaño fue objeto de una investidura erótica”</w:t>
      </w:r>
      <w:r w:rsidR="006E3A3B">
        <w:rPr>
          <w:rStyle w:val="Refdenotaalpie"/>
          <w:rFonts w:ascii="Arial" w:hAnsi="Arial" w:cs="Arial"/>
          <w:color w:val="0070C0"/>
          <w:sz w:val="24"/>
          <w:szCs w:val="24"/>
        </w:rPr>
        <w:footnoteReference w:id="48"/>
      </w:r>
      <w:r w:rsidR="006E3A3B">
        <w:rPr>
          <w:rFonts w:ascii="Arial" w:hAnsi="Arial" w:cs="Arial"/>
          <w:color w:val="0070C0"/>
          <w:sz w:val="24"/>
          <w:szCs w:val="24"/>
        </w:rPr>
        <w:t xml:space="preserve">. Pero, ¿cuándo no es </w:t>
      </w:r>
      <w:r w:rsidR="006E3A3B">
        <w:rPr>
          <w:rFonts w:ascii="Arial" w:hAnsi="Arial" w:cs="Arial"/>
          <w:i/>
          <w:color w:val="0070C0"/>
          <w:sz w:val="24"/>
          <w:szCs w:val="24"/>
        </w:rPr>
        <w:t>prestada</w:t>
      </w:r>
      <w:r w:rsidR="006E3A3B">
        <w:rPr>
          <w:rFonts w:ascii="Arial" w:hAnsi="Arial" w:cs="Arial"/>
          <w:color w:val="0070C0"/>
          <w:sz w:val="24"/>
          <w:szCs w:val="24"/>
        </w:rPr>
        <w:t xml:space="preserve"> la culpa ante la ley, </w:t>
      </w:r>
      <w:r w:rsidR="0076228F">
        <w:rPr>
          <w:rFonts w:ascii="Arial" w:hAnsi="Arial" w:cs="Arial"/>
          <w:color w:val="0070C0"/>
          <w:sz w:val="24"/>
          <w:szCs w:val="24"/>
        </w:rPr>
        <w:t xml:space="preserve">ya </w:t>
      </w:r>
      <w:r w:rsidR="006E3A3B">
        <w:rPr>
          <w:rFonts w:ascii="Arial" w:hAnsi="Arial" w:cs="Arial"/>
          <w:color w:val="0070C0"/>
          <w:sz w:val="24"/>
          <w:szCs w:val="24"/>
        </w:rPr>
        <w:t xml:space="preserve">permanezca el objeto exterior (neurosis obsesiva), </w:t>
      </w:r>
      <w:r w:rsidR="0076228F">
        <w:rPr>
          <w:rFonts w:ascii="Arial" w:hAnsi="Arial" w:cs="Arial"/>
          <w:color w:val="0070C0"/>
          <w:sz w:val="24"/>
          <w:szCs w:val="24"/>
        </w:rPr>
        <w:t xml:space="preserve">ya </w:t>
      </w:r>
      <w:r w:rsidR="006E3A3B">
        <w:rPr>
          <w:rFonts w:ascii="Arial" w:hAnsi="Arial" w:cs="Arial"/>
          <w:color w:val="0070C0"/>
          <w:sz w:val="24"/>
          <w:szCs w:val="24"/>
        </w:rPr>
        <w:t>sea aco</w:t>
      </w:r>
      <w:r w:rsidR="00D5411D">
        <w:rPr>
          <w:rFonts w:ascii="Arial" w:hAnsi="Arial" w:cs="Arial"/>
          <w:color w:val="0070C0"/>
          <w:sz w:val="24"/>
          <w:szCs w:val="24"/>
        </w:rPr>
        <w:t>g</w:t>
      </w:r>
      <w:r w:rsidR="006E3A3B">
        <w:rPr>
          <w:rFonts w:ascii="Arial" w:hAnsi="Arial" w:cs="Arial"/>
          <w:color w:val="0070C0"/>
          <w:sz w:val="24"/>
          <w:szCs w:val="24"/>
        </w:rPr>
        <w:t xml:space="preserve">ido por identificación (melancolía) o </w:t>
      </w:r>
      <w:r w:rsidR="0076228F">
        <w:rPr>
          <w:rFonts w:ascii="Arial" w:hAnsi="Arial" w:cs="Arial"/>
          <w:color w:val="0070C0"/>
          <w:sz w:val="24"/>
          <w:szCs w:val="24"/>
        </w:rPr>
        <w:t xml:space="preserve">ya </w:t>
      </w:r>
      <w:r w:rsidR="006E3A3B">
        <w:rPr>
          <w:rFonts w:ascii="Arial" w:hAnsi="Arial" w:cs="Arial"/>
          <w:color w:val="0070C0"/>
          <w:sz w:val="24"/>
          <w:szCs w:val="24"/>
        </w:rPr>
        <w:t>se hunda en la inconsciencia (histeria)?</w:t>
      </w:r>
      <w:r w:rsidR="00ED3DA9">
        <w:rPr>
          <w:rFonts w:ascii="Arial" w:hAnsi="Arial" w:cs="Arial"/>
          <w:color w:val="0070C0"/>
          <w:sz w:val="24"/>
          <w:szCs w:val="24"/>
        </w:rPr>
        <w:t>;</w:t>
      </w:r>
      <w:r w:rsidR="006E3A3B">
        <w:rPr>
          <w:rFonts w:ascii="Arial" w:hAnsi="Arial" w:cs="Arial"/>
          <w:color w:val="0070C0"/>
          <w:sz w:val="24"/>
          <w:szCs w:val="24"/>
        </w:rPr>
        <w:t xml:space="preserve"> ¿cuándo</w:t>
      </w:r>
      <w:r w:rsidR="00ED3DA9">
        <w:rPr>
          <w:rFonts w:ascii="Arial" w:hAnsi="Arial" w:cs="Arial"/>
          <w:color w:val="0070C0"/>
          <w:sz w:val="24"/>
          <w:szCs w:val="24"/>
        </w:rPr>
        <w:t xml:space="preserve"> la culpa ante la ley</w:t>
      </w:r>
      <w:r w:rsidR="006E3A3B">
        <w:rPr>
          <w:rFonts w:ascii="Arial" w:hAnsi="Arial" w:cs="Arial"/>
          <w:color w:val="0070C0"/>
          <w:sz w:val="24"/>
          <w:szCs w:val="24"/>
        </w:rPr>
        <w:t xml:space="preserve"> no es un bocado del otro, del cuerpo del otro, del libro del otro</w:t>
      </w:r>
      <w:r w:rsidR="00ED3DA9">
        <w:rPr>
          <w:rFonts w:ascii="Arial" w:hAnsi="Arial" w:cs="Arial"/>
          <w:color w:val="0070C0"/>
          <w:sz w:val="24"/>
          <w:szCs w:val="24"/>
        </w:rPr>
        <w:t>? Cómo entender, s</w:t>
      </w:r>
      <w:r w:rsidR="006E3A3B">
        <w:rPr>
          <w:rFonts w:ascii="Arial" w:hAnsi="Arial" w:cs="Arial"/>
          <w:color w:val="0070C0"/>
          <w:sz w:val="24"/>
          <w:szCs w:val="24"/>
        </w:rPr>
        <w:t>i</w:t>
      </w:r>
      <w:r w:rsidR="00ED3DA9">
        <w:rPr>
          <w:rFonts w:ascii="Arial" w:hAnsi="Arial" w:cs="Arial"/>
          <w:color w:val="0070C0"/>
          <w:sz w:val="24"/>
          <w:szCs w:val="24"/>
        </w:rPr>
        <w:t xml:space="preserve"> no, que</w:t>
      </w:r>
      <w:r w:rsidR="006E3A3B">
        <w:rPr>
          <w:rFonts w:ascii="Arial" w:hAnsi="Arial" w:cs="Arial"/>
          <w:color w:val="0070C0"/>
          <w:sz w:val="24"/>
          <w:szCs w:val="24"/>
        </w:rPr>
        <w:t xml:space="preserve"> “el superyó se ha engendrado sin duda por una identificación con el arquetipo paterno”</w:t>
      </w:r>
      <w:r w:rsidR="006E3A3B">
        <w:rPr>
          <w:rStyle w:val="Refdenotaalpie"/>
          <w:rFonts w:ascii="Arial" w:hAnsi="Arial" w:cs="Arial"/>
          <w:color w:val="0070C0"/>
          <w:sz w:val="24"/>
          <w:szCs w:val="24"/>
        </w:rPr>
        <w:footnoteReference w:id="49"/>
      </w:r>
      <w:r w:rsidR="00ED3DA9">
        <w:rPr>
          <w:rFonts w:ascii="Arial" w:hAnsi="Arial" w:cs="Arial"/>
          <w:color w:val="0070C0"/>
          <w:sz w:val="24"/>
          <w:szCs w:val="24"/>
        </w:rPr>
        <w:t>; que</w:t>
      </w:r>
      <w:r w:rsidR="001B6795">
        <w:rPr>
          <w:rFonts w:ascii="Arial" w:hAnsi="Arial" w:cs="Arial"/>
          <w:color w:val="0070C0"/>
          <w:sz w:val="24"/>
          <w:szCs w:val="24"/>
        </w:rPr>
        <w:t xml:space="preserve"> el yo “querría incorporárselo [el objeto de elección en la identificación], en verdad, por la vía de la devoración, de acuerdo con la fase oral o canibálica del desarrollo libidinal”</w:t>
      </w:r>
      <w:r w:rsidR="00ED3DA9">
        <w:rPr>
          <w:rFonts w:ascii="Arial" w:hAnsi="Arial" w:cs="Arial"/>
          <w:color w:val="0070C0"/>
          <w:sz w:val="24"/>
          <w:szCs w:val="24"/>
        </w:rPr>
        <w:t>. Si</w:t>
      </w:r>
      <w:r w:rsidR="001B6795">
        <w:rPr>
          <w:rFonts w:ascii="Arial" w:hAnsi="Arial" w:cs="Arial"/>
          <w:color w:val="0070C0"/>
          <w:sz w:val="24"/>
          <w:szCs w:val="24"/>
        </w:rPr>
        <w:t xml:space="preserve"> </w:t>
      </w:r>
      <w:r w:rsidR="00ED3DA9">
        <w:rPr>
          <w:rFonts w:ascii="Arial" w:hAnsi="Arial" w:cs="Arial"/>
          <w:color w:val="0070C0"/>
          <w:sz w:val="24"/>
          <w:szCs w:val="24"/>
        </w:rPr>
        <w:t xml:space="preserve">en el banquete totémico, </w:t>
      </w:r>
      <w:r w:rsidR="00D5411D">
        <w:rPr>
          <w:rFonts w:ascii="Arial" w:hAnsi="Arial" w:cs="Arial"/>
          <w:color w:val="0070C0"/>
          <w:sz w:val="24"/>
          <w:szCs w:val="24"/>
        </w:rPr>
        <w:t>“</w:t>
      </w:r>
      <w:r w:rsidR="00ED3DA9">
        <w:rPr>
          <w:rFonts w:ascii="Arial" w:hAnsi="Arial" w:cs="Arial"/>
          <w:color w:val="0070C0"/>
          <w:sz w:val="24"/>
          <w:szCs w:val="24"/>
        </w:rPr>
        <w:t>… en el acto de la devoración, [los hermanos] consumaban la identificación con él [co</w:t>
      </w:r>
      <w:r w:rsidR="001B6795">
        <w:rPr>
          <w:rFonts w:ascii="Arial" w:hAnsi="Arial" w:cs="Arial"/>
          <w:color w:val="0070C0"/>
          <w:sz w:val="24"/>
          <w:szCs w:val="24"/>
        </w:rPr>
        <w:t xml:space="preserve">n </w:t>
      </w:r>
      <w:r w:rsidR="00ED3DA9">
        <w:rPr>
          <w:rFonts w:ascii="Arial" w:hAnsi="Arial" w:cs="Arial"/>
          <w:color w:val="0070C0"/>
          <w:sz w:val="24"/>
          <w:szCs w:val="24"/>
        </w:rPr>
        <w:t>e</w:t>
      </w:r>
      <w:r w:rsidR="001B6795">
        <w:rPr>
          <w:rFonts w:ascii="Arial" w:hAnsi="Arial" w:cs="Arial"/>
          <w:color w:val="0070C0"/>
          <w:sz w:val="24"/>
          <w:szCs w:val="24"/>
        </w:rPr>
        <w:t>l padre</w:t>
      </w:r>
      <w:r w:rsidR="00ED3DA9">
        <w:rPr>
          <w:rFonts w:ascii="Arial" w:hAnsi="Arial" w:cs="Arial"/>
          <w:color w:val="0070C0"/>
          <w:sz w:val="24"/>
          <w:szCs w:val="24"/>
        </w:rPr>
        <w:t xml:space="preserve"> primigenio </w:t>
      </w:r>
      <w:r w:rsidR="00ED3DA9">
        <w:rPr>
          <w:rFonts w:ascii="Arial" w:hAnsi="Arial" w:cs="Arial"/>
          <w:color w:val="0070C0"/>
          <w:sz w:val="24"/>
          <w:szCs w:val="24"/>
        </w:rPr>
        <w:lastRenderedPageBreak/>
        <w:t>asesinado], cada uno se apropiaba de una parte de su fuerza”</w:t>
      </w:r>
      <w:r w:rsidR="00ED3DA9">
        <w:rPr>
          <w:rStyle w:val="Refdenotaalpie"/>
          <w:rFonts w:ascii="Arial" w:hAnsi="Arial" w:cs="Arial"/>
          <w:color w:val="0070C0"/>
          <w:sz w:val="24"/>
          <w:szCs w:val="24"/>
        </w:rPr>
        <w:footnoteReference w:id="50"/>
      </w:r>
      <w:r w:rsidR="00304024">
        <w:rPr>
          <w:rFonts w:ascii="Arial" w:hAnsi="Arial" w:cs="Arial"/>
          <w:color w:val="0070C0"/>
          <w:sz w:val="24"/>
          <w:szCs w:val="24"/>
        </w:rPr>
        <w:t>, ¿</w:t>
      </w:r>
      <w:r w:rsidR="00D1572B">
        <w:rPr>
          <w:rFonts w:ascii="Arial" w:hAnsi="Arial" w:cs="Arial"/>
          <w:color w:val="0070C0"/>
          <w:sz w:val="24"/>
          <w:szCs w:val="24"/>
        </w:rPr>
        <w:t xml:space="preserve">acaso </w:t>
      </w:r>
      <w:r w:rsidR="00A23344">
        <w:rPr>
          <w:rFonts w:ascii="Arial" w:hAnsi="Arial" w:cs="Arial"/>
          <w:color w:val="0070C0"/>
          <w:sz w:val="24"/>
          <w:szCs w:val="24"/>
        </w:rPr>
        <w:t>esa fuerza</w:t>
      </w:r>
      <w:r w:rsidR="0076228F">
        <w:rPr>
          <w:rFonts w:ascii="Arial" w:hAnsi="Arial" w:cs="Arial"/>
          <w:color w:val="0070C0"/>
          <w:sz w:val="24"/>
          <w:szCs w:val="24"/>
        </w:rPr>
        <w:t xml:space="preserve"> </w:t>
      </w:r>
      <w:r w:rsidR="00DF5A31">
        <w:rPr>
          <w:rFonts w:ascii="Arial" w:hAnsi="Arial" w:cs="Arial"/>
          <w:color w:val="0070C0"/>
          <w:sz w:val="24"/>
          <w:szCs w:val="24"/>
        </w:rPr>
        <w:t xml:space="preserve">que </w:t>
      </w:r>
      <w:r w:rsidR="00DF5A31" w:rsidRPr="00DF5A31">
        <w:rPr>
          <w:rFonts w:ascii="Arial" w:hAnsi="Arial" w:cs="Arial"/>
          <w:i/>
          <w:color w:val="0070C0"/>
          <w:sz w:val="24"/>
          <w:szCs w:val="24"/>
        </w:rPr>
        <w:t xml:space="preserve">se toma </w:t>
      </w:r>
      <w:r w:rsidR="0076228F" w:rsidRPr="00DF5A31">
        <w:rPr>
          <w:rFonts w:ascii="Arial" w:hAnsi="Arial" w:cs="Arial"/>
          <w:i/>
          <w:color w:val="0070C0"/>
          <w:sz w:val="24"/>
          <w:szCs w:val="24"/>
        </w:rPr>
        <w:t>prestada</w:t>
      </w:r>
      <w:r w:rsidR="0076228F">
        <w:rPr>
          <w:rFonts w:ascii="Arial" w:hAnsi="Arial" w:cs="Arial"/>
          <w:color w:val="0070C0"/>
          <w:sz w:val="24"/>
          <w:szCs w:val="24"/>
        </w:rPr>
        <w:t xml:space="preserve"> no se </w:t>
      </w:r>
      <w:r w:rsidR="0076228F" w:rsidRPr="00D1572B">
        <w:rPr>
          <w:rFonts w:ascii="Arial" w:hAnsi="Arial" w:cs="Arial"/>
          <w:i/>
          <w:color w:val="0070C0"/>
          <w:sz w:val="24"/>
          <w:szCs w:val="24"/>
        </w:rPr>
        <w:t>altera</w:t>
      </w:r>
      <w:r w:rsidR="0076228F">
        <w:rPr>
          <w:rFonts w:ascii="Arial" w:hAnsi="Arial" w:cs="Arial"/>
          <w:color w:val="0070C0"/>
          <w:sz w:val="24"/>
          <w:szCs w:val="24"/>
        </w:rPr>
        <w:t xml:space="preserve"> en la persona </w:t>
      </w:r>
      <w:r w:rsidR="0076228F" w:rsidRPr="00D1572B">
        <w:rPr>
          <w:rFonts w:ascii="Arial" w:hAnsi="Arial" w:cs="Arial"/>
          <w:i/>
          <w:color w:val="0070C0"/>
          <w:sz w:val="24"/>
          <w:szCs w:val="24"/>
        </w:rPr>
        <w:t>propia</w:t>
      </w:r>
      <w:r w:rsidR="001B6795">
        <w:rPr>
          <w:rFonts w:ascii="Arial" w:hAnsi="Arial" w:cs="Arial"/>
          <w:color w:val="0070C0"/>
          <w:sz w:val="24"/>
          <w:szCs w:val="24"/>
        </w:rPr>
        <w:t>?</w:t>
      </w:r>
    </w:p>
    <w:p w:rsidR="004E5B27" w:rsidRPr="004E5B27" w:rsidRDefault="004E5B27" w:rsidP="00ED7CD4">
      <w:pPr>
        <w:spacing w:line="360" w:lineRule="auto"/>
        <w:rPr>
          <w:rFonts w:ascii="Arial" w:hAnsi="Arial" w:cs="Arial"/>
          <w:b/>
          <w:color w:val="0070C0"/>
          <w:sz w:val="24"/>
          <w:szCs w:val="24"/>
        </w:rPr>
      </w:pPr>
    </w:p>
    <w:p w:rsidR="00082407" w:rsidRPr="00C42BF5" w:rsidRDefault="00ED7CD4" w:rsidP="00ED7CD4">
      <w:pPr>
        <w:spacing w:line="360" w:lineRule="auto"/>
        <w:rPr>
          <w:rFonts w:ascii="Arial" w:hAnsi="Arial" w:cs="Arial"/>
          <w:b/>
          <w:color w:val="0070C0"/>
          <w:sz w:val="20"/>
          <w:szCs w:val="20"/>
        </w:rPr>
      </w:pPr>
      <w:r w:rsidRPr="00C42BF5">
        <w:rPr>
          <w:rFonts w:ascii="Arial" w:hAnsi="Arial" w:cs="Arial"/>
          <w:b/>
          <w:color w:val="0070C0"/>
          <w:sz w:val="20"/>
          <w:szCs w:val="20"/>
        </w:rPr>
        <w:t>Bibliografía citada:</w:t>
      </w:r>
    </w:p>
    <w:p w:rsidR="005F10A1" w:rsidRPr="00B562EC" w:rsidRDefault="005F10A1" w:rsidP="005F10A1">
      <w:pPr>
        <w:pStyle w:val="Textonotapie"/>
        <w:spacing w:after="120"/>
        <w:jc w:val="both"/>
        <w:rPr>
          <w:rFonts w:ascii="Arial" w:hAnsi="Arial" w:cs="Arial"/>
          <w:color w:val="0070C0"/>
        </w:rPr>
      </w:pPr>
      <w:r w:rsidRPr="00B562EC">
        <w:rPr>
          <w:rFonts w:ascii="Arial" w:hAnsi="Arial" w:cs="Arial"/>
          <w:color w:val="0070C0"/>
        </w:rPr>
        <w:t>Agamben,</w:t>
      </w:r>
      <w:r>
        <w:rPr>
          <w:rFonts w:ascii="Arial" w:hAnsi="Arial" w:cs="Arial"/>
          <w:color w:val="0070C0"/>
        </w:rPr>
        <w:t xml:space="preserve"> Giorgio,</w:t>
      </w:r>
      <w:r w:rsidRPr="00B562EC">
        <w:rPr>
          <w:rFonts w:ascii="Arial" w:hAnsi="Arial" w:cs="Arial"/>
          <w:color w:val="0070C0"/>
        </w:rPr>
        <w:t xml:space="preserve"> </w:t>
      </w:r>
      <w:r w:rsidRPr="00B562EC">
        <w:rPr>
          <w:rFonts w:ascii="Arial" w:hAnsi="Arial" w:cs="Arial"/>
          <w:i/>
          <w:color w:val="0070C0"/>
        </w:rPr>
        <w:t>Homo sacer. El poder soberano y la nuda vida</w:t>
      </w:r>
      <w:r w:rsidRPr="00B562EC">
        <w:rPr>
          <w:rFonts w:ascii="Arial" w:hAnsi="Arial" w:cs="Arial"/>
          <w:color w:val="0070C0"/>
        </w:rPr>
        <w:t>, Editorial Pre-Textos, Valencia</w:t>
      </w:r>
      <w:r>
        <w:rPr>
          <w:rFonts w:ascii="Arial" w:hAnsi="Arial" w:cs="Arial"/>
          <w:color w:val="0070C0"/>
        </w:rPr>
        <w:t>,</w:t>
      </w:r>
      <w:r w:rsidRPr="00B562EC">
        <w:rPr>
          <w:rFonts w:ascii="Arial" w:hAnsi="Arial" w:cs="Arial"/>
          <w:color w:val="0070C0"/>
        </w:rPr>
        <w:t xml:space="preserve"> 2003</w:t>
      </w:r>
      <w:r>
        <w:rPr>
          <w:rFonts w:ascii="Arial" w:hAnsi="Arial" w:cs="Arial"/>
          <w:color w:val="0070C0"/>
        </w:rPr>
        <w:t>.</w:t>
      </w:r>
    </w:p>
    <w:p w:rsidR="005F10A1" w:rsidRDefault="005F10A1" w:rsidP="005F10A1">
      <w:pPr>
        <w:pStyle w:val="Textonotapie"/>
        <w:spacing w:after="120"/>
        <w:jc w:val="both"/>
        <w:rPr>
          <w:rFonts w:ascii="Arial" w:hAnsi="Arial" w:cs="Arial"/>
          <w:color w:val="0070C0"/>
        </w:rPr>
      </w:pPr>
      <w:r w:rsidRPr="00B562EC">
        <w:rPr>
          <w:rFonts w:ascii="Arial" w:hAnsi="Arial" w:cs="Arial"/>
          <w:color w:val="0070C0"/>
        </w:rPr>
        <w:t>Costa,</w:t>
      </w:r>
      <w:r>
        <w:rPr>
          <w:rFonts w:ascii="Arial" w:hAnsi="Arial" w:cs="Arial"/>
          <w:color w:val="0070C0"/>
        </w:rPr>
        <w:t xml:space="preserve"> Joaquín,</w:t>
      </w:r>
      <w:r w:rsidRPr="00B562EC">
        <w:rPr>
          <w:rFonts w:ascii="Arial" w:hAnsi="Arial" w:cs="Arial"/>
          <w:color w:val="0070C0"/>
        </w:rPr>
        <w:t xml:space="preserve"> </w:t>
      </w:r>
      <w:r w:rsidRPr="00B562EC">
        <w:rPr>
          <w:rFonts w:ascii="Arial" w:hAnsi="Arial" w:cs="Arial"/>
          <w:i/>
          <w:color w:val="0070C0"/>
        </w:rPr>
        <w:t>La vida del Derecho. Ensayo sobre el derecho consuetudinario</w:t>
      </w:r>
      <w:r w:rsidRPr="00B562EC">
        <w:rPr>
          <w:rFonts w:ascii="Arial" w:hAnsi="Arial" w:cs="Arial"/>
          <w:color w:val="0070C0"/>
        </w:rPr>
        <w:t>, Guara Editorial, Zaragoza</w:t>
      </w:r>
      <w:r>
        <w:rPr>
          <w:rFonts w:ascii="Arial" w:hAnsi="Arial" w:cs="Arial"/>
          <w:color w:val="0070C0"/>
        </w:rPr>
        <w:t>,</w:t>
      </w:r>
      <w:r w:rsidRPr="00B562EC">
        <w:rPr>
          <w:rFonts w:ascii="Arial" w:hAnsi="Arial" w:cs="Arial"/>
          <w:color w:val="0070C0"/>
        </w:rPr>
        <w:t xml:space="preserve"> 1982</w:t>
      </w:r>
      <w:r>
        <w:rPr>
          <w:rFonts w:ascii="Arial" w:hAnsi="Arial" w:cs="Arial"/>
          <w:color w:val="0070C0"/>
        </w:rPr>
        <w:t>.</w:t>
      </w:r>
    </w:p>
    <w:p w:rsidR="005F10A1" w:rsidRPr="00B562EC" w:rsidRDefault="005F10A1" w:rsidP="005F10A1">
      <w:pPr>
        <w:pStyle w:val="Textonotapie"/>
        <w:spacing w:after="120"/>
        <w:jc w:val="both"/>
        <w:rPr>
          <w:rFonts w:ascii="Arial" w:hAnsi="Arial" w:cs="Arial"/>
          <w:color w:val="0070C0"/>
        </w:rPr>
      </w:pPr>
      <w:r w:rsidRPr="00B562EC">
        <w:rPr>
          <w:rFonts w:ascii="Arial" w:hAnsi="Arial" w:cs="Arial"/>
          <w:color w:val="0070C0"/>
        </w:rPr>
        <w:t>Criado,</w:t>
      </w:r>
      <w:r>
        <w:rPr>
          <w:rFonts w:ascii="Arial" w:hAnsi="Arial" w:cs="Arial"/>
          <w:color w:val="0070C0"/>
        </w:rPr>
        <w:t xml:space="preserve"> </w:t>
      </w:r>
      <w:r w:rsidRPr="00B562EC">
        <w:rPr>
          <w:rFonts w:ascii="Arial" w:hAnsi="Arial" w:cs="Arial"/>
          <w:color w:val="0070C0"/>
        </w:rPr>
        <w:t>Manuel</w:t>
      </w:r>
      <w:r>
        <w:rPr>
          <w:rFonts w:ascii="Arial" w:hAnsi="Arial" w:cs="Arial"/>
          <w:color w:val="0070C0"/>
        </w:rPr>
        <w:t>,</w:t>
      </w:r>
      <w:r w:rsidRPr="00B562EC">
        <w:rPr>
          <w:rFonts w:ascii="Arial" w:hAnsi="Arial" w:cs="Arial"/>
          <w:color w:val="0070C0"/>
        </w:rPr>
        <w:t xml:space="preserve"> “La autoridad de la Iglesia y los intereses del catolicismo despreciados por el gobierno español en la cuestión de la enseñanza oficial”, en </w:t>
      </w:r>
      <w:r w:rsidRPr="00B562EC">
        <w:rPr>
          <w:rFonts w:ascii="Arial" w:hAnsi="Arial" w:cs="Arial"/>
          <w:i/>
          <w:color w:val="0070C0"/>
        </w:rPr>
        <w:t>El pensamiento español</w:t>
      </w:r>
      <w:r w:rsidRPr="00B562EC">
        <w:rPr>
          <w:rFonts w:ascii="Arial" w:hAnsi="Arial" w:cs="Arial"/>
          <w:color w:val="0070C0"/>
        </w:rPr>
        <w:t>, nº 775, 8 de julio de 1862, s. p</w:t>
      </w:r>
      <w:r>
        <w:rPr>
          <w:rFonts w:ascii="Arial" w:hAnsi="Arial" w:cs="Arial"/>
          <w:color w:val="0070C0"/>
        </w:rPr>
        <w:t>p</w:t>
      </w:r>
      <w:r w:rsidRPr="00B562EC">
        <w:rPr>
          <w:rFonts w:ascii="Arial" w:hAnsi="Arial" w:cs="Arial"/>
          <w:color w:val="0070C0"/>
        </w:rPr>
        <w:t>.</w:t>
      </w:r>
    </w:p>
    <w:p w:rsidR="005F10A1" w:rsidRPr="009D5004" w:rsidRDefault="005F10A1" w:rsidP="005F10A1">
      <w:pPr>
        <w:pStyle w:val="Textonotapie"/>
        <w:spacing w:after="120"/>
        <w:jc w:val="both"/>
        <w:rPr>
          <w:rFonts w:ascii="Arial" w:hAnsi="Arial" w:cs="Arial"/>
          <w:color w:val="0070C0"/>
        </w:rPr>
      </w:pPr>
      <w:r w:rsidRPr="00B562EC">
        <w:rPr>
          <w:rFonts w:ascii="Arial" w:hAnsi="Arial" w:cs="Arial"/>
          <w:color w:val="0070C0"/>
        </w:rPr>
        <w:t>Derrida,</w:t>
      </w:r>
      <w:r>
        <w:rPr>
          <w:rFonts w:ascii="Arial" w:hAnsi="Arial" w:cs="Arial"/>
          <w:color w:val="0070C0"/>
        </w:rPr>
        <w:t xml:space="preserve"> Jacques,</w:t>
      </w:r>
      <w:r w:rsidRPr="00B562EC">
        <w:rPr>
          <w:rFonts w:ascii="Arial" w:hAnsi="Arial" w:cs="Arial"/>
          <w:color w:val="0070C0"/>
        </w:rPr>
        <w:t xml:space="preserve"> </w:t>
      </w:r>
      <w:r w:rsidRPr="00B562EC">
        <w:rPr>
          <w:rFonts w:ascii="Arial" w:hAnsi="Arial" w:cs="Arial"/>
          <w:i/>
          <w:color w:val="0070C0"/>
        </w:rPr>
        <w:t>Perdonar Lo imperdonable y lo imprescriptible</w:t>
      </w:r>
      <w:r w:rsidRPr="00B562EC">
        <w:rPr>
          <w:rFonts w:ascii="Arial" w:hAnsi="Arial" w:cs="Arial"/>
          <w:color w:val="0070C0"/>
        </w:rPr>
        <w:t>, Avarigani Editores, Madrid, 2015</w:t>
      </w:r>
      <w:r>
        <w:rPr>
          <w:rFonts w:ascii="Arial" w:hAnsi="Arial" w:cs="Arial"/>
          <w:color w:val="0070C0"/>
        </w:rPr>
        <w:t>.</w:t>
      </w:r>
    </w:p>
    <w:p w:rsidR="00304024" w:rsidRDefault="005F10A1" w:rsidP="005F10A1">
      <w:pPr>
        <w:pStyle w:val="Textonotapie"/>
        <w:spacing w:after="120"/>
        <w:jc w:val="both"/>
        <w:rPr>
          <w:rFonts w:ascii="Arial" w:hAnsi="Arial" w:cs="Arial"/>
          <w:color w:val="0070C0"/>
        </w:rPr>
      </w:pPr>
      <w:r w:rsidRPr="009D5004">
        <w:rPr>
          <w:rFonts w:ascii="Arial" w:hAnsi="Arial" w:cs="Arial"/>
          <w:color w:val="0070C0"/>
        </w:rPr>
        <w:t xml:space="preserve">Freud, Sigmund, </w:t>
      </w:r>
      <w:r w:rsidR="00304024" w:rsidRPr="00304024">
        <w:rPr>
          <w:rFonts w:ascii="Arial" w:hAnsi="Arial" w:cs="Arial"/>
          <w:i/>
          <w:color w:val="0070C0"/>
        </w:rPr>
        <w:t>Tótem y tabú</w:t>
      </w:r>
      <w:r w:rsidR="00304024" w:rsidRPr="00304024">
        <w:rPr>
          <w:rFonts w:ascii="Arial" w:hAnsi="Arial" w:cs="Arial"/>
          <w:color w:val="0070C0"/>
        </w:rPr>
        <w:t xml:space="preserve">, en </w:t>
      </w:r>
      <w:r w:rsidR="00304024" w:rsidRPr="00304024">
        <w:rPr>
          <w:rFonts w:ascii="Arial" w:hAnsi="Arial" w:cs="Arial"/>
          <w:i/>
          <w:color w:val="0070C0"/>
        </w:rPr>
        <w:t>Obras completas. Volumen 13 (1913-1914)</w:t>
      </w:r>
      <w:r w:rsidR="00304024" w:rsidRPr="00304024">
        <w:rPr>
          <w:rFonts w:ascii="Arial" w:hAnsi="Arial" w:cs="Arial"/>
          <w:color w:val="0070C0"/>
        </w:rPr>
        <w:t>, Amorrortu editores, Buenos Aires – Madrid, 2008</w:t>
      </w:r>
      <w:r w:rsidR="00304024">
        <w:rPr>
          <w:rFonts w:ascii="Arial" w:hAnsi="Arial" w:cs="Arial"/>
          <w:color w:val="0070C0"/>
        </w:rPr>
        <w:t>.</w:t>
      </w:r>
    </w:p>
    <w:p w:rsidR="005F10A1" w:rsidRPr="009D5004" w:rsidRDefault="00304024" w:rsidP="00304024">
      <w:pPr>
        <w:pStyle w:val="Textonotapie"/>
        <w:spacing w:after="120"/>
        <w:ind w:left="708"/>
        <w:jc w:val="both"/>
        <w:rPr>
          <w:rFonts w:ascii="Arial" w:hAnsi="Arial" w:cs="Arial"/>
          <w:color w:val="0070C0"/>
        </w:rPr>
      </w:pPr>
      <w:r>
        <w:rPr>
          <w:rFonts w:ascii="Arial" w:hAnsi="Arial" w:cs="Arial"/>
          <w:color w:val="0070C0"/>
        </w:rPr>
        <w:t xml:space="preserve">- </w:t>
      </w:r>
      <w:r w:rsidR="005F10A1" w:rsidRPr="009D5004">
        <w:rPr>
          <w:rFonts w:ascii="Arial" w:hAnsi="Arial" w:cs="Arial"/>
          <w:color w:val="0070C0"/>
        </w:rPr>
        <w:t xml:space="preserve">“Pulsiones y destinos de pulsión”, en </w:t>
      </w:r>
      <w:r w:rsidR="005F10A1" w:rsidRPr="009D5004">
        <w:rPr>
          <w:rFonts w:ascii="Arial" w:hAnsi="Arial" w:cs="Arial"/>
          <w:i/>
          <w:color w:val="0070C0"/>
        </w:rPr>
        <w:t>Obras completas. Volumen 14 (1914-16)</w:t>
      </w:r>
      <w:r w:rsidR="005F10A1" w:rsidRPr="009D5004">
        <w:rPr>
          <w:rFonts w:ascii="Arial" w:hAnsi="Arial" w:cs="Arial"/>
          <w:color w:val="0070C0"/>
        </w:rPr>
        <w:t>, Amorrortu editores, Buenos Aires – Madrid,  2007.</w:t>
      </w:r>
    </w:p>
    <w:p w:rsidR="00AE2168" w:rsidRPr="009D5004" w:rsidRDefault="00AE2168" w:rsidP="00AE2168">
      <w:pPr>
        <w:pStyle w:val="Textonotapie"/>
        <w:spacing w:after="120"/>
        <w:ind w:left="708"/>
        <w:jc w:val="both"/>
        <w:rPr>
          <w:rFonts w:ascii="Arial" w:hAnsi="Arial" w:cs="Arial"/>
          <w:color w:val="0070C0"/>
        </w:rPr>
      </w:pPr>
      <w:r w:rsidRPr="009D5004">
        <w:rPr>
          <w:rFonts w:ascii="Arial" w:hAnsi="Arial" w:cs="Arial"/>
          <w:color w:val="0070C0"/>
        </w:rPr>
        <w:t xml:space="preserve">- </w:t>
      </w:r>
      <w:r w:rsidRPr="009D5004">
        <w:rPr>
          <w:rFonts w:ascii="Arial" w:hAnsi="Arial" w:cs="Arial"/>
          <w:i/>
          <w:color w:val="0070C0"/>
        </w:rPr>
        <w:t>Introducción al narcisismo</w:t>
      </w:r>
      <w:r w:rsidRPr="009D5004">
        <w:rPr>
          <w:rFonts w:ascii="Arial" w:hAnsi="Arial" w:cs="Arial"/>
          <w:color w:val="0070C0"/>
        </w:rPr>
        <w:t xml:space="preserve">, en </w:t>
      </w:r>
      <w:r w:rsidRPr="009D5004">
        <w:rPr>
          <w:rFonts w:ascii="Arial" w:hAnsi="Arial" w:cs="Arial"/>
          <w:i/>
          <w:color w:val="0070C0"/>
        </w:rPr>
        <w:t>Obras completas. Volumen 14 (1914-1916)</w:t>
      </w:r>
      <w:r w:rsidRPr="009D5004">
        <w:rPr>
          <w:rFonts w:ascii="Arial" w:hAnsi="Arial" w:cs="Arial"/>
          <w:color w:val="0070C0"/>
        </w:rPr>
        <w:t>, cit.</w:t>
      </w:r>
    </w:p>
    <w:p w:rsidR="00430BE2" w:rsidRDefault="00430BE2" w:rsidP="00430BE2">
      <w:pPr>
        <w:pStyle w:val="Textonotapie"/>
        <w:spacing w:after="120"/>
        <w:ind w:left="708"/>
        <w:jc w:val="both"/>
        <w:rPr>
          <w:rFonts w:ascii="Arial" w:hAnsi="Arial" w:cs="Arial"/>
          <w:color w:val="0070C0"/>
        </w:rPr>
      </w:pPr>
      <w:r w:rsidRPr="009D5004">
        <w:rPr>
          <w:rFonts w:ascii="Arial" w:hAnsi="Arial" w:cs="Arial"/>
          <w:color w:val="0070C0"/>
        </w:rPr>
        <w:t xml:space="preserve">- </w:t>
      </w:r>
      <w:r w:rsidRPr="009D5004">
        <w:rPr>
          <w:rFonts w:ascii="Arial" w:hAnsi="Arial" w:cs="Arial"/>
          <w:i/>
          <w:color w:val="0070C0"/>
        </w:rPr>
        <w:t>Psicología de las masas y análisis del yo</w:t>
      </w:r>
      <w:r w:rsidRPr="009D5004">
        <w:rPr>
          <w:rFonts w:ascii="Arial" w:hAnsi="Arial" w:cs="Arial"/>
          <w:color w:val="0070C0"/>
        </w:rPr>
        <w:t xml:space="preserve">, en </w:t>
      </w:r>
      <w:r w:rsidRPr="009D5004">
        <w:rPr>
          <w:rFonts w:ascii="Arial" w:hAnsi="Arial" w:cs="Arial"/>
          <w:i/>
          <w:color w:val="0070C0"/>
        </w:rPr>
        <w:t>Obras completas. Volumen 18 (192</w:t>
      </w:r>
      <w:r w:rsidR="001B6795">
        <w:rPr>
          <w:rFonts w:ascii="Arial" w:hAnsi="Arial" w:cs="Arial"/>
          <w:i/>
          <w:color w:val="0070C0"/>
        </w:rPr>
        <w:t>0</w:t>
      </w:r>
      <w:r w:rsidRPr="009D5004">
        <w:rPr>
          <w:rFonts w:ascii="Arial" w:hAnsi="Arial" w:cs="Arial"/>
          <w:i/>
          <w:color w:val="0070C0"/>
        </w:rPr>
        <w:t>-192</w:t>
      </w:r>
      <w:r w:rsidR="001B6795">
        <w:rPr>
          <w:rFonts w:ascii="Arial" w:hAnsi="Arial" w:cs="Arial"/>
          <w:i/>
          <w:color w:val="0070C0"/>
        </w:rPr>
        <w:t>2</w:t>
      </w:r>
      <w:r w:rsidRPr="009D5004">
        <w:rPr>
          <w:rFonts w:ascii="Arial" w:hAnsi="Arial" w:cs="Arial"/>
          <w:i/>
          <w:color w:val="0070C0"/>
        </w:rPr>
        <w:t>)</w:t>
      </w:r>
      <w:r w:rsidRPr="009D5004">
        <w:rPr>
          <w:rFonts w:ascii="Arial" w:hAnsi="Arial" w:cs="Arial"/>
          <w:color w:val="0070C0"/>
        </w:rPr>
        <w:t>, Amorrortu editores, Buenos Aires – Madrid, 2008</w:t>
      </w:r>
      <w:r w:rsidR="001B6795">
        <w:rPr>
          <w:rFonts w:ascii="Arial" w:hAnsi="Arial" w:cs="Arial"/>
          <w:color w:val="0070C0"/>
        </w:rPr>
        <w:t>.</w:t>
      </w:r>
    </w:p>
    <w:p w:rsidR="001B6795" w:rsidRPr="001B6795" w:rsidRDefault="001B6795" w:rsidP="00430BE2">
      <w:pPr>
        <w:pStyle w:val="Textonotapie"/>
        <w:spacing w:after="120"/>
        <w:ind w:left="708"/>
        <w:jc w:val="both"/>
        <w:rPr>
          <w:rFonts w:ascii="Arial" w:hAnsi="Arial" w:cs="Arial"/>
          <w:i/>
          <w:color w:val="0070C0"/>
        </w:rPr>
      </w:pPr>
      <w:r>
        <w:rPr>
          <w:rFonts w:ascii="Arial" w:hAnsi="Arial" w:cs="Arial"/>
          <w:color w:val="0070C0"/>
        </w:rPr>
        <w:t xml:space="preserve">- </w:t>
      </w:r>
      <w:r>
        <w:rPr>
          <w:rFonts w:ascii="Arial" w:hAnsi="Arial" w:cs="Arial"/>
          <w:i/>
          <w:color w:val="0070C0"/>
        </w:rPr>
        <w:t>El yo y el ello</w:t>
      </w:r>
      <w:r>
        <w:rPr>
          <w:rFonts w:ascii="Arial" w:hAnsi="Arial" w:cs="Arial"/>
          <w:color w:val="0070C0"/>
        </w:rPr>
        <w:t xml:space="preserve">, en </w:t>
      </w:r>
      <w:r w:rsidRPr="009D5004">
        <w:rPr>
          <w:rFonts w:ascii="Arial" w:hAnsi="Arial" w:cs="Arial"/>
          <w:i/>
          <w:color w:val="0070C0"/>
        </w:rPr>
        <w:t>Obras completas. Volumen 1</w:t>
      </w:r>
      <w:r>
        <w:rPr>
          <w:rFonts w:ascii="Arial" w:hAnsi="Arial" w:cs="Arial"/>
          <w:i/>
          <w:color w:val="0070C0"/>
        </w:rPr>
        <w:t>9</w:t>
      </w:r>
      <w:r w:rsidRPr="009D5004">
        <w:rPr>
          <w:rFonts w:ascii="Arial" w:hAnsi="Arial" w:cs="Arial"/>
          <w:i/>
          <w:color w:val="0070C0"/>
        </w:rPr>
        <w:t xml:space="preserve"> (192</w:t>
      </w:r>
      <w:r>
        <w:rPr>
          <w:rFonts w:ascii="Arial" w:hAnsi="Arial" w:cs="Arial"/>
          <w:i/>
          <w:color w:val="0070C0"/>
        </w:rPr>
        <w:t>3</w:t>
      </w:r>
      <w:r w:rsidRPr="009D5004">
        <w:rPr>
          <w:rFonts w:ascii="Arial" w:hAnsi="Arial" w:cs="Arial"/>
          <w:i/>
          <w:color w:val="0070C0"/>
        </w:rPr>
        <w:t>-192</w:t>
      </w:r>
      <w:r>
        <w:rPr>
          <w:rFonts w:ascii="Arial" w:hAnsi="Arial" w:cs="Arial"/>
          <w:i/>
          <w:color w:val="0070C0"/>
        </w:rPr>
        <w:t>5</w:t>
      </w:r>
      <w:r w:rsidRPr="009D5004">
        <w:rPr>
          <w:rFonts w:ascii="Arial" w:hAnsi="Arial" w:cs="Arial"/>
          <w:i/>
          <w:color w:val="0070C0"/>
        </w:rPr>
        <w:t>)</w:t>
      </w:r>
      <w:r w:rsidRPr="009D5004">
        <w:rPr>
          <w:rFonts w:ascii="Arial" w:hAnsi="Arial" w:cs="Arial"/>
          <w:color w:val="0070C0"/>
        </w:rPr>
        <w:t>, Amorrortu editores, Buenos Aires – Madrid, 200</w:t>
      </w:r>
      <w:r>
        <w:rPr>
          <w:rFonts w:ascii="Arial" w:hAnsi="Arial" w:cs="Arial"/>
          <w:color w:val="0070C0"/>
        </w:rPr>
        <w:t>7.</w:t>
      </w:r>
    </w:p>
    <w:p w:rsidR="005F10A1" w:rsidRDefault="005F10A1" w:rsidP="005F10A1">
      <w:pPr>
        <w:pStyle w:val="Textonotapie"/>
        <w:spacing w:after="120"/>
        <w:jc w:val="both"/>
        <w:rPr>
          <w:rFonts w:ascii="Arial" w:hAnsi="Arial" w:cs="Arial"/>
          <w:color w:val="0070C0"/>
        </w:rPr>
      </w:pPr>
      <w:r w:rsidRPr="009D5004">
        <w:rPr>
          <w:rFonts w:ascii="Arial" w:hAnsi="Arial" w:cs="Arial"/>
          <w:color w:val="0070C0"/>
        </w:rPr>
        <w:t xml:space="preserve">Giner, Francisco </w:t>
      </w:r>
      <w:r w:rsidRPr="009D5004">
        <w:rPr>
          <w:rFonts w:ascii="Arial" w:hAnsi="Arial" w:cs="Arial"/>
          <w:i/>
          <w:color w:val="0070C0"/>
        </w:rPr>
        <w:t>Ensayos menores sobre educación y enseñanza. Tomo I</w:t>
      </w:r>
      <w:r w:rsidRPr="009D5004">
        <w:rPr>
          <w:rFonts w:ascii="Arial" w:hAnsi="Arial" w:cs="Arial"/>
          <w:color w:val="0070C0"/>
        </w:rPr>
        <w:t xml:space="preserve">, en </w:t>
      </w:r>
      <w:r w:rsidRPr="009D5004">
        <w:rPr>
          <w:rFonts w:ascii="Arial" w:hAnsi="Arial" w:cs="Arial"/>
          <w:i/>
          <w:color w:val="0070C0"/>
        </w:rPr>
        <w:t>Obras completas de… XVI</w:t>
      </w:r>
      <w:r w:rsidRPr="009D5004">
        <w:rPr>
          <w:rFonts w:ascii="Arial" w:hAnsi="Arial" w:cs="Arial"/>
          <w:color w:val="0070C0"/>
        </w:rPr>
        <w:t>, Espasa-Calpe</w:t>
      </w:r>
      <w:r w:rsidRPr="00B562EC">
        <w:rPr>
          <w:rFonts w:ascii="Arial" w:hAnsi="Arial" w:cs="Arial"/>
          <w:color w:val="0070C0"/>
        </w:rPr>
        <w:t>, Madrid</w:t>
      </w:r>
      <w:r>
        <w:rPr>
          <w:rFonts w:ascii="Arial" w:hAnsi="Arial" w:cs="Arial"/>
          <w:color w:val="0070C0"/>
        </w:rPr>
        <w:t>,</w:t>
      </w:r>
      <w:r w:rsidRPr="00B562EC">
        <w:rPr>
          <w:rFonts w:ascii="Arial" w:hAnsi="Arial" w:cs="Arial"/>
          <w:color w:val="0070C0"/>
        </w:rPr>
        <w:t xml:space="preserve"> 1927.</w:t>
      </w:r>
    </w:p>
    <w:p w:rsidR="005F10A1" w:rsidRPr="00B562EC" w:rsidRDefault="005F10A1" w:rsidP="005F10A1">
      <w:pPr>
        <w:pStyle w:val="Textonotapie"/>
        <w:spacing w:after="120"/>
        <w:ind w:left="708"/>
        <w:jc w:val="both"/>
        <w:rPr>
          <w:rFonts w:ascii="Arial" w:hAnsi="Arial" w:cs="Arial"/>
          <w:color w:val="0070C0"/>
        </w:rPr>
      </w:pPr>
      <w:r>
        <w:rPr>
          <w:rFonts w:ascii="Arial" w:hAnsi="Arial" w:cs="Arial"/>
          <w:color w:val="0070C0"/>
        </w:rPr>
        <w:t>-</w:t>
      </w:r>
      <w:r w:rsidRPr="00B562EC">
        <w:rPr>
          <w:rFonts w:ascii="Arial" w:hAnsi="Arial" w:cs="Arial"/>
          <w:color w:val="0070C0"/>
        </w:rPr>
        <w:t xml:space="preserve"> </w:t>
      </w:r>
      <w:r w:rsidRPr="00B562EC">
        <w:rPr>
          <w:rFonts w:ascii="Arial" w:hAnsi="Arial" w:cs="Arial"/>
          <w:i/>
          <w:color w:val="0070C0"/>
        </w:rPr>
        <w:t>La persona social. Tomo II</w:t>
      </w:r>
      <w:r w:rsidRPr="00B562EC">
        <w:rPr>
          <w:rFonts w:ascii="Arial" w:hAnsi="Arial" w:cs="Arial"/>
          <w:color w:val="0070C0"/>
        </w:rPr>
        <w:t xml:space="preserve">, en </w:t>
      </w:r>
      <w:r w:rsidRPr="00B562EC">
        <w:rPr>
          <w:rFonts w:ascii="Arial" w:hAnsi="Arial" w:cs="Arial"/>
          <w:i/>
          <w:color w:val="0070C0"/>
        </w:rPr>
        <w:t>Obras completas de… IX</w:t>
      </w:r>
      <w:r w:rsidRPr="00B562EC">
        <w:rPr>
          <w:rFonts w:ascii="Arial" w:hAnsi="Arial" w:cs="Arial"/>
          <w:color w:val="0070C0"/>
        </w:rPr>
        <w:t>, Espasa-Calpe, Madrid, 1924</w:t>
      </w:r>
    </w:p>
    <w:p w:rsidR="005F10A1" w:rsidRPr="00B562EC" w:rsidRDefault="00304024" w:rsidP="00304024">
      <w:pPr>
        <w:pStyle w:val="Textonotapie"/>
        <w:spacing w:after="120"/>
        <w:ind w:left="708"/>
        <w:jc w:val="both"/>
        <w:rPr>
          <w:rFonts w:ascii="Arial" w:hAnsi="Arial" w:cs="Arial"/>
          <w:color w:val="0070C0"/>
        </w:rPr>
      </w:pPr>
      <w:r>
        <w:rPr>
          <w:rFonts w:ascii="Arial" w:hAnsi="Arial" w:cs="Arial"/>
          <w:color w:val="0070C0"/>
        </w:rPr>
        <w:t>- (…</w:t>
      </w:r>
      <w:r w:rsidR="005F10A1">
        <w:rPr>
          <w:rFonts w:ascii="Arial" w:hAnsi="Arial" w:cs="Arial"/>
          <w:color w:val="0070C0"/>
        </w:rPr>
        <w:t xml:space="preserve"> y</w:t>
      </w:r>
      <w:r w:rsidR="005F10A1" w:rsidRPr="00B562EC">
        <w:rPr>
          <w:rFonts w:ascii="Arial" w:hAnsi="Arial" w:cs="Arial"/>
          <w:color w:val="0070C0"/>
        </w:rPr>
        <w:t xml:space="preserve"> </w:t>
      </w:r>
      <w:r>
        <w:rPr>
          <w:rFonts w:ascii="Arial" w:hAnsi="Arial" w:cs="Arial"/>
          <w:color w:val="0070C0"/>
        </w:rPr>
        <w:t xml:space="preserve">Alfredo </w:t>
      </w:r>
      <w:r w:rsidR="005F10A1" w:rsidRPr="00B562EC">
        <w:rPr>
          <w:rFonts w:ascii="Arial" w:hAnsi="Arial" w:cs="Arial"/>
          <w:color w:val="0070C0"/>
        </w:rPr>
        <w:t>Calderón</w:t>
      </w:r>
      <w:r>
        <w:rPr>
          <w:rFonts w:ascii="Arial" w:hAnsi="Arial" w:cs="Arial"/>
          <w:color w:val="0070C0"/>
        </w:rPr>
        <w:t>)</w:t>
      </w:r>
      <w:r w:rsidR="005F10A1" w:rsidRPr="00B562EC">
        <w:rPr>
          <w:rFonts w:ascii="Arial" w:hAnsi="Arial" w:cs="Arial"/>
          <w:color w:val="0070C0"/>
        </w:rPr>
        <w:t xml:space="preserve"> </w:t>
      </w:r>
      <w:r w:rsidR="005F10A1" w:rsidRPr="00B562EC">
        <w:rPr>
          <w:rFonts w:ascii="Arial" w:hAnsi="Arial" w:cs="Arial"/>
          <w:i/>
          <w:color w:val="0070C0"/>
        </w:rPr>
        <w:t>Resumen de filosofía del Derecho. Tomo I</w:t>
      </w:r>
      <w:r w:rsidR="005F10A1" w:rsidRPr="00B562EC">
        <w:rPr>
          <w:rFonts w:ascii="Arial" w:hAnsi="Arial" w:cs="Arial"/>
          <w:color w:val="0070C0"/>
        </w:rPr>
        <w:t xml:space="preserve">, en </w:t>
      </w:r>
      <w:r w:rsidR="005F10A1" w:rsidRPr="00B562EC">
        <w:rPr>
          <w:rFonts w:ascii="Arial" w:hAnsi="Arial" w:cs="Arial"/>
          <w:i/>
          <w:color w:val="0070C0"/>
        </w:rPr>
        <w:t>Obras completas de… XIII</w:t>
      </w:r>
      <w:r w:rsidR="005F10A1" w:rsidRPr="00B562EC">
        <w:rPr>
          <w:rFonts w:ascii="Arial" w:hAnsi="Arial" w:cs="Arial"/>
          <w:color w:val="0070C0"/>
        </w:rPr>
        <w:t>, Espasa-Calpe, Madrid</w:t>
      </w:r>
      <w:r w:rsidR="005F10A1">
        <w:rPr>
          <w:rFonts w:ascii="Arial" w:hAnsi="Arial" w:cs="Arial"/>
          <w:color w:val="0070C0"/>
        </w:rPr>
        <w:t>,</w:t>
      </w:r>
      <w:r w:rsidR="005F10A1" w:rsidRPr="00B562EC">
        <w:rPr>
          <w:rFonts w:ascii="Arial" w:hAnsi="Arial" w:cs="Arial"/>
          <w:color w:val="0070C0"/>
        </w:rPr>
        <w:t xml:space="preserve"> 1926.</w:t>
      </w:r>
    </w:p>
    <w:p w:rsidR="005F10A1" w:rsidRPr="00B562EC" w:rsidRDefault="005F10A1" w:rsidP="005F10A1">
      <w:pPr>
        <w:pStyle w:val="Textonotapie"/>
        <w:spacing w:after="120"/>
        <w:ind w:left="708"/>
        <w:jc w:val="both"/>
        <w:rPr>
          <w:rFonts w:ascii="Arial" w:hAnsi="Arial" w:cs="Arial"/>
          <w:color w:val="0070C0"/>
        </w:rPr>
      </w:pPr>
      <w:r>
        <w:rPr>
          <w:rFonts w:ascii="Arial" w:hAnsi="Arial" w:cs="Arial"/>
          <w:color w:val="0070C0"/>
        </w:rPr>
        <w:t>-</w:t>
      </w:r>
      <w:r w:rsidRPr="00B562EC">
        <w:rPr>
          <w:rFonts w:ascii="Arial" w:hAnsi="Arial" w:cs="Arial"/>
          <w:color w:val="0070C0"/>
        </w:rPr>
        <w:t xml:space="preserve"> </w:t>
      </w:r>
      <w:r w:rsidR="00304024">
        <w:rPr>
          <w:rFonts w:ascii="Arial" w:hAnsi="Arial" w:cs="Arial"/>
          <w:color w:val="0070C0"/>
        </w:rPr>
        <w:t xml:space="preserve">(… y A. Calderón), </w:t>
      </w:r>
      <w:r w:rsidRPr="00B562EC">
        <w:rPr>
          <w:rFonts w:ascii="Arial" w:hAnsi="Arial" w:cs="Arial"/>
          <w:i/>
          <w:color w:val="0070C0"/>
        </w:rPr>
        <w:t>Resumen de filosofía del Derecho. Tomo II</w:t>
      </w:r>
      <w:r w:rsidRPr="00B562EC">
        <w:rPr>
          <w:rFonts w:ascii="Arial" w:hAnsi="Arial" w:cs="Arial"/>
          <w:color w:val="0070C0"/>
        </w:rPr>
        <w:t xml:space="preserve">, en </w:t>
      </w:r>
      <w:r w:rsidRPr="00B562EC">
        <w:rPr>
          <w:rFonts w:ascii="Arial" w:hAnsi="Arial" w:cs="Arial"/>
          <w:i/>
          <w:color w:val="0070C0"/>
        </w:rPr>
        <w:t>Obras completas de… XIV</w:t>
      </w:r>
      <w:r w:rsidRPr="00B562EC">
        <w:rPr>
          <w:rFonts w:ascii="Arial" w:hAnsi="Arial" w:cs="Arial"/>
          <w:color w:val="0070C0"/>
        </w:rPr>
        <w:t>, Espasa-Calpe, Madrid</w:t>
      </w:r>
      <w:r>
        <w:rPr>
          <w:rFonts w:ascii="Arial" w:hAnsi="Arial" w:cs="Arial"/>
          <w:color w:val="0070C0"/>
        </w:rPr>
        <w:t>,</w:t>
      </w:r>
      <w:r w:rsidRPr="00B562EC">
        <w:rPr>
          <w:rFonts w:ascii="Arial" w:hAnsi="Arial" w:cs="Arial"/>
          <w:color w:val="0070C0"/>
        </w:rPr>
        <w:t xml:space="preserve"> 1926.</w:t>
      </w:r>
    </w:p>
    <w:p w:rsidR="005F10A1" w:rsidRPr="00B562EC" w:rsidRDefault="005F10A1" w:rsidP="005F10A1">
      <w:pPr>
        <w:pStyle w:val="Textonotapie"/>
        <w:spacing w:after="120"/>
        <w:jc w:val="both"/>
        <w:rPr>
          <w:rFonts w:ascii="Arial" w:hAnsi="Arial" w:cs="Arial"/>
          <w:color w:val="0070C0"/>
        </w:rPr>
      </w:pPr>
      <w:r w:rsidRPr="00B562EC">
        <w:rPr>
          <w:rFonts w:ascii="Arial" w:hAnsi="Arial" w:cs="Arial"/>
          <w:color w:val="0070C0"/>
        </w:rPr>
        <w:t>Kant,</w:t>
      </w:r>
      <w:r>
        <w:rPr>
          <w:rFonts w:ascii="Arial" w:hAnsi="Arial" w:cs="Arial"/>
          <w:color w:val="0070C0"/>
        </w:rPr>
        <w:t xml:space="preserve"> Immanuel,</w:t>
      </w:r>
      <w:r w:rsidRPr="00B562EC">
        <w:rPr>
          <w:rFonts w:ascii="Arial" w:hAnsi="Arial" w:cs="Arial"/>
          <w:color w:val="0070C0"/>
        </w:rPr>
        <w:t xml:space="preserve"> </w:t>
      </w:r>
      <w:r w:rsidRPr="00B562EC">
        <w:rPr>
          <w:rFonts w:ascii="Arial" w:hAnsi="Arial" w:cs="Arial"/>
          <w:i/>
          <w:color w:val="0070C0"/>
        </w:rPr>
        <w:t>La Metafísica de las Costumbres</w:t>
      </w:r>
      <w:r w:rsidRPr="00B562EC">
        <w:rPr>
          <w:rFonts w:ascii="Arial" w:hAnsi="Arial" w:cs="Arial"/>
          <w:color w:val="0070C0"/>
        </w:rPr>
        <w:t>, Editorial Tecnos, Madrid, 2008</w:t>
      </w:r>
    </w:p>
    <w:p w:rsidR="005F10A1" w:rsidRPr="00AE2168" w:rsidRDefault="005F10A1" w:rsidP="005F10A1">
      <w:pPr>
        <w:spacing w:after="120" w:line="240" w:lineRule="auto"/>
        <w:jc w:val="both"/>
        <w:rPr>
          <w:rFonts w:ascii="Arial" w:hAnsi="Arial" w:cs="Arial"/>
          <w:color w:val="0070C0"/>
          <w:sz w:val="20"/>
          <w:szCs w:val="20"/>
        </w:rPr>
      </w:pPr>
      <w:r w:rsidRPr="00AE2168">
        <w:rPr>
          <w:rFonts w:ascii="Arial" w:hAnsi="Arial" w:cs="Arial"/>
          <w:color w:val="0070C0"/>
          <w:sz w:val="20"/>
          <w:szCs w:val="20"/>
        </w:rPr>
        <w:t xml:space="preserve">Kristeva, Julia, </w:t>
      </w:r>
      <w:r w:rsidRPr="00AE2168">
        <w:rPr>
          <w:rFonts w:ascii="Arial" w:hAnsi="Arial" w:cs="Arial"/>
          <w:i/>
          <w:color w:val="0070C0"/>
          <w:sz w:val="20"/>
          <w:szCs w:val="20"/>
        </w:rPr>
        <w:t>Historias de amor</w:t>
      </w:r>
      <w:r w:rsidRPr="00AE2168">
        <w:rPr>
          <w:rFonts w:ascii="Arial" w:hAnsi="Arial" w:cs="Arial"/>
          <w:color w:val="0070C0"/>
          <w:sz w:val="20"/>
          <w:szCs w:val="20"/>
        </w:rPr>
        <w:t xml:space="preserve">, siglo veintiuno editores, México D.F., </w:t>
      </w:r>
      <w:r w:rsidR="00AA43F9">
        <w:rPr>
          <w:rFonts w:ascii="Arial" w:hAnsi="Arial" w:cs="Arial"/>
          <w:color w:val="0070C0"/>
          <w:sz w:val="20"/>
          <w:szCs w:val="20"/>
        </w:rPr>
        <w:t>1988.</w:t>
      </w:r>
    </w:p>
    <w:p w:rsidR="005F10A1" w:rsidRPr="00AE2168" w:rsidRDefault="005F10A1" w:rsidP="005F10A1">
      <w:pPr>
        <w:pStyle w:val="Textonotapie"/>
        <w:spacing w:after="120"/>
        <w:jc w:val="both"/>
        <w:rPr>
          <w:rFonts w:ascii="Arial" w:hAnsi="Arial" w:cs="Arial"/>
          <w:color w:val="0070C0"/>
        </w:rPr>
      </w:pPr>
      <w:r w:rsidRPr="00AE2168">
        <w:rPr>
          <w:rFonts w:ascii="Arial" w:hAnsi="Arial" w:cs="Arial"/>
          <w:color w:val="0070C0"/>
        </w:rPr>
        <w:t xml:space="preserve">Legendre, Pierre, </w:t>
      </w:r>
      <w:r w:rsidRPr="00AE2168">
        <w:rPr>
          <w:rFonts w:ascii="Arial" w:hAnsi="Arial" w:cs="Arial"/>
          <w:i/>
          <w:color w:val="0070C0"/>
        </w:rPr>
        <w:t>Leçons IX. L’autre Bible de l’Occident : Le Monument romano-canonique. Étude sur l’architecture dogmatique des societés</w:t>
      </w:r>
      <w:r w:rsidRPr="00AE2168">
        <w:rPr>
          <w:rFonts w:ascii="Arial" w:hAnsi="Arial" w:cs="Arial"/>
          <w:color w:val="0070C0"/>
        </w:rPr>
        <w:t>, Fayard, Paris, 2009.</w:t>
      </w:r>
    </w:p>
    <w:p w:rsidR="005F10A1" w:rsidRPr="00AE2168" w:rsidRDefault="005F10A1" w:rsidP="005F10A1">
      <w:pPr>
        <w:pStyle w:val="Textonotapie"/>
        <w:spacing w:after="120"/>
        <w:jc w:val="both"/>
        <w:rPr>
          <w:rFonts w:ascii="Arial" w:hAnsi="Arial" w:cs="Arial"/>
          <w:color w:val="0070C0"/>
        </w:rPr>
      </w:pPr>
      <w:r w:rsidRPr="00AE2168">
        <w:rPr>
          <w:rFonts w:ascii="Arial" w:hAnsi="Arial" w:cs="Arial"/>
          <w:color w:val="0070C0"/>
        </w:rPr>
        <w:t xml:space="preserve">Levinas, Emmanuel, </w:t>
      </w:r>
      <w:r w:rsidRPr="00AE2168">
        <w:rPr>
          <w:rFonts w:ascii="Arial" w:hAnsi="Arial" w:cs="Arial"/>
          <w:i/>
          <w:color w:val="0070C0"/>
        </w:rPr>
        <w:t>De otro modo que ser, o más allá de la esencia</w:t>
      </w:r>
      <w:r w:rsidRPr="00AE2168">
        <w:rPr>
          <w:rFonts w:ascii="Arial" w:hAnsi="Arial" w:cs="Arial"/>
          <w:color w:val="0070C0"/>
        </w:rPr>
        <w:t>, Ediciones Sígueme, Salamanca, 1987.</w:t>
      </w:r>
    </w:p>
    <w:p w:rsidR="005F10A1" w:rsidRPr="00B562EC" w:rsidRDefault="005F10A1" w:rsidP="005F10A1">
      <w:pPr>
        <w:pStyle w:val="Textonotapie"/>
        <w:spacing w:after="120"/>
        <w:jc w:val="both"/>
        <w:rPr>
          <w:rFonts w:ascii="Arial" w:hAnsi="Arial" w:cs="Arial"/>
          <w:color w:val="0070C0"/>
        </w:rPr>
      </w:pPr>
      <w:r w:rsidRPr="00B562EC">
        <w:rPr>
          <w:rFonts w:ascii="Arial" w:hAnsi="Arial" w:cs="Arial"/>
          <w:color w:val="0070C0"/>
        </w:rPr>
        <w:t>Manzanero Fernández,</w:t>
      </w:r>
      <w:r>
        <w:rPr>
          <w:rFonts w:ascii="Arial" w:hAnsi="Arial" w:cs="Arial"/>
          <w:color w:val="0070C0"/>
        </w:rPr>
        <w:t xml:space="preserve"> Delia,</w:t>
      </w:r>
      <w:r w:rsidRPr="00B562EC">
        <w:rPr>
          <w:rFonts w:ascii="Arial" w:hAnsi="Arial" w:cs="Arial"/>
          <w:color w:val="0070C0"/>
        </w:rPr>
        <w:t xml:space="preserve"> </w:t>
      </w:r>
      <w:r w:rsidRPr="00B562EC">
        <w:rPr>
          <w:rFonts w:ascii="Arial" w:hAnsi="Arial" w:cs="Arial"/>
          <w:i/>
          <w:color w:val="0070C0"/>
        </w:rPr>
        <w:t>El legado jurídico y social de Giner</w:t>
      </w:r>
      <w:r w:rsidRPr="00B562EC">
        <w:rPr>
          <w:rFonts w:ascii="Arial" w:hAnsi="Arial" w:cs="Arial"/>
          <w:color w:val="0070C0"/>
        </w:rPr>
        <w:t>, Publicaciones de la Universidad Pontificia Comillas, Madrid</w:t>
      </w:r>
      <w:r>
        <w:rPr>
          <w:rFonts w:ascii="Arial" w:hAnsi="Arial" w:cs="Arial"/>
          <w:color w:val="0070C0"/>
        </w:rPr>
        <w:t>,</w:t>
      </w:r>
      <w:r w:rsidRPr="00B562EC">
        <w:rPr>
          <w:rFonts w:ascii="Arial" w:hAnsi="Arial" w:cs="Arial"/>
          <w:color w:val="0070C0"/>
        </w:rPr>
        <w:t xml:space="preserve"> 2016.</w:t>
      </w:r>
    </w:p>
    <w:p w:rsidR="005F10A1" w:rsidRDefault="005F10A1" w:rsidP="005F10A1">
      <w:pPr>
        <w:pStyle w:val="Textonotapie"/>
        <w:spacing w:after="120"/>
        <w:jc w:val="both"/>
        <w:rPr>
          <w:rFonts w:ascii="Arial" w:hAnsi="Arial" w:cs="Arial"/>
          <w:color w:val="0070C0"/>
        </w:rPr>
      </w:pPr>
      <w:r w:rsidRPr="00B562EC">
        <w:rPr>
          <w:rFonts w:ascii="Arial" w:hAnsi="Arial" w:cs="Arial"/>
          <w:color w:val="0070C0"/>
        </w:rPr>
        <w:t>Navarro Villoslada,</w:t>
      </w:r>
      <w:r>
        <w:rPr>
          <w:rFonts w:ascii="Arial" w:hAnsi="Arial" w:cs="Arial"/>
          <w:color w:val="0070C0"/>
        </w:rPr>
        <w:t xml:space="preserve"> </w:t>
      </w:r>
      <w:r w:rsidRPr="00B562EC">
        <w:rPr>
          <w:rFonts w:ascii="Arial" w:hAnsi="Arial" w:cs="Arial"/>
          <w:color w:val="0070C0"/>
        </w:rPr>
        <w:t>Francisco</w:t>
      </w:r>
      <w:r>
        <w:rPr>
          <w:rFonts w:ascii="Arial" w:hAnsi="Arial" w:cs="Arial"/>
          <w:color w:val="0070C0"/>
        </w:rPr>
        <w:t>,</w:t>
      </w:r>
      <w:r w:rsidRPr="00B562EC">
        <w:rPr>
          <w:rFonts w:ascii="Arial" w:hAnsi="Arial" w:cs="Arial"/>
          <w:color w:val="0070C0"/>
        </w:rPr>
        <w:t xml:space="preserve"> “El Catolicismo y la enseñanza universitaria”, en </w:t>
      </w:r>
      <w:r w:rsidRPr="00B562EC">
        <w:rPr>
          <w:rFonts w:ascii="Arial" w:hAnsi="Arial" w:cs="Arial"/>
          <w:i/>
          <w:color w:val="0070C0"/>
        </w:rPr>
        <w:t>El pensamiento español</w:t>
      </w:r>
      <w:r w:rsidRPr="00B562EC">
        <w:rPr>
          <w:rFonts w:ascii="Arial" w:hAnsi="Arial" w:cs="Arial"/>
          <w:color w:val="0070C0"/>
        </w:rPr>
        <w:t>, nº 577, 14 de noviembre de 1861, s. p</w:t>
      </w:r>
      <w:r>
        <w:rPr>
          <w:rFonts w:ascii="Arial" w:hAnsi="Arial" w:cs="Arial"/>
          <w:color w:val="0070C0"/>
        </w:rPr>
        <w:t>p</w:t>
      </w:r>
      <w:r w:rsidRPr="00B562EC">
        <w:rPr>
          <w:rFonts w:ascii="Arial" w:hAnsi="Arial" w:cs="Arial"/>
          <w:color w:val="0070C0"/>
        </w:rPr>
        <w:t>.</w:t>
      </w:r>
    </w:p>
    <w:p w:rsidR="005F10A1" w:rsidRPr="00B562EC" w:rsidRDefault="005F10A1" w:rsidP="005F10A1">
      <w:pPr>
        <w:pStyle w:val="Textonotapie"/>
        <w:spacing w:after="120"/>
        <w:jc w:val="both"/>
        <w:rPr>
          <w:rFonts w:ascii="Arial" w:hAnsi="Arial" w:cs="Arial"/>
          <w:color w:val="0070C0"/>
        </w:rPr>
      </w:pPr>
      <w:r w:rsidRPr="00B562EC">
        <w:rPr>
          <w:rFonts w:ascii="Arial" w:hAnsi="Arial" w:cs="Arial"/>
          <w:color w:val="0070C0"/>
        </w:rPr>
        <w:t>Nietzsche,</w:t>
      </w:r>
      <w:r>
        <w:rPr>
          <w:rFonts w:ascii="Arial" w:hAnsi="Arial" w:cs="Arial"/>
          <w:color w:val="0070C0"/>
        </w:rPr>
        <w:t xml:space="preserve"> Friedrich,</w:t>
      </w:r>
      <w:r w:rsidRPr="00B562EC">
        <w:rPr>
          <w:rFonts w:ascii="Arial" w:hAnsi="Arial" w:cs="Arial"/>
          <w:color w:val="0070C0"/>
        </w:rPr>
        <w:t xml:space="preserve"> </w:t>
      </w:r>
      <w:r w:rsidRPr="00B562EC">
        <w:rPr>
          <w:rFonts w:ascii="Arial" w:hAnsi="Arial" w:cs="Arial"/>
          <w:i/>
          <w:color w:val="0070C0"/>
        </w:rPr>
        <w:t>Humano, demasiado humano</w:t>
      </w:r>
      <w:r w:rsidRPr="00B562EC">
        <w:rPr>
          <w:rFonts w:ascii="Arial" w:hAnsi="Arial" w:cs="Arial"/>
          <w:color w:val="0070C0"/>
        </w:rPr>
        <w:t xml:space="preserve">, en </w:t>
      </w:r>
      <w:r w:rsidRPr="00B562EC">
        <w:rPr>
          <w:rFonts w:ascii="Arial" w:hAnsi="Arial" w:cs="Arial"/>
          <w:i/>
          <w:color w:val="0070C0"/>
        </w:rPr>
        <w:t>Obras completas. Volumen III</w:t>
      </w:r>
      <w:r w:rsidRPr="00B562EC">
        <w:rPr>
          <w:rFonts w:ascii="Arial" w:hAnsi="Arial" w:cs="Arial"/>
          <w:color w:val="0070C0"/>
        </w:rPr>
        <w:t>, Editorial Tecnos, Madrid</w:t>
      </w:r>
      <w:r>
        <w:rPr>
          <w:rFonts w:ascii="Arial" w:hAnsi="Arial" w:cs="Arial"/>
          <w:color w:val="0070C0"/>
        </w:rPr>
        <w:t>,</w:t>
      </w:r>
      <w:r w:rsidRPr="00B562EC">
        <w:rPr>
          <w:rFonts w:ascii="Arial" w:hAnsi="Arial" w:cs="Arial"/>
          <w:color w:val="0070C0"/>
        </w:rPr>
        <w:t xml:space="preserve"> 2014</w:t>
      </w:r>
      <w:r>
        <w:rPr>
          <w:rFonts w:ascii="Arial" w:hAnsi="Arial" w:cs="Arial"/>
          <w:color w:val="0070C0"/>
        </w:rPr>
        <w:t>.</w:t>
      </w:r>
    </w:p>
    <w:p w:rsidR="005F10A1" w:rsidRDefault="005F10A1" w:rsidP="005F10A1">
      <w:pPr>
        <w:pStyle w:val="Textonotapie"/>
        <w:spacing w:after="120"/>
        <w:jc w:val="both"/>
        <w:rPr>
          <w:rFonts w:ascii="Arial" w:hAnsi="Arial" w:cs="Arial"/>
          <w:color w:val="0070C0"/>
        </w:rPr>
      </w:pPr>
      <w:r w:rsidRPr="00B562EC">
        <w:rPr>
          <w:rFonts w:ascii="Arial" w:hAnsi="Arial" w:cs="Arial"/>
          <w:color w:val="0070C0"/>
        </w:rPr>
        <w:lastRenderedPageBreak/>
        <w:t>Ortí y Lara,</w:t>
      </w:r>
      <w:r>
        <w:rPr>
          <w:rFonts w:ascii="Arial" w:hAnsi="Arial" w:cs="Arial"/>
          <w:color w:val="0070C0"/>
        </w:rPr>
        <w:t xml:space="preserve"> </w:t>
      </w:r>
      <w:r w:rsidRPr="00B562EC">
        <w:rPr>
          <w:rFonts w:ascii="Arial" w:hAnsi="Arial" w:cs="Arial"/>
          <w:color w:val="0070C0"/>
        </w:rPr>
        <w:t>Juan Manuel</w:t>
      </w:r>
      <w:r>
        <w:rPr>
          <w:rFonts w:ascii="Arial" w:hAnsi="Arial" w:cs="Arial"/>
          <w:color w:val="0070C0"/>
        </w:rPr>
        <w:t>,</w:t>
      </w:r>
      <w:r w:rsidRPr="00B562EC">
        <w:rPr>
          <w:rFonts w:ascii="Arial" w:hAnsi="Arial" w:cs="Arial"/>
          <w:color w:val="0070C0"/>
        </w:rPr>
        <w:t xml:space="preserve"> </w:t>
      </w:r>
      <w:r w:rsidRPr="00B562EC">
        <w:rPr>
          <w:rFonts w:ascii="Arial" w:hAnsi="Arial" w:cs="Arial"/>
          <w:i/>
          <w:color w:val="0070C0"/>
        </w:rPr>
        <w:t>El catecismo de los textos vivos</w:t>
      </w:r>
      <w:r w:rsidRPr="00B562EC">
        <w:rPr>
          <w:rFonts w:ascii="Arial" w:hAnsi="Arial" w:cs="Arial"/>
          <w:color w:val="0070C0"/>
        </w:rPr>
        <w:t>, Biblioteca de la Ciencia Cristiana, Madrid,  1884</w:t>
      </w:r>
      <w:r>
        <w:rPr>
          <w:rFonts w:ascii="Arial" w:hAnsi="Arial" w:cs="Arial"/>
          <w:color w:val="0070C0"/>
        </w:rPr>
        <w:t>.</w:t>
      </w:r>
    </w:p>
    <w:p w:rsidR="005F10A1" w:rsidRPr="00AE2168" w:rsidRDefault="005F10A1" w:rsidP="005F10A1">
      <w:pPr>
        <w:pStyle w:val="Textonotapie"/>
        <w:spacing w:after="120"/>
        <w:jc w:val="both"/>
        <w:rPr>
          <w:rFonts w:ascii="Arial" w:hAnsi="Arial" w:cs="Arial"/>
          <w:color w:val="0070C0"/>
        </w:rPr>
      </w:pPr>
      <w:r w:rsidRPr="00AE2168">
        <w:rPr>
          <w:rFonts w:ascii="Arial" w:hAnsi="Arial" w:cs="Arial"/>
          <w:color w:val="0070C0"/>
        </w:rPr>
        <w:t xml:space="preserve">Schmitt, Carl, </w:t>
      </w:r>
      <w:r w:rsidRPr="00AE2168">
        <w:rPr>
          <w:rFonts w:ascii="Arial" w:hAnsi="Arial" w:cs="Arial"/>
          <w:i/>
          <w:color w:val="0070C0"/>
        </w:rPr>
        <w:t>El concepto de lo político. Texto de 1932 con un prólogo y tres corolarios</w:t>
      </w:r>
      <w:r w:rsidRPr="00AE2168">
        <w:rPr>
          <w:rFonts w:ascii="Arial" w:hAnsi="Arial" w:cs="Arial"/>
          <w:color w:val="0070C0"/>
        </w:rPr>
        <w:t>, Alianza Editorial, Madrid, 2014.</w:t>
      </w:r>
    </w:p>
    <w:p w:rsidR="005F10A1" w:rsidRDefault="005F10A1" w:rsidP="005F10A1">
      <w:pPr>
        <w:pStyle w:val="Textonotapie"/>
        <w:spacing w:after="120"/>
        <w:jc w:val="both"/>
        <w:rPr>
          <w:rFonts w:ascii="Arial" w:hAnsi="Arial" w:cs="Arial"/>
          <w:color w:val="0070C0"/>
        </w:rPr>
      </w:pPr>
      <w:r w:rsidRPr="00AE2168">
        <w:rPr>
          <w:rFonts w:ascii="Arial" w:hAnsi="Arial" w:cs="Arial"/>
          <w:color w:val="0070C0"/>
        </w:rPr>
        <w:t xml:space="preserve">Smith, Adam, </w:t>
      </w:r>
      <w:r w:rsidRPr="00AE2168">
        <w:rPr>
          <w:rFonts w:ascii="Arial" w:hAnsi="Arial" w:cs="Arial"/>
          <w:i/>
          <w:color w:val="0070C0"/>
        </w:rPr>
        <w:t>La teoría de los sentimientos morales</w:t>
      </w:r>
      <w:r w:rsidRPr="00AE2168">
        <w:rPr>
          <w:rFonts w:ascii="Arial" w:hAnsi="Arial" w:cs="Arial"/>
          <w:color w:val="0070C0"/>
        </w:rPr>
        <w:t>, Alianza editorial, Madrid, 2013.</w:t>
      </w:r>
    </w:p>
    <w:p w:rsidR="00D77B28" w:rsidRPr="00B92A5B" w:rsidRDefault="00D77B28" w:rsidP="00D77B28">
      <w:pPr>
        <w:pStyle w:val="Textonotapie"/>
        <w:spacing w:after="120"/>
        <w:ind w:left="708"/>
        <w:jc w:val="both"/>
        <w:rPr>
          <w:rFonts w:ascii="Arial" w:hAnsi="Arial" w:cs="Arial"/>
          <w:color w:val="0070C0"/>
          <w:lang w:val="en-US"/>
        </w:rPr>
      </w:pPr>
      <w:r w:rsidRPr="00B92A5B">
        <w:rPr>
          <w:rFonts w:ascii="Arial" w:hAnsi="Arial" w:cs="Arial"/>
          <w:color w:val="0070C0"/>
          <w:lang w:val="en-US"/>
        </w:rPr>
        <w:t xml:space="preserve">- </w:t>
      </w:r>
      <w:r w:rsidRPr="00B92A5B">
        <w:rPr>
          <w:rFonts w:ascii="Arial" w:hAnsi="Arial" w:cs="Arial"/>
          <w:i/>
          <w:color w:val="0070C0"/>
          <w:lang w:val="en-US"/>
        </w:rPr>
        <w:t>Lectures on Jurisprudence. Report of 1762-3</w:t>
      </w:r>
      <w:r w:rsidRPr="00B92A5B">
        <w:rPr>
          <w:rFonts w:ascii="Arial" w:hAnsi="Arial" w:cs="Arial"/>
          <w:color w:val="0070C0"/>
          <w:lang w:val="en-US"/>
        </w:rPr>
        <w:t xml:space="preserve">, en </w:t>
      </w:r>
      <w:r w:rsidRPr="00B92A5B">
        <w:rPr>
          <w:rFonts w:ascii="Arial" w:hAnsi="Arial" w:cs="Arial"/>
          <w:i/>
          <w:color w:val="0070C0"/>
          <w:lang w:val="en-US"/>
        </w:rPr>
        <w:t>Lectures on Jurisprudence</w:t>
      </w:r>
      <w:r w:rsidRPr="00B92A5B">
        <w:rPr>
          <w:rFonts w:ascii="Arial" w:hAnsi="Arial" w:cs="Arial"/>
          <w:color w:val="0070C0"/>
          <w:lang w:val="en-US"/>
        </w:rPr>
        <w:t>, Clarendon Press, Oxford, 1978.</w:t>
      </w:r>
    </w:p>
    <w:p w:rsidR="00AE2168" w:rsidRDefault="005F10A1" w:rsidP="00AE2168">
      <w:pPr>
        <w:spacing w:after="120" w:line="240" w:lineRule="auto"/>
        <w:jc w:val="both"/>
        <w:rPr>
          <w:rFonts w:ascii="Arial" w:hAnsi="Arial" w:cs="Arial"/>
          <w:color w:val="0070C0"/>
          <w:sz w:val="20"/>
          <w:szCs w:val="20"/>
        </w:rPr>
      </w:pPr>
      <w:r w:rsidRPr="00AE2168">
        <w:rPr>
          <w:rFonts w:ascii="Arial" w:hAnsi="Arial" w:cs="Arial"/>
          <w:color w:val="0070C0"/>
          <w:sz w:val="20"/>
          <w:szCs w:val="20"/>
        </w:rPr>
        <w:t>Vázquez-Romero</w:t>
      </w:r>
      <w:r w:rsidRPr="00FE53B3">
        <w:rPr>
          <w:rFonts w:ascii="Arial" w:hAnsi="Arial" w:cs="Arial"/>
          <w:color w:val="0070C0"/>
          <w:sz w:val="20"/>
          <w:szCs w:val="20"/>
        </w:rPr>
        <w:t xml:space="preserve">, José Manuel, </w:t>
      </w:r>
      <w:r w:rsidR="00FE53B3" w:rsidRPr="00FE53B3">
        <w:rPr>
          <w:rFonts w:ascii="Arial" w:hAnsi="Arial" w:cs="Arial"/>
          <w:color w:val="0070C0"/>
          <w:sz w:val="20"/>
          <w:szCs w:val="20"/>
        </w:rPr>
        <w:t xml:space="preserve">“El doble de ley”: </w:t>
      </w:r>
      <w:r w:rsidR="00FE53B3" w:rsidRPr="00FE53B3">
        <w:rPr>
          <w:rFonts w:ascii="Arial" w:hAnsi="Arial" w:cs="Arial"/>
          <w:i/>
          <w:color w:val="0070C0"/>
          <w:sz w:val="20"/>
          <w:szCs w:val="20"/>
        </w:rPr>
        <w:t>Bajo Palabra. Revista de filosofía</w:t>
      </w:r>
      <w:r w:rsidR="00FE53B3" w:rsidRPr="00FE53B3">
        <w:rPr>
          <w:rFonts w:ascii="Arial" w:hAnsi="Arial" w:cs="Arial"/>
          <w:color w:val="0070C0"/>
          <w:sz w:val="20"/>
          <w:szCs w:val="20"/>
        </w:rPr>
        <w:t>, época 2ª, N.º 10, 2015, pp. 45-60.</w:t>
      </w:r>
    </w:p>
    <w:p w:rsidR="005F10A1" w:rsidRPr="00AE2168" w:rsidRDefault="00FE53B3" w:rsidP="00AE2168">
      <w:pPr>
        <w:spacing w:after="120" w:line="240" w:lineRule="auto"/>
        <w:ind w:left="708"/>
        <w:jc w:val="both"/>
        <w:rPr>
          <w:rFonts w:ascii="Arial" w:hAnsi="Arial" w:cs="Arial"/>
          <w:color w:val="0070C0"/>
          <w:sz w:val="20"/>
          <w:szCs w:val="20"/>
        </w:rPr>
      </w:pPr>
      <w:r w:rsidRPr="00AE2168">
        <w:rPr>
          <w:rFonts w:ascii="Arial" w:hAnsi="Arial" w:cs="Arial"/>
          <w:color w:val="0070C0"/>
          <w:sz w:val="20"/>
          <w:szCs w:val="20"/>
        </w:rPr>
        <w:t xml:space="preserve">- </w:t>
      </w:r>
      <w:r w:rsidR="005F10A1" w:rsidRPr="00AE2168">
        <w:rPr>
          <w:rFonts w:ascii="Arial" w:hAnsi="Arial" w:cs="Arial"/>
          <w:color w:val="0070C0"/>
          <w:sz w:val="20"/>
          <w:szCs w:val="20"/>
        </w:rPr>
        <w:t>“</w:t>
      </w:r>
      <w:r w:rsidR="005F10A1" w:rsidRPr="00AE2168">
        <w:rPr>
          <w:rFonts w:ascii="Arial" w:hAnsi="Arial" w:cs="Arial"/>
          <w:i/>
          <w:color w:val="0070C0"/>
          <w:sz w:val="20"/>
          <w:szCs w:val="20"/>
        </w:rPr>
        <w:t>Aequitas</w:t>
      </w:r>
      <w:r w:rsidR="005F10A1" w:rsidRPr="00AE2168">
        <w:rPr>
          <w:rFonts w:ascii="Arial" w:hAnsi="Arial" w:cs="Arial"/>
          <w:color w:val="0070C0"/>
          <w:sz w:val="20"/>
          <w:szCs w:val="20"/>
        </w:rPr>
        <w:t xml:space="preserve">, la divinidad muda: en torno a la referencia equívoca de la virtud en la filosofía práctica kantiana, en: </w:t>
      </w:r>
      <w:r w:rsidR="005F10A1" w:rsidRPr="00AE2168">
        <w:rPr>
          <w:rFonts w:ascii="Arial" w:hAnsi="Arial" w:cs="Arial"/>
          <w:i/>
          <w:color w:val="0070C0"/>
          <w:sz w:val="20"/>
          <w:szCs w:val="20"/>
        </w:rPr>
        <w:t>Bajo Palabra. Revista de filosofía</w:t>
      </w:r>
      <w:r w:rsidR="005F10A1" w:rsidRPr="00AE2168">
        <w:rPr>
          <w:rFonts w:ascii="Arial" w:hAnsi="Arial" w:cs="Arial"/>
          <w:color w:val="0070C0"/>
          <w:sz w:val="20"/>
          <w:szCs w:val="20"/>
        </w:rPr>
        <w:t xml:space="preserve">, </w:t>
      </w:r>
      <w:r w:rsidRPr="00AE2168">
        <w:rPr>
          <w:rFonts w:ascii="Arial" w:hAnsi="Arial" w:cs="Arial"/>
          <w:color w:val="0070C0"/>
          <w:sz w:val="20"/>
          <w:szCs w:val="20"/>
        </w:rPr>
        <w:t>é</w:t>
      </w:r>
      <w:r w:rsidR="005F10A1" w:rsidRPr="00AE2168">
        <w:rPr>
          <w:rFonts w:ascii="Arial" w:hAnsi="Arial" w:cs="Arial"/>
          <w:color w:val="0070C0"/>
          <w:sz w:val="20"/>
          <w:szCs w:val="20"/>
        </w:rPr>
        <w:t>poca 2ª, N.º 8, 2013</w:t>
      </w:r>
      <w:r w:rsidR="00AE2168">
        <w:rPr>
          <w:rFonts w:ascii="Arial" w:hAnsi="Arial" w:cs="Arial"/>
          <w:color w:val="0070C0"/>
          <w:sz w:val="20"/>
          <w:szCs w:val="20"/>
        </w:rPr>
        <w:t>.</w:t>
      </w:r>
    </w:p>
    <w:p w:rsidR="005F10A1" w:rsidRPr="00B562EC" w:rsidRDefault="005F10A1" w:rsidP="005F10A1">
      <w:pPr>
        <w:pStyle w:val="Textonotapie"/>
        <w:spacing w:after="120"/>
        <w:ind w:left="708"/>
        <w:jc w:val="both"/>
        <w:rPr>
          <w:rFonts w:ascii="Arial" w:hAnsi="Arial" w:cs="Arial"/>
          <w:color w:val="0070C0"/>
        </w:rPr>
      </w:pPr>
      <w:r>
        <w:rPr>
          <w:rFonts w:ascii="Arial" w:hAnsi="Arial" w:cs="Arial"/>
          <w:color w:val="0070C0"/>
        </w:rPr>
        <w:t>-</w:t>
      </w:r>
      <w:r w:rsidRPr="00B562EC">
        <w:rPr>
          <w:rFonts w:ascii="Arial" w:hAnsi="Arial" w:cs="Arial"/>
          <w:color w:val="0070C0"/>
        </w:rPr>
        <w:t xml:space="preserve"> “El tiempo de la deuda: fuero interno y derecho consuetudinario en la filosofía jurídica de Joaquín Costa”: </w:t>
      </w:r>
      <w:r w:rsidRPr="00B562EC">
        <w:rPr>
          <w:rFonts w:ascii="Arial" w:hAnsi="Arial" w:cs="Arial"/>
          <w:i/>
          <w:color w:val="0070C0"/>
        </w:rPr>
        <w:t>Pensamiento. Revista de investigación e información filosófica</w:t>
      </w:r>
      <w:r w:rsidRPr="00B562EC">
        <w:rPr>
          <w:rFonts w:ascii="Arial" w:hAnsi="Arial" w:cs="Arial"/>
          <w:color w:val="0070C0"/>
        </w:rPr>
        <w:t>, vol. 66, núm. 248, mayo-agosto</w:t>
      </w:r>
      <w:r w:rsidR="00FE53B3">
        <w:rPr>
          <w:rFonts w:ascii="Arial" w:hAnsi="Arial" w:cs="Arial"/>
          <w:color w:val="0070C0"/>
        </w:rPr>
        <w:t xml:space="preserve"> 2010</w:t>
      </w:r>
      <w:r w:rsidRPr="00B562EC">
        <w:rPr>
          <w:rFonts w:ascii="Arial" w:hAnsi="Arial" w:cs="Arial"/>
          <w:color w:val="0070C0"/>
        </w:rPr>
        <w:t>, pp. 293-330.</w:t>
      </w:r>
    </w:p>
    <w:p w:rsidR="005F10A1" w:rsidRDefault="005F10A1" w:rsidP="005F10A1">
      <w:pPr>
        <w:pStyle w:val="Textonotapie"/>
        <w:spacing w:after="120"/>
        <w:ind w:left="708"/>
        <w:jc w:val="both"/>
        <w:rPr>
          <w:rFonts w:ascii="Arial" w:hAnsi="Arial" w:cs="Arial"/>
          <w:color w:val="0070C0"/>
        </w:rPr>
      </w:pPr>
      <w:r>
        <w:rPr>
          <w:rFonts w:ascii="Arial" w:hAnsi="Arial" w:cs="Arial"/>
          <w:color w:val="0070C0"/>
        </w:rPr>
        <w:t xml:space="preserve">- </w:t>
      </w:r>
      <w:r w:rsidRPr="00B562EC">
        <w:rPr>
          <w:rFonts w:ascii="Arial" w:hAnsi="Arial" w:cs="Arial"/>
          <w:color w:val="0070C0"/>
        </w:rPr>
        <w:t xml:space="preserve">“La micrópolis del yo. Representación, soberanía e individuo en los escritos de Francisco Giner de los Ríos”: </w:t>
      </w:r>
      <w:r w:rsidRPr="00B562EC">
        <w:rPr>
          <w:rFonts w:ascii="Arial" w:hAnsi="Arial" w:cs="Arial"/>
          <w:i/>
          <w:color w:val="0070C0"/>
        </w:rPr>
        <w:t>Pensamiento. Revista de Investigación e Información Filosófica</w:t>
      </w:r>
      <w:r w:rsidRPr="00B562EC">
        <w:rPr>
          <w:rFonts w:ascii="Arial" w:hAnsi="Arial" w:cs="Arial"/>
          <w:color w:val="0070C0"/>
        </w:rPr>
        <w:t>, 63.236, mayo-agosto 2007, pp. 199-234</w:t>
      </w:r>
      <w:r>
        <w:rPr>
          <w:rFonts w:ascii="Arial" w:hAnsi="Arial" w:cs="Arial"/>
          <w:color w:val="0070C0"/>
        </w:rPr>
        <w:t>.</w:t>
      </w:r>
    </w:p>
    <w:p w:rsidR="00FE53B3" w:rsidRDefault="00FE53B3" w:rsidP="00FE53B3">
      <w:pPr>
        <w:pStyle w:val="Textonotapie"/>
        <w:spacing w:after="120"/>
        <w:ind w:left="708"/>
        <w:jc w:val="both"/>
        <w:rPr>
          <w:rFonts w:ascii="Arial" w:hAnsi="Arial" w:cs="Arial"/>
          <w:color w:val="0070C0"/>
        </w:rPr>
      </w:pPr>
      <w:r>
        <w:rPr>
          <w:rFonts w:ascii="Arial" w:hAnsi="Arial" w:cs="Arial"/>
          <w:color w:val="0070C0"/>
        </w:rPr>
        <w:t>-</w:t>
      </w:r>
      <w:r w:rsidRPr="00B562EC">
        <w:rPr>
          <w:rFonts w:ascii="Arial" w:hAnsi="Arial" w:cs="Arial"/>
          <w:color w:val="0070C0"/>
        </w:rPr>
        <w:t xml:space="preserve"> “La educación de nosotros mismos: el problema de la subjetividad y los fundamentos de la pedagogía gineriana”, en J. C. Torre, E. Gil Coria (Eds.), </w:t>
      </w:r>
      <w:r w:rsidRPr="00B562EC">
        <w:rPr>
          <w:rFonts w:ascii="Arial" w:hAnsi="Arial" w:cs="Arial"/>
          <w:i/>
          <w:color w:val="0070C0"/>
        </w:rPr>
        <w:t>Hacia una enseñanza universitaria centrada en el aprendizaje</w:t>
      </w:r>
      <w:r w:rsidRPr="00B562EC">
        <w:rPr>
          <w:rFonts w:ascii="Arial" w:hAnsi="Arial" w:cs="Arial"/>
          <w:color w:val="0070C0"/>
        </w:rPr>
        <w:t>, Publicaciones de la Universidad Pontificia Comillas, Madrid, 2004</w:t>
      </w:r>
    </w:p>
    <w:p w:rsidR="005F10A1" w:rsidRPr="00B562EC" w:rsidRDefault="005F10A1" w:rsidP="005F10A1">
      <w:pPr>
        <w:pStyle w:val="Textonotapie"/>
        <w:spacing w:after="120"/>
        <w:ind w:left="708"/>
        <w:jc w:val="both"/>
        <w:rPr>
          <w:rFonts w:ascii="Arial" w:hAnsi="Arial" w:cs="Arial"/>
          <w:color w:val="0070C0"/>
        </w:rPr>
      </w:pPr>
      <w:r>
        <w:rPr>
          <w:rFonts w:ascii="Arial" w:hAnsi="Arial" w:cs="Arial"/>
          <w:color w:val="0070C0"/>
        </w:rPr>
        <w:t>-</w:t>
      </w:r>
      <w:r w:rsidRPr="00B562EC">
        <w:rPr>
          <w:rFonts w:ascii="Arial" w:hAnsi="Arial" w:cs="Arial"/>
          <w:color w:val="0070C0"/>
        </w:rPr>
        <w:t xml:space="preserve"> </w:t>
      </w:r>
      <w:r w:rsidRPr="00B562EC">
        <w:rPr>
          <w:rFonts w:ascii="Arial" w:hAnsi="Arial" w:cs="Arial"/>
          <w:i/>
          <w:color w:val="0070C0"/>
        </w:rPr>
        <w:t>Tradicionales y moderados ante la difusión de la filosofía krausista en España</w:t>
      </w:r>
      <w:r w:rsidRPr="00B562EC">
        <w:rPr>
          <w:rFonts w:ascii="Arial" w:hAnsi="Arial" w:cs="Arial"/>
          <w:color w:val="0070C0"/>
        </w:rPr>
        <w:t>, Publicaciones de la Universidad Pontificia Comillas, Madrid, 1998.</w:t>
      </w:r>
    </w:p>
    <w:p w:rsidR="00ED7CD4" w:rsidRPr="005F10A1" w:rsidRDefault="005F10A1" w:rsidP="005F10A1">
      <w:pPr>
        <w:pStyle w:val="Textonotapie"/>
        <w:spacing w:after="120"/>
        <w:jc w:val="both"/>
        <w:rPr>
          <w:rFonts w:ascii="Arial" w:hAnsi="Arial" w:cs="Arial"/>
          <w:color w:val="0070C0"/>
        </w:rPr>
      </w:pPr>
      <w:r w:rsidRPr="00B562EC">
        <w:rPr>
          <w:rFonts w:ascii="Arial" w:hAnsi="Arial" w:cs="Arial"/>
          <w:color w:val="0070C0"/>
        </w:rPr>
        <w:t>Žižek,</w:t>
      </w:r>
      <w:r>
        <w:rPr>
          <w:rFonts w:ascii="Arial" w:hAnsi="Arial" w:cs="Arial"/>
          <w:color w:val="0070C0"/>
        </w:rPr>
        <w:t xml:space="preserve"> Slavoj,</w:t>
      </w:r>
      <w:r w:rsidRPr="00B562EC">
        <w:rPr>
          <w:rFonts w:ascii="Arial" w:hAnsi="Arial" w:cs="Arial"/>
          <w:color w:val="0070C0"/>
        </w:rPr>
        <w:t xml:space="preserve"> </w:t>
      </w:r>
      <w:r w:rsidRPr="00B562EC">
        <w:rPr>
          <w:rFonts w:ascii="Arial" w:hAnsi="Arial" w:cs="Arial"/>
          <w:i/>
          <w:color w:val="0070C0"/>
        </w:rPr>
        <w:t>Menos que nada. Hegel y la sombra del materialismo dialéctico</w:t>
      </w:r>
      <w:r w:rsidRPr="00B562EC">
        <w:rPr>
          <w:rFonts w:ascii="Arial" w:hAnsi="Arial" w:cs="Arial"/>
          <w:color w:val="0070C0"/>
        </w:rPr>
        <w:t>, Ediciones Akal, Madrid</w:t>
      </w:r>
      <w:r>
        <w:rPr>
          <w:rFonts w:ascii="Arial" w:hAnsi="Arial" w:cs="Arial"/>
          <w:color w:val="0070C0"/>
        </w:rPr>
        <w:t>,</w:t>
      </w:r>
      <w:r w:rsidRPr="00B562EC">
        <w:rPr>
          <w:rFonts w:ascii="Arial" w:hAnsi="Arial" w:cs="Arial"/>
          <w:color w:val="0070C0"/>
        </w:rPr>
        <w:t xml:space="preserve"> 2015</w:t>
      </w:r>
      <w:r>
        <w:rPr>
          <w:rFonts w:ascii="Arial" w:hAnsi="Arial" w:cs="Arial"/>
          <w:color w:val="0070C0"/>
        </w:rPr>
        <w:t>.</w:t>
      </w:r>
    </w:p>
    <w:sectPr w:rsidR="00ED7CD4" w:rsidRPr="005F10A1">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634B" w:rsidRDefault="00F7634B" w:rsidP="00ED7CD4">
      <w:pPr>
        <w:spacing w:after="0" w:line="240" w:lineRule="auto"/>
      </w:pPr>
      <w:r>
        <w:separator/>
      </w:r>
    </w:p>
  </w:endnote>
  <w:endnote w:type="continuationSeparator" w:id="0">
    <w:p w:rsidR="00F7634B" w:rsidRDefault="00F7634B" w:rsidP="00ED7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634B" w:rsidRDefault="00F7634B" w:rsidP="00ED7CD4">
      <w:pPr>
        <w:spacing w:after="0" w:line="240" w:lineRule="auto"/>
      </w:pPr>
      <w:r>
        <w:separator/>
      </w:r>
    </w:p>
  </w:footnote>
  <w:footnote w:type="continuationSeparator" w:id="0">
    <w:p w:rsidR="00F7634B" w:rsidRDefault="00F7634B" w:rsidP="00ED7CD4">
      <w:pPr>
        <w:spacing w:after="0" w:line="240" w:lineRule="auto"/>
      </w:pPr>
      <w:r>
        <w:continuationSeparator/>
      </w:r>
    </w:p>
  </w:footnote>
  <w:footnote w:id="1">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J</w:t>
      </w:r>
      <w:r w:rsidR="007122B0" w:rsidRPr="00B92A5B">
        <w:rPr>
          <w:rFonts w:ascii="Arial" w:hAnsi="Arial" w:cs="Arial"/>
          <w:color w:val="0070C0"/>
        </w:rPr>
        <w:t xml:space="preserve">uan </w:t>
      </w:r>
      <w:r w:rsidRPr="00B92A5B">
        <w:rPr>
          <w:rFonts w:ascii="Arial" w:hAnsi="Arial" w:cs="Arial"/>
          <w:color w:val="0070C0"/>
        </w:rPr>
        <w:t>M</w:t>
      </w:r>
      <w:r w:rsidR="007122B0" w:rsidRPr="00B92A5B">
        <w:rPr>
          <w:rFonts w:ascii="Arial" w:hAnsi="Arial" w:cs="Arial"/>
          <w:color w:val="0070C0"/>
        </w:rPr>
        <w:t>anuel</w:t>
      </w:r>
      <w:r w:rsidRPr="00B92A5B">
        <w:rPr>
          <w:rFonts w:ascii="Arial" w:hAnsi="Arial" w:cs="Arial"/>
          <w:color w:val="0070C0"/>
        </w:rPr>
        <w:t xml:space="preserve"> Ortí y Lara, </w:t>
      </w:r>
      <w:r w:rsidRPr="00B92A5B">
        <w:rPr>
          <w:rFonts w:ascii="Arial" w:hAnsi="Arial" w:cs="Arial"/>
          <w:i/>
          <w:color w:val="0070C0"/>
        </w:rPr>
        <w:t>El catecismo de los textos vivos</w:t>
      </w:r>
      <w:r w:rsidRPr="00B92A5B">
        <w:rPr>
          <w:rFonts w:ascii="Arial" w:hAnsi="Arial" w:cs="Arial"/>
          <w:color w:val="0070C0"/>
        </w:rPr>
        <w:t>, Biblioteca de la Ciencia Cristiana, Madrid</w:t>
      </w:r>
      <w:r w:rsidR="007122B0" w:rsidRPr="00B92A5B">
        <w:rPr>
          <w:rFonts w:ascii="Arial" w:hAnsi="Arial" w:cs="Arial"/>
          <w:color w:val="0070C0"/>
        </w:rPr>
        <w:t xml:space="preserve">, </w:t>
      </w:r>
      <w:r w:rsidRPr="00B92A5B">
        <w:rPr>
          <w:rFonts w:ascii="Arial" w:hAnsi="Arial" w:cs="Arial"/>
          <w:color w:val="0070C0"/>
        </w:rPr>
        <w:t xml:space="preserve">1884, p. </w:t>
      </w:r>
      <w:r w:rsidRPr="00B92A5B">
        <w:rPr>
          <w:rFonts w:ascii="Arial" w:hAnsi="Arial" w:cs="Arial"/>
          <w:smallCaps/>
          <w:color w:val="0070C0"/>
        </w:rPr>
        <w:t>x</w:t>
      </w:r>
      <w:r w:rsidRPr="00B92A5B">
        <w:rPr>
          <w:rFonts w:ascii="Arial" w:hAnsi="Arial" w:cs="Arial"/>
          <w:color w:val="0070C0"/>
        </w:rPr>
        <w:t>. Sobre la campaña, cfr. J</w:t>
      </w:r>
      <w:r w:rsidR="007122B0" w:rsidRPr="00B92A5B">
        <w:rPr>
          <w:rFonts w:ascii="Arial" w:hAnsi="Arial" w:cs="Arial"/>
          <w:color w:val="0070C0"/>
        </w:rPr>
        <w:t>osé Manuel</w:t>
      </w:r>
      <w:r w:rsidRPr="00B92A5B">
        <w:rPr>
          <w:rFonts w:ascii="Arial" w:hAnsi="Arial" w:cs="Arial"/>
          <w:color w:val="0070C0"/>
        </w:rPr>
        <w:t xml:space="preserve"> Vázquez-Romero, </w:t>
      </w:r>
      <w:r w:rsidRPr="00B92A5B">
        <w:rPr>
          <w:rFonts w:ascii="Arial" w:hAnsi="Arial" w:cs="Arial"/>
          <w:i/>
          <w:color w:val="0070C0"/>
        </w:rPr>
        <w:t>Tradicionales y moderados ante la difusión de la filosofía krausista en España</w:t>
      </w:r>
      <w:r w:rsidRPr="00B92A5B">
        <w:rPr>
          <w:rFonts w:ascii="Arial" w:hAnsi="Arial" w:cs="Arial"/>
          <w:color w:val="0070C0"/>
        </w:rPr>
        <w:t>, Publicaciones de la Universidad Pontificia Comillas, Madrid</w:t>
      </w:r>
      <w:r w:rsidR="007122B0" w:rsidRPr="00B92A5B">
        <w:rPr>
          <w:rFonts w:ascii="Arial" w:hAnsi="Arial" w:cs="Arial"/>
          <w:color w:val="0070C0"/>
        </w:rPr>
        <w:t xml:space="preserve">, </w:t>
      </w:r>
      <w:r w:rsidRPr="00B92A5B">
        <w:rPr>
          <w:rFonts w:ascii="Arial" w:hAnsi="Arial" w:cs="Arial"/>
          <w:color w:val="0070C0"/>
        </w:rPr>
        <w:t xml:space="preserve"> 1998.</w:t>
      </w:r>
    </w:p>
  </w:footnote>
  <w:footnote w:id="2">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F</w:t>
      </w:r>
      <w:r w:rsidR="007122B0" w:rsidRPr="00B92A5B">
        <w:rPr>
          <w:rFonts w:ascii="Arial" w:hAnsi="Arial" w:cs="Arial"/>
          <w:color w:val="0070C0"/>
        </w:rPr>
        <w:t>rancisco</w:t>
      </w:r>
      <w:r w:rsidRPr="00B92A5B">
        <w:rPr>
          <w:rFonts w:ascii="Arial" w:hAnsi="Arial" w:cs="Arial"/>
          <w:color w:val="0070C0"/>
        </w:rPr>
        <w:t xml:space="preserve"> Navarro Villoslada, “El Catolicismo y la enseñanza universitaria”</w:t>
      </w:r>
      <w:r w:rsidR="007122B0" w:rsidRPr="00B92A5B">
        <w:rPr>
          <w:rFonts w:ascii="Arial" w:hAnsi="Arial" w:cs="Arial"/>
          <w:color w:val="0070C0"/>
        </w:rPr>
        <w:t>, en</w:t>
      </w:r>
      <w:r w:rsidRPr="00B92A5B">
        <w:rPr>
          <w:rFonts w:ascii="Arial" w:hAnsi="Arial" w:cs="Arial"/>
          <w:color w:val="0070C0"/>
        </w:rPr>
        <w:t xml:space="preserve"> </w:t>
      </w:r>
      <w:r w:rsidRPr="00B92A5B">
        <w:rPr>
          <w:rFonts w:ascii="Arial" w:hAnsi="Arial" w:cs="Arial"/>
          <w:i/>
          <w:color w:val="0070C0"/>
        </w:rPr>
        <w:t>El pensamiento español</w:t>
      </w:r>
      <w:r w:rsidRPr="00B92A5B">
        <w:rPr>
          <w:rFonts w:ascii="Arial" w:hAnsi="Arial" w:cs="Arial"/>
          <w:color w:val="0070C0"/>
        </w:rPr>
        <w:t>, nº 577, 14 de noviembre de 1861</w:t>
      </w:r>
      <w:r w:rsidR="007122B0" w:rsidRPr="00B92A5B">
        <w:rPr>
          <w:rFonts w:ascii="Arial" w:hAnsi="Arial" w:cs="Arial"/>
          <w:color w:val="0070C0"/>
        </w:rPr>
        <w:t>, s. p.</w:t>
      </w:r>
      <w:r w:rsidRPr="00B92A5B">
        <w:rPr>
          <w:rFonts w:ascii="Arial" w:hAnsi="Arial" w:cs="Arial"/>
          <w:color w:val="0070C0"/>
        </w:rPr>
        <w:t xml:space="preserve"> “… no son los libros de texto los únicos elementos que vician la atmósfera intelectual que respira la juventud en la universidad; pues también la extravían, mil y mil veces con más frecuencia y seguridad que los libros, los doctores falsos, enemigos más o menos encubiertos de la fe, entre los cuales no falta quienes se han erigido en apóstoles de ideas conocidamente racionalistas y subversivas, con que seducen a muchos y preparan calladamente el triunfo completo del filosofismo germánico, radicalmente impío, sobre las sagradas máximas y purísimas verdades del Cristianismo” (M</w:t>
      </w:r>
      <w:r w:rsidR="007122B0" w:rsidRPr="00B92A5B">
        <w:rPr>
          <w:rFonts w:ascii="Arial" w:hAnsi="Arial" w:cs="Arial"/>
          <w:color w:val="0070C0"/>
        </w:rPr>
        <w:t>anuel</w:t>
      </w:r>
      <w:r w:rsidRPr="00B92A5B">
        <w:rPr>
          <w:rFonts w:ascii="Arial" w:hAnsi="Arial" w:cs="Arial"/>
          <w:color w:val="0070C0"/>
        </w:rPr>
        <w:t xml:space="preserve"> Criado, “La autoridad de la Iglesia y los intereses del catolicismo despreciados por el gobierno español en la cuestión de la enseñanza oficial”</w:t>
      </w:r>
      <w:r w:rsidR="007122B0" w:rsidRPr="00B92A5B">
        <w:rPr>
          <w:rFonts w:ascii="Arial" w:hAnsi="Arial" w:cs="Arial"/>
          <w:color w:val="0070C0"/>
        </w:rPr>
        <w:t>, en</w:t>
      </w:r>
      <w:r w:rsidRPr="00B92A5B">
        <w:rPr>
          <w:rFonts w:ascii="Arial" w:hAnsi="Arial" w:cs="Arial"/>
          <w:color w:val="0070C0"/>
        </w:rPr>
        <w:t xml:space="preserve"> </w:t>
      </w:r>
      <w:r w:rsidRPr="00B92A5B">
        <w:rPr>
          <w:rFonts w:ascii="Arial" w:hAnsi="Arial" w:cs="Arial"/>
          <w:i/>
          <w:color w:val="0070C0"/>
        </w:rPr>
        <w:t>El pensamiento español</w:t>
      </w:r>
      <w:r w:rsidRPr="00B92A5B">
        <w:rPr>
          <w:rFonts w:ascii="Arial" w:hAnsi="Arial" w:cs="Arial"/>
          <w:color w:val="0070C0"/>
        </w:rPr>
        <w:t>, nº 775, 8 de julio de 1862</w:t>
      </w:r>
      <w:r w:rsidR="007122B0" w:rsidRPr="00B92A5B">
        <w:rPr>
          <w:rFonts w:ascii="Arial" w:hAnsi="Arial" w:cs="Arial"/>
          <w:color w:val="0070C0"/>
        </w:rPr>
        <w:t>, s. p.</w:t>
      </w:r>
      <w:r w:rsidRPr="00B92A5B">
        <w:rPr>
          <w:rFonts w:ascii="Arial" w:hAnsi="Arial" w:cs="Arial"/>
          <w:color w:val="0070C0"/>
        </w:rPr>
        <w:t>).</w:t>
      </w:r>
    </w:p>
  </w:footnote>
  <w:footnote w:id="3">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F</w:t>
      </w:r>
      <w:r w:rsidR="00FA2506" w:rsidRPr="00B92A5B">
        <w:rPr>
          <w:rFonts w:ascii="Arial" w:hAnsi="Arial" w:cs="Arial"/>
          <w:color w:val="0070C0"/>
        </w:rPr>
        <w:t>rancisco</w:t>
      </w:r>
      <w:r w:rsidRPr="00B92A5B">
        <w:rPr>
          <w:rFonts w:ascii="Arial" w:hAnsi="Arial" w:cs="Arial"/>
          <w:color w:val="0070C0"/>
        </w:rPr>
        <w:t xml:space="preserve"> Giner, </w:t>
      </w:r>
      <w:r w:rsidRPr="00B92A5B">
        <w:rPr>
          <w:rFonts w:ascii="Arial" w:hAnsi="Arial" w:cs="Arial"/>
          <w:i/>
          <w:color w:val="0070C0"/>
        </w:rPr>
        <w:t>Ensayos menores sobre educación y enseñanza. Tomo I</w:t>
      </w:r>
      <w:r w:rsidRPr="00B92A5B">
        <w:rPr>
          <w:rFonts w:ascii="Arial" w:hAnsi="Arial" w:cs="Arial"/>
          <w:color w:val="0070C0"/>
        </w:rPr>
        <w:t xml:space="preserve">, en </w:t>
      </w:r>
      <w:r w:rsidRPr="00B92A5B">
        <w:rPr>
          <w:rFonts w:ascii="Arial" w:hAnsi="Arial" w:cs="Arial"/>
          <w:i/>
          <w:color w:val="0070C0"/>
        </w:rPr>
        <w:t>Obras completas de… XVI</w:t>
      </w:r>
      <w:r w:rsidRPr="00B92A5B">
        <w:rPr>
          <w:rFonts w:ascii="Arial" w:hAnsi="Arial" w:cs="Arial"/>
          <w:color w:val="0070C0"/>
        </w:rPr>
        <w:t>, Espasa-Calpe, Madrid</w:t>
      </w:r>
      <w:r w:rsidR="00FA2506" w:rsidRPr="00B92A5B">
        <w:rPr>
          <w:rFonts w:ascii="Arial" w:hAnsi="Arial" w:cs="Arial"/>
          <w:color w:val="0070C0"/>
        </w:rPr>
        <w:t>,</w:t>
      </w:r>
      <w:r w:rsidRPr="00B92A5B">
        <w:rPr>
          <w:rFonts w:ascii="Arial" w:hAnsi="Arial" w:cs="Arial"/>
          <w:color w:val="0070C0"/>
        </w:rPr>
        <w:t xml:space="preserve"> 1927, p. 3.</w:t>
      </w:r>
    </w:p>
  </w:footnote>
  <w:footnote w:id="4">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F</w:t>
      </w:r>
      <w:r w:rsidR="00FA2506" w:rsidRPr="00B92A5B">
        <w:rPr>
          <w:rFonts w:ascii="Arial" w:hAnsi="Arial" w:cs="Arial"/>
          <w:color w:val="0070C0"/>
        </w:rPr>
        <w:t>rancisco</w:t>
      </w:r>
      <w:r w:rsidRPr="00B92A5B">
        <w:rPr>
          <w:rFonts w:ascii="Arial" w:hAnsi="Arial" w:cs="Arial"/>
          <w:color w:val="0070C0"/>
        </w:rPr>
        <w:t xml:space="preserve"> Giner, A</w:t>
      </w:r>
      <w:r w:rsidR="00AE2168" w:rsidRPr="00B92A5B">
        <w:rPr>
          <w:rFonts w:ascii="Arial" w:hAnsi="Arial" w:cs="Arial"/>
          <w:color w:val="0070C0"/>
        </w:rPr>
        <w:t>lfredo</w:t>
      </w:r>
      <w:r w:rsidRPr="00B92A5B">
        <w:rPr>
          <w:rFonts w:ascii="Arial" w:hAnsi="Arial" w:cs="Arial"/>
          <w:color w:val="0070C0"/>
        </w:rPr>
        <w:t xml:space="preserve"> Calderón, </w:t>
      </w:r>
      <w:r w:rsidRPr="00B92A5B">
        <w:rPr>
          <w:rFonts w:ascii="Arial" w:hAnsi="Arial" w:cs="Arial"/>
          <w:i/>
          <w:color w:val="0070C0"/>
        </w:rPr>
        <w:t>Resumen de filosofía del Derecho. Tomo I</w:t>
      </w:r>
      <w:r w:rsidRPr="00B92A5B">
        <w:rPr>
          <w:rFonts w:ascii="Arial" w:hAnsi="Arial" w:cs="Arial"/>
          <w:color w:val="0070C0"/>
        </w:rPr>
        <w:t xml:space="preserve">, en </w:t>
      </w:r>
      <w:r w:rsidRPr="00B92A5B">
        <w:rPr>
          <w:rFonts w:ascii="Arial" w:hAnsi="Arial" w:cs="Arial"/>
          <w:i/>
          <w:color w:val="0070C0"/>
        </w:rPr>
        <w:t>Obras completas de… XIII</w:t>
      </w:r>
      <w:r w:rsidRPr="00B92A5B">
        <w:rPr>
          <w:rFonts w:ascii="Arial" w:hAnsi="Arial" w:cs="Arial"/>
          <w:color w:val="0070C0"/>
        </w:rPr>
        <w:t>, Espasa-Calpe, Madrid</w:t>
      </w:r>
      <w:r w:rsidR="00FA2506" w:rsidRPr="00B92A5B">
        <w:rPr>
          <w:rFonts w:ascii="Arial" w:hAnsi="Arial" w:cs="Arial"/>
          <w:color w:val="0070C0"/>
        </w:rPr>
        <w:t>,</w:t>
      </w:r>
      <w:r w:rsidRPr="00B92A5B">
        <w:rPr>
          <w:rFonts w:ascii="Arial" w:hAnsi="Arial" w:cs="Arial"/>
          <w:color w:val="0070C0"/>
        </w:rPr>
        <w:t xml:space="preserve"> 1926, p. 75.</w:t>
      </w:r>
    </w:p>
  </w:footnote>
  <w:footnote w:id="5">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Cfr. D</w:t>
      </w:r>
      <w:r w:rsidR="00FA2506" w:rsidRPr="00B92A5B">
        <w:rPr>
          <w:rFonts w:ascii="Arial" w:hAnsi="Arial" w:cs="Arial"/>
          <w:color w:val="0070C0"/>
        </w:rPr>
        <w:t>elia</w:t>
      </w:r>
      <w:r w:rsidRPr="00B92A5B">
        <w:rPr>
          <w:rFonts w:ascii="Arial" w:hAnsi="Arial" w:cs="Arial"/>
          <w:color w:val="0070C0"/>
        </w:rPr>
        <w:t xml:space="preserve"> Manzanero Fernández, </w:t>
      </w:r>
      <w:r w:rsidRPr="00B92A5B">
        <w:rPr>
          <w:rFonts w:ascii="Arial" w:hAnsi="Arial" w:cs="Arial"/>
          <w:i/>
          <w:color w:val="0070C0"/>
        </w:rPr>
        <w:t>El legado jurídico y social de Giner</w:t>
      </w:r>
      <w:r w:rsidRPr="00B92A5B">
        <w:rPr>
          <w:rFonts w:ascii="Arial" w:hAnsi="Arial" w:cs="Arial"/>
          <w:color w:val="0070C0"/>
        </w:rPr>
        <w:t>, Publicaciones de la Universidad Pontificia Comillas, Madrid</w:t>
      </w:r>
      <w:r w:rsidR="00FA2506" w:rsidRPr="00B92A5B">
        <w:rPr>
          <w:rFonts w:ascii="Arial" w:hAnsi="Arial" w:cs="Arial"/>
          <w:color w:val="0070C0"/>
        </w:rPr>
        <w:t>,</w:t>
      </w:r>
      <w:r w:rsidRPr="00B92A5B">
        <w:rPr>
          <w:rFonts w:ascii="Arial" w:hAnsi="Arial" w:cs="Arial"/>
          <w:color w:val="0070C0"/>
        </w:rPr>
        <w:t xml:space="preserve"> 2016.</w:t>
      </w:r>
    </w:p>
  </w:footnote>
  <w:footnote w:id="6">
    <w:p w:rsidR="00ED7CD4" w:rsidRPr="00B92A5B" w:rsidRDefault="00ED7CD4" w:rsidP="00C42BF5">
      <w:pPr>
        <w:spacing w:after="0" w:line="240" w:lineRule="auto"/>
        <w:jc w:val="both"/>
        <w:rPr>
          <w:rFonts w:ascii="Arial" w:hAnsi="Arial" w:cs="Arial"/>
          <w:color w:val="0070C0"/>
          <w:sz w:val="20"/>
          <w:szCs w:val="20"/>
        </w:rPr>
      </w:pPr>
      <w:r w:rsidRPr="00B92A5B">
        <w:rPr>
          <w:rStyle w:val="Refdenotaalpie"/>
          <w:rFonts w:ascii="Arial" w:hAnsi="Arial" w:cs="Arial"/>
          <w:color w:val="0070C0"/>
          <w:sz w:val="20"/>
          <w:szCs w:val="20"/>
        </w:rPr>
        <w:footnoteRef/>
      </w:r>
      <w:r w:rsidRPr="00B92A5B">
        <w:rPr>
          <w:rFonts w:ascii="Arial" w:hAnsi="Arial" w:cs="Arial"/>
          <w:color w:val="0070C0"/>
          <w:sz w:val="20"/>
          <w:szCs w:val="20"/>
        </w:rPr>
        <w:t xml:space="preserve"> “Es en rigor esta realidad [el derecho] inefable, bien que susceptible de infinitas expresiones, que sirven como para dar de ella indicio […]. Así puede decirse, ora que es el Derecho «el orden de la conducta buena, libre y necesaria para el cumplimento de los fines de la vida»; ora «el sistema de los actos o prestaciones con que ha de contribuir cada sér racional, en cuanto de él depende, a que su destino y el destino de todos se efectúe en el mundo»; o «el organismo de las condiciones aque, dependiendo de la actividad libre de cada sér racional, son menester para el fin esencial de todos»; o «aquel modo de obrar libre de que depende que el fin de la vida se cumpla»; o finalmente, y valiéndonos de una expresión más concisa, «la condicionalidad temporal y libre de la vida»”  (F. Giner, A. Calderón, </w:t>
      </w:r>
      <w:r w:rsidRPr="00B92A5B">
        <w:rPr>
          <w:rFonts w:ascii="Arial" w:hAnsi="Arial" w:cs="Arial"/>
          <w:i/>
          <w:color w:val="0070C0"/>
          <w:sz w:val="20"/>
          <w:szCs w:val="20"/>
        </w:rPr>
        <w:t>Resumen de filosofía del Derecho. Tomo I</w:t>
      </w:r>
      <w:r w:rsidRPr="00B92A5B">
        <w:rPr>
          <w:rFonts w:ascii="Arial" w:hAnsi="Arial" w:cs="Arial"/>
          <w:color w:val="0070C0"/>
          <w:sz w:val="20"/>
          <w:szCs w:val="20"/>
        </w:rPr>
        <w:t>, cit. p. 52 y s.).</w:t>
      </w:r>
    </w:p>
  </w:footnote>
  <w:footnote w:id="7">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“Así, el niño, que a penas puede prestar servicio alguno a los demás, se halla, no obstante, investido de derechos tan propios y perfectos en el fondo como los del hombre adulto, aunque adecuados y relativos a las condiciones de su vida, lo cual también tiene lugar con el loco, y aun con el feto…” (Ibid., p. 60).</w:t>
      </w:r>
    </w:p>
  </w:footnote>
  <w:footnote w:id="8">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Ibid., p. 62.</w:t>
      </w:r>
    </w:p>
  </w:footnote>
  <w:footnote w:id="9">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Ibid., p. 65 y s. “No hay, por tanto, esfera alguna en Derecho que pueda ser considerada como transitiva primeramente y en sí misma, sino sólo por respecto de sus miembros” (p. 66 y s.).</w:t>
      </w:r>
    </w:p>
  </w:footnote>
  <w:footnote w:id="10">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Cfr. op. cit., &amp;21. “El elemento jurídico no es, pues, el exterior, por más que mientras no se exterioriza permanezca extraño, no al Derecho, sino a la intervención del Poder público” (p. 69).</w:t>
      </w:r>
    </w:p>
  </w:footnote>
  <w:footnote w:id="11">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Sobre la equidad kantiana, cfr. J</w:t>
      </w:r>
      <w:r w:rsidR="00FA2506" w:rsidRPr="00B92A5B">
        <w:rPr>
          <w:rFonts w:ascii="Arial" w:hAnsi="Arial" w:cs="Arial"/>
          <w:color w:val="0070C0"/>
        </w:rPr>
        <w:t>.</w:t>
      </w:r>
      <w:r w:rsidRPr="00B92A5B">
        <w:rPr>
          <w:rFonts w:ascii="Arial" w:hAnsi="Arial" w:cs="Arial"/>
          <w:color w:val="0070C0"/>
        </w:rPr>
        <w:t xml:space="preserve"> M</w:t>
      </w:r>
      <w:r w:rsidR="00FA2506" w:rsidRPr="00B92A5B">
        <w:rPr>
          <w:rFonts w:ascii="Arial" w:hAnsi="Arial" w:cs="Arial"/>
          <w:color w:val="0070C0"/>
        </w:rPr>
        <w:t>.</w:t>
      </w:r>
      <w:r w:rsidRPr="00B92A5B">
        <w:rPr>
          <w:rFonts w:ascii="Arial" w:hAnsi="Arial" w:cs="Arial"/>
          <w:color w:val="0070C0"/>
        </w:rPr>
        <w:t xml:space="preserve"> Vázquez-Romero. “</w:t>
      </w:r>
      <w:r w:rsidRPr="00B92A5B">
        <w:rPr>
          <w:rFonts w:ascii="Arial" w:hAnsi="Arial" w:cs="Arial"/>
          <w:i/>
          <w:color w:val="0070C0"/>
        </w:rPr>
        <w:t>Aequitas</w:t>
      </w:r>
      <w:r w:rsidRPr="00B92A5B">
        <w:rPr>
          <w:rFonts w:ascii="Arial" w:hAnsi="Arial" w:cs="Arial"/>
          <w:color w:val="0070C0"/>
        </w:rPr>
        <w:t>, la divinidad muda: en torno a la referencia equívoca de la virtud en la filosofía práctica kantiana</w:t>
      </w:r>
      <w:r w:rsidR="007122B0" w:rsidRPr="00B92A5B">
        <w:rPr>
          <w:rFonts w:ascii="Arial" w:hAnsi="Arial" w:cs="Arial"/>
          <w:color w:val="0070C0"/>
        </w:rPr>
        <w:t>, en</w:t>
      </w:r>
      <w:r w:rsidRPr="00B92A5B">
        <w:rPr>
          <w:rFonts w:ascii="Arial" w:hAnsi="Arial" w:cs="Arial"/>
          <w:color w:val="0070C0"/>
        </w:rPr>
        <w:t xml:space="preserve">: </w:t>
      </w:r>
      <w:r w:rsidRPr="00B92A5B">
        <w:rPr>
          <w:rFonts w:ascii="Arial" w:hAnsi="Arial" w:cs="Arial"/>
          <w:i/>
          <w:color w:val="0070C0"/>
        </w:rPr>
        <w:t>Bajo Palabra. Revista de filosofía</w:t>
      </w:r>
      <w:r w:rsidRPr="00B92A5B">
        <w:rPr>
          <w:rFonts w:ascii="Arial" w:hAnsi="Arial" w:cs="Arial"/>
          <w:color w:val="0070C0"/>
        </w:rPr>
        <w:t>, Epoca 2ª, N.º 8, 2013, pp. 97-111. La otra anomalía jurídica es el ‘derecho de necesidad’, inverso del derecho de equidad, en el que aquí no repararemos.</w:t>
      </w:r>
    </w:p>
  </w:footnote>
  <w:footnote w:id="12">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Cfr. I</w:t>
      </w:r>
      <w:r w:rsidR="007122B0" w:rsidRPr="00B92A5B">
        <w:rPr>
          <w:rFonts w:ascii="Arial" w:hAnsi="Arial" w:cs="Arial"/>
          <w:color w:val="0070C0"/>
        </w:rPr>
        <w:t>nmanuel</w:t>
      </w:r>
      <w:r w:rsidRPr="00B92A5B">
        <w:rPr>
          <w:rFonts w:ascii="Arial" w:hAnsi="Arial" w:cs="Arial"/>
          <w:color w:val="0070C0"/>
        </w:rPr>
        <w:t xml:space="preserve"> Kant, </w:t>
      </w:r>
      <w:r w:rsidRPr="00B92A5B">
        <w:rPr>
          <w:rFonts w:ascii="Arial" w:hAnsi="Arial" w:cs="Arial"/>
          <w:i/>
          <w:color w:val="0070C0"/>
        </w:rPr>
        <w:t>La Metafísica de las Costumbres</w:t>
      </w:r>
      <w:r w:rsidRPr="00B92A5B">
        <w:rPr>
          <w:rFonts w:ascii="Arial" w:hAnsi="Arial" w:cs="Arial"/>
          <w:color w:val="0070C0"/>
        </w:rPr>
        <w:t>, Editorial Tecnos, Madrid</w:t>
      </w:r>
      <w:r w:rsidR="007122B0" w:rsidRPr="00B92A5B">
        <w:rPr>
          <w:rFonts w:ascii="Arial" w:hAnsi="Arial" w:cs="Arial"/>
          <w:color w:val="0070C0"/>
        </w:rPr>
        <w:t>,</w:t>
      </w:r>
      <w:r w:rsidRPr="00B92A5B">
        <w:rPr>
          <w:rFonts w:ascii="Arial" w:hAnsi="Arial" w:cs="Arial"/>
          <w:color w:val="0070C0"/>
        </w:rPr>
        <w:t xml:space="preserve"> 2008, p. 44. Por el contrario, la argumentación gineriana insiste en que, a pesar de que “ninguna ley puede estorbarnos el cruel apremio del deudor menesteroso o inocente, o el impedimento de los fines ajenos en abuso de una facultad legal (v. gr., de nuestros derechos como propietario), o en otro sentido, tantos y tantos delitos que no llegan a la gravedad prescrita en los Códigos para su persecución, todo lo cual se realiza en una esfera adonde no alcance la acción de los poderes oficiales, y, a veces, aun al amparo de la ley misma, cuya sanción exterior, dada para garantir el Derecho, se convierte tan frecuentemente en instrumento de injusticia”, aun “en estos casos, la existencia o la carencia de la protección legal en nada cambia la índole jurídica de la relación” (F. Giner, A. Calderón, </w:t>
      </w:r>
      <w:r w:rsidRPr="00B92A5B">
        <w:rPr>
          <w:rFonts w:ascii="Arial" w:hAnsi="Arial" w:cs="Arial"/>
          <w:i/>
          <w:color w:val="0070C0"/>
        </w:rPr>
        <w:t>Resumen de filosofía del Derecho. Tomo I</w:t>
      </w:r>
      <w:r w:rsidRPr="00B92A5B">
        <w:rPr>
          <w:rFonts w:ascii="Arial" w:hAnsi="Arial" w:cs="Arial"/>
          <w:color w:val="0070C0"/>
        </w:rPr>
        <w:t>, cit., p. 70).</w:t>
      </w:r>
    </w:p>
  </w:footnote>
  <w:footnote w:id="13">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I. Kant, </w:t>
      </w:r>
      <w:r w:rsidRPr="00B92A5B">
        <w:rPr>
          <w:rFonts w:ascii="Arial" w:hAnsi="Arial" w:cs="Arial"/>
          <w:i/>
          <w:color w:val="0070C0"/>
        </w:rPr>
        <w:t>La Metafísica de las Costumbres</w:t>
      </w:r>
      <w:r w:rsidRPr="00B92A5B">
        <w:rPr>
          <w:rFonts w:ascii="Arial" w:hAnsi="Arial" w:cs="Arial"/>
          <w:color w:val="0070C0"/>
        </w:rPr>
        <w:t>, cit., p. 44 y s.</w:t>
      </w:r>
    </w:p>
  </w:footnote>
  <w:footnote w:id="14">
    <w:p w:rsidR="00ED7CD4" w:rsidRPr="00B92A5B" w:rsidRDefault="00ED7CD4" w:rsidP="00C42BF5">
      <w:pPr>
        <w:pStyle w:val="Textonotapie"/>
        <w:jc w:val="both"/>
        <w:rPr>
          <w:rFonts w:ascii="Arial" w:hAnsi="Arial" w:cs="Arial"/>
          <w:color w:val="0070C0"/>
          <w:lang w:val="en-US"/>
        </w:rPr>
      </w:pPr>
      <w:r w:rsidRPr="00B92A5B">
        <w:rPr>
          <w:rStyle w:val="Refdenotaalpie"/>
          <w:rFonts w:ascii="Arial" w:hAnsi="Arial" w:cs="Arial"/>
          <w:color w:val="0070C0"/>
        </w:rPr>
        <w:footnoteRef/>
      </w:r>
      <w:r w:rsidRPr="00B92A5B">
        <w:rPr>
          <w:rFonts w:ascii="Arial" w:hAnsi="Arial" w:cs="Arial"/>
          <w:color w:val="0070C0"/>
          <w:lang w:val="en-US"/>
        </w:rPr>
        <w:t xml:space="preserve"> Ibid., p. 45.</w:t>
      </w:r>
    </w:p>
  </w:footnote>
  <w:footnote w:id="15">
    <w:p w:rsidR="00ED7CD4" w:rsidRPr="00B92A5B" w:rsidRDefault="00ED7CD4" w:rsidP="00D77B28">
      <w:pPr>
        <w:spacing w:after="0"/>
        <w:jc w:val="both"/>
        <w:rPr>
          <w:rFonts w:ascii="Arial" w:hAnsi="Arial" w:cs="Arial"/>
          <w:color w:val="0070C0"/>
          <w:sz w:val="20"/>
          <w:szCs w:val="20"/>
        </w:rPr>
      </w:pPr>
      <w:r w:rsidRPr="00B92A5B">
        <w:rPr>
          <w:rStyle w:val="Refdenotaalpie"/>
          <w:rFonts w:ascii="Arial" w:hAnsi="Arial" w:cs="Arial"/>
          <w:color w:val="0070C0"/>
          <w:sz w:val="20"/>
          <w:szCs w:val="20"/>
        </w:rPr>
        <w:footnoteRef/>
      </w:r>
      <w:r w:rsidRPr="00B92A5B">
        <w:rPr>
          <w:rFonts w:ascii="Arial" w:hAnsi="Arial" w:cs="Arial"/>
          <w:color w:val="0070C0"/>
          <w:sz w:val="20"/>
          <w:szCs w:val="20"/>
          <w:lang w:val="en-US"/>
        </w:rPr>
        <w:t xml:space="preserve"> Ibid.</w:t>
      </w:r>
      <w:r w:rsidR="00EA4C90" w:rsidRPr="00B92A5B">
        <w:rPr>
          <w:rFonts w:ascii="Arial" w:hAnsi="Arial" w:cs="Arial"/>
          <w:color w:val="0070C0"/>
          <w:sz w:val="20"/>
          <w:szCs w:val="20"/>
        </w:rPr>
        <w:t xml:space="preserve"> Sin duda, los problemas iuspolíticos de la unidad </w:t>
      </w:r>
      <w:r w:rsidR="00363F18" w:rsidRPr="00B92A5B">
        <w:rPr>
          <w:rFonts w:ascii="Arial" w:hAnsi="Arial" w:cs="Arial"/>
          <w:color w:val="0070C0"/>
          <w:sz w:val="20"/>
          <w:szCs w:val="20"/>
        </w:rPr>
        <w:t xml:space="preserve">y cisma </w:t>
      </w:r>
      <w:r w:rsidR="00EA4C90" w:rsidRPr="00B92A5B">
        <w:rPr>
          <w:rFonts w:ascii="Arial" w:hAnsi="Arial" w:cs="Arial"/>
          <w:color w:val="0070C0"/>
          <w:sz w:val="20"/>
          <w:szCs w:val="20"/>
        </w:rPr>
        <w:t xml:space="preserve">de la soberanía alientan en el pasaje del ámbito jurídico al ámbito moral y en la configuración de la conciencia como instancia jurídica. En la disertación smithiana acerca de cómo se injieren en nuestros sentimientos morales de aprobación o desaprobación las consecuencias impremeditadas de nuestros actos </w:t>
      </w:r>
      <w:r w:rsidR="00EA4C90" w:rsidRPr="00B92A5B">
        <w:rPr>
          <w:rFonts w:ascii="Arial" w:hAnsi="Arial" w:cs="Arial"/>
          <w:i/>
          <w:color w:val="0070C0"/>
          <w:sz w:val="20"/>
          <w:szCs w:val="20"/>
        </w:rPr>
        <w:t>(the Influence of Fortune)</w:t>
      </w:r>
      <w:r w:rsidR="00363F18" w:rsidRPr="00B92A5B">
        <w:rPr>
          <w:rFonts w:ascii="Arial" w:hAnsi="Arial" w:cs="Arial"/>
          <w:color w:val="0070C0"/>
          <w:sz w:val="20"/>
          <w:szCs w:val="20"/>
        </w:rPr>
        <w:t>, enturbiando la pretendida</w:t>
      </w:r>
      <w:r w:rsidR="00EA4C90" w:rsidRPr="00B92A5B">
        <w:rPr>
          <w:rFonts w:ascii="Arial" w:hAnsi="Arial" w:cs="Arial"/>
          <w:color w:val="0070C0"/>
          <w:sz w:val="20"/>
          <w:szCs w:val="20"/>
        </w:rPr>
        <w:t xml:space="preserve"> pureza del sentimiento moral basa</w:t>
      </w:r>
      <w:r w:rsidR="00363F18" w:rsidRPr="00B92A5B">
        <w:rPr>
          <w:rFonts w:ascii="Arial" w:hAnsi="Arial" w:cs="Arial"/>
          <w:color w:val="0070C0"/>
          <w:sz w:val="20"/>
          <w:szCs w:val="20"/>
        </w:rPr>
        <w:t>do</w:t>
      </w:r>
      <w:r w:rsidR="00EA4C90" w:rsidRPr="00B92A5B">
        <w:rPr>
          <w:rFonts w:ascii="Arial" w:hAnsi="Arial" w:cs="Arial"/>
          <w:color w:val="0070C0"/>
          <w:sz w:val="20"/>
          <w:szCs w:val="20"/>
        </w:rPr>
        <w:t xml:space="preserve"> en </w:t>
      </w:r>
      <w:r w:rsidR="00363F18" w:rsidRPr="00B92A5B">
        <w:rPr>
          <w:rFonts w:ascii="Arial" w:hAnsi="Arial" w:cs="Arial"/>
          <w:color w:val="0070C0"/>
          <w:sz w:val="20"/>
          <w:szCs w:val="20"/>
        </w:rPr>
        <w:t xml:space="preserve">la </w:t>
      </w:r>
      <w:r w:rsidR="00EA4C90" w:rsidRPr="00B92A5B">
        <w:rPr>
          <w:rFonts w:ascii="Arial" w:hAnsi="Arial" w:cs="Arial"/>
          <w:color w:val="0070C0"/>
          <w:sz w:val="20"/>
          <w:szCs w:val="20"/>
        </w:rPr>
        <w:t xml:space="preserve">exclusiva </w:t>
      </w:r>
      <w:r w:rsidR="00363F18" w:rsidRPr="00B92A5B">
        <w:rPr>
          <w:rFonts w:ascii="Arial" w:hAnsi="Arial" w:cs="Arial"/>
          <w:color w:val="0070C0"/>
          <w:sz w:val="20"/>
          <w:szCs w:val="20"/>
        </w:rPr>
        <w:t>del afecto íntimo,</w:t>
      </w:r>
      <w:r w:rsidR="00EA4C90" w:rsidRPr="00B92A5B">
        <w:rPr>
          <w:rFonts w:ascii="Arial" w:hAnsi="Arial" w:cs="Arial"/>
          <w:color w:val="0070C0"/>
          <w:sz w:val="20"/>
          <w:szCs w:val="20"/>
        </w:rPr>
        <w:t xml:space="preserve"> se </w:t>
      </w:r>
      <w:r w:rsidR="00363F18" w:rsidRPr="00B92A5B">
        <w:rPr>
          <w:rFonts w:ascii="Arial" w:hAnsi="Arial" w:cs="Arial"/>
          <w:color w:val="0070C0"/>
          <w:sz w:val="20"/>
          <w:szCs w:val="20"/>
        </w:rPr>
        <w:t>constata</w:t>
      </w:r>
      <w:r w:rsidR="00EA4C90" w:rsidRPr="00B92A5B">
        <w:rPr>
          <w:rFonts w:ascii="Arial" w:hAnsi="Arial" w:cs="Arial"/>
          <w:color w:val="0070C0"/>
          <w:sz w:val="20"/>
          <w:szCs w:val="20"/>
        </w:rPr>
        <w:t xml:space="preserve"> que tal consideración </w:t>
      </w:r>
      <w:r w:rsidR="00363F18" w:rsidRPr="00B92A5B">
        <w:rPr>
          <w:rFonts w:ascii="Arial" w:hAnsi="Arial" w:cs="Arial"/>
          <w:color w:val="0070C0"/>
          <w:sz w:val="20"/>
          <w:szCs w:val="20"/>
        </w:rPr>
        <w:t>absoluta</w:t>
      </w:r>
      <w:r w:rsidR="00EA4C90" w:rsidRPr="00B92A5B">
        <w:rPr>
          <w:rFonts w:ascii="Arial" w:hAnsi="Arial" w:cs="Arial"/>
          <w:color w:val="0070C0"/>
          <w:sz w:val="20"/>
          <w:szCs w:val="20"/>
        </w:rPr>
        <w:t xml:space="preserve"> de la intencionalidad </w:t>
      </w:r>
      <w:r w:rsidR="00363F18" w:rsidRPr="00B92A5B">
        <w:rPr>
          <w:rFonts w:ascii="Arial" w:hAnsi="Arial" w:cs="Arial"/>
          <w:color w:val="0070C0"/>
          <w:sz w:val="20"/>
          <w:szCs w:val="20"/>
        </w:rPr>
        <w:t xml:space="preserve">para la estimación de la acción </w:t>
      </w:r>
      <w:r w:rsidR="00EA4C90" w:rsidRPr="00B92A5B">
        <w:rPr>
          <w:rFonts w:ascii="Arial" w:hAnsi="Arial" w:cs="Arial"/>
          <w:color w:val="0070C0"/>
          <w:sz w:val="20"/>
          <w:szCs w:val="20"/>
        </w:rPr>
        <w:t xml:space="preserve">sólo se comprueba en la penalidad del </w:t>
      </w:r>
      <w:r w:rsidR="00363F18" w:rsidRPr="00B92A5B">
        <w:rPr>
          <w:rFonts w:ascii="Arial" w:hAnsi="Arial" w:cs="Arial"/>
          <w:color w:val="0070C0"/>
          <w:sz w:val="20"/>
          <w:szCs w:val="20"/>
        </w:rPr>
        <w:t>crimen de</w:t>
      </w:r>
      <w:r w:rsidR="00EA4C90" w:rsidRPr="00B92A5B">
        <w:rPr>
          <w:rFonts w:ascii="Arial" w:hAnsi="Arial" w:cs="Arial"/>
          <w:color w:val="0070C0"/>
          <w:sz w:val="20"/>
          <w:szCs w:val="20"/>
        </w:rPr>
        <w:t xml:space="preserve"> traición, por entenderse que un </w:t>
      </w:r>
      <w:r w:rsidR="00363F18" w:rsidRPr="00B92A5B">
        <w:rPr>
          <w:rFonts w:ascii="Arial" w:hAnsi="Arial" w:cs="Arial"/>
          <w:color w:val="0070C0"/>
          <w:sz w:val="20"/>
          <w:szCs w:val="20"/>
        </w:rPr>
        <w:t xml:space="preserve">delito </w:t>
      </w:r>
      <w:r w:rsidR="00EA4C90" w:rsidRPr="00B92A5B">
        <w:rPr>
          <w:rFonts w:ascii="Arial" w:hAnsi="Arial" w:cs="Arial"/>
          <w:color w:val="0070C0"/>
          <w:sz w:val="20"/>
          <w:szCs w:val="20"/>
        </w:rPr>
        <w:t>tal</w:t>
      </w:r>
      <w:r w:rsidR="00363F18" w:rsidRPr="00B92A5B">
        <w:rPr>
          <w:rFonts w:ascii="Arial" w:hAnsi="Arial" w:cs="Arial"/>
          <w:color w:val="0070C0"/>
          <w:sz w:val="20"/>
          <w:szCs w:val="20"/>
        </w:rPr>
        <w:t xml:space="preserve"> atenta</w:t>
      </w:r>
      <w:r w:rsidR="00EA4C90" w:rsidRPr="00B92A5B">
        <w:rPr>
          <w:rFonts w:ascii="Arial" w:hAnsi="Arial" w:cs="Arial"/>
          <w:color w:val="0070C0"/>
          <w:sz w:val="20"/>
          <w:szCs w:val="20"/>
        </w:rPr>
        <w:t xml:space="preserve"> contra el fundamento de la soberanía, afectando a los propios derechos del soberano, por lo que éste puede entonces ser indiferente a la cuestión de la comisión efectiva en la determinación del castigo y gravar del mismo modo el proyecto nonato y hasta su mero esbozo</w:t>
      </w:r>
      <w:r w:rsidR="00363F18" w:rsidRPr="00B92A5B">
        <w:rPr>
          <w:rFonts w:ascii="Arial" w:hAnsi="Arial" w:cs="Arial"/>
          <w:color w:val="0070C0"/>
          <w:sz w:val="20"/>
          <w:szCs w:val="20"/>
        </w:rPr>
        <w:t xml:space="preserve">: </w:t>
      </w:r>
      <w:r w:rsidR="00EA4C90" w:rsidRPr="00B92A5B">
        <w:rPr>
          <w:rFonts w:ascii="Arial" w:hAnsi="Arial" w:cs="Arial"/>
          <w:color w:val="0070C0"/>
          <w:sz w:val="20"/>
          <w:szCs w:val="20"/>
        </w:rPr>
        <w:t>“</w:t>
      </w:r>
      <w:r w:rsidR="00363F18" w:rsidRPr="00B92A5B">
        <w:rPr>
          <w:rFonts w:ascii="Arial" w:hAnsi="Arial" w:cs="Arial"/>
          <w:color w:val="0070C0"/>
          <w:sz w:val="20"/>
          <w:szCs w:val="20"/>
        </w:rPr>
        <w:t>e</w:t>
      </w:r>
      <w:r w:rsidR="00EA4C90" w:rsidRPr="00B92A5B">
        <w:rPr>
          <w:rFonts w:ascii="Arial" w:hAnsi="Arial" w:cs="Arial"/>
          <w:color w:val="0070C0"/>
          <w:sz w:val="20"/>
          <w:szCs w:val="20"/>
        </w:rPr>
        <w:t xml:space="preserve">l plan para cometer un delito, por más nítidamente que resulte probado, casi nunca es probado con la misma severidad que el cometerlo de hecho. La única excepción es quizá la traición. Como esta ofensa afecta inmediatamente a la existencia misma del Estado </w:t>
      </w:r>
      <w:r w:rsidR="00EA4C90" w:rsidRPr="00B92A5B">
        <w:rPr>
          <w:rFonts w:ascii="Arial" w:hAnsi="Arial" w:cs="Arial"/>
          <w:i/>
          <w:color w:val="0070C0"/>
          <w:sz w:val="20"/>
          <w:szCs w:val="20"/>
        </w:rPr>
        <w:t>(the being of the government itself)</w:t>
      </w:r>
      <w:r w:rsidR="00EA4C90" w:rsidRPr="00B92A5B">
        <w:rPr>
          <w:rFonts w:ascii="Arial" w:hAnsi="Arial" w:cs="Arial"/>
          <w:color w:val="0070C0"/>
          <w:sz w:val="20"/>
          <w:szCs w:val="20"/>
        </w:rPr>
        <w:t xml:space="preserve">, el Estado naturalmente la vigila con más celo que a ninguna otra. en el castigo de la traición, el soberano rechaza el ultraje perpetrado directamente contra él mismo…” (Adam Smith, </w:t>
      </w:r>
      <w:r w:rsidR="00EA4C90" w:rsidRPr="00B92A5B">
        <w:rPr>
          <w:rFonts w:ascii="Arial" w:hAnsi="Arial" w:cs="Arial"/>
          <w:i/>
          <w:color w:val="0070C0"/>
          <w:sz w:val="20"/>
          <w:szCs w:val="20"/>
        </w:rPr>
        <w:t>La teoría de los sentimientos morales</w:t>
      </w:r>
      <w:r w:rsidR="00EA4C90" w:rsidRPr="00B92A5B">
        <w:rPr>
          <w:rFonts w:ascii="Arial" w:hAnsi="Arial" w:cs="Arial"/>
          <w:color w:val="0070C0"/>
          <w:sz w:val="20"/>
          <w:szCs w:val="20"/>
        </w:rPr>
        <w:t xml:space="preserve">, Alianza editorial, Madrid, </w:t>
      </w:r>
      <w:r w:rsidR="00EA4C90" w:rsidRPr="00B92A5B">
        <w:rPr>
          <w:rFonts w:ascii="Arial" w:hAnsi="Arial" w:cs="Arial"/>
          <w:color w:val="0070C0"/>
          <w:sz w:val="20"/>
          <w:szCs w:val="20"/>
          <w:vertAlign w:val="superscript"/>
        </w:rPr>
        <w:t>3</w:t>
      </w:r>
      <w:r w:rsidR="00EA4C90" w:rsidRPr="00B92A5B">
        <w:rPr>
          <w:rFonts w:ascii="Arial" w:hAnsi="Arial" w:cs="Arial"/>
          <w:color w:val="0070C0"/>
          <w:sz w:val="20"/>
          <w:szCs w:val="20"/>
        </w:rPr>
        <w:t xml:space="preserve">2013, p. 204 y s.; </w:t>
      </w:r>
      <w:r w:rsidR="00EA4C90" w:rsidRPr="00B92A5B">
        <w:rPr>
          <w:rFonts w:ascii="Arial" w:hAnsi="Arial" w:cs="Arial"/>
          <w:i/>
          <w:color w:val="0070C0"/>
          <w:sz w:val="20"/>
          <w:szCs w:val="20"/>
        </w:rPr>
        <w:t>The Theory of Moral Sentiments</w:t>
      </w:r>
      <w:r w:rsidR="00EA4C90" w:rsidRPr="00B92A5B">
        <w:rPr>
          <w:rFonts w:ascii="Arial" w:hAnsi="Arial" w:cs="Arial"/>
          <w:color w:val="0070C0"/>
          <w:sz w:val="20"/>
          <w:szCs w:val="20"/>
        </w:rPr>
        <w:t xml:space="preserve">, Oxford, Clarendon Press, 1979, II.iii.2.4, p. 99). </w:t>
      </w:r>
      <w:r w:rsidR="00363F18" w:rsidRPr="00B92A5B">
        <w:rPr>
          <w:rFonts w:ascii="Arial" w:hAnsi="Arial" w:cs="Arial"/>
          <w:color w:val="0070C0"/>
          <w:sz w:val="20"/>
          <w:szCs w:val="20"/>
          <w:lang w:val="en-US"/>
        </w:rPr>
        <w:t xml:space="preserve">En el caso de otros delitos, la ofensa se entiende que recae sobre terceros, en el caso de la traición los ciudadanos lo sienten como padecido </w:t>
      </w:r>
      <w:r w:rsidR="00D77B28" w:rsidRPr="00B92A5B">
        <w:rPr>
          <w:rFonts w:ascii="Arial" w:hAnsi="Arial" w:cs="Arial"/>
          <w:color w:val="0070C0"/>
          <w:sz w:val="20"/>
          <w:szCs w:val="20"/>
          <w:lang w:val="en-US"/>
        </w:rPr>
        <w:t xml:space="preserve">directamente </w:t>
      </w:r>
      <w:r w:rsidR="00363F18" w:rsidRPr="00B92A5B">
        <w:rPr>
          <w:rFonts w:ascii="Arial" w:hAnsi="Arial" w:cs="Arial"/>
          <w:color w:val="0070C0"/>
          <w:sz w:val="20"/>
          <w:szCs w:val="20"/>
          <w:lang w:val="en-US"/>
        </w:rPr>
        <w:t>por ellos mismos: “In the injuries of private persons the publick enter only by sympathy, but in thecaso of the sovereign they punish the injuries against themselves, and for this reason injuries against the publick are always more highly</w:t>
      </w:r>
      <w:r w:rsidR="00D77B28" w:rsidRPr="00B92A5B">
        <w:rPr>
          <w:rFonts w:ascii="Arial" w:hAnsi="Arial" w:cs="Arial"/>
          <w:color w:val="0070C0"/>
          <w:sz w:val="20"/>
          <w:szCs w:val="20"/>
          <w:lang w:val="en-US"/>
        </w:rPr>
        <w:t xml:space="preserve"> punished than those of individualls” (A. Smith, </w:t>
      </w:r>
      <w:r w:rsidR="00D77B28" w:rsidRPr="00B92A5B">
        <w:rPr>
          <w:rFonts w:ascii="Arial" w:hAnsi="Arial" w:cs="Arial"/>
          <w:i/>
          <w:color w:val="0070C0"/>
          <w:sz w:val="20"/>
          <w:szCs w:val="20"/>
          <w:lang w:val="en-US"/>
        </w:rPr>
        <w:t xml:space="preserve">Lectures on Jurisprudence. </w:t>
      </w:r>
      <w:r w:rsidR="00D77B28" w:rsidRPr="00B92A5B">
        <w:rPr>
          <w:rFonts w:ascii="Arial" w:hAnsi="Arial" w:cs="Arial"/>
          <w:i/>
          <w:color w:val="0070C0"/>
          <w:sz w:val="20"/>
          <w:szCs w:val="20"/>
        </w:rPr>
        <w:t>Report of 1762-3</w:t>
      </w:r>
      <w:r w:rsidR="00D77B28" w:rsidRPr="00B92A5B">
        <w:rPr>
          <w:rFonts w:ascii="Arial" w:hAnsi="Arial" w:cs="Arial"/>
          <w:color w:val="0070C0"/>
          <w:sz w:val="20"/>
          <w:szCs w:val="20"/>
        </w:rPr>
        <w:t xml:space="preserve">, en </w:t>
      </w:r>
      <w:r w:rsidR="00D77B28" w:rsidRPr="00B92A5B">
        <w:rPr>
          <w:rFonts w:ascii="Arial" w:hAnsi="Arial" w:cs="Arial"/>
          <w:i/>
          <w:color w:val="0070C0"/>
          <w:sz w:val="20"/>
          <w:szCs w:val="20"/>
        </w:rPr>
        <w:t>Lectures on Jurisprudence</w:t>
      </w:r>
      <w:r w:rsidR="00D77B28" w:rsidRPr="00B92A5B">
        <w:rPr>
          <w:rFonts w:ascii="Arial" w:hAnsi="Arial" w:cs="Arial"/>
          <w:color w:val="0070C0"/>
          <w:sz w:val="20"/>
          <w:szCs w:val="20"/>
        </w:rPr>
        <w:t xml:space="preserve">, Clarendon Press, Oxford, 1978, v.62, p. 294 </w:t>
      </w:r>
      <w:r w:rsidR="00EA4C90" w:rsidRPr="00B92A5B">
        <w:rPr>
          <w:rFonts w:ascii="Arial" w:hAnsi="Arial" w:cs="Arial"/>
          <w:color w:val="0070C0"/>
          <w:sz w:val="20"/>
          <w:szCs w:val="20"/>
        </w:rPr>
        <w:t xml:space="preserve">Se trata de la misma transparencia que se reclama en esa </w:t>
      </w:r>
      <w:r w:rsidR="00EA4C90" w:rsidRPr="00B92A5B">
        <w:rPr>
          <w:rFonts w:ascii="Arial" w:hAnsi="Arial" w:cs="Arial"/>
          <w:i/>
          <w:color w:val="0070C0"/>
          <w:sz w:val="20"/>
          <w:szCs w:val="20"/>
        </w:rPr>
        <w:t>primera suposición</w:t>
      </w:r>
      <w:r w:rsidR="00EA4C90" w:rsidRPr="00B92A5B">
        <w:rPr>
          <w:rFonts w:ascii="Arial" w:hAnsi="Arial" w:cs="Arial"/>
          <w:color w:val="0070C0"/>
          <w:sz w:val="20"/>
          <w:szCs w:val="20"/>
        </w:rPr>
        <w:t xml:space="preserve"> que comentamos supra—que resulten afectados los derechos del propio juez—y que devengará, en un proceso</w:t>
      </w:r>
      <w:r w:rsidR="00310BDE" w:rsidRPr="00B92A5B">
        <w:rPr>
          <w:rFonts w:ascii="Arial" w:hAnsi="Arial" w:cs="Arial"/>
          <w:color w:val="0070C0"/>
          <w:sz w:val="20"/>
          <w:szCs w:val="20"/>
        </w:rPr>
        <w:t xml:space="preserve"> (¿o regreso?) de paulatina autorreferencialidad,</w:t>
      </w:r>
      <w:r w:rsidR="00EA4C90" w:rsidRPr="00B92A5B">
        <w:rPr>
          <w:rFonts w:ascii="Arial" w:hAnsi="Arial" w:cs="Arial"/>
          <w:color w:val="0070C0"/>
          <w:sz w:val="20"/>
          <w:szCs w:val="20"/>
        </w:rPr>
        <w:t xml:space="preserve"> la instauración del sujeto como instancia ético-política dividida (juez y reo, soberano y súbdito, etc.)</w:t>
      </w:r>
      <w:r w:rsidR="00D77B28" w:rsidRPr="00B92A5B">
        <w:rPr>
          <w:rFonts w:ascii="Arial" w:hAnsi="Arial" w:cs="Arial"/>
          <w:color w:val="0070C0"/>
          <w:sz w:val="20"/>
          <w:szCs w:val="20"/>
        </w:rPr>
        <w:t xml:space="preserve"> –cfr. infra</w:t>
      </w:r>
      <w:r w:rsidR="00EA4C90" w:rsidRPr="00B92A5B">
        <w:rPr>
          <w:rFonts w:ascii="Arial" w:hAnsi="Arial" w:cs="Arial"/>
          <w:color w:val="0070C0"/>
          <w:sz w:val="20"/>
          <w:szCs w:val="20"/>
        </w:rPr>
        <w:t>.</w:t>
      </w:r>
    </w:p>
  </w:footnote>
  <w:footnote w:id="16">
    <w:p w:rsidR="00ED7CD4" w:rsidRPr="00B92A5B" w:rsidRDefault="00ED7CD4" w:rsidP="00D77B28">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Ibid., p. 171.</w:t>
      </w:r>
    </w:p>
  </w:footnote>
  <w:footnote w:id="17">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Id.</w:t>
      </w:r>
    </w:p>
  </w:footnote>
  <w:footnote w:id="18">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“La </w:t>
      </w:r>
      <w:r w:rsidRPr="00B92A5B">
        <w:rPr>
          <w:rFonts w:ascii="Arial" w:hAnsi="Arial" w:cs="Arial"/>
          <w:i/>
          <w:color w:val="0070C0"/>
        </w:rPr>
        <w:t>vuelta hacia la persona propia</w:t>
      </w:r>
      <w:r w:rsidRPr="00B92A5B">
        <w:rPr>
          <w:rFonts w:ascii="Arial" w:hAnsi="Arial" w:cs="Arial"/>
          <w:color w:val="0070C0"/>
        </w:rPr>
        <w:t xml:space="preserve"> (Die Wendgung gegen die eigene Person) [uno de los destinos de pulsión] se nos hace más comprensible si pensamos que el masoquismo es sin duda un sadismo vuelto hacia el yo propio</w:t>
      </w:r>
      <w:r w:rsidR="00C84911" w:rsidRPr="00B92A5B">
        <w:rPr>
          <w:rFonts w:ascii="Arial" w:hAnsi="Arial" w:cs="Arial"/>
          <w:color w:val="0070C0"/>
        </w:rPr>
        <w:t xml:space="preserve"> </w:t>
      </w:r>
      <w:r w:rsidR="00C84911" w:rsidRPr="00B92A5B">
        <w:rPr>
          <w:rFonts w:ascii="Arial" w:hAnsi="Arial" w:cs="Arial"/>
          <w:i/>
          <w:color w:val="0070C0"/>
        </w:rPr>
        <w:t>(ein gegen das eigene Ich)</w:t>
      </w:r>
      <w:r w:rsidRPr="00B92A5B">
        <w:rPr>
          <w:rFonts w:ascii="Arial" w:hAnsi="Arial" w:cs="Arial"/>
          <w:color w:val="0070C0"/>
        </w:rPr>
        <w:t>, y la exhibición lleva incluido el mirarse el cuerpo propio</w:t>
      </w:r>
      <w:r w:rsidR="00C84911" w:rsidRPr="00B92A5B">
        <w:rPr>
          <w:rFonts w:ascii="Arial" w:hAnsi="Arial" w:cs="Arial"/>
          <w:color w:val="0070C0"/>
        </w:rPr>
        <w:t xml:space="preserve"> </w:t>
      </w:r>
      <w:r w:rsidR="00C84911" w:rsidRPr="00B92A5B">
        <w:rPr>
          <w:rFonts w:ascii="Arial" w:hAnsi="Arial" w:cs="Arial"/>
          <w:i/>
          <w:color w:val="0070C0"/>
        </w:rPr>
        <w:t>(des eigenen Körpers)</w:t>
      </w:r>
      <w:r w:rsidRPr="00B92A5B">
        <w:rPr>
          <w:rFonts w:ascii="Arial" w:hAnsi="Arial" w:cs="Arial"/>
          <w:color w:val="0070C0"/>
        </w:rPr>
        <w:t>” (S</w:t>
      </w:r>
      <w:r w:rsidR="00FA2506" w:rsidRPr="00B92A5B">
        <w:rPr>
          <w:rFonts w:ascii="Arial" w:hAnsi="Arial" w:cs="Arial"/>
          <w:color w:val="0070C0"/>
        </w:rPr>
        <w:t>igmund</w:t>
      </w:r>
      <w:r w:rsidRPr="00B92A5B">
        <w:rPr>
          <w:rFonts w:ascii="Arial" w:hAnsi="Arial" w:cs="Arial"/>
          <w:color w:val="0070C0"/>
        </w:rPr>
        <w:t xml:space="preserve"> Freud, “Pulsiones y destinos de pulsión”, </w:t>
      </w:r>
      <w:r w:rsidRPr="00B92A5B">
        <w:rPr>
          <w:rFonts w:ascii="Arial" w:hAnsi="Arial" w:cs="Arial"/>
          <w:i/>
          <w:color w:val="0070C0"/>
        </w:rPr>
        <w:t xml:space="preserve">Obras completas. </w:t>
      </w:r>
      <w:r w:rsidRPr="00B92A5B">
        <w:rPr>
          <w:rFonts w:ascii="Arial" w:hAnsi="Arial" w:cs="Arial"/>
          <w:i/>
          <w:color w:val="0070C0"/>
          <w:lang w:val="en-US"/>
        </w:rPr>
        <w:t>Volumen 14 (1914-16)</w:t>
      </w:r>
      <w:r w:rsidRPr="00B92A5B">
        <w:rPr>
          <w:rFonts w:ascii="Arial" w:hAnsi="Arial" w:cs="Arial"/>
          <w:color w:val="0070C0"/>
          <w:lang w:val="en-US"/>
        </w:rPr>
        <w:t>, Amorrortu editores, Buenos Aires – Madrid</w:t>
      </w:r>
      <w:r w:rsidR="007122B0" w:rsidRPr="00B92A5B">
        <w:rPr>
          <w:rFonts w:ascii="Arial" w:hAnsi="Arial" w:cs="Arial"/>
          <w:color w:val="0070C0"/>
          <w:lang w:val="en-US"/>
        </w:rPr>
        <w:t xml:space="preserve">, </w:t>
      </w:r>
      <w:r w:rsidRPr="00B92A5B">
        <w:rPr>
          <w:rFonts w:ascii="Arial" w:hAnsi="Arial" w:cs="Arial"/>
          <w:color w:val="0070C0"/>
          <w:lang w:val="en-US"/>
        </w:rPr>
        <w:t xml:space="preserve"> 2007, p. 122</w:t>
      </w:r>
      <w:r w:rsidR="00C84911" w:rsidRPr="00B92A5B">
        <w:rPr>
          <w:rFonts w:ascii="Arial" w:hAnsi="Arial" w:cs="Arial"/>
          <w:color w:val="0070C0"/>
          <w:lang w:val="en-US"/>
        </w:rPr>
        <w:t xml:space="preserve">; Sigm. Freud, </w:t>
      </w:r>
      <w:r w:rsidR="00C84911" w:rsidRPr="00B92A5B">
        <w:rPr>
          <w:rFonts w:ascii="Arial" w:hAnsi="Arial" w:cs="Arial"/>
          <w:i/>
          <w:color w:val="0070C0"/>
          <w:lang w:val="en-US"/>
        </w:rPr>
        <w:t>Gesammelte Werke, zehnter Band</w:t>
      </w:r>
      <w:r w:rsidR="00C84911" w:rsidRPr="00B92A5B">
        <w:rPr>
          <w:rFonts w:ascii="Arial" w:hAnsi="Arial" w:cs="Arial"/>
          <w:color w:val="0070C0"/>
          <w:lang w:val="en-US"/>
        </w:rPr>
        <w:t xml:space="preserve">, S. Fischer Verlag, Frankfurt am Main, </w:t>
      </w:r>
      <w:r w:rsidR="00C84911" w:rsidRPr="00B92A5B">
        <w:rPr>
          <w:rFonts w:ascii="Arial" w:hAnsi="Arial" w:cs="Arial"/>
          <w:color w:val="0070C0"/>
          <w:vertAlign w:val="superscript"/>
          <w:lang w:val="en-US"/>
        </w:rPr>
        <w:t>5</w:t>
      </w:r>
      <w:r w:rsidR="00C84911" w:rsidRPr="00B92A5B">
        <w:rPr>
          <w:rFonts w:ascii="Arial" w:hAnsi="Arial" w:cs="Arial"/>
          <w:color w:val="0070C0"/>
          <w:lang w:val="en-US"/>
        </w:rPr>
        <w:t>1969, s. 220</w:t>
      </w:r>
      <w:r w:rsidRPr="00B92A5B">
        <w:rPr>
          <w:rFonts w:ascii="Arial" w:hAnsi="Arial" w:cs="Arial"/>
          <w:color w:val="0070C0"/>
          <w:lang w:val="en-US"/>
        </w:rPr>
        <w:t xml:space="preserve">). </w:t>
      </w:r>
      <w:r w:rsidRPr="00B92A5B">
        <w:rPr>
          <w:rFonts w:ascii="Arial" w:hAnsi="Arial" w:cs="Arial"/>
          <w:color w:val="0070C0"/>
        </w:rPr>
        <w:t>Que los ejemplos sean ahí los opuestos ‘sadismo – masoquismo’ y ‘placer de ver – exhibición’ no nos resultará indiferente (cfr. infra la alusión a lo que mentamos como ‘núcleo perverso’ de las relaciones inmanentes kantiana y gineriana). Pero, también resulta relevante que esa vuelta, en la que uno mismo se convierte en objeto de la pulsión, preserve, a continuación, el momento de alteridad (“Se busca de nuevo como objeto una persona ajena, que, a consecuencia de la mudanza sobrevenida en la meta, tiene que tomar sobre sí el papel de sujeto”, id., p. 123; si bien el origen del remite al otro se sitúa en una formación narcisista: “… los destinos de pulsión que consisten en la vuelta sobre el yo propio y en el trastorno de la actividad en pasividad dependen de la organización narcisista del yo y llevan impreso el sello de esta fase”, p. 127). A esa identificación especular volveremos infra para estimar si puede haber alguna fisura por la que se escurra o derrame fuera ese auto-erotismo.</w:t>
      </w:r>
    </w:p>
  </w:footnote>
  <w:footnote w:id="19">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Cfr. I. Kant, </w:t>
      </w:r>
      <w:r w:rsidRPr="00B92A5B">
        <w:rPr>
          <w:rFonts w:ascii="Arial" w:hAnsi="Arial" w:cs="Arial"/>
          <w:i/>
          <w:color w:val="0070C0"/>
        </w:rPr>
        <w:t>La Metafísica de las Costumbres</w:t>
      </w:r>
      <w:r w:rsidRPr="00B92A5B">
        <w:rPr>
          <w:rFonts w:ascii="Arial" w:hAnsi="Arial" w:cs="Arial"/>
          <w:color w:val="0070C0"/>
        </w:rPr>
        <w:t xml:space="preserve">, cit., pp. 41-43: “&amp; E. </w:t>
      </w:r>
      <w:r w:rsidRPr="00B92A5B">
        <w:rPr>
          <w:rFonts w:ascii="Arial" w:hAnsi="Arial" w:cs="Arial"/>
          <w:i/>
          <w:color w:val="0070C0"/>
        </w:rPr>
        <w:t>El derecho e s t r i c t o puede representarse también como la posibilidad de una coacción recíproca universal, concordante con la libertad de cada uno según leyes universales”</w:t>
      </w:r>
      <w:r w:rsidRPr="00B92A5B">
        <w:rPr>
          <w:rFonts w:ascii="Arial" w:hAnsi="Arial" w:cs="Arial"/>
          <w:color w:val="0070C0"/>
        </w:rPr>
        <w:t>.</w:t>
      </w:r>
    </w:p>
  </w:footnote>
  <w:footnote w:id="20">
    <w:p w:rsidR="00B92A5B" w:rsidRPr="00B92A5B" w:rsidRDefault="00ED7CD4" w:rsidP="00B92A5B">
      <w:pPr>
        <w:jc w:val="both"/>
        <w:rPr>
          <w:sz w:val="20"/>
          <w:szCs w:val="20"/>
        </w:rPr>
      </w:pPr>
      <w:r w:rsidRPr="00B92A5B">
        <w:rPr>
          <w:rStyle w:val="Refdenotaalpie"/>
          <w:rFonts w:ascii="Arial" w:hAnsi="Arial" w:cs="Arial"/>
          <w:color w:val="0070C0"/>
          <w:sz w:val="20"/>
          <w:szCs w:val="20"/>
        </w:rPr>
        <w:footnoteRef/>
      </w:r>
      <w:r w:rsidRPr="00B92A5B">
        <w:rPr>
          <w:rFonts w:ascii="Arial" w:hAnsi="Arial" w:cs="Arial"/>
          <w:color w:val="0070C0"/>
          <w:sz w:val="20"/>
          <w:szCs w:val="20"/>
        </w:rPr>
        <w:t xml:space="preserve"> F. Giner, </w:t>
      </w:r>
      <w:r w:rsidRPr="00B92A5B">
        <w:rPr>
          <w:rFonts w:ascii="Arial" w:hAnsi="Arial" w:cs="Arial"/>
          <w:i/>
          <w:color w:val="0070C0"/>
          <w:sz w:val="20"/>
          <w:szCs w:val="20"/>
        </w:rPr>
        <w:t>La persona social. Tomo II</w:t>
      </w:r>
      <w:r w:rsidRPr="00B92A5B">
        <w:rPr>
          <w:rFonts w:ascii="Arial" w:hAnsi="Arial" w:cs="Arial"/>
          <w:color w:val="0070C0"/>
          <w:sz w:val="20"/>
          <w:szCs w:val="20"/>
        </w:rPr>
        <w:t xml:space="preserve">, en </w:t>
      </w:r>
      <w:r w:rsidRPr="00B92A5B">
        <w:rPr>
          <w:rFonts w:ascii="Arial" w:hAnsi="Arial" w:cs="Arial"/>
          <w:i/>
          <w:color w:val="0070C0"/>
          <w:sz w:val="20"/>
          <w:szCs w:val="20"/>
        </w:rPr>
        <w:t>Obras completas de… IX</w:t>
      </w:r>
      <w:r w:rsidRPr="00B92A5B">
        <w:rPr>
          <w:rFonts w:ascii="Arial" w:hAnsi="Arial" w:cs="Arial"/>
          <w:color w:val="0070C0"/>
          <w:sz w:val="20"/>
          <w:szCs w:val="20"/>
        </w:rPr>
        <w:t>, Espasa-Calpe, Madrid</w:t>
      </w:r>
      <w:r w:rsidR="006E46B4" w:rsidRPr="00B92A5B">
        <w:rPr>
          <w:rFonts w:ascii="Arial" w:hAnsi="Arial" w:cs="Arial"/>
          <w:color w:val="0070C0"/>
          <w:sz w:val="20"/>
          <w:szCs w:val="20"/>
        </w:rPr>
        <w:t>,</w:t>
      </w:r>
      <w:r w:rsidRPr="00B92A5B">
        <w:rPr>
          <w:rFonts w:ascii="Arial" w:hAnsi="Arial" w:cs="Arial"/>
          <w:color w:val="0070C0"/>
          <w:sz w:val="20"/>
          <w:szCs w:val="20"/>
        </w:rPr>
        <w:t xml:space="preserve"> 1924, p. 242 y s.</w:t>
      </w:r>
      <w:r w:rsidR="005C0191" w:rsidRPr="00B92A5B">
        <w:rPr>
          <w:rFonts w:ascii="Arial" w:hAnsi="Arial" w:cs="Arial"/>
          <w:color w:val="0070C0"/>
          <w:sz w:val="20"/>
          <w:szCs w:val="20"/>
        </w:rPr>
        <w:t xml:space="preserve"> </w:t>
      </w:r>
      <w:r w:rsidR="00B92A5B" w:rsidRPr="00B92A5B">
        <w:rPr>
          <w:rFonts w:ascii="Arial" w:hAnsi="Arial" w:cs="Arial"/>
          <w:color w:val="0070C0"/>
          <w:sz w:val="20"/>
          <w:szCs w:val="20"/>
        </w:rPr>
        <w:t xml:space="preserve">Para una genealogía de esa duplicación, convendría remitirse a la teoría smithiana del </w:t>
      </w:r>
      <w:r w:rsidR="00B92A5B" w:rsidRPr="00B92A5B">
        <w:rPr>
          <w:rFonts w:ascii="Arial" w:hAnsi="Arial" w:cs="Arial"/>
          <w:i/>
          <w:color w:val="0070C0"/>
          <w:sz w:val="20"/>
          <w:szCs w:val="20"/>
        </w:rPr>
        <w:t xml:space="preserve">espectador imparcial </w:t>
      </w:r>
      <w:r w:rsidR="00B92A5B" w:rsidRPr="00B92A5B">
        <w:rPr>
          <w:rFonts w:ascii="Arial" w:hAnsi="Arial" w:cs="Arial"/>
          <w:color w:val="0070C0"/>
          <w:sz w:val="20"/>
          <w:szCs w:val="20"/>
        </w:rPr>
        <w:t>(impartial spectator)</w:t>
      </w:r>
      <w:r w:rsidR="00B92A5B" w:rsidRPr="00B92A5B">
        <w:rPr>
          <w:rFonts w:ascii="Arial" w:hAnsi="Arial" w:cs="Arial"/>
          <w:i/>
          <w:color w:val="0070C0"/>
          <w:sz w:val="20"/>
          <w:szCs w:val="20"/>
        </w:rPr>
        <w:t xml:space="preserve"> </w:t>
      </w:r>
      <w:r w:rsidR="00B92A5B" w:rsidRPr="00B92A5B">
        <w:rPr>
          <w:rFonts w:ascii="Arial" w:hAnsi="Arial" w:cs="Arial"/>
          <w:color w:val="0070C0"/>
          <w:sz w:val="20"/>
          <w:szCs w:val="20"/>
        </w:rPr>
        <w:t xml:space="preserve">como juez del sentimiento moral. La evaluación de nuestros sentimientos morales (mérito y demérito, pero también referidos a mí mismo, autoaprobación y autodesaprobación) comporta un primer momento de identificación: si se trata de la conducta de otros, sentir si nosotros, en su caso, simpatizaríamos con sus motivaciones; si se trata de nuestro comportamiento, ponernos en su lugar, para así imaginar, desde la asunción de su punto de vista, si ellos aprobarían esos sentimientos nuestros: “del mismo modo [que respecto a las acciones de otros,] aprobamos o desaprobamos nuestra conducta si sentimos que, al ponernos en el lugar de otra persona y contemplarla, por así decirlo, con sus ojos y desde su perspectiva, podemos o no asumir totalmente y simpatizar con los sentimientos y móviles que la influyeron </w:t>
      </w:r>
      <w:r w:rsidR="00B92A5B" w:rsidRPr="00B92A5B">
        <w:rPr>
          <w:rFonts w:ascii="Arial" w:hAnsi="Arial" w:cs="Arial"/>
          <w:i/>
          <w:color w:val="0070C0"/>
          <w:sz w:val="20"/>
          <w:szCs w:val="20"/>
        </w:rPr>
        <w:t>(… when we place ourselves in the situation of another man, and view it, as it were, with his eyes and from his station, we either can or cannot entirely enter into and sympathize with the sentiments and motives which influenced it</w:t>
      </w:r>
      <w:r w:rsidR="00B92A5B" w:rsidRPr="00B92A5B">
        <w:rPr>
          <w:rFonts w:ascii="Arial" w:hAnsi="Arial" w:cs="Arial"/>
          <w:color w:val="0070C0"/>
          <w:sz w:val="20"/>
          <w:szCs w:val="20"/>
        </w:rPr>
        <w:t>” (</w:t>
      </w:r>
      <w:r w:rsidR="005E30B6" w:rsidRPr="00B92A5B">
        <w:rPr>
          <w:rFonts w:ascii="Arial" w:hAnsi="Arial" w:cs="Arial"/>
          <w:color w:val="0070C0"/>
          <w:sz w:val="20"/>
          <w:szCs w:val="20"/>
        </w:rPr>
        <w:t xml:space="preserve">A. Smith, </w:t>
      </w:r>
      <w:r w:rsidR="005E30B6" w:rsidRPr="00B92A5B">
        <w:rPr>
          <w:rFonts w:ascii="Arial" w:hAnsi="Arial" w:cs="Arial"/>
          <w:i/>
          <w:color w:val="0070C0"/>
          <w:sz w:val="20"/>
          <w:szCs w:val="20"/>
        </w:rPr>
        <w:t>La teoría de los sentimientos morales</w:t>
      </w:r>
      <w:r w:rsidR="005E30B6" w:rsidRPr="00B92A5B">
        <w:rPr>
          <w:rFonts w:ascii="Arial" w:hAnsi="Arial" w:cs="Arial"/>
          <w:color w:val="0070C0"/>
          <w:sz w:val="20"/>
          <w:szCs w:val="20"/>
        </w:rPr>
        <w:t xml:space="preserve">, cit., </w:t>
      </w:r>
      <w:r w:rsidR="00B92A5B" w:rsidRPr="00B92A5B">
        <w:rPr>
          <w:rFonts w:ascii="Arial" w:hAnsi="Arial" w:cs="Arial"/>
          <w:color w:val="0070C0"/>
          <w:sz w:val="20"/>
          <w:szCs w:val="20"/>
        </w:rPr>
        <w:t>221;</w:t>
      </w:r>
      <w:r w:rsidR="005E30B6">
        <w:rPr>
          <w:rFonts w:ascii="Arial" w:hAnsi="Arial" w:cs="Arial"/>
          <w:color w:val="0070C0"/>
          <w:sz w:val="20"/>
          <w:szCs w:val="20"/>
        </w:rPr>
        <w:t xml:space="preserve"> </w:t>
      </w:r>
      <w:r w:rsidR="005E30B6">
        <w:rPr>
          <w:rFonts w:ascii="Arial" w:hAnsi="Arial" w:cs="Arial"/>
          <w:i/>
          <w:color w:val="0070C0"/>
          <w:sz w:val="20"/>
          <w:szCs w:val="20"/>
        </w:rPr>
        <w:t>The Theory…</w:t>
      </w:r>
      <w:r w:rsidR="005E30B6">
        <w:rPr>
          <w:rFonts w:ascii="Arial" w:hAnsi="Arial" w:cs="Arial"/>
          <w:color w:val="0070C0"/>
          <w:sz w:val="20"/>
          <w:szCs w:val="20"/>
        </w:rPr>
        <w:t>, cit.,</w:t>
      </w:r>
      <w:r w:rsidR="00B92A5B" w:rsidRPr="00B92A5B">
        <w:rPr>
          <w:rFonts w:ascii="Arial" w:hAnsi="Arial" w:cs="Arial"/>
          <w:color w:val="0070C0"/>
          <w:sz w:val="20"/>
          <w:szCs w:val="20"/>
        </w:rPr>
        <w:t xml:space="preserve"> III. 1.2, pp. 108 f.). Los ojos de ese tercero, supuesto imparcial y conocedor, granjean el ingreso en el orden simbólico, es decir, que podamos eslabonar la subjetividad (el egoísmo de la pasión) en la cadena social (la reputación y el respeto), y, como consecuencia, el desplazamiento imaginario del deseo en virtud de lo que presumimos estimaría ese supuesto juez: “suponemos que somos espectadores de nuestro propio comportamiento y tratamos de imaginar qué efecto produciría en nosotros visto desde tal perspectiva </w:t>
      </w:r>
      <w:r w:rsidR="00B92A5B" w:rsidRPr="00B92A5B">
        <w:rPr>
          <w:rFonts w:ascii="Arial" w:hAnsi="Arial" w:cs="Arial"/>
          <w:i/>
          <w:color w:val="0070C0"/>
          <w:sz w:val="20"/>
          <w:szCs w:val="20"/>
        </w:rPr>
        <w:t>(in this light)</w:t>
      </w:r>
      <w:r w:rsidR="00B92A5B" w:rsidRPr="00B92A5B">
        <w:rPr>
          <w:rFonts w:ascii="Arial" w:hAnsi="Arial" w:cs="Arial"/>
          <w:color w:val="0070C0"/>
          <w:sz w:val="20"/>
          <w:szCs w:val="20"/>
        </w:rPr>
        <w:t>. Ese es el único espejo mediante el cual podemos, en alguna medida, escudriñar la corrección de nuestra conducta con los ojos de los demás” (p. 224; III, 1.5, p. 112). La id</w:t>
      </w:r>
      <w:bookmarkStart w:id="0" w:name="_GoBack"/>
      <w:bookmarkEnd w:id="0"/>
      <w:r w:rsidR="00B92A5B" w:rsidRPr="00B92A5B">
        <w:rPr>
          <w:rFonts w:ascii="Arial" w:hAnsi="Arial" w:cs="Arial"/>
          <w:color w:val="0070C0"/>
          <w:sz w:val="20"/>
          <w:szCs w:val="20"/>
        </w:rPr>
        <w:t xml:space="preserve">entificación que suponen nuestras críticas de las acciones ajenas, la comparación que permite el reflejo en el espejo, pues “… nos apresuramos a observar cómo nos afectan” (p. 224), se desplaza, de vuelta, hacia nosotros mismos, resultando, a la postre, interiorizada; síntoma de esa regresión es la sinestesia de lo escópico (el reflejo del espejo) en auditivo (el eco de la voz): “Es la razón, el principio, la conciencia, el habitante del pecho, el hombre interior, el ilustre juez y árbitro de nuestra conducta. Él es quien, cuando estamos a punto de obrar de tal modo que afecte la felicidad de otros, nos advierte con una voz capaz de helar la más presuntuosa de nuestras pasiones…” (p. 253). Finalmente, esa vuelta hacia uno mismo de la identificación comporta </w:t>
      </w:r>
      <w:r w:rsidR="00B92A5B" w:rsidRPr="005E30B6">
        <w:rPr>
          <w:rFonts w:ascii="Arial" w:hAnsi="Arial" w:cs="Arial"/>
          <w:color w:val="0070C0"/>
          <w:sz w:val="20"/>
          <w:szCs w:val="20"/>
          <w:highlight w:val="yellow"/>
        </w:rPr>
        <w:t>DESDOBLAMIENTO o geminación</w:t>
      </w:r>
      <w:r w:rsidR="00B92A5B" w:rsidRPr="00B92A5B">
        <w:rPr>
          <w:rFonts w:ascii="Arial" w:hAnsi="Arial" w:cs="Arial"/>
          <w:color w:val="0070C0"/>
          <w:sz w:val="20"/>
          <w:szCs w:val="20"/>
        </w:rPr>
        <w:t xml:space="preserve">: “Cuando abordo el examen de mi propia conducta, cuando pretendo dictar una sentencia sobre ella, y aprobarla o condenarla, es evidente que en todos estos casos yo me desdoblo en dos personas, por así decirlo </w:t>
      </w:r>
      <w:r w:rsidR="00B92A5B" w:rsidRPr="00B92A5B">
        <w:rPr>
          <w:rFonts w:ascii="Arial" w:hAnsi="Arial" w:cs="Arial"/>
          <w:i/>
          <w:color w:val="0070C0"/>
          <w:sz w:val="20"/>
          <w:szCs w:val="20"/>
        </w:rPr>
        <w:t>(… I divide myself, as it were, into two persons;)</w:t>
      </w:r>
      <w:r w:rsidR="00B92A5B" w:rsidRPr="00B92A5B">
        <w:rPr>
          <w:rFonts w:ascii="Arial" w:hAnsi="Arial" w:cs="Arial"/>
          <w:color w:val="0070C0"/>
          <w:sz w:val="20"/>
          <w:szCs w:val="20"/>
        </w:rPr>
        <w:t xml:space="preserve">; y el yo que examina y juzga representa una personalidad diferente </w:t>
      </w:r>
      <w:r w:rsidR="00B92A5B" w:rsidRPr="00B92A5B">
        <w:rPr>
          <w:rFonts w:ascii="Arial" w:hAnsi="Arial" w:cs="Arial"/>
          <w:i/>
          <w:color w:val="0070C0"/>
          <w:sz w:val="20"/>
          <w:szCs w:val="20"/>
        </w:rPr>
        <w:t>(a different c</w:t>
      </w:r>
      <w:r w:rsidR="00B92A5B">
        <w:rPr>
          <w:rFonts w:ascii="Arial" w:hAnsi="Arial" w:cs="Arial"/>
          <w:i/>
          <w:color w:val="0070C0"/>
          <w:sz w:val="20"/>
          <w:szCs w:val="20"/>
        </w:rPr>
        <w:t>h</w:t>
      </w:r>
      <w:r w:rsidR="00B92A5B" w:rsidRPr="00B92A5B">
        <w:rPr>
          <w:rFonts w:ascii="Arial" w:hAnsi="Arial" w:cs="Arial"/>
          <w:i/>
          <w:color w:val="0070C0"/>
          <w:sz w:val="20"/>
          <w:szCs w:val="20"/>
        </w:rPr>
        <w:t>ar</w:t>
      </w:r>
      <w:r w:rsidR="00B92A5B">
        <w:rPr>
          <w:rFonts w:ascii="Arial" w:hAnsi="Arial" w:cs="Arial"/>
          <w:i/>
          <w:color w:val="0070C0"/>
          <w:sz w:val="20"/>
          <w:szCs w:val="20"/>
        </w:rPr>
        <w:t>a</w:t>
      </w:r>
      <w:r w:rsidR="00B92A5B" w:rsidRPr="00B92A5B">
        <w:rPr>
          <w:rFonts w:ascii="Arial" w:hAnsi="Arial" w:cs="Arial"/>
          <w:i/>
          <w:color w:val="0070C0"/>
          <w:sz w:val="20"/>
          <w:szCs w:val="20"/>
        </w:rPr>
        <w:t xml:space="preserve">cter) </w:t>
      </w:r>
      <w:r w:rsidR="00B92A5B" w:rsidRPr="00B92A5B">
        <w:rPr>
          <w:rFonts w:ascii="Arial" w:hAnsi="Arial" w:cs="Arial"/>
          <w:color w:val="0070C0"/>
          <w:sz w:val="20"/>
          <w:szCs w:val="20"/>
        </w:rPr>
        <w:t xml:space="preserve">del otro yo, el sujeto cuya conducta es examinada y enjuiciada. El primero es el espectador…” (p. 224¸III.1.6, p. 113). La internalización de ese espectador imparcial como juez </w:t>
      </w:r>
      <w:r w:rsidR="00B92A5B" w:rsidRPr="00B92A5B">
        <w:rPr>
          <w:rFonts w:ascii="Arial" w:hAnsi="Arial" w:cs="Arial"/>
          <w:i/>
          <w:color w:val="0070C0"/>
          <w:sz w:val="20"/>
          <w:szCs w:val="20"/>
        </w:rPr>
        <w:t>in pectore</w:t>
      </w:r>
      <w:r w:rsidR="00B92A5B" w:rsidRPr="00B92A5B">
        <w:rPr>
          <w:rFonts w:ascii="Arial" w:hAnsi="Arial" w:cs="Arial"/>
          <w:color w:val="0070C0"/>
          <w:sz w:val="20"/>
          <w:szCs w:val="20"/>
        </w:rPr>
        <w:t xml:space="preserve">, hasta su caracterización como </w:t>
      </w:r>
      <w:r w:rsidR="00B92A5B" w:rsidRPr="00B92A5B">
        <w:rPr>
          <w:rFonts w:ascii="Arial" w:hAnsi="Arial" w:cs="Arial"/>
          <w:i/>
          <w:color w:val="0070C0"/>
          <w:sz w:val="20"/>
          <w:szCs w:val="20"/>
        </w:rPr>
        <w:t>vicegerente de Dios que tenemos dentro de nosotros</w:t>
      </w:r>
      <w:r w:rsidR="00B92A5B" w:rsidRPr="00B92A5B">
        <w:rPr>
          <w:rFonts w:ascii="Arial" w:hAnsi="Arial" w:cs="Arial"/>
          <w:color w:val="0070C0"/>
          <w:sz w:val="20"/>
          <w:szCs w:val="20"/>
        </w:rPr>
        <w:t xml:space="preserve"> (cfr., por ej., p. 294) creo que podrían remitirse a las representaciones medievales del pontífice. Una, su concepción como </w:t>
      </w:r>
      <w:r w:rsidR="00B92A5B" w:rsidRPr="00B92A5B">
        <w:rPr>
          <w:rFonts w:ascii="Arial" w:hAnsi="Arial" w:cs="Arial"/>
          <w:i/>
          <w:color w:val="0070C0"/>
          <w:sz w:val="20"/>
          <w:szCs w:val="20"/>
          <w:highlight w:val="yellow"/>
        </w:rPr>
        <w:t>vice-Cristo</w:t>
      </w:r>
      <w:r w:rsidR="00B92A5B" w:rsidRPr="00B92A5B">
        <w:rPr>
          <w:rFonts w:ascii="Arial" w:hAnsi="Arial" w:cs="Arial"/>
          <w:color w:val="0070C0"/>
          <w:sz w:val="20"/>
          <w:szCs w:val="20"/>
          <w:highlight w:val="yellow"/>
        </w:rPr>
        <w:t>:</w:t>
      </w:r>
      <w:r w:rsidR="00B92A5B" w:rsidRPr="00B92A5B">
        <w:rPr>
          <w:rFonts w:ascii="Arial" w:hAnsi="Arial" w:cs="Arial"/>
          <w:color w:val="0070C0"/>
          <w:sz w:val="20"/>
          <w:szCs w:val="20"/>
        </w:rPr>
        <w:t xml:space="preserve"> “Au Moyen Âge […], l’écriture de la règle est entre les mains de l’instance ecclésiastique hors-temps fondée par le Messi – legimité qu’exprime, en écho au concept juridique romain de mandat, la formule appliquée à l’autorité pontificale : « </w:t>
      </w:r>
      <w:r w:rsidR="00B92A5B" w:rsidRPr="00B92A5B">
        <w:rPr>
          <w:rFonts w:ascii="Arial" w:hAnsi="Arial" w:cs="Arial"/>
          <w:i/>
          <w:color w:val="0070C0"/>
          <w:sz w:val="20"/>
          <w:szCs w:val="20"/>
        </w:rPr>
        <w:t>plenitudo potestatis</w:t>
      </w:r>
      <w:r w:rsidR="00B92A5B" w:rsidRPr="00B92A5B">
        <w:rPr>
          <w:rFonts w:ascii="Arial" w:hAnsi="Arial" w:cs="Arial"/>
          <w:color w:val="0070C0"/>
          <w:sz w:val="20"/>
          <w:szCs w:val="20"/>
        </w:rPr>
        <w:t xml:space="preserve"> » (= plénitude de pouvoir) ; de cette notion finement travaillée par les glossateurs descende ccelle, inférieure en dignité, de « sollicitudo », proche de l’idée administrative de gestion” (Pierre Legendre, </w:t>
      </w:r>
      <w:r w:rsidR="00B92A5B" w:rsidRPr="00B92A5B">
        <w:rPr>
          <w:rFonts w:ascii="Arial" w:hAnsi="Arial" w:cs="Arial"/>
          <w:i/>
          <w:color w:val="0070C0"/>
          <w:sz w:val="20"/>
          <w:szCs w:val="20"/>
        </w:rPr>
        <w:t>Leçons IX. L’autre Bible de l’Occident : Le Monument romano-canonique. Étude sur l’architecture dogmatique des societés</w:t>
      </w:r>
      <w:r w:rsidR="00B92A5B" w:rsidRPr="00B92A5B">
        <w:rPr>
          <w:rFonts w:ascii="Arial" w:hAnsi="Arial" w:cs="Arial"/>
          <w:color w:val="0070C0"/>
          <w:sz w:val="20"/>
          <w:szCs w:val="20"/>
        </w:rPr>
        <w:t xml:space="preserve">, Fayard, Paris, 2009, p. 131). Y otra, vinculada con la </w:t>
      </w:r>
      <w:r w:rsidR="00B92A5B" w:rsidRPr="00B92A5B">
        <w:rPr>
          <w:rFonts w:ascii="Arial" w:hAnsi="Arial" w:cs="Arial"/>
          <w:i/>
          <w:color w:val="0070C0"/>
          <w:sz w:val="20"/>
          <w:szCs w:val="20"/>
        </w:rPr>
        <w:t>Donatio Constantini</w:t>
      </w:r>
      <w:r w:rsidR="00B92A5B" w:rsidRPr="00B92A5B">
        <w:rPr>
          <w:rFonts w:ascii="Arial" w:hAnsi="Arial" w:cs="Arial"/>
          <w:color w:val="0070C0"/>
          <w:sz w:val="20"/>
          <w:szCs w:val="20"/>
        </w:rPr>
        <w:t xml:space="preserve">:  “… le pape peut-il á bon droit être reconnu par les canonistes sous le statut impérial de la </w:t>
      </w:r>
      <w:r w:rsidR="00B92A5B" w:rsidRPr="00B92A5B">
        <w:rPr>
          <w:rFonts w:ascii="Arial" w:hAnsi="Arial" w:cs="Arial"/>
          <w:i/>
          <w:color w:val="0070C0"/>
          <w:sz w:val="20"/>
          <w:szCs w:val="20"/>
        </w:rPr>
        <w:t>loi qui respire</w:t>
      </w:r>
      <w:r w:rsidR="00B92A5B" w:rsidRPr="00B92A5B">
        <w:rPr>
          <w:rFonts w:ascii="Arial" w:hAnsi="Arial" w:cs="Arial"/>
          <w:color w:val="0070C0"/>
          <w:sz w:val="20"/>
          <w:szCs w:val="20"/>
        </w:rPr>
        <w:t xml:space="preserve"> (« </w:t>
      </w:r>
      <w:r w:rsidR="00B92A5B" w:rsidRPr="00B92A5B">
        <w:rPr>
          <w:rFonts w:ascii="Arial" w:hAnsi="Arial" w:cs="Arial"/>
          <w:i/>
          <w:color w:val="0070C0"/>
          <w:sz w:val="20"/>
          <w:szCs w:val="20"/>
        </w:rPr>
        <w:t>lex animata</w:t>
      </w:r>
      <w:r w:rsidR="00B92A5B" w:rsidRPr="00B92A5B">
        <w:rPr>
          <w:rFonts w:ascii="Arial" w:hAnsi="Arial" w:cs="Arial"/>
          <w:color w:val="0070C0"/>
          <w:sz w:val="20"/>
          <w:szCs w:val="20"/>
        </w:rPr>
        <w:t xml:space="preserve"> »). Et de la même manière […] la scolastique des glossateurs se réfère sans hésitation au scénario mythologique du Sachant, qui dans l’Antiquité tardive servait à designer la position de l’empereur, notamment en sa qualité de maître du dernier mot dans les jugements : « </w:t>
      </w:r>
      <w:r w:rsidR="00B92A5B" w:rsidRPr="00B92A5B">
        <w:rPr>
          <w:rFonts w:ascii="Arial" w:hAnsi="Arial" w:cs="Arial"/>
          <w:i/>
          <w:color w:val="0070C0"/>
          <w:sz w:val="20"/>
          <w:szCs w:val="20"/>
        </w:rPr>
        <w:t>Il a tout le droit dans l’archive de sa poitrine</w:t>
      </w:r>
      <w:r w:rsidR="00B92A5B" w:rsidRPr="00B92A5B">
        <w:rPr>
          <w:rFonts w:ascii="Arial" w:hAnsi="Arial" w:cs="Arial"/>
          <w:color w:val="0070C0"/>
          <w:sz w:val="20"/>
          <w:szCs w:val="20"/>
        </w:rPr>
        <w:t xml:space="preserve"> » (« </w:t>
      </w:r>
      <w:r w:rsidR="00B92A5B" w:rsidRPr="00B92A5B">
        <w:rPr>
          <w:rFonts w:ascii="Arial" w:hAnsi="Arial" w:cs="Arial"/>
          <w:i/>
          <w:color w:val="0070C0"/>
          <w:sz w:val="20"/>
          <w:szCs w:val="20"/>
        </w:rPr>
        <w:t>Omnia iura habet in scrinio pectoris sui</w:t>
      </w:r>
      <w:r w:rsidR="00B92A5B" w:rsidRPr="00B92A5B">
        <w:rPr>
          <w:rFonts w:ascii="Arial" w:hAnsi="Arial" w:cs="Arial"/>
          <w:color w:val="0070C0"/>
          <w:sz w:val="20"/>
          <w:szCs w:val="20"/>
        </w:rPr>
        <w:t xml:space="preserve"> »)” (Ibid., p. 132).</w:t>
      </w:r>
    </w:p>
    <w:p w:rsidR="00ED7CD4" w:rsidRPr="00B92A5B" w:rsidRDefault="00ED7CD4" w:rsidP="00C42BF5">
      <w:pPr>
        <w:pStyle w:val="Textonotapie"/>
        <w:jc w:val="both"/>
        <w:rPr>
          <w:rFonts w:ascii="Arial" w:hAnsi="Arial" w:cs="Arial"/>
          <w:color w:val="0070C0"/>
        </w:rPr>
      </w:pPr>
    </w:p>
  </w:footnote>
  <w:footnote w:id="21">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“Lo esencial no es que la palabra [«perdón»] sea dicha sino que sea </w:t>
      </w:r>
      <w:r w:rsidRPr="00B92A5B">
        <w:rPr>
          <w:rFonts w:ascii="Arial" w:hAnsi="Arial" w:cs="Arial"/>
          <w:i/>
          <w:color w:val="0070C0"/>
        </w:rPr>
        <w:t>significada</w:t>
      </w:r>
      <w:r w:rsidRPr="00B92A5B">
        <w:rPr>
          <w:rFonts w:ascii="Arial" w:hAnsi="Arial" w:cs="Arial"/>
          <w:color w:val="0070C0"/>
        </w:rPr>
        <w:t>, que un perdón solicitado sea significado, como una gracia solicitada, un «</w:t>
      </w:r>
      <w:r w:rsidRPr="00B92A5B">
        <w:rPr>
          <w:rFonts w:ascii="Arial" w:hAnsi="Arial" w:cs="Arial"/>
          <w:i/>
          <w:color w:val="0070C0"/>
        </w:rPr>
        <w:t>mercy</w:t>
      </w:r>
      <w:r w:rsidRPr="00B92A5B">
        <w:rPr>
          <w:rFonts w:ascii="Arial" w:hAnsi="Arial" w:cs="Arial"/>
          <w:color w:val="0070C0"/>
        </w:rPr>
        <w:t xml:space="preserve">» solicitado, y con este perdón-solicitado, antes de él, una expiación, un remordimiento, un arrepentimiento, una confesión, una manera de acusarse, de apuntar sobre sí con un dedo acusador y autorreferencial, autodeíctico, del cual, se dice, bien rápido, el animal sería incapaz. Se espera, pero se exige también que el culpable cumpla con su deber, que pague su deuda, que pronuncie o manifieste el </w:t>
      </w:r>
      <w:r w:rsidRPr="00B92A5B">
        <w:rPr>
          <w:rFonts w:ascii="Arial" w:hAnsi="Arial" w:cs="Arial"/>
          <w:i/>
          <w:color w:val="0070C0"/>
        </w:rPr>
        <w:t>mea culpa</w:t>
      </w:r>
      <w:r w:rsidRPr="00B92A5B">
        <w:rPr>
          <w:rFonts w:ascii="Arial" w:hAnsi="Arial" w:cs="Arial"/>
          <w:color w:val="0070C0"/>
        </w:rPr>
        <w:t xml:space="preserve"> de quien puede golpearse el pecho y, reconociendo el crimen, disociarse del sujeto culpable, del sujeto que ha sido culpable” (J</w:t>
      </w:r>
      <w:r w:rsidR="007122B0" w:rsidRPr="00B92A5B">
        <w:rPr>
          <w:rFonts w:ascii="Arial" w:hAnsi="Arial" w:cs="Arial"/>
          <w:color w:val="0070C0"/>
        </w:rPr>
        <w:t>acques</w:t>
      </w:r>
      <w:r w:rsidRPr="00B92A5B">
        <w:rPr>
          <w:rFonts w:ascii="Arial" w:hAnsi="Arial" w:cs="Arial"/>
          <w:color w:val="0070C0"/>
        </w:rPr>
        <w:t xml:space="preserve"> Derrida, </w:t>
      </w:r>
      <w:r w:rsidRPr="00B92A5B">
        <w:rPr>
          <w:rFonts w:ascii="Arial" w:hAnsi="Arial" w:cs="Arial"/>
          <w:i/>
          <w:color w:val="0070C0"/>
        </w:rPr>
        <w:t>Perdonar Lo imperdonable y lo imprescriptible</w:t>
      </w:r>
      <w:r w:rsidRPr="00B92A5B">
        <w:rPr>
          <w:rFonts w:ascii="Arial" w:hAnsi="Arial" w:cs="Arial"/>
          <w:color w:val="0070C0"/>
        </w:rPr>
        <w:t>, Avarigani Editores, Madrid</w:t>
      </w:r>
      <w:r w:rsidR="007122B0" w:rsidRPr="00B92A5B">
        <w:rPr>
          <w:rFonts w:ascii="Arial" w:hAnsi="Arial" w:cs="Arial"/>
          <w:color w:val="0070C0"/>
        </w:rPr>
        <w:t>,</w:t>
      </w:r>
      <w:r w:rsidRPr="00B92A5B">
        <w:rPr>
          <w:rFonts w:ascii="Arial" w:hAnsi="Arial" w:cs="Arial"/>
          <w:color w:val="0070C0"/>
        </w:rPr>
        <w:t xml:space="preserve"> 2015, p. 41). No obstante, esa especularidad está ya difractada por su propia condición, que es la de otro, un tercero: “… Levinas lo reconoce, desde el primer instante. A partir del momento en que hay </w:t>
      </w:r>
      <w:r w:rsidRPr="00B92A5B">
        <w:rPr>
          <w:rFonts w:ascii="Arial" w:hAnsi="Arial" w:cs="Arial"/>
          <w:i/>
          <w:color w:val="0070C0"/>
        </w:rPr>
        <w:t>derecho</w:t>
      </w:r>
      <w:r w:rsidRPr="00B92A5B">
        <w:rPr>
          <w:rFonts w:ascii="Arial" w:hAnsi="Arial" w:cs="Arial"/>
          <w:color w:val="0070C0"/>
        </w:rPr>
        <w:t xml:space="preserve"> y </w:t>
      </w:r>
      <w:r w:rsidRPr="00B92A5B">
        <w:rPr>
          <w:rFonts w:ascii="Arial" w:hAnsi="Arial" w:cs="Arial"/>
          <w:i/>
          <w:color w:val="0070C0"/>
        </w:rPr>
        <w:t>tres</w:t>
      </w:r>
      <w:r w:rsidRPr="00B92A5B">
        <w:rPr>
          <w:rFonts w:ascii="Arial" w:hAnsi="Arial" w:cs="Arial"/>
          <w:color w:val="0070C0"/>
        </w:rPr>
        <w:t>. Hay al menos tres desde las primeras luces del cara a cara, desde la primera mirada, desde el cruce de la primera mirada que se ve mirada. El cara-a-cara es a la vez interrumpido y posibilitado por el tercero. Entonces, es la propia justicia la que me hace perjurar y me precipita en la escena del perdón” (Ibid., p. 69).</w:t>
      </w:r>
    </w:p>
  </w:footnote>
  <w:footnote w:id="22">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“Todo hombre tiene conciencia moral y un juez interno le observa, le amenaza, le mantiene en el respeto (respeto unido al miedo), y este poder, que vela en él por las leyes, no es algo que él se forma (arbitrariamente), sino que está incorporado a su ser. Le sigue como su sombra cuando piensa escapar. El puede ciertamente aturdirse o adormecerse con placeres y diversiones, pero no puede evitar volver en sí o despertar tan pronto como oye su temible voz. El hombre puede en su extrema depravación hasta no hacerle ningún caso pero, sin embargo, no puede dejar de </w:t>
      </w:r>
      <w:r w:rsidRPr="00B92A5B">
        <w:rPr>
          <w:rFonts w:ascii="Arial" w:hAnsi="Arial" w:cs="Arial"/>
          <w:i/>
          <w:color w:val="0070C0"/>
        </w:rPr>
        <w:t>oírla</w:t>
      </w:r>
      <w:r w:rsidRPr="00B92A5B">
        <w:rPr>
          <w:rFonts w:ascii="Arial" w:hAnsi="Arial" w:cs="Arial"/>
          <w:color w:val="0070C0"/>
        </w:rPr>
        <w:t xml:space="preserve">” (I. Kant, </w:t>
      </w:r>
      <w:r w:rsidRPr="00B92A5B">
        <w:rPr>
          <w:rFonts w:ascii="Arial" w:hAnsi="Arial" w:cs="Arial"/>
          <w:i/>
          <w:color w:val="0070C0"/>
        </w:rPr>
        <w:t>La Metafísica de las Costumbres</w:t>
      </w:r>
      <w:r w:rsidRPr="00B92A5B">
        <w:rPr>
          <w:rFonts w:ascii="Arial" w:hAnsi="Arial" w:cs="Arial"/>
          <w:color w:val="0070C0"/>
        </w:rPr>
        <w:t xml:space="preserve">, cit., p. 303). Cfr., para comparar con la postura gineriana, J. M. Vázquez-Romero, “La educación de nosotros mismos: el problema de la subjetividad y los fundamentos de la pedagogía gineriana”, en J. C. Torre, E. Gil Coria (Eds.), </w:t>
      </w:r>
      <w:r w:rsidRPr="00B92A5B">
        <w:rPr>
          <w:rFonts w:ascii="Arial" w:hAnsi="Arial" w:cs="Arial"/>
          <w:i/>
          <w:color w:val="0070C0"/>
        </w:rPr>
        <w:t>Hacia una enseñanza universitaria centrada en el aprendizaje</w:t>
      </w:r>
      <w:r w:rsidRPr="00B92A5B">
        <w:rPr>
          <w:rFonts w:ascii="Arial" w:hAnsi="Arial" w:cs="Arial"/>
          <w:color w:val="0070C0"/>
        </w:rPr>
        <w:t>, Publicaciones de la Universidad Pontificia Comillas, Madrid</w:t>
      </w:r>
      <w:r w:rsidR="007122B0" w:rsidRPr="00B92A5B">
        <w:rPr>
          <w:rFonts w:ascii="Arial" w:hAnsi="Arial" w:cs="Arial"/>
          <w:color w:val="0070C0"/>
        </w:rPr>
        <w:t>,</w:t>
      </w:r>
      <w:r w:rsidRPr="00B92A5B">
        <w:rPr>
          <w:rFonts w:ascii="Arial" w:hAnsi="Arial" w:cs="Arial"/>
          <w:color w:val="0070C0"/>
        </w:rPr>
        <w:t xml:space="preserve"> 2004, pp. 74-98, especialmente pp. 86-98. Acerca de esta última postura, cabe señalar que, de resultas de la subjetivización del derecho, la coerción misma se interioriza como “… una coacción «moral», o «ideal», que en efecto se produce, pero que precisamente es lo contrario de lo que suponen los partidarios de la coactividad </w:t>
      </w:r>
      <w:r w:rsidRPr="00B92A5B">
        <w:rPr>
          <w:rFonts w:ascii="Arial" w:hAnsi="Arial" w:cs="Arial"/>
          <w:i/>
          <w:color w:val="0070C0"/>
        </w:rPr>
        <w:t>material</w:t>
      </w:r>
      <w:r w:rsidRPr="00B92A5B">
        <w:rPr>
          <w:rFonts w:ascii="Arial" w:hAnsi="Arial" w:cs="Arial"/>
          <w:color w:val="0070C0"/>
        </w:rPr>
        <w:t xml:space="preserve"> del Derecho” (F. Giner, A. Calderón, </w:t>
      </w:r>
      <w:r w:rsidRPr="00B92A5B">
        <w:rPr>
          <w:rFonts w:ascii="Arial" w:hAnsi="Arial" w:cs="Arial"/>
          <w:i/>
          <w:color w:val="0070C0"/>
        </w:rPr>
        <w:t>Resumen de filosofía del Derecho</w:t>
      </w:r>
      <w:r w:rsidRPr="00B92A5B">
        <w:rPr>
          <w:rFonts w:ascii="Arial" w:hAnsi="Arial" w:cs="Arial"/>
          <w:color w:val="0070C0"/>
        </w:rPr>
        <w:t>, t. I, cit., p. 72). Pero, ¿no ocurre que “… el ojo interior es mucho más audaz y menos púdico que el exterior (de donde resulta la conocida dificultad y casi imposibilidad de transformar temas épicos en dramáticos)”?” (F</w:t>
      </w:r>
      <w:r w:rsidR="00FA2506" w:rsidRPr="00B92A5B">
        <w:rPr>
          <w:rFonts w:ascii="Arial" w:hAnsi="Arial" w:cs="Arial"/>
          <w:color w:val="0070C0"/>
        </w:rPr>
        <w:t>riedrich</w:t>
      </w:r>
      <w:r w:rsidRPr="00B92A5B">
        <w:rPr>
          <w:rFonts w:ascii="Arial" w:hAnsi="Arial" w:cs="Arial"/>
          <w:color w:val="0070C0"/>
        </w:rPr>
        <w:t xml:space="preserve"> Nietzsche, </w:t>
      </w:r>
      <w:r w:rsidRPr="00B92A5B">
        <w:rPr>
          <w:rFonts w:ascii="Arial" w:hAnsi="Arial" w:cs="Arial"/>
          <w:i/>
          <w:color w:val="0070C0"/>
        </w:rPr>
        <w:t>Humano, demasiado humano</w:t>
      </w:r>
      <w:r w:rsidRPr="00B92A5B">
        <w:rPr>
          <w:rFonts w:ascii="Arial" w:hAnsi="Arial" w:cs="Arial"/>
          <w:color w:val="0070C0"/>
        </w:rPr>
        <w:t xml:space="preserve">, vol II, §222, en </w:t>
      </w:r>
      <w:r w:rsidRPr="00B92A5B">
        <w:rPr>
          <w:rFonts w:ascii="Arial" w:hAnsi="Arial" w:cs="Arial"/>
          <w:i/>
          <w:color w:val="0070C0"/>
        </w:rPr>
        <w:t>Obras completas. Volumen III</w:t>
      </w:r>
      <w:r w:rsidRPr="00B92A5B">
        <w:rPr>
          <w:rFonts w:ascii="Arial" w:hAnsi="Arial" w:cs="Arial"/>
          <w:color w:val="0070C0"/>
        </w:rPr>
        <w:t xml:space="preserve">, Editorial Tecnos, Madrid 2014, p. 334 y s.). El escándalo que provoca el concepto de derecho krauso-gineriano vendría de esa transformación difícil o imposible de un </w:t>
      </w:r>
      <w:r w:rsidRPr="00B92A5B">
        <w:rPr>
          <w:rFonts w:ascii="Arial" w:hAnsi="Arial" w:cs="Arial"/>
          <w:i/>
          <w:color w:val="0070C0"/>
        </w:rPr>
        <w:t>derecho épico</w:t>
      </w:r>
      <w:r w:rsidRPr="00B92A5B">
        <w:rPr>
          <w:rFonts w:ascii="Arial" w:hAnsi="Arial" w:cs="Arial"/>
          <w:color w:val="0070C0"/>
        </w:rPr>
        <w:t xml:space="preserve"> (exterior y coactivo materialmente) en un </w:t>
      </w:r>
      <w:r w:rsidRPr="00B92A5B">
        <w:rPr>
          <w:rFonts w:ascii="Arial" w:hAnsi="Arial" w:cs="Arial"/>
          <w:i/>
          <w:color w:val="0070C0"/>
        </w:rPr>
        <w:t>derecho dramático</w:t>
      </w:r>
      <w:r w:rsidRPr="00B92A5B">
        <w:rPr>
          <w:rFonts w:ascii="Arial" w:hAnsi="Arial" w:cs="Arial"/>
          <w:color w:val="0070C0"/>
        </w:rPr>
        <w:t xml:space="preserve"> (interior y coactivo moralmente).</w:t>
      </w:r>
    </w:p>
  </w:footnote>
  <w:footnote w:id="23">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 aun suponiéndonos en el más absoluto aislamiento, no dejaríamos de tener fines que cumplir y una actividad que aplicarles…” (F. Giner, A. Calderón, </w:t>
      </w:r>
      <w:r w:rsidRPr="00B92A5B">
        <w:rPr>
          <w:rFonts w:ascii="Arial" w:hAnsi="Arial" w:cs="Arial"/>
          <w:i/>
          <w:color w:val="0070C0"/>
        </w:rPr>
        <w:t>Resumen de filosofía del Derecho. Tomo I</w:t>
      </w:r>
      <w:r w:rsidRPr="00B92A5B">
        <w:rPr>
          <w:rFonts w:ascii="Arial" w:hAnsi="Arial" w:cs="Arial"/>
          <w:color w:val="0070C0"/>
        </w:rPr>
        <w:t xml:space="preserve">, cit., p. 63), por lo que, una vez más, podemos hacer extensivo un dictamen acerca de la moral, el que “en cuestiones morales, el hombre no se trata a sí mismo como </w:t>
      </w:r>
      <w:r w:rsidRPr="00B92A5B">
        <w:rPr>
          <w:rFonts w:ascii="Arial" w:hAnsi="Arial" w:cs="Arial"/>
          <w:i/>
          <w:color w:val="0070C0"/>
        </w:rPr>
        <w:t>individuum</w:t>
      </w:r>
      <w:r w:rsidRPr="00B92A5B">
        <w:rPr>
          <w:rFonts w:ascii="Arial" w:hAnsi="Arial" w:cs="Arial"/>
          <w:color w:val="0070C0"/>
        </w:rPr>
        <w:t xml:space="preserve">, sino como </w:t>
      </w:r>
      <w:r w:rsidRPr="00B92A5B">
        <w:rPr>
          <w:rFonts w:ascii="Arial" w:hAnsi="Arial" w:cs="Arial"/>
          <w:i/>
          <w:color w:val="0070C0"/>
        </w:rPr>
        <w:t>dividuum</w:t>
      </w:r>
      <w:r w:rsidRPr="00B92A5B">
        <w:rPr>
          <w:rFonts w:ascii="Arial" w:hAnsi="Arial" w:cs="Arial"/>
          <w:color w:val="0070C0"/>
        </w:rPr>
        <w:t xml:space="preserve">” (F. Nietzche, </w:t>
      </w:r>
      <w:r w:rsidRPr="00B92A5B">
        <w:rPr>
          <w:rFonts w:ascii="Arial" w:hAnsi="Arial" w:cs="Arial"/>
          <w:i/>
          <w:color w:val="0070C0"/>
        </w:rPr>
        <w:t>Humano, demasiado humano</w:t>
      </w:r>
      <w:r w:rsidRPr="00B92A5B">
        <w:rPr>
          <w:rFonts w:ascii="Arial" w:hAnsi="Arial" w:cs="Arial"/>
          <w:color w:val="0070C0"/>
        </w:rPr>
        <w:t xml:space="preserve">, vol I, §57, cit., p. 105) al derecho. Acerca de la relación de las dos facetas, paranoide y narcisística, apuntadas como amenazas de ese </w:t>
      </w:r>
      <w:r w:rsidRPr="00B92A5B">
        <w:rPr>
          <w:rFonts w:ascii="Arial" w:hAnsi="Arial" w:cs="Arial"/>
          <w:i/>
          <w:color w:val="0070C0"/>
        </w:rPr>
        <w:t>dividuum</w:t>
      </w:r>
      <w:r w:rsidRPr="00B92A5B">
        <w:rPr>
          <w:rFonts w:ascii="Arial" w:hAnsi="Arial" w:cs="Arial"/>
          <w:color w:val="0070C0"/>
        </w:rPr>
        <w:t>: “No nos asombraría que nos estuviera deparada hallar una instancia psíquica particular cuyo cometido fuese velar por el aseguramiento de la satisfacción narcisista proveniente del ideal del yo, y con este propósito observase de manera continua al yo actual midiéndolo con el ideal. […] nos es lícito decir que lo que llamamos nuestra conciencia moral satisface esa caracterización. Admitir esa instancia nos posibilita comprender el llamado delirio de ser notado {</w:t>
      </w:r>
      <w:r w:rsidRPr="00B92A5B">
        <w:rPr>
          <w:rFonts w:ascii="Arial" w:hAnsi="Arial" w:cs="Arial"/>
          <w:i/>
          <w:color w:val="0070C0"/>
        </w:rPr>
        <w:t>Beachtungswahn</w:t>
      </w:r>
      <w:r w:rsidRPr="00B92A5B">
        <w:rPr>
          <w:rFonts w:ascii="Arial" w:hAnsi="Arial" w:cs="Arial"/>
          <w:color w:val="0070C0"/>
        </w:rPr>
        <w:t xml:space="preserve">} o, mejor, de </w:t>
      </w:r>
      <w:r w:rsidRPr="00B92A5B">
        <w:rPr>
          <w:rFonts w:ascii="Arial" w:hAnsi="Arial" w:cs="Arial"/>
          <w:i/>
          <w:color w:val="0070C0"/>
        </w:rPr>
        <w:t>ser observado</w:t>
      </w:r>
      <w:r w:rsidRPr="00B92A5B">
        <w:rPr>
          <w:rFonts w:ascii="Arial" w:hAnsi="Arial" w:cs="Arial"/>
          <w:color w:val="0070C0"/>
        </w:rPr>
        <w:t xml:space="preserve"> {</w:t>
      </w:r>
      <w:r w:rsidRPr="00B92A5B">
        <w:rPr>
          <w:rFonts w:ascii="Arial" w:hAnsi="Arial" w:cs="Arial"/>
          <w:i/>
          <w:color w:val="0070C0"/>
        </w:rPr>
        <w:t>Beobachtungswahn</w:t>
      </w:r>
      <w:r w:rsidRPr="00B92A5B">
        <w:rPr>
          <w:rFonts w:ascii="Arial" w:hAnsi="Arial" w:cs="Arial"/>
          <w:color w:val="0070C0"/>
        </w:rPr>
        <w:t xml:space="preserve">}, que con tanta nitidez aflora en la sintomatología de las enfermedades paranoides […]. Los enfermos se quejan de que alguien conoce todos sus pensamientos, observa y vigila sus acciones; son informados del imperio de esta instancia por voces que, de manera caraterística, les hablan en tercera persona («Ahora ella piensa de nuevo en eso»; «Ahora él se marcha».) […/] La incitación para formar el ideal del yo, cuya tutela se confía a la conciencia moral, partió en efecto de la influencia crítica de los padres, ahora agenciada por las voces, y a la que en el curso del tiempo se sumaron los educadores, los maestros y, como un enjambre indeterminado e inabarcable, todas las otras personas del medio (los prójimos, la opinión pública)” (S. Freud, </w:t>
      </w:r>
      <w:r w:rsidRPr="00B92A5B">
        <w:rPr>
          <w:rFonts w:ascii="Arial" w:hAnsi="Arial" w:cs="Arial"/>
          <w:i/>
          <w:color w:val="0070C0"/>
        </w:rPr>
        <w:t>Introducción al narcisismo</w:t>
      </w:r>
      <w:r w:rsidRPr="00B92A5B">
        <w:rPr>
          <w:rFonts w:ascii="Arial" w:hAnsi="Arial" w:cs="Arial"/>
          <w:color w:val="0070C0"/>
        </w:rPr>
        <w:t xml:space="preserve">, en </w:t>
      </w:r>
      <w:r w:rsidRPr="00B92A5B">
        <w:rPr>
          <w:rFonts w:ascii="Arial" w:hAnsi="Arial" w:cs="Arial"/>
          <w:i/>
          <w:color w:val="0070C0"/>
        </w:rPr>
        <w:t>Obras completas. Volumen 14 (1914-1916)</w:t>
      </w:r>
      <w:r w:rsidRPr="00B92A5B">
        <w:rPr>
          <w:rFonts w:ascii="Arial" w:hAnsi="Arial" w:cs="Arial"/>
          <w:color w:val="0070C0"/>
        </w:rPr>
        <w:t>, cit., p. 92). ¿No se hace, entonces, patente la impronta narcisista que remite el ser-mirado a la propia persona? En tal sentido, el ‘oírse’—el oír el comando de la equidad, la voz de la conciencia—es todavía más revelador del carácter autorreferencial (autoerótico).</w:t>
      </w:r>
    </w:p>
  </w:footnote>
  <w:footnote w:id="24">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“La ruptura del «reposo eterno» por el tiempo en el cual el ser se torna conciencia y conciencia de sí al igualarse después de la ruptura es algo que supone el sí mismo. Presentar el nudo de la ipseidad en el hilo directo de la </w:t>
      </w:r>
      <w:r w:rsidRPr="00B92A5B">
        <w:rPr>
          <w:rFonts w:ascii="Arial" w:hAnsi="Arial" w:cs="Arial"/>
          <w:i/>
          <w:color w:val="0070C0"/>
        </w:rPr>
        <w:t>esencia</w:t>
      </w:r>
      <w:r w:rsidRPr="00B92A5B">
        <w:rPr>
          <w:rFonts w:ascii="Arial" w:hAnsi="Arial" w:cs="Arial"/>
          <w:color w:val="0070C0"/>
        </w:rPr>
        <w:t xml:space="preserve"> sobre el modelo de la intencionalidad del </w:t>
      </w:r>
      <w:r w:rsidRPr="00B92A5B">
        <w:rPr>
          <w:rFonts w:ascii="Arial" w:hAnsi="Arial" w:cs="Arial"/>
          <w:i/>
          <w:color w:val="0070C0"/>
        </w:rPr>
        <w:t>para sí</w:t>
      </w:r>
      <w:r w:rsidRPr="00B92A5B">
        <w:rPr>
          <w:rFonts w:ascii="Arial" w:hAnsi="Arial" w:cs="Arial"/>
          <w:color w:val="0070C0"/>
        </w:rPr>
        <w:t xml:space="preserve"> o como la abertura de la reflexión sobre sí misma, es poner una nueva ipseidad detrás de la que se quería reducir” (E</w:t>
      </w:r>
      <w:r w:rsidR="00FA2506" w:rsidRPr="00B92A5B">
        <w:rPr>
          <w:rFonts w:ascii="Arial" w:hAnsi="Arial" w:cs="Arial"/>
          <w:color w:val="0070C0"/>
        </w:rPr>
        <w:t>mmanuel</w:t>
      </w:r>
      <w:r w:rsidRPr="00B92A5B">
        <w:rPr>
          <w:rFonts w:ascii="Arial" w:hAnsi="Arial" w:cs="Arial"/>
          <w:color w:val="0070C0"/>
        </w:rPr>
        <w:t xml:space="preserve"> Levinas, </w:t>
      </w:r>
      <w:r w:rsidRPr="00B92A5B">
        <w:rPr>
          <w:rFonts w:ascii="Arial" w:hAnsi="Arial" w:cs="Arial"/>
          <w:i/>
          <w:color w:val="0070C0"/>
        </w:rPr>
        <w:t>De otro modo que ser, o más allá de la esencia</w:t>
      </w:r>
      <w:r w:rsidRPr="00B92A5B">
        <w:rPr>
          <w:rFonts w:ascii="Arial" w:hAnsi="Arial" w:cs="Arial"/>
          <w:color w:val="0070C0"/>
        </w:rPr>
        <w:t>, Ediciones Sígueme, Salamanca</w:t>
      </w:r>
      <w:r w:rsidR="001D6947" w:rsidRPr="00B92A5B">
        <w:rPr>
          <w:rFonts w:ascii="Arial" w:hAnsi="Arial" w:cs="Arial"/>
          <w:color w:val="0070C0"/>
        </w:rPr>
        <w:t>,</w:t>
      </w:r>
      <w:r w:rsidRPr="00B92A5B">
        <w:rPr>
          <w:rFonts w:ascii="Arial" w:hAnsi="Arial" w:cs="Arial"/>
          <w:color w:val="0070C0"/>
        </w:rPr>
        <w:t xml:space="preserve"> 1987, p. 171).</w:t>
      </w:r>
    </w:p>
  </w:footnote>
  <w:footnote w:id="25">
    <w:p w:rsidR="00ED7CD4" w:rsidRPr="00B92A5B" w:rsidRDefault="00ED7CD4" w:rsidP="00C42BF5">
      <w:pPr>
        <w:pStyle w:val="Textonotapie"/>
        <w:jc w:val="both"/>
        <w:rPr>
          <w:rFonts w:ascii="Arial" w:hAnsi="Arial" w:cs="Arial"/>
          <w:color w:val="0070C0"/>
          <w:lang w:val="en-US"/>
        </w:rPr>
      </w:pPr>
      <w:r w:rsidRPr="00B92A5B">
        <w:rPr>
          <w:rStyle w:val="Refdenotaalpie"/>
          <w:rFonts w:ascii="Arial" w:hAnsi="Arial" w:cs="Arial"/>
          <w:color w:val="0070C0"/>
        </w:rPr>
        <w:footnoteRef/>
      </w:r>
      <w:r w:rsidRPr="00B92A5B">
        <w:rPr>
          <w:rFonts w:ascii="Arial" w:hAnsi="Arial" w:cs="Arial"/>
          <w:color w:val="0070C0"/>
        </w:rPr>
        <w:t xml:space="preserve"> F. Giner, A. Calderón, </w:t>
      </w:r>
      <w:r w:rsidRPr="00B92A5B">
        <w:rPr>
          <w:rFonts w:ascii="Arial" w:hAnsi="Arial" w:cs="Arial"/>
          <w:i/>
          <w:color w:val="0070C0"/>
        </w:rPr>
        <w:t xml:space="preserve">Resumen de filosofía del Derecho. </w:t>
      </w:r>
      <w:r w:rsidRPr="00B92A5B">
        <w:rPr>
          <w:rFonts w:ascii="Arial" w:hAnsi="Arial" w:cs="Arial"/>
          <w:i/>
          <w:color w:val="0070C0"/>
          <w:lang w:val="en-US"/>
        </w:rPr>
        <w:t>Tomo I</w:t>
      </w:r>
      <w:r w:rsidRPr="00B92A5B">
        <w:rPr>
          <w:rFonts w:ascii="Arial" w:hAnsi="Arial" w:cs="Arial"/>
          <w:color w:val="0070C0"/>
          <w:lang w:val="en-US"/>
        </w:rPr>
        <w:t>, cit., p. 86.</w:t>
      </w:r>
    </w:p>
  </w:footnote>
  <w:footnote w:id="26">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lang w:val="en-US"/>
        </w:rPr>
        <w:t xml:space="preserve"> Ibid., p. 86. </w:t>
      </w:r>
      <w:r w:rsidRPr="00B92A5B">
        <w:rPr>
          <w:rFonts w:ascii="Arial" w:hAnsi="Arial" w:cs="Arial"/>
          <w:color w:val="0070C0"/>
        </w:rPr>
        <w:t xml:space="preserve">O: “Allá [en la moral] se atiende al bien por ser bueno, o como fin absoluto de la voluntad; aquí [en el derecho] el bien por ser útil, en cuanto sirve de medio a otro bien, con voluntad por tanto dependiente de algo extraño a ella; habiendo, en suma, en la moralidad una simple relación, inmanente en la obra, relación de causalidad, en el Derecho una relación doble que, en último resultado trasciende del acto, relación de </w:t>
      </w:r>
      <w:r w:rsidRPr="00B92A5B">
        <w:rPr>
          <w:rFonts w:ascii="Arial" w:hAnsi="Arial" w:cs="Arial"/>
          <w:i/>
          <w:color w:val="0070C0"/>
        </w:rPr>
        <w:t>condicionalidad</w:t>
      </w:r>
      <w:r w:rsidRPr="00B92A5B">
        <w:rPr>
          <w:rFonts w:ascii="Arial" w:hAnsi="Arial" w:cs="Arial"/>
          <w:color w:val="0070C0"/>
        </w:rPr>
        <w:t>” (J</w:t>
      </w:r>
      <w:r w:rsidR="00FA2506" w:rsidRPr="00B92A5B">
        <w:rPr>
          <w:rFonts w:ascii="Arial" w:hAnsi="Arial" w:cs="Arial"/>
          <w:color w:val="0070C0"/>
        </w:rPr>
        <w:t>oaquín</w:t>
      </w:r>
      <w:r w:rsidRPr="00B92A5B">
        <w:rPr>
          <w:rFonts w:ascii="Arial" w:hAnsi="Arial" w:cs="Arial"/>
          <w:color w:val="0070C0"/>
        </w:rPr>
        <w:t xml:space="preserve"> Costa, </w:t>
      </w:r>
      <w:r w:rsidRPr="00B92A5B">
        <w:rPr>
          <w:rFonts w:ascii="Arial" w:hAnsi="Arial" w:cs="Arial"/>
          <w:i/>
          <w:color w:val="0070C0"/>
        </w:rPr>
        <w:t>La vida del Derecho. Ensayo sobre el derecho consuetudinario</w:t>
      </w:r>
      <w:r w:rsidRPr="00B92A5B">
        <w:rPr>
          <w:rFonts w:ascii="Arial" w:hAnsi="Arial" w:cs="Arial"/>
          <w:color w:val="0070C0"/>
        </w:rPr>
        <w:t xml:space="preserve">, Guara Editorial, Zaragoza 1982, p. 86; cfr. J. M. Vázquez-Romero, “El tiempo de la deuda: fuero interno y derecho consuetudinario en la filosofía jurídica de Joaquín Costa”: </w:t>
      </w:r>
      <w:r w:rsidRPr="00B92A5B">
        <w:rPr>
          <w:rFonts w:ascii="Arial" w:hAnsi="Arial" w:cs="Arial"/>
          <w:i/>
          <w:color w:val="0070C0"/>
        </w:rPr>
        <w:t>Pensamiento. Revista de investigación e información filosófica</w:t>
      </w:r>
      <w:r w:rsidRPr="00B92A5B">
        <w:rPr>
          <w:rFonts w:ascii="Arial" w:hAnsi="Arial" w:cs="Arial"/>
          <w:color w:val="0070C0"/>
        </w:rPr>
        <w:t>, vol. 66, núm. 248, mayo-agosto, pp. 293-330, esp. p. 303 y ss.).</w:t>
      </w:r>
    </w:p>
  </w:footnote>
  <w:footnote w:id="27">
    <w:p w:rsidR="00ED7CD4" w:rsidRPr="00B92A5B" w:rsidRDefault="00ED7CD4" w:rsidP="00C42BF5">
      <w:pPr>
        <w:pStyle w:val="Textonotapie"/>
        <w:jc w:val="both"/>
        <w:rPr>
          <w:rFonts w:ascii="Arial" w:hAnsi="Arial" w:cs="Arial"/>
          <w:color w:val="0070C0"/>
          <w:lang w:val="en-US"/>
        </w:rPr>
      </w:pPr>
      <w:r w:rsidRPr="00B92A5B">
        <w:rPr>
          <w:rStyle w:val="Refdenotaalpie"/>
          <w:rFonts w:ascii="Arial" w:hAnsi="Arial" w:cs="Arial"/>
          <w:color w:val="0070C0"/>
        </w:rPr>
        <w:footnoteRef/>
      </w:r>
      <w:r w:rsidRPr="00B92A5B">
        <w:rPr>
          <w:rFonts w:ascii="Arial" w:hAnsi="Arial" w:cs="Arial"/>
          <w:color w:val="0070C0"/>
        </w:rPr>
        <w:t xml:space="preserve"> </w:t>
      </w:r>
      <w:r w:rsidRPr="00B92A5B">
        <w:rPr>
          <w:rFonts w:ascii="Arial" w:hAnsi="Arial" w:cs="Arial"/>
          <w:i/>
          <w:color w:val="0070C0"/>
        </w:rPr>
        <w:t xml:space="preserve">Resumen de filosofía del Derecho. </w:t>
      </w:r>
      <w:r w:rsidRPr="00B92A5B">
        <w:rPr>
          <w:rFonts w:ascii="Arial" w:hAnsi="Arial" w:cs="Arial"/>
          <w:i/>
          <w:color w:val="0070C0"/>
          <w:lang w:val="en-US"/>
        </w:rPr>
        <w:t>Tomo I</w:t>
      </w:r>
      <w:r w:rsidRPr="00B92A5B">
        <w:rPr>
          <w:rFonts w:ascii="Arial" w:hAnsi="Arial" w:cs="Arial"/>
          <w:color w:val="0070C0"/>
          <w:lang w:val="en-US"/>
        </w:rPr>
        <w:t>, cit., p. 86 y s.</w:t>
      </w:r>
    </w:p>
  </w:footnote>
  <w:footnote w:id="28">
    <w:p w:rsidR="00ED7CD4" w:rsidRPr="00B92A5B" w:rsidRDefault="00ED7CD4" w:rsidP="00C42BF5">
      <w:pPr>
        <w:pStyle w:val="Textonotapie"/>
        <w:jc w:val="both"/>
        <w:rPr>
          <w:rFonts w:ascii="Arial" w:hAnsi="Arial" w:cs="Arial"/>
          <w:color w:val="0070C0"/>
          <w:lang w:val="en-US"/>
        </w:rPr>
      </w:pPr>
      <w:r w:rsidRPr="00B92A5B">
        <w:rPr>
          <w:rStyle w:val="Refdenotaalpie"/>
          <w:rFonts w:ascii="Arial" w:hAnsi="Arial" w:cs="Arial"/>
          <w:color w:val="0070C0"/>
        </w:rPr>
        <w:footnoteRef/>
      </w:r>
      <w:r w:rsidRPr="00B92A5B">
        <w:rPr>
          <w:rFonts w:ascii="Arial" w:hAnsi="Arial" w:cs="Arial"/>
          <w:color w:val="0070C0"/>
          <w:lang w:val="en-US"/>
        </w:rPr>
        <w:t xml:space="preserve"> Ibid., p. 87</w:t>
      </w:r>
    </w:p>
  </w:footnote>
  <w:footnote w:id="29">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lang w:val="en-US"/>
        </w:rPr>
        <w:t xml:space="preserve"> Ibid., p. 82. Cfr. pp. 77-85. </w:t>
      </w:r>
      <w:r w:rsidRPr="00B92A5B">
        <w:rPr>
          <w:rFonts w:ascii="Arial" w:hAnsi="Arial" w:cs="Arial"/>
          <w:color w:val="0070C0"/>
        </w:rPr>
        <w:t xml:space="preserve">Por ello el derecho mantendría estrechas relaciones con las propiedades </w:t>
      </w:r>
      <w:r w:rsidRPr="00B92A5B">
        <w:rPr>
          <w:rFonts w:ascii="Arial" w:hAnsi="Arial" w:cs="Arial"/>
          <w:i/>
          <w:color w:val="0070C0"/>
        </w:rPr>
        <w:t>utilidad</w:t>
      </w:r>
      <w:r w:rsidRPr="00B92A5B">
        <w:rPr>
          <w:rFonts w:ascii="Arial" w:hAnsi="Arial" w:cs="Arial"/>
          <w:color w:val="0070C0"/>
        </w:rPr>
        <w:t xml:space="preserve"> (cfr. pp. 77-80) y </w:t>
      </w:r>
      <w:r w:rsidRPr="00B92A5B">
        <w:rPr>
          <w:rFonts w:ascii="Arial" w:hAnsi="Arial" w:cs="Arial"/>
          <w:i/>
          <w:color w:val="0070C0"/>
        </w:rPr>
        <w:t xml:space="preserve">habilidad </w:t>
      </w:r>
      <w:r w:rsidRPr="00B92A5B">
        <w:rPr>
          <w:rFonts w:ascii="Arial" w:hAnsi="Arial" w:cs="Arial"/>
          <w:color w:val="0070C0"/>
        </w:rPr>
        <w:t>(pp. 80-83), prescribiéndose que no se debe concebir y malbaratar la utilidad como interés egoísta, ni tampoco concebir y malversar la habilidad como maña para conseguir fines por cualesquiera medios; ambas, ‘utilidad’ y ‘habilidad’, se subordinan a la armonía que impone retrospectivamente el fin racional.</w:t>
      </w:r>
    </w:p>
  </w:footnote>
  <w:footnote w:id="30">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Ibid, p. 87.</w:t>
      </w:r>
    </w:p>
  </w:footnote>
  <w:footnote w:id="31">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Ibid., p. 55 y s. Cfr. J. M. Vázquez-Romero, “La micrópolis del yo. Representación, soberanía e individuo en los escritos de Francisco Giner de los Ríos”: </w:t>
      </w:r>
      <w:r w:rsidRPr="00B92A5B">
        <w:rPr>
          <w:rFonts w:ascii="Arial" w:hAnsi="Arial" w:cs="Arial"/>
          <w:i/>
          <w:color w:val="0070C0"/>
        </w:rPr>
        <w:t>Pensamiento. Revista de Investigación e Información Filosófica</w:t>
      </w:r>
      <w:r w:rsidRPr="00B92A5B">
        <w:rPr>
          <w:rFonts w:ascii="Arial" w:hAnsi="Arial" w:cs="Arial"/>
          <w:color w:val="0070C0"/>
        </w:rPr>
        <w:t>, 63</w:t>
      </w:r>
      <w:r w:rsidR="007122B0" w:rsidRPr="00B92A5B">
        <w:rPr>
          <w:rFonts w:ascii="Arial" w:hAnsi="Arial" w:cs="Arial"/>
          <w:color w:val="0070C0"/>
        </w:rPr>
        <w:t>.</w:t>
      </w:r>
      <w:r w:rsidRPr="00B92A5B">
        <w:rPr>
          <w:rFonts w:ascii="Arial" w:hAnsi="Arial" w:cs="Arial"/>
          <w:color w:val="0070C0"/>
        </w:rPr>
        <w:t>236, mayo-agosto 2007, pp. 199-234, esp. 222-229.</w:t>
      </w:r>
    </w:p>
  </w:footnote>
  <w:footnote w:id="32">
    <w:p w:rsidR="00ED7CD4" w:rsidRPr="00B92A5B" w:rsidRDefault="00ED7CD4" w:rsidP="00C42BF5">
      <w:pPr>
        <w:pStyle w:val="Textonotapie"/>
        <w:jc w:val="both"/>
        <w:rPr>
          <w:rFonts w:ascii="Arial" w:hAnsi="Arial" w:cs="Arial"/>
          <w:color w:val="0070C0"/>
          <w:lang w:val="en-US"/>
        </w:rPr>
      </w:pPr>
      <w:r w:rsidRPr="00B92A5B">
        <w:rPr>
          <w:rStyle w:val="Refdenotaalpie"/>
          <w:rFonts w:ascii="Arial" w:hAnsi="Arial" w:cs="Arial"/>
          <w:color w:val="0070C0"/>
        </w:rPr>
        <w:footnoteRef/>
      </w:r>
      <w:r w:rsidRPr="00B92A5B">
        <w:rPr>
          <w:rFonts w:ascii="Arial" w:hAnsi="Arial" w:cs="Arial"/>
          <w:color w:val="0070C0"/>
        </w:rPr>
        <w:t xml:space="preserve"> </w:t>
      </w:r>
      <w:r w:rsidRPr="00B92A5B">
        <w:rPr>
          <w:rFonts w:ascii="Arial" w:hAnsi="Arial" w:cs="Arial"/>
          <w:i/>
          <w:color w:val="0070C0"/>
        </w:rPr>
        <w:t xml:space="preserve">Resumen de filosofía del Derecho. </w:t>
      </w:r>
      <w:r w:rsidRPr="00B92A5B">
        <w:rPr>
          <w:rFonts w:ascii="Arial" w:hAnsi="Arial" w:cs="Arial"/>
          <w:i/>
          <w:color w:val="0070C0"/>
          <w:lang w:val="en-US"/>
        </w:rPr>
        <w:t>Tomo I</w:t>
      </w:r>
      <w:r w:rsidRPr="00B92A5B">
        <w:rPr>
          <w:rFonts w:ascii="Arial" w:hAnsi="Arial" w:cs="Arial"/>
          <w:color w:val="0070C0"/>
          <w:lang w:val="en-US"/>
        </w:rPr>
        <w:t>, cit., p. 55.</w:t>
      </w:r>
    </w:p>
  </w:footnote>
  <w:footnote w:id="33">
    <w:p w:rsidR="00ED7CD4" w:rsidRPr="00B92A5B" w:rsidRDefault="00ED7CD4" w:rsidP="00C42BF5">
      <w:pPr>
        <w:pStyle w:val="Textonotapie"/>
        <w:jc w:val="both"/>
        <w:rPr>
          <w:rFonts w:ascii="Arial" w:hAnsi="Arial" w:cs="Arial"/>
          <w:color w:val="0070C0"/>
          <w:lang w:val="en-US"/>
        </w:rPr>
      </w:pPr>
      <w:r w:rsidRPr="00B92A5B">
        <w:rPr>
          <w:rStyle w:val="Refdenotaalpie"/>
          <w:rFonts w:ascii="Arial" w:hAnsi="Arial" w:cs="Arial"/>
          <w:color w:val="0070C0"/>
        </w:rPr>
        <w:footnoteRef/>
      </w:r>
      <w:r w:rsidRPr="00B92A5B">
        <w:rPr>
          <w:rFonts w:ascii="Arial" w:hAnsi="Arial" w:cs="Arial"/>
          <w:color w:val="0070C0"/>
          <w:lang w:val="en-US"/>
        </w:rPr>
        <w:t xml:space="preserve"> Ibid., p. 132.</w:t>
      </w:r>
    </w:p>
  </w:footnote>
  <w:footnote w:id="34">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Ibid., p. 248. Con lo que se hace bueno que “el </w:t>
      </w:r>
      <w:r w:rsidRPr="00B92A5B">
        <w:rPr>
          <w:rFonts w:ascii="Arial" w:hAnsi="Arial" w:cs="Arial"/>
          <w:i/>
          <w:color w:val="0070C0"/>
        </w:rPr>
        <w:t>protego ergo obligo</w:t>
      </w:r>
      <w:r w:rsidRPr="00B92A5B">
        <w:rPr>
          <w:rFonts w:ascii="Arial" w:hAnsi="Arial" w:cs="Arial"/>
          <w:color w:val="0070C0"/>
        </w:rPr>
        <w:t xml:space="preserve"> es el </w:t>
      </w:r>
      <w:r w:rsidRPr="00B92A5B">
        <w:rPr>
          <w:rFonts w:ascii="Arial" w:hAnsi="Arial" w:cs="Arial"/>
          <w:i/>
          <w:color w:val="0070C0"/>
        </w:rPr>
        <w:t>cogito ergo sum</w:t>
      </w:r>
      <w:r w:rsidRPr="00B92A5B">
        <w:rPr>
          <w:rFonts w:ascii="Arial" w:hAnsi="Arial" w:cs="Arial"/>
          <w:color w:val="0070C0"/>
        </w:rPr>
        <w:t xml:space="preserve"> del Estado, y una teoría del Estado que sostenga una ignorancia sistemática de este principio será siempre insuficiente y fragmentaria” (C</w:t>
      </w:r>
      <w:r w:rsidR="00FA2506" w:rsidRPr="00B92A5B">
        <w:rPr>
          <w:rFonts w:ascii="Arial" w:hAnsi="Arial" w:cs="Arial"/>
          <w:color w:val="0070C0"/>
        </w:rPr>
        <w:t>arl</w:t>
      </w:r>
      <w:r w:rsidRPr="00B92A5B">
        <w:rPr>
          <w:rFonts w:ascii="Arial" w:hAnsi="Arial" w:cs="Arial"/>
          <w:color w:val="0070C0"/>
        </w:rPr>
        <w:t xml:space="preserve"> Schmitt, </w:t>
      </w:r>
      <w:r w:rsidRPr="00B92A5B">
        <w:rPr>
          <w:rFonts w:ascii="Arial" w:hAnsi="Arial" w:cs="Arial"/>
          <w:i/>
          <w:color w:val="0070C0"/>
        </w:rPr>
        <w:t>El concepto de lo político. Texto de 1932 con un prólogo y tres corolarios</w:t>
      </w:r>
      <w:r w:rsidRPr="00B92A5B">
        <w:rPr>
          <w:rFonts w:ascii="Arial" w:hAnsi="Arial" w:cs="Arial"/>
          <w:color w:val="0070C0"/>
        </w:rPr>
        <w:t>, Alianza Editorial, Madrid 2014, p. 82).</w:t>
      </w:r>
    </w:p>
  </w:footnote>
  <w:footnote w:id="35">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“Téngase en cuenta que, merced a la unidad del espíritu humano, en el individuo como en las sociedades, toda contradicción es, en realidad, sólo superficial y aparente, a saber, mirada desde cada uno de los términos particulares…” (</w:t>
      </w:r>
      <w:r w:rsidRPr="00B92A5B">
        <w:rPr>
          <w:rFonts w:ascii="Arial" w:hAnsi="Arial" w:cs="Arial"/>
          <w:i/>
          <w:color w:val="0070C0"/>
        </w:rPr>
        <w:t>Resumen de filosofía del Derecho. Tomo I</w:t>
      </w:r>
      <w:r w:rsidRPr="00B92A5B">
        <w:rPr>
          <w:rFonts w:ascii="Arial" w:hAnsi="Arial" w:cs="Arial"/>
          <w:color w:val="0070C0"/>
        </w:rPr>
        <w:t>, cit., p. 291).</w:t>
      </w:r>
    </w:p>
  </w:footnote>
  <w:footnote w:id="36">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A continuación, me guío en la discusión de la no-complementariedad de deber y derecho de la reflexión lacaniana acerca de las fórmulas de sexuación y su revisión del cuadrado lógico aristotélico; cfr. S</w:t>
      </w:r>
      <w:r w:rsidR="00FA2506" w:rsidRPr="00B92A5B">
        <w:rPr>
          <w:rFonts w:ascii="Arial" w:hAnsi="Arial" w:cs="Arial"/>
          <w:color w:val="0070C0"/>
        </w:rPr>
        <w:t>lavoj</w:t>
      </w:r>
      <w:r w:rsidRPr="00B92A5B">
        <w:rPr>
          <w:rFonts w:ascii="Arial" w:hAnsi="Arial" w:cs="Arial"/>
          <w:color w:val="0070C0"/>
        </w:rPr>
        <w:t xml:space="preserve"> Žižek, </w:t>
      </w:r>
      <w:r w:rsidRPr="00B92A5B">
        <w:rPr>
          <w:rFonts w:ascii="Arial" w:hAnsi="Arial" w:cs="Arial"/>
          <w:i/>
          <w:color w:val="0070C0"/>
        </w:rPr>
        <w:t>Menos que nada. Hegel y la sombra del materialismo dialéctico</w:t>
      </w:r>
      <w:r w:rsidRPr="00B92A5B">
        <w:rPr>
          <w:rFonts w:ascii="Arial" w:hAnsi="Arial" w:cs="Arial"/>
          <w:color w:val="0070C0"/>
        </w:rPr>
        <w:t>, Ediciones Akal, Madrid 2015, p. 825 y ss.</w:t>
      </w:r>
    </w:p>
  </w:footnote>
  <w:footnote w:id="37">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“Se ha observado con frecuencia que el orden jurídico-político tiene la estructura de una inclusión de aquello que, a la vez, es rechazado hacia fuera. […]. La excepción que define la estructura de la soberanía es todavía más compleja. Lo que está fuera queda aquí incluido no simplemente mediante una prohibición o un internamiento, sino por la suspensión del orden jurídico, dejando, pues, que éste se retire de la excepción, que la abandone. No es la excepción la que se sustrae a la regla, sino que es la regla la que, suspendiéndose, da lugar a la excepción y, solo de este modo, se constituye como regla, manteniéndose en relación con aquella. El particular «vigor» de la ley consiste en esta capacidad de mantenerse en relación con una exterioridad. Llamamos </w:t>
      </w:r>
      <w:r w:rsidRPr="00B92A5B">
        <w:rPr>
          <w:rFonts w:ascii="Arial" w:hAnsi="Arial" w:cs="Arial"/>
          <w:i/>
          <w:color w:val="0070C0"/>
        </w:rPr>
        <w:t>relación de excepción</w:t>
      </w:r>
      <w:r w:rsidRPr="00B92A5B">
        <w:rPr>
          <w:rFonts w:ascii="Arial" w:hAnsi="Arial" w:cs="Arial"/>
          <w:color w:val="0070C0"/>
        </w:rPr>
        <w:t xml:space="preserve"> a esta forma extrema de la relación que sólo incluye algo a través de su exclusión” (G</w:t>
      </w:r>
      <w:r w:rsidR="00FA2506" w:rsidRPr="00B92A5B">
        <w:rPr>
          <w:rFonts w:ascii="Arial" w:hAnsi="Arial" w:cs="Arial"/>
          <w:color w:val="0070C0"/>
        </w:rPr>
        <w:t>iorgio</w:t>
      </w:r>
      <w:r w:rsidRPr="00B92A5B">
        <w:rPr>
          <w:rFonts w:ascii="Arial" w:hAnsi="Arial" w:cs="Arial"/>
          <w:color w:val="0070C0"/>
        </w:rPr>
        <w:t xml:space="preserve"> Agamben, </w:t>
      </w:r>
      <w:r w:rsidRPr="00B92A5B">
        <w:rPr>
          <w:rFonts w:ascii="Arial" w:hAnsi="Arial" w:cs="Arial"/>
          <w:i/>
          <w:color w:val="0070C0"/>
        </w:rPr>
        <w:t>Homo sacer. El poder soberano y la nuda vida</w:t>
      </w:r>
      <w:r w:rsidRPr="00B92A5B">
        <w:rPr>
          <w:rFonts w:ascii="Arial" w:hAnsi="Arial" w:cs="Arial"/>
          <w:color w:val="0070C0"/>
        </w:rPr>
        <w:t>, Editorial Pre-Textos, Valencia 2003, p. 31).</w:t>
      </w:r>
    </w:p>
  </w:footnote>
  <w:footnote w:id="38">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“Para evitar esta contradicción [entre el derecho y la regla aplicada para traducirlo], importa tener siempre presente, en la inteligencia y cumplimiento de toda regla jurídica, el principio mismo del Derecho, que, en esta función, constituído en norma para rectificar las injusticias que podría ocasionar la aplicación rigorosa de la ley positiva, recibe el nombre de </w:t>
      </w:r>
      <w:r w:rsidRPr="00B92A5B">
        <w:rPr>
          <w:rFonts w:ascii="Arial" w:hAnsi="Arial" w:cs="Arial"/>
          <w:i/>
          <w:color w:val="0070C0"/>
        </w:rPr>
        <w:t>equidad</w:t>
      </w:r>
      <w:r w:rsidRPr="00B92A5B">
        <w:rPr>
          <w:rFonts w:ascii="Arial" w:hAnsi="Arial" w:cs="Arial"/>
          <w:color w:val="0070C0"/>
        </w:rPr>
        <w:t>" (</w:t>
      </w:r>
      <w:r w:rsidR="00FA2506" w:rsidRPr="00B92A5B">
        <w:rPr>
          <w:rFonts w:ascii="Arial" w:hAnsi="Arial" w:cs="Arial"/>
          <w:color w:val="0070C0"/>
        </w:rPr>
        <w:t xml:space="preserve">F. Giner, A. Calderón, </w:t>
      </w:r>
      <w:r w:rsidRPr="00B92A5B">
        <w:rPr>
          <w:rFonts w:ascii="Arial" w:hAnsi="Arial" w:cs="Arial"/>
          <w:i/>
          <w:color w:val="0070C0"/>
        </w:rPr>
        <w:t>Resumen de filosofía del Derecho.Tomo I</w:t>
      </w:r>
      <w:r w:rsidRPr="00B92A5B">
        <w:rPr>
          <w:rFonts w:ascii="Arial" w:hAnsi="Arial" w:cs="Arial"/>
          <w:color w:val="0070C0"/>
        </w:rPr>
        <w:t>, cit., p. 89).</w:t>
      </w:r>
    </w:p>
  </w:footnote>
  <w:footnote w:id="39">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Ibid., p. 140.</w:t>
      </w:r>
    </w:p>
  </w:footnote>
  <w:footnote w:id="40">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“De suerte que si todas las manifestaciones positivas son por necesidad tan contrarias entre sí (relativamente) como lo son los momentos de la vida que constituyen su hipótesis imprescindible, ninguna de ellas tiene por esto que contradecir al Derecho mismo, y los elementos que en el proceso de una evolución jurídica ofrecen esta contradicción, lejos de pertenecer a su idea, ni satisfacer a las exigencias de su tiempo (como imagina el servilismo idólatra del derecho pseudo-positivo), las entorpecen y perturban, y son verdaderos productos patológicos, cuyas causas hay que hacer todo lo posible por curar” (Ibid., p. 248 y s.). </w:t>
      </w:r>
    </w:p>
  </w:footnote>
  <w:footnote w:id="41">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F. Giner, A. Calderón, </w:t>
      </w:r>
      <w:r w:rsidRPr="00B92A5B">
        <w:rPr>
          <w:rFonts w:ascii="Arial" w:hAnsi="Arial" w:cs="Arial"/>
          <w:i/>
          <w:color w:val="0070C0"/>
        </w:rPr>
        <w:t>Resumen de filosofía del Derecho. Tomo II</w:t>
      </w:r>
      <w:r w:rsidRPr="00B92A5B">
        <w:rPr>
          <w:rFonts w:ascii="Arial" w:hAnsi="Arial" w:cs="Arial"/>
          <w:color w:val="0070C0"/>
        </w:rPr>
        <w:t xml:space="preserve">, en </w:t>
      </w:r>
      <w:r w:rsidRPr="00B92A5B">
        <w:rPr>
          <w:rFonts w:ascii="Arial" w:hAnsi="Arial" w:cs="Arial"/>
          <w:i/>
          <w:color w:val="0070C0"/>
        </w:rPr>
        <w:t>Obras completas de… XIV</w:t>
      </w:r>
      <w:r w:rsidRPr="00B92A5B">
        <w:rPr>
          <w:rFonts w:ascii="Arial" w:hAnsi="Arial" w:cs="Arial"/>
          <w:color w:val="0070C0"/>
        </w:rPr>
        <w:t>, Espasa-Calpe, Madrid 1926, p. 9.</w:t>
      </w:r>
    </w:p>
  </w:footnote>
  <w:footnote w:id="42">
    <w:p w:rsidR="00ED7CD4" w:rsidRPr="00B92A5B" w:rsidRDefault="00ED7CD4"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Esa ‘extrañeza’ horripila: “Para Levinas, la intrusión traumática de la Cosa Real radicalmente heterogénea que descentra al sujeto es </w:t>
      </w:r>
      <w:r w:rsidRPr="00B92A5B">
        <w:rPr>
          <w:rFonts w:ascii="Arial" w:hAnsi="Arial" w:cs="Arial"/>
          <w:i/>
          <w:color w:val="0070C0"/>
        </w:rPr>
        <w:t>idéntica</w:t>
      </w:r>
      <w:r w:rsidRPr="00B92A5B">
        <w:rPr>
          <w:rFonts w:ascii="Arial" w:hAnsi="Arial" w:cs="Arial"/>
          <w:color w:val="0070C0"/>
        </w:rPr>
        <w:t xml:space="preserve"> al Llamado ético del Bien, mientras que para Lacan es la «Cosa maligna» primordial, algo que siempre es un corte perturbador […/] El hecho de que Levinas pueda usar el término «rostro» para designar a su opuesto, el abismo del otro, ¿no apunta al vínculo entre los dos, al hecho de que pertenecen al mismo campo? ¿No es el abi</w:t>
      </w:r>
      <w:r w:rsidR="006D479F" w:rsidRPr="00B92A5B">
        <w:rPr>
          <w:rFonts w:ascii="Arial" w:hAnsi="Arial" w:cs="Arial"/>
          <w:color w:val="0070C0"/>
        </w:rPr>
        <w:t>s</w:t>
      </w:r>
      <w:r w:rsidRPr="00B92A5B">
        <w:rPr>
          <w:rFonts w:ascii="Arial" w:hAnsi="Arial" w:cs="Arial"/>
          <w:color w:val="0070C0"/>
        </w:rPr>
        <w:t xml:space="preserve">mo sin rostro del Prójimo un Más Allá sin rostro, engendrado por el rostro mismo, la inherente superación del rostro como imagen aterradora (vórtice, </w:t>
      </w:r>
      <w:r w:rsidRPr="00B92A5B">
        <w:rPr>
          <w:rFonts w:ascii="Arial" w:hAnsi="Arial" w:cs="Arial"/>
          <w:i/>
          <w:color w:val="0070C0"/>
        </w:rPr>
        <w:t>maelstrom</w:t>
      </w:r>
      <w:r w:rsidRPr="00B92A5B">
        <w:rPr>
          <w:rFonts w:ascii="Arial" w:hAnsi="Arial" w:cs="Arial"/>
          <w:color w:val="0070C0"/>
        </w:rPr>
        <w:t xml:space="preserve">, la cabeza de Medusa, la garganta de Irma…) que es demasiado fuerte para nuestros ojos...?” (S. Ẑiẑek, </w:t>
      </w:r>
      <w:r w:rsidRPr="00B92A5B">
        <w:rPr>
          <w:rFonts w:ascii="Arial" w:hAnsi="Arial" w:cs="Arial"/>
          <w:i/>
          <w:color w:val="0070C0"/>
        </w:rPr>
        <w:t>Menos que nada. Hegel y la sombra del materialismo dialéctico</w:t>
      </w:r>
      <w:r w:rsidRPr="00B92A5B">
        <w:rPr>
          <w:rFonts w:ascii="Arial" w:hAnsi="Arial" w:cs="Arial"/>
          <w:color w:val="0070C0"/>
        </w:rPr>
        <w:t xml:space="preserve">, cit., p. 905) No obstante, a esa consideración del otro como lo Real traumático (negatividad, pulsión de muerte) se debe añadir… (sígase leyendo </w:t>
      </w:r>
      <w:r w:rsidRPr="00B92A5B">
        <w:rPr>
          <w:rFonts w:ascii="Arial" w:hAnsi="Arial" w:cs="Arial"/>
          <w:i/>
          <w:color w:val="0070C0"/>
        </w:rPr>
        <w:t>supra</w:t>
      </w:r>
      <w:r w:rsidRPr="00B92A5B">
        <w:rPr>
          <w:rFonts w:ascii="Arial" w:hAnsi="Arial" w:cs="Arial"/>
          <w:color w:val="0070C0"/>
        </w:rPr>
        <w:t>).</w:t>
      </w:r>
    </w:p>
  </w:footnote>
  <w:footnote w:id="43">
    <w:p w:rsidR="00ED7CD4" w:rsidRPr="00B92A5B" w:rsidRDefault="00ED7CD4" w:rsidP="00C42BF5">
      <w:pPr>
        <w:spacing w:line="240" w:lineRule="auto"/>
        <w:jc w:val="both"/>
        <w:rPr>
          <w:rFonts w:ascii="Arial" w:hAnsi="Arial" w:cs="Arial"/>
          <w:color w:val="0070C0"/>
          <w:sz w:val="20"/>
          <w:szCs w:val="20"/>
        </w:rPr>
      </w:pPr>
      <w:r w:rsidRPr="00B92A5B">
        <w:rPr>
          <w:rStyle w:val="Refdenotaalpie"/>
          <w:rFonts w:ascii="Arial" w:hAnsi="Arial" w:cs="Arial"/>
          <w:color w:val="0070C0"/>
          <w:sz w:val="20"/>
          <w:szCs w:val="20"/>
        </w:rPr>
        <w:footnoteRef/>
      </w:r>
      <w:r w:rsidRPr="00B92A5B">
        <w:rPr>
          <w:rFonts w:ascii="Arial" w:hAnsi="Arial" w:cs="Arial"/>
          <w:color w:val="0070C0"/>
          <w:sz w:val="20"/>
          <w:szCs w:val="20"/>
        </w:rPr>
        <w:t xml:space="preserve"> Y, también, biológica y psíquica, como en la mujer embarazada, la mujer </w:t>
      </w:r>
      <w:r w:rsidRPr="00B92A5B">
        <w:rPr>
          <w:rFonts w:ascii="Arial" w:hAnsi="Arial" w:cs="Arial"/>
          <w:i/>
          <w:color w:val="0070C0"/>
          <w:sz w:val="20"/>
          <w:szCs w:val="20"/>
        </w:rPr>
        <w:t>dividida en dos</w:t>
      </w:r>
      <w:r w:rsidRPr="00B92A5B">
        <w:rPr>
          <w:rFonts w:ascii="Arial" w:hAnsi="Arial" w:cs="Arial"/>
          <w:color w:val="0070C0"/>
          <w:sz w:val="20"/>
          <w:szCs w:val="20"/>
        </w:rPr>
        <w:t>, acaso el dos-en-una paradigmático, en el que todas esas dimensiones, y otras, golpean como batientes que porfían por hallar su encaje: “… una mujer-madre sería más bien un pliegue extraño que transforma la cultura en naturaleza, lo que habla en biología. Para referirse a cada cuerpo de mujer, esta heterogeneidad insubsumible por el significante estalla violentemente con el embarazo (umbral de la cultura y de la naturaleza) y con la llegada del hijo (que saca a la mujer de su unicidad y le da una oportunidad—aunque no una certeza—de acceso al otro, a la ética). […/] No es menor el silencio que pesa sobre el sufrimiento, corporal y psíquico, del parto y, sobre todo de esa abnegación que consiste en hacerse anónima para transmitir la norma social […]. Sufrimiento revestido de júbilo—ambivalencia del masoquismo […]. La «perversión» femenina se acurruca en el deseo de la ley como deseo de reproducción y continuidad, promueve el masoquismo femenino al rango de estabilizador de la estructura (frente a sus desviaciones) y, por la seguridad que procura a la madre de entrar así en el orden que sobrepasa la voluntad de los humanos, le da su prima de placer” (J</w:t>
      </w:r>
      <w:r w:rsidR="00FA2506" w:rsidRPr="00B92A5B">
        <w:rPr>
          <w:rFonts w:ascii="Arial" w:hAnsi="Arial" w:cs="Arial"/>
          <w:color w:val="0070C0"/>
          <w:sz w:val="20"/>
          <w:szCs w:val="20"/>
        </w:rPr>
        <w:t>ulia</w:t>
      </w:r>
      <w:r w:rsidRPr="00B92A5B">
        <w:rPr>
          <w:rFonts w:ascii="Arial" w:hAnsi="Arial" w:cs="Arial"/>
          <w:color w:val="0070C0"/>
          <w:sz w:val="20"/>
          <w:szCs w:val="20"/>
        </w:rPr>
        <w:t xml:space="preserve"> Kristeva, </w:t>
      </w:r>
      <w:r w:rsidRPr="00B92A5B">
        <w:rPr>
          <w:rFonts w:ascii="Arial" w:hAnsi="Arial" w:cs="Arial"/>
          <w:i/>
          <w:color w:val="0070C0"/>
          <w:sz w:val="20"/>
          <w:szCs w:val="20"/>
        </w:rPr>
        <w:t>Historias de amor</w:t>
      </w:r>
      <w:r w:rsidRPr="00B92A5B">
        <w:rPr>
          <w:rFonts w:ascii="Arial" w:hAnsi="Arial" w:cs="Arial"/>
          <w:color w:val="0070C0"/>
          <w:sz w:val="20"/>
          <w:szCs w:val="20"/>
        </w:rPr>
        <w:t xml:space="preserve">, siglo veintiuno editores, México D.F., </w:t>
      </w:r>
      <w:r w:rsidR="00AA43F9" w:rsidRPr="00B92A5B">
        <w:rPr>
          <w:rFonts w:ascii="Arial" w:hAnsi="Arial" w:cs="Arial"/>
          <w:color w:val="0070C0"/>
          <w:sz w:val="20"/>
          <w:szCs w:val="20"/>
        </w:rPr>
        <w:t xml:space="preserve">1988, </w:t>
      </w:r>
      <w:r w:rsidRPr="00B92A5B">
        <w:rPr>
          <w:rFonts w:ascii="Arial" w:hAnsi="Arial" w:cs="Arial"/>
          <w:color w:val="0070C0"/>
          <w:sz w:val="20"/>
          <w:szCs w:val="20"/>
        </w:rPr>
        <w:t>p.</w:t>
      </w:r>
      <w:r w:rsidRPr="00B92A5B">
        <w:rPr>
          <w:rFonts w:ascii="Arial" w:hAnsi="Arial" w:cs="Arial"/>
          <w:i/>
          <w:color w:val="0070C0"/>
          <w:sz w:val="20"/>
          <w:szCs w:val="20"/>
        </w:rPr>
        <w:t xml:space="preserve"> </w:t>
      </w:r>
      <w:r w:rsidRPr="00B92A5B">
        <w:rPr>
          <w:rFonts w:ascii="Arial" w:hAnsi="Arial" w:cs="Arial"/>
          <w:color w:val="0070C0"/>
          <w:sz w:val="20"/>
          <w:szCs w:val="20"/>
        </w:rPr>
        <w:t xml:space="preserve">228). Parece que no es casual que, más que la excepción al «Todo derecho implica un deber» </w:t>
      </w:r>
      <w:r w:rsidRPr="00B92A5B">
        <w:rPr>
          <w:rFonts w:ascii="Arial" w:hAnsi="Arial" w:cs="Arial"/>
          <w:i/>
          <w:color w:val="0070C0"/>
          <w:sz w:val="20"/>
          <w:szCs w:val="20"/>
        </w:rPr>
        <w:t>(Dios)</w:t>
      </w:r>
      <w:r w:rsidRPr="00B92A5B">
        <w:rPr>
          <w:rFonts w:ascii="Arial" w:hAnsi="Arial" w:cs="Arial"/>
          <w:color w:val="0070C0"/>
          <w:sz w:val="20"/>
          <w:szCs w:val="20"/>
        </w:rPr>
        <w:t xml:space="preserve">, haya sido la incompletitud del «No hay derecho que no implique un deber» </w:t>
      </w:r>
      <w:r w:rsidRPr="00B92A5B">
        <w:rPr>
          <w:rFonts w:ascii="Arial" w:hAnsi="Arial" w:cs="Arial"/>
          <w:i/>
          <w:color w:val="0070C0"/>
          <w:sz w:val="20"/>
          <w:szCs w:val="20"/>
        </w:rPr>
        <w:t>(incapaz)</w:t>
      </w:r>
      <w:r w:rsidRPr="00B92A5B">
        <w:rPr>
          <w:rFonts w:ascii="Arial" w:hAnsi="Arial" w:cs="Arial"/>
          <w:color w:val="0070C0"/>
          <w:sz w:val="20"/>
          <w:szCs w:val="20"/>
        </w:rPr>
        <w:t xml:space="preserve">, incompletitud característica de las fórmulas lacanianas de sexuación femenina, la vertiente privilegiada de la otreidad. Sobre la sensibilidad concebida como exposición al otro y, metafóricamente, maternidad, cfr. E. Levinas, </w:t>
      </w:r>
      <w:r w:rsidRPr="00B92A5B">
        <w:rPr>
          <w:rFonts w:ascii="Arial" w:hAnsi="Arial" w:cs="Arial"/>
          <w:i/>
          <w:color w:val="0070C0"/>
          <w:sz w:val="20"/>
          <w:szCs w:val="20"/>
        </w:rPr>
        <w:t>De otro modo que ser, o más allá de la esencia</w:t>
      </w:r>
      <w:r w:rsidRPr="00B92A5B">
        <w:rPr>
          <w:rFonts w:ascii="Arial" w:hAnsi="Arial" w:cs="Arial"/>
          <w:color w:val="0070C0"/>
          <w:sz w:val="20"/>
          <w:szCs w:val="20"/>
        </w:rPr>
        <w:t xml:space="preserve">, cit., p. 133 y ss.: “La inquietud del perseguido, ¿no será más que una modificación de la maternidad […]? La maternidad—el llevar por excelencia—lleva incluso la responsabilidad por el perseguidor del perseguido” (p. 134) (Cfr. J. M. Vázquez-Romero, “El doble de ley”: </w:t>
      </w:r>
      <w:r w:rsidRPr="00B92A5B">
        <w:rPr>
          <w:rFonts w:ascii="Arial" w:hAnsi="Arial" w:cs="Arial"/>
          <w:i/>
          <w:color w:val="0070C0"/>
          <w:sz w:val="20"/>
          <w:szCs w:val="20"/>
        </w:rPr>
        <w:t>Bajo Palabra. Revista de filosofía</w:t>
      </w:r>
      <w:r w:rsidRPr="00B92A5B">
        <w:rPr>
          <w:rFonts w:ascii="Arial" w:hAnsi="Arial" w:cs="Arial"/>
          <w:color w:val="0070C0"/>
          <w:sz w:val="20"/>
          <w:szCs w:val="20"/>
        </w:rPr>
        <w:t xml:space="preserve">, Época 2ª, N.º 10, 2015, pp. 45-60, esp. pp. 48-60 y, más concretamente, nota 50). </w:t>
      </w:r>
    </w:p>
    <w:p w:rsidR="00ED7CD4" w:rsidRPr="00B92A5B" w:rsidRDefault="00ED7CD4" w:rsidP="00C42BF5">
      <w:pPr>
        <w:pStyle w:val="Textonotapie"/>
        <w:jc w:val="both"/>
        <w:rPr>
          <w:rFonts w:ascii="Arial" w:hAnsi="Arial" w:cs="Arial"/>
          <w:color w:val="0070C0"/>
        </w:rPr>
      </w:pPr>
    </w:p>
  </w:footnote>
  <w:footnote w:id="44">
    <w:p w:rsidR="00BF5CAD" w:rsidRPr="00B92A5B" w:rsidRDefault="00BF5CAD"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S. Freud, “Duelo y melancolía”, en </w:t>
      </w:r>
      <w:r w:rsidRPr="00B92A5B">
        <w:rPr>
          <w:rFonts w:ascii="Arial" w:hAnsi="Arial" w:cs="Arial"/>
          <w:i/>
          <w:color w:val="0070C0"/>
        </w:rPr>
        <w:t>Obras completas. Volumen 14</w:t>
      </w:r>
      <w:r w:rsidRPr="00B92A5B">
        <w:rPr>
          <w:rFonts w:ascii="Arial" w:hAnsi="Arial" w:cs="Arial"/>
          <w:color w:val="0070C0"/>
        </w:rPr>
        <w:t>, cit., p. 246 y s.</w:t>
      </w:r>
      <w:r w:rsidR="00C84911" w:rsidRPr="00B92A5B">
        <w:rPr>
          <w:rFonts w:ascii="Arial" w:hAnsi="Arial" w:cs="Arial"/>
          <w:color w:val="0070C0"/>
        </w:rPr>
        <w:t xml:space="preserve"> (</w:t>
      </w:r>
      <w:r w:rsidR="00C84911" w:rsidRPr="00B92A5B">
        <w:rPr>
          <w:rFonts w:ascii="Arial" w:hAnsi="Arial" w:cs="Arial"/>
          <w:i/>
          <w:color w:val="0070C0"/>
        </w:rPr>
        <w:t>Ges. Werke</w:t>
      </w:r>
      <w:r w:rsidR="00C84911" w:rsidRPr="00B92A5B">
        <w:rPr>
          <w:rFonts w:ascii="Arial" w:hAnsi="Arial" w:cs="Arial"/>
          <w:color w:val="0070C0"/>
        </w:rPr>
        <w:t>, Bd. X, cit., s. 435).</w:t>
      </w:r>
    </w:p>
  </w:footnote>
  <w:footnote w:id="45">
    <w:p w:rsidR="00945CB3" w:rsidRPr="00B92A5B" w:rsidRDefault="00945CB3"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“El complejo melancólico se comporta como una herida abierta </w:t>
      </w:r>
      <w:r w:rsidRPr="00B92A5B">
        <w:rPr>
          <w:rFonts w:ascii="Arial" w:hAnsi="Arial" w:cs="Arial"/>
          <w:i/>
          <w:color w:val="0070C0"/>
        </w:rPr>
        <w:t>(wie eine offene Wunde)</w:t>
      </w:r>
      <w:r w:rsidRPr="00B92A5B">
        <w:rPr>
          <w:rFonts w:ascii="Arial" w:hAnsi="Arial" w:cs="Arial"/>
          <w:color w:val="0070C0"/>
        </w:rPr>
        <w:t>, atrae hacia sí desde todas partes energías de investidura (que en las neurosis de transferencia hemos llamado «contrainvestiduras») y vacía al yo hasta el empobrecimiento total” (Ibid., p. 250</w:t>
      </w:r>
      <w:r w:rsidR="00224706" w:rsidRPr="00B92A5B">
        <w:rPr>
          <w:rFonts w:ascii="Arial" w:hAnsi="Arial" w:cs="Arial"/>
          <w:color w:val="0070C0"/>
        </w:rPr>
        <w:t>; s. 439</w:t>
      </w:r>
      <w:r w:rsidRPr="00B92A5B">
        <w:rPr>
          <w:rFonts w:ascii="Arial" w:hAnsi="Arial" w:cs="Arial"/>
          <w:color w:val="0070C0"/>
        </w:rPr>
        <w:t>).</w:t>
      </w:r>
    </w:p>
  </w:footnote>
  <w:footnote w:id="46">
    <w:p w:rsidR="004E5B27" w:rsidRPr="00B92A5B" w:rsidRDefault="004E5B27"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w:t>
      </w:r>
      <w:r w:rsidR="00224706" w:rsidRPr="00B92A5B">
        <w:rPr>
          <w:rFonts w:ascii="Arial" w:hAnsi="Arial" w:cs="Arial"/>
          <w:color w:val="0070C0"/>
        </w:rPr>
        <w:t xml:space="preserve"> [ten</w:t>
      </w:r>
      <w:r w:rsidR="005211C6" w:rsidRPr="00B92A5B">
        <w:rPr>
          <w:rFonts w:ascii="Arial" w:hAnsi="Arial" w:cs="Arial"/>
          <w:color w:val="0070C0"/>
        </w:rPr>
        <w:t>dencia</w:t>
      </w:r>
      <w:r w:rsidR="0076228F" w:rsidRPr="00B92A5B">
        <w:rPr>
          <w:rFonts w:ascii="Arial" w:hAnsi="Arial" w:cs="Arial"/>
          <w:color w:val="0070C0"/>
        </w:rPr>
        <w:t>s</w:t>
      </w:r>
      <w:r w:rsidR="005211C6" w:rsidRPr="00B92A5B">
        <w:rPr>
          <w:rFonts w:ascii="Arial" w:hAnsi="Arial" w:cs="Arial"/>
          <w:color w:val="0070C0"/>
        </w:rPr>
        <w:t xml:space="preserve"> sádicas y tendencias de odio</w:t>
      </w:r>
      <w:r w:rsidR="00224706" w:rsidRPr="00B92A5B">
        <w:rPr>
          <w:rFonts w:ascii="Arial" w:hAnsi="Arial" w:cs="Arial"/>
          <w:color w:val="0070C0"/>
        </w:rPr>
        <w:t>]</w:t>
      </w:r>
      <w:r w:rsidR="005211C6" w:rsidRPr="00B92A5B">
        <w:rPr>
          <w:rFonts w:ascii="Arial" w:hAnsi="Arial" w:cs="Arial"/>
          <w:color w:val="0070C0"/>
        </w:rPr>
        <w:t xml:space="preserve"> por la vía indicada han experimentado</w:t>
      </w:r>
      <w:r w:rsidRPr="00B92A5B">
        <w:rPr>
          <w:rFonts w:ascii="Arial" w:hAnsi="Arial" w:cs="Arial"/>
          <w:color w:val="0070C0"/>
        </w:rPr>
        <w:t xml:space="preserve"> una vuelta hacia la persona propia</w:t>
      </w:r>
      <w:r w:rsidR="0076228F" w:rsidRPr="00B92A5B">
        <w:rPr>
          <w:rFonts w:ascii="Arial" w:hAnsi="Arial" w:cs="Arial"/>
          <w:color w:val="0070C0"/>
        </w:rPr>
        <w:t xml:space="preserve"> </w:t>
      </w:r>
      <w:r w:rsidR="0076228F" w:rsidRPr="00B92A5B">
        <w:rPr>
          <w:rFonts w:ascii="Arial" w:hAnsi="Arial" w:cs="Arial"/>
          <w:i/>
          <w:color w:val="0070C0"/>
        </w:rPr>
        <w:t>(auf diesem Wege eine Wendung gegen die eigene Person)</w:t>
      </w:r>
      <w:r w:rsidRPr="00B92A5B">
        <w:rPr>
          <w:rFonts w:ascii="Arial" w:hAnsi="Arial" w:cs="Arial"/>
          <w:color w:val="0070C0"/>
        </w:rPr>
        <w:t xml:space="preserve">. En ambas afecciones [melancolía y neurosis obsesiva] suelen lograr los enfermos, por el rodeo </w:t>
      </w:r>
      <w:r w:rsidR="0076228F" w:rsidRPr="00B92A5B">
        <w:rPr>
          <w:rFonts w:ascii="Arial" w:hAnsi="Arial" w:cs="Arial"/>
          <w:i/>
          <w:color w:val="0070C0"/>
        </w:rPr>
        <w:t>(auf dem Umwege)</w:t>
      </w:r>
      <w:r w:rsidR="0076228F" w:rsidRPr="00B92A5B">
        <w:rPr>
          <w:rFonts w:ascii="Arial" w:hAnsi="Arial" w:cs="Arial"/>
          <w:color w:val="0070C0"/>
        </w:rPr>
        <w:t xml:space="preserve"> </w:t>
      </w:r>
      <w:r w:rsidRPr="00B92A5B">
        <w:rPr>
          <w:rFonts w:ascii="Arial" w:hAnsi="Arial" w:cs="Arial"/>
          <w:color w:val="0070C0"/>
        </w:rPr>
        <w:t>de la autopunición, desquitarse de los objetos originarios y martirizar a sus amores por intermedio de su condición de enfermos […]. […] la investidura de amor del melancólico ha experimentado un destino doble; en una parte ha regresado a la identificación, pero, en otra parte, bajo la influencia del conflicto de ambivalencia, fue trasladada hacia atrás, hacia la etapa del sadismo más próxima al conflicto” (Id., p. 249</w:t>
      </w:r>
      <w:r w:rsidR="0076228F" w:rsidRPr="00B92A5B">
        <w:rPr>
          <w:rFonts w:ascii="Arial" w:hAnsi="Arial" w:cs="Arial"/>
          <w:color w:val="0070C0"/>
        </w:rPr>
        <w:t>; s. 438</w:t>
      </w:r>
      <w:r w:rsidRPr="00B92A5B">
        <w:rPr>
          <w:rFonts w:ascii="Arial" w:hAnsi="Arial" w:cs="Arial"/>
          <w:color w:val="0070C0"/>
        </w:rPr>
        <w:t>).</w:t>
      </w:r>
    </w:p>
  </w:footnote>
  <w:footnote w:id="47">
    <w:p w:rsidR="001B6795" w:rsidRPr="00B92A5B" w:rsidRDefault="001B6795"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S. Freud, </w:t>
      </w:r>
      <w:r w:rsidRPr="00B92A5B">
        <w:rPr>
          <w:rFonts w:ascii="Arial" w:hAnsi="Arial" w:cs="Arial"/>
          <w:i/>
          <w:color w:val="0070C0"/>
        </w:rPr>
        <w:t>Psicología de las masas y análisis del yo</w:t>
      </w:r>
      <w:r w:rsidRPr="00B92A5B">
        <w:rPr>
          <w:rFonts w:ascii="Arial" w:hAnsi="Arial" w:cs="Arial"/>
          <w:color w:val="0070C0"/>
        </w:rPr>
        <w:t xml:space="preserve">, en </w:t>
      </w:r>
      <w:r w:rsidRPr="00B92A5B">
        <w:rPr>
          <w:rFonts w:ascii="Arial" w:hAnsi="Arial" w:cs="Arial"/>
          <w:i/>
          <w:color w:val="0070C0"/>
        </w:rPr>
        <w:t>Obras completas. Volumen 18 (1920-1922)</w:t>
      </w:r>
      <w:r w:rsidRPr="00B92A5B">
        <w:rPr>
          <w:rFonts w:ascii="Arial" w:hAnsi="Arial" w:cs="Arial"/>
          <w:color w:val="0070C0"/>
        </w:rPr>
        <w:t>, Amorrortu editores, Buenos Aires – Madrid, 2008, p. 103 y s.</w:t>
      </w:r>
    </w:p>
  </w:footnote>
  <w:footnote w:id="48">
    <w:p w:rsidR="006E3A3B" w:rsidRPr="00B92A5B" w:rsidRDefault="006E3A3B"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S. Freud, </w:t>
      </w:r>
      <w:r w:rsidRPr="00B92A5B">
        <w:rPr>
          <w:rFonts w:ascii="Arial" w:hAnsi="Arial" w:cs="Arial"/>
          <w:i/>
          <w:color w:val="0070C0"/>
        </w:rPr>
        <w:t>El yo y el ello</w:t>
      </w:r>
      <w:r w:rsidRPr="00B92A5B">
        <w:rPr>
          <w:rFonts w:ascii="Arial" w:hAnsi="Arial" w:cs="Arial"/>
          <w:color w:val="0070C0"/>
        </w:rPr>
        <w:t xml:space="preserve">, en </w:t>
      </w:r>
      <w:r w:rsidRPr="00B92A5B">
        <w:rPr>
          <w:rFonts w:ascii="Arial" w:hAnsi="Arial" w:cs="Arial"/>
          <w:i/>
          <w:color w:val="0070C0"/>
        </w:rPr>
        <w:t>Obras completas. Volumen 19 (1923-1925)</w:t>
      </w:r>
      <w:r w:rsidRPr="00B92A5B">
        <w:rPr>
          <w:rFonts w:ascii="Arial" w:hAnsi="Arial" w:cs="Arial"/>
          <w:color w:val="0070C0"/>
        </w:rPr>
        <w:t>, Amorrortu editores, Buenos Aires – Madrid, 2007, p. 51.</w:t>
      </w:r>
    </w:p>
  </w:footnote>
  <w:footnote w:id="49">
    <w:p w:rsidR="006E3A3B" w:rsidRPr="00B92A5B" w:rsidRDefault="006E3A3B" w:rsidP="00C42BF5">
      <w:pPr>
        <w:pStyle w:val="Textonotapie"/>
        <w:jc w:val="both"/>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Ibid., p. 55.</w:t>
      </w:r>
    </w:p>
  </w:footnote>
  <w:footnote w:id="50">
    <w:p w:rsidR="00ED3DA9" w:rsidRPr="00B92A5B" w:rsidRDefault="00ED3DA9">
      <w:pPr>
        <w:pStyle w:val="Textonotapie"/>
        <w:rPr>
          <w:rFonts w:ascii="Arial" w:hAnsi="Arial" w:cs="Arial"/>
          <w:color w:val="0070C0"/>
        </w:rPr>
      </w:pPr>
      <w:r w:rsidRPr="00B92A5B">
        <w:rPr>
          <w:rStyle w:val="Refdenotaalpie"/>
          <w:rFonts w:ascii="Arial" w:hAnsi="Arial" w:cs="Arial"/>
          <w:color w:val="0070C0"/>
        </w:rPr>
        <w:footnoteRef/>
      </w:r>
      <w:r w:rsidRPr="00B92A5B">
        <w:rPr>
          <w:rFonts w:ascii="Arial" w:hAnsi="Arial" w:cs="Arial"/>
          <w:color w:val="0070C0"/>
        </w:rPr>
        <w:t xml:space="preserve"> S. Freud, </w:t>
      </w:r>
      <w:r w:rsidRPr="00B92A5B">
        <w:rPr>
          <w:rFonts w:ascii="Arial" w:hAnsi="Arial" w:cs="Arial"/>
          <w:i/>
          <w:color w:val="0070C0"/>
        </w:rPr>
        <w:t>Tótem y tabú</w:t>
      </w:r>
      <w:r w:rsidRPr="00B92A5B">
        <w:rPr>
          <w:rFonts w:ascii="Arial" w:hAnsi="Arial" w:cs="Arial"/>
          <w:color w:val="0070C0"/>
        </w:rPr>
        <w:t xml:space="preserve">, en </w:t>
      </w:r>
      <w:r w:rsidRPr="00B92A5B">
        <w:rPr>
          <w:rFonts w:ascii="Arial" w:hAnsi="Arial" w:cs="Arial"/>
          <w:i/>
          <w:color w:val="0070C0"/>
        </w:rPr>
        <w:t>Obras completas. Volumen 13 (1913-1914)</w:t>
      </w:r>
      <w:r w:rsidRPr="00B92A5B">
        <w:rPr>
          <w:rFonts w:ascii="Arial" w:hAnsi="Arial" w:cs="Arial"/>
          <w:color w:val="0070C0"/>
        </w:rPr>
        <w:t>, Amorrortu editores, Buenos Aires – Madrid, 2008, p. 143 y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9627475"/>
      <w:docPartObj>
        <w:docPartGallery w:val="Page Numbers (Top of Page)"/>
        <w:docPartUnique/>
      </w:docPartObj>
    </w:sdtPr>
    <w:sdtEndPr>
      <w:rPr>
        <w:rFonts w:ascii="Cambria" w:hAnsi="Cambria"/>
      </w:rPr>
    </w:sdtEndPr>
    <w:sdtContent>
      <w:p w:rsidR="005F3DB0" w:rsidRPr="00ED3007" w:rsidRDefault="00222868">
        <w:pPr>
          <w:pStyle w:val="Encabezado"/>
          <w:jc w:val="center"/>
          <w:rPr>
            <w:rFonts w:ascii="Cambria" w:hAnsi="Cambria"/>
          </w:rPr>
        </w:pPr>
        <w:r w:rsidRPr="00ED3007">
          <w:rPr>
            <w:rFonts w:ascii="Cambria" w:hAnsi="Cambria"/>
          </w:rPr>
          <w:fldChar w:fldCharType="begin"/>
        </w:r>
        <w:r w:rsidRPr="00ED3007">
          <w:rPr>
            <w:rFonts w:ascii="Cambria" w:hAnsi="Cambria"/>
          </w:rPr>
          <w:instrText>PAGE   \* MERGEFORMAT</w:instrText>
        </w:r>
        <w:r w:rsidRPr="00ED3007">
          <w:rPr>
            <w:rFonts w:ascii="Cambria" w:hAnsi="Cambria"/>
          </w:rPr>
          <w:fldChar w:fldCharType="separate"/>
        </w:r>
        <w:r w:rsidR="009D25DB">
          <w:rPr>
            <w:rFonts w:ascii="Cambria" w:hAnsi="Cambria"/>
            <w:noProof/>
          </w:rPr>
          <w:t>3</w:t>
        </w:r>
        <w:r w:rsidRPr="00ED3007">
          <w:rPr>
            <w:rFonts w:ascii="Cambria" w:hAnsi="Cambria"/>
          </w:rPr>
          <w:fldChar w:fldCharType="end"/>
        </w:r>
      </w:p>
    </w:sdtContent>
  </w:sdt>
  <w:p w:rsidR="005F3DB0" w:rsidRDefault="00F7634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381A22"/>
    <w:multiLevelType w:val="hybridMultilevel"/>
    <w:tmpl w:val="D5DC04EC"/>
    <w:lvl w:ilvl="0" w:tplc="64161158">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CD4"/>
    <w:rsid w:val="000200FC"/>
    <w:rsid w:val="00033180"/>
    <w:rsid w:val="00082407"/>
    <w:rsid w:val="000C6422"/>
    <w:rsid w:val="000F6BED"/>
    <w:rsid w:val="001032DA"/>
    <w:rsid w:val="001255EC"/>
    <w:rsid w:val="0015203F"/>
    <w:rsid w:val="001B6795"/>
    <w:rsid w:val="001D6947"/>
    <w:rsid w:val="00222868"/>
    <w:rsid w:val="00224706"/>
    <w:rsid w:val="00271449"/>
    <w:rsid w:val="002A6A4D"/>
    <w:rsid w:val="002C4F31"/>
    <w:rsid w:val="002E114E"/>
    <w:rsid w:val="00304024"/>
    <w:rsid w:val="00310BDE"/>
    <w:rsid w:val="00363F18"/>
    <w:rsid w:val="00365B82"/>
    <w:rsid w:val="00383D93"/>
    <w:rsid w:val="00430BE2"/>
    <w:rsid w:val="00434D0D"/>
    <w:rsid w:val="004E5B27"/>
    <w:rsid w:val="004E622B"/>
    <w:rsid w:val="00506E4C"/>
    <w:rsid w:val="005211C6"/>
    <w:rsid w:val="00541107"/>
    <w:rsid w:val="005C0191"/>
    <w:rsid w:val="005E30B6"/>
    <w:rsid w:val="005F10A1"/>
    <w:rsid w:val="00623929"/>
    <w:rsid w:val="006A4862"/>
    <w:rsid w:val="006B23D4"/>
    <w:rsid w:val="006D479F"/>
    <w:rsid w:val="006E3A3B"/>
    <w:rsid w:val="006E46B4"/>
    <w:rsid w:val="007122B0"/>
    <w:rsid w:val="0076228F"/>
    <w:rsid w:val="007C5DF1"/>
    <w:rsid w:val="00850125"/>
    <w:rsid w:val="00882863"/>
    <w:rsid w:val="008828F2"/>
    <w:rsid w:val="008B28EF"/>
    <w:rsid w:val="008F39FA"/>
    <w:rsid w:val="00922B8B"/>
    <w:rsid w:val="00945CB3"/>
    <w:rsid w:val="00970A74"/>
    <w:rsid w:val="009D25DB"/>
    <w:rsid w:val="009D5004"/>
    <w:rsid w:val="00A23344"/>
    <w:rsid w:val="00AA43F9"/>
    <w:rsid w:val="00AE2168"/>
    <w:rsid w:val="00AE6F5E"/>
    <w:rsid w:val="00B2174C"/>
    <w:rsid w:val="00B35FCE"/>
    <w:rsid w:val="00B562EC"/>
    <w:rsid w:val="00B84084"/>
    <w:rsid w:val="00B92A5B"/>
    <w:rsid w:val="00BB7D45"/>
    <w:rsid w:val="00BF5CAD"/>
    <w:rsid w:val="00C42BF5"/>
    <w:rsid w:val="00C65A40"/>
    <w:rsid w:val="00C81FEF"/>
    <w:rsid w:val="00C84911"/>
    <w:rsid w:val="00CE7879"/>
    <w:rsid w:val="00CF432F"/>
    <w:rsid w:val="00D1572B"/>
    <w:rsid w:val="00D5411D"/>
    <w:rsid w:val="00D61C3A"/>
    <w:rsid w:val="00D77B28"/>
    <w:rsid w:val="00D8657B"/>
    <w:rsid w:val="00D86F9E"/>
    <w:rsid w:val="00DB7AEE"/>
    <w:rsid w:val="00DC611C"/>
    <w:rsid w:val="00DF5A31"/>
    <w:rsid w:val="00E04AD3"/>
    <w:rsid w:val="00EA4C90"/>
    <w:rsid w:val="00ED3DA9"/>
    <w:rsid w:val="00ED7CD4"/>
    <w:rsid w:val="00F26A72"/>
    <w:rsid w:val="00F3160D"/>
    <w:rsid w:val="00F7634B"/>
    <w:rsid w:val="00FA2506"/>
    <w:rsid w:val="00FE53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C4CBDF-C887-4987-AEA8-0463D2BD6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CD4"/>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ED7CD4"/>
    <w:pPr>
      <w:spacing w:after="0" w:line="240" w:lineRule="auto"/>
    </w:pPr>
    <w:rPr>
      <w:sz w:val="20"/>
      <w:szCs w:val="20"/>
    </w:rPr>
  </w:style>
  <w:style w:type="character" w:customStyle="1" w:styleId="TextonotapieCar">
    <w:name w:val="Texto nota pie Car"/>
    <w:basedOn w:val="Fuentedeprrafopredeter"/>
    <w:link w:val="Textonotapie"/>
    <w:uiPriority w:val="99"/>
    <w:rsid w:val="00ED7CD4"/>
    <w:rPr>
      <w:sz w:val="20"/>
      <w:szCs w:val="20"/>
    </w:rPr>
  </w:style>
  <w:style w:type="character" w:styleId="Refdenotaalpie">
    <w:name w:val="footnote reference"/>
    <w:basedOn w:val="Fuentedeprrafopredeter"/>
    <w:uiPriority w:val="99"/>
    <w:semiHidden/>
    <w:unhideWhenUsed/>
    <w:rsid w:val="00ED7CD4"/>
    <w:rPr>
      <w:vertAlign w:val="superscript"/>
    </w:rPr>
  </w:style>
  <w:style w:type="paragraph" w:styleId="Encabezado">
    <w:name w:val="header"/>
    <w:basedOn w:val="Normal"/>
    <w:link w:val="EncabezadoCar"/>
    <w:uiPriority w:val="99"/>
    <w:unhideWhenUsed/>
    <w:rsid w:val="00ED7CD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D7CD4"/>
  </w:style>
  <w:style w:type="paragraph" w:styleId="Puesto">
    <w:name w:val="Title"/>
    <w:basedOn w:val="Normal"/>
    <w:next w:val="Normal"/>
    <w:link w:val="PuestoCar"/>
    <w:uiPriority w:val="10"/>
    <w:qFormat/>
    <w:rsid w:val="00ED7CD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ED7CD4"/>
    <w:rPr>
      <w:rFonts w:asciiTheme="majorHAnsi" w:eastAsiaTheme="majorEastAsia" w:hAnsiTheme="majorHAnsi" w:cstheme="majorBidi"/>
      <w:spacing w:val="-10"/>
      <w:kern w:val="28"/>
      <w:sz w:val="56"/>
      <w:szCs w:val="56"/>
    </w:rPr>
  </w:style>
  <w:style w:type="character" w:styleId="nfasisintenso">
    <w:name w:val="Intense Emphasis"/>
    <w:basedOn w:val="Fuentedeprrafopredeter"/>
    <w:uiPriority w:val="21"/>
    <w:qFormat/>
    <w:rsid w:val="00ED7CD4"/>
    <w:rPr>
      <w:b/>
      <w:bCs/>
      <w:i/>
      <w:iCs/>
      <w:color w:val="4F81BD" w:themeColor="accent1"/>
    </w:rPr>
  </w:style>
  <w:style w:type="paragraph" w:styleId="Subttulo">
    <w:name w:val="Subtitle"/>
    <w:basedOn w:val="Normal"/>
    <w:next w:val="Normal"/>
    <w:link w:val="SubttuloCar"/>
    <w:uiPriority w:val="11"/>
    <w:qFormat/>
    <w:rsid w:val="00ED7CD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D7CD4"/>
    <w:rPr>
      <w:rFonts w:asciiTheme="majorHAnsi" w:eastAsiaTheme="majorEastAsia" w:hAnsiTheme="majorHAnsi" w:cstheme="majorBidi"/>
      <w:i/>
      <w:iCs/>
      <w:color w:val="4F81BD" w:themeColor="accent1"/>
      <w:spacing w:val="15"/>
      <w:sz w:val="24"/>
      <w:szCs w:val="24"/>
    </w:rPr>
  </w:style>
  <w:style w:type="paragraph" w:styleId="Piedepgina">
    <w:name w:val="footer"/>
    <w:basedOn w:val="Normal"/>
    <w:link w:val="PiedepginaCar"/>
    <w:uiPriority w:val="99"/>
    <w:unhideWhenUsed/>
    <w:rsid w:val="00ED7CD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D7CD4"/>
  </w:style>
  <w:style w:type="paragraph" w:styleId="Textodeglobo">
    <w:name w:val="Balloon Text"/>
    <w:basedOn w:val="Normal"/>
    <w:link w:val="TextodegloboCar"/>
    <w:uiPriority w:val="99"/>
    <w:semiHidden/>
    <w:unhideWhenUsed/>
    <w:rsid w:val="001255E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255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5191</Words>
  <Characters>28551</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José Manuel Vázquez Romero</cp:lastModifiedBy>
  <cp:revision>2</cp:revision>
  <cp:lastPrinted>2017-01-12T15:15:00Z</cp:lastPrinted>
  <dcterms:created xsi:type="dcterms:W3CDTF">2017-01-19T15:09:00Z</dcterms:created>
  <dcterms:modified xsi:type="dcterms:W3CDTF">2017-01-19T15:09:00Z</dcterms:modified>
</cp:coreProperties>
</file>