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7F48" w:rsidRDefault="001E304C" w:rsidP="00EE4C7B">
      <w:pPr>
        <w:jc w:val="both"/>
        <w:rPr>
          <w:spacing w:val="-3"/>
        </w:rPr>
      </w:pPr>
      <w:bookmarkStart w:id="0" w:name="_GoBack"/>
      <w:bookmarkEnd w:id="0"/>
      <w:r>
        <w:rPr>
          <w:spacing w:val="-3"/>
        </w:rPr>
        <w:t>LA LIBERTAD DE CIRCULACIÓN DE TRABAJADORES Y LA FISCALIDAD EN EL SENO DE LA UNIÓN EUROPEA</w:t>
      </w:r>
    </w:p>
    <w:p w:rsidR="001E304C" w:rsidRDefault="001E304C" w:rsidP="00EE4C7B">
      <w:pPr>
        <w:jc w:val="both"/>
        <w:rPr>
          <w:spacing w:val="-3"/>
        </w:rPr>
      </w:pPr>
    </w:p>
    <w:p w:rsidR="001E304C" w:rsidRDefault="001E304C" w:rsidP="00EE4C7B">
      <w:pPr>
        <w:jc w:val="both"/>
        <w:rPr>
          <w:spacing w:val="-3"/>
        </w:rPr>
      </w:pPr>
    </w:p>
    <w:p w:rsidR="001E304C" w:rsidRDefault="001E304C" w:rsidP="00EE4C7B">
      <w:pPr>
        <w:jc w:val="both"/>
        <w:rPr>
          <w:spacing w:val="-3"/>
        </w:rPr>
      </w:pPr>
      <w:r>
        <w:rPr>
          <w:spacing w:val="-3"/>
        </w:rPr>
        <w:t xml:space="preserve">Autor: Ramón Casero Barrón. </w:t>
      </w:r>
      <w:r w:rsidR="004D428B">
        <w:rPr>
          <w:spacing w:val="-3"/>
        </w:rPr>
        <w:t xml:space="preserve">Profesor </w:t>
      </w:r>
      <w:r w:rsidR="00E423E3">
        <w:rPr>
          <w:spacing w:val="-3"/>
        </w:rPr>
        <w:t xml:space="preserve"> de D</w:t>
      </w:r>
      <w:r w:rsidR="005223A3">
        <w:rPr>
          <w:spacing w:val="-3"/>
        </w:rPr>
        <w:t>erecho Financiero y Tributario (</w:t>
      </w:r>
      <w:r w:rsidR="004D428B">
        <w:rPr>
          <w:spacing w:val="-3"/>
        </w:rPr>
        <w:t>Universidad Pontificia Comillas</w:t>
      </w:r>
      <w:r w:rsidR="00C02D27">
        <w:rPr>
          <w:spacing w:val="-3"/>
        </w:rPr>
        <w:t>. ICADE</w:t>
      </w:r>
      <w:r w:rsidR="005223A3">
        <w:rPr>
          <w:spacing w:val="-3"/>
        </w:rPr>
        <w:t>)</w:t>
      </w:r>
      <w:r w:rsidR="004D428B">
        <w:rPr>
          <w:spacing w:val="-3"/>
        </w:rPr>
        <w:t>. Abogado.</w:t>
      </w:r>
    </w:p>
    <w:p w:rsidR="001E304C" w:rsidRDefault="001E304C" w:rsidP="00EE4C7B">
      <w:pPr>
        <w:jc w:val="both"/>
        <w:rPr>
          <w:spacing w:val="-3"/>
        </w:rPr>
      </w:pPr>
    </w:p>
    <w:p w:rsidR="001E304C" w:rsidRDefault="001E304C" w:rsidP="00EE4C7B">
      <w:pPr>
        <w:jc w:val="both"/>
        <w:rPr>
          <w:spacing w:val="-3"/>
        </w:rPr>
      </w:pPr>
    </w:p>
    <w:p w:rsidR="001E304C" w:rsidRPr="00E423E3" w:rsidRDefault="001E304C" w:rsidP="00EE4C7B">
      <w:pPr>
        <w:jc w:val="both"/>
        <w:rPr>
          <w:spacing w:val="-3"/>
          <w:sz w:val="20"/>
          <w:szCs w:val="20"/>
        </w:rPr>
      </w:pPr>
      <w:r w:rsidRPr="00E423E3">
        <w:rPr>
          <w:spacing w:val="-3"/>
          <w:sz w:val="20"/>
          <w:szCs w:val="20"/>
        </w:rPr>
        <w:t>ÍNDICE</w:t>
      </w:r>
    </w:p>
    <w:p w:rsidR="002B4881" w:rsidRPr="00E423E3" w:rsidRDefault="002B4881" w:rsidP="00EE4C7B">
      <w:pPr>
        <w:jc w:val="both"/>
        <w:rPr>
          <w:spacing w:val="-3"/>
          <w:sz w:val="20"/>
          <w:szCs w:val="20"/>
        </w:rPr>
      </w:pPr>
    </w:p>
    <w:p w:rsidR="002B4881" w:rsidRPr="00E423E3" w:rsidRDefault="00E423E3" w:rsidP="00E423E3">
      <w:pPr>
        <w:jc w:val="both"/>
        <w:rPr>
          <w:spacing w:val="-3"/>
          <w:sz w:val="20"/>
          <w:szCs w:val="20"/>
        </w:rPr>
      </w:pPr>
      <w:r w:rsidRPr="00E423E3">
        <w:rPr>
          <w:spacing w:val="-3"/>
          <w:sz w:val="20"/>
          <w:szCs w:val="20"/>
        </w:rPr>
        <w:t>I.</w:t>
      </w:r>
      <w:r>
        <w:rPr>
          <w:spacing w:val="-3"/>
          <w:sz w:val="20"/>
          <w:szCs w:val="20"/>
        </w:rPr>
        <w:t xml:space="preserve"> </w:t>
      </w:r>
      <w:r w:rsidR="002B4881" w:rsidRPr="00E423E3">
        <w:rPr>
          <w:spacing w:val="-3"/>
          <w:sz w:val="20"/>
          <w:szCs w:val="20"/>
        </w:rPr>
        <w:t>INTRODUCCIÓN</w:t>
      </w:r>
    </w:p>
    <w:p w:rsidR="002B4881" w:rsidRPr="00E423E3" w:rsidRDefault="00E423E3" w:rsidP="00EE4C7B">
      <w:pPr>
        <w:jc w:val="both"/>
        <w:rPr>
          <w:spacing w:val="-3"/>
          <w:sz w:val="20"/>
          <w:szCs w:val="20"/>
        </w:rPr>
      </w:pPr>
      <w:r>
        <w:rPr>
          <w:spacing w:val="-3"/>
          <w:sz w:val="20"/>
          <w:szCs w:val="20"/>
        </w:rPr>
        <w:t xml:space="preserve">II. </w:t>
      </w:r>
      <w:r w:rsidR="002B4881" w:rsidRPr="00E423E3">
        <w:rPr>
          <w:spacing w:val="-3"/>
          <w:sz w:val="20"/>
          <w:szCs w:val="20"/>
        </w:rPr>
        <w:t>INSTRUMENTOS RECIENTEMENTE ADOPTADOS A NIVEL DE LA UNIÓN EUROPEA</w:t>
      </w:r>
    </w:p>
    <w:p w:rsidR="00D16207" w:rsidRPr="00E423E3" w:rsidRDefault="00E423E3" w:rsidP="00EE4C7B">
      <w:pPr>
        <w:jc w:val="both"/>
        <w:rPr>
          <w:spacing w:val="-3"/>
          <w:sz w:val="20"/>
          <w:szCs w:val="20"/>
        </w:rPr>
      </w:pPr>
      <w:r>
        <w:rPr>
          <w:spacing w:val="-3"/>
          <w:sz w:val="20"/>
          <w:szCs w:val="20"/>
        </w:rPr>
        <w:t xml:space="preserve">III. </w:t>
      </w:r>
      <w:r w:rsidR="00D16207" w:rsidRPr="00E423E3">
        <w:rPr>
          <w:spacing w:val="-3"/>
          <w:sz w:val="20"/>
          <w:szCs w:val="20"/>
        </w:rPr>
        <w:t>REGÍMENES FISCALES DE ATRACCIÓN DE TRABAJADORES ALTAMENTE CUALIFICADOS</w:t>
      </w:r>
    </w:p>
    <w:p w:rsidR="00D16207" w:rsidRPr="00E423E3" w:rsidRDefault="00E423E3" w:rsidP="00EE4C7B">
      <w:pPr>
        <w:jc w:val="both"/>
        <w:rPr>
          <w:spacing w:val="-3"/>
          <w:sz w:val="20"/>
          <w:szCs w:val="20"/>
        </w:rPr>
      </w:pPr>
      <w:r>
        <w:rPr>
          <w:spacing w:val="-3"/>
          <w:sz w:val="20"/>
          <w:szCs w:val="20"/>
        </w:rPr>
        <w:t xml:space="preserve">IV. </w:t>
      </w:r>
      <w:r w:rsidR="00D16207" w:rsidRPr="00E423E3">
        <w:rPr>
          <w:spacing w:val="-3"/>
          <w:sz w:val="20"/>
          <w:szCs w:val="20"/>
        </w:rPr>
        <w:t>CONCEPTO DE RESIDENCIA A EFECTOS FISCALES</w:t>
      </w:r>
    </w:p>
    <w:p w:rsidR="00D16207" w:rsidRPr="00E423E3" w:rsidRDefault="00E423E3" w:rsidP="00EE4C7B">
      <w:pPr>
        <w:jc w:val="both"/>
        <w:rPr>
          <w:spacing w:val="-3"/>
          <w:sz w:val="20"/>
          <w:szCs w:val="20"/>
        </w:rPr>
      </w:pPr>
      <w:r>
        <w:rPr>
          <w:spacing w:val="-3"/>
          <w:sz w:val="20"/>
          <w:szCs w:val="20"/>
        </w:rPr>
        <w:t xml:space="preserve">V. </w:t>
      </w:r>
      <w:r w:rsidR="00D16207" w:rsidRPr="00E423E3">
        <w:rPr>
          <w:spacing w:val="-3"/>
          <w:sz w:val="20"/>
          <w:szCs w:val="20"/>
        </w:rPr>
        <w:t>CONCEPTO DE RESIDENCIA FISCAL A NIVEL DE LA UNIÓN EUROPEA</w:t>
      </w:r>
    </w:p>
    <w:p w:rsidR="00D16207" w:rsidRPr="00E423E3" w:rsidRDefault="00E423E3" w:rsidP="00EE4C7B">
      <w:pPr>
        <w:jc w:val="both"/>
        <w:rPr>
          <w:rFonts w:cs="EUAlbertina"/>
          <w:color w:val="000000"/>
          <w:sz w:val="20"/>
          <w:szCs w:val="20"/>
        </w:rPr>
      </w:pPr>
      <w:r>
        <w:rPr>
          <w:rFonts w:cs="EUAlbertina"/>
          <w:color w:val="000000"/>
          <w:sz w:val="20"/>
          <w:szCs w:val="20"/>
        </w:rPr>
        <w:t xml:space="preserve">VI. </w:t>
      </w:r>
      <w:r w:rsidR="00D16207" w:rsidRPr="00E423E3">
        <w:rPr>
          <w:rFonts w:cs="EUAlbertina"/>
          <w:color w:val="000000"/>
          <w:sz w:val="20"/>
          <w:szCs w:val="20"/>
        </w:rPr>
        <w:t>TRIBUTACIÓN EN EL ESTADO DE ORIGE</w:t>
      </w:r>
      <w:r w:rsidR="002C29C9">
        <w:rPr>
          <w:rFonts w:cs="EUAlbertina"/>
          <w:color w:val="000000"/>
          <w:sz w:val="20"/>
          <w:szCs w:val="20"/>
        </w:rPr>
        <w:t>N (</w:t>
      </w:r>
      <w:r w:rsidR="002C29C9" w:rsidRPr="002C29C9">
        <w:rPr>
          <w:rFonts w:cs="EUAlbertina"/>
          <w:i/>
          <w:color w:val="000000"/>
          <w:sz w:val="20"/>
          <w:szCs w:val="20"/>
        </w:rPr>
        <w:t>HOME STATE TAXATION</w:t>
      </w:r>
      <w:r w:rsidR="00D16207" w:rsidRPr="00E423E3">
        <w:rPr>
          <w:rFonts w:cs="EUAlbertina"/>
          <w:color w:val="000000"/>
          <w:sz w:val="20"/>
          <w:szCs w:val="20"/>
        </w:rPr>
        <w:t>)</w:t>
      </w:r>
    </w:p>
    <w:p w:rsidR="00EF3704" w:rsidRPr="00E423E3" w:rsidRDefault="00E423E3" w:rsidP="00EE4C7B">
      <w:pPr>
        <w:jc w:val="both"/>
        <w:rPr>
          <w:rFonts w:cs="EUAlbertina"/>
          <w:color w:val="000000"/>
          <w:sz w:val="20"/>
          <w:szCs w:val="20"/>
        </w:rPr>
      </w:pPr>
      <w:r>
        <w:rPr>
          <w:rFonts w:cs="EUAlbertina"/>
          <w:color w:val="000000"/>
          <w:sz w:val="20"/>
          <w:szCs w:val="20"/>
        </w:rPr>
        <w:t xml:space="preserve">VII. </w:t>
      </w:r>
      <w:r w:rsidR="00EF3704" w:rsidRPr="00E423E3">
        <w:rPr>
          <w:rFonts w:cs="EUAlbertina"/>
          <w:color w:val="000000"/>
          <w:sz w:val="20"/>
          <w:szCs w:val="20"/>
        </w:rPr>
        <w:t>ELIMINACIÓN DE LOS TRASLADOS DE RESIDENCIA</w:t>
      </w:r>
    </w:p>
    <w:p w:rsidR="00EF3704" w:rsidRPr="00E423E3" w:rsidRDefault="00E423E3" w:rsidP="00EE4C7B">
      <w:pPr>
        <w:jc w:val="both"/>
        <w:rPr>
          <w:rFonts w:cs="EUAlbertina"/>
          <w:color w:val="000000"/>
          <w:sz w:val="20"/>
          <w:szCs w:val="20"/>
        </w:rPr>
      </w:pPr>
      <w:r>
        <w:rPr>
          <w:rFonts w:cs="EUAlbertina"/>
          <w:color w:val="000000"/>
          <w:sz w:val="20"/>
          <w:szCs w:val="20"/>
        </w:rPr>
        <w:t xml:space="preserve">VIII. </w:t>
      </w:r>
      <w:r w:rsidR="00EF3704" w:rsidRPr="00E423E3">
        <w:rPr>
          <w:rFonts w:cs="EUAlbertina"/>
          <w:color w:val="000000"/>
          <w:sz w:val="20"/>
          <w:szCs w:val="20"/>
        </w:rPr>
        <w:t>ELIMINACIÓN DE UN ARTÍCULO SIMILAR AL ARTÍCULO 15 DEL MCDI OCDE</w:t>
      </w:r>
    </w:p>
    <w:p w:rsidR="00D16207" w:rsidRDefault="00D16207" w:rsidP="00EE4C7B">
      <w:pPr>
        <w:jc w:val="both"/>
        <w:rPr>
          <w:rFonts w:cs="EUAlbertina"/>
          <w:color w:val="000000"/>
          <w:sz w:val="20"/>
          <w:szCs w:val="20"/>
        </w:rPr>
      </w:pPr>
    </w:p>
    <w:p w:rsidR="00E423E3" w:rsidRDefault="00E423E3" w:rsidP="00EE4C7B">
      <w:pPr>
        <w:jc w:val="both"/>
        <w:rPr>
          <w:rFonts w:cs="EUAlbertina"/>
          <w:color w:val="000000"/>
          <w:sz w:val="20"/>
          <w:szCs w:val="20"/>
        </w:rPr>
      </w:pPr>
    </w:p>
    <w:p w:rsidR="00E423E3" w:rsidRPr="00C02D27" w:rsidRDefault="00E423E3" w:rsidP="00EE4C7B">
      <w:pPr>
        <w:jc w:val="both"/>
        <w:rPr>
          <w:rFonts w:cs="EUAlbertina"/>
          <w:b/>
          <w:color w:val="000000"/>
          <w:sz w:val="20"/>
          <w:szCs w:val="20"/>
        </w:rPr>
      </w:pPr>
      <w:r w:rsidRPr="00C02D27">
        <w:rPr>
          <w:rFonts w:cs="EUAlbertina"/>
          <w:b/>
          <w:color w:val="000000"/>
          <w:sz w:val="20"/>
          <w:szCs w:val="20"/>
        </w:rPr>
        <w:t xml:space="preserve">Resumen: </w:t>
      </w:r>
    </w:p>
    <w:p w:rsidR="00E423E3" w:rsidRDefault="00E423E3" w:rsidP="00EE4C7B">
      <w:pPr>
        <w:jc w:val="both"/>
        <w:rPr>
          <w:rFonts w:cs="EUAlbertina"/>
          <w:color w:val="000000"/>
          <w:sz w:val="20"/>
          <w:szCs w:val="20"/>
        </w:rPr>
      </w:pPr>
    </w:p>
    <w:p w:rsidR="007C2542" w:rsidRDefault="00E423E3" w:rsidP="00EE4C7B">
      <w:pPr>
        <w:jc w:val="both"/>
        <w:rPr>
          <w:rFonts w:cs="EUAlbertina"/>
          <w:color w:val="000000"/>
          <w:sz w:val="20"/>
          <w:szCs w:val="20"/>
        </w:rPr>
      </w:pPr>
      <w:r>
        <w:rPr>
          <w:rFonts w:cs="EUAlbertina"/>
          <w:color w:val="000000"/>
          <w:sz w:val="20"/>
          <w:szCs w:val="20"/>
        </w:rPr>
        <w:t xml:space="preserve">En el presente trabajo se da cuenta de las distintas medidas que se están elaborando por las instituciones de la Unión Europea con la finalidad de posibilitar la libre circulación de los ciudadanos europeos en un mercado único desde la vertiente exclusiva de los impuestos sobre la renta, pues tradicionalmente se ha considerado que determinadas normativas nacionales constituían verdaderas barreras a la libre circulación. </w:t>
      </w:r>
    </w:p>
    <w:p w:rsidR="007C2542" w:rsidRDefault="007C2542" w:rsidP="00EE4C7B">
      <w:pPr>
        <w:jc w:val="both"/>
        <w:rPr>
          <w:rFonts w:cs="EUAlbertina"/>
          <w:color w:val="000000"/>
          <w:sz w:val="20"/>
          <w:szCs w:val="20"/>
        </w:rPr>
      </w:pPr>
    </w:p>
    <w:p w:rsidR="007C2542" w:rsidRDefault="00E423E3" w:rsidP="00EE4C7B">
      <w:pPr>
        <w:jc w:val="both"/>
        <w:rPr>
          <w:rFonts w:cs="EUAlbertina"/>
          <w:color w:val="000000"/>
          <w:sz w:val="20"/>
          <w:szCs w:val="20"/>
        </w:rPr>
      </w:pPr>
      <w:r>
        <w:rPr>
          <w:rFonts w:cs="EUAlbertina"/>
          <w:color w:val="000000"/>
          <w:sz w:val="20"/>
          <w:szCs w:val="20"/>
        </w:rPr>
        <w:t xml:space="preserve">El estudio se centra básicamente en los distintos regímenes nacionales en materia de impuesto sobre la renta para atraer trabajadores altamente cualificados. </w:t>
      </w:r>
      <w:r w:rsidR="007C2542">
        <w:rPr>
          <w:rFonts w:cs="EUAlbertina"/>
          <w:color w:val="000000"/>
          <w:sz w:val="20"/>
          <w:szCs w:val="20"/>
        </w:rPr>
        <w:t>Y postula</w:t>
      </w:r>
      <w:r>
        <w:rPr>
          <w:rFonts w:cs="EUAlbertina"/>
          <w:color w:val="000000"/>
          <w:sz w:val="20"/>
          <w:szCs w:val="20"/>
        </w:rPr>
        <w:t xml:space="preserve"> para este tipo de trabajadores como alternativa que posibilite la libre circulación en ese mercado interior la adopción del criterio de residencia como único punto de conexión</w:t>
      </w:r>
      <w:r w:rsidR="007C2542">
        <w:rPr>
          <w:rFonts w:cs="EUAlbertina"/>
          <w:color w:val="000000"/>
          <w:sz w:val="20"/>
          <w:szCs w:val="20"/>
        </w:rPr>
        <w:t>, y la consiguiente eliminación del criterio consagrado a nivel de la OCDE del territorio donde se presta el trabajo como punto de conexión a un determinado estado junto con el criterio de residencia.</w:t>
      </w:r>
    </w:p>
    <w:p w:rsidR="007C2542" w:rsidRDefault="007C2542" w:rsidP="00EE4C7B">
      <w:pPr>
        <w:jc w:val="both"/>
        <w:rPr>
          <w:rFonts w:cs="EUAlbertina"/>
          <w:color w:val="000000"/>
          <w:sz w:val="20"/>
          <w:szCs w:val="20"/>
        </w:rPr>
      </w:pPr>
    </w:p>
    <w:p w:rsidR="007C2542" w:rsidRDefault="007C2542" w:rsidP="00EE4C7B">
      <w:pPr>
        <w:jc w:val="both"/>
        <w:rPr>
          <w:rFonts w:cs="EUAlbertina"/>
          <w:color w:val="000000"/>
          <w:sz w:val="20"/>
          <w:szCs w:val="20"/>
        </w:rPr>
      </w:pPr>
      <w:r w:rsidRPr="00C02D27">
        <w:rPr>
          <w:rFonts w:cs="EUAlbertina"/>
          <w:b/>
          <w:color w:val="000000"/>
          <w:sz w:val="20"/>
          <w:szCs w:val="20"/>
        </w:rPr>
        <w:t>Palabras claves:</w:t>
      </w:r>
      <w:r>
        <w:rPr>
          <w:rFonts w:cs="EUAlbertina"/>
          <w:color w:val="000000"/>
          <w:sz w:val="20"/>
          <w:szCs w:val="20"/>
        </w:rPr>
        <w:t xml:space="preserve"> Impuestos sobre la renta; Unión Europea; libre circulación de trabajadores; discriminación; residencia fiscal; convenios para evitar la doble imposición; movilidad de trabajadores y sus familias; trabajadores de alta cualificación.</w:t>
      </w:r>
    </w:p>
    <w:p w:rsidR="007C2542" w:rsidRDefault="007C2542" w:rsidP="00EE4C7B">
      <w:pPr>
        <w:jc w:val="both"/>
        <w:rPr>
          <w:rFonts w:cs="EUAlbertina"/>
          <w:color w:val="000000"/>
          <w:sz w:val="20"/>
          <w:szCs w:val="20"/>
        </w:rPr>
      </w:pPr>
    </w:p>
    <w:p w:rsidR="007C2542" w:rsidRDefault="007C2542" w:rsidP="00EE4C7B">
      <w:pPr>
        <w:jc w:val="both"/>
        <w:rPr>
          <w:rFonts w:cs="EUAlbertina"/>
          <w:color w:val="000000"/>
          <w:sz w:val="20"/>
          <w:szCs w:val="20"/>
        </w:rPr>
      </w:pPr>
    </w:p>
    <w:p w:rsidR="007C2542" w:rsidRPr="00787028" w:rsidRDefault="007C2542" w:rsidP="00EE4C7B">
      <w:pPr>
        <w:jc w:val="both"/>
        <w:rPr>
          <w:rFonts w:cs="EUAlbertina"/>
          <w:b/>
          <w:color w:val="000000"/>
          <w:sz w:val="20"/>
          <w:szCs w:val="20"/>
          <w:lang w:val="en-US"/>
        </w:rPr>
      </w:pPr>
      <w:r w:rsidRPr="00787028">
        <w:rPr>
          <w:rFonts w:cs="EUAlbertina"/>
          <w:b/>
          <w:color w:val="000000"/>
          <w:sz w:val="20"/>
          <w:szCs w:val="20"/>
          <w:lang w:val="en-US"/>
        </w:rPr>
        <w:t xml:space="preserve">Abstract: </w:t>
      </w:r>
    </w:p>
    <w:p w:rsidR="007C2542" w:rsidRPr="00787028" w:rsidRDefault="007C2542" w:rsidP="00EE4C7B">
      <w:pPr>
        <w:jc w:val="both"/>
        <w:rPr>
          <w:rFonts w:cs="EUAlbertina"/>
          <w:color w:val="000000"/>
          <w:sz w:val="20"/>
          <w:szCs w:val="20"/>
          <w:lang w:val="en-US"/>
        </w:rPr>
      </w:pPr>
    </w:p>
    <w:p w:rsidR="007C2542" w:rsidRDefault="007C2542" w:rsidP="00EE4C7B">
      <w:pPr>
        <w:jc w:val="both"/>
        <w:rPr>
          <w:rFonts w:cs="EUAlbertina"/>
          <w:color w:val="000000"/>
          <w:sz w:val="20"/>
          <w:szCs w:val="20"/>
          <w:lang w:val="en-US"/>
        </w:rPr>
      </w:pPr>
      <w:r w:rsidRPr="007C2542">
        <w:rPr>
          <w:rFonts w:cs="EUAlbertina"/>
          <w:color w:val="000000"/>
          <w:sz w:val="20"/>
          <w:szCs w:val="20"/>
          <w:lang w:val="en-US"/>
        </w:rPr>
        <w:t>This paperwork makes a</w:t>
      </w:r>
      <w:r>
        <w:rPr>
          <w:rFonts w:cs="EUAlbertina"/>
          <w:color w:val="000000"/>
          <w:sz w:val="20"/>
          <w:szCs w:val="20"/>
          <w:lang w:val="en-US"/>
        </w:rPr>
        <w:t>n</w:t>
      </w:r>
      <w:r w:rsidRPr="007C2542">
        <w:rPr>
          <w:rFonts w:cs="EUAlbertina"/>
          <w:color w:val="000000"/>
          <w:sz w:val="20"/>
          <w:szCs w:val="20"/>
          <w:lang w:val="en-US"/>
        </w:rPr>
        <w:t xml:space="preserve"> in depth analys</w:t>
      </w:r>
      <w:r>
        <w:rPr>
          <w:rFonts w:cs="EUAlbertina"/>
          <w:color w:val="000000"/>
          <w:sz w:val="20"/>
          <w:szCs w:val="20"/>
          <w:lang w:val="en-US"/>
        </w:rPr>
        <w:t>es of the work carried on by</w:t>
      </w:r>
      <w:r w:rsidRPr="007C2542">
        <w:rPr>
          <w:rFonts w:cs="EUAlbertina"/>
          <w:color w:val="000000"/>
          <w:sz w:val="20"/>
          <w:szCs w:val="20"/>
          <w:lang w:val="en-US"/>
        </w:rPr>
        <w:t xml:space="preserve"> European Union</w:t>
      </w:r>
      <w:r>
        <w:rPr>
          <w:rFonts w:cs="EUAlbertina"/>
          <w:color w:val="000000"/>
          <w:sz w:val="20"/>
          <w:szCs w:val="20"/>
          <w:lang w:val="en-US"/>
        </w:rPr>
        <w:t xml:space="preserve"> i</w:t>
      </w:r>
      <w:r w:rsidR="00E20087">
        <w:rPr>
          <w:rFonts w:cs="EUAlbertina"/>
          <w:color w:val="000000"/>
          <w:sz w:val="20"/>
          <w:szCs w:val="20"/>
          <w:lang w:val="en-US"/>
        </w:rPr>
        <w:t>nstitutions in order</w:t>
      </w:r>
      <w:r>
        <w:rPr>
          <w:rFonts w:cs="EUAlbertina"/>
          <w:color w:val="000000"/>
          <w:sz w:val="20"/>
          <w:szCs w:val="20"/>
          <w:lang w:val="en-US"/>
        </w:rPr>
        <w:t xml:space="preserve"> to attain</w:t>
      </w:r>
      <w:r w:rsidRPr="007C2542">
        <w:rPr>
          <w:rFonts w:cs="EUAlbertina"/>
          <w:color w:val="000000"/>
          <w:sz w:val="20"/>
          <w:szCs w:val="20"/>
          <w:lang w:val="en-US"/>
        </w:rPr>
        <w:t xml:space="preserve"> the free movement of wo</w:t>
      </w:r>
      <w:r>
        <w:rPr>
          <w:rFonts w:cs="EUAlbertina"/>
          <w:color w:val="000000"/>
          <w:sz w:val="20"/>
          <w:szCs w:val="20"/>
          <w:lang w:val="en-US"/>
        </w:rPr>
        <w:t>rkers within a single market fro</w:t>
      </w:r>
      <w:r w:rsidRPr="007C2542">
        <w:rPr>
          <w:rFonts w:cs="EUAlbertina"/>
          <w:color w:val="000000"/>
          <w:sz w:val="20"/>
          <w:szCs w:val="20"/>
          <w:lang w:val="en-US"/>
        </w:rPr>
        <w:t xml:space="preserve">m the only perspective of </w:t>
      </w:r>
      <w:r w:rsidR="00E20087">
        <w:rPr>
          <w:rFonts w:cs="EUAlbertina"/>
          <w:color w:val="000000"/>
          <w:sz w:val="20"/>
          <w:szCs w:val="20"/>
          <w:lang w:val="en-US"/>
        </w:rPr>
        <w:t>the individual income taxes established by Member States which could have embedded  potentially barriers to the free movement of workers.</w:t>
      </w:r>
    </w:p>
    <w:p w:rsidR="00E20087" w:rsidRDefault="00E20087" w:rsidP="00EE4C7B">
      <w:pPr>
        <w:jc w:val="both"/>
        <w:rPr>
          <w:rFonts w:cs="EUAlbertina"/>
          <w:color w:val="000000"/>
          <w:sz w:val="20"/>
          <w:szCs w:val="20"/>
          <w:lang w:val="en-US"/>
        </w:rPr>
      </w:pPr>
    </w:p>
    <w:p w:rsidR="00A24D80" w:rsidRDefault="00E20087" w:rsidP="00EE4C7B">
      <w:pPr>
        <w:jc w:val="both"/>
        <w:rPr>
          <w:rFonts w:cs="EUAlbertina"/>
          <w:color w:val="000000"/>
          <w:sz w:val="20"/>
          <w:szCs w:val="20"/>
          <w:lang w:val="en-US"/>
        </w:rPr>
      </w:pPr>
      <w:r>
        <w:rPr>
          <w:rFonts w:cs="EUAlbertina"/>
          <w:color w:val="000000"/>
          <w:sz w:val="20"/>
          <w:szCs w:val="20"/>
          <w:lang w:val="en-US"/>
        </w:rPr>
        <w:t>The work focuses in a comparative study of tax regime granted by different states in order to attract high skilled</w:t>
      </w:r>
      <w:r w:rsidR="00A24D80">
        <w:rPr>
          <w:rFonts w:cs="EUAlbertina"/>
          <w:color w:val="000000"/>
          <w:sz w:val="20"/>
          <w:szCs w:val="20"/>
          <w:lang w:val="en-US"/>
        </w:rPr>
        <w:t xml:space="preserve"> workers, and it is upheld the tax residence principle as single connecting factor in order to be entitled to tax  as proposal for the purpose to reach the free movements of these types of cross border workers. As consequences, it is proposed to delete wording similar to article 15 of OECD Model Income and Capital Tax Treaty where the right to tax is attributed to the state where work is effectively carried on and the residence state. </w:t>
      </w:r>
    </w:p>
    <w:p w:rsidR="00A24D80" w:rsidRDefault="00A24D80" w:rsidP="00EE4C7B">
      <w:pPr>
        <w:jc w:val="both"/>
        <w:rPr>
          <w:rFonts w:cs="EUAlbertina"/>
          <w:color w:val="000000"/>
          <w:sz w:val="20"/>
          <w:szCs w:val="20"/>
          <w:lang w:val="en-US"/>
        </w:rPr>
      </w:pPr>
    </w:p>
    <w:p w:rsidR="00E20087" w:rsidRPr="007C2542" w:rsidRDefault="00A24D80" w:rsidP="00EE4C7B">
      <w:pPr>
        <w:jc w:val="both"/>
        <w:rPr>
          <w:rFonts w:cs="EUAlbertina"/>
          <w:color w:val="000000"/>
          <w:sz w:val="20"/>
          <w:szCs w:val="20"/>
          <w:lang w:val="en-US"/>
        </w:rPr>
      </w:pPr>
      <w:r w:rsidRPr="00C02D27">
        <w:rPr>
          <w:rFonts w:cs="EUAlbertina"/>
          <w:b/>
          <w:color w:val="000000"/>
          <w:sz w:val="20"/>
          <w:szCs w:val="20"/>
          <w:lang w:val="en-US"/>
        </w:rPr>
        <w:t>Key words:</w:t>
      </w:r>
      <w:r>
        <w:rPr>
          <w:rFonts w:cs="EUAlbertina"/>
          <w:color w:val="000000"/>
          <w:sz w:val="20"/>
          <w:szCs w:val="20"/>
          <w:lang w:val="en-US"/>
        </w:rPr>
        <w:t xml:space="preserve"> Individual Income Tax; European Union; free movement of workers; discriminatory provision; tax residence; tax treaties for the avoidance of double taxation</w:t>
      </w:r>
      <w:r w:rsidR="00547627">
        <w:rPr>
          <w:rFonts w:cs="EUAlbertina"/>
          <w:color w:val="000000"/>
          <w:sz w:val="20"/>
          <w:szCs w:val="20"/>
          <w:lang w:val="en-US"/>
        </w:rPr>
        <w:t>; mobility of workers and their families; high skilled workers.</w:t>
      </w:r>
      <w:r w:rsidR="00E20087">
        <w:rPr>
          <w:rFonts w:cs="EUAlbertina"/>
          <w:color w:val="000000"/>
          <w:sz w:val="20"/>
          <w:szCs w:val="20"/>
          <w:lang w:val="en-US"/>
        </w:rPr>
        <w:t xml:space="preserve">  </w:t>
      </w:r>
    </w:p>
    <w:p w:rsidR="007C2542" w:rsidRPr="007C2542" w:rsidRDefault="007C2542" w:rsidP="00EE4C7B">
      <w:pPr>
        <w:jc w:val="both"/>
        <w:rPr>
          <w:rFonts w:cs="EUAlbertina"/>
          <w:color w:val="000000"/>
          <w:sz w:val="20"/>
          <w:szCs w:val="20"/>
          <w:lang w:val="en-US"/>
        </w:rPr>
      </w:pPr>
    </w:p>
    <w:p w:rsidR="00E423E3" w:rsidRPr="007C2542" w:rsidRDefault="007C2542" w:rsidP="00EE4C7B">
      <w:pPr>
        <w:jc w:val="both"/>
        <w:rPr>
          <w:spacing w:val="-3"/>
          <w:sz w:val="20"/>
          <w:szCs w:val="20"/>
          <w:lang w:val="en-US"/>
        </w:rPr>
      </w:pPr>
      <w:r w:rsidRPr="007C2542">
        <w:rPr>
          <w:rFonts w:cs="EUAlbertina"/>
          <w:color w:val="000000"/>
          <w:sz w:val="20"/>
          <w:szCs w:val="20"/>
          <w:lang w:val="en-US"/>
        </w:rPr>
        <w:t xml:space="preserve"> </w:t>
      </w:r>
    </w:p>
    <w:p w:rsidR="002B4881" w:rsidRPr="007C2542" w:rsidRDefault="002B4881" w:rsidP="00EE4C7B">
      <w:pPr>
        <w:jc w:val="both"/>
        <w:rPr>
          <w:spacing w:val="-3"/>
          <w:lang w:val="en-US"/>
        </w:rPr>
      </w:pPr>
    </w:p>
    <w:p w:rsidR="001E304C" w:rsidRPr="007C2542" w:rsidRDefault="001E304C" w:rsidP="00275D44">
      <w:pPr>
        <w:spacing w:line="360" w:lineRule="auto"/>
        <w:jc w:val="both"/>
        <w:rPr>
          <w:spacing w:val="-3"/>
          <w:lang w:val="en-US"/>
        </w:rPr>
      </w:pPr>
    </w:p>
    <w:p w:rsidR="001E304C" w:rsidRPr="00C02D27" w:rsidRDefault="00C02D27" w:rsidP="00FB0D91">
      <w:pPr>
        <w:jc w:val="both"/>
        <w:rPr>
          <w:b/>
          <w:spacing w:val="-3"/>
        </w:rPr>
      </w:pPr>
      <w:r w:rsidRPr="00C02D27">
        <w:rPr>
          <w:b/>
          <w:spacing w:val="-3"/>
        </w:rPr>
        <w:t xml:space="preserve">I. </w:t>
      </w:r>
      <w:r w:rsidR="002B4881" w:rsidRPr="00C02D27">
        <w:rPr>
          <w:b/>
          <w:spacing w:val="-3"/>
        </w:rPr>
        <w:t>INTRODUCCIÓN</w:t>
      </w:r>
    </w:p>
    <w:p w:rsidR="001E304C" w:rsidRDefault="001E304C" w:rsidP="00FB0D91">
      <w:pPr>
        <w:jc w:val="both"/>
        <w:rPr>
          <w:spacing w:val="-3"/>
        </w:rPr>
      </w:pPr>
    </w:p>
    <w:p w:rsidR="001E304C" w:rsidRDefault="00500B98" w:rsidP="00FB0D91">
      <w:pPr>
        <w:jc w:val="both"/>
        <w:rPr>
          <w:spacing w:val="-3"/>
        </w:rPr>
      </w:pPr>
      <w:r>
        <w:rPr>
          <w:spacing w:val="-3"/>
        </w:rPr>
        <w:t>En el presente</w:t>
      </w:r>
      <w:r w:rsidR="0058187E">
        <w:rPr>
          <w:spacing w:val="-3"/>
        </w:rPr>
        <w:t xml:space="preserve"> trabajo se va</w:t>
      </w:r>
      <w:r w:rsidR="004744A0">
        <w:rPr>
          <w:spacing w:val="-3"/>
        </w:rPr>
        <w:t>n</w:t>
      </w:r>
      <w:r w:rsidR="0058187E">
        <w:rPr>
          <w:spacing w:val="-3"/>
        </w:rPr>
        <w:t xml:space="preserve"> a abordar las tendencias recientes que existen en materia de fiscalidad directa de las rentas del trabajo </w:t>
      </w:r>
      <w:r>
        <w:rPr>
          <w:spacing w:val="-3"/>
        </w:rPr>
        <w:t xml:space="preserve">en los </w:t>
      </w:r>
      <w:r w:rsidR="00C02D27">
        <w:rPr>
          <w:spacing w:val="-3"/>
        </w:rPr>
        <w:t>E</w:t>
      </w:r>
      <w:r w:rsidR="00405227">
        <w:rPr>
          <w:spacing w:val="-3"/>
        </w:rPr>
        <w:t>stados miembros</w:t>
      </w:r>
      <w:r>
        <w:rPr>
          <w:spacing w:val="-3"/>
        </w:rPr>
        <w:t xml:space="preserve"> de la Unión Europea</w:t>
      </w:r>
      <w:r w:rsidR="00405227">
        <w:rPr>
          <w:spacing w:val="-3"/>
        </w:rPr>
        <w:t xml:space="preserve"> y su necesaria alienación con la existencia de trabajadores que pueden ejer</w:t>
      </w:r>
      <w:r w:rsidR="00C02D27">
        <w:rPr>
          <w:spacing w:val="-3"/>
        </w:rPr>
        <w:t>cer su libertad de trabajar en E</w:t>
      </w:r>
      <w:r w:rsidR="00405227">
        <w:rPr>
          <w:spacing w:val="-3"/>
        </w:rPr>
        <w:t xml:space="preserve">stados miembros distintos al de su residencia como consecuencia de la existencia de un mercado único, así como los trabajos que en fechas muy recientes se han abordado por la Unión Europea. </w:t>
      </w:r>
    </w:p>
    <w:p w:rsidR="00500B98" w:rsidRDefault="00500B98" w:rsidP="00FB0D91">
      <w:pPr>
        <w:jc w:val="both"/>
        <w:rPr>
          <w:spacing w:val="-3"/>
        </w:rPr>
      </w:pPr>
    </w:p>
    <w:p w:rsidR="00500B98" w:rsidRDefault="00500B98" w:rsidP="00FB0D91">
      <w:pPr>
        <w:jc w:val="both"/>
        <w:rPr>
          <w:spacing w:val="-3"/>
        </w:rPr>
      </w:pPr>
      <w:r>
        <w:rPr>
          <w:spacing w:val="-3"/>
        </w:rPr>
        <w:t xml:space="preserve">De esta forma, lo que realmente se va a poner de relieve es el conjunto de mecanismos sobre los que ya está trabajando la Comisión de la Unión Europea desde un punto de vista de los ciudadanos de la Unión Europea en situación de movilidad y las discriminaciones fiscales que padecen en comparación con aquellos ciudadanos que permanecen en un </w:t>
      </w:r>
      <w:r w:rsidR="00274740">
        <w:rPr>
          <w:spacing w:val="-3"/>
        </w:rPr>
        <w:t xml:space="preserve">solo </w:t>
      </w:r>
      <w:r>
        <w:rPr>
          <w:spacing w:val="-3"/>
        </w:rPr>
        <w:t xml:space="preserve">estado miembro. </w:t>
      </w:r>
    </w:p>
    <w:p w:rsidR="00500B98" w:rsidRDefault="00500B98" w:rsidP="00FB0D91">
      <w:pPr>
        <w:jc w:val="both"/>
        <w:rPr>
          <w:spacing w:val="-3"/>
        </w:rPr>
      </w:pPr>
    </w:p>
    <w:p w:rsidR="00FD44B3" w:rsidRDefault="00500B98" w:rsidP="00FB0D91">
      <w:pPr>
        <w:jc w:val="both"/>
        <w:rPr>
          <w:spacing w:val="-3"/>
        </w:rPr>
      </w:pPr>
      <w:r>
        <w:rPr>
          <w:spacing w:val="-3"/>
        </w:rPr>
        <w:t xml:space="preserve">Y ello porque la primera manifestación que se tiene que hacer es que en materia de fiscalidad de </w:t>
      </w:r>
      <w:r w:rsidR="005D2A7C">
        <w:rPr>
          <w:spacing w:val="-3"/>
        </w:rPr>
        <w:t>l</w:t>
      </w:r>
      <w:r w:rsidR="00C02D27">
        <w:rPr>
          <w:spacing w:val="-3"/>
        </w:rPr>
        <w:t>as rentas del trabajo, son los E</w:t>
      </w:r>
      <w:r w:rsidR="005D2A7C">
        <w:rPr>
          <w:spacing w:val="-3"/>
        </w:rPr>
        <w:t>stados miembros lo</w:t>
      </w:r>
      <w:r w:rsidR="00FD44B3">
        <w:rPr>
          <w:spacing w:val="-3"/>
        </w:rPr>
        <w:t>s</w:t>
      </w:r>
      <w:r w:rsidR="005D2A7C">
        <w:rPr>
          <w:spacing w:val="-3"/>
        </w:rPr>
        <w:t xml:space="preserve"> que ostentan la competencia soberana para diseñar y recaudar los impuestos, siempre que no existe una vulneración de las libertade</w:t>
      </w:r>
      <w:r w:rsidR="00D820E5">
        <w:rPr>
          <w:spacing w:val="-3"/>
        </w:rPr>
        <w:t xml:space="preserve">s fundamentales. </w:t>
      </w:r>
    </w:p>
    <w:p w:rsidR="00FD44B3" w:rsidRDefault="00FD44B3" w:rsidP="00FB0D91">
      <w:pPr>
        <w:jc w:val="both"/>
        <w:rPr>
          <w:spacing w:val="-3"/>
        </w:rPr>
      </w:pPr>
    </w:p>
    <w:p w:rsidR="00ED730D" w:rsidRDefault="00FD44B3" w:rsidP="00FB0D91">
      <w:pPr>
        <w:jc w:val="both"/>
        <w:rPr>
          <w:spacing w:val="-3"/>
        </w:rPr>
      </w:pPr>
      <w:r>
        <w:rPr>
          <w:spacing w:val="-3"/>
        </w:rPr>
        <w:t xml:space="preserve">Vulneraciones que empezaron a ponerse de relieve, mediante una interpretación dinámica o teleológica, por parte del Tribunal de Justicia de la Unión Europea desde mediados de los años noventa del siglo veinte, y que tienen su punto de partida en la sentencia </w:t>
      </w:r>
      <w:proofErr w:type="spellStart"/>
      <w:r>
        <w:rPr>
          <w:spacing w:val="-3"/>
        </w:rPr>
        <w:t>Schumacker</w:t>
      </w:r>
      <w:proofErr w:type="spellEnd"/>
      <w:r>
        <w:rPr>
          <w:spacing w:val="-3"/>
        </w:rPr>
        <w:t xml:space="preserve"> del año 1995 (C-279/93)</w:t>
      </w:r>
      <w:r w:rsidR="00B54A9B">
        <w:rPr>
          <w:spacing w:val="-3"/>
        </w:rPr>
        <w:t xml:space="preserve">, y que supuso la confirmación de la Recomendación 94/079/CE </w:t>
      </w:r>
      <w:r w:rsidR="00B54A9B" w:rsidRPr="00B54A9B">
        <w:t>relativa al régimen tributario de determinadas rentas obtenidas por no residentes en un Estado miembro distinto de aquel en el que residen</w:t>
      </w:r>
      <w:r w:rsidR="00B54A9B">
        <w:rPr>
          <w:spacing w:val="-3"/>
        </w:rPr>
        <w:t xml:space="preserve">. </w:t>
      </w:r>
    </w:p>
    <w:p w:rsidR="00ED730D" w:rsidRDefault="00ED730D" w:rsidP="00FB0D91">
      <w:pPr>
        <w:jc w:val="both"/>
        <w:rPr>
          <w:spacing w:val="-3"/>
        </w:rPr>
      </w:pPr>
    </w:p>
    <w:p w:rsidR="00ED730D" w:rsidRDefault="00B54A9B" w:rsidP="00FB0D91">
      <w:pPr>
        <w:jc w:val="both"/>
        <w:rPr>
          <w:spacing w:val="-3"/>
        </w:rPr>
      </w:pPr>
      <w:r>
        <w:rPr>
          <w:spacing w:val="-3"/>
        </w:rPr>
        <w:t>Mediante esta Recomendación se pretendía eliminar la doble imposición a la que se sometían las rentas de los trabajadores transfronterizos</w:t>
      </w:r>
      <w:r w:rsidR="003575C8">
        <w:rPr>
          <w:spacing w:val="-3"/>
        </w:rPr>
        <w:t>, en sentido amplio,</w:t>
      </w:r>
      <w:r w:rsidR="00ED730D">
        <w:rPr>
          <w:spacing w:val="-3"/>
        </w:rPr>
        <w:t xml:space="preserve"> puesto que se equiparaban como situaciones esencialmente idénti</w:t>
      </w:r>
      <w:r w:rsidR="00C02D27">
        <w:rPr>
          <w:spacing w:val="-3"/>
        </w:rPr>
        <w:t>cas la de los residentes en un E</w:t>
      </w:r>
      <w:r w:rsidR="00ED730D">
        <w:rPr>
          <w:spacing w:val="-3"/>
        </w:rPr>
        <w:t xml:space="preserve">stado y </w:t>
      </w:r>
      <w:r w:rsidR="00C02D27">
        <w:rPr>
          <w:spacing w:val="-3"/>
        </w:rPr>
        <w:t>la de los no residentes en ese E</w:t>
      </w:r>
      <w:r w:rsidR="00ED730D">
        <w:rPr>
          <w:spacing w:val="-3"/>
        </w:rPr>
        <w:t>stado pero que obtenían casi la tot</w:t>
      </w:r>
      <w:r w:rsidR="00C02D27">
        <w:rPr>
          <w:spacing w:val="-3"/>
        </w:rPr>
        <w:t>alidad de sus rentas desde ese E</w:t>
      </w:r>
      <w:r w:rsidR="00ED730D">
        <w:rPr>
          <w:spacing w:val="-3"/>
        </w:rPr>
        <w:t>stado.</w:t>
      </w:r>
    </w:p>
    <w:p w:rsidR="003575C8" w:rsidRDefault="003575C8" w:rsidP="00FB0D91">
      <w:pPr>
        <w:jc w:val="both"/>
        <w:rPr>
          <w:spacing w:val="-3"/>
        </w:rPr>
      </w:pPr>
    </w:p>
    <w:p w:rsidR="003575C8" w:rsidRDefault="00C02D27" w:rsidP="00FB0D91">
      <w:pPr>
        <w:jc w:val="both"/>
        <w:rPr>
          <w:spacing w:val="-3"/>
        </w:rPr>
      </w:pPr>
      <w:r>
        <w:rPr>
          <w:spacing w:val="-3"/>
        </w:rPr>
        <w:t>Realmente la R</w:t>
      </w:r>
      <w:r w:rsidR="003575C8">
        <w:rPr>
          <w:spacing w:val="-3"/>
        </w:rPr>
        <w:t>ecomendación se aplica a las siguientes categorías de personas: trabajadores transfronterizos</w:t>
      </w:r>
      <w:r>
        <w:rPr>
          <w:rStyle w:val="Refdenotaalpie"/>
          <w:spacing w:val="-3"/>
        </w:rPr>
        <w:footnoteReference w:id="1"/>
      </w:r>
      <w:r w:rsidR="003575C8">
        <w:rPr>
          <w:spacing w:val="-3"/>
        </w:rPr>
        <w:t>; otros trabajadores por cuenta ajena</w:t>
      </w:r>
      <w:r>
        <w:rPr>
          <w:rStyle w:val="Refdenotaalpie"/>
          <w:spacing w:val="-3"/>
        </w:rPr>
        <w:footnoteReference w:id="2"/>
      </w:r>
      <w:r w:rsidR="003575C8">
        <w:rPr>
          <w:spacing w:val="-3"/>
        </w:rPr>
        <w:t>; beneficiarios de pensiones y otras retribuciones previstas en</w:t>
      </w:r>
      <w:r>
        <w:rPr>
          <w:spacing w:val="-3"/>
        </w:rPr>
        <w:t xml:space="preserve"> concepto de un empleo anterior;</w:t>
      </w:r>
      <w:r w:rsidR="00D30558">
        <w:rPr>
          <w:rStyle w:val="Refdenotaalpie"/>
          <w:spacing w:val="-3"/>
        </w:rPr>
        <w:footnoteReference w:id="3"/>
      </w:r>
      <w:r w:rsidR="003575C8">
        <w:rPr>
          <w:spacing w:val="-3"/>
        </w:rPr>
        <w:t xml:space="preserve"> personas que ejercen una profesión liberal u otra actividad de carácter independiente</w:t>
      </w:r>
      <w:r w:rsidR="00197B81">
        <w:rPr>
          <w:spacing w:val="-3"/>
        </w:rPr>
        <w:t xml:space="preserve"> o de carácter autónomo</w:t>
      </w:r>
      <w:r w:rsidR="003575C8">
        <w:rPr>
          <w:spacing w:val="-3"/>
        </w:rPr>
        <w:t>, inclu</w:t>
      </w:r>
      <w:r>
        <w:rPr>
          <w:spacing w:val="-3"/>
        </w:rPr>
        <w:t>idos los artistas y deportistas;</w:t>
      </w:r>
      <w:r w:rsidR="003575C8">
        <w:rPr>
          <w:spacing w:val="-3"/>
        </w:rPr>
        <w:t xml:space="preserve"> personas que ejercen actividades agrícolas y forestales, y, por último, personas que ejercen actividades industriales y comerciales. </w:t>
      </w:r>
      <w:r w:rsidR="00197B81">
        <w:rPr>
          <w:spacing w:val="-3"/>
        </w:rPr>
        <w:t xml:space="preserve">Con </w:t>
      </w:r>
      <w:r w:rsidR="00197B81">
        <w:rPr>
          <w:spacing w:val="-3"/>
        </w:rPr>
        <w:lastRenderedPageBreak/>
        <w:t>esta extensión en la aplicación se consigue el mismo tratamiento que los trabajadores asalariados y los beneficiarios de pensiones.</w:t>
      </w:r>
    </w:p>
    <w:p w:rsidR="003575C8" w:rsidRDefault="003575C8" w:rsidP="00FB0D91">
      <w:pPr>
        <w:jc w:val="both"/>
        <w:rPr>
          <w:spacing w:val="-3"/>
        </w:rPr>
      </w:pPr>
    </w:p>
    <w:p w:rsidR="002A014D" w:rsidRDefault="00ED730D" w:rsidP="00FB0D91">
      <w:pPr>
        <w:jc w:val="both"/>
        <w:rPr>
          <w:spacing w:val="-3"/>
        </w:rPr>
      </w:pPr>
      <w:r>
        <w:rPr>
          <w:spacing w:val="-3"/>
        </w:rPr>
        <w:t>Como consecuencia, básicamente, de esa interpretación dinámica de las libertades fundamentales, que tradicionalmente estuvieron ancladas en la prohibición del tra</w:t>
      </w:r>
      <w:r w:rsidR="002A014D">
        <w:rPr>
          <w:spacing w:val="-3"/>
        </w:rPr>
        <w:t>tamiento distinto cuando la razón o el criterio de régimen jurídico distinto era exclusivamente la nacionalidad, se consiguió superar esa férrea cadena, y hacer posible la aplicación de las libertades fundamentales en el ámbito de la fiscalidad, donde el criterio de distin</w:t>
      </w:r>
      <w:r w:rsidR="00274740">
        <w:rPr>
          <w:spacing w:val="-3"/>
        </w:rPr>
        <w:t>ción fue siempre diferente</w:t>
      </w:r>
      <w:r w:rsidR="002A014D">
        <w:rPr>
          <w:spacing w:val="-3"/>
        </w:rPr>
        <w:t xml:space="preserve"> al de nacionalidad, a saber, el de residencia. </w:t>
      </w:r>
    </w:p>
    <w:p w:rsidR="002A014D" w:rsidRDefault="002A014D" w:rsidP="00FB0D91">
      <w:pPr>
        <w:jc w:val="both"/>
        <w:rPr>
          <w:spacing w:val="-3"/>
        </w:rPr>
      </w:pPr>
    </w:p>
    <w:p w:rsidR="002A014D" w:rsidRDefault="002A014D" w:rsidP="00FB0D91">
      <w:pPr>
        <w:jc w:val="both"/>
        <w:rPr>
          <w:spacing w:val="-3"/>
        </w:rPr>
      </w:pPr>
      <w:r>
        <w:rPr>
          <w:spacing w:val="-3"/>
        </w:rPr>
        <w:t>De esta forma, y como consecuencia de esa jurisprudencia, se fueron pub</w:t>
      </w:r>
      <w:r w:rsidR="00AE13D1">
        <w:rPr>
          <w:spacing w:val="-3"/>
        </w:rPr>
        <w:t>licando diversas Comunicaciones</w:t>
      </w:r>
      <w:r>
        <w:rPr>
          <w:spacing w:val="-3"/>
        </w:rPr>
        <w:t xml:space="preserve"> por la Unión Europea</w:t>
      </w:r>
      <w:r w:rsidR="00692C48">
        <w:rPr>
          <w:rStyle w:val="Refdenotaalpie"/>
          <w:spacing w:val="-3"/>
        </w:rPr>
        <w:footnoteReference w:id="4"/>
      </w:r>
      <w:r>
        <w:rPr>
          <w:spacing w:val="-3"/>
        </w:rPr>
        <w:t>, así en materia de impuestos que gravan el traslado de residencia de las personas, o la tributación de los dividendos que se reciben provenientes de inversiones en sociedades localizadas en otros estados miembros.</w:t>
      </w:r>
    </w:p>
    <w:p w:rsidR="002A014D" w:rsidRDefault="002A014D" w:rsidP="00FB0D91">
      <w:pPr>
        <w:jc w:val="both"/>
        <w:rPr>
          <w:spacing w:val="-3"/>
        </w:rPr>
      </w:pPr>
    </w:p>
    <w:p w:rsidR="002A014D" w:rsidRDefault="002A014D" w:rsidP="00FB0D91">
      <w:pPr>
        <w:jc w:val="both"/>
        <w:rPr>
          <w:spacing w:val="-3"/>
        </w:rPr>
      </w:pPr>
      <w:r>
        <w:rPr>
          <w:spacing w:val="-3"/>
        </w:rPr>
        <w:t xml:space="preserve">La tendencia, realmente si se analiza con detenimiento esa jurisprudencia, y siempre en relación con las personas físicas, es que desde un primer momento donde el centro de atención estaba en los trabajadores transfronterizos, y su análisis desde la libertad de circulación de trabajadores, se ha pasado a la implicación de otras libertades fundamentales, como la libertad de movimiento de capitales, donde la persona física ya no es considerada en la vertiente exclusiva de trabajador. </w:t>
      </w:r>
    </w:p>
    <w:p w:rsidR="004744A0" w:rsidRDefault="004744A0" w:rsidP="00FB0D91">
      <w:pPr>
        <w:jc w:val="both"/>
        <w:rPr>
          <w:spacing w:val="-3"/>
        </w:rPr>
      </w:pPr>
    </w:p>
    <w:p w:rsidR="004744A0" w:rsidRDefault="004744A0" w:rsidP="00FB0D91">
      <w:pPr>
        <w:jc w:val="both"/>
        <w:rPr>
          <w:spacing w:val="-3"/>
        </w:rPr>
      </w:pPr>
      <w:r>
        <w:rPr>
          <w:spacing w:val="-3"/>
        </w:rPr>
        <w:t>Es decir, desde un primer Reglamento (CEE) 1612/68 relativo a la libre circulación de trabajadores dentro de la Comunidad, como desarrollo de la libertad consagrada act</w:t>
      </w:r>
      <w:r w:rsidR="00826B4F">
        <w:rPr>
          <w:spacing w:val="-3"/>
        </w:rPr>
        <w:t>ualmente en el artículo 45 del T</w:t>
      </w:r>
      <w:r>
        <w:rPr>
          <w:spacing w:val="-3"/>
        </w:rPr>
        <w:t>ratado de Funci</w:t>
      </w:r>
      <w:r w:rsidR="00E52D61">
        <w:rPr>
          <w:spacing w:val="-3"/>
        </w:rPr>
        <w:t>onamiento de la Unión Europea, R</w:t>
      </w:r>
      <w:r>
        <w:rPr>
          <w:spacing w:val="-3"/>
        </w:rPr>
        <w:t>eglamento que ha sido objeto de codificación en el actual Reglamento UE 492/2011 (que es aplicable también en el Espacio Económico Europeo)</w:t>
      </w:r>
      <w:r w:rsidR="00826B4F">
        <w:rPr>
          <w:rStyle w:val="Refdenotaalpie"/>
          <w:spacing w:val="-3"/>
        </w:rPr>
        <w:footnoteReference w:id="5"/>
      </w:r>
      <w:r w:rsidR="00E41076">
        <w:rPr>
          <w:spacing w:val="-3"/>
        </w:rPr>
        <w:t>, el enfoque ha ido progresivamente ampliándose a una vertiente totalizadora, y donde la situación que debe ser tratada y protegida es la del ciudadano europeo que eje</w:t>
      </w:r>
      <w:r w:rsidR="000F2F16">
        <w:rPr>
          <w:spacing w:val="-3"/>
        </w:rPr>
        <w:t>rce sus libertades de circulación</w:t>
      </w:r>
      <w:r w:rsidR="00E41076">
        <w:rPr>
          <w:spacing w:val="-3"/>
        </w:rPr>
        <w:t xml:space="preserve"> en el territorio de la Unión Europea</w:t>
      </w:r>
      <w:r w:rsidR="00826B4F">
        <w:rPr>
          <w:rStyle w:val="Refdenotaalpie"/>
          <w:spacing w:val="-3"/>
        </w:rPr>
        <w:footnoteReference w:id="6"/>
      </w:r>
      <w:r w:rsidR="00E41076">
        <w:rPr>
          <w:spacing w:val="-3"/>
        </w:rPr>
        <w:t xml:space="preserve">.  </w:t>
      </w:r>
    </w:p>
    <w:p w:rsidR="002A014D" w:rsidRDefault="002A014D" w:rsidP="00FB0D91">
      <w:pPr>
        <w:jc w:val="both"/>
        <w:rPr>
          <w:spacing w:val="-3"/>
        </w:rPr>
      </w:pPr>
    </w:p>
    <w:p w:rsidR="000F2F16" w:rsidRDefault="002A014D" w:rsidP="00FB0D91">
      <w:pPr>
        <w:jc w:val="both"/>
        <w:rPr>
          <w:spacing w:val="-3"/>
        </w:rPr>
      </w:pPr>
      <w:r>
        <w:rPr>
          <w:spacing w:val="-3"/>
        </w:rPr>
        <w:t xml:space="preserve">Por lo tanto, </w:t>
      </w:r>
      <w:r w:rsidR="000F2F16">
        <w:rPr>
          <w:spacing w:val="-3"/>
        </w:rPr>
        <w:t>si la Unión Europea no es exclusivamente una Unión de los Estados sino, además, la Unión de los ciudadanos, la propia Unión Europea tendrá, entonces, que acometer una serie de iniciativas para eliminar las potenciales barreras a la movilidad de los ciudadanos europeos</w:t>
      </w:r>
      <w:r w:rsidR="000F2F16">
        <w:rPr>
          <w:rStyle w:val="Refdenotaalpie"/>
          <w:spacing w:val="-3"/>
        </w:rPr>
        <w:footnoteReference w:id="7"/>
      </w:r>
      <w:r w:rsidR="000F2F16">
        <w:rPr>
          <w:spacing w:val="-3"/>
        </w:rPr>
        <w:t>.</w:t>
      </w:r>
    </w:p>
    <w:p w:rsidR="002B4881" w:rsidRDefault="002B4881" w:rsidP="00FB0D91">
      <w:pPr>
        <w:jc w:val="both"/>
        <w:rPr>
          <w:spacing w:val="-3"/>
        </w:rPr>
      </w:pPr>
    </w:p>
    <w:p w:rsidR="002B4881" w:rsidRPr="00337693" w:rsidRDefault="00337693" w:rsidP="00FB0D91">
      <w:pPr>
        <w:jc w:val="both"/>
        <w:rPr>
          <w:b/>
          <w:spacing w:val="-3"/>
        </w:rPr>
      </w:pPr>
      <w:r w:rsidRPr="00337693">
        <w:rPr>
          <w:b/>
          <w:spacing w:val="-3"/>
        </w:rPr>
        <w:t xml:space="preserve">II. </w:t>
      </w:r>
      <w:r w:rsidR="002B4881" w:rsidRPr="00337693">
        <w:rPr>
          <w:b/>
          <w:spacing w:val="-3"/>
        </w:rPr>
        <w:t>INSTRUMENTOS RECIENTEMENTE ADOPTADOS A NIVEL DE LA UNIÓN EUROPEA</w:t>
      </w:r>
    </w:p>
    <w:p w:rsidR="002B4881" w:rsidRDefault="002B4881" w:rsidP="00FB0D91">
      <w:pPr>
        <w:jc w:val="both"/>
        <w:rPr>
          <w:spacing w:val="-3"/>
        </w:rPr>
      </w:pPr>
      <w:r>
        <w:rPr>
          <w:spacing w:val="-3"/>
        </w:rPr>
        <w:t xml:space="preserve"> </w:t>
      </w:r>
    </w:p>
    <w:p w:rsidR="00722763" w:rsidRDefault="00722763" w:rsidP="00FB0D91">
      <w:pPr>
        <w:jc w:val="both"/>
        <w:rPr>
          <w:spacing w:val="-3"/>
        </w:rPr>
      </w:pPr>
    </w:p>
    <w:p w:rsidR="008918D0" w:rsidRDefault="008918D0" w:rsidP="00FB0D91">
      <w:pPr>
        <w:jc w:val="both"/>
        <w:rPr>
          <w:spacing w:val="-3"/>
        </w:rPr>
      </w:pPr>
      <w:r>
        <w:rPr>
          <w:spacing w:val="-3"/>
        </w:rPr>
        <w:t xml:space="preserve">Y de esta forma </w:t>
      </w:r>
      <w:r w:rsidR="00BC4BA4">
        <w:rPr>
          <w:spacing w:val="-3"/>
        </w:rPr>
        <w:t>aparece la Comunicación de la Comisión al Consejo, al Parlamento Europeo y al Comité Económico y Social Europeo en relación a la eliminación de los obstáculos fiscales transfronterizos en relación con los ciudadanos de la Unión Europea</w:t>
      </w:r>
      <w:r w:rsidR="00BC4BA4">
        <w:rPr>
          <w:rStyle w:val="Refdenotaalpie"/>
          <w:spacing w:val="-3"/>
        </w:rPr>
        <w:footnoteReference w:id="8"/>
      </w:r>
      <w:r w:rsidR="00BC4BA4">
        <w:rPr>
          <w:spacing w:val="-3"/>
        </w:rPr>
        <w:t xml:space="preserve">, que identifica esos obstáculos y diseña también posibles soluciones. </w:t>
      </w:r>
    </w:p>
    <w:p w:rsidR="00BC4BA4" w:rsidRDefault="00BC4BA4" w:rsidP="00FB0D91">
      <w:pPr>
        <w:jc w:val="both"/>
        <w:rPr>
          <w:spacing w:val="-3"/>
        </w:rPr>
      </w:pPr>
    </w:p>
    <w:p w:rsidR="00074E6E" w:rsidRDefault="00BC4BA4" w:rsidP="00FB0D91">
      <w:pPr>
        <w:jc w:val="both"/>
        <w:rPr>
          <w:spacing w:val="-3"/>
        </w:rPr>
      </w:pPr>
      <w:r>
        <w:rPr>
          <w:spacing w:val="-3"/>
        </w:rPr>
        <w:t xml:space="preserve">Entre las diversas soluciones que se proponen, unas van dirigidas a la desaparición </w:t>
      </w:r>
      <w:r w:rsidR="00E52D61">
        <w:rPr>
          <w:spacing w:val="-3"/>
        </w:rPr>
        <w:t>de las normas de los distintos E</w:t>
      </w:r>
      <w:r>
        <w:rPr>
          <w:spacing w:val="-3"/>
        </w:rPr>
        <w:t xml:space="preserve">stados </w:t>
      </w:r>
      <w:r w:rsidR="00964F1E">
        <w:rPr>
          <w:spacing w:val="-3"/>
        </w:rPr>
        <w:t>que dispensan un tratamiento fiscal discriminatorio a los ciudadanos que quie</w:t>
      </w:r>
      <w:r w:rsidR="00E52D61">
        <w:rPr>
          <w:spacing w:val="-3"/>
        </w:rPr>
        <w:t>ren ejercer su libertad de</w:t>
      </w:r>
      <w:r w:rsidR="00964F1E">
        <w:rPr>
          <w:spacing w:val="-3"/>
        </w:rPr>
        <w:t xml:space="preserve"> circulación mediante la realización de actividades transfronterizas</w:t>
      </w:r>
      <w:r w:rsidR="00964F1E">
        <w:rPr>
          <w:rStyle w:val="Refdenotaalpie"/>
          <w:spacing w:val="-3"/>
        </w:rPr>
        <w:footnoteReference w:id="9"/>
      </w:r>
      <w:r w:rsidR="00964F1E">
        <w:rPr>
          <w:spacing w:val="-3"/>
        </w:rPr>
        <w:t xml:space="preserve">. </w:t>
      </w:r>
      <w:r w:rsidR="0033482E">
        <w:rPr>
          <w:spacing w:val="-3"/>
        </w:rPr>
        <w:t xml:space="preserve"> </w:t>
      </w:r>
      <w:r w:rsidR="00BE33D0">
        <w:rPr>
          <w:spacing w:val="-3"/>
        </w:rPr>
        <w:t>Para ello se propone incrementar los procedimientos de infracción en materia tributaria, siempre que los ciudadanos pongan de manifiesto mediante denuncia los supuestos de infracción. También se propone seguir de cerca la legislación fiscal adoptada por lo</w:t>
      </w:r>
      <w:r w:rsidR="00E52D61">
        <w:rPr>
          <w:spacing w:val="-3"/>
        </w:rPr>
        <w:t>s E</w:t>
      </w:r>
      <w:r w:rsidR="00BE33D0">
        <w:rPr>
          <w:spacing w:val="-3"/>
        </w:rPr>
        <w:t>stados miembros, y de un m</w:t>
      </w:r>
      <w:r w:rsidR="00E52D61">
        <w:rPr>
          <w:spacing w:val="-3"/>
        </w:rPr>
        <w:t>odo sistemático advertir a los E</w:t>
      </w:r>
      <w:r w:rsidR="00BE33D0">
        <w:rPr>
          <w:spacing w:val="-3"/>
        </w:rPr>
        <w:t>stados de las posibles incompatibilidades para que se puedan corregir en un plazo concreto, y, además, seguir de un modo muy estrecho el proceso</w:t>
      </w:r>
      <w:r w:rsidR="00E52D61">
        <w:rPr>
          <w:spacing w:val="-3"/>
        </w:rPr>
        <w:t xml:space="preserve"> de ejecución por parte de los E</w:t>
      </w:r>
      <w:r w:rsidR="00BE33D0">
        <w:rPr>
          <w:spacing w:val="-3"/>
        </w:rPr>
        <w:t>stados miembros de las sentencias del Tribunal de Justicia de la Unión Europea y además asegurarse de su</w:t>
      </w:r>
      <w:r w:rsidR="00E52D61">
        <w:rPr>
          <w:spacing w:val="-3"/>
        </w:rPr>
        <w:t xml:space="preserve"> ejecución también en aquellos E</w:t>
      </w:r>
      <w:r w:rsidR="00BE33D0">
        <w:rPr>
          <w:spacing w:val="-3"/>
        </w:rPr>
        <w:t xml:space="preserve">stados miembros que no han sido parte del asunto enjuiciado por el tribunal.  </w:t>
      </w:r>
    </w:p>
    <w:p w:rsidR="00074E6E" w:rsidRDefault="00074E6E" w:rsidP="00FB0D91">
      <w:pPr>
        <w:jc w:val="both"/>
        <w:rPr>
          <w:spacing w:val="-3"/>
        </w:rPr>
      </w:pPr>
    </w:p>
    <w:p w:rsidR="00BC4BA4" w:rsidRDefault="00074E6E" w:rsidP="00FB0D91">
      <w:pPr>
        <w:jc w:val="both"/>
        <w:rPr>
          <w:spacing w:val="-3"/>
        </w:rPr>
      </w:pPr>
      <w:r>
        <w:rPr>
          <w:spacing w:val="-3"/>
        </w:rPr>
        <w:t>Pero junto a estas medidas que tienen que ver más con el seguimiento de las</w:t>
      </w:r>
      <w:r w:rsidR="00E52D61">
        <w:rPr>
          <w:spacing w:val="-3"/>
        </w:rPr>
        <w:t xml:space="preserve"> legislaciones fiscales de los E</w:t>
      </w:r>
      <w:r>
        <w:rPr>
          <w:spacing w:val="-3"/>
        </w:rPr>
        <w:t>stados miembros, sí existen otras medidas propuestas p</w:t>
      </w:r>
      <w:r w:rsidR="00826B4F">
        <w:rPr>
          <w:spacing w:val="-3"/>
        </w:rPr>
        <w:t xml:space="preserve">or la Comisión, y que dependen </w:t>
      </w:r>
      <w:r>
        <w:rPr>
          <w:spacing w:val="-3"/>
        </w:rPr>
        <w:t>o son competencias estrictamente europeas, antes que competencias nacionales.</w:t>
      </w:r>
    </w:p>
    <w:p w:rsidR="00074E6E" w:rsidRDefault="00074E6E" w:rsidP="00FB0D91">
      <w:pPr>
        <w:jc w:val="both"/>
        <w:rPr>
          <w:spacing w:val="-3"/>
        </w:rPr>
      </w:pPr>
    </w:p>
    <w:p w:rsidR="009F5997" w:rsidRDefault="00074E6E" w:rsidP="00FB0D91">
      <w:pPr>
        <w:jc w:val="both"/>
        <w:rPr>
          <w:spacing w:val="-3"/>
        </w:rPr>
      </w:pPr>
      <w:r>
        <w:rPr>
          <w:spacing w:val="-3"/>
        </w:rPr>
        <w:t>Así sería la eliminación de la doble imposición que se produce en situaciones transfronterizas, y donde la Comisión mantiene la posición que estas barreras impositivas (que ya no suponen un trato discriminatorio), antes que abordarse en los actuales convenios bilaterales (donde a juicio de la Comisión tienen una solución que nunca se puede considera satisfactoria</w:t>
      </w:r>
      <w:r w:rsidR="00E52D61">
        <w:rPr>
          <w:rStyle w:val="Refdenotaalpie"/>
          <w:spacing w:val="-3"/>
        </w:rPr>
        <w:footnoteReference w:id="10"/>
      </w:r>
      <w:r>
        <w:rPr>
          <w:spacing w:val="-3"/>
        </w:rPr>
        <w:t>), se tendría que abordar en una situación multilatera</w:t>
      </w:r>
      <w:r w:rsidR="00A414F3">
        <w:rPr>
          <w:spacing w:val="-3"/>
        </w:rPr>
        <w:t>l</w:t>
      </w:r>
      <w:r w:rsidR="00274740">
        <w:rPr>
          <w:rStyle w:val="Refdenotaalpie"/>
          <w:spacing w:val="-3"/>
        </w:rPr>
        <w:footnoteReference w:id="11"/>
      </w:r>
      <w:r>
        <w:rPr>
          <w:spacing w:val="-3"/>
        </w:rPr>
        <w:t xml:space="preserve">. De esta forma, </w:t>
      </w:r>
      <w:r w:rsidR="009F5997">
        <w:rPr>
          <w:spacing w:val="-3"/>
        </w:rPr>
        <w:t>el Informe Monti</w:t>
      </w:r>
      <w:r w:rsidR="009F5997">
        <w:rPr>
          <w:rStyle w:val="Refdenotaalpie"/>
          <w:spacing w:val="-3"/>
        </w:rPr>
        <w:footnoteReference w:id="12"/>
      </w:r>
      <w:r w:rsidR="009F5997">
        <w:rPr>
          <w:spacing w:val="-3"/>
        </w:rPr>
        <w:t>, proponía la adopción de un sistema de resolución obligatorio de las controversias que puedan</w:t>
      </w:r>
      <w:r w:rsidR="00E52D61">
        <w:rPr>
          <w:spacing w:val="-3"/>
        </w:rPr>
        <w:t xml:space="preserve"> surgir entre los E</w:t>
      </w:r>
      <w:r w:rsidR="009F5997">
        <w:rPr>
          <w:spacing w:val="-3"/>
        </w:rPr>
        <w:t xml:space="preserve">stados cuando aplican sus convenios bilaterales para eliminar la doble imposición en materia de los impuestos sobre la renta y sobre el patrimonio. </w:t>
      </w:r>
    </w:p>
    <w:p w:rsidR="00E52D61" w:rsidRDefault="00E52D61" w:rsidP="00FB0D91">
      <w:pPr>
        <w:jc w:val="both"/>
        <w:rPr>
          <w:spacing w:val="-3"/>
        </w:rPr>
      </w:pPr>
    </w:p>
    <w:p w:rsidR="00E52D61" w:rsidRDefault="00E52D61" w:rsidP="00FB0D91">
      <w:pPr>
        <w:jc w:val="both"/>
        <w:rPr>
          <w:spacing w:val="-3"/>
        </w:rPr>
      </w:pPr>
      <w:r>
        <w:rPr>
          <w:spacing w:val="-3"/>
        </w:rPr>
        <w:lastRenderedPageBreak/>
        <w:t xml:space="preserve">Precisamente siguiendo </w:t>
      </w:r>
      <w:r w:rsidR="00A27EC0">
        <w:rPr>
          <w:spacing w:val="-3"/>
        </w:rPr>
        <w:t xml:space="preserve">el Informe Monti, la Comisión también considera en su estudio sobre la doble imposición que es necesario conseguir una mayor coherencia en la interpretación y aplicación de las disposiciones de los Convenios para evitar la doble imposición por parte de los Estados miembros, utilizando  </w:t>
      </w:r>
      <w:r w:rsidR="00A27EC0" w:rsidRPr="00877369">
        <w:rPr>
          <w:spacing w:val="-3"/>
        </w:rPr>
        <w:t>conceptos idénticos o similares contemplados en la legislación de la UE, a fin de enfocar el problema desde una perspectiva específicamente comunitaria</w:t>
      </w:r>
      <w:r w:rsidR="00A27EC0">
        <w:rPr>
          <w:spacing w:val="-3"/>
        </w:rPr>
        <w:t xml:space="preserve">. Precisamente esta metodología es la que se va a utilizar a la hora de proponer soluciones a la libre circulación de trabajadores en el seno de la Unión Europea, en el sentido de que el concepto de residencia fiscal actual acogido en el Modelo de Convenio OCDE es muy parecido a los conceptos de residencia de los sistemas fiscales nacionales (e incluso, si me aventuro, de sus propias leyes civiles), e incluso al concepto de residencia habitual que se utiliza por la jurisprudencia y normativa comunitaria. </w:t>
      </w:r>
    </w:p>
    <w:p w:rsidR="00A27EC0" w:rsidRDefault="00A27EC0" w:rsidP="00FB0D91">
      <w:pPr>
        <w:jc w:val="both"/>
        <w:rPr>
          <w:spacing w:val="-3"/>
        </w:rPr>
      </w:pPr>
    </w:p>
    <w:p w:rsidR="00A27EC0" w:rsidRDefault="00A27EC0" w:rsidP="00FB0D91">
      <w:pPr>
        <w:jc w:val="both"/>
        <w:rPr>
          <w:spacing w:val="-3"/>
        </w:rPr>
      </w:pPr>
      <w:r>
        <w:rPr>
          <w:spacing w:val="-3"/>
        </w:rPr>
        <w:t>Y así otra de las medidas que se acoge en el estudio de la Comisión es la de facilitar y acelerar los mecanismos de interpretación</w:t>
      </w:r>
      <w:r w:rsidR="00656133">
        <w:rPr>
          <w:spacing w:val="-3"/>
        </w:rPr>
        <w:t xml:space="preserve"> y aplicación</w:t>
      </w:r>
      <w:r>
        <w:rPr>
          <w:spacing w:val="-3"/>
        </w:rPr>
        <w:t xml:space="preserve"> </w:t>
      </w:r>
      <w:r w:rsidR="00656133">
        <w:rPr>
          <w:spacing w:val="-3"/>
        </w:rPr>
        <w:t xml:space="preserve">de los Convenios dentro de la Unión Europea. </w:t>
      </w:r>
      <w:r>
        <w:rPr>
          <w:spacing w:val="-3"/>
        </w:rPr>
        <w:t xml:space="preserve"> </w:t>
      </w:r>
      <w:r w:rsidR="00656133" w:rsidRPr="00877369">
        <w:rPr>
          <w:spacing w:val="-3"/>
        </w:rPr>
        <w:t>G</w:t>
      </w:r>
      <w:r w:rsidR="00656133">
        <w:rPr>
          <w:spacing w:val="-3"/>
        </w:rPr>
        <w:t>eneralmente, los contribuyentes</w:t>
      </w:r>
      <w:r w:rsidR="00656133" w:rsidRPr="00877369">
        <w:rPr>
          <w:spacing w:val="-3"/>
        </w:rPr>
        <w:t xml:space="preserve"> sólo tienen recurso al mecanismo de resolución de conflictos</w:t>
      </w:r>
      <w:r w:rsidR="00FD0223">
        <w:rPr>
          <w:spacing w:val="-3"/>
        </w:rPr>
        <w:t xml:space="preserve"> (procedimiento amistoso)</w:t>
      </w:r>
      <w:r w:rsidR="00656133" w:rsidRPr="00877369">
        <w:rPr>
          <w:spacing w:val="-3"/>
        </w:rPr>
        <w:t xml:space="preserve"> establecido en el convenio de doble imposición que les afecta, basado en el antiguo artículo 25 del Modelo de Convenio Fiscal de la OCDE</w:t>
      </w:r>
      <w:r w:rsidR="00FD0223">
        <w:rPr>
          <w:rStyle w:val="Refdenotaalpie"/>
          <w:spacing w:val="-3"/>
        </w:rPr>
        <w:footnoteReference w:id="13"/>
      </w:r>
      <w:r w:rsidR="00656133" w:rsidRPr="00877369">
        <w:rPr>
          <w:spacing w:val="-3"/>
        </w:rPr>
        <w:t xml:space="preserve">. Sin embargo esta solución no es totalmente eficaz, ya que el mecanismo se limita a pedir a los Estados miembros que se esfuercen por encontrar soluciones. No se garantiza al sujeto pasivo que vaya a eliminarse la doble imposición ni que las administraciones tributarias vayan a actuar con presteza. </w:t>
      </w:r>
      <w:r>
        <w:rPr>
          <w:spacing w:val="-3"/>
        </w:rPr>
        <w:t xml:space="preserve"> </w:t>
      </w:r>
    </w:p>
    <w:p w:rsidR="00877369" w:rsidRDefault="00877369" w:rsidP="00FB0D91">
      <w:pPr>
        <w:jc w:val="both"/>
        <w:rPr>
          <w:spacing w:val="-3"/>
        </w:rPr>
      </w:pPr>
    </w:p>
    <w:p w:rsidR="00877369" w:rsidRDefault="006B1BE9" w:rsidP="00FB0D91">
      <w:pPr>
        <w:jc w:val="both"/>
        <w:rPr>
          <w:spacing w:val="-3"/>
        </w:rPr>
      </w:pPr>
      <w:r>
        <w:rPr>
          <w:spacing w:val="-3"/>
        </w:rPr>
        <w:t xml:space="preserve">Sí es verdad que esta medida </w:t>
      </w:r>
      <w:r w:rsidR="00461C64">
        <w:rPr>
          <w:spacing w:val="-3"/>
        </w:rPr>
        <w:t xml:space="preserve">pueda tener su importancia </w:t>
      </w:r>
      <w:r>
        <w:rPr>
          <w:spacing w:val="-3"/>
        </w:rPr>
        <w:t>a la hora de</w:t>
      </w:r>
      <w:r w:rsidR="00FD0223">
        <w:rPr>
          <w:spacing w:val="-3"/>
        </w:rPr>
        <w:t xml:space="preserve"> la fijación de la residencia fiscal, </w:t>
      </w:r>
      <w:r>
        <w:rPr>
          <w:spacing w:val="-3"/>
        </w:rPr>
        <w:t>pues el artículo 4 del Modelo de Convenio OCDE consagra el deber de</w:t>
      </w:r>
      <w:r w:rsidR="00461C64">
        <w:rPr>
          <w:spacing w:val="-3"/>
        </w:rPr>
        <w:t xml:space="preserve"> los Estados de</w:t>
      </w:r>
      <w:r>
        <w:rPr>
          <w:spacing w:val="-3"/>
        </w:rPr>
        <w:t xml:space="preserve"> resolver</w:t>
      </w:r>
      <w:r w:rsidR="00461C64">
        <w:rPr>
          <w:spacing w:val="-3"/>
        </w:rPr>
        <w:t xml:space="preserve"> los conflictos de fijación de residencia mediante el procedimiento amistoso del artículo 25 del Modelo de Convenio OCDE</w:t>
      </w:r>
      <w:r>
        <w:rPr>
          <w:spacing w:val="-3"/>
        </w:rPr>
        <w:t xml:space="preserve"> </w:t>
      </w:r>
      <w:r w:rsidR="00FD0223">
        <w:rPr>
          <w:spacing w:val="-3"/>
        </w:rPr>
        <w:t xml:space="preserve"> </w:t>
      </w:r>
    </w:p>
    <w:p w:rsidR="009F5997" w:rsidRDefault="009F5997" w:rsidP="00FB0D91">
      <w:pPr>
        <w:jc w:val="both"/>
        <w:rPr>
          <w:spacing w:val="-3"/>
        </w:rPr>
      </w:pPr>
    </w:p>
    <w:p w:rsidR="00074E6E" w:rsidRDefault="009F5997" w:rsidP="00FB0D91">
      <w:pPr>
        <w:jc w:val="both"/>
        <w:rPr>
          <w:spacing w:val="-3"/>
        </w:rPr>
      </w:pPr>
      <w:r>
        <w:rPr>
          <w:spacing w:val="-3"/>
        </w:rPr>
        <w:t>Otras medidas que se proponen por la Comisión se centran en el ámbito del impuesto sobre sucesiones, y las diferencias que se producen entre ciudadanos por el hecho de herencias que tienen un componente transfronterizo en comparación con herencias donde todos los elementos se producen o acontecen en un ámbito puramente nacional</w:t>
      </w:r>
      <w:r w:rsidR="005B549F">
        <w:rPr>
          <w:rStyle w:val="Refdenotaalpie"/>
          <w:spacing w:val="-3"/>
        </w:rPr>
        <w:footnoteReference w:id="14"/>
      </w:r>
      <w:r>
        <w:rPr>
          <w:spacing w:val="-3"/>
        </w:rPr>
        <w:t>. También la tributación de los dividendos transfronterizos</w:t>
      </w:r>
      <w:r w:rsidR="00343DD0">
        <w:rPr>
          <w:rStyle w:val="Refdenotaalpie"/>
          <w:spacing w:val="-3"/>
        </w:rPr>
        <w:footnoteReference w:id="15"/>
      </w:r>
      <w:r>
        <w:rPr>
          <w:spacing w:val="-3"/>
        </w:rPr>
        <w:t>; los impuestos sobre c</w:t>
      </w:r>
      <w:r w:rsidR="00862424">
        <w:rPr>
          <w:spacing w:val="-3"/>
        </w:rPr>
        <w:t>irculación y las obligaciones d</w:t>
      </w:r>
      <w:r>
        <w:rPr>
          <w:spacing w:val="-3"/>
        </w:rPr>
        <w:t>e</w:t>
      </w:r>
      <w:r w:rsidR="00862424">
        <w:rPr>
          <w:spacing w:val="-3"/>
        </w:rPr>
        <w:t xml:space="preserve"> </w:t>
      </w:r>
      <w:r>
        <w:rPr>
          <w:spacing w:val="-3"/>
        </w:rPr>
        <w:t>registro de los vehículos</w:t>
      </w:r>
      <w:r w:rsidR="00862424">
        <w:rPr>
          <w:spacing w:val="-3"/>
        </w:rPr>
        <w:t xml:space="preserve">, y, por último, en materia de comercio electrónico. </w:t>
      </w:r>
    </w:p>
    <w:p w:rsidR="00862424" w:rsidRDefault="00862424" w:rsidP="00FB0D91">
      <w:pPr>
        <w:jc w:val="both"/>
        <w:rPr>
          <w:spacing w:val="-3"/>
        </w:rPr>
      </w:pPr>
    </w:p>
    <w:p w:rsidR="00447618" w:rsidRDefault="00862424" w:rsidP="00FB0D91">
      <w:pPr>
        <w:jc w:val="both"/>
        <w:rPr>
          <w:spacing w:val="-3"/>
        </w:rPr>
      </w:pPr>
      <w:r>
        <w:rPr>
          <w:spacing w:val="-3"/>
        </w:rPr>
        <w:t>En un futuro próximo, la Comisi</w:t>
      </w:r>
      <w:r w:rsidR="00461C64">
        <w:rPr>
          <w:spacing w:val="-3"/>
        </w:rPr>
        <w:t>ón se propone entablar con los E</w:t>
      </w:r>
      <w:r>
        <w:rPr>
          <w:spacing w:val="-3"/>
        </w:rPr>
        <w:t xml:space="preserve">stados miembros un diálogo para alcanzar soluciones a las barreras fiscales, entre las que se plantean algunas tan sugerentes como la de establecer una “ventanilla única” </w:t>
      </w:r>
      <w:r w:rsidR="00692C48">
        <w:rPr>
          <w:spacing w:val="-3"/>
        </w:rPr>
        <w:t>donde los trabajadores e inversores transfronterizos obtendrían la información fiscal relevante además de ser el único punto de pago de impuestos y donde se obtendrían todos los certificados emitidos por el país de origen</w:t>
      </w:r>
      <w:r w:rsidR="00447618">
        <w:rPr>
          <w:spacing w:val="-3"/>
        </w:rPr>
        <w:t>,</w:t>
      </w:r>
      <w:r w:rsidR="00692C48">
        <w:rPr>
          <w:spacing w:val="-3"/>
        </w:rPr>
        <w:t xml:space="preserve"> que muchas veces se requieren para poder practicar o gozar de algún </w:t>
      </w:r>
      <w:r w:rsidR="00692C48">
        <w:rPr>
          <w:spacing w:val="-3"/>
        </w:rPr>
        <w:lastRenderedPageBreak/>
        <w:t xml:space="preserve">régimen especial en materia de tributación. También </w:t>
      </w:r>
      <w:r w:rsidR="00447618">
        <w:rPr>
          <w:spacing w:val="-3"/>
        </w:rPr>
        <w:t xml:space="preserve">la necesidad de que se aproximen las normas en materia de modelos o formularios de declaración, con la disponibilidad en varias lenguas oficiales de la Unión Europea o también que se puedan cumplir utilizando las nuevas tecnologías de la información. </w:t>
      </w:r>
    </w:p>
    <w:p w:rsidR="00447618" w:rsidRDefault="00447618" w:rsidP="00FB0D91">
      <w:pPr>
        <w:jc w:val="both"/>
        <w:rPr>
          <w:spacing w:val="-3"/>
        </w:rPr>
      </w:pPr>
    </w:p>
    <w:p w:rsidR="00E845F0" w:rsidRDefault="00447618" w:rsidP="00FB0D91">
      <w:pPr>
        <w:jc w:val="both"/>
        <w:rPr>
          <w:spacing w:val="-3"/>
        </w:rPr>
      </w:pPr>
      <w:r>
        <w:rPr>
          <w:spacing w:val="-3"/>
        </w:rPr>
        <w:t>Dentro de estas medidas que requi</w:t>
      </w:r>
      <w:r w:rsidR="00461C64">
        <w:rPr>
          <w:spacing w:val="-3"/>
        </w:rPr>
        <w:t>eren un diálogo previo con los E</w:t>
      </w:r>
      <w:r>
        <w:rPr>
          <w:spacing w:val="-3"/>
        </w:rPr>
        <w:t>stados miembro</w:t>
      </w:r>
      <w:r w:rsidR="00461C64">
        <w:rPr>
          <w:spacing w:val="-3"/>
        </w:rPr>
        <w:t>s se encontraría la de que los E</w:t>
      </w:r>
      <w:r>
        <w:rPr>
          <w:spacing w:val="-3"/>
        </w:rPr>
        <w:t>stados miembros adopten regímenes especiales para los trabajadores transfronterizos y para los trabajadores desplazados para evitar los posibles problemas que pueden provocar la aplicación simultánea de dif</w:t>
      </w:r>
      <w:r w:rsidR="00611C34">
        <w:rPr>
          <w:spacing w:val="-3"/>
        </w:rPr>
        <w:t xml:space="preserve">erentes regímenes tributarios </w:t>
      </w:r>
      <w:r>
        <w:rPr>
          <w:spacing w:val="-3"/>
        </w:rPr>
        <w:t xml:space="preserve"> y de Seguridad Social. También, en el ámbito normativo, la de conseguir una mayor integración de los diferentes tratamiento tributarios de los sistemas de pensiones que no supongan barreras a la movilidad de los trabajadores.  </w:t>
      </w:r>
    </w:p>
    <w:p w:rsidR="00E845F0" w:rsidRDefault="00E845F0" w:rsidP="00FB0D91">
      <w:pPr>
        <w:jc w:val="both"/>
        <w:rPr>
          <w:spacing w:val="-3"/>
        </w:rPr>
      </w:pPr>
    </w:p>
    <w:p w:rsidR="00B727E9" w:rsidRDefault="00C6220A" w:rsidP="00FB0D91">
      <w:pPr>
        <w:jc w:val="both"/>
        <w:rPr>
          <w:spacing w:val="-3"/>
        </w:rPr>
      </w:pPr>
      <w:r>
        <w:rPr>
          <w:spacing w:val="-3"/>
        </w:rPr>
        <w:t>De todas estas medidas en el presente tra</w:t>
      </w:r>
      <w:r w:rsidR="00B727E9">
        <w:rPr>
          <w:spacing w:val="-3"/>
        </w:rPr>
        <w:t>bajo se va a abordar aquellas</w:t>
      </w:r>
      <w:r>
        <w:rPr>
          <w:spacing w:val="-3"/>
        </w:rPr>
        <w:t xml:space="preserve"> </w:t>
      </w:r>
      <w:r w:rsidR="0062552A">
        <w:rPr>
          <w:spacing w:val="-3"/>
        </w:rPr>
        <w:t xml:space="preserve">establecidas a nivel de </w:t>
      </w:r>
      <w:r w:rsidR="00461C64">
        <w:rPr>
          <w:spacing w:val="-3"/>
        </w:rPr>
        <w:t>los distintos E</w:t>
      </w:r>
      <w:r w:rsidR="00B727E9">
        <w:rPr>
          <w:spacing w:val="-3"/>
        </w:rPr>
        <w:t>stados que pretenden atraer traba</w:t>
      </w:r>
      <w:r w:rsidR="006779CD">
        <w:rPr>
          <w:spacing w:val="-3"/>
        </w:rPr>
        <w:t xml:space="preserve">jadores de alta cualificación, para analizar </w:t>
      </w:r>
      <w:r w:rsidR="00B727E9">
        <w:rPr>
          <w:spacing w:val="-3"/>
        </w:rPr>
        <w:t xml:space="preserve">si los mecanismos que se establecen para favorecer esa movilidad se pueden extender al resto de los movimientos de trabajadores, o si realmente la solución, en una situación de mercado único, debería ser otra, y todo ello porque posiblemente se tenga que actuar más por la vía del concepto de residencia en el ámbito civil que tratar de abordar cuestiones o materias que requerirán una intervención legislativa con la unanimidad por delante. </w:t>
      </w:r>
    </w:p>
    <w:p w:rsidR="002B4881" w:rsidRDefault="002B4881" w:rsidP="00FB0D91">
      <w:pPr>
        <w:jc w:val="both"/>
        <w:rPr>
          <w:spacing w:val="-3"/>
        </w:rPr>
      </w:pPr>
    </w:p>
    <w:p w:rsidR="002B4881" w:rsidRPr="00461C64" w:rsidRDefault="00461C64" w:rsidP="00FB0D91">
      <w:pPr>
        <w:jc w:val="both"/>
        <w:rPr>
          <w:b/>
          <w:spacing w:val="-3"/>
        </w:rPr>
      </w:pPr>
      <w:r w:rsidRPr="00461C64">
        <w:rPr>
          <w:b/>
          <w:spacing w:val="-3"/>
        </w:rPr>
        <w:t xml:space="preserve">III. </w:t>
      </w:r>
      <w:r w:rsidR="002B4881" w:rsidRPr="00461C64">
        <w:rPr>
          <w:b/>
          <w:spacing w:val="-3"/>
        </w:rPr>
        <w:t>LOS REGÍMENES</w:t>
      </w:r>
      <w:r w:rsidR="00D16207" w:rsidRPr="00461C64">
        <w:rPr>
          <w:b/>
          <w:spacing w:val="-3"/>
        </w:rPr>
        <w:t xml:space="preserve"> FISCALES</w:t>
      </w:r>
      <w:r w:rsidR="002B4881" w:rsidRPr="00461C64">
        <w:rPr>
          <w:b/>
          <w:spacing w:val="-3"/>
        </w:rPr>
        <w:t xml:space="preserve"> DE ATRACCIÓN DE TRABAJADORES ALTAMENTE CUALIFICADOS </w:t>
      </w:r>
    </w:p>
    <w:p w:rsidR="00B727E9" w:rsidRDefault="00B727E9" w:rsidP="00FB0D91">
      <w:pPr>
        <w:jc w:val="both"/>
        <w:rPr>
          <w:spacing w:val="-3"/>
        </w:rPr>
      </w:pPr>
    </w:p>
    <w:p w:rsidR="00DE1F52" w:rsidRDefault="006779CD" w:rsidP="00FB0D91">
      <w:pPr>
        <w:jc w:val="both"/>
        <w:rPr>
          <w:spacing w:val="-3"/>
        </w:rPr>
      </w:pPr>
      <w:r>
        <w:rPr>
          <w:spacing w:val="-3"/>
        </w:rPr>
        <w:t>D</w:t>
      </w:r>
      <w:r w:rsidR="00B727E9">
        <w:rPr>
          <w:spacing w:val="-3"/>
        </w:rPr>
        <w:t>esde un punto de vista de la atracción de trabajadores de alta cualificación, los di</w:t>
      </w:r>
      <w:r w:rsidR="0059202E">
        <w:rPr>
          <w:spacing w:val="-3"/>
        </w:rPr>
        <w:t>ferentes E</w:t>
      </w:r>
      <w:r w:rsidR="00B727E9">
        <w:rPr>
          <w:spacing w:val="-3"/>
        </w:rPr>
        <w:t xml:space="preserve">stados diseñan regímenes fiscales especiales donde el común denominador podría ser que se someten a tributación como no residentes pero exclusivamente </w:t>
      </w:r>
      <w:r w:rsidR="0059202E">
        <w:rPr>
          <w:spacing w:val="-3"/>
        </w:rPr>
        <w:t>por las rentas generadas en el E</w:t>
      </w:r>
      <w:r w:rsidR="00B727E9">
        <w:rPr>
          <w:spacing w:val="-3"/>
        </w:rPr>
        <w:t xml:space="preserve">stado de atracción. </w:t>
      </w:r>
    </w:p>
    <w:p w:rsidR="00DE1F52" w:rsidRDefault="00DE1F52" w:rsidP="00FB0D91">
      <w:pPr>
        <w:jc w:val="both"/>
        <w:rPr>
          <w:spacing w:val="-3"/>
        </w:rPr>
      </w:pPr>
    </w:p>
    <w:p w:rsidR="006779CD" w:rsidRDefault="00B727E9" w:rsidP="00FB0D91">
      <w:pPr>
        <w:jc w:val="both"/>
        <w:rPr>
          <w:spacing w:val="-3"/>
        </w:rPr>
      </w:pPr>
      <w:r>
        <w:rPr>
          <w:spacing w:val="-3"/>
        </w:rPr>
        <w:t>Con ello, desde mi punto de vista, lo que se está consideran</w:t>
      </w:r>
      <w:r w:rsidR="006779CD">
        <w:rPr>
          <w:spacing w:val="-3"/>
        </w:rPr>
        <w:t xml:space="preserve">do es que la persona, el trabajador, que solemnemente se le está incluyendo en la categoría de residente en el país de atracción, realmente se le está tratando como no residente, porque quizá esa persona no llegue nunca a ser realmente residente, es decir, una persona que tiene la verdadera intención de permanecer en ese territorio. </w:t>
      </w:r>
    </w:p>
    <w:p w:rsidR="006779CD" w:rsidRDefault="006779CD" w:rsidP="00FB0D91">
      <w:pPr>
        <w:jc w:val="both"/>
        <w:rPr>
          <w:spacing w:val="-3"/>
        </w:rPr>
      </w:pPr>
    </w:p>
    <w:p w:rsidR="002F0CE9" w:rsidRDefault="006779CD" w:rsidP="00FB0D91">
      <w:pPr>
        <w:jc w:val="both"/>
        <w:rPr>
          <w:spacing w:val="-3"/>
        </w:rPr>
      </w:pPr>
      <w:r>
        <w:rPr>
          <w:spacing w:val="-3"/>
        </w:rPr>
        <w:t>Es decir, para atraer, los países deciden eliminar la doble imposición que se puede provocar, y para ello aplican un régimen de exención de las rentas obtenidas en el extranjero, y deciden exclusivamente someter a tributación las rentas obtenidas en el territorio de acogida.</w:t>
      </w:r>
    </w:p>
    <w:p w:rsidR="002F0CE9" w:rsidRDefault="002F0CE9" w:rsidP="00FB0D91">
      <w:pPr>
        <w:jc w:val="both"/>
        <w:rPr>
          <w:spacing w:val="-3"/>
        </w:rPr>
      </w:pPr>
    </w:p>
    <w:p w:rsidR="00862424" w:rsidRDefault="002F0CE9" w:rsidP="00FB0D91">
      <w:pPr>
        <w:jc w:val="both"/>
        <w:rPr>
          <w:spacing w:val="-3"/>
        </w:rPr>
      </w:pPr>
      <w:r>
        <w:rPr>
          <w:spacing w:val="-3"/>
        </w:rPr>
        <w:t>Esta solución se puede considerar que realmente es contraria a la diseñada para el personal diplomático, donde la regla es la tributación en el país de residencia (o mejor dicho de nacionalidad), y en consecuencia exención por las rentas en el país donde se trabaja</w:t>
      </w:r>
      <w:r w:rsidR="003B6D60">
        <w:rPr>
          <w:spacing w:val="-3"/>
        </w:rPr>
        <w:t xml:space="preserve">. Esta solución tradicionalmente ha estado basada en el principio de cortesía internacional. </w:t>
      </w:r>
    </w:p>
    <w:p w:rsidR="002F0CE9" w:rsidRDefault="002F0CE9" w:rsidP="00FB0D91">
      <w:pPr>
        <w:jc w:val="both"/>
        <w:rPr>
          <w:spacing w:val="-3"/>
        </w:rPr>
      </w:pPr>
    </w:p>
    <w:p w:rsidR="00B22B8A" w:rsidRDefault="002F0CE9" w:rsidP="00FB0D91">
      <w:pPr>
        <w:jc w:val="both"/>
        <w:rPr>
          <w:spacing w:val="-3"/>
        </w:rPr>
      </w:pPr>
      <w:r>
        <w:rPr>
          <w:spacing w:val="-3"/>
        </w:rPr>
        <w:t>Pues bien, a mi juicio</w:t>
      </w:r>
      <w:r w:rsidR="00CC3380">
        <w:rPr>
          <w:spacing w:val="-3"/>
        </w:rPr>
        <w:t xml:space="preserve"> la solución debería ser la misma</w:t>
      </w:r>
      <w:r w:rsidR="003B6D60">
        <w:rPr>
          <w:spacing w:val="-3"/>
        </w:rPr>
        <w:t xml:space="preserve"> en ambos supuestos, y siempre tras un previo análisis del concepto de residencia recogido en los Convenios para evitar la doble imposición. </w:t>
      </w:r>
    </w:p>
    <w:p w:rsidR="0086694A" w:rsidRDefault="0086694A" w:rsidP="00FB0D91">
      <w:pPr>
        <w:jc w:val="both"/>
        <w:rPr>
          <w:spacing w:val="-3"/>
        </w:rPr>
      </w:pPr>
    </w:p>
    <w:p w:rsidR="00787028" w:rsidRDefault="00827CE2" w:rsidP="00FB0D91">
      <w:pPr>
        <w:jc w:val="both"/>
        <w:rPr>
          <w:spacing w:val="-3"/>
        </w:rPr>
      </w:pPr>
      <w:r>
        <w:rPr>
          <w:spacing w:val="-3"/>
        </w:rPr>
        <w:lastRenderedPageBreak/>
        <w:t>Y todo ello precisamente porque</w:t>
      </w:r>
      <w:r w:rsidR="0086694A">
        <w:rPr>
          <w:spacing w:val="-3"/>
        </w:rPr>
        <w:t xml:space="preserve"> estos regímenes no siempre son uniforme en los requisitos de su concesión</w:t>
      </w:r>
      <w:r w:rsidR="00FC1148">
        <w:rPr>
          <w:spacing w:val="-3"/>
        </w:rPr>
        <w:t xml:space="preserve">, o </w:t>
      </w:r>
      <w:r w:rsidR="009E3832">
        <w:rPr>
          <w:spacing w:val="-3"/>
        </w:rPr>
        <w:t>respecto a</w:t>
      </w:r>
      <w:r w:rsidR="00FC1148">
        <w:rPr>
          <w:spacing w:val="-3"/>
        </w:rPr>
        <w:t xml:space="preserve"> la racionalidad que subyace</w:t>
      </w:r>
      <w:r w:rsidR="009E3832">
        <w:rPr>
          <w:spacing w:val="-3"/>
        </w:rPr>
        <w:t xml:space="preserve"> en su otorgamiento, idea que aconseja que se haga una somera exposición refundida de estos regímenes</w:t>
      </w:r>
      <w:r>
        <w:rPr>
          <w:spacing w:val="-3"/>
        </w:rPr>
        <w:t>, que en algunos casos no llegan a eliminar del todo la doble imposición, con lo que de traba a la libre circulación de trabajadores implica</w:t>
      </w:r>
      <w:r w:rsidR="0086694A">
        <w:rPr>
          <w:spacing w:val="-3"/>
        </w:rPr>
        <w:t>.</w:t>
      </w:r>
    </w:p>
    <w:p w:rsidR="00787028" w:rsidRDefault="00787028" w:rsidP="00FB0D91">
      <w:pPr>
        <w:jc w:val="both"/>
        <w:rPr>
          <w:spacing w:val="-3"/>
        </w:rPr>
      </w:pPr>
    </w:p>
    <w:p w:rsidR="009E3832" w:rsidRDefault="00787028" w:rsidP="00FB0D91">
      <w:pPr>
        <w:jc w:val="both"/>
        <w:rPr>
          <w:spacing w:val="-3"/>
        </w:rPr>
      </w:pPr>
      <w:r>
        <w:rPr>
          <w:b/>
          <w:spacing w:val="-3"/>
        </w:rPr>
        <w:t>Trabajadores cubiertos por los beneficios fiscales</w:t>
      </w:r>
      <w:r w:rsidR="0086694A">
        <w:rPr>
          <w:spacing w:val="-3"/>
        </w:rPr>
        <w:t xml:space="preserve"> </w:t>
      </w:r>
    </w:p>
    <w:p w:rsidR="009E3832" w:rsidRDefault="009E3832" w:rsidP="00FB0D91">
      <w:pPr>
        <w:jc w:val="both"/>
        <w:rPr>
          <w:spacing w:val="-3"/>
        </w:rPr>
      </w:pPr>
    </w:p>
    <w:p w:rsidR="0086694A" w:rsidRPr="0006181E" w:rsidRDefault="0086694A" w:rsidP="00FB0D91">
      <w:pPr>
        <w:jc w:val="both"/>
        <w:rPr>
          <w:spacing w:val="-3"/>
        </w:rPr>
      </w:pPr>
      <w:r>
        <w:rPr>
          <w:spacing w:val="-3"/>
        </w:rPr>
        <w:t xml:space="preserve">De esta forma, </w:t>
      </w:r>
      <w:r w:rsidR="009E3832">
        <w:rPr>
          <w:spacing w:val="-3"/>
        </w:rPr>
        <w:t>l</w:t>
      </w:r>
      <w:r w:rsidRPr="0086694A">
        <w:rPr>
          <w:spacing w:val="-3"/>
        </w:rPr>
        <w:t>a mayoría de los beneficios fiscales que se han diseñado por los países van dirigidos a trabajadores extranjeros d</w:t>
      </w:r>
      <w:r w:rsidR="009E3832">
        <w:rPr>
          <w:spacing w:val="-3"/>
        </w:rPr>
        <w:t>esplazados de un modo indefinido</w:t>
      </w:r>
      <w:r w:rsidRPr="0086694A">
        <w:rPr>
          <w:spacing w:val="-3"/>
        </w:rPr>
        <w:t>. No obstante, algunos países contemplan en el ámbito de aplicación de sus beneficios fiscales a migrantes extranjeros temporales y a sus propios nacionales</w:t>
      </w:r>
      <w:r w:rsidR="0006181E">
        <w:rPr>
          <w:rStyle w:val="Refdenotaalpie"/>
          <w:spacing w:val="-3"/>
        </w:rPr>
        <w:footnoteReference w:id="16"/>
      </w:r>
      <w:r w:rsidR="0006181E">
        <w:rPr>
          <w:spacing w:val="-3"/>
          <w:vertAlign w:val="superscript"/>
        </w:rPr>
        <w:t>.</w:t>
      </w:r>
    </w:p>
    <w:p w:rsidR="0086694A" w:rsidRDefault="0086694A" w:rsidP="00FB0D91">
      <w:pPr>
        <w:jc w:val="both"/>
        <w:rPr>
          <w:spacing w:val="-3"/>
        </w:rPr>
      </w:pPr>
    </w:p>
    <w:p w:rsidR="0086694A" w:rsidRPr="0086694A" w:rsidRDefault="0086694A" w:rsidP="00FB0D91">
      <w:pPr>
        <w:jc w:val="both"/>
        <w:rPr>
          <w:spacing w:val="-3"/>
        </w:rPr>
      </w:pPr>
      <w:r w:rsidRPr="0086694A">
        <w:rPr>
          <w:spacing w:val="-3"/>
        </w:rPr>
        <w:t>Cuando se contemplan a extranjeros desplazados temporalmente se hace con el propósito de cubrir períodos breves de estancia, y quizá puede obedecer a razones de equidad fiscal el que se beneficie a este tipo de migrantes temporales frente a trabajadores de alta cualificación</w:t>
      </w:r>
      <w:r w:rsidR="009E3832">
        <w:rPr>
          <w:spacing w:val="-3"/>
        </w:rPr>
        <w:t xml:space="preserve"> migrantes de un modo indefinido</w:t>
      </w:r>
      <w:r w:rsidRPr="0086694A">
        <w:rPr>
          <w:spacing w:val="-3"/>
        </w:rPr>
        <w:t xml:space="preserve">. Así, Bélgica, Dinamarca, Suecia y Suiza establecen los beneficios fiscales exclusivamente para trabajadores extranjeros desplazados temporalmente. Por ejemplo, Dinamarca, en el primer momento en que se introdujo el beneficio fiscal, el límite temporal era de tres </w:t>
      </w:r>
      <w:r w:rsidR="0006181E">
        <w:rPr>
          <w:spacing w:val="-3"/>
        </w:rPr>
        <w:t>años. Y el beneficio fiscal estaba</w:t>
      </w:r>
      <w:r w:rsidRPr="0086694A">
        <w:rPr>
          <w:spacing w:val="-3"/>
        </w:rPr>
        <w:t xml:space="preserve"> diseñado de tal modo, que si transcurridos esos tres años, el trabajador no abandonaba el país, entonces se tenía que hacer declaraciones complementarias como si nunca hubiese tenido derecho a disfrutar el beneficio fiscal. En el año 2008, la norma se modificó incrementando el período temporal de disfrute del beneficio fiscal hasta 5 años, en lugar de los tres originarios. Incluso, entrando en el detalle de la legislación, la mayoría de los trabajadores que permanecen por más de 5 años no tienen que hacer frente a la norma de pagar los impuestos por el beneficio fiscal disfrutado indebidamente. Y este cambio viene motivado por el énfasis que se ha dado en la legislación a los beneficios asociados con el desplazamiento de trabajadores altamente cualificados.</w:t>
      </w:r>
    </w:p>
    <w:p w:rsidR="0086694A" w:rsidRDefault="0086694A" w:rsidP="00FB0D91">
      <w:pPr>
        <w:jc w:val="both"/>
        <w:rPr>
          <w:spacing w:val="-3"/>
        </w:rPr>
      </w:pPr>
    </w:p>
    <w:p w:rsidR="0086694A" w:rsidRPr="0086694A" w:rsidRDefault="0086694A" w:rsidP="00FB0D91">
      <w:pPr>
        <w:jc w:val="both"/>
        <w:rPr>
          <w:spacing w:val="-3"/>
        </w:rPr>
      </w:pPr>
      <w:r w:rsidRPr="0086694A">
        <w:rPr>
          <w:spacing w:val="-3"/>
        </w:rPr>
        <w:t>Mientras algunos países restringen el otorgamiento de los beneficios fiscales a extranjeros, algunos también los amplían a sus propios nacionales. Y ello puede que sea el caso en aquellos países que pretende retener o evitar la fuga de cerebros. Y así, por ejemplo, los sistemas de concesión de opciones sobre acciones se aplican tanto a trabajadores nacionales como extranjeros en Bélgica, Canadá, Dinamarca, Francia, España, Irlanda, Italia, Inglaterra y los Estados Unidos.</w:t>
      </w:r>
    </w:p>
    <w:p w:rsidR="0086694A" w:rsidRDefault="0086694A" w:rsidP="00FB0D91">
      <w:pPr>
        <w:jc w:val="both"/>
        <w:rPr>
          <w:spacing w:val="-3"/>
        </w:rPr>
      </w:pPr>
    </w:p>
    <w:p w:rsidR="0086694A" w:rsidRPr="0086694A" w:rsidRDefault="0086694A" w:rsidP="00FB0D91">
      <w:pPr>
        <w:jc w:val="both"/>
        <w:rPr>
          <w:spacing w:val="-3"/>
        </w:rPr>
      </w:pPr>
      <w:r w:rsidRPr="0086694A">
        <w:rPr>
          <w:spacing w:val="-3"/>
        </w:rPr>
        <w:t>En Italia, en el 2011 se ha introducido un beneficio fiscal para incentivar la vuelta de cerebros mediante el establecimiento de una exención del 80 por ciento (70 por ciento en hombres) por tres años que se aplica a trabajadores altamente cualificados tanto extranjeros (de la Unión Europea) como italianos que retornan a Italia después de dos años en el extranjero.</w:t>
      </w:r>
    </w:p>
    <w:p w:rsidR="0086694A" w:rsidRDefault="0086694A" w:rsidP="00FB0D91">
      <w:pPr>
        <w:jc w:val="both"/>
        <w:rPr>
          <w:spacing w:val="-3"/>
        </w:rPr>
      </w:pPr>
    </w:p>
    <w:p w:rsidR="0086694A" w:rsidRDefault="0086694A" w:rsidP="00FB0D91">
      <w:pPr>
        <w:jc w:val="both"/>
        <w:rPr>
          <w:spacing w:val="-3"/>
        </w:rPr>
      </w:pPr>
      <w:r w:rsidRPr="0086694A">
        <w:rPr>
          <w:spacing w:val="-3"/>
        </w:rPr>
        <w:t>En Nueva Zelanda, la exención fiscal temporal para las rentas de fuente extranjera se dirige tanto a trabajadores extranjeros como a neozelandeses que no han residido en Nueva Zelanda en los 10 años anteriores al desplazamiento.</w:t>
      </w:r>
    </w:p>
    <w:p w:rsidR="00787028" w:rsidRDefault="00787028" w:rsidP="00FB0D91">
      <w:pPr>
        <w:jc w:val="both"/>
        <w:rPr>
          <w:spacing w:val="-3"/>
        </w:rPr>
      </w:pPr>
    </w:p>
    <w:p w:rsidR="00982FA3" w:rsidRDefault="00982FA3" w:rsidP="00FB0D91">
      <w:pPr>
        <w:jc w:val="both"/>
        <w:rPr>
          <w:spacing w:val="-3"/>
        </w:rPr>
      </w:pPr>
    </w:p>
    <w:p w:rsidR="00787028" w:rsidRDefault="00787028" w:rsidP="00FB0D91">
      <w:pPr>
        <w:jc w:val="both"/>
        <w:rPr>
          <w:b/>
          <w:spacing w:val="-3"/>
        </w:rPr>
      </w:pPr>
      <w:r>
        <w:rPr>
          <w:b/>
          <w:spacing w:val="-3"/>
        </w:rPr>
        <w:t>Tiempo de disfrute de los beneficios fiscales</w:t>
      </w:r>
    </w:p>
    <w:p w:rsidR="00787028" w:rsidRPr="00787028" w:rsidRDefault="00787028" w:rsidP="00FB0D91">
      <w:pPr>
        <w:jc w:val="both"/>
        <w:rPr>
          <w:b/>
          <w:spacing w:val="-3"/>
        </w:rPr>
      </w:pPr>
    </w:p>
    <w:p w:rsidR="003E2474" w:rsidRPr="0006181E" w:rsidRDefault="003E2474" w:rsidP="00FB0D91">
      <w:pPr>
        <w:jc w:val="both"/>
        <w:rPr>
          <w:spacing w:val="-3"/>
        </w:rPr>
      </w:pPr>
      <w:r w:rsidRPr="003E2474">
        <w:rPr>
          <w:spacing w:val="-3"/>
        </w:rPr>
        <w:t>En cuanto a la limitación temporal del beneficio fiscal, aparte de lo que supone de reducción de los costes fiscales en el tiempo, algunos autores han considerado que con la introducción de una limitación temporal se pretende corregir el efecto perverso que contra el principio de equidad en la tributación tiene la introducción de estos beneficios fiscales</w:t>
      </w:r>
      <w:r w:rsidR="0006181E">
        <w:rPr>
          <w:rStyle w:val="Refdenotaalpie"/>
          <w:spacing w:val="-3"/>
        </w:rPr>
        <w:footnoteReference w:id="17"/>
      </w:r>
      <w:r w:rsidR="0006181E">
        <w:rPr>
          <w:spacing w:val="-3"/>
          <w:vertAlign w:val="superscript"/>
        </w:rPr>
        <w:t>.</w:t>
      </w:r>
    </w:p>
    <w:p w:rsidR="003E2474" w:rsidRDefault="003E2474" w:rsidP="00FB0D91">
      <w:pPr>
        <w:jc w:val="both"/>
        <w:rPr>
          <w:spacing w:val="-3"/>
        </w:rPr>
      </w:pPr>
    </w:p>
    <w:p w:rsidR="003E2474" w:rsidRDefault="003E2474" w:rsidP="00FB0D91">
      <w:pPr>
        <w:jc w:val="both"/>
        <w:rPr>
          <w:spacing w:val="-3"/>
        </w:rPr>
      </w:pPr>
      <w:r w:rsidRPr="003E2474">
        <w:rPr>
          <w:spacing w:val="-3"/>
        </w:rPr>
        <w:t>En Australia, el período de disfrute de los beneficios fiscales es de cuatro años, y se hace coincidir con la duración del visado otorgado a un extranjero para trabajar en Australia. Después del transcurso de ese tiempo, el trabajador desplazado se somete a tributación por su renta mundial, pues se entiende que entonces ya no tiene justificación la concesión de esos beneficios fiscales a trabajadores que residen de un modo permanente en Australia sobre la base del principio de igualdad en la tributación.</w:t>
      </w:r>
    </w:p>
    <w:p w:rsidR="00787028" w:rsidRDefault="00787028" w:rsidP="00FB0D91">
      <w:pPr>
        <w:jc w:val="both"/>
        <w:rPr>
          <w:spacing w:val="-3"/>
        </w:rPr>
      </w:pPr>
    </w:p>
    <w:p w:rsidR="00787028" w:rsidRPr="00787028" w:rsidRDefault="00787028" w:rsidP="00FB0D91">
      <w:pPr>
        <w:jc w:val="both"/>
        <w:rPr>
          <w:b/>
          <w:spacing w:val="-3"/>
        </w:rPr>
      </w:pPr>
      <w:r>
        <w:rPr>
          <w:b/>
          <w:spacing w:val="-3"/>
        </w:rPr>
        <w:t>Razones justificativas de los beneficios fiscales</w:t>
      </w:r>
    </w:p>
    <w:p w:rsidR="003E2474" w:rsidRDefault="003E2474" w:rsidP="00FB0D91">
      <w:pPr>
        <w:jc w:val="both"/>
        <w:rPr>
          <w:spacing w:val="-3"/>
        </w:rPr>
      </w:pPr>
    </w:p>
    <w:p w:rsidR="003E2474" w:rsidRPr="003E2474" w:rsidRDefault="003E2474" w:rsidP="00FB0D91">
      <w:pPr>
        <w:jc w:val="both"/>
        <w:rPr>
          <w:spacing w:val="-3"/>
        </w:rPr>
      </w:pPr>
      <w:r w:rsidRPr="003E2474">
        <w:rPr>
          <w:spacing w:val="-3"/>
        </w:rPr>
        <w:t>Es decir, la justificación de estos beneficios fiscales reside en el hecho de la temporalidad, siendo que los costes de la expatriación son mayores al principio de la expatriación y con el tiempo van decreciendo. Y esta es la razón de la limitación temporal del beneficio en los Países Bajos, que se estableció en 10 años, porque se presume que transcurridos esos años, el trabajador se encuentra plenamente integrado en la sociedad holandesa y por lo tanto no tendrá que hacer frente a los costes asociados con la expatriación. En el año 2009, ese período temporal se redujo a 5 años, porque los costes de expatriación comienzan a partir de ese año a reducirse considerablemente.</w:t>
      </w:r>
    </w:p>
    <w:p w:rsidR="0086694A" w:rsidRDefault="0086694A" w:rsidP="00FB0D91">
      <w:pPr>
        <w:jc w:val="both"/>
        <w:rPr>
          <w:spacing w:val="-3"/>
        </w:rPr>
      </w:pPr>
    </w:p>
    <w:p w:rsidR="00DE1F52" w:rsidRDefault="00206DFD" w:rsidP="00FB0D91">
      <w:pPr>
        <w:jc w:val="both"/>
        <w:rPr>
          <w:spacing w:val="-3"/>
        </w:rPr>
      </w:pPr>
      <w:r>
        <w:rPr>
          <w:spacing w:val="-3"/>
        </w:rPr>
        <w:t xml:space="preserve">En resumen, la adopción de estos regímenes está justificada en diferentes razones, según los países. </w:t>
      </w:r>
      <w:r w:rsidR="00DE1F52">
        <w:rPr>
          <w:spacing w:val="-3"/>
        </w:rPr>
        <w:t>Así, por ejemplo, e</w:t>
      </w:r>
      <w:r w:rsidR="00DE1F52" w:rsidRPr="00DE1F52">
        <w:rPr>
          <w:spacing w:val="-3"/>
        </w:rPr>
        <w:t>n Suecia, la introducción de un régimen fiscal beneficioso para los inmigrantes altamente cualificados se debe a que en un futuro no serán beneficiarios de prestaciones del sistema de pensiones públicas o cualquier otra prestación pública. Y ello, en definitiva, porque ese inmigrante no tiene la intención de establecerse permanentemente en Suecia, es decir, será no residente</w:t>
      </w:r>
      <w:r w:rsidR="00DE1F52">
        <w:rPr>
          <w:spacing w:val="-3"/>
        </w:rPr>
        <w:t xml:space="preserve">. </w:t>
      </w:r>
    </w:p>
    <w:p w:rsidR="00A01959" w:rsidRDefault="00A01959" w:rsidP="00FB0D91">
      <w:pPr>
        <w:jc w:val="both"/>
        <w:rPr>
          <w:spacing w:val="-3"/>
        </w:rPr>
      </w:pPr>
    </w:p>
    <w:p w:rsidR="00A01959" w:rsidRDefault="00413FE6" w:rsidP="00FB0D91">
      <w:pPr>
        <w:jc w:val="both"/>
        <w:rPr>
          <w:spacing w:val="-3"/>
        </w:rPr>
      </w:pPr>
      <w:r>
        <w:rPr>
          <w:spacing w:val="-3"/>
        </w:rPr>
        <w:t>Otra</w:t>
      </w:r>
      <w:r w:rsidR="00A01959" w:rsidRPr="00A01959">
        <w:rPr>
          <w:spacing w:val="-3"/>
        </w:rPr>
        <w:t xml:space="preserve"> finalidad de política fiscal s</w:t>
      </w:r>
      <w:r w:rsidR="00366547">
        <w:rPr>
          <w:spacing w:val="-3"/>
        </w:rPr>
        <w:t>eguida</w:t>
      </w:r>
      <w:r>
        <w:rPr>
          <w:spacing w:val="-3"/>
        </w:rPr>
        <w:t xml:space="preserve"> por</w:t>
      </w:r>
      <w:r w:rsidR="00A01959" w:rsidRPr="00A01959">
        <w:rPr>
          <w:spacing w:val="-3"/>
        </w:rPr>
        <w:t xml:space="preserve"> los países que han pretendido reducir las barreras fiscales a la migración asociadas</w:t>
      </w:r>
      <w:r w:rsidR="00366547">
        <w:rPr>
          <w:spacing w:val="-3"/>
        </w:rPr>
        <w:t xml:space="preserve"> ha sido</w:t>
      </w:r>
      <w:r w:rsidR="00A01959" w:rsidRPr="00A01959">
        <w:rPr>
          <w:spacing w:val="-3"/>
        </w:rPr>
        <w:t xml:space="preserve"> la introducción de un beneficio fiscal concreto para una concreta categoría de renta. Y así se incluye la exención de las rentas de fuente extranjera, y las deducciones o exenciones pa</w:t>
      </w:r>
      <w:r w:rsidR="00055140">
        <w:rPr>
          <w:spacing w:val="-3"/>
        </w:rPr>
        <w:t xml:space="preserve">ra el empleador que suministra </w:t>
      </w:r>
      <w:proofErr w:type="spellStart"/>
      <w:r w:rsidR="00055140" w:rsidRPr="00CD7956">
        <w:rPr>
          <w:i/>
          <w:spacing w:val="-3"/>
        </w:rPr>
        <w:t>fringe</w:t>
      </w:r>
      <w:proofErr w:type="spellEnd"/>
      <w:r w:rsidR="00055140" w:rsidRPr="00CD7956">
        <w:rPr>
          <w:i/>
          <w:spacing w:val="-3"/>
        </w:rPr>
        <w:t xml:space="preserve"> </w:t>
      </w:r>
      <w:proofErr w:type="spellStart"/>
      <w:r w:rsidR="00055140" w:rsidRPr="00CD7956">
        <w:rPr>
          <w:i/>
          <w:spacing w:val="-3"/>
        </w:rPr>
        <w:t>benefits</w:t>
      </w:r>
      <w:proofErr w:type="spellEnd"/>
      <w:r w:rsidR="00A01959" w:rsidRPr="00A01959">
        <w:rPr>
          <w:spacing w:val="-3"/>
        </w:rPr>
        <w:t xml:space="preserve"> para cubrir los costes conectados con la expatriación</w:t>
      </w:r>
    </w:p>
    <w:p w:rsidR="00405FC5" w:rsidRDefault="00405FC5" w:rsidP="00FB0D91">
      <w:pPr>
        <w:jc w:val="both"/>
        <w:rPr>
          <w:spacing w:val="-3"/>
        </w:rPr>
      </w:pPr>
    </w:p>
    <w:p w:rsidR="00405FC5" w:rsidRPr="00405FC5" w:rsidRDefault="00405FC5" w:rsidP="00FB0D91">
      <w:pPr>
        <w:jc w:val="both"/>
        <w:rPr>
          <w:spacing w:val="-3"/>
        </w:rPr>
      </w:pPr>
      <w:r w:rsidRPr="00405FC5">
        <w:rPr>
          <w:spacing w:val="-3"/>
        </w:rPr>
        <w:t>Como ya se ha dicho, con esta medida se pretende cubrir los costes realmente relacionados con la expatriación</w:t>
      </w:r>
      <w:r w:rsidR="0006181E">
        <w:rPr>
          <w:rStyle w:val="Refdenotaalpie"/>
          <w:spacing w:val="-3"/>
        </w:rPr>
        <w:footnoteReference w:id="18"/>
      </w:r>
      <w:r w:rsidRPr="00405FC5">
        <w:rPr>
          <w:spacing w:val="-3"/>
        </w:rPr>
        <w:t xml:space="preserve">. Estos pagos se producen como consecuencia de que los expatriados tienen unos gastos más alto de los que hubiesen tenido que afrontar por el hecho de </w:t>
      </w:r>
      <w:r w:rsidRPr="00405FC5">
        <w:rPr>
          <w:spacing w:val="-3"/>
        </w:rPr>
        <w:lastRenderedPageBreak/>
        <w:t>trabajar en su país de origen. Y porque estos pagos tienen como justificación colocar al trabajador en la misma situación en la que se encontraba con anterioridad al desplazamiento (es decir, no existe un valor de consumo adicional para el trabajador), ya que de lo contrario la tributación haría la migración menos atractiva, por lo tanto alternando por lo menos potencialmente las decisiones de migración, es por lo que se otorgan beneficios fiscales.</w:t>
      </w:r>
    </w:p>
    <w:p w:rsidR="00405FC5" w:rsidRPr="00405FC5" w:rsidRDefault="00405FC5" w:rsidP="00FB0D91">
      <w:pPr>
        <w:jc w:val="both"/>
        <w:rPr>
          <w:spacing w:val="-3"/>
        </w:rPr>
      </w:pPr>
    </w:p>
    <w:p w:rsidR="00405FC5" w:rsidRPr="00405FC5" w:rsidRDefault="00405FC5" w:rsidP="00FB0D91">
      <w:pPr>
        <w:jc w:val="both"/>
        <w:rPr>
          <w:spacing w:val="-3"/>
        </w:rPr>
      </w:pPr>
      <w:r w:rsidRPr="00405FC5">
        <w:rPr>
          <w:spacing w:val="-3"/>
        </w:rPr>
        <w:t>Entre los países que acogen este tipo de beneficios fiscales se encuentran Bélgica, Francia, los Países Bajos y Suiza. Así Bélgica contempla deducciones y reembolsos libre de impuestos, todos relacionados con gastos de expatriación, costes de instalación y traslado, diferencias por el coste de vida y por los gastos escolares de los hijos</w:t>
      </w:r>
      <w:r w:rsidR="007F7F84">
        <w:rPr>
          <w:rStyle w:val="Refdenotaalpie"/>
          <w:spacing w:val="-3"/>
        </w:rPr>
        <w:footnoteReference w:id="19"/>
      </w:r>
      <w:r w:rsidRPr="00405FC5">
        <w:rPr>
          <w:spacing w:val="-3"/>
        </w:rPr>
        <w:t>. Francia establece una reducción fiscal concreta para los trabajadores migrantes desplazados por su compañía localizada en el extranjero para trabajar a tiempo parcial o tiempo completo en Francia (</w:t>
      </w:r>
      <w:proofErr w:type="spellStart"/>
      <w:r w:rsidRPr="00CD7956">
        <w:rPr>
          <w:i/>
          <w:spacing w:val="-3"/>
        </w:rPr>
        <w:t>régime</w:t>
      </w:r>
      <w:proofErr w:type="spellEnd"/>
      <w:r w:rsidRPr="00CD7956">
        <w:rPr>
          <w:i/>
          <w:spacing w:val="-3"/>
        </w:rPr>
        <w:t xml:space="preserve"> de </w:t>
      </w:r>
      <w:proofErr w:type="spellStart"/>
      <w:r w:rsidRPr="00CD7956">
        <w:rPr>
          <w:i/>
          <w:spacing w:val="-3"/>
        </w:rPr>
        <w:t>l’impatrié</w:t>
      </w:r>
      <w:proofErr w:type="spellEnd"/>
      <w:r w:rsidRPr="00405FC5">
        <w:rPr>
          <w:spacing w:val="-3"/>
        </w:rPr>
        <w:t>), y que deja exento parcialmente del impuesto sobre la renta los salarios extras debido al coste de instalación. De un modo similar, Suiza permite la deducción de determinados gastos de trabajo de los expatriados. Y entre esos gastos se incluyen, respecto a expatriados no residentes, gastos de viajes entre el lugar de residencia en el extranjero y Suiza y los costes de vivienda en Suiza. Para expatriados residentes se incluye el coste de vivienda en Suiza, los gastos de traslado, y los costes relativos a escuelas internacionales privadas siempre que el sistema público escolar no ofrezca una educación similar. El contribuyente puede deducir los gastos ciertos en los que se ha incurrido o reclamar una deducción a tanto alzado de 1.500 Francos suizos mensualmente.</w:t>
      </w:r>
    </w:p>
    <w:p w:rsidR="00405FC5" w:rsidRDefault="00405FC5" w:rsidP="00FB0D91">
      <w:pPr>
        <w:jc w:val="both"/>
        <w:rPr>
          <w:spacing w:val="-3"/>
        </w:rPr>
      </w:pPr>
      <w:r w:rsidRPr="00405FC5">
        <w:rPr>
          <w:spacing w:val="-3"/>
        </w:rPr>
        <w:t>Los Países Bajos permite el reembolso libre de impuestos de los gastos escolares de los hijos que asisten a escuelas internacionales.</w:t>
      </w:r>
    </w:p>
    <w:p w:rsidR="009E3832" w:rsidRDefault="009E3832" w:rsidP="00FB0D91">
      <w:pPr>
        <w:jc w:val="both"/>
        <w:rPr>
          <w:spacing w:val="-3"/>
        </w:rPr>
      </w:pPr>
    </w:p>
    <w:p w:rsidR="009E3832" w:rsidRDefault="009E3832" w:rsidP="00FB0D91">
      <w:pPr>
        <w:jc w:val="both"/>
        <w:rPr>
          <w:spacing w:val="-3"/>
        </w:rPr>
      </w:pPr>
      <w:r>
        <w:rPr>
          <w:spacing w:val="-3"/>
        </w:rPr>
        <w:t>Entonces, si estos regímenes no tienen una uniformid</w:t>
      </w:r>
      <w:r w:rsidR="00827CE2">
        <w:rPr>
          <w:spacing w:val="-3"/>
        </w:rPr>
        <w:t>ad a la hora de conseguir elimi</w:t>
      </w:r>
      <w:r>
        <w:rPr>
          <w:spacing w:val="-3"/>
        </w:rPr>
        <w:t>n</w:t>
      </w:r>
      <w:r w:rsidR="00827CE2">
        <w:rPr>
          <w:spacing w:val="-3"/>
        </w:rPr>
        <w:t>a</w:t>
      </w:r>
      <w:r>
        <w:rPr>
          <w:spacing w:val="-3"/>
        </w:rPr>
        <w:t>r la doble imposición</w:t>
      </w:r>
      <w:r w:rsidR="00827CE2">
        <w:rPr>
          <w:spacing w:val="-3"/>
        </w:rPr>
        <w:t xml:space="preserve"> y fomentar la libre circulación o movilidad de trabajadores y sus familias</w:t>
      </w:r>
      <w:r>
        <w:rPr>
          <w:spacing w:val="-3"/>
        </w:rPr>
        <w:t>, como ya he comentado anteriormente, quizá sería mejor acometer</w:t>
      </w:r>
      <w:r w:rsidR="00827CE2">
        <w:rPr>
          <w:spacing w:val="-3"/>
        </w:rPr>
        <w:t xml:space="preserve"> en el seno de la Unión Europea una serie de medidas que pasan por el concepto de residencia que a continuación se desarrolla, y la tributación exclusivamente en el país de residencia del trabajador, que será otro punto a desarrollar.  </w:t>
      </w:r>
      <w:r>
        <w:rPr>
          <w:spacing w:val="-3"/>
        </w:rPr>
        <w:t xml:space="preserve"> </w:t>
      </w:r>
    </w:p>
    <w:p w:rsidR="00947237" w:rsidRDefault="00947237" w:rsidP="00FB0D91">
      <w:pPr>
        <w:jc w:val="both"/>
        <w:rPr>
          <w:spacing w:val="-3"/>
        </w:rPr>
      </w:pPr>
    </w:p>
    <w:p w:rsidR="002B4881" w:rsidRDefault="002B4881" w:rsidP="00FB0D91">
      <w:pPr>
        <w:jc w:val="both"/>
        <w:rPr>
          <w:spacing w:val="-3"/>
        </w:rPr>
      </w:pPr>
    </w:p>
    <w:p w:rsidR="002B4881" w:rsidRPr="00827CE2" w:rsidRDefault="00827CE2" w:rsidP="00FB0D91">
      <w:pPr>
        <w:jc w:val="both"/>
        <w:rPr>
          <w:b/>
          <w:spacing w:val="-3"/>
        </w:rPr>
      </w:pPr>
      <w:r w:rsidRPr="00827CE2">
        <w:rPr>
          <w:b/>
          <w:spacing w:val="-3"/>
        </w:rPr>
        <w:t xml:space="preserve">IV. </w:t>
      </w:r>
      <w:r w:rsidR="002B4881" w:rsidRPr="00827CE2">
        <w:rPr>
          <w:b/>
          <w:spacing w:val="-3"/>
        </w:rPr>
        <w:t>CONCEPTO DE RESIDENCIA</w:t>
      </w:r>
      <w:r>
        <w:rPr>
          <w:b/>
          <w:spacing w:val="-3"/>
        </w:rPr>
        <w:t xml:space="preserve"> A EFECTOS FISCALES</w:t>
      </w:r>
    </w:p>
    <w:p w:rsidR="00B22B8A" w:rsidRDefault="00B22B8A" w:rsidP="00FB0D91">
      <w:pPr>
        <w:jc w:val="both"/>
        <w:rPr>
          <w:spacing w:val="-3"/>
        </w:rPr>
      </w:pPr>
    </w:p>
    <w:p w:rsidR="00002A2C" w:rsidRDefault="00B22B8A" w:rsidP="00FB0D91">
      <w:pPr>
        <w:jc w:val="both"/>
        <w:rPr>
          <w:spacing w:val="-3"/>
        </w:rPr>
      </w:pPr>
      <w:r>
        <w:rPr>
          <w:spacing w:val="-3"/>
        </w:rPr>
        <w:t>La residencia viene definida en el Modelo de Convenio mediante precisamente un no concepto. Es decir, ante la dificultad de establecer un concepto cerrado de residencia fiscal</w:t>
      </w:r>
      <w:r w:rsidR="00A3227C">
        <w:rPr>
          <w:spacing w:val="-3"/>
        </w:rPr>
        <w:t xml:space="preserve"> a nivel del tratado</w:t>
      </w:r>
      <w:r>
        <w:rPr>
          <w:spacing w:val="-3"/>
        </w:rPr>
        <w:t xml:space="preserve">, </w:t>
      </w:r>
      <w:r w:rsidR="00A3227C">
        <w:rPr>
          <w:spacing w:val="-3"/>
        </w:rPr>
        <w:t xml:space="preserve">y también ante la imposibilidad de hacer una remisión al concepto de residencia propio de la </w:t>
      </w:r>
      <w:r w:rsidR="00827CE2">
        <w:rPr>
          <w:spacing w:val="-3"/>
        </w:rPr>
        <w:t>legislación de cada uno de los E</w:t>
      </w:r>
      <w:r w:rsidR="00A3227C">
        <w:rPr>
          <w:spacing w:val="-3"/>
        </w:rPr>
        <w:t>sta</w:t>
      </w:r>
      <w:r w:rsidR="00931496">
        <w:rPr>
          <w:spacing w:val="-3"/>
        </w:rPr>
        <w:t xml:space="preserve">dos </w:t>
      </w:r>
      <w:r w:rsidR="00A3227C">
        <w:rPr>
          <w:spacing w:val="-3"/>
        </w:rPr>
        <w:t xml:space="preserve"> </w:t>
      </w:r>
      <w:r>
        <w:rPr>
          <w:spacing w:val="-3"/>
        </w:rPr>
        <w:t>porque se había considerado quizá con un estudio muy superficial que las tradi</w:t>
      </w:r>
      <w:r w:rsidR="00827CE2">
        <w:rPr>
          <w:spacing w:val="-3"/>
        </w:rPr>
        <w:t>ciones de derecho civil de los E</w:t>
      </w:r>
      <w:r>
        <w:rPr>
          <w:spacing w:val="-3"/>
        </w:rPr>
        <w:t xml:space="preserve">stados no eran uniformes, se decide entonces establecer un elenco jerarquizado de criterios que decantan la residencia o los lazos más personales con un determinado territorio.  </w:t>
      </w:r>
    </w:p>
    <w:p w:rsidR="00A3227C" w:rsidRDefault="00A3227C" w:rsidP="00FB0D91">
      <w:pPr>
        <w:jc w:val="both"/>
        <w:rPr>
          <w:spacing w:val="-3"/>
        </w:rPr>
      </w:pPr>
    </w:p>
    <w:p w:rsidR="00A3227C" w:rsidRDefault="00A3227C" w:rsidP="00FB0D91">
      <w:pPr>
        <w:jc w:val="both"/>
        <w:rPr>
          <w:spacing w:val="-3"/>
        </w:rPr>
      </w:pPr>
      <w:r>
        <w:rPr>
          <w:spacing w:val="-3"/>
        </w:rPr>
        <w:t>Ese conjunto de criterios se pueden resumir en los siguientes</w:t>
      </w:r>
      <w:r w:rsidR="00826112">
        <w:rPr>
          <w:spacing w:val="-3"/>
        </w:rPr>
        <w:t>, que a su vez están priorizados, en el sentido de que el primero tiene preponderancia sobre el resto de ellos, que entran en juego una vez que el criterio anterior no se puede aplicar</w:t>
      </w:r>
      <w:r>
        <w:rPr>
          <w:spacing w:val="-3"/>
        </w:rPr>
        <w:t>: la existencia de</w:t>
      </w:r>
      <w:r w:rsidR="007673ED">
        <w:rPr>
          <w:spacing w:val="-3"/>
        </w:rPr>
        <w:t xml:space="preserve"> una vivienda permanente en un E</w:t>
      </w:r>
      <w:r>
        <w:rPr>
          <w:spacing w:val="-3"/>
        </w:rPr>
        <w:t>stado; la existencia del centro de interese</w:t>
      </w:r>
      <w:r w:rsidR="007673ED">
        <w:rPr>
          <w:spacing w:val="-3"/>
        </w:rPr>
        <w:t>s vitales de una persona en un E</w:t>
      </w:r>
      <w:r>
        <w:rPr>
          <w:spacing w:val="-3"/>
        </w:rPr>
        <w:t>stado; la permanencia p</w:t>
      </w:r>
      <w:r w:rsidR="007673ED">
        <w:rPr>
          <w:spacing w:val="-3"/>
        </w:rPr>
        <w:t>or un determinado tiempo en un E</w:t>
      </w:r>
      <w:r>
        <w:rPr>
          <w:spacing w:val="-3"/>
        </w:rPr>
        <w:t xml:space="preserve">stado, y finalmente la nacionalidad. </w:t>
      </w:r>
    </w:p>
    <w:p w:rsidR="00826112" w:rsidRDefault="00826112" w:rsidP="00FB0D91">
      <w:pPr>
        <w:jc w:val="both"/>
        <w:rPr>
          <w:spacing w:val="-3"/>
        </w:rPr>
      </w:pPr>
    </w:p>
    <w:p w:rsidR="00826112" w:rsidRDefault="00826112" w:rsidP="00FB0D91">
      <w:pPr>
        <w:jc w:val="both"/>
        <w:rPr>
          <w:spacing w:val="-3"/>
        </w:rPr>
      </w:pPr>
      <w:r>
        <w:rPr>
          <w:spacing w:val="-3"/>
        </w:rPr>
        <w:t xml:space="preserve">Pero realmente, al utilizar estos criterios, </w:t>
      </w:r>
      <w:r w:rsidR="007673ED">
        <w:rPr>
          <w:spacing w:val="-3"/>
        </w:rPr>
        <w:t>los Convenios firmados por los E</w:t>
      </w:r>
      <w:r>
        <w:rPr>
          <w:spacing w:val="-3"/>
        </w:rPr>
        <w:t xml:space="preserve">stados están dando preponderancia a una definición de residencia basada no sobre el elemento objetivo de la permanencia física un número </w:t>
      </w:r>
      <w:r w:rsidR="007673ED">
        <w:rPr>
          <w:spacing w:val="-3"/>
        </w:rPr>
        <w:t>de días en el territorio de un E</w:t>
      </w:r>
      <w:r>
        <w:rPr>
          <w:spacing w:val="-3"/>
        </w:rPr>
        <w:t>stado, sino en el criterio subjetivo de mantener lazos permanente con un territorio, siendo su exponente la existencia de una vivienda permanente.</w:t>
      </w:r>
    </w:p>
    <w:p w:rsidR="00826112" w:rsidRDefault="00826112" w:rsidP="00FB0D91">
      <w:pPr>
        <w:jc w:val="both"/>
        <w:rPr>
          <w:spacing w:val="-3"/>
        </w:rPr>
      </w:pPr>
    </w:p>
    <w:p w:rsidR="00826112" w:rsidRDefault="00826112" w:rsidP="00FB0D91">
      <w:pPr>
        <w:jc w:val="both"/>
        <w:rPr>
          <w:spacing w:val="-3"/>
        </w:rPr>
      </w:pPr>
      <w:r>
        <w:rPr>
          <w:spacing w:val="-3"/>
        </w:rPr>
        <w:t>Y est</w:t>
      </w:r>
      <w:r w:rsidR="003E6F73">
        <w:rPr>
          <w:spacing w:val="-3"/>
        </w:rPr>
        <w:t>e</w:t>
      </w:r>
      <w:r>
        <w:rPr>
          <w:spacing w:val="-3"/>
        </w:rPr>
        <w:t xml:space="preserve"> es el trasfondo que realmente subsiste en la regulación de los incentivos fiscales </w:t>
      </w:r>
      <w:r w:rsidR="003E6F73">
        <w:rPr>
          <w:spacing w:val="-3"/>
        </w:rPr>
        <w:t xml:space="preserve">con las miras de atraer </w:t>
      </w:r>
      <w:r>
        <w:rPr>
          <w:spacing w:val="-3"/>
        </w:rPr>
        <w:t>a trabajadores</w:t>
      </w:r>
      <w:r w:rsidR="003E6F73">
        <w:rPr>
          <w:spacing w:val="-3"/>
        </w:rPr>
        <w:t xml:space="preserve"> de alta cualificación. Así, al someterlos a tributación por las rentas exclusivamente obtenidas en el territorio de destino </w:t>
      </w:r>
      <w:r w:rsidR="00854CA9">
        <w:rPr>
          <w:spacing w:val="-3"/>
        </w:rPr>
        <w:t>del desplazamiento, se les está</w:t>
      </w:r>
      <w:r w:rsidR="003E6F73">
        <w:rPr>
          <w:spacing w:val="-3"/>
        </w:rPr>
        <w:t xml:space="preserve"> tratando como no residentes (aunque se declare de un modo ampuloso que son residentes)</w:t>
      </w:r>
      <w:r w:rsidR="00854CA9">
        <w:rPr>
          <w:spacing w:val="-3"/>
        </w:rPr>
        <w:t>. Y la conceptuación es como no residentes, precisamente porque siguen manteniendo, en la mayoría de los supues</w:t>
      </w:r>
      <w:r w:rsidR="007673ED">
        <w:rPr>
          <w:spacing w:val="-3"/>
        </w:rPr>
        <w:t>tos, vivienda permanente en el E</w:t>
      </w:r>
      <w:r w:rsidR="00854CA9">
        <w:rPr>
          <w:spacing w:val="-3"/>
        </w:rPr>
        <w:t xml:space="preserve">stado de origen, y sobre todo lazos personales (como exponente de centro de intereses vitales), que no se rompen de un modo definitivo. </w:t>
      </w:r>
    </w:p>
    <w:p w:rsidR="00A15D53" w:rsidRDefault="00A15D53" w:rsidP="00FB0D91">
      <w:pPr>
        <w:jc w:val="both"/>
        <w:rPr>
          <w:spacing w:val="-3"/>
        </w:rPr>
      </w:pPr>
    </w:p>
    <w:p w:rsidR="002C5327" w:rsidRDefault="00A15D53" w:rsidP="00FB0D91">
      <w:pPr>
        <w:jc w:val="both"/>
        <w:rPr>
          <w:spacing w:val="-3"/>
        </w:rPr>
      </w:pPr>
      <w:r>
        <w:rPr>
          <w:spacing w:val="-3"/>
        </w:rPr>
        <w:t>Y siguiendo con esas semejanzas de régimen jurídico, realmente el régimen especial deja de ser aplic</w:t>
      </w:r>
      <w:r w:rsidR="007673ED">
        <w:rPr>
          <w:spacing w:val="-3"/>
        </w:rPr>
        <w:t>able cuando la presencia en el E</w:t>
      </w:r>
      <w:r>
        <w:rPr>
          <w:spacing w:val="-3"/>
        </w:rPr>
        <w:t>stado de destino (el país que quiere atraer trabajadores de alta cualificación) se convierte en estable, es decir, cuando han transcurrido una serie de años, en el caso de España 5 años, para considerar, entonces, que la intención es la de residir en el estado de destino.</w:t>
      </w:r>
    </w:p>
    <w:p w:rsidR="002C5327" w:rsidRDefault="002C5327" w:rsidP="00FB0D91">
      <w:pPr>
        <w:jc w:val="both"/>
        <w:rPr>
          <w:spacing w:val="-3"/>
        </w:rPr>
      </w:pPr>
    </w:p>
    <w:p w:rsidR="003C7550" w:rsidRDefault="002C5327" w:rsidP="00FB0D91">
      <w:pPr>
        <w:jc w:val="both"/>
        <w:rPr>
          <w:spacing w:val="-3"/>
        </w:rPr>
      </w:pPr>
      <w:r>
        <w:rPr>
          <w:spacing w:val="-3"/>
        </w:rPr>
        <w:t xml:space="preserve">Con este tratamiento fiscal, entonces conseguimos realmente eliminar la doble imposición que puede surgir en aquellos </w:t>
      </w:r>
      <w:r w:rsidR="003C7550">
        <w:rPr>
          <w:spacing w:val="-3"/>
        </w:rPr>
        <w:t xml:space="preserve">supuestos de movilidad de trabajadores, puesto que se tributará una sola vez por las rentas obtenidas (como consecuencia de la </w:t>
      </w:r>
      <w:proofErr w:type="spellStart"/>
      <w:r w:rsidR="003C7550">
        <w:rPr>
          <w:spacing w:val="-3"/>
        </w:rPr>
        <w:t>territorialización</w:t>
      </w:r>
      <w:proofErr w:type="spellEnd"/>
      <w:r w:rsidR="003C7550">
        <w:rPr>
          <w:spacing w:val="-3"/>
        </w:rPr>
        <w:t xml:space="preserve"> de las rentas en función del lugar donde se obtienen). </w:t>
      </w:r>
    </w:p>
    <w:p w:rsidR="003C7550" w:rsidRDefault="003C7550" w:rsidP="00FB0D91">
      <w:pPr>
        <w:jc w:val="both"/>
        <w:rPr>
          <w:spacing w:val="-3"/>
        </w:rPr>
      </w:pPr>
    </w:p>
    <w:p w:rsidR="003C7550" w:rsidRDefault="003C7550" w:rsidP="00FB0D91">
      <w:pPr>
        <w:jc w:val="both"/>
        <w:rPr>
          <w:spacing w:val="-3"/>
        </w:rPr>
      </w:pPr>
      <w:r>
        <w:rPr>
          <w:spacing w:val="-3"/>
        </w:rPr>
        <w:t xml:space="preserve">Ahora bien, esta </w:t>
      </w:r>
      <w:proofErr w:type="spellStart"/>
      <w:r>
        <w:rPr>
          <w:spacing w:val="-3"/>
        </w:rPr>
        <w:t>compartimentalización</w:t>
      </w:r>
      <w:proofErr w:type="spellEnd"/>
      <w:r>
        <w:rPr>
          <w:spacing w:val="-3"/>
        </w:rPr>
        <w:t xml:space="preserve"> de las rentas sí podría dar lugar </w:t>
      </w:r>
      <w:r w:rsidR="00E02F05">
        <w:rPr>
          <w:spacing w:val="-3"/>
        </w:rPr>
        <w:t xml:space="preserve">a tratamientos discriminatorios, aunque, a mi juicio, muy marginales si no se permitiese, por ejemplo en el caso de España, la tributación conjunta o la posibilidad de aplicar una serie de deducciones o beneficios fiscales. </w:t>
      </w:r>
    </w:p>
    <w:p w:rsidR="00E02F05" w:rsidRDefault="00E02F05" w:rsidP="00FB0D91">
      <w:pPr>
        <w:jc w:val="both"/>
        <w:rPr>
          <w:spacing w:val="-3"/>
        </w:rPr>
      </w:pPr>
    </w:p>
    <w:p w:rsidR="00616D7C" w:rsidRDefault="00E02F05" w:rsidP="00FB0D91">
      <w:pPr>
        <w:jc w:val="both"/>
        <w:rPr>
          <w:spacing w:val="-3"/>
        </w:rPr>
      </w:pPr>
      <w:r>
        <w:rPr>
          <w:spacing w:val="-3"/>
        </w:rPr>
        <w:t>Entonces, quizá la forma óptima de conseguir una tributación no discriminatoria y evitar la doble imposición, a su vez que la tributación fuese progresiva y justa de acuerdo con las circunstancias personales y familiares, así como cumpliendo con toda probabilidad con el principio de mercado único, sería mediante la adopción de la tributación de acuerdo</w:t>
      </w:r>
      <w:r w:rsidR="0087147A">
        <w:rPr>
          <w:spacing w:val="-3"/>
        </w:rPr>
        <w:t xml:space="preserve"> con un concepto de residencia en el sentido de vivienda permanente y centro de intereses vitales, que en muchos supuestos nos conducirá a la nacionalidad</w:t>
      </w:r>
      <w:r>
        <w:rPr>
          <w:spacing w:val="-3"/>
        </w:rPr>
        <w:t xml:space="preserve">. Y ello precisamente, porque el criterio de nacionalidad realmente está </w:t>
      </w:r>
      <w:r w:rsidR="00616D7C">
        <w:rPr>
          <w:spacing w:val="-3"/>
        </w:rPr>
        <w:t xml:space="preserve">en íntima conexión con la intención o el elemento subjetivo, que tiene sus exponentes objetivos en la vivienda permanente y en el centro de intereses vitales. </w:t>
      </w:r>
    </w:p>
    <w:p w:rsidR="00616D7C" w:rsidRDefault="00616D7C" w:rsidP="00FB0D91">
      <w:pPr>
        <w:jc w:val="both"/>
        <w:rPr>
          <w:spacing w:val="-3"/>
        </w:rPr>
      </w:pPr>
    </w:p>
    <w:p w:rsidR="007A034B" w:rsidRDefault="003D073C" w:rsidP="00FB0D91">
      <w:pPr>
        <w:jc w:val="both"/>
        <w:rPr>
          <w:spacing w:val="-3"/>
        </w:rPr>
      </w:pPr>
      <w:r>
        <w:rPr>
          <w:spacing w:val="-3"/>
        </w:rPr>
        <w:lastRenderedPageBreak/>
        <w:t>Además, con esta idea se</w:t>
      </w:r>
      <w:r w:rsidR="0087147A">
        <w:rPr>
          <w:spacing w:val="-3"/>
        </w:rPr>
        <w:t xml:space="preserve"> conseguiría </w:t>
      </w:r>
      <w:r w:rsidR="0087147A" w:rsidRPr="0087147A">
        <w:rPr>
          <w:i/>
          <w:spacing w:val="-3"/>
        </w:rPr>
        <w:t>de facto</w:t>
      </w:r>
      <w:r>
        <w:rPr>
          <w:spacing w:val="-3"/>
        </w:rPr>
        <w:t xml:space="preserve"> dispensa</w:t>
      </w:r>
      <w:r w:rsidR="0087147A">
        <w:rPr>
          <w:spacing w:val="-3"/>
        </w:rPr>
        <w:t>r</w:t>
      </w:r>
      <w:r>
        <w:rPr>
          <w:spacing w:val="-3"/>
        </w:rPr>
        <w:t xml:space="preserve"> un tratamiento  a las personas que ejercen relaciones laborales privadas igual que el que se dispensa a los fu</w:t>
      </w:r>
      <w:r w:rsidR="00A60BE0">
        <w:rPr>
          <w:spacing w:val="-3"/>
        </w:rPr>
        <w:t xml:space="preserve">ncionarios o empleados públicos, sin que en principio exista razones de peso que justifiquen un distinto tratamiento. </w:t>
      </w:r>
    </w:p>
    <w:p w:rsidR="00D16207" w:rsidRDefault="00D16207" w:rsidP="00FB0D91">
      <w:pPr>
        <w:jc w:val="both"/>
        <w:rPr>
          <w:spacing w:val="-3"/>
        </w:rPr>
      </w:pPr>
    </w:p>
    <w:p w:rsidR="0087147A" w:rsidRDefault="0087147A" w:rsidP="00FB0D91">
      <w:pPr>
        <w:jc w:val="both"/>
        <w:rPr>
          <w:b/>
          <w:spacing w:val="-3"/>
        </w:rPr>
      </w:pPr>
    </w:p>
    <w:p w:rsidR="00D16207" w:rsidRPr="0087147A" w:rsidRDefault="0087147A" w:rsidP="00FB0D91">
      <w:pPr>
        <w:jc w:val="both"/>
        <w:rPr>
          <w:b/>
          <w:spacing w:val="-3"/>
        </w:rPr>
      </w:pPr>
      <w:r w:rsidRPr="0087147A">
        <w:rPr>
          <w:b/>
          <w:spacing w:val="-3"/>
        </w:rPr>
        <w:t xml:space="preserve">V. </w:t>
      </w:r>
      <w:r w:rsidR="00D16207" w:rsidRPr="0087147A">
        <w:rPr>
          <w:b/>
          <w:spacing w:val="-3"/>
        </w:rPr>
        <w:t>CONCEPTO DE RESIDENCIA FISCAL A NIVEL DE LA UNIÓN EUROPEA</w:t>
      </w:r>
    </w:p>
    <w:p w:rsidR="00A60BE0" w:rsidRDefault="00A60BE0" w:rsidP="00FB0D91">
      <w:pPr>
        <w:jc w:val="both"/>
        <w:rPr>
          <w:spacing w:val="-3"/>
        </w:rPr>
      </w:pPr>
    </w:p>
    <w:p w:rsidR="0078610E" w:rsidRDefault="000B06E0" w:rsidP="00FB0D91">
      <w:pPr>
        <w:jc w:val="both"/>
        <w:rPr>
          <w:spacing w:val="-3"/>
        </w:rPr>
      </w:pPr>
      <w:r>
        <w:rPr>
          <w:spacing w:val="-3"/>
        </w:rPr>
        <w:t>¿</w:t>
      </w:r>
      <w:r w:rsidR="00611C34">
        <w:rPr>
          <w:spacing w:val="-3"/>
        </w:rPr>
        <w:t>Existe un concepto de domicilio o de residencia a efectos comunitarios</w:t>
      </w:r>
      <w:r w:rsidR="00BB65A2">
        <w:rPr>
          <w:spacing w:val="-3"/>
        </w:rPr>
        <w:t>? A</w:t>
      </w:r>
      <w:r w:rsidR="000D04F0">
        <w:rPr>
          <w:spacing w:val="-3"/>
        </w:rPr>
        <w:t xml:space="preserve"> mi juicio</w:t>
      </w:r>
      <w:r w:rsidR="00BB65A2">
        <w:rPr>
          <w:spacing w:val="-3"/>
        </w:rPr>
        <w:t xml:space="preserve"> creo que la respuesta a este interrogante tiene que ser afirmativa</w:t>
      </w:r>
      <w:r w:rsidR="000D04F0">
        <w:rPr>
          <w:spacing w:val="-3"/>
        </w:rPr>
        <w:t xml:space="preserve">, si se analizan distintos instrumentos normativos y diversas sentencias del Tribunal de Justicia de la Unión Europea. </w:t>
      </w:r>
    </w:p>
    <w:p w:rsidR="00D16207" w:rsidRDefault="00D16207" w:rsidP="00FB0D91">
      <w:pPr>
        <w:jc w:val="both"/>
        <w:rPr>
          <w:spacing w:val="-3"/>
        </w:rPr>
      </w:pPr>
    </w:p>
    <w:p w:rsidR="000D04F0" w:rsidRDefault="000D04F0" w:rsidP="00FB0D91">
      <w:pPr>
        <w:widowControl w:val="0"/>
        <w:autoSpaceDE w:val="0"/>
        <w:autoSpaceDN w:val="0"/>
        <w:adjustRightInd w:val="0"/>
        <w:spacing w:before="120"/>
        <w:jc w:val="both"/>
        <w:rPr>
          <w:color w:val="000000"/>
        </w:rPr>
      </w:pPr>
      <w:r>
        <w:rPr>
          <w:color w:val="000000"/>
        </w:rPr>
        <w:t>Los criterios de determinación del</w:t>
      </w:r>
      <w:r w:rsidR="0065204C">
        <w:rPr>
          <w:color w:val="000000"/>
        </w:rPr>
        <w:t xml:space="preserve"> concepto de “residencia normal”</w:t>
      </w:r>
      <w:r>
        <w:rPr>
          <w:color w:val="000000"/>
        </w:rPr>
        <w:t xml:space="preserve"> se refieren tanto al vínculo profesional y personal de una persona con un lugar determinado como a la duración de dicho vínculo. Por consiguiente, deben examinarse acumulativamente. Debe considerarse, pues, como residencia normal el lugar en que el interesado ha establecido el centro permanente de sus intereses</w:t>
      </w:r>
      <w:r w:rsidR="0065204C">
        <w:rPr>
          <w:color w:val="000000"/>
        </w:rPr>
        <w:t xml:space="preserve"> (sentencia </w:t>
      </w:r>
      <w:proofErr w:type="spellStart"/>
      <w:r w:rsidR="0065204C">
        <w:rPr>
          <w:color w:val="000000"/>
        </w:rPr>
        <w:t>Ryborg</w:t>
      </w:r>
      <w:proofErr w:type="spellEnd"/>
      <w:r w:rsidR="0065204C">
        <w:rPr>
          <w:rStyle w:val="Refdenotaalpie"/>
          <w:color w:val="000000"/>
        </w:rPr>
        <w:footnoteReference w:id="20"/>
      </w:r>
      <w:r>
        <w:rPr>
          <w:color w:val="000000"/>
        </w:rPr>
        <w:t>, apartado 19).</w:t>
      </w:r>
    </w:p>
    <w:p w:rsidR="0078610E" w:rsidRDefault="0078610E" w:rsidP="00FB0D91">
      <w:pPr>
        <w:widowControl w:val="0"/>
        <w:autoSpaceDE w:val="0"/>
        <w:autoSpaceDN w:val="0"/>
        <w:adjustRightInd w:val="0"/>
        <w:spacing w:before="120"/>
        <w:jc w:val="both"/>
        <w:rPr>
          <w:color w:val="000000"/>
        </w:rPr>
      </w:pPr>
    </w:p>
    <w:p w:rsidR="000D04F0" w:rsidRDefault="000D04F0" w:rsidP="00FB0D91">
      <w:pPr>
        <w:widowControl w:val="0"/>
        <w:autoSpaceDE w:val="0"/>
        <w:autoSpaceDN w:val="0"/>
        <w:adjustRightInd w:val="0"/>
        <w:spacing w:before="120"/>
        <w:jc w:val="both"/>
        <w:rPr>
          <w:color w:val="000000"/>
        </w:rPr>
      </w:pPr>
      <w:r>
        <w:rPr>
          <w:color w:val="000000"/>
        </w:rPr>
        <w:t>Además, se concede preferencia a los vínculos personales cuando el interesado no tenga vínculos personales y profesionales que concurran en un solo Estado miembro. En efecto, se confiere prioridad a los vínculos personales sobre los vínculos profesionales cuando éstos estén situados en un lugar diferente y el interesado se vea obligado, por ello, a residir alternativamente en dos o más Estados miembros y regrese periódicamente al Estado de sus vínculos personales.</w:t>
      </w:r>
    </w:p>
    <w:p w:rsidR="00B81A9E" w:rsidRDefault="00B81A9E" w:rsidP="00FB0D91">
      <w:pPr>
        <w:widowControl w:val="0"/>
        <w:autoSpaceDE w:val="0"/>
        <w:autoSpaceDN w:val="0"/>
        <w:adjustRightInd w:val="0"/>
        <w:spacing w:before="120"/>
        <w:jc w:val="both"/>
        <w:rPr>
          <w:color w:val="000000"/>
        </w:rPr>
      </w:pPr>
    </w:p>
    <w:p w:rsidR="000D04F0" w:rsidRDefault="000D04F0" w:rsidP="00FB0D91">
      <w:pPr>
        <w:widowControl w:val="0"/>
        <w:autoSpaceDE w:val="0"/>
        <w:autoSpaceDN w:val="0"/>
        <w:adjustRightInd w:val="0"/>
        <w:spacing w:before="120"/>
        <w:jc w:val="both"/>
        <w:rPr>
          <w:color w:val="000000"/>
        </w:rPr>
      </w:pPr>
      <w:r>
        <w:rPr>
          <w:color w:val="000000"/>
        </w:rPr>
        <w:t>A este respecto, hay que señalar que</w:t>
      </w:r>
      <w:r w:rsidR="00B81A9E">
        <w:rPr>
          <w:color w:val="000000"/>
        </w:rPr>
        <w:t xml:space="preserve"> este concepto</w:t>
      </w:r>
      <w:r>
        <w:rPr>
          <w:color w:val="000000"/>
        </w:rPr>
        <w:t xml:space="preserve"> tiene por objeto favorecer el ejercicio de la libre circulación de los residentes comunitarios en el interior de la Comunidad y que la supresión de los obstáculos derivados de los </w:t>
      </w:r>
      <w:r w:rsidR="00B81A9E">
        <w:rPr>
          <w:color w:val="000000"/>
        </w:rPr>
        <w:t xml:space="preserve">regímenes fiscales </w:t>
      </w:r>
      <w:r>
        <w:rPr>
          <w:color w:val="000000"/>
        </w:rPr>
        <w:t xml:space="preserve">es particularmente necesaria para la constitución de un mercado económico que tenga características análogas a las de un mercado interior (sentencia de 29 de mayo de 1997, </w:t>
      </w:r>
      <w:proofErr w:type="spellStart"/>
      <w:r>
        <w:rPr>
          <w:color w:val="000000"/>
        </w:rPr>
        <w:t>Klattner</w:t>
      </w:r>
      <w:proofErr w:type="spellEnd"/>
      <w:r>
        <w:rPr>
          <w:color w:val="000000"/>
        </w:rPr>
        <w:t>, C-389/95, Rec. pág. I-2719, apartado 25).</w:t>
      </w:r>
    </w:p>
    <w:p w:rsidR="00B81A9E" w:rsidRDefault="00B81A9E" w:rsidP="00FB0D91">
      <w:pPr>
        <w:widowControl w:val="0"/>
        <w:autoSpaceDE w:val="0"/>
        <w:autoSpaceDN w:val="0"/>
        <w:adjustRightInd w:val="0"/>
        <w:spacing w:before="120"/>
        <w:jc w:val="both"/>
        <w:rPr>
          <w:color w:val="000000"/>
        </w:rPr>
      </w:pPr>
    </w:p>
    <w:p w:rsidR="000D04F0" w:rsidRDefault="000D04F0" w:rsidP="00FB0D91">
      <w:pPr>
        <w:widowControl w:val="0"/>
        <w:autoSpaceDE w:val="0"/>
        <w:autoSpaceDN w:val="0"/>
        <w:adjustRightInd w:val="0"/>
        <w:spacing w:before="120"/>
        <w:jc w:val="both"/>
        <w:rPr>
          <w:color w:val="000000"/>
        </w:rPr>
      </w:pPr>
      <w:r>
        <w:rPr>
          <w:color w:val="000000"/>
        </w:rPr>
        <w:t xml:space="preserve">Como conclusión, la jurisprudencia </w:t>
      </w:r>
      <w:r w:rsidR="00D16207">
        <w:rPr>
          <w:color w:val="000000"/>
        </w:rPr>
        <w:t>del TJUE viene a manifestar que</w:t>
      </w:r>
      <w:r>
        <w:rPr>
          <w:color w:val="000000"/>
        </w:rPr>
        <w:t xml:space="preserve"> cuando una persona tiene al mismo tiempo vínculos personales y profesionales en dos Estados miembros, el lugar de su residencia normal, determinado en el marco de una apreciación global en función de todos los elementos de hecho relevantes, es aquel en que esté localizado el centro permanente de los intereses de dicha persona y que, en el supuesto de que dicha apreciación global no permita tal localización, debe concederse prioridad a los vínculos personales.</w:t>
      </w:r>
    </w:p>
    <w:p w:rsidR="00B81A9E" w:rsidRDefault="00B81A9E" w:rsidP="00FB0D91">
      <w:pPr>
        <w:widowControl w:val="0"/>
        <w:autoSpaceDE w:val="0"/>
        <w:autoSpaceDN w:val="0"/>
        <w:adjustRightInd w:val="0"/>
        <w:spacing w:before="120"/>
        <w:jc w:val="both"/>
        <w:rPr>
          <w:color w:val="000000"/>
        </w:rPr>
      </w:pPr>
    </w:p>
    <w:p w:rsidR="00B7061D" w:rsidRDefault="00B81A9E" w:rsidP="00FB0D91">
      <w:pPr>
        <w:widowControl w:val="0"/>
        <w:autoSpaceDE w:val="0"/>
        <w:autoSpaceDN w:val="0"/>
        <w:adjustRightInd w:val="0"/>
        <w:spacing w:before="120"/>
        <w:jc w:val="both"/>
        <w:rPr>
          <w:color w:val="000000"/>
        </w:rPr>
      </w:pPr>
      <w:r>
        <w:rPr>
          <w:color w:val="000000"/>
        </w:rPr>
        <w:t xml:space="preserve">Pero esta jurisprudencia lo ha sido como análisis de una batería de textos normativos, donde los más recientes son el Reglamento UE </w:t>
      </w:r>
      <w:r w:rsidR="00B7061D">
        <w:rPr>
          <w:color w:val="000000"/>
        </w:rPr>
        <w:t xml:space="preserve">282/2011, de 15 de marzo de 2011 por el que se establecen normas de aplicación de la Directiva 2006/112/CE en materia de </w:t>
      </w:r>
      <w:r w:rsidR="00B7061D">
        <w:rPr>
          <w:color w:val="000000"/>
        </w:rPr>
        <w:lastRenderedPageBreak/>
        <w:t xml:space="preserve">IVA cuando en su artículo 13 nos da la definición de residencia habitual al entender que se trata de aquel lugar en que dicha persona vive habitualmente debido a la existencia de vínculos personales y profesionales. Además, siguen precisando, que cuando existan vínculos profesionales en un país diferente del de los vínculos personales, o cuando no existan vínculos profesionales, el lugar de residencia habitual estará determinado por vínculos personales que pongan de manifiesto una estrecha relación entre la persona física y el lugar en que se vive. </w:t>
      </w:r>
    </w:p>
    <w:p w:rsidR="00676B69" w:rsidRDefault="00676B69" w:rsidP="00FB0D91">
      <w:pPr>
        <w:widowControl w:val="0"/>
        <w:autoSpaceDE w:val="0"/>
        <w:autoSpaceDN w:val="0"/>
        <w:adjustRightInd w:val="0"/>
        <w:spacing w:before="120"/>
        <w:jc w:val="both"/>
        <w:rPr>
          <w:color w:val="000000"/>
        </w:rPr>
      </w:pPr>
    </w:p>
    <w:p w:rsidR="00676B69" w:rsidRPr="00676B69" w:rsidRDefault="00676B69" w:rsidP="00FB0D91">
      <w:pPr>
        <w:pStyle w:val="Default"/>
        <w:jc w:val="both"/>
      </w:pPr>
      <w:r w:rsidRPr="00676B69">
        <w:rPr>
          <w:rFonts w:ascii="Times New Roman" w:hAnsi="Times New Roman" w:cs="Times New Roman"/>
        </w:rPr>
        <w:t>También la sintonía es perfecta cuando se trata de otras normas que no son específicas del ámbito tributario, así</w:t>
      </w:r>
      <w:r>
        <w:t xml:space="preserve"> el Reglamento (UE) 650/2012, del Parlamento y del Consejo de 4 de julio de 2012</w:t>
      </w:r>
      <w:r w:rsidR="00BB65A2">
        <w:rPr>
          <w:rStyle w:val="Refdenotaalpie"/>
        </w:rPr>
        <w:footnoteReference w:id="21"/>
      </w:r>
      <w:r w:rsidR="00BB65A2">
        <w:t xml:space="preserve"> </w:t>
      </w:r>
      <w:r>
        <w:t>establece que</w:t>
      </w:r>
      <w:r w:rsidR="006E6172">
        <w:t xml:space="preserve"> </w:t>
      </w:r>
      <w:r w:rsidR="006E6172" w:rsidRPr="00676B69">
        <w:rPr>
          <w:rFonts w:ascii="Times New Roman" w:hAnsi="Times New Roman" w:cs="Times New Roman"/>
        </w:rPr>
        <w:t>residencia habitual</w:t>
      </w:r>
      <w:r w:rsidR="006E6172">
        <w:rPr>
          <w:rFonts w:ascii="Times New Roman" w:hAnsi="Times New Roman" w:cs="Times New Roman"/>
        </w:rPr>
        <w:t xml:space="preserve"> (se trata del causante de la herencia)</w:t>
      </w:r>
      <w:r w:rsidR="006E6172" w:rsidRPr="00676B69">
        <w:rPr>
          <w:rFonts w:ascii="Times New Roman" w:hAnsi="Times New Roman" w:cs="Times New Roman"/>
        </w:rPr>
        <w:t xml:space="preserve"> debería revelar un v</w:t>
      </w:r>
      <w:r w:rsidR="006E6172">
        <w:rPr>
          <w:rFonts w:ascii="Times New Roman" w:hAnsi="Times New Roman" w:cs="Times New Roman"/>
        </w:rPr>
        <w:t>ínculo estrecho y estable con un</w:t>
      </w:r>
      <w:r w:rsidR="006E6172" w:rsidRPr="00676B69">
        <w:rPr>
          <w:rFonts w:ascii="Times New Roman" w:hAnsi="Times New Roman" w:cs="Times New Roman"/>
        </w:rPr>
        <w:t xml:space="preserve"> Estado</w:t>
      </w:r>
      <w:r w:rsidR="006E6172">
        <w:rPr>
          <w:rFonts w:ascii="Times New Roman" w:hAnsi="Times New Roman" w:cs="Times New Roman"/>
        </w:rPr>
        <w:t xml:space="preserve"> y para determinarla</w:t>
      </w:r>
      <w:r w:rsidR="006E6172" w:rsidRPr="00676B69">
        <w:rPr>
          <w:rFonts w:ascii="Times New Roman" w:hAnsi="Times New Roman" w:cs="Times New Roman"/>
        </w:rPr>
        <w:t xml:space="preserve"> </w:t>
      </w:r>
      <w:r w:rsidR="006E6172">
        <w:rPr>
          <w:rFonts w:ascii="Times New Roman" w:hAnsi="Times New Roman" w:cs="Times New Roman"/>
        </w:rPr>
        <w:t xml:space="preserve">habrá que </w:t>
      </w:r>
      <w:r w:rsidR="006E6172">
        <w:t>proceder</w:t>
      </w:r>
      <w:r>
        <w:t xml:space="preserve"> a una </w:t>
      </w:r>
      <w:r w:rsidRPr="00676B69">
        <w:rPr>
          <w:rFonts w:ascii="Times New Roman" w:hAnsi="Times New Roman" w:cs="Times New Roman"/>
        </w:rPr>
        <w:t>evaluación general de las circunstancias de la vida</w:t>
      </w:r>
      <w:r>
        <w:rPr>
          <w:sz w:val="19"/>
          <w:szCs w:val="19"/>
        </w:rPr>
        <w:t xml:space="preserve">, </w:t>
      </w:r>
      <w:r w:rsidRPr="00676B69">
        <w:rPr>
          <w:rFonts w:ascii="Times New Roman" w:hAnsi="Times New Roman" w:cs="Times New Roman"/>
        </w:rPr>
        <w:t>en particular la duración y la regularidad de la presencia del causante en el Estado de que se trate, así como las condiciones y los motivos de dicha presencia.</w:t>
      </w:r>
      <w:r>
        <w:rPr>
          <w:sz w:val="19"/>
          <w:szCs w:val="19"/>
        </w:rPr>
        <w:t xml:space="preserve"> </w:t>
      </w:r>
    </w:p>
    <w:p w:rsidR="006E6172" w:rsidRDefault="006E6172" w:rsidP="00FB0D91">
      <w:pPr>
        <w:widowControl w:val="0"/>
        <w:autoSpaceDE w:val="0"/>
        <w:autoSpaceDN w:val="0"/>
        <w:adjustRightInd w:val="0"/>
        <w:spacing w:before="120"/>
        <w:jc w:val="both"/>
        <w:rPr>
          <w:rFonts w:cs="EUAlbertina"/>
          <w:color w:val="000000"/>
        </w:rPr>
      </w:pPr>
    </w:p>
    <w:p w:rsidR="00676B69" w:rsidRDefault="006E6172" w:rsidP="00FB0D91">
      <w:pPr>
        <w:widowControl w:val="0"/>
        <w:autoSpaceDE w:val="0"/>
        <w:autoSpaceDN w:val="0"/>
        <w:adjustRightInd w:val="0"/>
        <w:spacing w:before="120"/>
        <w:jc w:val="both"/>
        <w:rPr>
          <w:rFonts w:cs="EUAlbertina"/>
          <w:color w:val="000000"/>
        </w:rPr>
      </w:pPr>
      <w:r>
        <w:rPr>
          <w:rFonts w:cs="EUAlbertina"/>
          <w:color w:val="000000"/>
        </w:rPr>
        <w:t>Y continúa el Reglamento que e</w:t>
      </w:r>
      <w:r w:rsidR="00676B69" w:rsidRPr="00676B69">
        <w:rPr>
          <w:rFonts w:cs="EUAlbertina"/>
          <w:color w:val="000000"/>
        </w:rPr>
        <w:t>n algunos casos, determinar la residencia habitual del causante puede revelarse complejo. Tal sería el caso, en particular, cuando por motivos profesionales o económicos el causante hubiese trasladado su domicilio a otro país para trabajar en él, a veces por un período prolongado, pero hubiera mantenido un vínculo estrecho y estable con su Estado de origen. En tal caso, dependiendo de las circunstancias, podría considerarse que el causante tenía su residencia habitual en su Estado de origen, en el que estaba situado el centro de interés de su familia y su vida social. También podrían suscitarse otras situaciones complejas cuando el causante haya residido en diversos Estados alternativamente o viajado de un Estado a otro sin residir permanentemente en ninguno de ellos. Si el causante fuera nacional de uno de dichos Estados o tuviera sus principales bienes en uno de ellos, la nacionalidad de aquel o la localización de dichos bienes podrían constituir un factor especial en la evaluación general de todas las circunstancias objetivas.</w:t>
      </w:r>
    </w:p>
    <w:p w:rsidR="006E6172" w:rsidRDefault="006E6172" w:rsidP="00FB0D91">
      <w:pPr>
        <w:widowControl w:val="0"/>
        <w:autoSpaceDE w:val="0"/>
        <w:autoSpaceDN w:val="0"/>
        <w:adjustRightInd w:val="0"/>
        <w:spacing w:before="120"/>
        <w:jc w:val="both"/>
        <w:rPr>
          <w:rFonts w:cs="EUAlbertina"/>
          <w:color w:val="000000"/>
        </w:rPr>
      </w:pPr>
    </w:p>
    <w:p w:rsidR="006E6172" w:rsidRDefault="006E6172" w:rsidP="00FB0D91">
      <w:pPr>
        <w:widowControl w:val="0"/>
        <w:autoSpaceDE w:val="0"/>
        <w:autoSpaceDN w:val="0"/>
        <w:adjustRightInd w:val="0"/>
        <w:spacing w:before="120"/>
        <w:jc w:val="both"/>
        <w:rPr>
          <w:rFonts w:cs="EUAlbertina"/>
          <w:color w:val="000000"/>
        </w:rPr>
      </w:pPr>
      <w:r>
        <w:rPr>
          <w:rFonts w:cs="EUAlbertina"/>
          <w:color w:val="000000"/>
        </w:rPr>
        <w:t>Por lo tanto, y resumiendo, de la jurisprudencia transcrita y de los textos normativos nos encontramos c</w:t>
      </w:r>
      <w:r w:rsidR="002C29C9">
        <w:rPr>
          <w:rFonts w:cs="EUAlbertina"/>
          <w:color w:val="000000"/>
        </w:rPr>
        <w:t>on una definición comunitaria d</w:t>
      </w:r>
      <w:r>
        <w:rPr>
          <w:rFonts w:cs="EUAlbertina"/>
          <w:color w:val="000000"/>
        </w:rPr>
        <w:t>e</w:t>
      </w:r>
      <w:r w:rsidR="002C29C9">
        <w:rPr>
          <w:rFonts w:cs="EUAlbertina"/>
          <w:color w:val="000000"/>
        </w:rPr>
        <w:t xml:space="preserve"> </w:t>
      </w:r>
      <w:r>
        <w:rPr>
          <w:rFonts w:cs="EUAlbertina"/>
          <w:color w:val="000000"/>
        </w:rPr>
        <w:t>reside</w:t>
      </w:r>
      <w:r w:rsidR="002C29C9">
        <w:rPr>
          <w:rFonts w:cs="EUAlbertina"/>
          <w:color w:val="000000"/>
        </w:rPr>
        <w:t xml:space="preserve">ncia que se encuentra en plena </w:t>
      </w:r>
      <w:r>
        <w:rPr>
          <w:rFonts w:cs="EUAlbertina"/>
          <w:color w:val="000000"/>
        </w:rPr>
        <w:t>sintonía con</w:t>
      </w:r>
      <w:r w:rsidR="002C29C9">
        <w:rPr>
          <w:rFonts w:cs="EUAlbertina"/>
          <w:color w:val="000000"/>
        </w:rPr>
        <w:t xml:space="preserve"> el concepto de residencia fiscal que se acoge en los convenios para evitar la doble imposición que nos puede ayudar a diseñar un modelo de tributación único superador de las barreras a la libre circulación en un mercado único.</w:t>
      </w:r>
      <w:r>
        <w:rPr>
          <w:rFonts w:cs="EUAlbertina"/>
          <w:color w:val="000000"/>
        </w:rPr>
        <w:t xml:space="preserve">  </w:t>
      </w:r>
    </w:p>
    <w:p w:rsidR="00D16207" w:rsidRDefault="00D16207" w:rsidP="00FB0D91">
      <w:pPr>
        <w:widowControl w:val="0"/>
        <w:autoSpaceDE w:val="0"/>
        <w:autoSpaceDN w:val="0"/>
        <w:adjustRightInd w:val="0"/>
        <w:spacing w:before="120"/>
        <w:jc w:val="both"/>
        <w:rPr>
          <w:rFonts w:cs="EUAlbertina"/>
          <w:color w:val="000000"/>
        </w:rPr>
      </w:pPr>
    </w:p>
    <w:p w:rsidR="00D16207" w:rsidRPr="002C29C9" w:rsidRDefault="002C29C9" w:rsidP="00FB0D91">
      <w:pPr>
        <w:widowControl w:val="0"/>
        <w:autoSpaceDE w:val="0"/>
        <w:autoSpaceDN w:val="0"/>
        <w:adjustRightInd w:val="0"/>
        <w:spacing w:before="120"/>
        <w:jc w:val="both"/>
        <w:rPr>
          <w:b/>
          <w:color w:val="000000"/>
        </w:rPr>
      </w:pPr>
      <w:r w:rsidRPr="002C29C9">
        <w:rPr>
          <w:rFonts w:cs="EUAlbertina"/>
          <w:b/>
          <w:color w:val="000000"/>
        </w:rPr>
        <w:t xml:space="preserve">VI. </w:t>
      </w:r>
      <w:r w:rsidR="00D16207" w:rsidRPr="002C29C9">
        <w:rPr>
          <w:rFonts w:cs="EUAlbertina"/>
          <w:b/>
          <w:color w:val="000000"/>
        </w:rPr>
        <w:t>TRIBU</w:t>
      </w:r>
      <w:r>
        <w:rPr>
          <w:rFonts w:cs="EUAlbertina"/>
          <w:b/>
          <w:color w:val="000000"/>
        </w:rPr>
        <w:t>TACIÓN EN EL ESTADO DE ORIGEN (</w:t>
      </w:r>
      <w:r w:rsidR="00D16207" w:rsidRPr="002C29C9">
        <w:rPr>
          <w:rFonts w:cs="EUAlbertina"/>
          <w:b/>
          <w:i/>
          <w:color w:val="000000"/>
        </w:rPr>
        <w:t>HOME STATE TAXATION</w:t>
      </w:r>
      <w:r w:rsidR="00D16207" w:rsidRPr="002C29C9">
        <w:rPr>
          <w:rFonts w:cs="EUAlbertina"/>
          <w:b/>
          <w:color w:val="000000"/>
        </w:rPr>
        <w:t>)</w:t>
      </w:r>
    </w:p>
    <w:p w:rsidR="00B7061D" w:rsidRDefault="00B7061D" w:rsidP="00FB0D91">
      <w:pPr>
        <w:widowControl w:val="0"/>
        <w:autoSpaceDE w:val="0"/>
        <w:autoSpaceDN w:val="0"/>
        <w:adjustRightInd w:val="0"/>
        <w:spacing w:before="120"/>
        <w:jc w:val="both"/>
        <w:rPr>
          <w:color w:val="000000"/>
        </w:rPr>
      </w:pPr>
    </w:p>
    <w:p w:rsidR="000865F7" w:rsidRDefault="00B7061D" w:rsidP="00FB0D91">
      <w:pPr>
        <w:widowControl w:val="0"/>
        <w:autoSpaceDE w:val="0"/>
        <w:autoSpaceDN w:val="0"/>
        <w:adjustRightInd w:val="0"/>
        <w:spacing w:before="120"/>
        <w:jc w:val="both"/>
        <w:rPr>
          <w:color w:val="000000"/>
        </w:rPr>
      </w:pPr>
      <w:r>
        <w:rPr>
          <w:color w:val="000000"/>
        </w:rPr>
        <w:t>En consecuencia, si existe una definición gen</w:t>
      </w:r>
      <w:r w:rsidR="002C29C9">
        <w:rPr>
          <w:color w:val="000000"/>
        </w:rPr>
        <w:t>érica equivalente en todos los E</w:t>
      </w:r>
      <w:r>
        <w:rPr>
          <w:color w:val="000000"/>
        </w:rPr>
        <w:t xml:space="preserve">stados miembros de residencia, si aplicamos un criterio de reciprocidad, que ya se da en distintos campos en materia de tributación (como podría ser el criterio de </w:t>
      </w:r>
      <w:r w:rsidRPr="002C29C9">
        <w:rPr>
          <w:i/>
          <w:color w:val="000000"/>
        </w:rPr>
        <w:t xml:space="preserve">Home </w:t>
      </w:r>
      <w:proofErr w:type="spellStart"/>
      <w:r w:rsidRPr="002C29C9">
        <w:rPr>
          <w:i/>
          <w:color w:val="000000"/>
        </w:rPr>
        <w:t>State</w:t>
      </w:r>
      <w:proofErr w:type="spellEnd"/>
      <w:r w:rsidRPr="002C29C9">
        <w:rPr>
          <w:i/>
          <w:color w:val="000000"/>
        </w:rPr>
        <w:t xml:space="preserve"> </w:t>
      </w:r>
      <w:proofErr w:type="spellStart"/>
      <w:r w:rsidRPr="002C29C9">
        <w:rPr>
          <w:i/>
          <w:color w:val="000000"/>
        </w:rPr>
        <w:t>Taxation</w:t>
      </w:r>
      <w:proofErr w:type="spellEnd"/>
      <w:r>
        <w:rPr>
          <w:color w:val="000000"/>
        </w:rPr>
        <w:t>)</w:t>
      </w:r>
      <w:r w:rsidR="000865F7">
        <w:rPr>
          <w:color w:val="000000"/>
        </w:rPr>
        <w:t>, se puede conseguir el efecto deseado de la tributación en un mercado único</w:t>
      </w:r>
      <w:r w:rsidR="008005C6">
        <w:rPr>
          <w:rStyle w:val="Refdenotaalpie"/>
          <w:color w:val="000000"/>
        </w:rPr>
        <w:footnoteReference w:id="22"/>
      </w:r>
      <w:r w:rsidR="000865F7">
        <w:rPr>
          <w:color w:val="000000"/>
        </w:rPr>
        <w:t xml:space="preserve">. </w:t>
      </w:r>
    </w:p>
    <w:p w:rsidR="00873DDC" w:rsidRDefault="00873DDC" w:rsidP="00FB0D91">
      <w:pPr>
        <w:widowControl w:val="0"/>
        <w:autoSpaceDE w:val="0"/>
        <w:autoSpaceDN w:val="0"/>
        <w:adjustRightInd w:val="0"/>
        <w:spacing w:before="120"/>
        <w:jc w:val="both"/>
        <w:rPr>
          <w:color w:val="000000"/>
        </w:rPr>
      </w:pPr>
    </w:p>
    <w:p w:rsidR="00873DDC" w:rsidRDefault="00E46B61" w:rsidP="00FB0D91">
      <w:pPr>
        <w:jc w:val="both"/>
        <w:rPr>
          <w:spacing w:val="-3"/>
        </w:rPr>
      </w:pPr>
      <w:r>
        <w:rPr>
          <w:spacing w:val="-3"/>
        </w:rPr>
        <w:t>Ya l</w:t>
      </w:r>
      <w:r w:rsidR="002C29C9">
        <w:rPr>
          <w:spacing w:val="-3"/>
        </w:rPr>
        <w:t>a propia R</w:t>
      </w:r>
      <w:r w:rsidR="00873DDC">
        <w:rPr>
          <w:spacing w:val="-3"/>
        </w:rPr>
        <w:t>ecomendación</w:t>
      </w:r>
      <w:r w:rsidR="002C29C9">
        <w:rPr>
          <w:spacing w:val="-3"/>
        </w:rPr>
        <w:t xml:space="preserve"> de 1994 a la que nos hemos referido a</w:t>
      </w:r>
      <w:r>
        <w:rPr>
          <w:spacing w:val="-3"/>
        </w:rPr>
        <w:t>l comienzo de este trabajo, venía a</w:t>
      </w:r>
      <w:r w:rsidR="00873DDC">
        <w:rPr>
          <w:spacing w:val="-3"/>
        </w:rPr>
        <w:t xml:space="preserve"> considera</w:t>
      </w:r>
      <w:r>
        <w:rPr>
          <w:spacing w:val="-3"/>
        </w:rPr>
        <w:t>r</w:t>
      </w:r>
      <w:r w:rsidR="00873DDC">
        <w:rPr>
          <w:spacing w:val="-3"/>
        </w:rPr>
        <w:t xml:space="preserve"> que los problemas de los trabajadores transfronterizos nunca serán de discriminación o de barrera a la libre circulación, pues a nivel de los propios convenios b</w:t>
      </w:r>
      <w:r>
        <w:rPr>
          <w:spacing w:val="-3"/>
        </w:rPr>
        <w:t>ilaterales suscritos entre los E</w:t>
      </w:r>
      <w:r w:rsidR="00873DDC">
        <w:rPr>
          <w:spacing w:val="-3"/>
        </w:rPr>
        <w:t>stados miembros se salvan esos problemas al atribuir el derecho exclusivo de someter a gravamen las ren</w:t>
      </w:r>
      <w:r>
        <w:rPr>
          <w:spacing w:val="-3"/>
        </w:rPr>
        <w:t>tas procedentes del trabajo al E</w:t>
      </w:r>
      <w:r w:rsidR="00873DDC">
        <w:rPr>
          <w:spacing w:val="-3"/>
        </w:rPr>
        <w:t>stado de residencia del trabaj</w:t>
      </w:r>
      <w:r>
        <w:rPr>
          <w:spacing w:val="-3"/>
        </w:rPr>
        <w:t>ador transfronterizo (y así la R</w:t>
      </w:r>
      <w:r w:rsidR="00873DDC">
        <w:rPr>
          <w:spacing w:val="-3"/>
        </w:rPr>
        <w:t>ecomendación menciona</w:t>
      </w:r>
      <w:r>
        <w:rPr>
          <w:spacing w:val="-3"/>
        </w:rPr>
        <w:t>ba</w:t>
      </w:r>
      <w:r w:rsidR="00873DDC">
        <w:rPr>
          <w:spacing w:val="-3"/>
        </w:rPr>
        <w:t xml:space="preserve"> ya en el año 1994 que de 26 relaciones bilaterales posibles, en 14 se prevé que la imposición se efectúe en el país de residencia y en 12 en el país donde se desarrolla la actividad). Y entonces viene a decir que únicamente cuando los trabajadores fronterizos están gravados en el país de residencia gozan de un trato no discriminatorio puesto que están sujetos al mismo régimen que los residentes</w:t>
      </w:r>
      <w:r>
        <w:rPr>
          <w:rStyle w:val="Refdenotaalpie"/>
          <w:spacing w:val="-3"/>
        </w:rPr>
        <w:footnoteReference w:id="23"/>
      </w:r>
      <w:r>
        <w:rPr>
          <w:spacing w:val="-3"/>
        </w:rPr>
        <w:t>. Por lo tanto, acogiendo la solución que se propone en este trabajo, aunque circunscrita a los trabajadores fronterizos.</w:t>
      </w:r>
    </w:p>
    <w:p w:rsidR="00873DDC" w:rsidRDefault="00873DDC" w:rsidP="00FB0D91">
      <w:pPr>
        <w:jc w:val="both"/>
        <w:rPr>
          <w:spacing w:val="-3"/>
        </w:rPr>
      </w:pPr>
    </w:p>
    <w:p w:rsidR="00873DDC" w:rsidRPr="00C04276" w:rsidRDefault="00E46B61" w:rsidP="00FB0D91">
      <w:pPr>
        <w:jc w:val="both"/>
        <w:rPr>
          <w:spacing w:val="-3"/>
        </w:rPr>
      </w:pPr>
      <w:r>
        <w:rPr>
          <w:spacing w:val="-3"/>
        </w:rPr>
        <w:t>Antes de esta Recomendación, l</w:t>
      </w:r>
      <w:r w:rsidR="00873DDC">
        <w:rPr>
          <w:spacing w:val="-3"/>
        </w:rPr>
        <w:t>a Comisión intentó poner remedio a las situaciones de discriminación mediante la presentación de una propuesta de Directiva sobre armonización de las disposiciones relativas al régimen tributario de las rentas, en conexión con la libertad de circulación de los trabajadores en el seno de la Comunidad</w:t>
      </w:r>
      <w:r w:rsidR="00873DDC">
        <w:rPr>
          <w:rStyle w:val="Refdenotaalpie"/>
          <w:spacing w:val="-3"/>
        </w:rPr>
        <w:footnoteReference w:id="24"/>
      </w:r>
      <w:r w:rsidR="00C04276">
        <w:rPr>
          <w:spacing w:val="-3"/>
        </w:rPr>
        <w:t>, de</w:t>
      </w:r>
      <w:r w:rsidR="00873DDC">
        <w:rPr>
          <w:spacing w:val="-3"/>
        </w:rPr>
        <w:t xml:space="preserve"> 21 de diciembre de 1979, </w:t>
      </w:r>
      <w:r w:rsidR="00C04276">
        <w:rPr>
          <w:spacing w:val="-3"/>
        </w:rPr>
        <w:t>sin embargo, esta medida normativa nunca se llegó a adoptar, y en su lugar se sustituyó por una Recomendación, precisamente porque algunos E</w:t>
      </w:r>
      <w:r w:rsidR="00873DDC">
        <w:rPr>
          <w:spacing w:val="-3"/>
        </w:rPr>
        <w:t>stados se oponían a la adopción de esta solución</w:t>
      </w:r>
      <w:r w:rsidR="00C04276">
        <w:rPr>
          <w:spacing w:val="-3"/>
        </w:rPr>
        <w:t xml:space="preserve"> a nivel comunitario, ya que</w:t>
      </w:r>
      <w:r w:rsidR="00873DDC">
        <w:rPr>
          <w:spacing w:val="-3"/>
        </w:rPr>
        <w:t xml:space="preserve"> consideraban que la solución para eliminar la doble imposición como causa de discriminación se tenía que abandonar </w:t>
      </w:r>
      <w:r w:rsidR="00C04276">
        <w:rPr>
          <w:spacing w:val="-3"/>
        </w:rPr>
        <w:t xml:space="preserve">a la suerte </w:t>
      </w:r>
      <w:r w:rsidR="00873DDC">
        <w:rPr>
          <w:spacing w:val="-3"/>
        </w:rPr>
        <w:t>de los convenios para evitar la doble imposición</w:t>
      </w:r>
      <w:r w:rsidR="00C04276">
        <w:rPr>
          <w:spacing w:val="-3"/>
        </w:rPr>
        <w:t xml:space="preserve">, y donde la regla general es la tributación compartida por los Estados, el país de residencia y el país donde se desempeña el trabajo, siendo que el país de residencia elimina la doble imposición que se pueda generar. </w:t>
      </w:r>
      <w:r w:rsidR="00873DDC">
        <w:rPr>
          <w:spacing w:val="-3"/>
        </w:rPr>
        <w:t xml:space="preserve">  </w:t>
      </w:r>
    </w:p>
    <w:p w:rsidR="00CD05C7" w:rsidRDefault="00CD05C7" w:rsidP="00FB0D91">
      <w:pPr>
        <w:widowControl w:val="0"/>
        <w:autoSpaceDE w:val="0"/>
        <w:autoSpaceDN w:val="0"/>
        <w:adjustRightInd w:val="0"/>
        <w:spacing w:before="120"/>
        <w:jc w:val="both"/>
        <w:rPr>
          <w:color w:val="000000"/>
        </w:rPr>
      </w:pPr>
    </w:p>
    <w:p w:rsidR="00CE6141" w:rsidRDefault="00C04276" w:rsidP="00FB0D91">
      <w:pPr>
        <w:widowControl w:val="0"/>
        <w:autoSpaceDE w:val="0"/>
        <w:autoSpaceDN w:val="0"/>
        <w:adjustRightInd w:val="0"/>
        <w:spacing w:before="120"/>
        <w:jc w:val="both"/>
        <w:rPr>
          <w:color w:val="000000"/>
        </w:rPr>
      </w:pPr>
      <w:r>
        <w:rPr>
          <w:color w:val="000000"/>
        </w:rPr>
        <w:t>Ahora bien, y frente a lo manifestado, el modelo que se propone en este trabajo es un modelo donde</w:t>
      </w:r>
      <w:r w:rsidR="00CD05C7">
        <w:rPr>
          <w:color w:val="000000"/>
        </w:rPr>
        <w:t xml:space="preserve"> la preferencia de la</w:t>
      </w:r>
      <w:r>
        <w:rPr>
          <w:color w:val="000000"/>
        </w:rPr>
        <w:t xml:space="preserve"> tributación se decanta por el E</w:t>
      </w:r>
      <w:r w:rsidR="00CD05C7">
        <w:rPr>
          <w:color w:val="000000"/>
        </w:rPr>
        <w:t xml:space="preserve">stado de residencia del trabajador, frente a la tónica </w:t>
      </w:r>
      <w:r w:rsidR="00CE6141">
        <w:rPr>
          <w:color w:val="000000"/>
        </w:rPr>
        <w:t>aceptada generalmente a nivel</w:t>
      </w:r>
      <w:r w:rsidR="00CD05C7">
        <w:rPr>
          <w:color w:val="000000"/>
        </w:rPr>
        <w:t xml:space="preserve"> inter</w:t>
      </w:r>
      <w:r>
        <w:rPr>
          <w:color w:val="000000"/>
        </w:rPr>
        <w:t>nacional, la tributación en el E</w:t>
      </w:r>
      <w:r w:rsidR="00CD05C7">
        <w:rPr>
          <w:color w:val="000000"/>
        </w:rPr>
        <w:t xml:space="preserve">stado </w:t>
      </w:r>
      <w:r w:rsidR="00CE6141">
        <w:rPr>
          <w:color w:val="000000"/>
        </w:rPr>
        <w:t xml:space="preserve">donde se desempeña el trabajo, </w:t>
      </w:r>
      <w:r>
        <w:rPr>
          <w:color w:val="000000"/>
        </w:rPr>
        <w:t>salvo que el desplazamiento al E</w:t>
      </w:r>
      <w:r w:rsidR="00CE6141">
        <w:rPr>
          <w:color w:val="000000"/>
        </w:rPr>
        <w:t>stado donde se prestan los servicios sea por un plazo temporal muy corto, que se concreta en el plazo de 183 días.</w:t>
      </w:r>
    </w:p>
    <w:p w:rsidR="00CE6141" w:rsidRDefault="00CE6141" w:rsidP="00FB0D91">
      <w:pPr>
        <w:widowControl w:val="0"/>
        <w:autoSpaceDE w:val="0"/>
        <w:autoSpaceDN w:val="0"/>
        <w:adjustRightInd w:val="0"/>
        <w:spacing w:before="120"/>
        <w:jc w:val="both"/>
        <w:rPr>
          <w:color w:val="000000"/>
        </w:rPr>
      </w:pPr>
    </w:p>
    <w:p w:rsidR="00CE6141" w:rsidRDefault="00CE6141" w:rsidP="00FB0D91">
      <w:pPr>
        <w:widowControl w:val="0"/>
        <w:autoSpaceDE w:val="0"/>
        <w:autoSpaceDN w:val="0"/>
        <w:adjustRightInd w:val="0"/>
        <w:spacing w:before="120"/>
        <w:jc w:val="both"/>
        <w:rPr>
          <w:color w:val="000000"/>
        </w:rPr>
      </w:pPr>
      <w:r>
        <w:rPr>
          <w:color w:val="000000"/>
        </w:rPr>
        <w:t xml:space="preserve">Es decir, sería la aplicación del mismo principio, el principio de residencia, que se aplica en la tributación de los rendimientos del ahorro en el seno de un mercado único, como es la Unión Europea, y que se encuentra </w:t>
      </w:r>
      <w:r w:rsidR="00354B9B">
        <w:rPr>
          <w:color w:val="000000"/>
        </w:rPr>
        <w:t>p</w:t>
      </w:r>
      <w:r>
        <w:rPr>
          <w:color w:val="000000"/>
        </w:rPr>
        <w:t>lasmado</w:t>
      </w:r>
      <w:r w:rsidR="00354B9B">
        <w:rPr>
          <w:color w:val="000000"/>
        </w:rPr>
        <w:t xml:space="preserve"> en la Directiva de la Fiscalidad del Ahorro</w:t>
      </w:r>
      <w:r w:rsidR="00D57329">
        <w:rPr>
          <w:color w:val="000000"/>
        </w:rPr>
        <w:t xml:space="preserve"> (Directiva 2003/48/CE)</w:t>
      </w:r>
      <w:r w:rsidR="00354B9B">
        <w:rPr>
          <w:color w:val="000000"/>
        </w:rPr>
        <w:t>, que se han modificado con fecha de</w:t>
      </w:r>
      <w:r w:rsidR="00D57329">
        <w:rPr>
          <w:color w:val="000000"/>
        </w:rPr>
        <w:t xml:space="preserve"> 24 de</w:t>
      </w:r>
      <w:r w:rsidR="00354B9B">
        <w:rPr>
          <w:color w:val="000000"/>
        </w:rPr>
        <w:t xml:space="preserve"> marzo de 2014</w:t>
      </w:r>
      <w:r w:rsidR="003946DA">
        <w:rPr>
          <w:rStyle w:val="Refdenotaalpie"/>
          <w:color w:val="000000"/>
        </w:rPr>
        <w:footnoteReference w:id="25"/>
      </w:r>
      <w:r w:rsidR="00D57329">
        <w:rPr>
          <w:color w:val="000000"/>
        </w:rPr>
        <w:t xml:space="preserve">. </w:t>
      </w:r>
    </w:p>
    <w:p w:rsidR="00D57329" w:rsidRDefault="00D57329" w:rsidP="00FB0D91">
      <w:pPr>
        <w:widowControl w:val="0"/>
        <w:autoSpaceDE w:val="0"/>
        <w:autoSpaceDN w:val="0"/>
        <w:adjustRightInd w:val="0"/>
        <w:spacing w:before="120"/>
        <w:jc w:val="both"/>
        <w:rPr>
          <w:color w:val="000000"/>
        </w:rPr>
      </w:pPr>
    </w:p>
    <w:p w:rsidR="00364454" w:rsidRDefault="00D57329" w:rsidP="00FB0D91">
      <w:pPr>
        <w:widowControl w:val="0"/>
        <w:autoSpaceDE w:val="0"/>
        <w:autoSpaceDN w:val="0"/>
        <w:adjustRightInd w:val="0"/>
        <w:spacing w:before="120"/>
        <w:jc w:val="both"/>
        <w:rPr>
          <w:color w:val="000000"/>
        </w:rPr>
      </w:pPr>
      <w:r>
        <w:rPr>
          <w:color w:val="000000"/>
        </w:rPr>
        <w:t xml:space="preserve">Y la piedra angular de este sistema, basado como acabamos de manifestar, en el principio de reciprocidad, sería el intercambio de información, que precisamente </w:t>
      </w:r>
      <w:r>
        <w:rPr>
          <w:color w:val="000000"/>
        </w:rPr>
        <w:lastRenderedPageBreak/>
        <w:t xml:space="preserve">siempre se ha utilizado como hecho </w:t>
      </w:r>
      <w:r w:rsidR="00C04276">
        <w:rPr>
          <w:color w:val="000000"/>
        </w:rPr>
        <w:t>normativo que impedía a los E</w:t>
      </w:r>
      <w:r w:rsidR="00DC4BB5">
        <w:rPr>
          <w:color w:val="000000"/>
        </w:rPr>
        <w:t xml:space="preserve">stados adoptar una legislación restrictiva para con </w:t>
      </w:r>
      <w:r w:rsidR="00463F51">
        <w:rPr>
          <w:color w:val="000000"/>
        </w:rPr>
        <w:t>los no residentes, es decir, que ha impedido que los Estados</w:t>
      </w:r>
      <w:r w:rsidR="00364454">
        <w:rPr>
          <w:color w:val="000000"/>
        </w:rPr>
        <w:t xml:space="preserve"> justificar</w:t>
      </w:r>
      <w:r w:rsidR="00463F51">
        <w:rPr>
          <w:color w:val="000000"/>
        </w:rPr>
        <w:t>an una norma que era</w:t>
      </w:r>
      <w:r w:rsidR="00364454">
        <w:rPr>
          <w:color w:val="000000"/>
        </w:rPr>
        <w:t xml:space="preserve"> restrictiva de la libertad fundamental de circulación de trabajadores.</w:t>
      </w:r>
    </w:p>
    <w:p w:rsidR="00364454" w:rsidRDefault="00364454" w:rsidP="00FB0D91">
      <w:pPr>
        <w:widowControl w:val="0"/>
        <w:autoSpaceDE w:val="0"/>
        <w:autoSpaceDN w:val="0"/>
        <w:adjustRightInd w:val="0"/>
        <w:spacing w:before="120"/>
        <w:jc w:val="both"/>
        <w:rPr>
          <w:color w:val="000000"/>
        </w:rPr>
      </w:pPr>
    </w:p>
    <w:p w:rsidR="00364454" w:rsidRDefault="00364454" w:rsidP="00FB0D91">
      <w:pPr>
        <w:widowControl w:val="0"/>
        <w:autoSpaceDE w:val="0"/>
        <w:autoSpaceDN w:val="0"/>
        <w:adjustRightInd w:val="0"/>
        <w:spacing w:before="120"/>
        <w:jc w:val="both"/>
        <w:rPr>
          <w:color w:val="000000"/>
        </w:rPr>
      </w:pPr>
      <w:r>
        <w:rPr>
          <w:color w:val="000000"/>
        </w:rPr>
        <w:t>La re</w:t>
      </w:r>
      <w:r w:rsidR="00787028">
        <w:rPr>
          <w:color w:val="000000"/>
        </w:rPr>
        <w:t>ciprocidad</w:t>
      </w:r>
      <w:r w:rsidR="00463F51">
        <w:rPr>
          <w:color w:val="000000"/>
        </w:rPr>
        <w:t xml:space="preserve"> implica que los E</w:t>
      </w:r>
      <w:r>
        <w:rPr>
          <w:color w:val="000000"/>
        </w:rPr>
        <w:t xml:space="preserve">stados renuncian a someter a tributación las rentas que se generan en su territorio por trabajos realizados en él, pero que se verá compensado por el sometimiento a tributación de sus residentes (en el sentido que le hemos dado anteriormente) que trabajan en otros países de la Unión Europea. </w:t>
      </w:r>
    </w:p>
    <w:p w:rsidR="00364454" w:rsidRDefault="00364454" w:rsidP="00FB0D91">
      <w:pPr>
        <w:widowControl w:val="0"/>
        <w:autoSpaceDE w:val="0"/>
        <w:autoSpaceDN w:val="0"/>
        <w:adjustRightInd w:val="0"/>
        <w:spacing w:before="120"/>
        <w:jc w:val="both"/>
        <w:rPr>
          <w:color w:val="000000"/>
        </w:rPr>
      </w:pPr>
    </w:p>
    <w:p w:rsidR="009842E9" w:rsidRDefault="00364454" w:rsidP="00FB0D91">
      <w:pPr>
        <w:widowControl w:val="0"/>
        <w:autoSpaceDE w:val="0"/>
        <w:autoSpaceDN w:val="0"/>
        <w:adjustRightInd w:val="0"/>
        <w:spacing w:before="120"/>
        <w:jc w:val="both"/>
        <w:rPr>
          <w:color w:val="000000"/>
        </w:rPr>
      </w:pPr>
      <w:r>
        <w:rPr>
          <w:color w:val="000000"/>
        </w:rPr>
        <w:t>Es decir, si</w:t>
      </w:r>
      <w:r w:rsidR="009842E9">
        <w:rPr>
          <w:color w:val="000000"/>
        </w:rPr>
        <w:t xml:space="preserve"> la justificación de la deducción</w:t>
      </w:r>
      <w:r w:rsidR="00463F51">
        <w:rPr>
          <w:color w:val="000000"/>
        </w:rPr>
        <w:t xml:space="preserve"> de un gasto de personal en el E</w:t>
      </w:r>
      <w:r w:rsidR="009842E9">
        <w:rPr>
          <w:color w:val="000000"/>
        </w:rPr>
        <w:t>stado donde se encuentra operando una sociedad, bien porque está constituida allí, bien porque tiene un est</w:t>
      </w:r>
      <w:r w:rsidR="00463F51">
        <w:rPr>
          <w:color w:val="000000"/>
        </w:rPr>
        <w:t>ablecimiento permanente en ese E</w:t>
      </w:r>
      <w:r w:rsidR="009842E9">
        <w:rPr>
          <w:color w:val="000000"/>
        </w:rPr>
        <w:t>stado, es que esas rentas (vista desde la vertiente del trabajador) s</w:t>
      </w:r>
      <w:r w:rsidR="00463F51">
        <w:rPr>
          <w:color w:val="000000"/>
        </w:rPr>
        <w:t>e someten a tributación en ese E</w:t>
      </w:r>
      <w:r w:rsidR="009842E9">
        <w:rPr>
          <w:color w:val="000000"/>
        </w:rPr>
        <w:t>stado, quizá no se encuentre revestida de una lógica aplastante que impida la adopción de otro criterio, como es el de permitir el gasto de personal a nivel de la sociedad siempre que se comunique mediante los procedimientos de intercambio de informa</w:t>
      </w:r>
      <w:r w:rsidR="00463F51">
        <w:rPr>
          <w:color w:val="000000"/>
        </w:rPr>
        <w:t>ción las rentas del trabajo al E</w:t>
      </w:r>
      <w:r w:rsidR="009842E9">
        <w:rPr>
          <w:color w:val="000000"/>
        </w:rPr>
        <w:t xml:space="preserve">stado donde es residente el trabajador, y así evitar problemas de </w:t>
      </w:r>
      <w:proofErr w:type="spellStart"/>
      <w:r w:rsidR="009842E9">
        <w:rPr>
          <w:color w:val="000000"/>
        </w:rPr>
        <w:t>desimposición</w:t>
      </w:r>
      <w:proofErr w:type="spellEnd"/>
      <w:r w:rsidR="009842E9">
        <w:rPr>
          <w:color w:val="000000"/>
        </w:rPr>
        <w:t xml:space="preserve"> absoluta.</w:t>
      </w:r>
    </w:p>
    <w:p w:rsidR="004B6A48" w:rsidRDefault="004B6A48" w:rsidP="00FB0D91">
      <w:pPr>
        <w:widowControl w:val="0"/>
        <w:autoSpaceDE w:val="0"/>
        <w:autoSpaceDN w:val="0"/>
        <w:adjustRightInd w:val="0"/>
        <w:spacing w:before="120"/>
        <w:jc w:val="both"/>
        <w:rPr>
          <w:color w:val="000000"/>
        </w:rPr>
      </w:pPr>
    </w:p>
    <w:p w:rsidR="008005C6" w:rsidRDefault="009842E9" w:rsidP="00FB0D91">
      <w:pPr>
        <w:widowControl w:val="0"/>
        <w:autoSpaceDE w:val="0"/>
        <w:autoSpaceDN w:val="0"/>
        <w:adjustRightInd w:val="0"/>
        <w:spacing w:before="120"/>
        <w:jc w:val="both"/>
        <w:rPr>
          <w:color w:val="000000"/>
        </w:rPr>
      </w:pPr>
      <w:r>
        <w:rPr>
          <w:color w:val="000000"/>
        </w:rPr>
        <w:t>El régimen de tributación</w:t>
      </w:r>
      <w:r w:rsidR="008005C6">
        <w:rPr>
          <w:color w:val="000000"/>
        </w:rPr>
        <w:t xml:space="preserve"> exclusivamente</w:t>
      </w:r>
      <w:r>
        <w:rPr>
          <w:color w:val="000000"/>
        </w:rPr>
        <w:t xml:space="preserve"> en e</w:t>
      </w:r>
      <w:r w:rsidR="00787028">
        <w:rPr>
          <w:color w:val="000000"/>
        </w:rPr>
        <w:t>l E</w:t>
      </w:r>
      <w:r>
        <w:rPr>
          <w:color w:val="000000"/>
        </w:rPr>
        <w:t>st</w:t>
      </w:r>
      <w:r w:rsidR="008005C6">
        <w:rPr>
          <w:color w:val="000000"/>
        </w:rPr>
        <w:t>ado de residencia evitaría los problemas de aplicación que se dan con el artículo 15 del MCDI OCDE al</w:t>
      </w:r>
      <w:r w:rsidR="00916D47">
        <w:rPr>
          <w:color w:val="000000"/>
        </w:rPr>
        <w:t xml:space="preserve"> que posteriormente me referiré, y todos aquellos regímenes de extensión de residencia que se recogen en las</w:t>
      </w:r>
      <w:r w:rsidR="00463F51">
        <w:rPr>
          <w:color w:val="000000"/>
        </w:rPr>
        <w:t xml:space="preserve"> normativas internas de varios E</w:t>
      </w:r>
      <w:r w:rsidR="00916D47">
        <w:rPr>
          <w:color w:val="000000"/>
        </w:rPr>
        <w:t>stados con la finalidad de evitar evasión de impuestos por los contribuyentes</w:t>
      </w:r>
      <w:r w:rsidR="00787028">
        <w:rPr>
          <w:rStyle w:val="Refdenotaalpie"/>
          <w:color w:val="000000"/>
        </w:rPr>
        <w:footnoteReference w:id="26"/>
      </w:r>
      <w:r w:rsidR="00916D47">
        <w:rPr>
          <w:color w:val="000000"/>
        </w:rPr>
        <w:t xml:space="preserve">. </w:t>
      </w:r>
    </w:p>
    <w:p w:rsidR="008005C6" w:rsidRDefault="008005C6" w:rsidP="00FB0D91">
      <w:pPr>
        <w:widowControl w:val="0"/>
        <w:autoSpaceDE w:val="0"/>
        <w:autoSpaceDN w:val="0"/>
        <w:adjustRightInd w:val="0"/>
        <w:spacing w:before="120"/>
        <w:jc w:val="both"/>
        <w:rPr>
          <w:color w:val="000000"/>
        </w:rPr>
      </w:pPr>
    </w:p>
    <w:p w:rsidR="00D57329" w:rsidRDefault="008005C6" w:rsidP="00FB0D91">
      <w:pPr>
        <w:widowControl w:val="0"/>
        <w:autoSpaceDE w:val="0"/>
        <w:autoSpaceDN w:val="0"/>
        <w:adjustRightInd w:val="0"/>
        <w:spacing w:before="120"/>
        <w:jc w:val="both"/>
        <w:rPr>
          <w:color w:val="000000"/>
        </w:rPr>
      </w:pPr>
      <w:r>
        <w:rPr>
          <w:color w:val="000000"/>
        </w:rPr>
        <w:t>En definitiva, el modelo de tributación que se está proponi</w:t>
      </w:r>
      <w:r w:rsidR="00463F51">
        <w:rPr>
          <w:color w:val="000000"/>
        </w:rPr>
        <w:t>endo es un modelo propio de un E</w:t>
      </w:r>
      <w:r>
        <w:rPr>
          <w:color w:val="000000"/>
        </w:rPr>
        <w:t>stado federal o de administraciones territoriales altamente descentralizadas.</w:t>
      </w:r>
      <w:r w:rsidR="009842E9">
        <w:rPr>
          <w:color w:val="000000"/>
        </w:rPr>
        <w:t xml:space="preserve"> </w:t>
      </w:r>
      <w:r w:rsidR="00364454">
        <w:rPr>
          <w:color w:val="000000"/>
        </w:rPr>
        <w:t xml:space="preserve">   </w:t>
      </w:r>
    </w:p>
    <w:p w:rsidR="008005C6" w:rsidRDefault="008005C6" w:rsidP="00FB0D91">
      <w:pPr>
        <w:widowControl w:val="0"/>
        <w:autoSpaceDE w:val="0"/>
        <w:autoSpaceDN w:val="0"/>
        <w:adjustRightInd w:val="0"/>
        <w:spacing w:before="120"/>
        <w:jc w:val="both"/>
        <w:rPr>
          <w:color w:val="000000"/>
        </w:rPr>
      </w:pPr>
    </w:p>
    <w:p w:rsidR="000865F7" w:rsidRDefault="000865F7" w:rsidP="00FB0D91">
      <w:pPr>
        <w:widowControl w:val="0"/>
        <w:autoSpaceDE w:val="0"/>
        <w:autoSpaceDN w:val="0"/>
        <w:adjustRightInd w:val="0"/>
        <w:spacing w:before="120"/>
        <w:jc w:val="both"/>
        <w:rPr>
          <w:color w:val="000000"/>
        </w:rPr>
      </w:pPr>
      <w:r>
        <w:rPr>
          <w:color w:val="000000"/>
        </w:rPr>
        <w:t>Por ello quizá sea oportuno conocer la tributación de trabajadore</w:t>
      </w:r>
      <w:r w:rsidR="00787028">
        <w:rPr>
          <w:color w:val="000000"/>
        </w:rPr>
        <w:t>s desplazados en el seno de un E</w:t>
      </w:r>
      <w:r>
        <w:rPr>
          <w:color w:val="000000"/>
        </w:rPr>
        <w:t>stado federal que otorga competencias</w:t>
      </w:r>
      <w:r w:rsidR="00787028">
        <w:rPr>
          <w:color w:val="000000"/>
        </w:rPr>
        <w:t xml:space="preserve"> tributarias a cada uno de los E</w:t>
      </w:r>
      <w:r>
        <w:rPr>
          <w:color w:val="000000"/>
        </w:rPr>
        <w:t>stados que conforman la federación, y como se consigue ese objetivo de tributación en un mercado único, como podría ser el caso de España.</w:t>
      </w:r>
    </w:p>
    <w:p w:rsidR="002754EE" w:rsidRDefault="002754EE" w:rsidP="00FB0D91">
      <w:pPr>
        <w:widowControl w:val="0"/>
        <w:autoSpaceDE w:val="0"/>
        <w:autoSpaceDN w:val="0"/>
        <w:adjustRightInd w:val="0"/>
        <w:spacing w:before="120"/>
        <w:jc w:val="both"/>
        <w:rPr>
          <w:color w:val="000000"/>
        </w:rPr>
      </w:pPr>
    </w:p>
    <w:p w:rsidR="00302CF9" w:rsidRDefault="002754EE" w:rsidP="00FB0D91">
      <w:pPr>
        <w:widowControl w:val="0"/>
        <w:autoSpaceDE w:val="0"/>
        <w:autoSpaceDN w:val="0"/>
        <w:adjustRightInd w:val="0"/>
        <w:spacing w:before="120"/>
        <w:jc w:val="both"/>
        <w:rPr>
          <w:color w:val="000000"/>
        </w:rPr>
      </w:pPr>
      <w:r>
        <w:rPr>
          <w:color w:val="000000"/>
        </w:rPr>
        <w:t>Por ejemplo, en España el cri</w:t>
      </w:r>
      <w:r w:rsidR="00E03302">
        <w:rPr>
          <w:color w:val="000000"/>
        </w:rPr>
        <w:t>terio determinante para atribuir</w:t>
      </w:r>
      <w:r>
        <w:rPr>
          <w:color w:val="000000"/>
        </w:rPr>
        <w:t xml:space="preserve"> la residencia de un</w:t>
      </w:r>
      <w:r w:rsidR="00E03302">
        <w:rPr>
          <w:color w:val="000000"/>
        </w:rPr>
        <w:t>a persona a</w:t>
      </w:r>
      <w:r>
        <w:rPr>
          <w:color w:val="000000"/>
        </w:rPr>
        <w:t xml:space="preserve"> una Comunidad Autónoma desde el punto de vista del Impuesto sobre la Renta de las Personas Físicas es la vivienda habitual, en el sentido de vivienda permanente, pues para que se considere habitual la legislación española requiere una permanencia de tres años, pues de lo contrario no se considera habitual. Es decir, la permanencia</w:t>
      </w:r>
      <w:r w:rsidR="008E146F">
        <w:rPr>
          <w:rStyle w:val="Refdenotaalpie"/>
          <w:color w:val="000000"/>
        </w:rPr>
        <w:footnoteReference w:id="27"/>
      </w:r>
      <w:r>
        <w:rPr>
          <w:color w:val="000000"/>
        </w:rPr>
        <w:t xml:space="preserve"> se equipara a esa intención de permanecer tres años, que no </w:t>
      </w:r>
      <w:r>
        <w:rPr>
          <w:color w:val="000000"/>
        </w:rPr>
        <w:lastRenderedPageBreak/>
        <w:t>necesariamente tiene que ir acompañada con criterios objetivos de efectiva residencia.</w:t>
      </w:r>
      <w:r w:rsidR="00E03302">
        <w:rPr>
          <w:color w:val="000000"/>
        </w:rPr>
        <w:t xml:space="preserve"> Por lo tanto, el rendimiento o la recaudación de un impuesto como es el impuesto sobre la renta de las personas físicas se asigna a la comunidad autónoma donde se encuentra la vivienda habitual, que es entonces la comunidad autónoma de residencia de una persona física, siendo la residencia el punto de conexión. </w:t>
      </w:r>
      <w:r>
        <w:rPr>
          <w:color w:val="000000"/>
        </w:rPr>
        <w:t xml:space="preserve"> </w:t>
      </w:r>
    </w:p>
    <w:p w:rsidR="0063012E" w:rsidRDefault="0063012E" w:rsidP="00FB0D91">
      <w:pPr>
        <w:widowControl w:val="0"/>
        <w:autoSpaceDE w:val="0"/>
        <w:autoSpaceDN w:val="0"/>
        <w:adjustRightInd w:val="0"/>
        <w:spacing w:before="120"/>
        <w:jc w:val="both"/>
        <w:rPr>
          <w:color w:val="000000"/>
        </w:rPr>
      </w:pPr>
    </w:p>
    <w:p w:rsidR="0063012E" w:rsidRDefault="0063012E" w:rsidP="00FB0D91">
      <w:pPr>
        <w:widowControl w:val="0"/>
        <w:autoSpaceDE w:val="0"/>
        <w:autoSpaceDN w:val="0"/>
        <w:adjustRightInd w:val="0"/>
        <w:spacing w:before="120"/>
        <w:jc w:val="both"/>
        <w:rPr>
          <w:color w:val="000000"/>
        </w:rPr>
      </w:pPr>
      <w:r>
        <w:rPr>
          <w:color w:val="000000"/>
        </w:rPr>
        <w:t>Dentro de est</w:t>
      </w:r>
      <w:r w:rsidR="00787028">
        <w:rPr>
          <w:color w:val="000000"/>
        </w:rPr>
        <w:t>e esquema de tributación en el E</w:t>
      </w:r>
      <w:r>
        <w:rPr>
          <w:color w:val="000000"/>
        </w:rPr>
        <w:t xml:space="preserve">stado de residencia de la persona física, a efectos de conseguir una tributación equitativa sí habría que contemplar una serie de beneficios fiscales para la persona que por razón de su trabajo, que tiene que desempeñar fuera de su lugar de residencia, incurre en una serie de gastos de locomoción, manutención y hospedaje, que son compensados por el empleador mediante dietas, y que se consideran exentas o libres de impuestos. Y esta exención, como ya hemos visto en Holanda, aunque allí se analiza desde la vertiente del impatriado pero que, a nuestro juicio, sería desde la vertiente del expatriado, no tendría que tener justificación, sino que podría ser una cuantía a tanto alzado. </w:t>
      </w:r>
    </w:p>
    <w:p w:rsidR="0063012E" w:rsidRDefault="0063012E" w:rsidP="00FB0D91">
      <w:pPr>
        <w:widowControl w:val="0"/>
        <w:autoSpaceDE w:val="0"/>
        <w:autoSpaceDN w:val="0"/>
        <w:adjustRightInd w:val="0"/>
        <w:spacing w:before="120"/>
        <w:jc w:val="both"/>
        <w:rPr>
          <w:color w:val="000000"/>
        </w:rPr>
      </w:pPr>
    </w:p>
    <w:p w:rsidR="00C82F38" w:rsidRPr="00C82F38" w:rsidRDefault="0063012E" w:rsidP="00FB0D91">
      <w:pPr>
        <w:widowControl w:val="0"/>
        <w:autoSpaceDE w:val="0"/>
        <w:autoSpaceDN w:val="0"/>
        <w:adjustRightInd w:val="0"/>
        <w:jc w:val="both"/>
        <w:rPr>
          <w:color w:val="000000"/>
        </w:rPr>
      </w:pPr>
      <w:r>
        <w:rPr>
          <w:color w:val="000000"/>
        </w:rPr>
        <w:t>Esta figura está perfectamente contemplada en nuestra actual normativa</w:t>
      </w:r>
      <w:r w:rsidR="002C5748">
        <w:rPr>
          <w:color w:val="000000"/>
        </w:rPr>
        <w:t>, aunque requeriría alguna modificación menor</w:t>
      </w:r>
      <w:r>
        <w:rPr>
          <w:color w:val="000000"/>
        </w:rPr>
        <w:t xml:space="preserve">. </w:t>
      </w:r>
      <w:r w:rsidR="00C82F38" w:rsidRPr="00C82F38">
        <w:rPr>
          <w:color w:val="000000"/>
        </w:rPr>
        <w:t>Si el trabajador una vez desplazado, mantiene la condición de contribuyente a efectos del IRPF conforme a alguno de los criterios anteriores, tributará en España por su renta mundial y las remuneraciones percibidas por el trabajo desarrollado en el otro país podrán estar exentas de tributación en España si se cumplen todos y cada uno de los requisitos establecidos en el artículo 7 p) de la LIRPF. En caso contrario, si no mantiene tal condición, tributará en España por el Impuesto de la Renta de no Residentes (IRNR) y sólo por las rentas obtenidas en territorio español.</w:t>
      </w:r>
    </w:p>
    <w:p w:rsidR="002C5748" w:rsidRDefault="002C5748" w:rsidP="00FB0D91">
      <w:pPr>
        <w:widowControl w:val="0"/>
        <w:autoSpaceDE w:val="0"/>
        <w:autoSpaceDN w:val="0"/>
        <w:adjustRightInd w:val="0"/>
        <w:spacing w:before="120"/>
        <w:jc w:val="both"/>
        <w:rPr>
          <w:color w:val="000000"/>
        </w:rPr>
      </w:pPr>
    </w:p>
    <w:p w:rsidR="0020269B" w:rsidRDefault="00C82F38" w:rsidP="00FB0D91">
      <w:pPr>
        <w:widowControl w:val="0"/>
        <w:autoSpaceDE w:val="0"/>
        <w:autoSpaceDN w:val="0"/>
        <w:adjustRightInd w:val="0"/>
        <w:spacing w:before="120"/>
        <w:jc w:val="both"/>
        <w:rPr>
          <w:color w:val="000000"/>
        </w:rPr>
      </w:pPr>
      <w:r w:rsidRPr="00C82F38">
        <w:rPr>
          <w:color w:val="000000"/>
        </w:rPr>
        <w:t xml:space="preserve">Así pues, la LIRPF declara exentas de tributación </w:t>
      </w:r>
      <w:r w:rsidR="008835D4">
        <w:rPr>
          <w:color w:val="000000"/>
        </w:rPr>
        <w:t>en la letra p) de su artículo 7</w:t>
      </w:r>
      <w:r w:rsidRPr="00C82F38">
        <w:rPr>
          <w:color w:val="000000"/>
        </w:rPr>
        <w:t xml:space="preserve"> los rendimientos del trabajo percibidos por trabajos efectivamente realizados en el extranjero, cuando conc</w:t>
      </w:r>
      <w:r w:rsidR="0020269B">
        <w:rPr>
          <w:color w:val="000000"/>
        </w:rPr>
        <w:t xml:space="preserve">urran los siguientes requisitos, que se plasman en términos generales, es decir no de un modo riguroso: que los trabajos se presten efectivamente en el extranjero; que las rentas se sometan a un impuesto de naturaleza idéntica o análoga al impuesto español que grava la renta, y ello se presumirá cuando los trabajos se presten en un país que tenga suscrito con España convenio para evitar la doble imposición en materia del impuesto sobre la renta. </w:t>
      </w:r>
    </w:p>
    <w:p w:rsidR="0020269B" w:rsidRDefault="0020269B" w:rsidP="00FB0D91">
      <w:pPr>
        <w:widowControl w:val="0"/>
        <w:autoSpaceDE w:val="0"/>
        <w:autoSpaceDN w:val="0"/>
        <w:adjustRightInd w:val="0"/>
        <w:spacing w:before="120"/>
        <w:jc w:val="both"/>
        <w:rPr>
          <w:color w:val="000000"/>
        </w:rPr>
      </w:pPr>
    </w:p>
    <w:p w:rsidR="00C82F38" w:rsidRPr="00C82F38" w:rsidRDefault="00C82F38" w:rsidP="00FB0D91">
      <w:pPr>
        <w:widowControl w:val="0"/>
        <w:autoSpaceDE w:val="0"/>
        <w:autoSpaceDN w:val="0"/>
        <w:adjustRightInd w:val="0"/>
        <w:spacing w:before="120"/>
        <w:jc w:val="both"/>
        <w:rPr>
          <w:color w:val="000000"/>
        </w:rPr>
      </w:pPr>
      <w:r w:rsidRPr="00C82F38">
        <w:rPr>
          <w:color w:val="000000"/>
        </w:rPr>
        <w:t>La exención se aplicará a las retribuciones devengadas durante los días de estancia en el extranjero, con el límite máximo de 60.100 euros anuales. Reglamentariamente podrá establecerse el procedimiento para calcular el importe diario exento.</w:t>
      </w:r>
    </w:p>
    <w:p w:rsidR="004B6A48" w:rsidRDefault="004B6A48" w:rsidP="00FB0D91">
      <w:pPr>
        <w:widowControl w:val="0"/>
        <w:autoSpaceDE w:val="0"/>
        <w:autoSpaceDN w:val="0"/>
        <w:adjustRightInd w:val="0"/>
        <w:spacing w:before="120"/>
        <w:jc w:val="both"/>
        <w:rPr>
          <w:color w:val="000000"/>
        </w:rPr>
      </w:pPr>
    </w:p>
    <w:p w:rsidR="00C82F38" w:rsidRDefault="00C82F38" w:rsidP="00FB0D91">
      <w:pPr>
        <w:widowControl w:val="0"/>
        <w:autoSpaceDE w:val="0"/>
        <w:autoSpaceDN w:val="0"/>
        <w:adjustRightInd w:val="0"/>
        <w:spacing w:before="120"/>
        <w:jc w:val="both"/>
        <w:rPr>
          <w:color w:val="000000"/>
        </w:rPr>
      </w:pPr>
      <w:r w:rsidRPr="00C82F38">
        <w:rPr>
          <w:color w:val="000000"/>
        </w:rPr>
        <w:t>Esta exención será incompatible, para los contribuyentes destinados en el extranjero, con el régimen de excesos excluidos de tributación p</w:t>
      </w:r>
      <w:r w:rsidR="0020269B">
        <w:rPr>
          <w:color w:val="000000"/>
        </w:rPr>
        <w:t>revisto en el reglamento del</w:t>
      </w:r>
      <w:r w:rsidRPr="00C82F38">
        <w:rPr>
          <w:color w:val="000000"/>
        </w:rPr>
        <w:t xml:space="preserve"> impuesto, cualquiera que sea su importe. El contribuyente podrá optar por la aplicación del régimen de excesos e</w:t>
      </w:r>
      <w:r w:rsidR="0020269B">
        <w:rPr>
          <w:color w:val="000000"/>
        </w:rPr>
        <w:t>n sustitución de esta exención.</w:t>
      </w:r>
    </w:p>
    <w:p w:rsidR="008C352F" w:rsidRDefault="008C352F" w:rsidP="00FB0D91">
      <w:pPr>
        <w:widowControl w:val="0"/>
        <w:autoSpaceDE w:val="0"/>
        <w:autoSpaceDN w:val="0"/>
        <w:adjustRightInd w:val="0"/>
        <w:spacing w:before="120"/>
        <w:jc w:val="both"/>
        <w:rPr>
          <w:color w:val="000000"/>
        </w:rPr>
      </w:pPr>
    </w:p>
    <w:p w:rsidR="008C352F" w:rsidRDefault="008C352F" w:rsidP="00FB0D91">
      <w:pPr>
        <w:widowControl w:val="0"/>
        <w:autoSpaceDE w:val="0"/>
        <w:autoSpaceDN w:val="0"/>
        <w:adjustRightInd w:val="0"/>
        <w:spacing w:before="120"/>
        <w:jc w:val="both"/>
        <w:rPr>
          <w:color w:val="000000"/>
        </w:rPr>
      </w:pPr>
      <w:r>
        <w:rPr>
          <w:color w:val="000000"/>
        </w:rPr>
        <w:t xml:space="preserve">Es decir, la solución, desde mi punto de vista, tendría que ir por el camino de sometimiento exclusivamente en el país de residencia (por lo tanto, no haciendo </w:t>
      </w:r>
      <w:r>
        <w:rPr>
          <w:color w:val="000000"/>
        </w:rPr>
        <w:lastRenderedPageBreak/>
        <w:t xml:space="preserve">depender cualquier beneficio fiscal de </w:t>
      </w:r>
      <w:r w:rsidR="006D7C95">
        <w:rPr>
          <w:color w:val="000000"/>
        </w:rPr>
        <w:t>sus efectiva tributación en el E</w:t>
      </w:r>
      <w:r>
        <w:rPr>
          <w:color w:val="000000"/>
        </w:rPr>
        <w:t>stado de la fuente, como acontece actualmente</w:t>
      </w:r>
      <w:r w:rsidR="006D7C95">
        <w:rPr>
          <w:rStyle w:val="Refdenotaalpie"/>
          <w:color w:val="000000"/>
        </w:rPr>
        <w:footnoteReference w:id="28"/>
      </w:r>
      <w:r>
        <w:rPr>
          <w:color w:val="000000"/>
        </w:rPr>
        <w:t>), y otorgando un régimen de exención a tanto alzado, y en consecuencia, sin necesidad de justificar los gastos extraordinarios en los que incurre el trabajador en el exterior y que por ello justifica una mayor retribución de la que le correspondería si el trabajo se desempeñase exclusivamente en territorio de residencia.</w:t>
      </w:r>
    </w:p>
    <w:p w:rsidR="008005C6" w:rsidRDefault="008005C6" w:rsidP="00FB0D91">
      <w:pPr>
        <w:widowControl w:val="0"/>
        <w:autoSpaceDE w:val="0"/>
        <w:autoSpaceDN w:val="0"/>
        <w:adjustRightInd w:val="0"/>
        <w:spacing w:before="120"/>
        <w:jc w:val="both"/>
        <w:rPr>
          <w:color w:val="000000"/>
        </w:rPr>
      </w:pPr>
    </w:p>
    <w:p w:rsidR="00ED2FF8" w:rsidRPr="006D7C95" w:rsidRDefault="006D7C95" w:rsidP="00FB0D91">
      <w:pPr>
        <w:widowControl w:val="0"/>
        <w:autoSpaceDE w:val="0"/>
        <w:autoSpaceDN w:val="0"/>
        <w:adjustRightInd w:val="0"/>
        <w:spacing w:before="120"/>
        <w:jc w:val="both"/>
        <w:rPr>
          <w:b/>
          <w:color w:val="000000"/>
        </w:rPr>
      </w:pPr>
      <w:r w:rsidRPr="006D7C95">
        <w:rPr>
          <w:b/>
          <w:color w:val="000000"/>
        </w:rPr>
        <w:t xml:space="preserve">VII. </w:t>
      </w:r>
      <w:r w:rsidR="00ED2FF8" w:rsidRPr="006D7C95">
        <w:rPr>
          <w:b/>
          <w:color w:val="000000"/>
        </w:rPr>
        <w:t>ELIMINACIÓN DE LOS TRASLADOS DE RESIDENCIA</w:t>
      </w:r>
    </w:p>
    <w:p w:rsidR="008005C6" w:rsidRDefault="008005C6" w:rsidP="00FB0D91">
      <w:pPr>
        <w:widowControl w:val="0"/>
        <w:autoSpaceDE w:val="0"/>
        <w:autoSpaceDN w:val="0"/>
        <w:adjustRightInd w:val="0"/>
        <w:spacing w:before="120"/>
        <w:jc w:val="both"/>
        <w:rPr>
          <w:color w:val="000000"/>
        </w:rPr>
      </w:pPr>
    </w:p>
    <w:p w:rsidR="00414A9F" w:rsidRDefault="00414A9F" w:rsidP="00FB0D91">
      <w:pPr>
        <w:widowControl w:val="0"/>
        <w:autoSpaceDE w:val="0"/>
        <w:autoSpaceDN w:val="0"/>
        <w:adjustRightInd w:val="0"/>
        <w:spacing w:before="120"/>
        <w:jc w:val="both"/>
        <w:rPr>
          <w:color w:val="000000"/>
        </w:rPr>
      </w:pPr>
      <w:r>
        <w:rPr>
          <w:color w:val="000000"/>
        </w:rPr>
        <w:t xml:space="preserve">Como consecuencia de todo lo </w:t>
      </w:r>
      <w:r w:rsidR="00302CF9">
        <w:rPr>
          <w:color w:val="000000"/>
        </w:rPr>
        <w:t>expuesto, ya no sería necesario que se recogiese en las le</w:t>
      </w:r>
      <w:r w:rsidR="006D7C95">
        <w:rPr>
          <w:color w:val="000000"/>
        </w:rPr>
        <w:t>gislaciones de los respectivos E</w:t>
      </w:r>
      <w:r w:rsidR="00302CF9">
        <w:rPr>
          <w:color w:val="000000"/>
        </w:rPr>
        <w:t xml:space="preserve">stados miembros </w:t>
      </w:r>
      <w:r w:rsidR="008E7435">
        <w:rPr>
          <w:color w:val="000000"/>
        </w:rPr>
        <w:t xml:space="preserve">instituciones como los denominados </w:t>
      </w:r>
      <w:r w:rsidR="006D7C95">
        <w:rPr>
          <w:color w:val="000000"/>
        </w:rPr>
        <w:t>impuestos de salida (</w:t>
      </w:r>
      <w:proofErr w:type="spellStart"/>
      <w:r w:rsidR="00302CF9" w:rsidRPr="006D7C95">
        <w:rPr>
          <w:i/>
          <w:color w:val="000000"/>
        </w:rPr>
        <w:t>exit</w:t>
      </w:r>
      <w:proofErr w:type="spellEnd"/>
      <w:r w:rsidR="00302CF9" w:rsidRPr="006D7C95">
        <w:rPr>
          <w:i/>
          <w:color w:val="000000"/>
        </w:rPr>
        <w:t xml:space="preserve"> </w:t>
      </w:r>
      <w:proofErr w:type="spellStart"/>
      <w:r w:rsidR="00302CF9" w:rsidRPr="006D7C95">
        <w:rPr>
          <w:i/>
          <w:color w:val="000000"/>
        </w:rPr>
        <w:t>tax</w:t>
      </w:r>
      <w:proofErr w:type="spellEnd"/>
      <w:r w:rsidR="00302CF9">
        <w:rPr>
          <w:color w:val="000000"/>
        </w:rPr>
        <w:t>) cuan</w:t>
      </w:r>
      <w:r w:rsidR="006D7C95">
        <w:rPr>
          <w:color w:val="000000"/>
        </w:rPr>
        <w:t>do una persona residente en un E</w:t>
      </w:r>
      <w:r w:rsidR="00302CF9">
        <w:rPr>
          <w:color w:val="000000"/>
        </w:rPr>
        <w:t>stado desea trasladar su residencia a otro estado miembro, medida que ti</w:t>
      </w:r>
      <w:r w:rsidR="006D7C95">
        <w:rPr>
          <w:color w:val="000000"/>
        </w:rPr>
        <w:t>ene su razón de ser en que los E</w:t>
      </w:r>
      <w:r w:rsidR="00302CF9">
        <w:rPr>
          <w:color w:val="000000"/>
        </w:rPr>
        <w:t>stados se consideran legitimados a exigir impuestos por la parte proporcional de las ganancias de capital que se han ido generando en su territorio aunque su realización (y por lo tanto cuando correspondería su exigibilidad en un supuesto normal, es decir, sin que exista traslado de residencia de un ter</w:t>
      </w:r>
      <w:r w:rsidR="006D7C95">
        <w:rPr>
          <w:color w:val="000000"/>
        </w:rPr>
        <w:t>ritorio a otro E</w:t>
      </w:r>
      <w:r w:rsidR="00302CF9">
        <w:rPr>
          <w:color w:val="000000"/>
        </w:rPr>
        <w:t xml:space="preserve">stado) se produzca después del traslado. </w:t>
      </w:r>
    </w:p>
    <w:p w:rsidR="008B415E" w:rsidRDefault="008B415E" w:rsidP="00FB0D91">
      <w:pPr>
        <w:widowControl w:val="0"/>
        <w:autoSpaceDE w:val="0"/>
        <w:autoSpaceDN w:val="0"/>
        <w:adjustRightInd w:val="0"/>
        <w:spacing w:before="120"/>
        <w:jc w:val="both"/>
        <w:rPr>
          <w:color w:val="000000"/>
        </w:rPr>
      </w:pPr>
    </w:p>
    <w:p w:rsidR="008E7435" w:rsidRDefault="008B415E" w:rsidP="00FB0D91">
      <w:pPr>
        <w:widowControl w:val="0"/>
        <w:autoSpaceDE w:val="0"/>
        <w:autoSpaceDN w:val="0"/>
        <w:adjustRightInd w:val="0"/>
        <w:spacing w:before="120"/>
        <w:jc w:val="both"/>
        <w:rPr>
          <w:color w:val="000000"/>
        </w:rPr>
      </w:pPr>
      <w:r>
        <w:rPr>
          <w:color w:val="000000"/>
        </w:rPr>
        <w:t>Y ya no sería necesario puesto que la t</w:t>
      </w:r>
      <w:r w:rsidR="006D7C95">
        <w:rPr>
          <w:color w:val="000000"/>
        </w:rPr>
        <w:t>ributación siempre sería en el E</w:t>
      </w:r>
      <w:r>
        <w:rPr>
          <w:color w:val="000000"/>
        </w:rPr>
        <w:t xml:space="preserve">stado </w:t>
      </w:r>
      <w:r w:rsidR="00647CED">
        <w:rPr>
          <w:color w:val="000000"/>
        </w:rPr>
        <w:t xml:space="preserve">donde se encuentran los lazos familiares y económicos más estrechos. Es decir, que si el traslado o cambio de residencia no tiene una finalidad o intención de duración en el tiempo, entonces, la tributación será siempre en </w:t>
      </w:r>
      <w:r w:rsidR="006D7C95">
        <w:rPr>
          <w:color w:val="000000"/>
        </w:rPr>
        <w:t>el E</w:t>
      </w:r>
      <w:r w:rsidR="008E7435">
        <w:rPr>
          <w:color w:val="000000"/>
        </w:rPr>
        <w:t>stado donde radica el</w:t>
      </w:r>
      <w:r w:rsidR="00647CED">
        <w:rPr>
          <w:color w:val="000000"/>
        </w:rPr>
        <w:t xml:space="preserve"> centro de intereses vitales.</w:t>
      </w:r>
      <w:r w:rsidR="008E7435">
        <w:rPr>
          <w:color w:val="000000"/>
        </w:rPr>
        <w:t xml:space="preserve"> Y en el caso de que el traslado tuviese una intención de larga duración, entonces entraría de lleno la aplicación del principio de reciprocidad, es decir, la pérdida de tributación que le supone a un país por el traslado de sus reside</w:t>
      </w:r>
      <w:r w:rsidR="006D7C95">
        <w:rPr>
          <w:color w:val="000000"/>
        </w:rPr>
        <w:t>ntes a otros E</w:t>
      </w:r>
      <w:r w:rsidR="008E7435">
        <w:rPr>
          <w:color w:val="000000"/>
        </w:rPr>
        <w:t>stado, se compensa con el incremento de recaudación por la llegada a ese territorio de residente que l</w:t>
      </w:r>
      <w:r w:rsidR="006D7C95">
        <w:rPr>
          <w:color w:val="000000"/>
        </w:rPr>
        <w:t>o han sido previamente en otro E</w:t>
      </w:r>
      <w:r w:rsidR="008E7435">
        <w:rPr>
          <w:color w:val="000000"/>
        </w:rPr>
        <w:t xml:space="preserve">stado miembro de la Unión Europea. </w:t>
      </w:r>
    </w:p>
    <w:p w:rsidR="008E7435" w:rsidRDefault="008E7435" w:rsidP="00FB0D91">
      <w:pPr>
        <w:widowControl w:val="0"/>
        <w:autoSpaceDE w:val="0"/>
        <w:autoSpaceDN w:val="0"/>
        <w:adjustRightInd w:val="0"/>
        <w:spacing w:before="120"/>
        <w:jc w:val="both"/>
        <w:rPr>
          <w:color w:val="000000"/>
        </w:rPr>
      </w:pPr>
    </w:p>
    <w:p w:rsidR="00290738" w:rsidRDefault="008E7435" w:rsidP="00FB0D91">
      <w:pPr>
        <w:widowControl w:val="0"/>
        <w:autoSpaceDE w:val="0"/>
        <w:autoSpaceDN w:val="0"/>
        <w:adjustRightInd w:val="0"/>
        <w:spacing w:before="120"/>
        <w:jc w:val="both"/>
        <w:rPr>
          <w:color w:val="000000"/>
        </w:rPr>
      </w:pPr>
      <w:r>
        <w:rPr>
          <w:color w:val="000000"/>
        </w:rPr>
        <w:t>Esta idea de reciprocidad iría en contra del principio plasmado a nivel jurisprudencial</w:t>
      </w:r>
      <w:r w:rsidR="006D7C95">
        <w:rPr>
          <w:rStyle w:val="Refdenotaalpie"/>
          <w:color w:val="000000"/>
        </w:rPr>
        <w:footnoteReference w:id="29"/>
      </w:r>
      <w:r>
        <w:rPr>
          <w:color w:val="000000"/>
        </w:rPr>
        <w:t>, pero que nunca se ha p</w:t>
      </w:r>
      <w:r w:rsidR="001E1242">
        <w:rPr>
          <w:color w:val="000000"/>
        </w:rPr>
        <w:t>lasmado expresamente desde una perspectiva histórica en las leg</w:t>
      </w:r>
      <w:r>
        <w:rPr>
          <w:color w:val="000000"/>
        </w:rPr>
        <w:t>i</w:t>
      </w:r>
      <w:r w:rsidR="001E1242">
        <w:rPr>
          <w:color w:val="000000"/>
        </w:rPr>
        <w:t xml:space="preserve">slaciones nacionales, que considera que las ganancias de </w:t>
      </w:r>
      <w:r w:rsidR="006D7C95">
        <w:rPr>
          <w:color w:val="000000"/>
        </w:rPr>
        <w:t>capital se tienen gravar en el E</w:t>
      </w:r>
      <w:r w:rsidR="001E1242">
        <w:rPr>
          <w:color w:val="000000"/>
        </w:rPr>
        <w:t>stado en que se han generado, es decir, un estado está legitimado a exigir impuestos por la parte del aumento de valor de un activo que se ha producido en su territorio, porque allí radican los bienes o el capital que aumenta de valor. Y decimos que históricament</w:t>
      </w:r>
      <w:r w:rsidR="00290738">
        <w:rPr>
          <w:color w:val="000000"/>
        </w:rPr>
        <w:t xml:space="preserve">e, puesto que la tributación, salvo para los bienes inmuebles, </w:t>
      </w:r>
      <w:r w:rsidR="006D7C95">
        <w:rPr>
          <w:color w:val="000000"/>
        </w:rPr>
        <w:t>ha correspondido en relación</w:t>
      </w:r>
      <w:r w:rsidR="00290738">
        <w:rPr>
          <w:color w:val="000000"/>
        </w:rPr>
        <w:t xml:space="preserve"> a las ganancias de capital al país de residencia del titular del bien que salía de su patrimonio. Así, tradicionalmente el artículo 13 del Modelo de Convenio de la OCDE en materia de los impuestos sobre la renta y el capital. </w:t>
      </w:r>
    </w:p>
    <w:p w:rsidR="00290738" w:rsidRDefault="00290738" w:rsidP="00FB0D91">
      <w:pPr>
        <w:widowControl w:val="0"/>
        <w:autoSpaceDE w:val="0"/>
        <w:autoSpaceDN w:val="0"/>
        <w:adjustRightInd w:val="0"/>
        <w:spacing w:before="120"/>
        <w:jc w:val="both"/>
        <w:rPr>
          <w:color w:val="000000"/>
        </w:rPr>
      </w:pPr>
    </w:p>
    <w:p w:rsidR="003D4AB1" w:rsidRDefault="00290738" w:rsidP="00FB0D91">
      <w:pPr>
        <w:widowControl w:val="0"/>
        <w:autoSpaceDE w:val="0"/>
        <w:autoSpaceDN w:val="0"/>
        <w:adjustRightInd w:val="0"/>
        <w:spacing w:before="120"/>
        <w:jc w:val="both"/>
        <w:rPr>
          <w:color w:val="000000"/>
        </w:rPr>
      </w:pPr>
      <w:r>
        <w:rPr>
          <w:color w:val="000000"/>
        </w:rPr>
        <w:t>España realmente recoge en su norma un supuesto de alteración de las reglas de imputación de las rentas a afectos del impuesto sobre la renta de las personas físicas</w:t>
      </w:r>
      <w:r w:rsidR="003D4AB1">
        <w:rPr>
          <w:color w:val="000000"/>
        </w:rPr>
        <w:t>, y no una norma genuinamente caracterizada como impuesto de salida</w:t>
      </w:r>
      <w:r>
        <w:rPr>
          <w:color w:val="000000"/>
        </w:rPr>
        <w:t xml:space="preserve">. El supuesto </w:t>
      </w:r>
      <w:r>
        <w:rPr>
          <w:color w:val="000000"/>
        </w:rPr>
        <w:lastRenderedPageBreak/>
        <w:t>consiste en que cuando se haya ya realizado una ganancia de capital pero se haya optado por su tributación en períodos impositivos distintos al de su devengo, e</w:t>
      </w:r>
      <w:r w:rsidR="003D4AB1">
        <w:rPr>
          <w:color w:val="000000"/>
        </w:rPr>
        <w:t>s decir, al</w:t>
      </w:r>
      <w:r>
        <w:rPr>
          <w:color w:val="000000"/>
        </w:rPr>
        <w:t xml:space="preserve"> año correspondiente a la alteración patrimonial, por ejemplo porque se ha optado por su tributación en proporción a los plazos, por ejemplo anuales, en que se haya fraccionado el pago</w:t>
      </w:r>
      <w:r w:rsidR="003D4AB1">
        <w:rPr>
          <w:color w:val="000000"/>
        </w:rPr>
        <w:t xml:space="preserve">, entonces un cambio de residencia implica que la parte proporcional de la ganancia de capital que quedaba pendiente de tributar, puesto que su imputación correspondía a los años de los plazos que todavía estaban pendientes de pago, se anticipa al año de cambio de residencia.  </w:t>
      </w:r>
    </w:p>
    <w:p w:rsidR="003D4AB1" w:rsidRDefault="003D4AB1" w:rsidP="00FB0D91">
      <w:pPr>
        <w:widowControl w:val="0"/>
        <w:autoSpaceDE w:val="0"/>
        <w:autoSpaceDN w:val="0"/>
        <w:adjustRightInd w:val="0"/>
        <w:spacing w:before="120"/>
        <w:jc w:val="both"/>
        <w:rPr>
          <w:color w:val="000000"/>
        </w:rPr>
      </w:pPr>
    </w:p>
    <w:p w:rsidR="00EE4C7B" w:rsidRDefault="003D4AB1" w:rsidP="00FB0D91">
      <w:pPr>
        <w:widowControl w:val="0"/>
        <w:autoSpaceDE w:val="0"/>
        <w:autoSpaceDN w:val="0"/>
        <w:adjustRightInd w:val="0"/>
        <w:spacing w:before="120"/>
        <w:jc w:val="both"/>
        <w:rPr>
          <w:color w:val="000000"/>
        </w:rPr>
      </w:pPr>
      <w:r>
        <w:rPr>
          <w:color w:val="000000"/>
        </w:rPr>
        <w:t xml:space="preserve">Sí es verdad que esta normativa sigue vigente para aquellas personas que han cambiado su </w:t>
      </w:r>
      <w:r w:rsidR="006D7C95">
        <w:rPr>
          <w:color w:val="000000"/>
        </w:rPr>
        <w:t>residencia a un país que no es E</w:t>
      </w:r>
      <w:r>
        <w:rPr>
          <w:color w:val="000000"/>
        </w:rPr>
        <w:t xml:space="preserve">stado miembro de la Unión Europea </w:t>
      </w:r>
      <w:r w:rsidR="006D7C95">
        <w:rPr>
          <w:color w:val="000000"/>
        </w:rPr>
        <w:t>(así por ejemplo respecto a un E</w:t>
      </w:r>
      <w:r>
        <w:rPr>
          <w:color w:val="000000"/>
        </w:rPr>
        <w:t xml:space="preserve">stado que forma parte de la Asociación Europea de Libre Comercio).    </w:t>
      </w:r>
      <w:r w:rsidR="00290738">
        <w:rPr>
          <w:color w:val="000000"/>
        </w:rPr>
        <w:t xml:space="preserve">   </w:t>
      </w:r>
      <w:r w:rsidR="001E1242">
        <w:rPr>
          <w:color w:val="000000"/>
        </w:rPr>
        <w:t xml:space="preserve"> </w:t>
      </w:r>
      <w:r w:rsidR="008E7435">
        <w:rPr>
          <w:color w:val="000000"/>
        </w:rPr>
        <w:t xml:space="preserve">  </w:t>
      </w:r>
      <w:r w:rsidR="00647CED">
        <w:rPr>
          <w:color w:val="000000"/>
        </w:rPr>
        <w:t xml:space="preserve">     </w:t>
      </w:r>
      <w:r w:rsidR="00BE4CA1">
        <w:rPr>
          <w:color w:val="000000"/>
        </w:rPr>
        <w:t>Pero, a</w:t>
      </w:r>
      <w:r w:rsidR="00290738">
        <w:rPr>
          <w:color w:val="000000"/>
        </w:rPr>
        <w:t xml:space="preserve"> mi juicio</w:t>
      </w:r>
      <w:r w:rsidR="00BE4CA1">
        <w:rPr>
          <w:color w:val="000000"/>
        </w:rPr>
        <w:t>,</w:t>
      </w:r>
      <w:r w:rsidR="00290738">
        <w:rPr>
          <w:color w:val="000000"/>
        </w:rPr>
        <w:t xml:space="preserve"> incluso, ya no sería</w:t>
      </w:r>
      <w:r>
        <w:rPr>
          <w:color w:val="000000"/>
        </w:rPr>
        <w:t xml:space="preserve"> necesario establecer </w:t>
      </w:r>
      <w:r w:rsidR="00BE4CA1">
        <w:rPr>
          <w:color w:val="000000"/>
        </w:rPr>
        <w:t>estas normas de traslado</w:t>
      </w:r>
      <w:r w:rsidR="006D7C95">
        <w:rPr>
          <w:color w:val="000000"/>
        </w:rPr>
        <w:t xml:space="preserve"> de residencia respecto a esos E</w:t>
      </w:r>
      <w:r w:rsidR="00BE4CA1">
        <w:rPr>
          <w:color w:val="000000"/>
        </w:rPr>
        <w:t>stados, puesto que siempre nos encontraríamos con una norma de aplicación contundente como es la norma de residencia, tal como se ha comentado ante</w:t>
      </w:r>
      <w:r w:rsidR="006D7C95">
        <w:rPr>
          <w:color w:val="000000"/>
        </w:rPr>
        <w:t>riormente, y con la mayoría de es</w:t>
      </w:r>
      <w:r w:rsidR="00BE4CA1">
        <w:rPr>
          <w:color w:val="000000"/>
        </w:rPr>
        <w:t>os países España ha firmado convenios para evitar la doble imposición que contiene el recurso al procedimiento amistoso o al procedimiento de la autoridad competente, con los que se evitarían situaciones de doble residencia, aunque sí es verdad que sin un alcance obligatorio de llegar a un resultado, como pasaría, según lo comentado, en el seno de la Unión Europea, pero que en la práctica siempre s</w:t>
      </w:r>
      <w:r w:rsidR="00EE4C7B">
        <w:rPr>
          <w:color w:val="000000"/>
        </w:rPr>
        <w:t>upondría obtener ese resultado, pues de lo contrario sería la aplicación del criterio de nacionalidad.</w:t>
      </w:r>
    </w:p>
    <w:p w:rsidR="00EE4C7B" w:rsidRDefault="00EE4C7B" w:rsidP="00FB0D91">
      <w:pPr>
        <w:widowControl w:val="0"/>
        <w:autoSpaceDE w:val="0"/>
        <w:autoSpaceDN w:val="0"/>
        <w:adjustRightInd w:val="0"/>
        <w:spacing w:before="120"/>
        <w:jc w:val="both"/>
        <w:rPr>
          <w:color w:val="000000"/>
        </w:rPr>
      </w:pPr>
    </w:p>
    <w:p w:rsidR="00302CF9" w:rsidRDefault="00EE4C7B" w:rsidP="00FB0D91">
      <w:pPr>
        <w:widowControl w:val="0"/>
        <w:autoSpaceDE w:val="0"/>
        <w:autoSpaceDN w:val="0"/>
        <w:adjustRightInd w:val="0"/>
        <w:spacing w:before="120"/>
        <w:jc w:val="both"/>
        <w:rPr>
          <w:color w:val="000000"/>
        </w:rPr>
      </w:pPr>
      <w:r>
        <w:rPr>
          <w:color w:val="000000"/>
        </w:rPr>
        <w:t>Pero, incluso también, en este esquema de norma que estamos diseñando, tampoco sería necesario tener que recurrir o plasmar en nuestra legislación</w:t>
      </w:r>
      <w:r w:rsidR="00BE4CA1">
        <w:rPr>
          <w:color w:val="000000"/>
        </w:rPr>
        <w:t xml:space="preserve"> </w:t>
      </w:r>
      <w:r w:rsidR="003D4AB1">
        <w:rPr>
          <w:color w:val="000000"/>
        </w:rPr>
        <w:t xml:space="preserve">cláusulas </w:t>
      </w:r>
      <w:proofErr w:type="spellStart"/>
      <w:r w:rsidR="003D4AB1">
        <w:rPr>
          <w:color w:val="000000"/>
        </w:rPr>
        <w:t>antiabusivas</w:t>
      </w:r>
      <w:proofErr w:type="spellEnd"/>
      <w:r>
        <w:rPr>
          <w:color w:val="000000"/>
        </w:rPr>
        <w:t xml:space="preserve"> del tenor de las que contemplan la extensión de la residencia durante el año del cambio de residenci</w:t>
      </w:r>
      <w:r w:rsidR="007955D7">
        <w:rPr>
          <w:color w:val="000000"/>
        </w:rPr>
        <w:t xml:space="preserve">a y cuatro años más, y cuyo ámbito de aplicación está restringido a los nacionales españoles que trasladan su residencia a países de baja tributación (normalmente paraísos fiscales), o la norma recogida en nuestro sistema de financiación autonómico que considera que no produce efectos los cambios de residencia a otra comunidad autónoma por motivos exclusivamente fiscales, desde el momento en que el cambio de residencia requiere de esa intencionalidad, que puede estar fijada en tres o cinco años.  </w:t>
      </w:r>
    </w:p>
    <w:p w:rsidR="008005C6" w:rsidRDefault="008005C6" w:rsidP="00FB0D91">
      <w:pPr>
        <w:widowControl w:val="0"/>
        <w:autoSpaceDE w:val="0"/>
        <w:autoSpaceDN w:val="0"/>
        <w:adjustRightInd w:val="0"/>
        <w:spacing w:before="120"/>
        <w:jc w:val="both"/>
        <w:rPr>
          <w:color w:val="000000"/>
        </w:rPr>
      </w:pPr>
    </w:p>
    <w:p w:rsidR="00ED2FF8" w:rsidRPr="006D7C95" w:rsidRDefault="006D7C95" w:rsidP="00FB0D91">
      <w:pPr>
        <w:widowControl w:val="0"/>
        <w:autoSpaceDE w:val="0"/>
        <w:autoSpaceDN w:val="0"/>
        <w:adjustRightInd w:val="0"/>
        <w:spacing w:before="120"/>
        <w:jc w:val="both"/>
        <w:rPr>
          <w:b/>
          <w:color w:val="000000"/>
        </w:rPr>
      </w:pPr>
      <w:r w:rsidRPr="006D7C95">
        <w:rPr>
          <w:b/>
          <w:color w:val="000000"/>
        </w:rPr>
        <w:t xml:space="preserve">VIII. </w:t>
      </w:r>
      <w:r w:rsidR="00ED2FF8" w:rsidRPr="006D7C95">
        <w:rPr>
          <w:b/>
          <w:color w:val="000000"/>
        </w:rPr>
        <w:t>ELIMINACIÓN DE UN ARTÍCULO SIMILAR AL ARTÍCULO 15 MCDI OCDE</w:t>
      </w:r>
    </w:p>
    <w:p w:rsidR="00ED2FF8" w:rsidRDefault="00ED2FF8" w:rsidP="00FB0D91">
      <w:pPr>
        <w:widowControl w:val="0"/>
        <w:autoSpaceDE w:val="0"/>
        <w:autoSpaceDN w:val="0"/>
        <w:adjustRightInd w:val="0"/>
        <w:spacing w:before="120"/>
        <w:jc w:val="both"/>
        <w:rPr>
          <w:color w:val="000000"/>
        </w:rPr>
      </w:pPr>
    </w:p>
    <w:p w:rsidR="0066592C" w:rsidRDefault="0066592C" w:rsidP="00FB0D91">
      <w:pPr>
        <w:widowControl w:val="0"/>
        <w:autoSpaceDE w:val="0"/>
        <w:autoSpaceDN w:val="0"/>
        <w:adjustRightInd w:val="0"/>
        <w:spacing w:before="120"/>
        <w:jc w:val="both"/>
        <w:rPr>
          <w:color w:val="000000"/>
        </w:rPr>
      </w:pPr>
      <w:r>
        <w:rPr>
          <w:color w:val="000000"/>
        </w:rPr>
        <w:t xml:space="preserve">El artículo 15 del Modelo de Convenio de la OCDE consagra la regla de la tributación compartida en el Estado donde se presta el trabajo salvo en supuestos de trabajos de corta duración, esto es, inferior a 183 días contados de fecha a fecha, y cuando se cumplen otros requisitos: que se paga por una entidad que no es residente en el estado donde se presta el servicio y que además tampoco se soporta por un establecimiento permanente radicado en ese estado. </w:t>
      </w:r>
    </w:p>
    <w:p w:rsidR="0066592C" w:rsidRDefault="0066592C" w:rsidP="00FB0D91">
      <w:pPr>
        <w:widowControl w:val="0"/>
        <w:autoSpaceDE w:val="0"/>
        <w:autoSpaceDN w:val="0"/>
        <w:adjustRightInd w:val="0"/>
        <w:spacing w:before="120"/>
        <w:jc w:val="both"/>
        <w:rPr>
          <w:color w:val="000000"/>
        </w:rPr>
      </w:pPr>
    </w:p>
    <w:p w:rsidR="00A01959" w:rsidRDefault="00D94DED" w:rsidP="00FB0D91">
      <w:pPr>
        <w:widowControl w:val="0"/>
        <w:autoSpaceDE w:val="0"/>
        <w:autoSpaceDN w:val="0"/>
        <w:adjustRightInd w:val="0"/>
        <w:spacing w:before="120"/>
        <w:jc w:val="both"/>
        <w:rPr>
          <w:color w:val="000000"/>
        </w:rPr>
      </w:pPr>
      <w:r w:rsidRPr="00D94DED">
        <w:rPr>
          <w:color w:val="000000"/>
        </w:rPr>
        <w:lastRenderedPageBreak/>
        <w:t>Los Come</w:t>
      </w:r>
      <w:r w:rsidR="003C167F">
        <w:rPr>
          <w:color w:val="000000"/>
        </w:rPr>
        <w:t>ntarios</w:t>
      </w:r>
      <w:r w:rsidR="0066592C">
        <w:rPr>
          <w:rStyle w:val="Refdenotaalpie"/>
          <w:color w:val="000000"/>
        </w:rPr>
        <w:footnoteReference w:id="30"/>
      </w:r>
      <w:r w:rsidR="003C167F">
        <w:rPr>
          <w:color w:val="000000"/>
        </w:rPr>
        <w:t xml:space="preserve"> al Modelo de Convenio</w:t>
      </w:r>
      <w:r w:rsidRPr="00D94DED">
        <w:rPr>
          <w:color w:val="000000"/>
        </w:rPr>
        <w:t xml:space="preserve"> vienen a establecer que para este supuesto hay que tener en cuenta el objeto y la finalidad del artículo 15 del Modelo, que no es otro que el de no someter a tributación a los trabajadores desplazados temporalmente a un Estado en la medida en que las rentas derivadas del trabajo dependiente no son gastos deducibles en el Estado de la fuente pues el empleador no es residente en ese Estado ni tampoco tiene un establecimiento permanente en ese Estado. También otro de los propósitos de este artículo, según los Comentarios al Modelo de Convenio, es evitar las complicaciones administrativas que le supone a un empresario en el Estado de la fuente para poder gozar de la deducción como gasto de las rentas derivadas del trabajo dependiente cuando el empleador no es residente ni tiene un establecimiento permanente en ese Estado.</w:t>
      </w:r>
    </w:p>
    <w:p w:rsidR="00EA68EE" w:rsidRDefault="00EA68EE" w:rsidP="00FB0D91">
      <w:pPr>
        <w:widowControl w:val="0"/>
        <w:autoSpaceDE w:val="0"/>
        <w:autoSpaceDN w:val="0"/>
        <w:adjustRightInd w:val="0"/>
        <w:spacing w:before="120"/>
        <w:jc w:val="both"/>
        <w:rPr>
          <w:color w:val="000000"/>
        </w:rPr>
      </w:pPr>
    </w:p>
    <w:p w:rsidR="00A853A9" w:rsidRDefault="00EA68EE" w:rsidP="00FB0D91">
      <w:pPr>
        <w:widowControl w:val="0"/>
        <w:autoSpaceDE w:val="0"/>
        <w:autoSpaceDN w:val="0"/>
        <w:adjustRightInd w:val="0"/>
        <w:spacing w:before="120"/>
        <w:jc w:val="both"/>
        <w:rPr>
          <w:color w:val="000000"/>
        </w:rPr>
      </w:pPr>
      <w:r>
        <w:rPr>
          <w:color w:val="000000"/>
        </w:rPr>
        <w:t xml:space="preserve">Pero, como ya hemos comentado anteriormente, si se establece como regla distributiva del </w:t>
      </w:r>
      <w:r w:rsidR="00BC253A">
        <w:rPr>
          <w:color w:val="000000"/>
        </w:rPr>
        <w:t>p</w:t>
      </w:r>
      <w:r>
        <w:rPr>
          <w:color w:val="000000"/>
        </w:rPr>
        <w:t>o</w:t>
      </w:r>
      <w:r w:rsidR="0066592C">
        <w:rPr>
          <w:color w:val="000000"/>
        </w:rPr>
        <w:t>der de tributación entre ambos E</w:t>
      </w:r>
      <w:r>
        <w:rPr>
          <w:color w:val="000000"/>
        </w:rPr>
        <w:t>stados (</w:t>
      </w:r>
      <w:r w:rsidR="00BC253A">
        <w:rPr>
          <w:color w:val="000000"/>
        </w:rPr>
        <w:t xml:space="preserve">a saber: </w:t>
      </w:r>
      <w:r w:rsidR="0066592C">
        <w:rPr>
          <w:color w:val="000000"/>
        </w:rPr>
        <w:t>el E</w:t>
      </w:r>
      <w:r>
        <w:rPr>
          <w:color w:val="000000"/>
        </w:rPr>
        <w:t>stado de residencia del trabajador y el</w:t>
      </w:r>
      <w:r w:rsidR="0066592C">
        <w:rPr>
          <w:color w:val="000000"/>
        </w:rPr>
        <w:t xml:space="preserve"> E</w:t>
      </w:r>
      <w:r w:rsidR="00BC253A">
        <w:rPr>
          <w:color w:val="000000"/>
        </w:rPr>
        <w:t>stado donde s</w:t>
      </w:r>
      <w:r>
        <w:rPr>
          <w:color w:val="000000"/>
        </w:rPr>
        <w:t>e</w:t>
      </w:r>
      <w:r w:rsidR="00BC253A">
        <w:rPr>
          <w:color w:val="000000"/>
        </w:rPr>
        <w:t xml:space="preserve"> </w:t>
      </w:r>
      <w:r>
        <w:rPr>
          <w:color w:val="000000"/>
        </w:rPr>
        <w:t>presta efectivamente el trabajo)</w:t>
      </w:r>
      <w:r w:rsidR="00BC253A">
        <w:rPr>
          <w:color w:val="000000"/>
        </w:rPr>
        <w:t xml:space="preserve"> que el derecho a som</w:t>
      </w:r>
      <w:r w:rsidR="0066592C">
        <w:rPr>
          <w:color w:val="000000"/>
        </w:rPr>
        <w:t>eter a gravamen corresponde al E</w:t>
      </w:r>
      <w:r w:rsidR="00BC253A">
        <w:rPr>
          <w:color w:val="000000"/>
        </w:rPr>
        <w:t>stado donde es residente el trabajador, según el concepto de residencia que se ha ido acuñando a lo largo de este texto, y por lo tanto dando un giro copernicano resulta entonces</w:t>
      </w:r>
      <w:r w:rsidR="002432A4">
        <w:rPr>
          <w:color w:val="000000"/>
        </w:rPr>
        <w:t xml:space="preserve"> que ya no es necesario establecer un artículo tal como se recoge en el actual artículo 15 del Modelo de Convenio de la OCDE</w:t>
      </w:r>
      <w:r w:rsidR="00A51FED">
        <w:rPr>
          <w:color w:val="000000"/>
        </w:rPr>
        <w:t>, puesto que la tributac</w:t>
      </w:r>
      <w:r w:rsidR="0066592C">
        <w:rPr>
          <w:color w:val="000000"/>
        </w:rPr>
        <w:t>ión sería exclusivamente en el E</w:t>
      </w:r>
      <w:r w:rsidR="00A51FED">
        <w:rPr>
          <w:color w:val="000000"/>
        </w:rPr>
        <w:t>stad</w:t>
      </w:r>
      <w:r w:rsidR="0066592C">
        <w:rPr>
          <w:color w:val="000000"/>
        </w:rPr>
        <w:t>o de residencia, y nunca en el E</w:t>
      </w:r>
      <w:r w:rsidR="00A51FED">
        <w:rPr>
          <w:color w:val="000000"/>
        </w:rPr>
        <w:t>stado donde se presta el trabajo</w:t>
      </w:r>
      <w:r w:rsidR="002432A4">
        <w:rPr>
          <w:color w:val="000000"/>
        </w:rPr>
        <w:t xml:space="preserve">. </w:t>
      </w:r>
    </w:p>
    <w:p w:rsidR="00A51FED" w:rsidRDefault="00A51FED" w:rsidP="00FB0D91">
      <w:pPr>
        <w:widowControl w:val="0"/>
        <w:autoSpaceDE w:val="0"/>
        <w:autoSpaceDN w:val="0"/>
        <w:adjustRightInd w:val="0"/>
        <w:spacing w:before="120"/>
        <w:jc w:val="both"/>
        <w:rPr>
          <w:color w:val="000000"/>
        </w:rPr>
      </w:pPr>
    </w:p>
    <w:p w:rsidR="00A51FED" w:rsidRDefault="00A51FED" w:rsidP="00FB0D91">
      <w:pPr>
        <w:widowControl w:val="0"/>
        <w:autoSpaceDE w:val="0"/>
        <w:autoSpaceDN w:val="0"/>
        <w:adjustRightInd w:val="0"/>
        <w:spacing w:before="120"/>
        <w:jc w:val="both"/>
        <w:rPr>
          <w:color w:val="000000"/>
        </w:rPr>
      </w:pPr>
      <w:r>
        <w:rPr>
          <w:color w:val="000000"/>
        </w:rPr>
        <w:t xml:space="preserve">Con todo ello se resuelven los problemas de doble imposición o </w:t>
      </w:r>
      <w:proofErr w:type="spellStart"/>
      <w:r>
        <w:rPr>
          <w:color w:val="000000"/>
        </w:rPr>
        <w:t>desimposición</w:t>
      </w:r>
      <w:proofErr w:type="spellEnd"/>
      <w:r>
        <w:rPr>
          <w:color w:val="000000"/>
        </w:rPr>
        <w:t xml:space="preserve"> que se pueden producir, como consecuencia de diferentes calificaciones de las rentas que se perciben, distintas calificacione</w:t>
      </w:r>
      <w:r w:rsidR="0066592C">
        <w:rPr>
          <w:color w:val="000000"/>
        </w:rPr>
        <w:t>s de las retribuciones por los Estados implicados, el E</w:t>
      </w:r>
      <w:r>
        <w:rPr>
          <w:color w:val="000000"/>
        </w:rPr>
        <w:t>stado d</w:t>
      </w:r>
      <w:r w:rsidR="0066592C">
        <w:rPr>
          <w:color w:val="000000"/>
        </w:rPr>
        <w:t>onde se presta el trabajo y el E</w:t>
      </w:r>
      <w:r>
        <w:rPr>
          <w:color w:val="000000"/>
        </w:rPr>
        <w:t xml:space="preserve">stado de residencia del trabajador, o la posibilidad de abusar de la regla del artículo 15 del Modelo de Convenio mediante la interposición de sociedades meramente formales como empleadores.  </w:t>
      </w:r>
    </w:p>
    <w:p w:rsidR="002F733C" w:rsidRDefault="002F733C" w:rsidP="00FB0D91">
      <w:pPr>
        <w:widowControl w:val="0"/>
        <w:autoSpaceDE w:val="0"/>
        <w:autoSpaceDN w:val="0"/>
        <w:adjustRightInd w:val="0"/>
        <w:spacing w:before="120"/>
        <w:jc w:val="both"/>
        <w:rPr>
          <w:color w:val="000000"/>
        </w:rPr>
      </w:pPr>
    </w:p>
    <w:p w:rsidR="002F733C" w:rsidRDefault="0066592C" w:rsidP="00FB0D91">
      <w:pPr>
        <w:widowControl w:val="0"/>
        <w:autoSpaceDE w:val="0"/>
        <w:autoSpaceDN w:val="0"/>
        <w:adjustRightInd w:val="0"/>
        <w:spacing w:before="120"/>
        <w:jc w:val="both"/>
        <w:rPr>
          <w:color w:val="000000"/>
        </w:rPr>
      </w:pPr>
      <w:r>
        <w:rPr>
          <w:color w:val="000000"/>
        </w:rPr>
        <w:t>Pero, además,</w:t>
      </w:r>
      <w:r w:rsidR="002F733C">
        <w:rPr>
          <w:color w:val="000000"/>
        </w:rPr>
        <w:t xml:space="preserve"> con la adopción de la tributa</w:t>
      </w:r>
      <w:r>
        <w:rPr>
          <w:color w:val="000000"/>
        </w:rPr>
        <w:t>ción en el E</w:t>
      </w:r>
      <w:r w:rsidR="002F733C">
        <w:rPr>
          <w:color w:val="000000"/>
        </w:rPr>
        <w:t>stado de la residencia, se salvan también los problemas que ocasionan las retribuciones cuyo período de generación se difiere en un largo plazo, siendo</w:t>
      </w:r>
      <w:r w:rsidR="000620B1">
        <w:rPr>
          <w:color w:val="000000"/>
        </w:rPr>
        <w:t xml:space="preserve"> que los trabajos se han desarrollado en diferentes países</w:t>
      </w:r>
      <w:r>
        <w:rPr>
          <w:color w:val="000000"/>
        </w:rPr>
        <w:t>, como son las remuneraciones mediante instrumentos financieros</w:t>
      </w:r>
      <w:r w:rsidR="000620B1">
        <w:rPr>
          <w:color w:val="000000"/>
        </w:rPr>
        <w:t>.</w:t>
      </w:r>
      <w:r w:rsidR="002F733C">
        <w:rPr>
          <w:color w:val="000000"/>
        </w:rPr>
        <w:t xml:space="preserve"> </w:t>
      </w:r>
    </w:p>
    <w:p w:rsidR="008835D4" w:rsidRDefault="008835D4" w:rsidP="00FB0D91">
      <w:pPr>
        <w:widowControl w:val="0"/>
        <w:autoSpaceDE w:val="0"/>
        <w:autoSpaceDN w:val="0"/>
        <w:adjustRightInd w:val="0"/>
        <w:spacing w:before="120"/>
        <w:jc w:val="both"/>
        <w:rPr>
          <w:color w:val="000000"/>
        </w:rPr>
      </w:pPr>
    </w:p>
    <w:p w:rsidR="008835D4" w:rsidRPr="001625E8" w:rsidRDefault="008835D4" w:rsidP="00FB0D91">
      <w:pPr>
        <w:widowControl w:val="0"/>
        <w:autoSpaceDE w:val="0"/>
        <w:autoSpaceDN w:val="0"/>
        <w:adjustRightInd w:val="0"/>
        <w:spacing w:before="120"/>
        <w:jc w:val="both"/>
        <w:rPr>
          <w:color w:val="000000"/>
        </w:rPr>
      </w:pPr>
      <w:r w:rsidRPr="001625E8">
        <w:rPr>
          <w:color w:val="000000"/>
        </w:rPr>
        <w:t>Como dicen los Comentarios al Modelo de Convenio de la OCDE, la importancia de su tratamiento en un instrumento internacional se debe a que el momento de su sometimiento a tributación puede que no coincida con el trabajo que remunera, que posiblemente s</w:t>
      </w:r>
      <w:r>
        <w:rPr>
          <w:color w:val="000000"/>
        </w:rPr>
        <w:t>e haya podido realizar en otro Estado distinto del E</w:t>
      </w:r>
      <w:r w:rsidRPr="001625E8">
        <w:rPr>
          <w:color w:val="000000"/>
        </w:rPr>
        <w:t>stado en el que se encuentra el trabajador cuando se somete a tributación.</w:t>
      </w:r>
    </w:p>
    <w:p w:rsidR="008835D4" w:rsidRDefault="008835D4" w:rsidP="00FB0D91">
      <w:pPr>
        <w:widowControl w:val="0"/>
        <w:autoSpaceDE w:val="0"/>
        <w:autoSpaceDN w:val="0"/>
        <w:adjustRightInd w:val="0"/>
        <w:spacing w:before="120"/>
        <w:jc w:val="both"/>
        <w:rPr>
          <w:color w:val="000000"/>
        </w:rPr>
      </w:pPr>
    </w:p>
    <w:p w:rsidR="008835D4" w:rsidRPr="001625E8" w:rsidRDefault="008835D4" w:rsidP="00FB0D91">
      <w:pPr>
        <w:widowControl w:val="0"/>
        <w:autoSpaceDE w:val="0"/>
        <w:autoSpaceDN w:val="0"/>
        <w:adjustRightInd w:val="0"/>
        <w:spacing w:before="120"/>
        <w:jc w:val="both"/>
        <w:rPr>
          <w:color w:val="000000"/>
        </w:rPr>
      </w:pPr>
      <w:r w:rsidRPr="001625E8">
        <w:rPr>
          <w:color w:val="000000"/>
        </w:rPr>
        <w:t>Y ello básicamente, porque siguiendo las directrices de los Comentarios al Modelo de Convenio OCDE, el artículo 15 del Modelo establece el principio de sometimiento a tributación de los sueldos, salario</w:t>
      </w:r>
      <w:r>
        <w:rPr>
          <w:color w:val="000000"/>
        </w:rPr>
        <w:t>s y otras remuneraciones en el E</w:t>
      </w:r>
      <w:r w:rsidRPr="001625E8">
        <w:rPr>
          <w:color w:val="000000"/>
        </w:rPr>
        <w:t>stado donde se ejecuta el trabaj</w:t>
      </w:r>
      <w:r>
        <w:rPr>
          <w:color w:val="000000"/>
        </w:rPr>
        <w:t>o, independientemente de que cua</w:t>
      </w:r>
      <w:r w:rsidRPr="001625E8">
        <w:rPr>
          <w:color w:val="000000"/>
        </w:rPr>
        <w:t xml:space="preserve">ndo se someten a tributación esas rentas, el </w:t>
      </w:r>
      <w:r w:rsidRPr="001625E8">
        <w:rPr>
          <w:color w:val="000000"/>
        </w:rPr>
        <w:lastRenderedPageBreak/>
        <w:t>trabajador ya no se</w:t>
      </w:r>
      <w:r w:rsidR="00275D44">
        <w:rPr>
          <w:color w:val="000000"/>
        </w:rPr>
        <w:t xml:space="preserve"> encuentra empleado en ese E</w:t>
      </w:r>
      <w:r w:rsidRPr="001625E8">
        <w:rPr>
          <w:color w:val="000000"/>
        </w:rPr>
        <w:t>stado.</w:t>
      </w:r>
    </w:p>
    <w:p w:rsidR="00275D44" w:rsidRDefault="00275D44" w:rsidP="00FB0D91">
      <w:pPr>
        <w:widowControl w:val="0"/>
        <w:autoSpaceDE w:val="0"/>
        <w:autoSpaceDN w:val="0"/>
        <w:adjustRightInd w:val="0"/>
        <w:spacing w:before="120"/>
        <w:jc w:val="both"/>
        <w:rPr>
          <w:color w:val="000000"/>
        </w:rPr>
      </w:pPr>
    </w:p>
    <w:p w:rsidR="00275D44" w:rsidRDefault="00275D44" w:rsidP="00FB0D91">
      <w:pPr>
        <w:widowControl w:val="0"/>
        <w:autoSpaceDE w:val="0"/>
        <w:autoSpaceDN w:val="0"/>
        <w:adjustRightInd w:val="0"/>
        <w:spacing w:before="120"/>
        <w:jc w:val="both"/>
        <w:rPr>
          <w:color w:val="000000"/>
        </w:rPr>
      </w:pPr>
    </w:p>
    <w:p w:rsidR="00275D44" w:rsidRDefault="00275D44" w:rsidP="00FB0D91">
      <w:pPr>
        <w:widowControl w:val="0"/>
        <w:autoSpaceDE w:val="0"/>
        <w:autoSpaceDN w:val="0"/>
        <w:adjustRightInd w:val="0"/>
        <w:spacing w:before="120"/>
        <w:jc w:val="both"/>
        <w:rPr>
          <w:color w:val="000000"/>
        </w:rPr>
      </w:pPr>
    </w:p>
    <w:p w:rsidR="00405227" w:rsidRDefault="00405227" w:rsidP="00FB0D91">
      <w:pPr>
        <w:jc w:val="both"/>
        <w:rPr>
          <w:spacing w:val="-3"/>
        </w:rPr>
      </w:pPr>
    </w:p>
    <w:sectPr w:rsidR="00405227" w:rsidSect="006736B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6BE5" w:rsidRDefault="00586BE5">
      <w:r>
        <w:separator/>
      </w:r>
    </w:p>
  </w:endnote>
  <w:endnote w:type="continuationSeparator" w:id="0">
    <w:p w:rsidR="00586BE5" w:rsidRDefault="0058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6BE5" w:rsidRDefault="00586BE5">
      <w:r>
        <w:separator/>
      </w:r>
    </w:p>
  </w:footnote>
  <w:footnote w:type="continuationSeparator" w:id="0">
    <w:p w:rsidR="00586BE5" w:rsidRDefault="00586BE5">
      <w:r>
        <w:continuationSeparator/>
      </w:r>
    </w:p>
  </w:footnote>
  <w:footnote w:id="1">
    <w:p w:rsidR="00C04276" w:rsidRDefault="00C04276" w:rsidP="00C02D27">
      <w:pPr>
        <w:pStyle w:val="Textonotapie"/>
        <w:jc w:val="both"/>
      </w:pPr>
      <w:r>
        <w:rPr>
          <w:rStyle w:val="Refdenotaalpie"/>
        </w:rPr>
        <w:footnoteRef/>
      </w:r>
      <w:r>
        <w:t xml:space="preserve"> </w:t>
      </w:r>
      <w:r>
        <w:rPr>
          <w:spacing w:val="-3"/>
        </w:rPr>
        <w:t>Por trabajador transfronterizo se entiende aquel trabajador que obtiene las rentas del desempeño de su trabajo en un Estado del que no es residente pero es residente de un Estado al que retorna diariamente después de finalizar su trabajo</w:t>
      </w:r>
    </w:p>
  </w:footnote>
  <w:footnote w:id="2">
    <w:p w:rsidR="00C04276" w:rsidRDefault="00C04276" w:rsidP="00C02D27">
      <w:pPr>
        <w:pStyle w:val="Textonotapie"/>
        <w:jc w:val="both"/>
      </w:pPr>
      <w:r>
        <w:rPr>
          <w:rStyle w:val="Refdenotaalpie"/>
        </w:rPr>
        <w:footnoteRef/>
      </w:r>
      <w:r>
        <w:t xml:space="preserve"> Se refiere básicamente a los </w:t>
      </w:r>
      <w:r>
        <w:rPr>
          <w:spacing w:val="-3"/>
        </w:rPr>
        <w:t>trabajadores que son destacados por su empleador a un lugar en otro Estado diferente al su lugar de residencia y que no retorna diariamente a su residencia habitual</w:t>
      </w:r>
    </w:p>
  </w:footnote>
  <w:footnote w:id="3">
    <w:p w:rsidR="00C04276" w:rsidRDefault="00C04276" w:rsidP="00CC6539">
      <w:pPr>
        <w:pStyle w:val="Textonotapie"/>
        <w:jc w:val="both"/>
      </w:pPr>
      <w:r>
        <w:rPr>
          <w:rStyle w:val="Refdenotaalpie"/>
        </w:rPr>
        <w:footnoteRef/>
      </w:r>
      <w:r>
        <w:t xml:space="preserve"> </w:t>
      </w:r>
      <w:r w:rsidR="00CC6539">
        <w:t>Con posterioridad se adoptó por la Comisión de la Unión Europea la Comunicación COM (2001) 214 final  La eliminación de los obstáculos fiscales a las prestaciones por pensiones transfronterizas de los sistemas de empleo</w:t>
      </w:r>
    </w:p>
  </w:footnote>
  <w:footnote w:id="4">
    <w:p w:rsidR="00C04276" w:rsidRPr="0011027A" w:rsidRDefault="00C04276" w:rsidP="0011027A">
      <w:pPr>
        <w:autoSpaceDE w:val="0"/>
        <w:autoSpaceDN w:val="0"/>
        <w:adjustRightInd w:val="0"/>
        <w:jc w:val="both"/>
        <w:rPr>
          <w:sz w:val="20"/>
          <w:szCs w:val="20"/>
        </w:rPr>
      </w:pPr>
      <w:r>
        <w:rPr>
          <w:rStyle w:val="Refdenotaalpie"/>
        </w:rPr>
        <w:footnoteRef/>
      </w:r>
      <w:r>
        <w:t xml:space="preserve"> </w:t>
      </w:r>
      <w:r w:rsidRPr="00DF4F37">
        <w:rPr>
          <w:sz w:val="20"/>
          <w:szCs w:val="20"/>
        </w:rPr>
        <w:t>Comunicación de la Comisión al Consejo, al Parlamento Europeo y al Comi</w:t>
      </w:r>
      <w:r>
        <w:rPr>
          <w:sz w:val="20"/>
          <w:szCs w:val="20"/>
        </w:rPr>
        <w:t xml:space="preserve">té Económico y Social Europeo. </w:t>
      </w:r>
      <w:r w:rsidRPr="00DF4F37">
        <w:rPr>
          <w:sz w:val="20"/>
          <w:szCs w:val="20"/>
        </w:rPr>
        <w:t>Imposición de dividendos percibidos por personas físicas en el mercado interior</w:t>
      </w:r>
      <w:r>
        <w:rPr>
          <w:sz w:val="20"/>
          <w:szCs w:val="20"/>
        </w:rPr>
        <w:t xml:space="preserve"> (</w:t>
      </w:r>
      <w:r w:rsidRPr="005C0EB5">
        <w:rPr>
          <w:sz w:val="20"/>
          <w:szCs w:val="20"/>
        </w:rPr>
        <w:t>COM/2003/0810 final</w:t>
      </w:r>
      <w:r>
        <w:rPr>
          <w:sz w:val="20"/>
          <w:szCs w:val="20"/>
        </w:rPr>
        <w:t>).</w:t>
      </w:r>
      <w:r w:rsidRPr="00DF4F37">
        <w:t xml:space="preserve"> </w:t>
      </w:r>
      <w:r w:rsidRPr="005C0EB5">
        <w:rPr>
          <w:sz w:val="20"/>
          <w:szCs w:val="20"/>
        </w:rPr>
        <w:t>Comunicación de la Comisión al Consejo, al Parlamento Europeo y al Comité Económico y Social Europe</w:t>
      </w:r>
      <w:r>
        <w:rPr>
          <w:sz w:val="20"/>
          <w:szCs w:val="20"/>
        </w:rPr>
        <w:t xml:space="preserve">o, de 19 de diciembre de 2006, </w:t>
      </w:r>
      <w:r w:rsidRPr="005C0EB5">
        <w:rPr>
          <w:sz w:val="20"/>
          <w:szCs w:val="20"/>
        </w:rPr>
        <w:t>Imposición de salida y necesidad de coordinación de las políticas trib</w:t>
      </w:r>
      <w:r>
        <w:rPr>
          <w:sz w:val="20"/>
          <w:szCs w:val="20"/>
        </w:rPr>
        <w:t xml:space="preserve">utarias de los Estados miembros </w:t>
      </w:r>
      <w:r w:rsidRPr="005C0EB5">
        <w:rPr>
          <w:sz w:val="20"/>
          <w:szCs w:val="20"/>
        </w:rPr>
        <w:t>COM (2006) 825 final</w:t>
      </w:r>
      <w:r>
        <w:rPr>
          <w:sz w:val="20"/>
          <w:szCs w:val="20"/>
        </w:rPr>
        <w:t>.</w:t>
      </w:r>
    </w:p>
  </w:footnote>
  <w:footnote w:id="5">
    <w:p w:rsidR="00C04276" w:rsidRDefault="00C04276" w:rsidP="00826B4F">
      <w:pPr>
        <w:pStyle w:val="Textonotapie"/>
        <w:jc w:val="both"/>
      </w:pPr>
      <w:r>
        <w:rPr>
          <w:rStyle w:val="Refdenotaalpie"/>
        </w:rPr>
        <w:footnoteRef/>
      </w:r>
      <w:r>
        <w:t xml:space="preserve"> Con fecha de 30 de abril de 2014 se publica la Directiva 2014/54/UE del Parlamento Europeo y del Consejo de 16 de abril de 2014 sobre medidas para facilitar el ejercicio de los derechos conferidos a los trabajadores en el contexto de la libre circulación de los trabajadores.</w:t>
      </w:r>
    </w:p>
  </w:footnote>
  <w:footnote w:id="6">
    <w:p w:rsidR="00C04276" w:rsidRDefault="00C04276" w:rsidP="00826B4F">
      <w:pPr>
        <w:pStyle w:val="Textonotapie"/>
        <w:jc w:val="both"/>
      </w:pPr>
      <w:r>
        <w:rPr>
          <w:rStyle w:val="Refdenotaalpie"/>
        </w:rPr>
        <w:footnoteRef/>
      </w:r>
      <w:r>
        <w:t xml:space="preserve"> De esta forma la Directiva 2004/38/CE del Parlamento Europeo y del Consejo, de 29 de abril de 2004, relativa al derecho de los ciudadanos de la Unión Europea y de los miembros de sus familias a circular y residir libremente en el territorio de los Estados miembros por la que se modifica el Reglamento (CEE) 1612/68 y se derogan otras normas. </w:t>
      </w:r>
    </w:p>
  </w:footnote>
  <w:footnote w:id="7">
    <w:p w:rsidR="00C04276" w:rsidRDefault="00C04276" w:rsidP="000F2F16">
      <w:pPr>
        <w:pStyle w:val="Textonotapie"/>
        <w:jc w:val="both"/>
      </w:pPr>
      <w:r>
        <w:rPr>
          <w:rStyle w:val="Refdenotaalpie"/>
        </w:rPr>
        <w:footnoteRef/>
      </w:r>
      <w:r>
        <w:t xml:space="preserve"> La Estrategia Europea 2020 (Comunicación de la Comisión COM (2010) 2020 de 3 de marzo 2010) concluye que se debe reforzar el papel de los ciudadanos europeos como voz decisiva en la consecución del mercado único. Y así la Comunicación Hacia un Acta del Mercado Único COM (2010) 608, y el Informe sobre la ciudadanía europea COM (2010) 603, identifican a la tributación como uno de los campos donde se presentan limitaciones o barreras a los derechos de los ciudadanos europeos.</w:t>
      </w:r>
    </w:p>
  </w:footnote>
  <w:footnote w:id="8">
    <w:p w:rsidR="00C04276" w:rsidRDefault="00C04276" w:rsidP="00964F1E">
      <w:pPr>
        <w:pStyle w:val="Textonotapie"/>
        <w:jc w:val="both"/>
      </w:pPr>
      <w:r>
        <w:rPr>
          <w:rStyle w:val="Refdenotaalpie"/>
        </w:rPr>
        <w:footnoteRef/>
      </w:r>
      <w:r>
        <w:t xml:space="preserve"> COM (2010) 769 final. </w:t>
      </w:r>
    </w:p>
  </w:footnote>
  <w:footnote w:id="9">
    <w:p w:rsidR="00C04276" w:rsidRDefault="00C04276" w:rsidP="00964F1E">
      <w:pPr>
        <w:pStyle w:val="Textonotapie"/>
        <w:jc w:val="both"/>
      </w:pPr>
      <w:r>
        <w:rPr>
          <w:rStyle w:val="Refdenotaalpie"/>
        </w:rPr>
        <w:footnoteRef/>
      </w:r>
      <w:r>
        <w:t xml:space="preserve"> El documento referenciado en la nota a pie de página anterior lleva incorporado un documento de trabajo de los servicios de la Comisión [(SEC (2010)1576] donde se suministra información sobre los servicios de la Comisión de solución de problemas que se encuentran a disposición de los ciudadanos de la Unión Europea y ofrece ejemplos del tipo de normas fiscales de los Estados miembros que se han declarado incompatibles con las libertades fundamentales de los tratados de la Unión Europea.    </w:t>
      </w:r>
    </w:p>
  </w:footnote>
  <w:footnote w:id="10">
    <w:p w:rsidR="00C04276" w:rsidRDefault="00C04276" w:rsidP="00E52D61">
      <w:pPr>
        <w:pStyle w:val="Textonotapie"/>
        <w:jc w:val="both"/>
      </w:pPr>
      <w:r>
        <w:rPr>
          <w:rStyle w:val="Refdenotaalpie"/>
        </w:rPr>
        <w:footnoteRef/>
      </w:r>
      <w:r>
        <w:t xml:space="preserve"> Como se verá posteriormente, esta postura contrasta con la que mantuvieron algunos Estados miembros en el pasado, que al abordar este tema consideraban que los Convenios para evitar la doble imposición eran el marco idóneo para solventar los problemas de doble imposición y libre circulación de trabajadores en un mercado único. </w:t>
      </w:r>
    </w:p>
  </w:footnote>
  <w:footnote w:id="11">
    <w:p w:rsidR="00C04276" w:rsidRDefault="00C04276" w:rsidP="002177E9">
      <w:pPr>
        <w:pStyle w:val="Textonotapie"/>
        <w:jc w:val="both"/>
      </w:pPr>
      <w:r>
        <w:rPr>
          <w:rStyle w:val="Refdenotaalpie"/>
        </w:rPr>
        <w:footnoteRef/>
      </w:r>
      <w:r>
        <w:t xml:space="preserve"> Existe un documento COM (2011) 712 </w:t>
      </w:r>
      <w:proofErr w:type="gramStart"/>
      <w:r>
        <w:t>final</w:t>
      </w:r>
      <w:proofErr w:type="gramEnd"/>
      <w:r>
        <w:t xml:space="preserve"> sobre la doble imposición en un mercado único.  </w:t>
      </w:r>
    </w:p>
  </w:footnote>
  <w:footnote w:id="12">
    <w:p w:rsidR="00C04276" w:rsidRPr="00343DD0" w:rsidRDefault="00C04276" w:rsidP="00343DD0">
      <w:r>
        <w:rPr>
          <w:rStyle w:val="Refdenotaalpie"/>
        </w:rPr>
        <w:footnoteRef/>
      </w:r>
      <w:r>
        <w:t xml:space="preserve"> </w:t>
      </w:r>
      <w:r w:rsidRPr="00343DD0">
        <w:rPr>
          <w:sz w:val="20"/>
          <w:szCs w:val="20"/>
        </w:rPr>
        <w:t>Informe de 9 de mayo de 2010</w:t>
      </w:r>
      <w:r>
        <w:t xml:space="preserve"> </w:t>
      </w:r>
      <w:r w:rsidRPr="00343DD0">
        <w:t>(</w:t>
      </w:r>
      <w:hyperlink r:id="rId1" w:history="1">
        <w:r w:rsidRPr="00343DD0">
          <w:rPr>
            <w:rStyle w:val="Hipervnculo"/>
            <w:sz w:val="20"/>
            <w:szCs w:val="20"/>
          </w:rPr>
          <w:t>http://ec.europa.eu/internal_market/strategy/docs/monti_report_final_10_05_2010_es.pdf</w:t>
        </w:r>
      </w:hyperlink>
      <w:r w:rsidRPr="00343DD0">
        <w:t>)</w:t>
      </w:r>
    </w:p>
  </w:footnote>
  <w:footnote w:id="13">
    <w:p w:rsidR="00C04276" w:rsidRPr="00FD0223" w:rsidRDefault="00C04276" w:rsidP="00FD0223">
      <w:pPr>
        <w:jc w:val="both"/>
        <w:rPr>
          <w:spacing w:val="-3"/>
          <w:sz w:val="20"/>
          <w:szCs w:val="20"/>
        </w:rPr>
      </w:pPr>
      <w:r>
        <w:rPr>
          <w:rStyle w:val="Refdenotaalpie"/>
        </w:rPr>
        <w:footnoteRef/>
      </w:r>
      <w:r>
        <w:t xml:space="preserve"> </w:t>
      </w:r>
      <w:r>
        <w:rPr>
          <w:spacing w:val="-3"/>
          <w:sz w:val="20"/>
          <w:szCs w:val="20"/>
        </w:rPr>
        <w:t>En su versión de 2008</w:t>
      </w:r>
      <w:r w:rsidRPr="00FD0223">
        <w:rPr>
          <w:spacing w:val="-3"/>
          <w:sz w:val="20"/>
          <w:szCs w:val="20"/>
        </w:rPr>
        <w:t xml:space="preserve">, el artículo 25 del Modelo de Convenio Fiscal de la </w:t>
      </w:r>
      <w:r>
        <w:rPr>
          <w:spacing w:val="-3"/>
          <w:sz w:val="20"/>
          <w:szCs w:val="20"/>
        </w:rPr>
        <w:t xml:space="preserve">OCDE aporta una posible </w:t>
      </w:r>
      <w:r w:rsidRPr="00FD0223">
        <w:rPr>
          <w:spacing w:val="-3"/>
          <w:sz w:val="20"/>
          <w:szCs w:val="20"/>
        </w:rPr>
        <w:t xml:space="preserve">solución, mediante el establecimiento de un procedimiento de mutuo acuerdo unido a un procedimiento de resolución de controversias vinculante para todos aquellos casos de doble imposición no resueltos, si así lo </w:t>
      </w:r>
    </w:p>
    <w:p w:rsidR="00C04276" w:rsidRPr="00FD0223" w:rsidRDefault="00C04276" w:rsidP="00FD0223">
      <w:pPr>
        <w:jc w:val="both"/>
        <w:rPr>
          <w:spacing w:val="-3"/>
          <w:sz w:val="20"/>
          <w:szCs w:val="20"/>
        </w:rPr>
      </w:pPr>
      <w:r w:rsidRPr="00FD0223">
        <w:rPr>
          <w:spacing w:val="-3"/>
          <w:sz w:val="20"/>
          <w:szCs w:val="20"/>
        </w:rPr>
        <w:t xml:space="preserve">solicita el sujeto pasivo. Sin embargo, dichas disposiciones solo se han incluido hasta </w:t>
      </w:r>
      <w:r>
        <w:rPr>
          <w:spacing w:val="-3"/>
          <w:sz w:val="20"/>
          <w:szCs w:val="20"/>
        </w:rPr>
        <w:t xml:space="preserve">la fecha en un número </w:t>
      </w:r>
      <w:r w:rsidRPr="00FD0223">
        <w:rPr>
          <w:spacing w:val="-3"/>
          <w:sz w:val="20"/>
          <w:szCs w:val="20"/>
        </w:rPr>
        <w:t xml:space="preserve">reducido de convenios de doble imposición celebrados entre </w:t>
      </w:r>
      <w:r>
        <w:rPr>
          <w:spacing w:val="-3"/>
          <w:sz w:val="20"/>
          <w:szCs w:val="20"/>
        </w:rPr>
        <w:t>Estados miembros</w:t>
      </w:r>
      <w:r w:rsidRPr="00FD0223">
        <w:rPr>
          <w:spacing w:val="-3"/>
          <w:sz w:val="20"/>
          <w:szCs w:val="20"/>
        </w:rPr>
        <w:t xml:space="preserve">. </w:t>
      </w:r>
    </w:p>
  </w:footnote>
  <w:footnote w:id="14">
    <w:p w:rsidR="00C04276" w:rsidRDefault="00C04276" w:rsidP="005B549F">
      <w:pPr>
        <w:pStyle w:val="Textonotapie"/>
        <w:jc w:val="both"/>
      </w:pPr>
      <w:r>
        <w:rPr>
          <w:rStyle w:val="Refdenotaalpie"/>
        </w:rPr>
        <w:footnoteRef/>
      </w:r>
      <w:r>
        <w:t xml:space="preserve"> Existe Recomendación de la Comisión de 15 de diciembre de 2011 relativa a la eliminación de la doble imposición en materia de herencias (2011/856/UE)</w:t>
      </w:r>
    </w:p>
  </w:footnote>
  <w:footnote w:id="15">
    <w:p w:rsidR="00C04276" w:rsidRPr="00343DD0" w:rsidRDefault="00C04276" w:rsidP="00343DD0">
      <w:pPr>
        <w:jc w:val="both"/>
        <w:rPr>
          <w:color w:val="000000"/>
          <w:sz w:val="20"/>
          <w:szCs w:val="20"/>
        </w:rPr>
      </w:pPr>
      <w:r w:rsidRPr="00343DD0">
        <w:rPr>
          <w:rStyle w:val="Refdenotaalpie"/>
          <w:szCs w:val="20"/>
        </w:rPr>
        <w:footnoteRef/>
      </w:r>
      <w:r w:rsidRPr="00343DD0">
        <w:rPr>
          <w:sz w:val="20"/>
          <w:szCs w:val="20"/>
        </w:rPr>
        <w:t>Existe Recomendación de la Comisión</w:t>
      </w:r>
      <w:r>
        <w:rPr>
          <w:sz w:val="20"/>
          <w:szCs w:val="20"/>
        </w:rPr>
        <w:t xml:space="preserve"> 2009/784/CE de 19 de octubre de 2009</w:t>
      </w:r>
      <w:r w:rsidRPr="00343DD0">
        <w:rPr>
          <w:sz w:val="20"/>
          <w:szCs w:val="20"/>
        </w:rPr>
        <w:t xml:space="preserve">. </w:t>
      </w:r>
    </w:p>
    <w:p w:rsidR="00C04276" w:rsidRPr="00343DD0" w:rsidRDefault="00C04276">
      <w:pPr>
        <w:pStyle w:val="Textonotapie"/>
      </w:pPr>
    </w:p>
  </w:footnote>
  <w:footnote w:id="16">
    <w:p w:rsidR="00C04276" w:rsidRPr="0059202E" w:rsidRDefault="00C04276" w:rsidP="0059202E">
      <w:pPr>
        <w:pStyle w:val="Textonotapie"/>
        <w:jc w:val="both"/>
      </w:pPr>
      <w:r>
        <w:rPr>
          <w:rStyle w:val="Refdenotaalpie"/>
        </w:rPr>
        <w:footnoteRef/>
      </w:r>
      <w:r w:rsidRPr="00787028">
        <w:rPr>
          <w:lang w:val="en-US"/>
        </w:rPr>
        <w:t xml:space="preserve"> </w:t>
      </w:r>
      <w:r w:rsidRPr="00787028">
        <w:rPr>
          <w:spacing w:val="-3"/>
          <w:lang w:val="en-US"/>
        </w:rPr>
        <w:t xml:space="preserve">OCDE: </w:t>
      </w:r>
      <w:r w:rsidRPr="00787028">
        <w:rPr>
          <w:i/>
          <w:iCs/>
          <w:spacing w:val="-3"/>
          <w:lang w:val="en-US"/>
        </w:rPr>
        <w:t>Taxation and Employment</w:t>
      </w:r>
      <w:r w:rsidRPr="00787028">
        <w:rPr>
          <w:iCs/>
          <w:spacing w:val="-3"/>
          <w:lang w:val="en-US"/>
        </w:rPr>
        <w:t xml:space="preserve">. OECD Tax Policy Studies, nº 21, Paris, 2011 </w:t>
      </w:r>
      <w:proofErr w:type="spellStart"/>
      <w:r w:rsidRPr="00787028">
        <w:rPr>
          <w:spacing w:val="-3"/>
          <w:lang w:val="en-US"/>
        </w:rPr>
        <w:t>pág</w:t>
      </w:r>
      <w:proofErr w:type="spellEnd"/>
      <w:r w:rsidRPr="00787028">
        <w:rPr>
          <w:spacing w:val="-3"/>
          <w:lang w:val="en-US"/>
        </w:rPr>
        <w:t xml:space="preserve">. 143. </w:t>
      </w:r>
      <w:r>
        <w:rPr>
          <w:spacing w:val="-3"/>
        </w:rPr>
        <w:t xml:space="preserve">Toda la información que se contiene en </w:t>
      </w:r>
      <w:proofErr w:type="gramStart"/>
      <w:r>
        <w:rPr>
          <w:spacing w:val="-3"/>
        </w:rPr>
        <w:t>este</w:t>
      </w:r>
      <w:proofErr w:type="gramEnd"/>
      <w:r>
        <w:rPr>
          <w:spacing w:val="-3"/>
        </w:rPr>
        <w:t xml:space="preserve"> artículo ha sido recogida del Informe OCDE que menciono, y al que me remito por ser más extenso en su tratamiento (sin estar circunscrito a países de la Unión Europea o del Espacio Económico Europeo).</w:t>
      </w:r>
    </w:p>
  </w:footnote>
  <w:footnote w:id="17">
    <w:p w:rsidR="00C04276" w:rsidRPr="007F7F84" w:rsidRDefault="00C04276" w:rsidP="007F7F84">
      <w:pPr>
        <w:pStyle w:val="Textonotapie"/>
        <w:jc w:val="both"/>
        <w:rPr>
          <w:spacing w:val="-3"/>
        </w:rPr>
      </w:pPr>
      <w:r>
        <w:rPr>
          <w:rStyle w:val="Refdenotaalpie"/>
        </w:rPr>
        <w:footnoteRef/>
      </w:r>
      <w:r w:rsidRPr="0059202E">
        <w:t xml:space="preserve"> </w:t>
      </w:r>
      <w:r w:rsidRPr="0059202E">
        <w:rPr>
          <w:spacing w:val="-3"/>
        </w:rPr>
        <w:t xml:space="preserve">OCDE: </w:t>
      </w:r>
      <w:proofErr w:type="spellStart"/>
      <w:r w:rsidRPr="0059202E">
        <w:rPr>
          <w:i/>
          <w:iCs/>
          <w:spacing w:val="-3"/>
        </w:rPr>
        <w:t>op</w:t>
      </w:r>
      <w:proofErr w:type="spellEnd"/>
      <w:r w:rsidRPr="0059202E">
        <w:rPr>
          <w:i/>
          <w:iCs/>
          <w:spacing w:val="-3"/>
        </w:rPr>
        <w:t>. cit.</w:t>
      </w:r>
      <w:r w:rsidRPr="0059202E">
        <w:rPr>
          <w:spacing w:val="-3"/>
        </w:rPr>
        <w:t xml:space="preserve">,  pág. 142. </w:t>
      </w:r>
      <w:r>
        <w:rPr>
          <w:spacing w:val="-3"/>
        </w:rPr>
        <w:t>A mi juicio, y pese a que gran parte de la doctrina considera estos regímenes como  contrarios al principio de igualdad, ya sea a nivel constitucional o a nivel de la Unión Europea, considero que no son contrarios, pues precisamente se otorgan con un carácter limitado en el tiempo, normalmente por un plazo de cinco años, ya que a partir de este momento la persona física se puede considerar residente en el país de acogida, y entonces pasa a tributar igual que los demás residentes en ese país. A pesar de lo dicho, existe planteamiento de decisión prejudicial</w:t>
      </w:r>
      <w:r w:rsidRPr="007F7F84">
        <w:rPr>
          <w:spacing w:val="-3"/>
        </w:rPr>
        <w:t xml:space="preserve"> por el </w:t>
      </w:r>
      <w:proofErr w:type="spellStart"/>
      <w:r w:rsidRPr="007F7F84">
        <w:rPr>
          <w:spacing w:val="-3"/>
        </w:rPr>
        <w:t>Hoge</w:t>
      </w:r>
      <w:proofErr w:type="spellEnd"/>
      <w:r w:rsidRPr="007F7F84">
        <w:rPr>
          <w:spacing w:val="-3"/>
        </w:rPr>
        <w:t xml:space="preserve"> </w:t>
      </w:r>
      <w:proofErr w:type="spellStart"/>
      <w:r w:rsidRPr="007F7F84">
        <w:rPr>
          <w:spacing w:val="-3"/>
        </w:rPr>
        <w:t>Raad</w:t>
      </w:r>
      <w:proofErr w:type="spellEnd"/>
      <w:r w:rsidRPr="007F7F84">
        <w:rPr>
          <w:spacing w:val="-3"/>
        </w:rPr>
        <w:t xml:space="preserve"> der </w:t>
      </w:r>
      <w:proofErr w:type="spellStart"/>
      <w:r w:rsidRPr="007F7F84">
        <w:rPr>
          <w:spacing w:val="-3"/>
        </w:rPr>
        <w:t>Nederlanden</w:t>
      </w:r>
      <w:proofErr w:type="spellEnd"/>
      <w:r w:rsidRPr="007F7F84">
        <w:rPr>
          <w:spacing w:val="-3"/>
        </w:rPr>
        <w:t xml:space="preserve"> (Países Bajos) el 25 de septiembre de 2013 – X /</w:t>
      </w:r>
      <w:r>
        <w:rPr>
          <w:spacing w:val="-3"/>
        </w:rPr>
        <w:t xml:space="preserve"> </w:t>
      </w:r>
      <w:proofErr w:type="spellStart"/>
      <w:r>
        <w:rPr>
          <w:spacing w:val="-3"/>
        </w:rPr>
        <w:t>Staatssecretaris</w:t>
      </w:r>
      <w:proofErr w:type="spellEnd"/>
      <w:r>
        <w:rPr>
          <w:spacing w:val="-3"/>
        </w:rPr>
        <w:t xml:space="preserve"> van </w:t>
      </w:r>
      <w:proofErr w:type="spellStart"/>
      <w:r>
        <w:rPr>
          <w:spacing w:val="-3"/>
        </w:rPr>
        <w:t>Financiën</w:t>
      </w:r>
      <w:proofErr w:type="spellEnd"/>
      <w:r>
        <w:rPr>
          <w:spacing w:val="-3"/>
        </w:rPr>
        <w:t xml:space="preserve"> </w:t>
      </w:r>
      <w:r w:rsidRPr="007F7F84">
        <w:rPr>
          <w:spacing w:val="-3"/>
        </w:rPr>
        <w:t>(Asunto C-512/13)</w:t>
      </w:r>
      <w:r>
        <w:rPr>
          <w:spacing w:val="-3"/>
        </w:rPr>
        <w:t xml:space="preserve">.      </w:t>
      </w:r>
    </w:p>
  </w:footnote>
  <w:footnote w:id="18">
    <w:p w:rsidR="00C04276" w:rsidRDefault="00C04276">
      <w:pPr>
        <w:pStyle w:val="Textonotapie"/>
      </w:pPr>
      <w:r>
        <w:rPr>
          <w:rStyle w:val="Refdenotaalpie"/>
        </w:rPr>
        <w:footnoteRef/>
      </w:r>
      <w:r>
        <w:t xml:space="preserve"> </w:t>
      </w:r>
      <w:r>
        <w:rPr>
          <w:spacing w:val="-3"/>
        </w:rPr>
        <w:t>OCDE</w:t>
      </w:r>
      <w:r w:rsidRPr="00405FC5">
        <w:rPr>
          <w:spacing w:val="-3"/>
        </w:rPr>
        <w:t xml:space="preserve">: </w:t>
      </w:r>
      <w:proofErr w:type="spellStart"/>
      <w:r w:rsidRPr="00F65D2E">
        <w:rPr>
          <w:i/>
          <w:spacing w:val="-3"/>
        </w:rPr>
        <w:t>op</w:t>
      </w:r>
      <w:proofErr w:type="spellEnd"/>
      <w:r w:rsidRPr="00F65D2E">
        <w:rPr>
          <w:i/>
          <w:spacing w:val="-3"/>
        </w:rPr>
        <w:t>. cit</w:t>
      </w:r>
      <w:r w:rsidRPr="00405FC5">
        <w:rPr>
          <w:spacing w:val="-3"/>
        </w:rPr>
        <w:t>., pág. 140</w:t>
      </w:r>
    </w:p>
  </w:footnote>
  <w:footnote w:id="19">
    <w:p w:rsidR="00C04276" w:rsidRDefault="00C04276" w:rsidP="001154AA">
      <w:pPr>
        <w:pStyle w:val="Textonotapie"/>
        <w:jc w:val="both"/>
      </w:pPr>
      <w:r>
        <w:rPr>
          <w:rStyle w:val="Refdenotaalpie"/>
        </w:rPr>
        <w:footnoteRef/>
      </w:r>
      <w:r>
        <w:t xml:space="preserve"> La cuestión prejudicial que se formula respecto al régimen holandés se centra básicamente en si existe restricción a la libre circulación de trabajadores cuando se otorga una indemnización (calificado como reembolso de gastos de locomoción, de restaurantes y de hospedaje)  libre de impuestos por una compañía a determinado tipo de impatriados, que no tiene que justificarse, frente a otro tipo de impatriados, que por su proximidad con la frontera holandesa, tienen que justificar los gastos en los que incurren efectivamente, para que se consideren reembolsos de gastos libres de impuestos, pues, en este último caso, Holanda está presumiendo que el impatriado normalmente no va a incurrir en este tipo de gastos, así que si incurre para que la cuantía quede libre de impuestos, se tiene que justificar.   </w:t>
      </w:r>
    </w:p>
    <w:p w:rsidR="00C04276" w:rsidRDefault="00C04276" w:rsidP="007F7F84">
      <w:pPr>
        <w:pStyle w:val="Textonotapie"/>
        <w:jc w:val="both"/>
      </w:pPr>
    </w:p>
  </w:footnote>
  <w:footnote w:id="20">
    <w:p w:rsidR="00C04276" w:rsidRPr="00787028" w:rsidRDefault="00C04276" w:rsidP="001F6CE2">
      <w:pPr>
        <w:pStyle w:val="Textonotapie"/>
        <w:jc w:val="both"/>
      </w:pPr>
      <w:r>
        <w:rPr>
          <w:rStyle w:val="Refdenotaalpie"/>
        </w:rPr>
        <w:footnoteRef/>
      </w:r>
      <w:r w:rsidRPr="00787028">
        <w:t xml:space="preserve"> Asunto C-279/04.</w:t>
      </w:r>
    </w:p>
  </w:footnote>
  <w:footnote w:id="21">
    <w:p w:rsidR="00C04276" w:rsidRPr="00BB65A2" w:rsidRDefault="00C04276" w:rsidP="00BB65A2">
      <w:pPr>
        <w:pStyle w:val="Textonotapie"/>
        <w:jc w:val="both"/>
      </w:pPr>
      <w:r>
        <w:rPr>
          <w:rStyle w:val="Refdenotaalpie"/>
        </w:rPr>
        <w:footnoteRef/>
      </w:r>
      <w:r w:rsidRPr="00BB65A2">
        <w:t xml:space="preserve"> </w:t>
      </w:r>
      <w:r>
        <w:t>Reglamento relativo a la competencia, la ley aplicable, el reconocimiento y la ejecución de los documentos públicos en materia de sucesiones mortis causa y a la creación de un certificado sucesorio europeo.</w:t>
      </w:r>
    </w:p>
  </w:footnote>
  <w:footnote w:id="22">
    <w:p w:rsidR="00C04276" w:rsidRPr="003946DA" w:rsidRDefault="00C04276" w:rsidP="00993F0D">
      <w:pPr>
        <w:pStyle w:val="Textonotapie"/>
        <w:jc w:val="both"/>
      </w:pPr>
      <w:r>
        <w:rPr>
          <w:rStyle w:val="Refdenotaalpie"/>
        </w:rPr>
        <w:footnoteRef/>
      </w:r>
      <w:r w:rsidRPr="00993F0D">
        <w:rPr>
          <w:lang w:val="en-US"/>
        </w:rPr>
        <w:t xml:space="preserve"> Malcolm </w:t>
      </w:r>
      <w:proofErr w:type="spellStart"/>
      <w:r w:rsidRPr="00993F0D">
        <w:rPr>
          <w:lang w:val="en-US"/>
        </w:rPr>
        <w:t>Gammie</w:t>
      </w:r>
      <w:proofErr w:type="spellEnd"/>
      <w:r w:rsidRPr="00993F0D">
        <w:rPr>
          <w:lang w:val="en-US"/>
        </w:rPr>
        <w:t xml:space="preserve"> y </w:t>
      </w:r>
      <w:proofErr w:type="spellStart"/>
      <w:r w:rsidRPr="00993F0D">
        <w:rPr>
          <w:lang w:val="en-US"/>
        </w:rPr>
        <w:t>otros</w:t>
      </w:r>
      <w:proofErr w:type="spellEnd"/>
      <w:r w:rsidRPr="00993F0D">
        <w:rPr>
          <w:lang w:val="en-US"/>
        </w:rPr>
        <w:t xml:space="preserve">: </w:t>
      </w:r>
      <w:r w:rsidRPr="00993F0D">
        <w:rPr>
          <w:i/>
          <w:lang w:val="en-US"/>
        </w:rPr>
        <w:t>Home State Taxation</w:t>
      </w:r>
      <w:r>
        <w:rPr>
          <w:lang w:val="en-US"/>
        </w:rPr>
        <w:t xml:space="preserve">. </w:t>
      </w:r>
      <w:r w:rsidRPr="003946DA">
        <w:t xml:space="preserve">IBFD </w:t>
      </w:r>
      <w:proofErr w:type="spellStart"/>
      <w:r w:rsidRPr="003946DA">
        <w:t>Publications</w:t>
      </w:r>
      <w:proofErr w:type="spellEnd"/>
      <w:r w:rsidRPr="003946DA">
        <w:t xml:space="preserve">. </w:t>
      </w:r>
      <w:proofErr w:type="spellStart"/>
      <w:r w:rsidRPr="003946DA">
        <w:t>Amsterdam</w:t>
      </w:r>
      <w:proofErr w:type="spellEnd"/>
      <w:r w:rsidRPr="003946DA">
        <w:t>, 2001.</w:t>
      </w:r>
    </w:p>
  </w:footnote>
  <w:footnote w:id="23">
    <w:p w:rsidR="00C04276" w:rsidRDefault="00C04276" w:rsidP="00E46B61">
      <w:pPr>
        <w:pStyle w:val="Textonotapie"/>
        <w:jc w:val="both"/>
      </w:pPr>
      <w:r>
        <w:rPr>
          <w:rStyle w:val="Refdenotaalpie"/>
        </w:rPr>
        <w:footnoteRef/>
      </w:r>
      <w:r>
        <w:t xml:space="preserve"> En el caso de España, es necesario remitirse a los Convenios firmados con Portugal y Francia, donde expresamente se recoge el tratamiento de trabajadores transfronterizos.</w:t>
      </w:r>
    </w:p>
  </w:footnote>
  <w:footnote w:id="24">
    <w:p w:rsidR="00C04276" w:rsidRDefault="00C04276" w:rsidP="00873DDC">
      <w:pPr>
        <w:pStyle w:val="Textonotapie"/>
        <w:jc w:val="both"/>
      </w:pPr>
      <w:r>
        <w:rPr>
          <w:rStyle w:val="Refdenotaalpie"/>
        </w:rPr>
        <w:footnoteRef/>
      </w:r>
      <w:r>
        <w:t xml:space="preserve"> Publicada en el Diario Oficial C 21/6 de 26 de enero de 1980.</w:t>
      </w:r>
    </w:p>
  </w:footnote>
  <w:footnote w:id="25">
    <w:p w:rsidR="00C04276" w:rsidRDefault="00C04276" w:rsidP="003946DA">
      <w:pPr>
        <w:pStyle w:val="Textonotapie"/>
        <w:jc w:val="both"/>
      </w:pPr>
      <w:r>
        <w:rPr>
          <w:rStyle w:val="Refdenotaalpie"/>
        </w:rPr>
        <w:footnoteRef/>
      </w:r>
      <w:r>
        <w:t xml:space="preserve"> Directiva 2014/48/UE Del Consejo de 24 de marzo de 2014 por la que se modifica la Directiva 2003/48/CE en materia de fiscalidad de los rendimientos del ahorro en forma de pago de intereses. </w:t>
      </w:r>
    </w:p>
  </w:footnote>
  <w:footnote w:id="26">
    <w:p w:rsidR="00787028" w:rsidRDefault="00787028" w:rsidP="00787028">
      <w:pPr>
        <w:pStyle w:val="Textonotapie"/>
        <w:jc w:val="both"/>
      </w:pPr>
      <w:r>
        <w:rPr>
          <w:rStyle w:val="Refdenotaalpie"/>
        </w:rPr>
        <w:footnoteRef/>
      </w:r>
      <w:r>
        <w:t xml:space="preserve"> En España se recoge en el Texto Refundido de la ley del Impuesto sobre la Renta de las Personas Físicas y respecto a las personas que ostentan la nacionalidad española y siempre que trasladan su residencia a un paraíso fiscal o un país o territorio de nula o baja tributación</w:t>
      </w:r>
      <w:r w:rsidR="00C04384">
        <w:t>, como posteriormente comentaremos</w:t>
      </w:r>
      <w:proofErr w:type="gramStart"/>
      <w:r w:rsidR="00C04384">
        <w:t>.</w:t>
      </w:r>
      <w:r>
        <w:t>.</w:t>
      </w:r>
      <w:proofErr w:type="gramEnd"/>
      <w:r>
        <w:t xml:space="preserve"> </w:t>
      </w:r>
    </w:p>
  </w:footnote>
  <w:footnote w:id="27">
    <w:p w:rsidR="00C04276" w:rsidRDefault="00C04276">
      <w:pPr>
        <w:pStyle w:val="Textonotapie"/>
      </w:pPr>
      <w:r>
        <w:rPr>
          <w:rStyle w:val="Refdenotaalpie"/>
        </w:rPr>
        <w:footnoteRef/>
      </w:r>
      <w:r>
        <w:t xml:space="preserve"> Así la redacción de la norma parece descansar sobre la permanencia, aunque no sea efectiva, puesto que las ausencias temporales no se consideran supuestos de no permanencia.</w:t>
      </w:r>
    </w:p>
  </w:footnote>
  <w:footnote w:id="28">
    <w:p w:rsidR="006D7C95" w:rsidRDefault="006D7C95" w:rsidP="006D7C95">
      <w:pPr>
        <w:pStyle w:val="Textonotapie"/>
        <w:jc w:val="both"/>
      </w:pPr>
      <w:r>
        <w:rPr>
          <w:rStyle w:val="Refdenotaalpie"/>
        </w:rPr>
        <w:footnoteRef/>
      </w:r>
      <w:r>
        <w:t xml:space="preserve"> Esta cláusula de cierre o cortapisa realmente no evita que se produzcan problemas de doble no imposición o de </w:t>
      </w:r>
      <w:proofErr w:type="spellStart"/>
      <w:r>
        <w:t>desimposición</w:t>
      </w:r>
      <w:proofErr w:type="spellEnd"/>
      <w:r>
        <w:t xml:space="preserve"> absoluta.</w:t>
      </w:r>
    </w:p>
  </w:footnote>
  <w:footnote w:id="29">
    <w:p w:rsidR="006D7C95" w:rsidRDefault="006D7C95" w:rsidP="00F704DF">
      <w:pPr>
        <w:pStyle w:val="Textonotapie"/>
        <w:jc w:val="both"/>
      </w:pPr>
      <w:r>
        <w:rPr>
          <w:rStyle w:val="Refdenotaalpie"/>
        </w:rPr>
        <w:footnoteRef/>
      </w:r>
      <w:r>
        <w:t xml:space="preserve"> </w:t>
      </w:r>
      <w:r w:rsidR="00F704DF">
        <w:t>Sentencia TJUE de 12 de julio de 2102, C-269/09.</w:t>
      </w:r>
    </w:p>
  </w:footnote>
  <w:footnote w:id="30">
    <w:p w:rsidR="0066592C" w:rsidRDefault="0066592C">
      <w:pPr>
        <w:pStyle w:val="Textonotapie"/>
      </w:pPr>
      <w:r>
        <w:rPr>
          <w:rStyle w:val="Refdenotaalpie"/>
        </w:rPr>
        <w:footnoteRef/>
      </w:r>
      <w:r>
        <w:t xml:space="preserve"> </w:t>
      </w:r>
      <w:r w:rsidR="00F704DF" w:rsidRPr="00F704DF">
        <w:t>Parágrafo 6.1 y ss. de los Comentarios al Modelo de Convenio de la OCDE.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E5699B"/>
    <w:multiLevelType w:val="multilevel"/>
    <w:tmpl w:val="A378CBD8"/>
    <w:lvl w:ilvl="0">
      <w:start w:val="1"/>
      <w:numFmt w:val="upperRoman"/>
      <w:pStyle w:val="Ttulo1"/>
      <w:lvlText w:val="%1."/>
      <w:lvlJc w:val="left"/>
      <w:pPr>
        <w:tabs>
          <w:tab w:val="num" w:pos="720"/>
        </w:tabs>
        <w:ind w:left="0" w:firstLine="0"/>
      </w:pPr>
      <w:rPr>
        <w:sz w:val="20"/>
      </w:rPr>
    </w:lvl>
    <w:lvl w:ilvl="1">
      <w:start w:val="1"/>
      <w:numFmt w:val="upperLetter"/>
      <w:pStyle w:val="Ttulo2"/>
      <w:lvlText w:val="%2."/>
      <w:lvlJc w:val="left"/>
      <w:pPr>
        <w:tabs>
          <w:tab w:val="num" w:pos="851"/>
        </w:tabs>
        <w:ind w:left="851" w:hanging="454"/>
      </w:pPr>
      <w:rPr>
        <w:sz w:val="20"/>
      </w:rPr>
    </w:lvl>
    <w:lvl w:ilvl="2">
      <w:start w:val="1"/>
      <w:numFmt w:val="decimal"/>
      <w:pStyle w:val="Ttulo3"/>
      <w:lvlText w:val="%3."/>
      <w:lvlJc w:val="left"/>
      <w:pPr>
        <w:tabs>
          <w:tab w:val="num" w:pos="1304"/>
        </w:tabs>
        <w:ind w:left="1304" w:hanging="453"/>
      </w:pPr>
      <w:rPr>
        <w:sz w:val="20"/>
      </w:rPr>
    </w:lvl>
    <w:lvl w:ilvl="3">
      <w:start w:val="1"/>
      <w:numFmt w:val="lowerLetter"/>
      <w:pStyle w:val="Ttulo4"/>
      <w:lvlText w:val="%4)"/>
      <w:lvlJc w:val="left"/>
      <w:pPr>
        <w:tabs>
          <w:tab w:val="num" w:pos="1701"/>
        </w:tabs>
        <w:ind w:left="1701" w:hanging="397"/>
      </w:pPr>
    </w:lvl>
    <w:lvl w:ilvl="4">
      <w:start w:val="1"/>
      <w:numFmt w:val="decimal"/>
      <w:pStyle w:val="Ttulo5"/>
      <w:lvlText w:val="(%5)"/>
      <w:lvlJc w:val="left"/>
      <w:pPr>
        <w:tabs>
          <w:tab w:val="num" w:pos="2155"/>
        </w:tabs>
        <w:ind w:left="2155" w:hanging="454"/>
      </w:pPr>
    </w:lvl>
    <w:lvl w:ilvl="5">
      <w:start w:val="1"/>
      <w:numFmt w:val="lowerLetter"/>
      <w:pStyle w:val="Ttulo6"/>
      <w:lvlText w:val="(%6)"/>
      <w:lvlJc w:val="left"/>
      <w:pPr>
        <w:tabs>
          <w:tab w:val="num" w:pos="2665"/>
        </w:tabs>
        <w:ind w:left="2665" w:hanging="510"/>
      </w:pPr>
    </w:lvl>
    <w:lvl w:ilvl="6">
      <w:start w:val="1"/>
      <w:numFmt w:val="lowerRoman"/>
      <w:pStyle w:val="Ttulo7"/>
      <w:lvlText w:val="(%7)"/>
      <w:lvlJc w:val="left"/>
      <w:pPr>
        <w:tabs>
          <w:tab w:val="num" w:pos="3385"/>
        </w:tabs>
        <w:ind w:left="3119" w:hanging="454"/>
      </w:pPr>
    </w:lvl>
    <w:lvl w:ilvl="7">
      <w:start w:val="1"/>
      <w:numFmt w:val="lowerLetter"/>
      <w:pStyle w:val="Ttulo8"/>
      <w:lvlText w:val="(%8)"/>
      <w:lvlJc w:val="left"/>
      <w:pPr>
        <w:tabs>
          <w:tab w:val="num" w:pos="3572"/>
        </w:tabs>
        <w:ind w:left="3572" w:hanging="453"/>
      </w:pPr>
    </w:lvl>
    <w:lvl w:ilvl="8">
      <w:start w:val="1"/>
      <w:numFmt w:val="lowerRoman"/>
      <w:pStyle w:val="Ttulo9"/>
      <w:lvlText w:val="(%9)"/>
      <w:lvlJc w:val="left"/>
      <w:pPr>
        <w:tabs>
          <w:tab w:val="num" w:pos="4292"/>
        </w:tabs>
        <w:ind w:left="4026" w:hanging="454"/>
      </w:pPr>
    </w:lvl>
  </w:abstractNum>
  <w:abstractNum w:abstractNumId="1">
    <w:nsid w:val="2FB74005"/>
    <w:multiLevelType w:val="hybridMultilevel"/>
    <w:tmpl w:val="2B000B0A"/>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3AA74F97"/>
    <w:multiLevelType w:val="hybridMultilevel"/>
    <w:tmpl w:val="781EA2D8"/>
    <w:lvl w:ilvl="0" w:tplc="C018CFA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4CFC1261"/>
    <w:multiLevelType w:val="hybridMultilevel"/>
    <w:tmpl w:val="2C1C92EE"/>
    <w:lvl w:ilvl="0" w:tplc="14F2EE30">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5CA8639B"/>
    <w:multiLevelType w:val="hybridMultilevel"/>
    <w:tmpl w:val="5C580F6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7A8B69A1"/>
    <w:multiLevelType w:val="hybridMultilevel"/>
    <w:tmpl w:val="DE3427B4"/>
    <w:lvl w:ilvl="0" w:tplc="E4A88550">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0"/>
  </w:num>
  <w:num w:numId="5">
    <w:abstractNumId w:val="3"/>
  </w:num>
  <w:num w:numId="6">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A4E"/>
    <w:rsid w:val="00002A2C"/>
    <w:rsid w:val="00023CAE"/>
    <w:rsid w:val="00050CF5"/>
    <w:rsid w:val="00055140"/>
    <w:rsid w:val="0006181E"/>
    <w:rsid w:val="000620B1"/>
    <w:rsid w:val="00074E6E"/>
    <w:rsid w:val="0008652F"/>
    <w:rsid w:val="000865F7"/>
    <w:rsid w:val="000A3655"/>
    <w:rsid w:val="000B06E0"/>
    <w:rsid w:val="000D04F0"/>
    <w:rsid w:val="000F2F16"/>
    <w:rsid w:val="0011027A"/>
    <w:rsid w:val="001154AA"/>
    <w:rsid w:val="00162471"/>
    <w:rsid w:val="001625E8"/>
    <w:rsid w:val="001941C3"/>
    <w:rsid w:val="00197B81"/>
    <w:rsid w:val="001A0ACD"/>
    <w:rsid w:val="001E1242"/>
    <w:rsid w:val="001E304C"/>
    <w:rsid w:val="001F6CE2"/>
    <w:rsid w:val="0020269B"/>
    <w:rsid w:val="00206DFD"/>
    <w:rsid w:val="002159F2"/>
    <w:rsid w:val="002177E9"/>
    <w:rsid w:val="002432A4"/>
    <w:rsid w:val="00266475"/>
    <w:rsid w:val="00274740"/>
    <w:rsid w:val="002754EE"/>
    <w:rsid w:val="00275D44"/>
    <w:rsid w:val="00290738"/>
    <w:rsid w:val="002A014D"/>
    <w:rsid w:val="002B4881"/>
    <w:rsid w:val="002C29C9"/>
    <w:rsid w:val="002C5327"/>
    <w:rsid w:val="002C5748"/>
    <w:rsid w:val="002F0CE9"/>
    <w:rsid w:val="002F733C"/>
    <w:rsid w:val="00300B2F"/>
    <w:rsid w:val="003019E7"/>
    <w:rsid w:val="00302CF9"/>
    <w:rsid w:val="0033482E"/>
    <w:rsid w:val="00337693"/>
    <w:rsid w:val="00343DD0"/>
    <w:rsid w:val="00352D35"/>
    <w:rsid w:val="00354B9B"/>
    <w:rsid w:val="003575C8"/>
    <w:rsid w:val="00364454"/>
    <w:rsid w:val="00366370"/>
    <w:rsid w:val="00366547"/>
    <w:rsid w:val="003946DA"/>
    <w:rsid w:val="003B6D60"/>
    <w:rsid w:val="003C167F"/>
    <w:rsid w:val="003C7550"/>
    <w:rsid w:val="003D073C"/>
    <w:rsid w:val="003D4AB1"/>
    <w:rsid w:val="003E2474"/>
    <w:rsid w:val="003E6F73"/>
    <w:rsid w:val="00405227"/>
    <w:rsid w:val="00405FC5"/>
    <w:rsid w:val="00413FE6"/>
    <w:rsid w:val="00414A9F"/>
    <w:rsid w:val="00447618"/>
    <w:rsid w:val="00450E41"/>
    <w:rsid w:val="00461C64"/>
    <w:rsid w:val="00463F51"/>
    <w:rsid w:val="004744A0"/>
    <w:rsid w:val="00490D09"/>
    <w:rsid w:val="004A7992"/>
    <w:rsid w:val="004B6A48"/>
    <w:rsid w:val="004D428B"/>
    <w:rsid w:val="004E4532"/>
    <w:rsid w:val="00500B98"/>
    <w:rsid w:val="005223A3"/>
    <w:rsid w:val="00547627"/>
    <w:rsid w:val="00553A4E"/>
    <w:rsid w:val="00570544"/>
    <w:rsid w:val="0058187E"/>
    <w:rsid w:val="00586BE5"/>
    <w:rsid w:val="0059202E"/>
    <w:rsid w:val="005B549F"/>
    <w:rsid w:val="005C0EB5"/>
    <w:rsid w:val="005D2A7C"/>
    <w:rsid w:val="005F07B3"/>
    <w:rsid w:val="00602A5F"/>
    <w:rsid w:val="00611C34"/>
    <w:rsid w:val="006151CA"/>
    <w:rsid w:val="00616D7C"/>
    <w:rsid w:val="0062552A"/>
    <w:rsid w:val="0063012E"/>
    <w:rsid w:val="00647CED"/>
    <w:rsid w:val="0065204C"/>
    <w:rsid w:val="00656133"/>
    <w:rsid w:val="0066592C"/>
    <w:rsid w:val="006736B0"/>
    <w:rsid w:val="00676B69"/>
    <w:rsid w:val="006779CD"/>
    <w:rsid w:val="00692C48"/>
    <w:rsid w:val="006B1BE9"/>
    <w:rsid w:val="006D7C95"/>
    <w:rsid w:val="006E2520"/>
    <w:rsid w:val="006E6172"/>
    <w:rsid w:val="00722763"/>
    <w:rsid w:val="00727714"/>
    <w:rsid w:val="00741338"/>
    <w:rsid w:val="007673ED"/>
    <w:rsid w:val="0078610E"/>
    <w:rsid w:val="00787028"/>
    <w:rsid w:val="007955D7"/>
    <w:rsid w:val="007A034B"/>
    <w:rsid w:val="007C0B9E"/>
    <w:rsid w:val="007C2542"/>
    <w:rsid w:val="007F19C6"/>
    <w:rsid w:val="007F7F84"/>
    <w:rsid w:val="008005C6"/>
    <w:rsid w:val="00826112"/>
    <w:rsid w:val="00826B4F"/>
    <w:rsid w:val="00827CE2"/>
    <w:rsid w:val="00847A35"/>
    <w:rsid w:val="00854CA9"/>
    <w:rsid w:val="00862424"/>
    <w:rsid w:val="0086694A"/>
    <w:rsid w:val="0087147A"/>
    <w:rsid w:val="00873DDC"/>
    <w:rsid w:val="00877369"/>
    <w:rsid w:val="008835D4"/>
    <w:rsid w:val="008918D0"/>
    <w:rsid w:val="008A1597"/>
    <w:rsid w:val="008B415E"/>
    <w:rsid w:val="008C352F"/>
    <w:rsid w:val="008E146F"/>
    <w:rsid w:val="008E4D2F"/>
    <w:rsid w:val="008E7435"/>
    <w:rsid w:val="00916D47"/>
    <w:rsid w:val="00926C0A"/>
    <w:rsid w:val="00931496"/>
    <w:rsid w:val="00947237"/>
    <w:rsid w:val="009544B9"/>
    <w:rsid w:val="00963C40"/>
    <w:rsid w:val="00964F1E"/>
    <w:rsid w:val="00982FA3"/>
    <w:rsid w:val="009842E9"/>
    <w:rsid w:val="00993F0D"/>
    <w:rsid w:val="00996D45"/>
    <w:rsid w:val="009E36D5"/>
    <w:rsid w:val="009E3832"/>
    <w:rsid w:val="009F5997"/>
    <w:rsid w:val="00A01959"/>
    <w:rsid w:val="00A15D53"/>
    <w:rsid w:val="00A24D80"/>
    <w:rsid w:val="00A27EC0"/>
    <w:rsid w:val="00A31F55"/>
    <w:rsid w:val="00A3227C"/>
    <w:rsid w:val="00A414F3"/>
    <w:rsid w:val="00A51FED"/>
    <w:rsid w:val="00A60BE0"/>
    <w:rsid w:val="00A67D5B"/>
    <w:rsid w:val="00A77ACB"/>
    <w:rsid w:val="00A853A9"/>
    <w:rsid w:val="00AB275E"/>
    <w:rsid w:val="00AB2D30"/>
    <w:rsid w:val="00AD0000"/>
    <w:rsid w:val="00AD54D0"/>
    <w:rsid w:val="00AE13D1"/>
    <w:rsid w:val="00AE731B"/>
    <w:rsid w:val="00B22B8A"/>
    <w:rsid w:val="00B426B9"/>
    <w:rsid w:val="00B43140"/>
    <w:rsid w:val="00B54A9B"/>
    <w:rsid w:val="00B625FF"/>
    <w:rsid w:val="00B660DF"/>
    <w:rsid w:val="00B7061D"/>
    <w:rsid w:val="00B727E9"/>
    <w:rsid w:val="00B81A9E"/>
    <w:rsid w:val="00BB65A2"/>
    <w:rsid w:val="00BC253A"/>
    <w:rsid w:val="00BC4BA4"/>
    <w:rsid w:val="00BE33D0"/>
    <w:rsid w:val="00BE4CA1"/>
    <w:rsid w:val="00C00CED"/>
    <w:rsid w:val="00C02D27"/>
    <w:rsid w:val="00C04276"/>
    <w:rsid w:val="00C04384"/>
    <w:rsid w:val="00C10D47"/>
    <w:rsid w:val="00C32FB4"/>
    <w:rsid w:val="00C6220A"/>
    <w:rsid w:val="00C71D04"/>
    <w:rsid w:val="00C82F38"/>
    <w:rsid w:val="00C907DF"/>
    <w:rsid w:val="00CC3380"/>
    <w:rsid w:val="00CC6539"/>
    <w:rsid w:val="00CD05C7"/>
    <w:rsid w:val="00CD7956"/>
    <w:rsid w:val="00CD7D5F"/>
    <w:rsid w:val="00CE6141"/>
    <w:rsid w:val="00D16207"/>
    <w:rsid w:val="00D278DB"/>
    <w:rsid w:val="00D30558"/>
    <w:rsid w:val="00D57329"/>
    <w:rsid w:val="00D820E5"/>
    <w:rsid w:val="00D94DED"/>
    <w:rsid w:val="00DA1A9C"/>
    <w:rsid w:val="00DB7F48"/>
    <w:rsid w:val="00DC21B1"/>
    <w:rsid w:val="00DC22ED"/>
    <w:rsid w:val="00DC4BB5"/>
    <w:rsid w:val="00DE1F52"/>
    <w:rsid w:val="00DF4F37"/>
    <w:rsid w:val="00E02F05"/>
    <w:rsid w:val="00E03302"/>
    <w:rsid w:val="00E20087"/>
    <w:rsid w:val="00E41076"/>
    <w:rsid w:val="00E423E3"/>
    <w:rsid w:val="00E46B61"/>
    <w:rsid w:val="00E52D61"/>
    <w:rsid w:val="00E81919"/>
    <w:rsid w:val="00E845F0"/>
    <w:rsid w:val="00E956FB"/>
    <w:rsid w:val="00E9787A"/>
    <w:rsid w:val="00EA68EE"/>
    <w:rsid w:val="00EC1291"/>
    <w:rsid w:val="00ED2FF8"/>
    <w:rsid w:val="00ED730D"/>
    <w:rsid w:val="00EE4C7B"/>
    <w:rsid w:val="00EF3704"/>
    <w:rsid w:val="00F02CF7"/>
    <w:rsid w:val="00F5504E"/>
    <w:rsid w:val="00F65D2E"/>
    <w:rsid w:val="00F704DF"/>
    <w:rsid w:val="00F9334F"/>
    <w:rsid w:val="00FB0D91"/>
    <w:rsid w:val="00FC0732"/>
    <w:rsid w:val="00FC1148"/>
    <w:rsid w:val="00FD0223"/>
    <w:rsid w:val="00FD44B3"/>
    <w:rsid w:val="00FE53F3"/>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36B0"/>
    <w:rPr>
      <w:sz w:val="24"/>
      <w:szCs w:val="24"/>
    </w:rPr>
  </w:style>
  <w:style w:type="paragraph" w:styleId="Ttulo1">
    <w:name w:val="heading 1"/>
    <w:basedOn w:val="Normal"/>
    <w:next w:val="Normal"/>
    <w:qFormat/>
    <w:rsid w:val="006736B0"/>
    <w:pPr>
      <w:keepNext/>
      <w:numPr>
        <w:numId w:val="4"/>
      </w:numPr>
      <w:tabs>
        <w:tab w:val="clear" w:pos="720"/>
        <w:tab w:val="num" w:pos="497"/>
      </w:tabs>
      <w:spacing w:before="240" w:after="60"/>
      <w:ind w:left="497" w:hanging="497"/>
      <w:outlineLvl w:val="0"/>
    </w:pPr>
    <w:rPr>
      <w:rFonts w:ascii="Arial" w:hAnsi="Arial"/>
      <w:b/>
      <w:kern w:val="28"/>
      <w:szCs w:val="20"/>
    </w:rPr>
  </w:style>
  <w:style w:type="paragraph" w:styleId="Ttulo2">
    <w:name w:val="heading 2"/>
    <w:basedOn w:val="Normal"/>
    <w:next w:val="Normal"/>
    <w:qFormat/>
    <w:rsid w:val="006736B0"/>
    <w:pPr>
      <w:keepNext/>
      <w:numPr>
        <w:ilvl w:val="1"/>
        <w:numId w:val="4"/>
      </w:numPr>
      <w:spacing w:before="240" w:after="60"/>
      <w:outlineLvl w:val="1"/>
    </w:pPr>
    <w:rPr>
      <w:rFonts w:ascii="Arial" w:hAnsi="Arial"/>
      <w:b/>
      <w:i/>
      <w:szCs w:val="20"/>
    </w:rPr>
  </w:style>
  <w:style w:type="paragraph" w:styleId="Ttulo3">
    <w:name w:val="heading 3"/>
    <w:basedOn w:val="Normal"/>
    <w:next w:val="Normal"/>
    <w:qFormat/>
    <w:rsid w:val="006736B0"/>
    <w:pPr>
      <w:keepNext/>
      <w:numPr>
        <w:ilvl w:val="2"/>
        <w:numId w:val="4"/>
      </w:numPr>
      <w:spacing w:before="240" w:after="60"/>
      <w:outlineLvl w:val="2"/>
    </w:pPr>
    <w:rPr>
      <w:rFonts w:ascii="Arial" w:hAnsi="Arial"/>
      <w:szCs w:val="20"/>
    </w:rPr>
  </w:style>
  <w:style w:type="paragraph" w:styleId="Ttulo4">
    <w:name w:val="heading 4"/>
    <w:basedOn w:val="Normal"/>
    <w:next w:val="Normal"/>
    <w:qFormat/>
    <w:rsid w:val="006736B0"/>
    <w:pPr>
      <w:keepNext/>
      <w:numPr>
        <w:ilvl w:val="3"/>
        <w:numId w:val="4"/>
      </w:numPr>
      <w:spacing w:before="240" w:after="60"/>
      <w:outlineLvl w:val="3"/>
    </w:pPr>
    <w:rPr>
      <w:rFonts w:ascii="Arial" w:hAnsi="Arial"/>
      <w:b/>
      <w:szCs w:val="20"/>
    </w:rPr>
  </w:style>
  <w:style w:type="paragraph" w:styleId="Ttulo5">
    <w:name w:val="heading 5"/>
    <w:basedOn w:val="Normal"/>
    <w:next w:val="Normal"/>
    <w:qFormat/>
    <w:rsid w:val="006736B0"/>
    <w:pPr>
      <w:numPr>
        <w:ilvl w:val="4"/>
        <w:numId w:val="4"/>
      </w:numPr>
      <w:spacing w:before="240" w:after="60"/>
      <w:outlineLvl w:val="4"/>
    </w:pPr>
    <w:rPr>
      <w:sz w:val="22"/>
      <w:szCs w:val="20"/>
    </w:rPr>
  </w:style>
  <w:style w:type="paragraph" w:styleId="Ttulo6">
    <w:name w:val="heading 6"/>
    <w:basedOn w:val="Normal"/>
    <w:next w:val="Normal"/>
    <w:qFormat/>
    <w:rsid w:val="006736B0"/>
    <w:pPr>
      <w:numPr>
        <w:ilvl w:val="5"/>
        <w:numId w:val="4"/>
      </w:numPr>
      <w:spacing w:before="240" w:after="60"/>
      <w:outlineLvl w:val="5"/>
    </w:pPr>
    <w:rPr>
      <w:i/>
      <w:sz w:val="22"/>
      <w:szCs w:val="20"/>
    </w:rPr>
  </w:style>
  <w:style w:type="paragraph" w:styleId="Ttulo7">
    <w:name w:val="heading 7"/>
    <w:basedOn w:val="Normal"/>
    <w:next w:val="Normal"/>
    <w:qFormat/>
    <w:rsid w:val="006736B0"/>
    <w:pPr>
      <w:numPr>
        <w:ilvl w:val="6"/>
        <w:numId w:val="4"/>
      </w:numPr>
      <w:spacing w:before="240" w:after="60"/>
      <w:outlineLvl w:val="6"/>
    </w:pPr>
    <w:rPr>
      <w:rFonts w:ascii="Arial" w:hAnsi="Arial"/>
      <w:sz w:val="20"/>
      <w:szCs w:val="20"/>
    </w:rPr>
  </w:style>
  <w:style w:type="paragraph" w:styleId="Ttulo8">
    <w:name w:val="heading 8"/>
    <w:basedOn w:val="Normal"/>
    <w:next w:val="Normal"/>
    <w:qFormat/>
    <w:rsid w:val="006736B0"/>
    <w:pPr>
      <w:numPr>
        <w:ilvl w:val="7"/>
        <w:numId w:val="4"/>
      </w:numPr>
      <w:spacing w:before="240" w:after="60"/>
      <w:outlineLvl w:val="7"/>
    </w:pPr>
    <w:rPr>
      <w:rFonts w:ascii="Arial" w:hAnsi="Arial"/>
      <w:i/>
      <w:sz w:val="20"/>
      <w:szCs w:val="20"/>
    </w:rPr>
  </w:style>
  <w:style w:type="paragraph" w:styleId="Ttulo9">
    <w:name w:val="heading 9"/>
    <w:basedOn w:val="Normal"/>
    <w:next w:val="Normal"/>
    <w:qFormat/>
    <w:rsid w:val="006736B0"/>
    <w:pPr>
      <w:numPr>
        <w:ilvl w:val="8"/>
        <w:numId w:val="4"/>
      </w:numPr>
      <w:spacing w:before="240" w:after="60"/>
      <w:outlineLvl w:val="8"/>
    </w:pPr>
    <w:rPr>
      <w:rFonts w:ascii="Arial" w:hAnsi="Arial"/>
      <w:b/>
      <w:i/>
      <w:sz w:val="1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rsid w:val="006736B0"/>
    <w:pPr>
      <w:jc w:val="both"/>
    </w:pPr>
    <w:rPr>
      <w:rFonts w:ascii="Arial" w:hAnsi="Arial"/>
      <w:b/>
      <w:bCs/>
    </w:rPr>
  </w:style>
  <w:style w:type="paragraph" w:styleId="Textoindependiente2">
    <w:name w:val="Body Text 2"/>
    <w:basedOn w:val="Normal"/>
    <w:semiHidden/>
    <w:rsid w:val="006736B0"/>
    <w:pPr>
      <w:autoSpaceDE w:val="0"/>
      <w:autoSpaceDN w:val="0"/>
      <w:adjustRightInd w:val="0"/>
      <w:jc w:val="both"/>
    </w:pPr>
    <w:rPr>
      <w:rFonts w:ascii="Arial" w:hAnsi="Arial" w:cs="Arial"/>
      <w:szCs w:val="20"/>
    </w:rPr>
  </w:style>
  <w:style w:type="paragraph" w:styleId="Textoindependiente3">
    <w:name w:val="Body Text 3"/>
    <w:basedOn w:val="Normal"/>
    <w:semiHidden/>
    <w:rsid w:val="006736B0"/>
    <w:pPr>
      <w:autoSpaceDE w:val="0"/>
      <w:autoSpaceDN w:val="0"/>
      <w:adjustRightInd w:val="0"/>
      <w:jc w:val="both"/>
    </w:pPr>
    <w:rPr>
      <w:rFonts w:ascii="Arial" w:hAnsi="Arial" w:cs="Arial"/>
      <w:sz w:val="20"/>
    </w:rPr>
  </w:style>
  <w:style w:type="character" w:styleId="Refdenotaalpie">
    <w:name w:val="footnote reference"/>
    <w:basedOn w:val="Fuentedeprrafopredeter"/>
    <w:semiHidden/>
    <w:rsid w:val="006736B0"/>
    <w:rPr>
      <w:sz w:val="20"/>
      <w:vertAlign w:val="superscript"/>
    </w:rPr>
  </w:style>
  <w:style w:type="paragraph" w:styleId="Textonotapie">
    <w:name w:val="footnote text"/>
    <w:basedOn w:val="Normal"/>
    <w:semiHidden/>
    <w:rsid w:val="006736B0"/>
    <w:pPr>
      <w:widowControl w:val="0"/>
      <w:overflowPunct w:val="0"/>
      <w:autoSpaceDE w:val="0"/>
      <w:autoSpaceDN w:val="0"/>
      <w:adjustRightInd w:val="0"/>
      <w:textAlignment w:val="baseline"/>
    </w:pPr>
    <w:rPr>
      <w:sz w:val="20"/>
      <w:szCs w:val="20"/>
    </w:rPr>
  </w:style>
  <w:style w:type="character" w:styleId="Hipervnculo">
    <w:name w:val="Hyperlink"/>
    <w:basedOn w:val="Fuentedeprrafopredeter"/>
    <w:semiHidden/>
    <w:rsid w:val="006736B0"/>
    <w:rPr>
      <w:color w:val="6666CC"/>
      <w:u w:val="single"/>
    </w:rPr>
  </w:style>
  <w:style w:type="paragraph" w:customStyle="1" w:styleId="CM1">
    <w:name w:val="CM1"/>
    <w:basedOn w:val="Normal"/>
    <w:next w:val="Normal"/>
    <w:uiPriority w:val="99"/>
    <w:rsid w:val="00676B69"/>
    <w:pPr>
      <w:autoSpaceDE w:val="0"/>
      <w:autoSpaceDN w:val="0"/>
      <w:adjustRightInd w:val="0"/>
    </w:pPr>
    <w:rPr>
      <w:rFonts w:ascii="EUAlbertina" w:hAnsi="EUAlbertina"/>
    </w:rPr>
  </w:style>
  <w:style w:type="paragraph" w:customStyle="1" w:styleId="CM3">
    <w:name w:val="CM3"/>
    <w:basedOn w:val="Normal"/>
    <w:next w:val="Normal"/>
    <w:uiPriority w:val="99"/>
    <w:rsid w:val="00676B69"/>
    <w:pPr>
      <w:autoSpaceDE w:val="0"/>
      <w:autoSpaceDN w:val="0"/>
      <w:adjustRightInd w:val="0"/>
    </w:pPr>
    <w:rPr>
      <w:rFonts w:ascii="EUAlbertina" w:hAnsi="EUAlbertina"/>
    </w:rPr>
  </w:style>
  <w:style w:type="paragraph" w:customStyle="1" w:styleId="CM4">
    <w:name w:val="CM4"/>
    <w:basedOn w:val="Normal"/>
    <w:next w:val="Normal"/>
    <w:uiPriority w:val="99"/>
    <w:rsid w:val="00676B69"/>
    <w:pPr>
      <w:autoSpaceDE w:val="0"/>
      <w:autoSpaceDN w:val="0"/>
      <w:adjustRightInd w:val="0"/>
    </w:pPr>
    <w:rPr>
      <w:rFonts w:ascii="EUAlbertina" w:hAnsi="EUAlbertina"/>
    </w:rPr>
  </w:style>
  <w:style w:type="paragraph" w:customStyle="1" w:styleId="Default">
    <w:name w:val="Default"/>
    <w:rsid w:val="00676B69"/>
    <w:pPr>
      <w:autoSpaceDE w:val="0"/>
      <w:autoSpaceDN w:val="0"/>
      <w:adjustRightInd w:val="0"/>
    </w:pPr>
    <w:rPr>
      <w:rFonts w:ascii="EUAlbertina" w:hAnsi="EUAlbertina" w:cs="EUAlbertina"/>
      <w:color w:val="000000"/>
      <w:sz w:val="24"/>
      <w:szCs w:val="24"/>
    </w:rPr>
  </w:style>
  <w:style w:type="paragraph" w:customStyle="1" w:styleId="articulo">
    <w:name w:val="articulo"/>
    <w:basedOn w:val="Normal"/>
    <w:rsid w:val="00916D47"/>
    <w:pPr>
      <w:spacing w:before="100" w:beforeAutospacing="1" w:after="100" w:afterAutospacing="1"/>
    </w:pPr>
  </w:style>
  <w:style w:type="paragraph" w:customStyle="1" w:styleId="parrafo">
    <w:name w:val="parrafo"/>
    <w:basedOn w:val="Normal"/>
    <w:rsid w:val="00916D47"/>
    <w:pPr>
      <w:spacing w:before="100" w:beforeAutospacing="1" w:after="100" w:afterAutospacing="1"/>
    </w:pPr>
  </w:style>
  <w:style w:type="paragraph" w:customStyle="1" w:styleId="parrafo2">
    <w:name w:val="parrafo_2"/>
    <w:basedOn w:val="Normal"/>
    <w:rsid w:val="00916D47"/>
    <w:pPr>
      <w:spacing w:before="100" w:beforeAutospacing="1" w:after="100" w:afterAutospacing="1"/>
    </w:pPr>
  </w:style>
  <w:style w:type="paragraph" w:styleId="NormalWeb">
    <w:name w:val="Normal (Web)"/>
    <w:basedOn w:val="Normal"/>
    <w:uiPriority w:val="99"/>
    <w:semiHidden/>
    <w:unhideWhenUsed/>
    <w:rsid w:val="00343DD0"/>
    <w:pPr>
      <w:spacing w:before="100" w:beforeAutospacing="1" w:after="100" w:afterAutospacing="1"/>
    </w:pPr>
  </w:style>
  <w:style w:type="paragraph" w:styleId="Prrafodelista">
    <w:name w:val="List Paragraph"/>
    <w:basedOn w:val="Normal"/>
    <w:uiPriority w:val="34"/>
    <w:qFormat/>
    <w:rsid w:val="00E423E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36B0"/>
    <w:rPr>
      <w:sz w:val="24"/>
      <w:szCs w:val="24"/>
    </w:rPr>
  </w:style>
  <w:style w:type="paragraph" w:styleId="Ttulo1">
    <w:name w:val="heading 1"/>
    <w:basedOn w:val="Normal"/>
    <w:next w:val="Normal"/>
    <w:qFormat/>
    <w:rsid w:val="006736B0"/>
    <w:pPr>
      <w:keepNext/>
      <w:numPr>
        <w:numId w:val="4"/>
      </w:numPr>
      <w:tabs>
        <w:tab w:val="clear" w:pos="720"/>
        <w:tab w:val="num" w:pos="497"/>
      </w:tabs>
      <w:spacing w:before="240" w:after="60"/>
      <w:ind w:left="497" w:hanging="497"/>
      <w:outlineLvl w:val="0"/>
    </w:pPr>
    <w:rPr>
      <w:rFonts w:ascii="Arial" w:hAnsi="Arial"/>
      <w:b/>
      <w:kern w:val="28"/>
      <w:szCs w:val="20"/>
    </w:rPr>
  </w:style>
  <w:style w:type="paragraph" w:styleId="Ttulo2">
    <w:name w:val="heading 2"/>
    <w:basedOn w:val="Normal"/>
    <w:next w:val="Normal"/>
    <w:qFormat/>
    <w:rsid w:val="006736B0"/>
    <w:pPr>
      <w:keepNext/>
      <w:numPr>
        <w:ilvl w:val="1"/>
        <w:numId w:val="4"/>
      </w:numPr>
      <w:spacing w:before="240" w:after="60"/>
      <w:outlineLvl w:val="1"/>
    </w:pPr>
    <w:rPr>
      <w:rFonts w:ascii="Arial" w:hAnsi="Arial"/>
      <w:b/>
      <w:i/>
      <w:szCs w:val="20"/>
    </w:rPr>
  </w:style>
  <w:style w:type="paragraph" w:styleId="Ttulo3">
    <w:name w:val="heading 3"/>
    <w:basedOn w:val="Normal"/>
    <w:next w:val="Normal"/>
    <w:qFormat/>
    <w:rsid w:val="006736B0"/>
    <w:pPr>
      <w:keepNext/>
      <w:numPr>
        <w:ilvl w:val="2"/>
        <w:numId w:val="4"/>
      </w:numPr>
      <w:spacing w:before="240" w:after="60"/>
      <w:outlineLvl w:val="2"/>
    </w:pPr>
    <w:rPr>
      <w:rFonts w:ascii="Arial" w:hAnsi="Arial"/>
      <w:szCs w:val="20"/>
    </w:rPr>
  </w:style>
  <w:style w:type="paragraph" w:styleId="Ttulo4">
    <w:name w:val="heading 4"/>
    <w:basedOn w:val="Normal"/>
    <w:next w:val="Normal"/>
    <w:qFormat/>
    <w:rsid w:val="006736B0"/>
    <w:pPr>
      <w:keepNext/>
      <w:numPr>
        <w:ilvl w:val="3"/>
        <w:numId w:val="4"/>
      </w:numPr>
      <w:spacing w:before="240" w:after="60"/>
      <w:outlineLvl w:val="3"/>
    </w:pPr>
    <w:rPr>
      <w:rFonts w:ascii="Arial" w:hAnsi="Arial"/>
      <w:b/>
      <w:szCs w:val="20"/>
    </w:rPr>
  </w:style>
  <w:style w:type="paragraph" w:styleId="Ttulo5">
    <w:name w:val="heading 5"/>
    <w:basedOn w:val="Normal"/>
    <w:next w:val="Normal"/>
    <w:qFormat/>
    <w:rsid w:val="006736B0"/>
    <w:pPr>
      <w:numPr>
        <w:ilvl w:val="4"/>
        <w:numId w:val="4"/>
      </w:numPr>
      <w:spacing w:before="240" w:after="60"/>
      <w:outlineLvl w:val="4"/>
    </w:pPr>
    <w:rPr>
      <w:sz w:val="22"/>
      <w:szCs w:val="20"/>
    </w:rPr>
  </w:style>
  <w:style w:type="paragraph" w:styleId="Ttulo6">
    <w:name w:val="heading 6"/>
    <w:basedOn w:val="Normal"/>
    <w:next w:val="Normal"/>
    <w:qFormat/>
    <w:rsid w:val="006736B0"/>
    <w:pPr>
      <w:numPr>
        <w:ilvl w:val="5"/>
        <w:numId w:val="4"/>
      </w:numPr>
      <w:spacing w:before="240" w:after="60"/>
      <w:outlineLvl w:val="5"/>
    </w:pPr>
    <w:rPr>
      <w:i/>
      <w:sz w:val="22"/>
      <w:szCs w:val="20"/>
    </w:rPr>
  </w:style>
  <w:style w:type="paragraph" w:styleId="Ttulo7">
    <w:name w:val="heading 7"/>
    <w:basedOn w:val="Normal"/>
    <w:next w:val="Normal"/>
    <w:qFormat/>
    <w:rsid w:val="006736B0"/>
    <w:pPr>
      <w:numPr>
        <w:ilvl w:val="6"/>
        <w:numId w:val="4"/>
      </w:numPr>
      <w:spacing w:before="240" w:after="60"/>
      <w:outlineLvl w:val="6"/>
    </w:pPr>
    <w:rPr>
      <w:rFonts w:ascii="Arial" w:hAnsi="Arial"/>
      <w:sz w:val="20"/>
      <w:szCs w:val="20"/>
    </w:rPr>
  </w:style>
  <w:style w:type="paragraph" w:styleId="Ttulo8">
    <w:name w:val="heading 8"/>
    <w:basedOn w:val="Normal"/>
    <w:next w:val="Normal"/>
    <w:qFormat/>
    <w:rsid w:val="006736B0"/>
    <w:pPr>
      <w:numPr>
        <w:ilvl w:val="7"/>
        <w:numId w:val="4"/>
      </w:numPr>
      <w:spacing w:before="240" w:after="60"/>
      <w:outlineLvl w:val="7"/>
    </w:pPr>
    <w:rPr>
      <w:rFonts w:ascii="Arial" w:hAnsi="Arial"/>
      <w:i/>
      <w:sz w:val="20"/>
      <w:szCs w:val="20"/>
    </w:rPr>
  </w:style>
  <w:style w:type="paragraph" w:styleId="Ttulo9">
    <w:name w:val="heading 9"/>
    <w:basedOn w:val="Normal"/>
    <w:next w:val="Normal"/>
    <w:qFormat/>
    <w:rsid w:val="006736B0"/>
    <w:pPr>
      <w:numPr>
        <w:ilvl w:val="8"/>
        <w:numId w:val="4"/>
      </w:numPr>
      <w:spacing w:before="240" w:after="60"/>
      <w:outlineLvl w:val="8"/>
    </w:pPr>
    <w:rPr>
      <w:rFonts w:ascii="Arial" w:hAnsi="Arial"/>
      <w:b/>
      <w:i/>
      <w:sz w:val="1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rsid w:val="006736B0"/>
    <w:pPr>
      <w:jc w:val="both"/>
    </w:pPr>
    <w:rPr>
      <w:rFonts w:ascii="Arial" w:hAnsi="Arial"/>
      <w:b/>
      <w:bCs/>
    </w:rPr>
  </w:style>
  <w:style w:type="paragraph" w:styleId="Textoindependiente2">
    <w:name w:val="Body Text 2"/>
    <w:basedOn w:val="Normal"/>
    <w:semiHidden/>
    <w:rsid w:val="006736B0"/>
    <w:pPr>
      <w:autoSpaceDE w:val="0"/>
      <w:autoSpaceDN w:val="0"/>
      <w:adjustRightInd w:val="0"/>
      <w:jc w:val="both"/>
    </w:pPr>
    <w:rPr>
      <w:rFonts w:ascii="Arial" w:hAnsi="Arial" w:cs="Arial"/>
      <w:szCs w:val="20"/>
    </w:rPr>
  </w:style>
  <w:style w:type="paragraph" w:styleId="Textoindependiente3">
    <w:name w:val="Body Text 3"/>
    <w:basedOn w:val="Normal"/>
    <w:semiHidden/>
    <w:rsid w:val="006736B0"/>
    <w:pPr>
      <w:autoSpaceDE w:val="0"/>
      <w:autoSpaceDN w:val="0"/>
      <w:adjustRightInd w:val="0"/>
      <w:jc w:val="both"/>
    </w:pPr>
    <w:rPr>
      <w:rFonts w:ascii="Arial" w:hAnsi="Arial" w:cs="Arial"/>
      <w:sz w:val="20"/>
    </w:rPr>
  </w:style>
  <w:style w:type="character" w:styleId="Refdenotaalpie">
    <w:name w:val="footnote reference"/>
    <w:basedOn w:val="Fuentedeprrafopredeter"/>
    <w:semiHidden/>
    <w:rsid w:val="006736B0"/>
    <w:rPr>
      <w:sz w:val="20"/>
      <w:vertAlign w:val="superscript"/>
    </w:rPr>
  </w:style>
  <w:style w:type="paragraph" w:styleId="Textonotapie">
    <w:name w:val="footnote text"/>
    <w:basedOn w:val="Normal"/>
    <w:semiHidden/>
    <w:rsid w:val="006736B0"/>
    <w:pPr>
      <w:widowControl w:val="0"/>
      <w:overflowPunct w:val="0"/>
      <w:autoSpaceDE w:val="0"/>
      <w:autoSpaceDN w:val="0"/>
      <w:adjustRightInd w:val="0"/>
      <w:textAlignment w:val="baseline"/>
    </w:pPr>
    <w:rPr>
      <w:sz w:val="20"/>
      <w:szCs w:val="20"/>
    </w:rPr>
  </w:style>
  <w:style w:type="character" w:styleId="Hipervnculo">
    <w:name w:val="Hyperlink"/>
    <w:basedOn w:val="Fuentedeprrafopredeter"/>
    <w:semiHidden/>
    <w:rsid w:val="006736B0"/>
    <w:rPr>
      <w:color w:val="6666CC"/>
      <w:u w:val="single"/>
    </w:rPr>
  </w:style>
  <w:style w:type="paragraph" w:customStyle="1" w:styleId="CM1">
    <w:name w:val="CM1"/>
    <w:basedOn w:val="Normal"/>
    <w:next w:val="Normal"/>
    <w:uiPriority w:val="99"/>
    <w:rsid w:val="00676B69"/>
    <w:pPr>
      <w:autoSpaceDE w:val="0"/>
      <w:autoSpaceDN w:val="0"/>
      <w:adjustRightInd w:val="0"/>
    </w:pPr>
    <w:rPr>
      <w:rFonts w:ascii="EUAlbertina" w:hAnsi="EUAlbertina"/>
    </w:rPr>
  </w:style>
  <w:style w:type="paragraph" w:customStyle="1" w:styleId="CM3">
    <w:name w:val="CM3"/>
    <w:basedOn w:val="Normal"/>
    <w:next w:val="Normal"/>
    <w:uiPriority w:val="99"/>
    <w:rsid w:val="00676B69"/>
    <w:pPr>
      <w:autoSpaceDE w:val="0"/>
      <w:autoSpaceDN w:val="0"/>
      <w:adjustRightInd w:val="0"/>
    </w:pPr>
    <w:rPr>
      <w:rFonts w:ascii="EUAlbertina" w:hAnsi="EUAlbertina"/>
    </w:rPr>
  </w:style>
  <w:style w:type="paragraph" w:customStyle="1" w:styleId="CM4">
    <w:name w:val="CM4"/>
    <w:basedOn w:val="Normal"/>
    <w:next w:val="Normal"/>
    <w:uiPriority w:val="99"/>
    <w:rsid w:val="00676B69"/>
    <w:pPr>
      <w:autoSpaceDE w:val="0"/>
      <w:autoSpaceDN w:val="0"/>
      <w:adjustRightInd w:val="0"/>
    </w:pPr>
    <w:rPr>
      <w:rFonts w:ascii="EUAlbertina" w:hAnsi="EUAlbertina"/>
    </w:rPr>
  </w:style>
  <w:style w:type="paragraph" w:customStyle="1" w:styleId="Default">
    <w:name w:val="Default"/>
    <w:rsid w:val="00676B69"/>
    <w:pPr>
      <w:autoSpaceDE w:val="0"/>
      <w:autoSpaceDN w:val="0"/>
      <w:adjustRightInd w:val="0"/>
    </w:pPr>
    <w:rPr>
      <w:rFonts w:ascii="EUAlbertina" w:hAnsi="EUAlbertina" w:cs="EUAlbertina"/>
      <w:color w:val="000000"/>
      <w:sz w:val="24"/>
      <w:szCs w:val="24"/>
    </w:rPr>
  </w:style>
  <w:style w:type="paragraph" w:customStyle="1" w:styleId="articulo">
    <w:name w:val="articulo"/>
    <w:basedOn w:val="Normal"/>
    <w:rsid w:val="00916D47"/>
    <w:pPr>
      <w:spacing w:before="100" w:beforeAutospacing="1" w:after="100" w:afterAutospacing="1"/>
    </w:pPr>
  </w:style>
  <w:style w:type="paragraph" w:customStyle="1" w:styleId="parrafo">
    <w:name w:val="parrafo"/>
    <w:basedOn w:val="Normal"/>
    <w:rsid w:val="00916D47"/>
    <w:pPr>
      <w:spacing w:before="100" w:beforeAutospacing="1" w:after="100" w:afterAutospacing="1"/>
    </w:pPr>
  </w:style>
  <w:style w:type="paragraph" w:customStyle="1" w:styleId="parrafo2">
    <w:name w:val="parrafo_2"/>
    <w:basedOn w:val="Normal"/>
    <w:rsid w:val="00916D47"/>
    <w:pPr>
      <w:spacing w:before="100" w:beforeAutospacing="1" w:after="100" w:afterAutospacing="1"/>
    </w:pPr>
  </w:style>
  <w:style w:type="paragraph" w:styleId="NormalWeb">
    <w:name w:val="Normal (Web)"/>
    <w:basedOn w:val="Normal"/>
    <w:uiPriority w:val="99"/>
    <w:semiHidden/>
    <w:unhideWhenUsed/>
    <w:rsid w:val="00343DD0"/>
    <w:pPr>
      <w:spacing w:before="100" w:beforeAutospacing="1" w:after="100" w:afterAutospacing="1"/>
    </w:pPr>
  </w:style>
  <w:style w:type="paragraph" w:styleId="Prrafodelista">
    <w:name w:val="List Paragraph"/>
    <w:basedOn w:val="Normal"/>
    <w:uiPriority w:val="34"/>
    <w:qFormat/>
    <w:rsid w:val="00E423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7837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ec.europa.eu/internal_market/strategy/docs/monti_report_final_10_05_2010_es.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9CD064-3A10-49B8-8283-8E995B8A3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8139</Words>
  <Characters>44770</Characters>
  <Application>Microsoft Office Word</Application>
  <DocSecurity>0</DocSecurity>
  <Lines>373</Lines>
  <Paragraphs>105</Paragraphs>
  <ScaleCrop>false</ScaleCrop>
  <HeadingPairs>
    <vt:vector size="2" baseType="variant">
      <vt:variant>
        <vt:lpstr>Título</vt:lpstr>
      </vt:variant>
      <vt:variant>
        <vt:i4>1</vt:i4>
      </vt:variant>
    </vt:vector>
  </HeadingPairs>
  <TitlesOfParts>
    <vt:vector size="1" baseType="lpstr">
      <vt:lpstr/>
    </vt:vector>
  </TitlesOfParts>
  <Company>Universidad P. Comillas</Company>
  <LinksUpToDate>false</LinksUpToDate>
  <CharactersWithSpaces>52804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S.T.I.C.</dc:creator>
  <cp:lastModifiedBy>S.T.I.C.</cp:lastModifiedBy>
  <cp:revision>2</cp:revision>
  <dcterms:created xsi:type="dcterms:W3CDTF">2017-03-07T11:37:00Z</dcterms:created>
  <dcterms:modified xsi:type="dcterms:W3CDTF">2017-03-07T11:37:00Z</dcterms:modified>
</cp:coreProperties>
</file>