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FFB" w:rsidRDefault="006D7FFB" w:rsidP="006D7FFB">
      <w:pPr>
        <w:widowControl w:val="0"/>
        <w:autoSpaceDE w:val="0"/>
        <w:autoSpaceDN w:val="0"/>
        <w:adjustRightInd w:val="0"/>
        <w:jc w:val="right"/>
        <w:rPr>
          <w:rFonts w:ascii="Times" w:hAnsi="Times" w:cs="Times"/>
          <w:color w:val="383E48"/>
          <w:lang w:val="es-ES"/>
        </w:rPr>
      </w:pPr>
      <w:bookmarkStart w:id="0" w:name="_GoBack"/>
      <w:bookmarkEnd w:id="0"/>
      <w:r>
        <w:rPr>
          <w:rFonts w:ascii="Times" w:hAnsi="Times" w:cs="Times"/>
          <w:noProof/>
          <w:color w:val="383E48"/>
          <w:lang w:val="es-ES"/>
        </w:rPr>
        <w:drawing>
          <wp:inline distT="0" distB="0" distL="0" distR="0">
            <wp:extent cx="1901190" cy="2707005"/>
            <wp:effectExtent l="0" t="0" r="3810" b="1079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270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FFB" w:rsidRDefault="006D7FFB" w:rsidP="006D7FFB">
      <w:pPr>
        <w:widowControl w:val="0"/>
        <w:autoSpaceDE w:val="0"/>
        <w:autoSpaceDN w:val="0"/>
        <w:adjustRightInd w:val="0"/>
        <w:jc w:val="right"/>
        <w:rPr>
          <w:rFonts w:ascii="Times" w:hAnsi="Times" w:cs="Times"/>
          <w:color w:val="383E48"/>
          <w:lang w:val="es-ES"/>
        </w:rPr>
      </w:pPr>
      <w:hyperlink r:id="rId7" w:history="1">
        <w:r>
          <w:rPr>
            <w:rFonts w:ascii="Tahoma" w:hAnsi="Tahoma" w:cs="Tahoma"/>
            <w:b/>
            <w:bCs/>
            <w:color w:val="95345A"/>
            <w:sz w:val="22"/>
            <w:szCs w:val="22"/>
            <w:u w:val="single" w:color="95345A"/>
            <w:lang w:val="es-ES"/>
          </w:rPr>
          <w:t>ampliar imagen</w:t>
        </w:r>
      </w:hyperlink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20"/>
        <w:gridCol w:w="520"/>
      </w:tblGrid>
      <w:tr w:rsidR="006D7FFB">
        <w:tblPrEx>
          <w:tblCellMar>
            <w:top w:w="0" w:type="dxa"/>
            <w:bottom w:w="0" w:type="dxa"/>
          </w:tblCellMar>
        </w:tblPrEx>
        <w:tc>
          <w:tcPr>
            <w:tcW w:w="1520" w:type="dxa"/>
          </w:tcPr>
          <w:p w:rsidR="006D7FFB" w:rsidRDefault="006D7F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1D1D1D"/>
                <w:sz w:val="32"/>
                <w:szCs w:val="32"/>
                <w:lang w:val="es-ES"/>
              </w:rPr>
            </w:pPr>
          </w:p>
          <w:p w:rsidR="006D7FFB" w:rsidRDefault="006D7F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1D1D1D"/>
                <w:sz w:val="32"/>
                <w:szCs w:val="32"/>
                <w:lang w:val="es-ES"/>
              </w:rPr>
            </w:pPr>
            <w:r>
              <w:rPr>
                <w:rFonts w:ascii="Times" w:hAnsi="Times" w:cs="Times"/>
                <w:b/>
                <w:bCs/>
                <w:color w:val="1D1D1D"/>
                <w:sz w:val="20"/>
                <w:szCs w:val="20"/>
                <w:lang w:val="es-ES"/>
              </w:rPr>
              <w:t>Compartir</w:t>
            </w:r>
          </w:p>
        </w:tc>
        <w:tc>
          <w:tcPr>
            <w:tcW w:w="520" w:type="dxa"/>
            <w:vAlign w:val="center"/>
          </w:tcPr>
          <w:p w:rsidR="006D7FFB" w:rsidRDefault="006D7FFB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color w:val="535353"/>
                <w:sz w:val="22"/>
                <w:szCs w:val="22"/>
                <w:lang w:val="es-ES"/>
              </w:rPr>
            </w:pPr>
          </w:p>
        </w:tc>
      </w:tr>
    </w:tbl>
    <w:p w:rsidR="006D7FFB" w:rsidRDefault="006D7FFB" w:rsidP="006D7FFB">
      <w:pPr>
        <w:widowControl w:val="0"/>
        <w:autoSpaceDE w:val="0"/>
        <w:autoSpaceDN w:val="0"/>
        <w:adjustRightInd w:val="0"/>
        <w:rPr>
          <w:rFonts w:ascii="Arial" w:hAnsi="Arial" w:cs="Arial"/>
          <w:color w:val="5A5D6B"/>
          <w:sz w:val="22"/>
          <w:szCs w:val="22"/>
          <w:lang w:val="es-ES"/>
        </w:rPr>
      </w:pPr>
      <w:hyperlink r:id="rId8" w:history="1">
        <w:proofErr w:type="spellStart"/>
        <w:r>
          <w:rPr>
            <w:rFonts w:ascii="Times" w:hAnsi="Times" w:cs="Times"/>
            <w:color w:val="84171E"/>
            <w:spacing w:val="-20"/>
            <w:kern w:val="1"/>
            <w:sz w:val="32"/>
            <w:szCs w:val="32"/>
            <w:lang w:val="es-ES"/>
          </w:rPr>
          <w:t>Bataller</w:t>
        </w:r>
        <w:proofErr w:type="spellEnd"/>
        <w:r>
          <w:rPr>
            <w:rFonts w:ascii="Times" w:hAnsi="Times" w:cs="Times"/>
            <w:color w:val="84171E"/>
            <w:spacing w:val="-20"/>
            <w:kern w:val="1"/>
            <w:sz w:val="32"/>
            <w:szCs w:val="32"/>
            <w:lang w:val="es-ES"/>
          </w:rPr>
          <w:t xml:space="preserve"> Grau, Juan (</w:t>
        </w:r>
        <w:proofErr w:type="spellStart"/>
        <w:r>
          <w:rPr>
            <w:rFonts w:ascii="Times" w:hAnsi="Times" w:cs="Times"/>
            <w:color w:val="84171E"/>
            <w:spacing w:val="-20"/>
            <w:kern w:val="1"/>
            <w:sz w:val="32"/>
            <w:szCs w:val="32"/>
            <w:lang w:val="es-ES"/>
          </w:rPr>
          <w:t>dir.</w:t>
        </w:r>
        <w:proofErr w:type="spellEnd"/>
        <w:r>
          <w:rPr>
            <w:rFonts w:ascii="Times" w:hAnsi="Times" w:cs="Times"/>
            <w:color w:val="84171E"/>
            <w:spacing w:val="-20"/>
            <w:kern w:val="1"/>
            <w:sz w:val="32"/>
            <w:szCs w:val="32"/>
            <w:lang w:val="es-ES"/>
          </w:rPr>
          <w:t>)</w:t>
        </w:r>
      </w:hyperlink>
      <w:r>
        <w:rPr>
          <w:rFonts w:ascii="Arial" w:hAnsi="Arial" w:cs="Arial"/>
          <w:color w:val="5A5D6B"/>
          <w:sz w:val="22"/>
          <w:szCs w:val="22"/>
          <w:lang w:val="es-ES"/>
        </w:rPr>
        <w:t>.</w:t>
      </w:r>
    </w:p>
    <w:p w:rsidR="006D7FFB" w:rsidRDefault="006D7FFB" w:rsidP="006D7FFB">
      <w:pPr>
        <w:widowControl w:val="0"/>
        <w:autoSpaceDE w:val="0"/>
        <w:autoSpaceDN w:val="0"/>
        <w:adjustRightInd w:val="0"/>
        <w:rPr>
          <w:rFonts w:ascii="Arial" w:hAnsi="Arial" w:cs="Arial"/>
          <w:color w:val="5A5D6B"/>
          <w:sz w:val="22"/>
          <w:szCs w:val="22"/>
          <w:lang w:val="es-ES"/>
        </w:rPr>
      </w:pPr>
      <w:hyperlink r:id="rId9" w:history="1">
        <w:r>
          <w:rPr>
            <w:rFonts w:ascii="Times" w:hAnsi="Times" w:cs="Times"/>
            <w:color w:val="84171E"/>
            <w:spacing w:val="-20"/>
            <w:kern w:val="1"/>
            <w:sz w:val="32"/>
            <w:szCs w:val="32"/>
            <w:lang w:val="es-ES"/>
          </w:rPr>
          <w:t>Veiga Copo, Abel B. (</w:t>
        </w:r>
        <w:proofErr w:type="spellStart"/>
        <w:r>
          <w:rPr>
            <w:rFonts w:ascii="Times" w:hAnsi="Times" w:cs="Times"/>
            <w:color w:val="84171E"/>
            <w:spacing w:val="-20"/>
            <w:kern w:val="1"/>
            <w:sz w:val="32"/>
            <w:szCs w:val="32"/>
            <w:lang w:val="es-ES"/>
          </w:rPr>
          <w:t>dir</w:t>
        </w:r>
        <w:r>
          <w:rPr>
            <w:rFonts w:ascii="Times" w:hAnsi="Times" w:cs="Times"/>
            <w:color w:val="84171E"/>
            <w:spacing w:val="-20"/>
            <w:kern w:val="1"/>
            <w:sz w:val="32"/>
            <w:szCs w:val="32"/>
            <w:lang w:val="es-ES"/>
          </w:rPr>
          <w:t>.</w:t>
        </w:r>
        <w:proofErr w:type="spellEnd"/>
        <w:r>
          <w:rPr>
            <w:rFonts w:ascii="Times" w:hAnsi="Times" w:cs="Times"/>
            <w:color w:val="84171E"/>
            <w:spacing w:val="-20"/>
            <w:kern w:val="1"/>
            <w:sz w:val="32"/>
            <w:szCs w:val="32"/>
            <w:lang w:val="es-ES"/>
          </w:rPr>
          <w:t>)</w:t>
        </w:r>
      </w:hyperlink>
      <w:r>
        <w:rPr>
          <w:rFonts w:ascii="Arial" w:hAnsi="Arial" w:cs="Arial"/>
          <w:color w:val="5A5D6B"/>
          <w:sz w:val="22"/>
          <w:szCs w:val="22"/>
          <w:lang w:val="es-ES"/>
        </w:rPr>
        <w:t>.</w:t>
      </w:r>
    </w:p>
    <w:p w:rsidR="006D7FFB" w:rsidRDefault="006D7FFB" w:rsidP="006D7FFB">
      <w:pPr>
        <w:widowControl w:val="0"/>
        <w:autoSpaceDE w:val="0"/>
        <w:autoSpaceDN w:val="0"/>
        <w:adjustRightInd w:val="0"/>
        <w:rPr>
          <w:rFonts w:ascii="Arial" w:hAnsi="Arial" w:cs="Arial"/>
          <w:color w:val="6E798B"/>
          <w:sz w:val="22"/>
          <w:szCs w:val="22"/>
          <w:lang w:val="es-ES"/>
        </w:rPr>
      </w:pPr>
      <w:r>
        <w:rPr>
          <w:rFonts w:ascii="Arial" w:hAnsi="Arial" w:cs="Arial"/>
          <w:noProof/>
          <w:color w:val="6E798B"/>
          <w:position w:val="-6"/>
          <w:sz w:val="22"/>
          <w:szCs w:val="22"/>
          <w:lang w:val="es-ES"/>
        </w:rPr>
        <w:drawing>
          <wp:inline distT="0" distB="0" distL="0" distR="0">
            <wp:extent cx="1005205" cy="189865"/>
            <wp:effectExtent l="0" t="0" r="1079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6E798B"/>
          <w:sz w:val="22"/>
          <w:szCs w:val="22"/>
          <w:lang w:val="es-ES"/>
        </w:rPr>
        <w:t xml:space="preserve"> (0 Comentarios) </w:t>
      </w:r>
      <w:hyperlink r:id="rId11" w:history="1">
        <w:r>
          <w:rPr>
            <w:rFonts w:ascii="Arial" w:hAnsi="Arial" w:cs="Arial"/>
            <w:color w:val="84171E"/>
            <w:sz w:val="22"/>
            <w:szCs w:val="22"/>
            <w:u w:val="single" w:color="84171E"/>
            <w:lang w:val="es-ES"/>
          </w:rPr>
          <w:t>Comenta y valora este libro</w:t>
        </w:r>
      </w:hyperlink>
    </w:p>
    <w:p w:rsidR="006D7FFB" w:rsidRDefault="006D7FFB" w:rsidP="006D7FFB">
      <w:pPr>
        <w:widowControl w:val="0"/>
        <w:autoSpaceDE w:val="0"/>
        <w:autoSpaceDN w:val="0"/>
        <w:adjustRightInd w:val="0"/>
        <w:rPr>
          <w:rFonts w:ascii="Tahoma" w:hAnsi="Tahoma" w:cs="Tahoma"/>
          <w:color w:val="5A6477"/>
          <w:sz w:val="20"/>
          <w:szCs w:val="20"/>
          <w:lang w:val="es-ES"/>
        </w:rPr>
      </w:pPr>
      <w:r>
        <w:rPr>
          <w:rFonts w:ascii="Tahoma" w:hAnsi="Tahoma" w:cs="Tahoma"/>
          <w:color w:val="5A6477"/>
          <w:sz w:val="20"/>
          <w:szCs w:val="20"/>
          <w:lang w:val="es-ES"/>
        </w:rPr>
        <w:t>Compartir en:</w:t>
      </w:r>
    </w:p>
    <w:p w:rsidR="006D7FFB" w:rsidRDefault="006D7FFB" w:rsidP="006D7FF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color w:val="383E48"/>
          <w:lang w:val="es-ES"/>
        </w:rPr>
      </w:pPr>
      <w:r>
        <w:rPr>
          <w:rFonts w:ascii="Times" w:hAnsi="Times" w:cs="Times"/>
          <w:color w:val="84171E"/>
          <w:lang w:val="es-ES"/>
        </w:rPr>
        <w:tab/>
      </w:r>
      <w:r>
        <w:rPr>
          <w:rFonts w:ascii="Times" w:hAnsi="Times" w:cs="Times"/>
          <w:color w:val="84171E"/>
          <w:lang w:val="es-ES"/>
        </w:rPr>
        <w:tab/>
      </w:r>
      <w:hyperlink r:id="rId12" w:history="1">
        <w:r>
          <w:rPr>
            <w:rFonts w:ascii="Times" w:hAnsi="Times" w:cs="Times"/>
            <w:color w:val="84171E"/>
            <w:lang w:val="es-ES"/>
          </w:rPr>
          <w:t>Compartir en Facebook </w:t>
        </w:r>
      </w:hyperlink>
      <w:r>
        <w:rPr>
          <w:rFonts w:ascii="Times" w:hAnsi="Times" w:cs="Times"/>
          <w:color w:val="84171E"/>
          <w:u w:val="single"/>
          <w:lang w:val="es-ES"/>
        </w:rPr>
        <w:t> </w:t>
      </w:r>
      <w:hyperlink r:id="rId13" w:history="1">
        <w:r>
          <w:rPr>
            <w:rFonts w:ascii="Times" w:hAnsi="Times" w:cs="Times"/>
            <w:color w:val="84171E"/>
            <w:lang w:val="es-ES"/>
          </w:rPr>
          <w:t xml:space="preserve">Compartir en </w:t>
        </w:r>
        <w:proofErr w:type="spellStart"/>
        <w:r>
          <w:rPr>
            <w:rFonts w:ascii="Times" w:hAnsi="Times" w:cs="Times"/>
            <w:color w:val="84171E"/>
            <w:lang w:val="es-ES"/>
          </w:rPr>
          <w:t>Twitter</w:t>
        </w:r>
        <w:proofErr w:type="spellEnd"/>
        <w:r>
          <w:rPr>
            <w:rFonts w:ascii="Times" w:hAnsi="Times" w:cs="Times"/>
            <w:color w:val="84171E"/>
            <w:lang w:val="es-ES"/>
          </w:rPr>
          <w:t> </w:t>
        </w:r>
      </w:hyperlink>
    </w:p>
    <w:p w:rsidR="006D7FFB" w:rsidRDefault="006D7FFB" w:rsidP="006D7F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color w:val="383E48"/>
          <w:sz w:val="22"/>
          <w:szCs w:val="22"/>
          <w:lang w:val="es-ES"/>
        </w:rPr>
      </w:pPr>
      <w:r>
        <w:rPr>
          <w:rFonts w:ascii="Times" w:hAnsi="Times" w:cs="Times"/>
          <w:color w:val="5A6477"/>
          <w:sz w:val="22"/>
          <w:szCs w:val="22"/>
          <w:lang w:val="es-ES"/>
        </w:rPr>
        <w:tab/>
      </w:r>
      <w:r>
        <w:rPr>
          <w:rFonts w:ascii="Times" w:hAnsi="Times" w:cs="Times"/>
          <w:color w:val="5A6477"/>
          <w:sz w:val="22"/>
          <w:szCs w:val="22"/>
          <w:lang w:val="es-ES"/>
        </w:rPr>
        <w:tab/>
        <w:t>Editorial:</w:t>
      </w:r>
      <w:r>
        <w:rPr>
          <w:rFonts w:ascii="Times" w:hAnsi="Times" w:cs="Times"/>
          <w:color w:val="383E48"/>
          <w:sz w:val="22"/>
          <w:szCs w:val="22"/>
          <w:lang w:val="es-ES"/>
        </w:rPr>
        <w:t xml:space="preserve"> </w:t>
      </w:r>
      <w:hyperlink r:id="rId14" w:history="1">
        <w:proofErr w:type="spellStart"/>
        <w:r>
          <w:rPr>
            <w:rFonts w:ascii="Times" w:hAnsi="Times" w:cs="Times"/>
            <w:color w:val="84171E"/>
            <w:sz w:val="22"/>
            <w:szCs w:val="22"/>
            <w:u w:val="single" w:color="84171E"/>
            <w:lang w:val="es-ES"/>
          </w:rPr>
          <w:t>Civitas</w:t>
        </w:r>
        <w:proofErr w:type="spellEnd"/>
      </w:hyperlink>
    </w:p>
    <w:p w:rsidR="006D7FFB" w:rsidRDefault="006D7FFB" w:rsidP="006D7F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color w:val="383E48"/>
          <w:sz w:val="22"/>
          <w:szCs w:val="22"/>
          <w:lang w:val="es-ES"/>
        </w:rPr>
      </w:pPr>
      <w:r>
        <w:rPr>
          <w:rFonts w:ascii="Times" w:hAnsi="Times" w:cs="Times"/>
          <w:color w:val="5A6477"/>
          <w:sz w:val="22"/>
          <w:szCs w:val="22"/>
          <w:lang w:val="es-ES"/>
        </w:rPr>
        <w:tab/>
      </w:r>
      <w:r>
        <w:rPr>
          <w:rFonts w:ascii="Times" w:hAnsi="Times" w:cs="Times"/>
          <w:color w:val="5A6477"/>
          <w:sz w:val="22"/>
          <w:szCs w:val="22"/>
          <w:lang w:val="es-ES"/>
        </w:rPr>
        <w:tab/>
        <w:t>ISBN:</w:t>
      </w:r>
      <w:r>
        <w:rPr>
          <w:rFonts w:ascii="Times" w:hAnsi="Times" w:cs="Times"/>
          <w:color w:val="383E48"/>
          <w:sz w:val="22"/>
          <w:szCs w:val="22"/>
          <w:lang w:val="es-ES"/>
        </w:rPr>
        <w:t xml:space="preserve"> 978-84-470-4656-0</w:t>
      </w:r>
    </w:p>
    <w:p w:rsidR="006D7FFB" w:rsidRDefault="006D7FFB" w:rsidP="006D7F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color w:val="383E48"/>
          <w:sz w:val="22"/>
          <w:szCs w:val="22"/>
          <w:lang w:val="es-ES"/>
        </w:rPr>
      </w:pPr>
      <w:r>
        <w:rPr>
          <w:rFonts w:ascii="Times" w:hAnsi="Times" w:cs="Times"/>
          <w:color w:val="5A6477"/>
          <w:sz w:val="22"/>
          <w:szCs w:val="22"/>
          <w:lang w:val="es-ES"/>
        </w:rPr>
        <w:tab/>
      </w:r>
      <w:r>
        <w:rPr>
          <w:rFonts w:ascii="Times" w:hAnsi="Times" w:cs="Times"/>
          <w:color w:val="5A6477"/>
          <w:sz w:val="22"/>
          <w:szCs w:val="22"/>
          <w:lang w:val="es-ES"/>
        </w:rPr>
        <w:tab/>
        <w:t>Páginas:</w:t>
      </w:r>
      <w:r>
        <w:rPr>
          <w:rFonts w:ascii="Times" w:hAnsi="Times" w:cs="Times"/>
          <w:color w:val="383E48"/>
          <w:sz w:val="22"/>
          <w:szCs w:val="22"/>
          <w:lang w:val="es-ES"/>
        </w:rPr>
        <w:t xml:space="preserve"> 1302</w:t>
      </w:r>
    </w:p>
    <w:p w:rsidR="006D7FFB" w:rsidRDefault="006D7FFB" w:rsidP="006D7F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color w:val="383E48"/>
          <w:sz w:val="22"/>
          <w:szCs w:val="22"/>
          <w:lang w:val="es-ES"/>
        </w:rPr>
      </w:pPr>
      <w:r>
        <w:rPr>
          <w:rFonts w:ascii="Times" w:hAnsi="Times" w:cs="Times"/>
          <w:color w:val="5A6477"/>
          <w:sz w:val="22"/>
          <w:szCs w:val="22"/>
          <w:lang w:val="es-ES"/>
        </w:rPr>
        <w:tab/>
      </w:r>
      <w:r>
        <w:rPr>
          <w:rFonts w:ascii="Times" w:hAnsi="Times" w:cs="Times"/>
          <w:color w:val="5A6477"/>
          <w:sz w:val="22"/>
          <w:szCs w:val="22"/>
          <w:lang w:val="es-ES"/>
        </w:rPr>
        <w:tab/>
        <w:t>Encuadernación:</w:t>
      </w:r>
      <w:r>
        <w:rPr>
          <w:rFonts w:ascii="Times" w:hAnsi="Times" w:cs="Times"/>
          <w:color w:val="383E48"/>
          <w:sz w:val="22"/>
          <w:szCs w:val="22"/>
          <w:lang w:val="es-ES"/>
        </w:rPr>
        <w:t xml:space="preserve"> Cartoné</w:t>
      </w:r>
    </w:p>
    <w:p w:rsidR="006D7FFB" w:rsidRDefault="006D7FFB" w:rsidP="006D7F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color w:val="383E48"/>
          <w:sz w:val="22"/>
          <w:szCs w:val="22"/>
          <w:lang w:val="es-ES"/>
        </w:rPr>
      </w:pPr>
      <w:r>
        <w:rPr>
          <w:rFonts w:ascii="Times" w:hAnsi="Times" w:cs="Times"/>
          <w:color w:val="5A6477"/>
          <w:sz w:val="22"/>
          <w:szCs w:val="22"/>
          <w:lang w:val="es-ES"/>
        </w:rPr>
        <w:tab/>
      </w:r>
      <w:r>
        <w:rPr>
          <w:rFonts w:ascii="Times" w:hAnsi="Times" w:cs="Times"/>
          <w:color w:val="5A6477"/>
          <w:sz w:val="22"/>
          <w:szCs w:val="22"/>
          <w:lang w:val="es-ES"/>
        </w:rPr>
        <w:tab/>
        <w:t>Fecha de la edición:</w:t>
      </w:r>
      <w:r>
        <w:rPr>
          <w:rFonts w:ascii="Times" w:hAnsi="Times" w:cs="Times"/>
          <w:color w:val="383E48"/>
          <w:sz w:val="22"/>
          <w:szCs w:val="22"/>
          <w:lang w:val="es-ES"/>
        </w:rPr>
        <w:t xml:space="preserve"> 2014</w:t>
      </w:r>
    </w:p>
    <w:p w:rsidR="006D7FFB" w:rsidRDefault="006D7FFB" w:rsidP="006D7FFB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color w:val="383E48"/>
          <w:sz w:val="22"/>
          <w:szCs w:val="22"/>
          <w:lang w:val="es-ES"/>
        </w:rPr>
      </w:pPr>
      <w:r>
        <w:rPr>
          <w:rFonts w:ascii="Times" w:hAnsi="Times" w:cs="Times"/>
          <w:color w:val="5A6477"/>
          <w:sz w:val="22"/>
          <w:szCs w:val="22"/>
          <w:lang w:val="es-ES"/>
        </w:rPr>
        <w:tab/>
      </w:r>
      <w:r>
        <w:rPr>
          <w:rFonts w:ascii="Times" w:hAnsi="Times" w:cs="Times"/>
          <w:color w:val="5A6477"/>
          <w:sz w:val="22"/>
          <w:szCs w:val="22"/>
          <w:lang w:val="es-ES"/>
        </w:rPr>
        <w:tab/>
        <w:t>Edición:</w:t>
      </w:r>
      <w:r>
        <w:rPr>
          <w:rFonts w:ascii="Times" w:hAnsi="Times" w:cs="Times"/>
          <w:color w:val="383E48"/>
          <w:sz w:val="22"/>
          <w:szCs w:val="22"/>
          <w:lang w:val="es-ES"/>
        </w:rPr>
        <w:t xml:space="preserve"> 1ª ed.</w:t>
      </w:r>
    </w:p>
    <w:p w:rsidR="006D7FFB" w:rsidRDefault="006D7FFB" w:rsidP="006D7FFB">
      <w:pPr>
        <w:widowControl w:val="0"/>
        <w:autoSpaceDE w:val="0"/>
        <w:autoSpaceDN w:val="0"/>
        <w:adjustRightInd w:val="0"/>
        <w:rPr>
          <w:rFonts w:ascii="Times" w:hAnsi="Times" w:cs="Times"/>
          <w:color w:val="383E48"/>
          <w:lang w:val="es-ES"/>
        </w:rPr>
      </w:pPr>
      <w:r>
        <w:rPr>
          <w:rFonts w:ascii="Times" w:hAnsi="Times" w:cs="Times"/>
          <w:color w:val="383E48"/>
          <w:lang w:val="es-ES"/>
        </w:rPr>
        <w:t>Materias:</w:t>
      </w:r>
    </w:p>
    <w:p w:rsidR="006D7FFB" w:rsidRDefault="006D7FFB" w:rsidP="006D7FFB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color w:val="383E48"/>
          <w:sz w:val="22"/>
          <w:szCs w:val="22"/>
          <w:lang w:val="es-ES"/>
        </w:rPr>
      </w:pPr>
      <w:r>
        <w:rPr>
          <w:rFonts w:ascii="Times" w:hAnsi="Times" w:cs="Times"/>
          <w:color w:val="84171E"/>
          <w:sz w:val="22"/>
          <w:szCs w:val="22"/>
          <w:lang w:val="es-ES"/>
        </w:rPr>
        <w:tab/>
      </w:r>
      <w:r>
        <w:rPr>
          <w:rFonts w:ascii="Times" w:hAnsi="Times" w:cs="Times"/>
          <w:color w:val="84171E"/>
          <w:sz w:val="22"/>
          <w:szCs w:val="22"/>
          <w:lang w:val="es-ES"/>
        </w:rPr>
        <w:tab/>
      </w:r>
      <w:hyperlink r:id="rId15" w:history="1">
        <w:r>
          <w:rPr>
            <w:rFonts w:ascii="Times" w:hAnsi="Times" w:cs="Times"/>
            <w:color w:val="84171E"/>
            <w:sz w:val="22"/>
            <w:szCs w:val="22"/>
            <w:u w:val="single"/>
            <w:lang w:val="es-ES"/>
          </w:rPr>
          <w:t>Derecho</w:t>
        </w:r>
      </w:hyperlink>
      <w:r>
        <w:rPr>
          <w:rFonts w:ascii="Times" w:hAnsi="Times" w:cs="Times"/>
          <w:color w:val="8E284F"/>
          <w:sz w:val="22"/>
          <w:szCs w:val="22"/>
          <w:lang w:val="es-ES"/>
        </w:rPr>
        <w:t xml:space="preserve"> / </w:t>
      </w:r>
      <w:hyperlink r:id="rId16" w:history="1">
        <w:r>
          <w:rPr>
            <w:rFonts w:ascii="Times" w:hAnsi="Times" w:cs="Times"/>
            <w:color w:val="84171E"/>
            <w:sz w:val="22"/>
            <w:szCs w:val="22"/>
            <w:u w:val="single" w:color="84171E"/>
            <w:lang w:val="es-ES"/>
          </w:rPr>
          <w:t>Derecho Mercantil</w:t>
        </w:r>
      </w:hyperlink>
      <w:r>
        <w:rPr>
          <w:rFonts w:ascii="Times" w:hAnsi="Times" w:cs="Times"/>
          <w:color w:val="8E284F"/>
          <w:sz w:val="22"/>
          <w:szCs w:val="22"/>
          <w:lang w:val="es-ES"/>
        </w:rPr>
        <w:t xml:space="preserve"> /</w:t>
      </w:r>
    </w:p>
    <w:p w:rsidR="006D7FFB" w:rsidRDefault="006D7FFB" w:rsidP="006D7FFB">
      <w:pPr>
        <w:widowControl w:val="0"/>
        <w:autoSpaceDE w:val="0"/>
        <w:autoSpaceDN w:val="0"/>
        <w:adjustRightInd w:val="0"/>
        <w:rPr>
          <w:rFonts w:ascii="Times" w:hAnsi="Times" w:cs="Times"/>
          <w:color w:val="383E48"/>
          <w:lang w:val="es-ES"/>
        </w:rPr>
      </w:pPr>
      <w:r>
        <w:rPr>
          <w:rFonts w:ascii="Times" w:hAnsi="Times" w:cs="Times"/>
          <w:color w:val="383E48"/>
          <w:lang w:val="es-ES"/>
        </w:rPr>
        <w:t>Versión en papel:</w:t>
      </w:r>
    </w:p>
    <w:p w:rsidR="006D7FFB" w:rsidRDefault="006D7FFB" w:rsidP="006D7FFB">
      <w:pPr>
        <w:widowControl w:val="0"/>
        <w:autoSpaceDE w:val="0"/>
        <w:autoSpaceDN w:val="0"/>
        <w:adjustRightInd w:val="0"/>
        <w:jc w:val="right"/>
        <w:rPr>
          <w:rFonts w:ascii="Times" w:hAnsi="Times" w:cs="Times"/>
          <w:color w:val="A84248"/>
          <w:spacing w:val="-20"/>
          <w:kern w:val="1"/>
          <w:sz w:val="60"/>
          <w:szCs w:val="60"/>
          <w:lang w:val="es-ES"/>
        </w:rPr>
      </w:pPr>
      <w:r>
        <w:rPr>
          <w:rFonts w:ascii="Arial" w:hAnsi="Arial" w:cs="Arial"/>
          <w:color w:val="A84248"/>
          <w:spacing w:val="-20"/>
          <w:kern w:val="1"/>
          <w:sz w:val="20"/>
          <w:szCs w:val="20"/>
          <w:lang w:val="es-ES"/>
        </w:rPr>
        <w:t>pvp.</w:t>
      </w:r>
      <w:r>
        <w:rPr>
          <w:rFonts w:ascii="Times" w:hAnsi="Times" w:cs="Times"/>
          <w:color w:val="A84248"/>
          <w:spacing w:val="-20"/>
          <w:kern w:val="1"/>
          <w:sz w:val="60"/>
          <w:szCs w:val="60"/>
          <w:lang w:val="es-ES"/>
        </w:rPr>
        <w:t>185,00 €</w:t>
      </w:r>
    </w:p>
    <w:p w:rsidR="006D7FFB" w:rsidRDefault="006D7FFB" w:rsidP="006D7FFB">
      <w:pPr>
        <w:widowControl w:val="0"/>
        <w:autoSpaceDE w:val="0"/>
        <w:autoSpaceDN w:val="0"/>
        <w:adjustRightInd w:val="0"/>
        <w:jc w:val="right"/>
        <w:rPr>
          <w:rFonts w:ascii="Times" w:hAnsi="Times" w:cs="Times"/>
          <w:color w:val="383E48"/>
          <w:kern w:val="1"/>
          <w:lang w:val="es-ES"/>
        </w:rPr>
      </w:pPr>
      <w:r>
        <w:rPr>
          <w:rFonts w:ascii="Tahoma" w:hAnsi="Tahoma" w:cs="Tahoma"/>
          <w:b/>
          <w:bCs/>
          <w:color w:val="3D7D12"/>
          <w:kern w:val="1"/>
          <w:sz w:val="20"/>
          <w:szCs w:val="20"/>
          <w:lang w:val="es-ES"/>
        </w:rPr>
        <w:t>Disponible</w:t>
      </w:r>
    </w:p>
    <w:p w:rsidR="006D7FFB" w:rsidRDefault="006D7FFB" w:rsidP="006D7FFB">
      <w:pPr>
        <w:widowControl w:val="0"/>
        <w:autoSpaceDE w:val="0"/>
        <w:autoSpaceDN w:val="0"/>
        <w:adjustRightInd w:val="0"/>
        <w:jc w:val="center"/>
        <w:rPr>
          <w:rFonts w:ascii="Lucida Grande" w:hAnsi="Lucida Grande" w:cs="Lucida Grande"/>
          <w:kern w:val="1"/>
          <w:lang w:val="es-ES"/>
        </w:rPr>
      </w:pPr>
      <w:r>
        <w:rPr>
          <w:rFonts w:ascii="Lucida Grande" w:hAnsi="Lucida Grande" w:cs="Lucida Grande"/>
          <w:kern w:val="1"/>
          <w:lang w:val="es-ES"/>
        </w:rPr>
        <w:t>comprar</w:t>
      </w:r>
    </w:p>
    <w:p w:rsidR="006D7FFB" w:rsidRDefault="006D7FFB" w:rsidP="006D7FFB">
      <w:pPr>
        <w:widowControl w:val="0"/>
        <w:autoSpaceDE w:val="0"/>
        <w:autoSpaceDN w:val="0"/>
        <w:adjustRightInd w:val="0"/>
        <w:jc w:val="center"/>
        <w:rPr>
          <w:rFonts w:ascii="Lucida Grande" w:hAnsi="Lucida Grande" w:cs="Lucida Grande"/>
          <w:kern w:val="1"/>
          <w:lang w:val="es-ES"/>
        </w:rPr>
      </w:pPr>
      <w:r>
        <w:rPr>
          <w:rFonts w:ascii="Lucida Grande" w:hAnsi="Lucida Grande" w:cs="Lucida Grande"/>
          <w:kern w:val="1"/>
          <w:lang w:val="es-ES"/>
        </w:rPr>
        <w:t>ver compra</w:t>
      </w:r>
    </w:p>
    <w:p w:rsidR="006D7FFB" w:rsidRDefault="006D7FFB" w:rsidP="006D7FFB">
      <w:pPr>
        <w:widowControl w:val="0"/>
        <w:autoSpaceDE w:val="0"/>
        <w:autoSpaceDN w:val="0"/>
        <w:adjustRightInd w:val="0"/>
        <w:rPr>
          <w:rFonts w:ascii="Times" w:hAnsi="Times" w:cs="Times"/>
          <w:color w:val="383E48"/>
          <w:kern w:val="1"/>
          <w:lang w:val="es-ES"/>
        </w:rPr>
      </w:pPr>
    </w:p>
    <w:p w:rsidR="006D7FFB" w:rsidRDefault="006D7FFB" w:rsidP="006D7FFB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color w:val="383E48"/>
          <w:kern w:val="1"/>
          <w:lang w:val="es-ES"/>
        </w:rPr>
      </w:pPr>
      <w:r>
        <w:rPr>
          <w:rFonts w:ascii="Times" w:hAnsi="Times" w:cs="Times"/>
          <w:b/>
          <w:bCs/>
          <w:color w:val="383E48"/>
          <w:kern w:val="1"/>
          <w:lang w:val="es-ES"/>
        </w:rPr>
        <w:t>Información detallada:</w:t>
      </w: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40"/>
        <w:gridCol w:w="4320"/>
      </w:tblGrid>
      <w:tr w:rsidR="006D7FFB">
        <w:tblPrEx>
          <w:tblCellMar>
            <w:top w:w="0" w:type="dxa"/>
            <w:bottom w:w="0" w:type="dxa"/>
          </w:tblCellMar>
        </w:tblPrEx>
        <w:tc>
          <w:tcPr>
            <w:tcW w:w="4540" w:type="dxa"/>
          </w:tcPr>
          <w:p w:rsidR="006D7FFB" w:rsidRDefault="006D7F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FFFFFF"/>
                <w:kern w:val="1"/>
                <w:sz w:val="26"/>
                <w:szCs w:val="26"/>
                <w:lang w:val="es-ES"/>
              </w:rPr>
            </w:pPr>
            <w:r>
              <w:rPr>
                <w:rFonts w:ascii="Times" w:hAnsi="Times" w:cs="Times"/>
                <w:color w:val="FFFFFF"/>
                <w:kern w:val="1"/>
                <w:sz w:val="26"/>
                <w:szCs w:val="26"/>
                <w:lang w:val="es-ES"/>
              </w:rPr>
              <w:t>RESUMEN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6D7FFB" w:rsidRDefault="006D7F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FFFFFF"/>
                <w:kern w:val="1"/>
                <w:sz w:val="26"/>
                <w:szCs w:val="26"/>
                <w:lang w:val="es-ES"/>
              </w:rPr>
            </w:pPr>
            <w:r>
              <w:rPr>
                <w:rFonts w:ascii="Times" w:hAnsi="Times" w:cs="Times"/>
                <w:color w:val="FFFFFF"/>
                <w:kern w:val="1"/>
                <w:sz w:val="26"/>
                <w:szCs w:val="26"/>
                <w:lang w:val="es-ES"/>
              </w:rPr>
              <w:t>COMENTARIOS</w:t>
            </w:r>
          </w:p>
        </w:tc>
      </w:tr>
    </w:tbl>
    <w:p w:rsidR="006D7FFB" w:rsidRDefault="006D7FFB" w:rsidP="006D7FFB">
      <w:pPr>
        <w:widowControl w:val="0"/>
        <w:autoSpaceDE w:val="0"/>
        <w:autoSpaceDN w:val="0"/>
        <w:adjustRightInd w:val="0"/>
        <w:spacing w:after="160"/>
        <w:rPr>
          <w:rFonts w:ascii="Times" w:hAnsi="Times" w:cs="Times"/>
          <w:color w:val="595757"/>
          <w:kern w:val="1"/>
          <w:sz w:val="40"/>
          <w:szCs w:val="40"/>
          <w:lang w:val="es-ES"/>
        </w:rPr>
      </w:pPr>
      <w:r>
        <w:rPr>
          <w:rFonts w:ascii="Times" w:hAnsi="Times" w:cs="Times"/>
          <w:color w:val="595757"/>
          <w:kern w:val="1"/>
          <w:sz w:val="40"/>
          <w:szCs w:val="40"/>
          <w:lang w:val="es-ES"/>
        </w:rPr>
        <w:t>RESUMEN DEL LIBRO</w:t>
      </w:r>
    </w:p>
    <w:p w:rsidR="00454119" w:rsidRDefault="006D7FFB" w:rsidP="006D7FFB">
      <w:r>
        <w:rPr>
          <w:rFonts w:ascii="Times" w:hAnsi="Times" w:cs="Times"/>
          <w:color w:val="383E48"/>
          <w:kern w:val="1"/>
          <w:lang w:val="es-ES"/>
        </w:rPr>
        <w:t xml:space="preserve">Estamos ante un libro que, de un modo holístico, aspira a crear y configurar un tratamiento unitario y completo de la protección y tutela del consumidor de seguros. Por vez primera más de una treintena de académicos que se han especializado en el derecho y contrato de seguros abordan el estudio desmenuzado y sosegado de cualesquiera aspectos que inciden en la relación jurídico del asegurado en la esfera del asegurado y en su caso tomador del seguro. Desde el estudio puramente precontractual hasta el de la liquidación del siniestro. Pasando por la propia normativa de seguro específica de tutela </w:t>
      </w:r>
      <w:r>
        <w:rPr>
          <w:rFonts w:ascii="Times" w:hAnsi="Times" w:cs="Times"/>
          <w:color w:val="383E48"/>
          <w:kern w:val="1"/>
          <w:lang w:val="es-ES"/>
        </w:rPr>
        <w:lastRenderedPageBreak/>
        <w:t xml:space="preserve">hasta la más general de consumidores y usuarios. Analizando el condicionado, la póliza, los deberes y obligaciones de las partes, significativamente del asegurado, la posición del beneficiario, algunas modalidades </w:t>
      </w:r>
      <w:proofErr w:type="spellStart"/>
      <w:r>
        <w:rPr>
          <w:rFonts w:ascii="Times" w:hAnsi="Times" w:cs="Times"/>
          <w:color w:val="383E48"/>
          <w:kern w:val="1"/>
          <w:lang w:val="es-ES"/>
        </w:rPr>
        <w:t>asegurativas</w:t>
      </w:r>
      <w:proofErr w:type="spellEnd"/>
      <w:r>
        <w:rPr>
          <w:rFonts w:ascii="Times" w:hAnsi="Times" w:cs="Times"/>
          <w:color w:val="383E48"/>
          <w:kern w:val="1"/>
          <w:lang w:val="es-ES"/>
        </w:rPr>
        <w:t>, seguros grupales, reaseguros, pero también la vertiente regulatoria más pública del derecho de seguros, derecho aplicable, etc., hasta completar treinta y cinco estudios singulares cuyo epicentro es la tutela y protección de la que ha sido y es considerada la parte débil del contrato. Un libro único y que se convertirá en una referencia sistemática y analítica que ofrece una visión de conjunto, que trae lo mejor de la doctrina y jurisprudencia de derechos de seguros de nuestro país y comparada y que tiene muy en cuenta el derecho práctico del seguro que se innova día a día. Una obra utilísima para prácticos del seguro y del derecho de seguros, con una combinación dogmática y pragmática de gran envergadura y fundamento.</w:t>
      </w:r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FFB"/>
    <w:rsid w:val="00454119"/>
    <w:rsid w:val="006D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D7FF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7FF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D7FF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7FF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dykinson.com/libros/9788447046560/comentar/" TargetMode="External"/><Relationship Id="rId12" Type="http://schemas.openxmlformats.org/officeDocument/2006/relationships/hyperlink" Target="http://www.facebook.com/share.php?u=http%3A//www.dykinson.com/libros/la-proteccion-del-cliente-en-el-mercado-asegurador/9788447046560/&amp;t=La%20protecci%C3%B3n%20del%20cliente%20en%20el%20mercado%20asegurador%0AEstamos%20ante%20un%20libro%20que%2C%20de%20un%20modo%20hol%26iacute%3Bstico%2C%20aspira%20a%20crear%20y%20configurar%20un%20..." TargetMode="External"/><Relationship Id="rId13" Type="http://schemas.openxmlformats.org/officeDocument/2006/relationships/hyperlink" Target="https://twitter.com/intent/tweet?url=http%3A//www.dykinson.com/libros/la-proteccion-del-cliente-en-el-mercado-asegurador/9788447046560/&amp;text=La%20protecci%C3%B3n%20del%20cliente%20en%20...%0A(varios%20autores)%0A" TargetMode="External"/><Relationship Id="rId14" Type="http://schemas.openxmlformats.org/officeDocument/2006/relationships/hyperlink" Target="https://www.dykinson.com/editoriales/civitas/51/" TargetMode="External"/><Relationship Id="rId15" Type="http://schemas.openxmlformats.org/officeDocument/2006/relationships/hyperlink" Target="https://www.dykinson.com/libros/materias/derecho/01/" TargetMode="External"/><Relationship Id="rId16" Type="http://schemas.openxmlformats.org/officeDocument/2006/relationships/hyperlink" Target="https://www.dykinson.com/libros/materias/derecho/derecho-mercantil/0109/" TargetMode="Externa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https://www.dykinson.com/static/img/portadas/9788447046560.jpg" TargetMode="External"/><Relationship Id="rId8" Type="http://schemas.openxmlformats.org/officeDocument/2006/relationships/hyperlink" Target="https://www.dykinson.com/autores/bataller-grau-juan-dir/24947/" TargetMode="External"/><Relationship Id="rId9" Type="http://schemas.openxmlformats.org/officeDocument/2006/relationships/hyperlink" Target="https://www.dykinson.com/autores/veiga-copo-abel-b-coord/17594/" TargetMode="External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2673</Characters>
  <Application>Microsoft Macintosh Word</Application>
  <DocSecurity>0</DocSecurity>
  <Lines>22</Lines>
  <Paragraphs>6</Paragraphs>
  <ScaleCrop>false</ScaleCrop>
  <Company/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2016-11-06T09:09:00Z</dcterms:created>
  <dcterms:modified xsi:type="dcterms:W3CDTF">2016-11-06T09:09:00Z</dcterms:modified>
</cp:coreProperties>
</file>