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FBD" w:rsidRDefault="001C2FBD" w:rsidP="001C2FBD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bCs/>
          <w:color w:val="484747"/>
          <w:sz w:val="40"/>
          <w:szCs w:val="40"/>
          <w:lang w:val="es-ES"/>
        </w:rPr>
      </w:pPr>
      <w:r>
        <w:rPr>
          <w:rFonts w:ascii="Verdana" w:hAnsi="Verdana" w:cs="Verdana"/>
          <w:b/>
          <w:bCs/>
          <w:color w:val="484747"/>
          <w:sz w:val="40"/>
          <w:szCs w:val="40"/>
          <w:lang w:val="es-ES"/>
        </w:rPr>
        <w:t xml:space="preserve">Tratado de Derecho Civil. Las garantías Tomo I Vol.1 "Garantías Personales. Prenda y Anticresis" </w:t>
      </w:r>
    </w:p>
    <w:p w:rsidR="001C2FBD" w:rsidRDefault="001C2FBD" w:rsidP="001C2FBD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bCs/>
          <w:color w:val="D78000"/>
          <w:sz w:val="26"/>
          <w:szCs w:val="26"/>
          <w:lang w:val="es-ES"/>
        </w:rPr>
      </w:pPr>
      <w:hyperlink r:id="rId5" w:history="1">
        <w:r>
          <w:rPr>
            <w:rFonts w:ascii="Verdana" w:hAnsi="Verdana" w:cs="Verdana"/>
            <w:b/>
            <w:bCs/>
            <w:color w:val="D78000"/>
            <w:sz w:val="26"/>
            <w:szCs w:val="26"/>
            <w:lang w:val="es-ES"/>
          </w:rPr>
          <w:t xml:space="preserve">Lorenzo Prats </w:t>
        </w:r>
        <w:proofErr w:type="spellStart"/>
        <w:r>
          <w:rPr>
            <w:rFonts w:ascii="Verdana" w:hAnsi="Verdana" w:cs="Verdana"/>
            <w:b/>
            <w:bCs/>
            <w:color w:val="D78000"/>
            <w:sz w:val="26"/>
            <w:szCs w:val="26"/>
            <w:lang w:val="es-ES"/>
          </w:rPr>
          <w:t>Albentosa</w:t>
        </w:r>
        <w:proofErr w:type="spellEnd"/>
      </w:hyperlink>
      <w:r>
        <w:rPr>
          <w:rFonts w:ascii="Verdana" w:hAnsi="Verdana" w:cs="Verdana"/>
          <w:b/>
          <w:bCs/>
          <w:color w:val="D78000"/>
          <w:sz w:val="26"/>
          <w:szCs w:val="26"/>
          <w:lang w:val="es-ES"/>
        </w:rPr>
        <w:t xml:space="preserve"> </w:t>
      </w:r>
    </w:p>
    <w:p w:rsidR="001C2FBD" w:rsidRDefault="001C2FBD" w:rsidP="001C2FBD">
      <w:pPr>
        <w:widowControl w:val="0"/>
        <w:autoSpaceDE w:val="0"/>
        <w:autoSpaceDN w:val="0"/>
        <w:adjustRightInd w:val="0"/>
        <w:rPr>
          <w:rFonts w:ascii="Verdana" w:hAnsi="Verdana" w:cs="Verdana"/>
          <w:sz w:val="22"/>
          <w:szCs w:val="22"/>
          <w:lang w:val="es-ES"/>
        </w:rPr>
      </w:pP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00"/>
      </w:tblGrid>
      <w:tr w:rsidR="001C2FBD">
        <w:tblPrEx>
          <w:tblCellMar>
            <w:top w:w="0" w:type="dxa"/>
            <w:bottom w:w="0" w:type="dxa"/>
          </w:tblCellMar>
        </w:tblPrEx>
        <w:tc>
          <w:tcPr>
            <w:tcW w:w="60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1C2FBD" w:rsidRDefault="001C2F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2"/>
                <w:szCs w:val="22"/>
                <w:lang w:val="es-ES"/>
              </w:rPr>
            </w:pPr>
            <w:r>
              <w:rPr>
                <w:rFonts w:ascii="Verdana" w:hAnsi="Verdana" w:cs="Verdana"/>
                <w:noProof/>
                <w:sz w:val="22"/>
                <w:szCs w:val="22"/>
                <w:lang w:val="es-ES"/>
              </w:rPr>
              <w:drawing>
                <wp:inline distT="0" distB="0" distL="0" distR="0">
                  <wp:extent cx="4443095" cy="5601335"/>
                  <wp:effectExtent l="0" t="0" r="1905" b="1206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095" cy="560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FBD" w:rsidRDefault="001C2F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00"/>
              <w:gridCol w:w="600"/>
              <w:gridCol w:w="7548"/>
            </w:tblGrid>
            <w:tr w:rsidR="001C2FB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:rsidR="001C2FBD" w:rsidRDefault="001C2FB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Verdana" w:hAnsi="Verdana" w:cs="Verdana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Verdana" w:hAnsi="Verdana" w:cs="Verdana"/>
                      <w:noProof/>
                      <w:sz w:val="22"/>
                      <w:szCs w:val="22"/>
                      <w:lang w:val="es-ES"/>
                    </w:rPr>
                    <w:drawing>
                      <wp:inline distT="0" distB="0" distL="0" distR="0">
                        <wp:extent cx="381635" cy="367665"/>
                        <wp:effectExtent l="0" t="0" r="0" b="0"/>
                        <wp:docPr id="2" name="Imagen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3676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:rsidR="001C2FBD" w:rsidRDefault="001C2FB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Verdana" w:hAnsi="Verdana" w:cs="Verdana"/>
                      <w:noProof/>
                      <w:sz w:val="22"/>
                      <w:szCs w:val="22"/>
                      <w:lang w:val="es-ES"/>
                    </w:rPr>
                    <w:drawing>
                      <wp:inline distT="0" distB="0" distL="0" distR="0">
                        <wp:extent cx="381635" cy="367665"/>
                        <wp:effectExtent l="0" t="0" r="0" b="0"/>
                        <wp:docPr id="3" name="Imagen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3676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:rsidR="001C2FBD" w:rsidRDefault="001C2FB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Verdana" w:hAnsi="Verdana" w:cs="Verdana"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1C2FBD" w:rsidRDefault="001C2FB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</w:pPr>
            <w:r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  <w:t>Las garantías son un acto acc</w:t>
            </w:r>
            <w:r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  <w:lastRenderedPageBreak/>
              <w:t xml:space="preserve">esorio cuyo objeto es asegurar el cumplimiento de una obligación principal. A diario se producen actos o transacciones que conllevan un riesgo y que requieren de una garantía real o personal. </w:t>
            </w:r>
          </w:p>
          <w:p w:rsidR="001C2FBD" w:rsidRDefault="001C2FB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</w:pPr>
          </w:p>
          <w:p w:rsidR="001C2FBD" w:rsidRDefault="001C2FB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</w:pPr>
            <w:r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  <w:t>El tratado estudia estas garantías, de gran trascendencia jurídica y económica. Es un tratado imprescindible, de referencia y consulta continua para los profesionales jurídicos pues aborda temas habituales del Derecho Civil no exentos de conflictos.</w:t>
            </w:r>
          </w:p>
          <w:p w:rsidR="001C2FBD" w:rsidRDefault="001C2FB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</w:pPr>
          </w:p>
          <w:p w:rsidR="001C2FBD" w:rsidRDefault="001C2FB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</w:pPr>
            <w:r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  <w:t xml:space="preserve">Comprende la exposición sistemática de la regulación, la doctrina, las resoluciones de la DGRN y la jurisprudencia, referida a la aplicación de las normas civiles, mercantiles y procesales. </w:t>
            </w:r>
          </w:p>
          <w:p w:rsidR="001C2FBD" w:rsidRDefault="001C2FB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</w:pPr>
          </w:p>
          <w:p w:rsidR="001C2FBD" w:rsidRDefault="001C2FB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</w:pPr>
            <w:r>
              <w:rPr>
                <w:rFonts w:ascii="Verdana" w:hAnsi="Verdana" w:cs="Verdana"/>
                <w:color w:val="1A292C"/>
                <w:sz w:val="20"/>
                <w:szCs w:val="20"/>
                <w:lang w:val="es-ES"/>
              </w:rPr>
              <w:t xml:space="preserve">En él, han participado Notarios, Magistrados, Registradores, Abogados y Profesores; profundos conocedores de las materias expuestas, en cuyos comentarios se aprecia sus conocimientos con aportaciones destacadas y valiosas, de utilidad para el jurista, tanto teórico, como práctico. </w:t>
            </w:r>
          </w:p>
        </w:tc>
      </w:tr>
    </w:tbl>
    <w:p w:rsidR="00454119" w:rsidRDefault="00454119">
      <w:bookmarkStart w:id="0" w:name="_GoBack"/>
      <w:bookmarkEnd w:id="0"/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BD"/>
    <w:rsid w:val="001C2FBD"/>
    <w:rsid w:val="0045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2FB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2FB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2FB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2FB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cervantes.com/index.php?titulo=&amp;autor=Prats%20Albentosa,%20Lorenzo&amp;submit2=buscar&amp;pag=modulo&amp;IdModulo=11&amp;e=1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187</Words>
  <Characters>1033</Characters>
  <Application>Microsoft Macintosh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2016-11-04T18:26:00Z</dcterms:created>
  <dcterms:modified xsi:type="dcterms:W3CDTF">2016-11-04T18:27:00Z</dcterms:modified>
</cp:coreProperties>
</file>