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9857B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36"/>
          <w:szCs w:val="36"/>
        </w:rPr>
      </w:pPr>
      <w:r>
        <w:rPr>
          <w:rFonts w:ascii="URWPalladioL-Bold" w:hAnsi="URWPalladioL-Bold" w:cs="URWPalladioL-Bold"/>
          <w:b/>
          <w:bCs/>
          <w:kern w:val="0"/>
          <w:sz w:val="36"/>
          <w:szCs w:val="36"/>
        </w:rPr>
        <w:t xml:space="preserve">Protective </w:t>
      </w:r>
      <w:proofErr w:type="spellStart"/>
      <w:r>
        <w:rPr>
          <w:rFonts w:ascii="URWPalladioL-Bold" w:hAnsi="URWPalladioL-Bold" w:cs="URWPalladioL-Bold"/>
          <w:b/>
          <w:bCs/>
          <w:kern w:val="0"/>
          <w:sz w:val="36"/>
          <w:szCs w:val="36"/>
        </w:rPr>
        <w:t>Behavioral</w:t>
      </w:r>
      <w:proofErr w:type="spellEnd"/>
      <w:r>
        <w:rPr>
          <w:rFonts w:ascii="URWPalladioL-Bold" w:hAnsi="URWPalladioL-Bold" w:cs="URWPalladioL-Bold"/>
          <w:b/>
          <w:bCs/>
          <w:kern w:val="0"/>
          <w:sz w:val="36"/>
          <w:szCs w:val="36"/>
        </w:rPr>
        <w:t xml:space="preserve"> Strategies and Alcohol</w:t>
      </w:r>
    </w:p>
    <w:p w14:paraId="3F226D2A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36"/>
          <w:szCs w:val="36"/>
        </w:rPr>
      </w:pPr>
      <w:r>
        <w:rPr>
          <w:rFonts w:ascii="URWPalladioL-Bold" w:hAnsi="URWPalladioL-Bold" w:cs="URWPalladioL-Bold"/>
          <w:b/>
          <w:bCs/>
          <w:kern w:val="0"/>
          <w:sz w:val="36"/>
          <w:szCs w:val="36"/>
        </w:rPr>
        <w:t>Consumption: The Moderating Role of</w:t>
      </w:r>
    </w:p>
    <w:p w14:paraId="26C2C7EA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36"/>
          <w:szCs w:val="36"/>
        </w:rPr>
      </w:pPr>
      <w:r>
        <w:rPr>
          <w:rFonts w:ascii="URWPalladioL-Bold" w:hAnsi="URWPalladioL-Bold" w:cs="URWPalladioL-Bold"/>
          <w:b/>
          <w:bCs/>
          <w:kern w:val="0"/>
          <w:sz w:val="36"/>
          <w:szCs w:val="36"/>
        </w:rPr>
        <w:t>Drinking-Group Gender Composition</w:t>
      </w:r>
    </w:p>
    <w:p w14:paraId="690F5E82" w14:textId="77777777" w:rsidR="00163685" w:rsidRDefault="00163685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197C25D1" w14:textId="3E26942D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Carmen </w:t>
      </w:r>
      <w:proofErr w:type="spellStart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Tabernero</w:t>
      </w:r>
      <w:proofErr w:type="spellEnd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 </w:t>
      </w:r>
      <w:r>
        <w:rPr>
          <w:rFonts w:ascii="URWPalladioL-Bold" w:hAnsi="URWPalladioL-Bold" w:cs="URWPalladioL-Bold"/>
          <w:b/>
          <w:bCs/>
          <w:kern w:val="0"/>
          <w:sz w:val="15"/>
          <w:szCs w:val="15"/>
        </w:rPr>
        <w:t>1,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* , Tamara Guti</w:t>
      </w:r>
      <w:r>
        <w:rPr>
          <w:rFonts w:ascii="VnURWPalladioL-Bold" w:hAnsi="VnURWPalladioL-Bold" w:cs="VnURWPalladioL-Bold"/>
          <w:b/>
          <w:bCs/>
          <w:kern w:val="0"/>
          <w:sz w:val="20"/>
          <w:szCs w:val="20"/>
        </w:rPr>
        <w:t>é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rrez-Domingo </w:t>
      </w:r>
      <w:r>
        <w:rPr>
          <w:rFonts w:ascii="URWPalladioL-Bold" w:hAnsi="URWPalladioL-Bold" w:cs="URWPalladioL-Bold"/>
          <w:b/>
          <w:bCs/>
          <w:kern w:val="0"/>
          <w:sz w:val="15"/>
          <w:szCs w:val="15"/>
        </w:rPr>
        <w:t>2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, B</w:t>
      </w:r>
      <w:r>
        <w:rPr>
          <w:rFonts w:ascii="VnURWPalladioL-Bold" w:hAnsi="VnURWPalladioL-Bold" w:cs="VnURWPalladioL-Bold"/>
          <w:b/>
          <w:bCs/>
          <w:kern w:val="0"/>
          <w:sz w:val="20"/>
          <w:szCs w:val="20"/>
        </w:rPr>
        <w:t>á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rbara </w:t>
      </w:r>
      <w:proofErr w:type="spellStart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Luque</w:t>
      </w:r>
      <w:proofErr w:type="spellEnd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 </w:t>
      </w:r>
      <w:r>
        <w:rPr>
          <w:rFonts w:ascii="URWPalladioL-Bold" w:hAnsi="URWPalladioL-Bold" w:cs="URWPalladioL-Bold"/>
          <w:b/>
          <w:bCs/>
          <w:kern w:val="0"/>
          <w:sz w:val="15"/>
          <w:szCs w:val="15"/>
        </w:rPr>
        <w:t xml:space="preserve">2 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,</w:t>
      </w:r>
    </w:p>
    <w:p w14:paraId="4AC3732E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15"/>
          <w:szCs w:val="15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Olaya Garc</w:t>
      </w:r>
      <w:r>
        <w:rPr>
          <w:rFonts w:ascii="VnURWPalladioL-Bold" w:hAnsi="VnURWPalladioL-Bold" w:cs="VnURWPalladioL-Bold"/>
          <w:b/>
          <w:bCs/>
          <w:kern w:val="0"/>
          <w:sz w:val="20"/>
          <w:szCs w:val="20"/>
        </w:rPr>
        <w:t>í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a-V</w:t>
      </w:r>
      <w:r>
        <w:rPr>
          <w:rFonts w:ascii="VnURWPalladioL-Bold" w:hAnsi="VnURWPalladioL-Bold" w:cs="VnURWPalladioL-Bold"/>
          <w:b/>
          <w:bCs/>
          <w:kern w:val="0"/>
          <w:sz w:val="20"/>
          <w:szCs w:val="20"/>
        </w:rPr>
        <w:t>á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zquez </w:t>
      </w:r>
      <w:r>
        <w:rPr>
          <w:rFonts w:ascii="URWPalladioL-Bold" w:hAnsi="URWPalladioL-Bold" w:cs="URWPalladioL-Bold"/>
          <w:b/>
          <w:bCs/>
          <w:kern w:val="0"/>
          <w:sz w:val="15"/>
          <w:szCs w:val="15"/>
        </w:rPr>
        <w:t xml:space="preserve">3 </w:t>
      </w: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and Esther </w:t>
      </w:r>
      <w:proofErr w:type="spellStart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Cuadrado</w:t>
      </w:r>
      <w:proofErr w:type="spellEnd"/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 </w:t>
      </w:r>
      <w:r>
        <w:rPr>
          <w:rFonts w:ascii="URWPalladioL-Bold" w:hAnsi="URWPalladioL-Bold" w:cs="URWPalladioL-Bold"/>
          <w:b/>
          <w:bCs/>
          <w:kern w:val="0"/>
          <w:sz w:val="15"/>
          <w:szCs w:val="15"/>
        </w:rPr>
        <w:t>2</w:t>
      </w:r>
    </w:p>
    <w:p w14:paraId="300154FF" w14:textId="77777777" w:rsidR="00163685" w:rsidRDefault="00163685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15"/>
          <w:szCs w:val="15"/>
        </w:rPr>
      </w:pPr>
    </w:p>
    <w:p w14:paraId="472684A7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Roma" w:hAnsi="URWPalladioL-Roma" w:cs="URWPalladioL-Roma"/>
          <w:kern w:val="0"/>
          <w:sz w:val="14"/>
          <w:szCs w:val="14"/>
        </w:rPr>
        <w:t xml:space="preserve">1 </w:t>
      </w:r>
      <w:r>
        <w:rPr>
          <w:rFonts w:ascii="URWPalladioL-Roma" w:hAnsi="URWPalladioL-Roma" w:cs="URWPalladioL-Roma"/>
          <w:kern w:val="0"/>
          <w:sz w:val="18"/>
          <w:szCs w:val="18"/>
        </w:rPr>
        <w:t>Department of Social Psychology, INCYL, University of Salamanca, 37007 Salamanca, Spain</w:t>
      </w:r>
    </w:p>
    <w:p w14:paraId="2BBBC573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Roma" w:hAnsi="URWPalladioL-Roma" w:cs="URWPalladioL-Roma"/>
          <w:kern w:val="0"/>
          <w:sz w:val="14"/>
          <w:szCs w:val="14"/>
        </w:rPr>
        <w:t xml:space="preserve">2 </w:t>
      </w:r>
      <w:r>
        <w:rPr>
          <w:rFonts w:ascii="URWPalladioL-Roma" w:hAnsi="URWPalladioL-Roma" w:cs="URWPalladioL-Roma"/>
          <w:kern w:val="0"/>
          <w:sz w:val="18"/>
          <w:szCs w:val="18"/>
        </w:rPr>
        <w:t>University of C</w:t>
      </w:r>
      <w:r>
        <w:rPr>
          <w:rFonts w:ascii="VnURWPalladioL" w:hAnsi="VnURWPalladioL" w:cs="VnURWPalladioL"/>
          <w:kern w:val="0"/>
          <w:sz w:val="18"/>
          <w:szCs w:val="18"/>
        </w:rPr>
        <w:t>ó</w:t>
      </w:r>
      <w:r>
        <w:rPr>
          <w:rFonts w:ascii="URWPalladioL-Roma" w:hAnsi="URWPalladioL-Roma" w:cs="URWPalladioL-Roma"/>
          <w:kern w:val="0"/>
          <w:sz w:val="18"/>
          <w:szCs w:val="18"/>
        </w:rPr>
        <w:t>rdoba, IMIBIC, 5000 Cordoba, Spain; tamara.gutierrez@uco.es (T.G.-D.);</w:t>
      </w:r>
    </w:p>
    <w:p w14:paraId="5D928AE4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Roma" w:hAnsi="URWPalladioL-Roma" w:cs="URWPalladioL-Roma"/>
          <w:kern w:val="0"/>
          <w:sz w:val="18"/>
          <w:szCs w:val="18"/>
        </w:rPr>
        <w:t>bluque@uco.es (B.L.); esther.cuadrado@uco.es (E.C.)</w:t>
      </w:r>
    </w:p>
    <w:p w14:paraId="59E73CEB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Roma" w:hAnsi="URWPalladioL-Roma" w:cs="URWPalladioL-Roma"/>
          <w:kern w:val="0"/>
          <w:sz w:val="14"/>
          <w:szCs w:val="14"/>
        </w:rPr>
        <w:t xml:space="preserve">3 </w:t>
      </w:r>
      <w:r>
        <w:rPr>
          <w:rFonts w:ascii="URWPalladioL-Roma" w:hAnsi="URWPalladioL-Roma" w:cs="URWPalladioL-Roma"/>
          <w:kern w:val="0"/>
          <w:sz w:val="18"/>
          <w:szCs w:val="18"/>
        </w:rPr>
        <w:t>University of Salamanca, 37007 Salamanca, Spain; id00684062@usal.es</w:t>
      </w:r>
    </w:p>
    <w:p w14:paraId="3C4A312C" w14:textId="77777777" w:rsidR="00163685" w:rsidRDefault="00163685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18"/>
          <w:szCs w:val="18"/>
        </w:rPr>
      </w:pPr>
    </w:p>
    <w:p w14:paraId="1718F963" w14:textId="0DA98B1B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Bold" w:hAnsi="URWPalladioL-Bold" w:cs="URWPalladioL-Bold"/>
          <w:b/>
          <w:bCs/>
          <w:kern w:val="0"/>
          <w:sz w:val="18"/>
          <w:szCs w:val="18"/>
        </w:rPr>
        <w:t xml:space="preserve">* </w:t>
      </w:r>
      <w:r>
        <w:rPr>
          <w:rFonts w:ascii="URWPalladioL-Roma" w:hAnsi="URWPalladioL-Roma" w:cs="URWPalladioL-Roma"/>
          <w:kern w:val="0"/>
          <w:sz w:val="18"/>
          <w:szCs w:val="18"/>
        </w:rPr>
        <w:t>Correspondence: carmen.tabernero@usal.es</w:t>
      </w:r>
    </w:p>
    <w:p w14:paraId="7F6FF652" w14:textId="77777777" w:rsidR="00163685" w:rsidRDefault="00163685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</w:p>
    <w:p w14:paraId="342401AA" w14:textId="054D3ED4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18"/>
          <w:szCs w:val="18"/>
        </w:rPr>
      </w:pPr>
      <w:r>
        <w:rPr>
          <w:rFonts w:ascii="URWPalladioL-Roma" w:hAnsi="URWPalladioL-Roma" w:cs="URWPalladioL-Roma"/>
          <w:kern w:val="0"/>
          <w:sz w:val="18"/>
          <w:szCs w:val="18"/>
        </w:rPr>
        <w:t>Published: 12 March 2019</w:t>
      </w:r>
    </w:p>
    <w:p w14:paraId="6A1389E5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SourceSansRoman-Bold" w:hAnsi="SourceSansRoman-Bold" w:cs="SourceSansRoman-Bold"/>
          <w:b/>
          <w:bCs/>
          <w:kern w:val="0"/>
          <w:sz w:val="16"/>
          <w:szCs w:val="16"/>
        </w:rPr>
      </w:pPr>
      <w:r>
        <w:rPr>
          <w:rFonts w:ascii="SourceSansRoman-Bold" w:hAnsi="SourceSansRoman-Bold" w:cs="SourceSansRoman-Bold"/>
          <w:b/>
          <w:bCs/>
          <w:kern w:val="0"/>
          <w:sz w:val="16"/>
          <w:szCs w:val="16"/>
        </w:rPr>
        <w:t>_______</w:t>
      </w:r>
    </w:p>
    <w:p w14:paraId="404E9A62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Abstract: </w:t>
      </w:r>
    </w:p>
    <w:p w14:paraId="73FA8572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6C5B38E6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Background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. </w:t>
      </w:r>
    </w:p>
    <w:p w14:paraId="0A9DF488" w14:textId="65223514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There is international concern about the negative consequences for health</w:t>
      </w:r>
    </w:p>
    <w:p w14:paraId="68BAACD1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related to young people’s alcohol consumption. Peer relationships can play a positive and protective</w:t>
      </w:r>
    </w:p>
    <w:p w14:paraId="2B474AD2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role to cope with risky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behaviors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associated with alcohol consumption. </w:t>
      </w:r>
    </w:p>
    <w:p w14:paraId="3B025FCE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3FA02BED" w14:textId="79D3521F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Objective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. </w:t>
      </w:r>
    </w:p>
    <w:p w14:paraId="5C919A19" w14:textId="09B6A9E3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This study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investigated the influence of protective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behavioral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strategies (PBS) on alcohol consumption and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the moderating role of drinking-group gender composition and drinking-group size. </w:t>
      </w:r>
    </w:p>
    <w:p w14:paraId="37D2FC36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298AF75F" w14:textId="02A2BA55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Methods</w:t>
      </w:r>
      <w:r>
        <w:rPr>
          <w:rFonts w:ascii="URWPalladioL-Roma" w:hAnsi="URWPalladioL-Roma" w:cs="URWPalladioL-Roma"/>
          <w:kern w:val="0"/>
          <w:sz w:val="20"/>
          <w:szCs w:val="20"/>
        </w:rPr>
        <w:t>.</w:t>
      </w:r>
    </w:p>
    <w:p w14:paraId="5340BADF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The sample comprised 286 youths (mean age = 23.49; </w:t>
      </w:r>
      <w:r>
        <w:rPr>
          <w:rFonts w:ascii="URWPalladioL-Ital" w:hAnsi="URWPalladioL-Ital" w:cs="URWPalladioL-Ital"/>
          <w:kern w:val="0"/>
          <w:sz w:val="20"/>
          <w:szCs w:val="20"/>
        </w:rPr>
        <w:t xml:space="preserve">SD </w:t>
      </w:r>
      <w:r>
        <w:rPr>
          <w:rFonts w:ascii="URWPalladioL-Roma" w:hAnsi="URWPalladioL-Roma" w:cs="URWPalladioL-Roma"/>
          <w:kern w:val="0"/>
          <w:sz w:val="20"/>
          <w:szCs w:val="20"/>
        </w:rPr>
        <w:t>= 2.78; 67.5% female). Participants</w:t>
      </w:r>
    </w:p>
    <w:p w14:paraId="754DE229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reported their protective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behavioral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strategies, their alcohol consumption and the size (overall</w:t>
      </w:r>
    </w:p>
    <w:p w14:paraId="47EA4757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mean = 7.44; </w:t>
      </w:r>
      <w:r>
        <w:rPr>
          <w:rFonts w:ascii="URWPalladioL-Ital" w:hAnsi="URWPalladioL-Ital" w:cs="URWPalladioL-Ital"/>
          <w:kern w:val="0"/>
          <w:sz w:val="20"/>
          <w:szCs w:val="20"/>
        </w:rPr>
        <w:t xml:space="preserve">SD </w:t>
      </w:r>
      <w:r>
        <w:rPr>
          <w:rFonts w:ascii="URWPalladioL-Roma" w:hAnsi="URWPalladioL-Roma" w:cs="URWPalladioL-Roma"/>
          <w:kern w:val="0"/>
          <w:sz w:val="20"/>
          <w:szCs w:val="20"/>
        </w:rPr>
        <w:t>= 3.83) and gender composition (62.58% mixed; 19.93% all-female; 9.8% all-male)</w:t>
      </w:r>
    </w:p>
    <w:p w14:paraId="01BFA59B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of their social drinking groups. The mean sizes of mixed, all-female, and all-male groups were</w:t>
      </w:r>
    </w:p>
    <w:p w14:paraId="73BAED3A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8.27, 5.34, and 6.2, respectively. </w:t>
      </w:r>
    </w:p>
    <w:p w14:paraId="2995C14B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59FC0832" w14:textId="3422795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Results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. </w:t>
      </w:r>
    </w:p>
    <w:p w14:paraId="47754D67" w14:textId="2A25713D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Data showed that women consume less alcohol and use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>more protective strategies than men, particularly those strategies directed at avoiding negative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>consequences. Furthermore, the number of men in a group influences protective strategies and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>consumption, therefore drinking-group gender composition moderates the relationship between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>protective strategies and alcohol consumption. The more protective strategies that young adults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  <w:r>
        <w:rPr>
          <w:rFonts w:ascii="URWPalladioL-Roma" w:hAnsi="URWPalladioL-Roma" w:cs="URWPalladioL-Roma"/>
          <w:kern w:val="0"/>
          <w:sz w:val="20"/>
          <w:szCs w:val="20"/>
        </w:rPr>
        <w:t>use, the lower their alcohol consumption. This relationship is moderated by the size of the group.</w:t>
      </w:r>
    </w:p>
    <w:p w14:paraId="3957D82B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40BBEEBB" w14:textId="7125270B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>Conclusion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. </w:t>
      </w:r>
    </w:p>
    <w:p w14:paraId="7A273C1C" w14:textId="79760C1F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Strategies to prevent risky drinking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should focus on both PBS shared by</w:t>
      </w:r>
    </w:p>
    <w:p w14:paraId="4E39FA41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drinking-group members and the training in individual PBS associated with drinking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>.</w:t>
      </w:r>
    </w:p>
    <w:p w14:paraId="214261A9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Finally, taking into account the relationship between drinking-group gender composition and</w:t>
      </w:r>
    </w:p>
    <w:p w14:paraId="0AA96644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protective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behavioral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strategies for alcohol consumption, a positive protector role for individual and</w:t>
      </w:r>
    </w:p>
    <w:p w14:paraId="1FC4F853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>group habits in relation to alcohol consumption is discussed.</w:t>
      </w:r>
    </w:p>
    <w:p w14:paraId="308F0583" w14:textId="77777777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Bold" w:hAnsi="URWPalladioL-Bold" w:cs="URWPalladioL-Bold"/>
          <w:b/>
          <w:bCs/>
          <w:kern w:val="0"/>
          <w:sz w:val="20"/>
          <w:szCs w:val="20"/>
        </w:rPr>
      </w:pPr>
    </w:p>
    <w:p w14:paraId="627755C7" w14:textId="04C26450" w:rsidR="003D5666" w:rsidRDefault="003D5666" w:rsidP="003D5666">
      <w:pPr>
        <w:autoSpaceDE w:val="0"/>
        <w:autoSpaceDN w:val="0"/>
        <w:adjustRightInd w:val="0"/>
        <w:spacing w:after="0" w:line="240" w:lineRule="auto"/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Bold" w:hAnsi="URWPalladioL-Bold" w:cs="URWPalladioL-Bold"/>
          <w:b/>
          <w:bCs/>
          <w:kern w:val="0"/>
          <w:sz w:val="20"/>
          <w:szCs w:val="20"/>
        </w:rPr>
        <w:t xml:space="preserve">Keywords: 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protective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behavioral</w:t>
      </w:r>
      <w:proofErr w:type="spellEnd"/>
      <w:r>
        <w:rPr>
          <w:rFonts w:ascii="URWPalladioL-Roma" w:hAnsi="URWPalladioL-Roma" w:cs="URWPalladioL-Roma"/>
          <w:kern w:val="0"/>
          <w:sz w:val="20"/>
          <w:szCs w:val="20"/>
        </w:rPr>
        <w:t xml:space="preserve"> strategies; alcohol consumption; group composition; gender</w:t>
      </w:r>
    </w:p>
    <w:p w14:paraId="6A696EBB" w14:textId="17229407" w:rsidR="00623272" w:rsidRDefault="003D5666" w:rsidP="003D5666">
      <w:pPr>
        <w:rPr>
          <w:rFonts w:ascii="URWPalladioL-Roma" w:hAnsi="URWPalladioL-Roma" w:cs="URWPalladioL-Roma"/>
          <w:kern w:val="0"/>
          <w:sz w:val="20"/>
          <w:szCs w:val="20"/>
        </w:rPr>
      </w:pPr>
      <w:r>
        <w:rPr>
          <w:rFonts w:ascii="URWPalladioL-Roma" w:hAnsi="URWPalladioL-Roma" w:cs="URWPalladioL-Roma"/>
          <w:kern w:val="0"/>
          <w:sz w:val="20"/>
          <w:szCs w:val="20"/>
        </w:rPr>
        <w:t xml:space="preserve">differences; health </w:t>
      </w:r>
      <w:proofErr w:type="spellStart"/>
      <w:r>
        <w:rPr>
          <w:rFonts w:ascii="URWPalladioL-Roma" w:hAnsi="URWPalladioL-Roma" w:cs="URWPalladioL-Roma"/>
          <w:kern w:val="0"/>
          <w:sz w:val="20"/>
          <w:szCs w:val="20"/>
        </w:rPr>
        <w:t>behavior</w:t>
      </w:r>
      <w:proofErr w:type="spellEnd"/>
    </w:p>
    <w:p w14:paraId="5ACA4915" w14:textId="409FA257" w:rsidR="008E34B2" w:rsidRPr="008E34B2" w:rsidRDefault="008E34B2" w:rsidP="003D5666">
      <w:pPr>
        <w:rPr>
          <w:rFonts w:ascii="URWPalladioL-Roma" w:hAnsi="URWPalladioL-Roma" w:cs="URWPalladioL-Roma"/>
          <w:kern w:val="0"/>
          <w:sz w:val="20"/>
          <w:szCs w:val="20"/>
        </w:rPr>
      </w:pPr>
      <w:r w:rsidRPr="008E34B2">
        <w:rPr>
          <w:rFonts w:ascii="URWPalladioL-Roma" w:hAnsi="URWPalladioL-Roma" w:cs="URWPalladioL-Roma"/>
          <w:b/>
          <w:bCs/>
          <w:kern w:val="0"/>
          <w:sz w:val="20"/>
          <w:szCs w:val="20"/>
        </w:rPr>
        <w:t>Cite</w:t>
      </w:r>
      <w:r>
        <w:rPr>
          <w:rFonts w:ascii="URWPalladioL-Roma" w:hAnsi="URWPalladioL-Roma" w:cs="URWPalladioL-Roma"/>
          <w:kern w:val="0"/>
          <w:sz w:val="20"/>
          <w:szCs w:val="20"/>
        </w:rPr>
        <w:t xml:space="preserve">: </w:t>
      </w:r>
      <w:proofErr w:type="spellStart"/>
      <w:r w:rsidRPr="008E34B2">
        <w:rPr>
          <w:rFonts w:ascii="URWPalladioL-Roma" w:hAnsi="URWPalladioL-Roma" w:cs="URWPalladioL-Roma"/>
          <w:kern w:val="0"/>
          <w:sz w:val="20"/>
          <w:szCs w:val="20"/>
        </w:rPr>
        <w:t>Tabernero</w:t>
      </w:r>
      <w:proofErr w:type="spellEnd"/>
      <w:r w:rsidRPr="008E34B2">
        <w:rPr>
          <w:rFonts w:ascii="URWPalladioL-Roma" w:hAnsi="URWPalladioL-Roma" w:cs="URWPalladioL-Roma"/>
          <w:kern w:val="0"/>
          <w:sz w:val="20"/>
          <w:szCs w:val="20"/>
        </w:rPr>
        <w:t xml:space="preserve">, C.; Gutiérrez-Domingo, T.; </w:t>
      </w:r>
      <w:proofErr w:type="spellStart"/>
      <w:r w:rsidRPr="008E34B2">
        <w:rPr>
          <w:rFonts w:ascii="URWPalladioL-Roma" w:hAnsi="URWPalladioL-Roma" w:cs="URWPalladioL-Roma"/>
          <w:kern w:val="0"/>
          <w:sz w:val="20"/>
          <w:szCs w:val="20"/>
        </w:rPr>
        <w:t>Luque</w:t>
      </w:r>
      <w:proofErr w:type="spellEnd"/>
      <w:r w:rsidRPr="008E34B2">
        <w:rPr>
          <w:rFonts w:ascii="URWPalladioL-Roma" w:hAnsi="URWPalladioL-Roma" w:cs="URWPalladioL-Roma"/>
          <w:kern w:val="0"/>
          <w:sz w:val="20"/>
          <w:szCs w:val="20"/>
        </w:rPr>
        <w:t xml:space="preserve">, B.; García-Vázquez, O.; </w:t>
      </w:r>
      <w:proofErr w:type="spellStart"/>
      <w:r w:rsidRPr="008E34B2">
        <w:rPr>
          <w:rFonts w:ascii="URWPalladioL-Roma" w:hAnsi="URWPalladioL-Roma" w:cs="URWPalladioL-Roma"/>
          <w:kern w:val="0"/>
          <w:sz w:val="20"/>
          <w:szCs w:val="20"/>
        </w:rPr>
        <w:t>Cuadrado</w:t>
      </w:r>
      <w:proofErr w:type="spellEnd"/>
      <w:r w:rsidRPr="008E34B2">
        <w:rPr>
          <w:rFonts w:ascii="URWPalladioL-Roma" w:hAnsi="URWPalladioL-Roma" w:cs="URWPalladioL-Roma"/>
          <w:kern w:val="0"/>
          <w:sz w:val="20"/>
          <w:szCs w:val="20"/>
        </w:rPr>
        <w:t xml:space="preserve">, E. Protective </w:t>
      </w:r>
      <w:proofErr w:type="spellStart"/>
      <w:r w:rsidRPr="008E34B2">
        <w:rPr>
          <w:rFonts w:ascii="URWPalladioL-Roma" w:hAnsi="URWPalladioL-Roma" w:cs="URWPalladioL-Roma"/>
          <w:kern w:val="0"/>
          <w:sz w:val="20"/>
          <w:szCs w:val="20"/>
        </w:rPr>
        <w:t>Behavioral</w:t>
      </w:r>
      <w:proofErr w:type="spellEnd"/>
      <w:r w:rsidRPr="008E34B2">
        <w:rPr>
          <w:rFonts w:ascii="URWPalladioL-Roma" w:hAnsi="URWPalladioL-Roma" w:cs="URWPalladioL-Roma"/>
          <w:kern w:val="0"/>
          <w:sz w:val="20"/>
          <w:szCs w:val="20"/>
        </w:rPr>
        <w:t xml:space="preserve"> Strategies and Alcohol Consumption: The Moderating Role of Drinking-Group Gender Composition. Int. J. Environ. Res. Public Health 2019, 16, 900. </w:t>
      </w:r>
      <w:hyperlink r:id="rId4" w:history="1">
        <w:r w:rsidRPr="00C359B3">
          <w:rPr>
            <w:rStyle w:val="Hipervnculo"/>
            <w:rFonts w:ascii="URWPalladioL-Roma" w:hAnsi="URWPalladioL-Roma" w:cs="URWPalladioL-Roma"/>
            <w:kern w:val="0"/>
            <w:sz w:val="20"/>
            <w:szCs w:val="20"/>
          </w:rPr>
          <w:t>https://doi.org/10.3390/ijerph16050900</w:t>
        </w:r>
      </w:hyperlink>
      <w:r>
        <w:rPr>
          <w:rFonts w:ascii="URWPalladioL-Roma" w:hAnsi="URWPalladioL-Roma" w:cs="URWPalladioL-Roma"/>
          <w:kern w:val="0"/>
          <w:sz w:val="20"/>
          <w:szCs w:val="20"/>
        </w:rPr>
        <w:t xml:space="preserve"> </w:t>
      </w:r>
    </w:p>
    <w:sectPr w:rsidR="008E34B2" w:rsidRPr="008E34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RWPalladioL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nURWPalladioL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WPalladioL-Rom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nURWPalladio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ourceSansRoman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WPalladioL-Ita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3D"/>
    <w:rsid w:val="00163685"/>
    <w:rsid w:val="003D5666"/>
    <w:rsid w:val="00623272"/>
    <w:rsid w:val="008A7049"/>
    <w:rsid w:val="008E34B2"/>
    <w:rsid w:val="00C9013D"/>
    <w:rsid w:val="00F53C22"/>
    <w:rsid w:val="00F9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6FB1C"/>
  <w15:chartTrackingRefBased/>
  <w15:docId w15:val="{D8FDE71A-64CF-48F5-819C-6CDD9635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E34B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E3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3390/ijerph1605090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Olaya García Vázquez</dc:creator>
  <cp:keywords/>
  <dc:description/>
  <cp:lastModifiedBy>Olaya García Vázquez</cp:lastModifiedBy>
  <cp:revision>4</cp:revision>
  <dcterms:created xsi:type="dcterms:W3CDTF">2023-06-12T08:07:00Z</dcterms:created>
  <dcterms:modified xsi:type="dcterms:W3CDTF">2023-06-12T08:09:00Z</dcterms:modified>
</cp:coreProperties>
</file>