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202F03" w:rsidRPr="00432691" w:rsidRDefault="00C23F42" w:rsidP="000E3702">
      <w:pPr>
        <w:spacing w:before="120"/>
        <w:jc w:val="center"/>
        <w:rPr>
          <w:rFonts w:ascii="Calibri" w:hAnsi="Calibri"/>
          <w:b/>
          <w:sz w:val="32"/>
          <w:szCs w:val="32"/>
        </w:rPr>
      </w:pPr>
      <w:r>
        <w:rPr>
          <w:rFonts w:ascii="Calibri" w:hAnsi="Calibri"/>
          <w:b/>
          <w:sz w:val="32"/>
          <w:szCs w:val="32"/>
        </w:rPr>
        <w:br/>
      </w:r>
      <w:r w:rsidR="00202F03" w:rsidRPr="00432691">
        <w:rPr>
          <w:rFonts w:ascii="Calibri" w:hAnsi="Calibri"/>
          <w:b/>
          <w:sz w:val="32"/>
          <w:szCs w:val="32"/>
        </w:rPr>
        <w:t>SINOPSIS</w:t>
      </w:r>
    </w:p>
    <w:p w:rsidR="0093514F" w:rsidRDefault="00D21762" w:rsidP="00D21762">
      <w:pPr>
        <w:spacing w:before="120"/>
      </w:pPr>
      <w:r>
        <w:rPr>
          <w:b/>
          <w:i/>
          <w:u w:val="single"/>
        </w:rPr>
        <w:t>TÍTULO</w:t>
      </w:r>
    </w:p>
    <w:p w:rsidR="0093514F" w:rsidRDefault="00527222" w:rsidP="00202F03">
      <w:pPr>
        <w:spacing w:before="120"/>
        <w:jc w:val="both"/>
      </w:pPr>
      <w:r>
        <w:rPr>
          <w:noProof/>
        </w:rPr>
        <mc:AlternateContent>
          <mc:Choice Requires="wps">
            <w:drawing>
              <wp:anchor distT="0" distB="0" distL="114300" distR="114300" simplePos="0" relativeHeight="251654656" behindDoc="0" locked="0" layoutInCell="1" allowOverlap="1">
                <wp:simplePos x="0" y="0"/>
                <wp:positionH relativeFrom="column">
                  <wp:posOffset>-18415</wp:posOffset>
                </wp:positionH>
                <wp:positionV relativeFrom="paragraph">
                  <wp:posOffset>56515</wp:posOffset>
                </wp:positionV>
                <wp:extent cx="5951220" cy="240665"/>
                <wp:effectExtent l="6350" t="12700" r="5080" b="13335"/>
                <wp:wrapNone/>
                <wp:docPr id="9"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951220" cy="240665"/>
                        </a:xfrm>
                        <a:prstGeom prst="rect">
                          <a:avLst/>
                        </a:prstGeom>
                        <a:solidFill>
                          <a:srgbClr val="FFFFFF"/>
                        </a:solidFill>
                        <a:ln w="3175">
                          <a:solidFill>
                            <a:srgbClr val="4F81BD"/>
                          </a:solidFill>
                          <a:miter lim="800000"/>
                          <a:headEnd/>
                          <a:tailEnd/>
                        </a:ln>
                        <a:effectLst/>
                        <a:extLst>
                          <a:ext uri="{AF507438-7753-43E0-B8FC-AC1667EBCBE1}">
                            <a14:hiddenEffects xmlns:a14="http://schemas.microsoft.com/office/drawing/2010/main">
                              <a:effectLst>
                                <a:outerShdw dist="35921" dir="2700000" algn="ctr" rotWithShape="0">
                                  <a:srgbClr val="868686"/>
                                </a:outerShdw>
                              </a:effectLst>
                            </a14:hiddenEffects>
                          </a:ext>
                        </a:extLst>
                      </wps:spPr>
                      <wps:txbx>
                        <w:txbxContent>
                          <w:p w:rsidR="00D431C7" w:rsidRPr="00BA7326" w:rsidRDefault="0010207E" w:rsidP="00C84947">
                            <w:pPr>
                              <w:rPr>
                                <w:rFonts w:ascii="Arial" w:hAnsi="Arial" w:cs="Arial"/>
                                <w:sz w:val="20"/>
                                <w:szCs w:val="20"/>
                              </w:rPr>
                            </w:pPr>
                            <w:r>
                              <w:rPr>
                                <w:rFonts w:ascii="Arial" w:hAnsi="Arial" w:cs="Arial"/>
                                <w:sz w:val="20"/>
                                <w:szCs w:val="20"/>
                                <w:lang w:val="pt-PT"/>
                              </w:rPr>
                              <w:t xml:space="preserve">Análisis económico </w:t>
                            </w:r>
                            <w:bookmarkStart w:id="0" w:name="_GoBack"/>
                            <w:bookmarkEnd w:id="0"/>
                            <w:r>
                              <w:rPr>
                                <w:rFonts w:ascii="Arial" w:hAnsi="Arial" w:cs="Arial"/>
                                <w:sz w:val="20"/>
                                <w:szCs w:val="20"/>
                                <w:lang w:val="pt-PT"/>
                              </w:rPr>
                              <w:t>de las estrategias para la gestión del combustible nuclear gastado en España: modelo Mariño.</w:t>
                            </w:r>
                          </w:p>
                        </w:txbxContent>
                      </wps:txbx>
                      <wps:bodyPr rot="0" vert="horz" wrap="square" lIns="91440" tIns="45720" rIns="91440" bIns="45720" anchor="t" anchorCtr="0" upright="1">
                        <a:spAutoFit/>
                      </wps:bodyPr>
                    </wps:wsp>
                  </a:graphicData>
                </a:graphic>
                <wp14:sizeRelH relativeFrom="margin">
                  <wp14:pctWidth>0</wp14:pctWidth>
                </wp14:sizeRelH>
                <wp14:sizeRelV relativeFrom="margin">
                  <wp14:pctHeight>20000</wp14:pctHeight>
                </wp14:sizeRelV>
              </wp:anchor>
            </w:drawing>
          </mc:Choice>
          <mc:Fallback>
            <w:pict>
              <v:shapetype id="_x0000_t202" coordsize="21600,21600" o:spt="202" path="m,l,21600r21600,l21600,xe">
                <v:stroke joinstyle="miter"/>
                <v:path gradientshapeok="t" o:connecttype="rect"/>
              </v:shapetype>
              <v:shape id="Text Box 2" o:spid="_x0000_s1026" type="#_x0000_t202" style="position:absolute;left:0;text-align:left;margin-left:-1.45pt;margin-top:4.45pt;width:468.6pt;height:18.95pt;z-index:251654656;visibility:visible;mso-wrap-style:square;mso-width-percent:0;mso-height-percent:200;mso-wrap-distance-left:9pt;mso-wrap-distance-top:0;mso-wrap-distance-right:9pt;mso-wrap-distance-bottom:0;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" strokecolor="#4f81bd" strokeweight=".25pt">
                <v:shadow color="#868686"/>
                <v:textbox style="mso-fit-shape-to-text:t">
                  <w:txbxContent>
                    <w:p w:rsidR="00D431C7" w:rsidRPr="00BA7326" w:rsidRDefault="0010207E" w:rsidP="00C84947">
                      <w:pPr>
                        <w:rPr>
                          <w:rFonts w:ascii="Arial" w:hAnsi="Arial" w:cs="Arial"/>
                          <w:sz w:val="20"/>
                          <w:szCs w:val="20"/>
                        </w:rPr>
                      </w:pPr>
                      <w:r>
                        <w:rPr>
                          <w:rFonts w:ascii="Arial" w:hAnsi="Arial" w:cs="Arial"/>
                          <w:sz w:val="20"/>
                          <w:szCs w:val="20"/>
                          <w:lang w:val="pt-PT"/>
                        </w:rPr>
                        <w:t xml:space="preserve">Análisis económico </w:t>
                      </w:r>
                      <w:bookmarkStart w:id="1" w:name="_GoBack"/>
                      <w:bookmarkEnd w:id="1"/>
                      <w:r>
                        <w:rPr>
                          <w:rFonts w:ascii="Arial" w:hAnsi="Arial" w:cs="Arial"/>
                          <w:sz w:val="20"/>
                          <w:szCs w:val="20"/>
                          <w:lang w:val="pt-PT"/>
                        </w:rPr>
                        <w:t>de las estrategias para la gestión del combustible nuclear gastado en España: modelo Mariño.</w:t>
                      </w:r>
                    </w:p>
                  </w:txbxContent>
                </v:textbox>
              </v:shape>
            </w:pict>
          </mc:Fallback>
        </mc:AlternateContent>
      </w:r>
    </w:p>
    <w:p w:rsidR="000D34FF" w:rsidRDefault="000D34FF" w:rsidP="000D34FF"/>
    <w:p w:rsidR="000D34FF" w:rsidRDefault="00527222" w:rsidP="000D34FF">
      <w:r>
        <w:rPr>
          <w:rFonts w:ascii="Calibri" w:hAnsi="Calibri"/>
          <w:b/>
          <w:noProof/>
          <w:color w:val="4F6228"/>
          <w:sz w:val="32"/>
          <w:szCs w:val="32"/>
        </w:rPr>
        <mc:AlternateContent>
          <mc:Choice Requires="wps">
            <w:drawing>
              <wp:anchor distT="0" distB="0" distL="114300" distR="114300" simplePos="0" relativeHeight="251659776" behindDoc="0" locked="0" layoutInCell="1" allowOverlap="1">
                <wp:simplePos x="0" y="0"/>
                <wp:positionH relativeFrom="column">
                  <wp:posOffset>620395</wp:posOffset>
                </wp:positionH>
                <wp:positionV relativeFrom="paragraph">
                  <wp:posOffset>124460</wp:posOffset>
                </wp:positionV>
                <wp:extent cx="5295265" cy="815340"/>
                <wp:effectExtent l="6350" t="12700" r="13335" b="10160"/>
                <wp:wrapNone/>
                <wp:docPr id="7" name="Text Box 1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295265" cy="815340"/>
                        </a:xfrm>
                        <a:prstGeom prst="rect">
                          <a:avLst/>
                        </a:prstGeom>
                        <a:solidFill>
                          <a:srgbClr val="FFFFFF"/>
                        </a:solidFill>
                        <a:ln w="9525">
                          <a:solidFill>
                            <a:srgbClr val="31849B"/>
                          </a:solidFill>
                          <a:miter lim="800000"/>
                          <a:headEnd/>
                          <a:tailEnd/>
                        </a:ln>
                      </wps:spPr>
                      <wps:txbx>
                        <w:txbxContent>
                          <w:p w:rsidR="00D431C7" w:rsidRDefault="00BF02B8" w:rsidP="00F546C1">
                            <w:pPr>
                              <w:rPr>
                                <w:rFonts w:ascii="Arial" w:hAnsi="Arial" w:cs="Arial"/>
                                <w:sz w:val="20"/>
                                <w:szCs w:val="20"/>
                              </w:rPr>
                            </w:pPr>
                            <w:r>
                              <w:rPr>
                                <w:rFonts w:ascii="Arial" w:hAnsi="Arial" w:cs="Arial"/>
                                <w:sz w:val="20"/>
                                <w:szCs w:val="20"/>
                              </w:rPr>
                              <w:t>Laura Rodríguez Penalonga</w:t>
                            </w:r>
                          </w:p>
                          <w:p w:rsidR="00BF02B8" w:rsidRDefault="00BF02B8" w:rsidP="00F546C1">
                            <w:pPr>
                              <w:rPr>
                                <w:rFonts w:ascii="Arial" w:hAnsi="Arial" w:cs="Arial"/>
                                <w:sz w:val="20"/>
                                <w:szCs w:val="20"/>
                              </w:rPr>
                            </w:pPr>
                            <w:r>
                              <w:rPr>
                                <w:rFonts w:ascii="Arial" w:hAnsi="Arial" w:cs="Arial"/>
                                <w:sz w:val="20"/>
                                <w:szCs w:val="20"/>
                              </w:rPr>
                              <w:t>Universidad Pontificia Comillas</w:t>
                            </w:r>
                          </w:p>
                          <w:p w:rsidR="00BF02B8" w:rsidRDefault="00BF02B8" w:rsidP="00F546C1">
                            <w:pPr>
                              <w:rPr>
                                <w:rFonts w:ascii="Arial" w:hAnsi="Arial" w:cs="Arial"/>
                                <w:sz w:val="20"/>
                                <w:szCs w:val="20"/>
                              </w:rPr>
                            </w:pPr>
                            <w:r>
                              <w:rPr>
                                <w:rFonts w:ascii="Arial" w:hAnsi="Arial" w:cs="Arial"/>
                                <w:sz w:val="20"/>
                                <w:szCs w:val="20"/>
                              </w:rPr>
                              <w:t>c/ Alberto Aguilera, 25 28015 Madrid (Madrid)</w:t>
                            </w:r>
                          </w:p>
                          <w:p w:rsidR="00BF02B8" w:rsidRDefault="00BF02B8" w:rsidP="00F546C1">
                            <w:pPr>
                              <w:rPr>
                                <w:rFonts w:ascii="Arial" w:hAnsi="Arial" w:cs="Arial"/>
                                <w:sz w:val="20"/>
                                <w:szCs w:val="20"/>
                              </w:rPr>
                            </w:pPr>
                            <w:r>
                              <w:rPr>
                                <w:rFonts w:ascii="Arial" w:hAnsi="Arial" w:cs="Arial"/>
                                <w:sz w:val="20"/>
                                <w:szCs w:val="20"/>
                              </w:rPr>
                              <w:t>+34 91 542 28 00 (Ext. 2481)</w:t>
                            </w:r>
                          </w:p>
                          <w:p w:rsidR="00BF02B8" w:rsidRDefault="00BF02B8" w:rsidP="00F546C1">
                            <w:pPr>
                              <w:rPr>
                                <w:rFonts w:ascii="Arial" w:hAnsi="Arial" w:cs="Arial"/>
                                <w:sz w:val="20"/>
                                <w:szCs w:val="20"/>
                              </w:rPr>
                            </w:pPr>
                            <w:r>
                              <w:rPr>
                                <w:rFonts w:ascii="Arial" w:hAnsi="Arial" w:cs="Arial"/>
                                <w:sz w:val="20"/>
                                <w:szCs w:val="20"/>
                              </w:rPr>
                              <w:t>lrpenalonga@comillas.edu</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10" o:spid="_x0000_s1027" type="#_x0000_t202" style="position:absolute;margin-left:48.85pt;margin-top:9.8pt;width:416.95pt;height:64.2pt;z-index:2516597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" strokecolor="#31849b">
                <v:textbox>
                  <w:txbxContent>
                    <w:p w:rsidR="00D431C7" w:rsidRDefault="00BF02B8" w:rsidP="00F546C1">
                      <w:pPr>
                        <w:rPr>
                          <w:rFonts w:ascii="Arial" w:hAnsi="Arial" w:cs="Arial"/>
                          <w:sz w:val="20"/>
                          <w:szCs w:val="20"/>
                        </w:rPr>
                      </w:pPr>
                      <w:r>
                        <w:rPr>
                          <w:rFonts w:ascii="Arial" w:hAnsi="Arial" w:cs="Arial"/>
                          <w:sz w:val="20"/>
                          <w:szCs w:val="20"/>
                        </w:rPr>
                        <w:t>Laura Rodríguez Penalonga</w:t>
                      </w:r>
                    </w:p>
                    <w:p w:rsidR="00BF02B8" w:rsidRDefault="00BF02B8" w:rsidP="00F546C1">
                      <w:pPr>
                        <w:rPr>
                          <w:rFonts w:ascii="Arial" w:hAnsi="Arial" w:cs="Arial"/>
                          <w:sz w:val="20"/>
                          <w:szCs w:val="20"/>
                        </w:rPr>
                      </w:pPr>
                      <w:r>
                        <w:rPr>
                          <w:rFonts w:ascii="Arial" w:hAnsi="Arial" w:cs="Arial"/>
                          <w:sz w:val="20"/>
                          <w:szCs w:val="20"/>
                        </w:rPr>
                        <w:t>Universidad Pontificia Comillas</w:t>
                      </w:r>
                    </w:p>
                    <w:p w:rsidR="00BF02B8" w:rsidRDefault="00BF02B8" w:rsidP="00F546C1">
                      <w:pPr>
                        <w:rPr>
                          <w:rFonts w:ascii="Arial" w:hAnsi="Arial" w:cs="Arial"/>
                          <w:sz w:val="20"/>
                          <w:szCs w:val="20"/>
                        </w:rPr>
                      </w:pPr>
                      <w:r>
                        <w:rPr>
                          <w:rFonts w:ascii="Arial" w:hAnsi="Arial" w:cs="Arial"/>
                          <w:sz w:val="20"/>
                          <w:szCs w:val="20"/>
                        </w:rPr>
                        <w:t>c/ Alberto Aguilera, 25 28015 Madrid (Madrid)</w:t>
                      </w:r>
                    </w:p>
                    <w:p w:rsidR="00BF02B8" w:rsidRDefault="00BF02B8" w:rsidP="00F546C1">
                      <w:pPr>
                        <w:rPr>
                          <w:rFonts w:ascii="Arial" w:hAnsi="Arial" w:cs="Arial"/>
                          <w:sz w:val="20"/>
                          <w:szCs w:val="20"/>
                        </w:rPr>
                      </w:pPr>
                      <w:r>
                        <w:rPr>
                          <w:rFonts w:ascii="Arial" w:hAnsi="Arial" w:cs="Arial"/>
                          <w:sz w:val="20"/>
                          <w:szCs w:val="20"/>
                        </w:rPr>
                        <w:t>+34 91 542 28 00 (Ext. 2481)</w:t>
                      </w:r>
                    </w:p>
                    <w:p w:rsidR="00BF02B8" w:rsidRDefault="00BF02B8" w:rsidP="00F546C1">
                      <w:pPr>
                        <w:rPr>
                          <w:rFonts w:ascii="Arial" w:hAnsi="Arial" w:cs="Arial"/>
                          <w:sz w:val="20"/>
                          <w:szCs w:val="20"/>
                        </w:rPr>
                      </w:pPr>
                      <w:r>
                        <w:rPr>
                          <w:rFonts w:ascii="Arial" w:hAnsi="Arial" w:cs="Arial"/>
                          <w:sz w:val="20"/>
                          <w:szCs w:val="20"/>
                        </w:rPr>
                        <w:t>lrpenalonga@comillas.edu</w:t>
                      </w:r>
                    </w:p>
                  </w:txbxContent>
                </v:textbox>
              </v:shape>
            </w:pict>
          </mc:Fallback>
        </mc:AlternateContent>
      </w:r>
    </w:p>
    <w:p w:rsidR="00140E76" w:rsidRPr="002D0880" w:rsidRDefault="00140E76" w:rsidP="00140E76">
      <w:pPr>
        <w:rPr>
          <w:rFonts w:ascii="Arial" w:hAnsi="Arial" w:cs="Arial"/>
          <w:sz w:val="20"/>
          <w:szCs w:val="20"/>
        </w:rPr>
      </w:pPr>
      <w:r w:rsidRPr="002D0880">
        <w:rPr>
          <w:rFonts w:ascii="Arial" w:hAnsi="Arial" w:cs="Arial"/>
          <w:sz w:val="20"/>
          <w:szCs w:val="20"/>
        </w:rPr>
        <w:t>Autor:</w:t>
      </w:r>
    </w:p>
    <w:p w:rsidR="003749D0" w:rsidRPr="002D0880" w:rsidRDefault="000D34FF" w:rsidP="00D21762">
      <w:pPr>
        <w:jc w:val="both"/>
        <w:rPr>
          <w:rFonts w:ascii="Arial" w:hAnsi="Arial" w:cs="Arial"/>
          <w:sz w:val="20"/>
          <w:szCs w:val="20"/>
        </w:rPr>
      </w:pPr>
      <w:r w:rsidRPr="002D0880">
        <w:rPr>
          <w:rFonts w:ascii="Arial" w:hAnsi="Arial" w:cs="Arial"/>
          <w:sz w:val="20"/>
          <w:szCs w:val="20"/>
        </w:rPr>
        <w:t>Empresa</w:t>
      </w:r>
      <w:r w:rsidR="00545913" w:rsidRPr="002D0880">
        <w:rPr>
          <w:rFonts w:ascii="Arial" w:hAnsi="Arial" w:cs="Arial"/>
          <w:sz w:val="20"/>
          <w:szCs w:val="20"/>
        </w:rPr>
        <w:t>:</w:t>
      </w:r>
      <w:r w:rsidR="003749D0" w:rsidRPr="002D0880">
        <w:rPr>
          <w:rFonts w:ascii="Arial" w:hAnsi="Arial" w:cs="Arial"/>
          <w:sz w:val="20"/>
          <w:szCs w:val="20"/>
        </w:rPr>
        <w:t xml:space="preserve"> </w:t>
      </w:r>
    </w:p>
    <w:p w:rsidR="003749D0" w:rsidRPr="002D0880" w:rsidRDefault="00BC34C0" w:rsidP="00D21762">
      <w:pPr>
        <w:jc w:val="both"/>
        <w:rPr>
          <w:rFonts w:ascii="Arial" w:hAnsi="Arial" w:cs="Arial"/>
          <w:sz w:val="20"/>
          <w:szCs w:val="20"/>
        </w:rPr>
      </w:pPr>
      <w:r w:rsidRPr="002D0880">
        <w:rPr>
          <w:rFonts w:ascii="Arial" w:hAnsi="Arial" w:cs="Arial"/>
          <w:sz w:val="20"/>
          <w:szCs w:val="20"/>
        </w:rPr>
        <w:t>D</w:t>
      </w:r>
      <w:r w:rsidR="003749D0" w:rsidRPr="002D0880">
        <w:rPr>
          <w:rFonts w:ascii="Arial" w:hAnsi="Arial" w:cs="Arial"/>
          <w:sz w:val="20"/>
          <w:szCs w:val="20"/>
        </w:rPr>
        <w:t>irección</w:t>
      </w:r>
      <w:r w:rsidR="00545913" w:rsidRPr="002D0880">
        <w:rPr>
          <w:rFonts w:ascii="Arial" w:hAnsi="Arial" w:cs="Arial"/>
          <w:sz w:val="20"/>
          <w:szCs w:val="20"/>
        </w:rPr>
        <w:t>:</w:t>
      </w:r>
      <w:r w:rsidR="003749D0" w:rsidRPr="002D0880">
        <w:rPr>
          <w:rFonts w:ascii="Arial" w:hAnsi="Arial" w:cs="Arial"/>
          <w:sz w:val="20"/>
          <w:szCs w:val="20"/>
        </w:rPr>
        <w:t xml:space="preserve"> </w:t>
      </w:r>
    </w:p>
    <w:p w:rsidR="003749D0" w:rsidRPr="002D0880" w:rsidRDefault="00BC34C0" w:rsidP="00D21762">
      <w:pPr>
        <w:jc w:val="both"/>
        <w:rPr>
          <w:rFonts w:ascii="Arial" w:hAnsi="Arial" w:cs="Arial"/>
          <w:sz w:val="20"/>
          <w:szCs w:val="20"/>
        </w:rPr>
      </w:pPr>
      <w:r w:rsidRPr="002D0880">
        <w:rPr>
          <w:rFonts w:ascii="Arial" w:hAnsi="Arial" w:cs="Arial"/>
          <w:sz w:val="20"/>
          <w:szCs w:val="20"/>
        </w:rPr>
        <w:t>T</w:t>
      </w:r>
      <w:r w:rsidR="0016774A" w:rsidRPr="002D0880">
        <w:rPr>
          <w:rFonts w:ascii="Arial" w:hAnsi="Arial" w:cs="Arial"/>
          <w:sz w:val="20"/>
          <w:szCs w:val="20"/>
        </w:rPr>
        <w:t>eléfono</w:t>
      </w:r>
      <w:r w:rsidR="00545913" w:rsidRPr="002D0880">
        <w:rPr>
          <w:rFonts w:ascii="Arial" w:hAnsi="Arial" w:cs="Arial"/>
          <w:sz w:val="20"/>
          <w:szCs w:val="20"/>
        </w:rPr>
        <w:t>:</w:t>
      </w:r>
    </w:p>
    <w:p w:rsidR="00C84947" w:rsidRPr="002D0880" w:rsidRDefault="00BC34C0" w:rsidP="00D21762">
      <w:pPr>
        <w:jc w:val="both"/>
        <w:rPr>
          <w:rFonts w:ascii="Arial" w:hAnsi="Arial" w:cs="Arial"/>
          <w:sz w:val="20"/>
          <w:szCs w:val="20"/>
        </w:rPr>
      </w:pPr>
      <w:r w:rsidRPr="002D0880">
        <w:rPr>
          <w:rFonts w:ascii="Arial" w:hAnsi="Arial" w:cs="Arial"/>
          <w:sz w:val="20"/>
          <w:szCs w:val="20"/>
        </w:rPr>
        <w:t>E</w:t>
      </w:r>
      <w:r w:rsidR="003749D0" w:rsidRPr="002D0880">
        <w:rPr>
          <w:rFonts w:ascii="Arial" w:hAnsi="Arial" w:cs="Arial"/>
          <w:sz w:val="20"/>
          <w:szCs w:val="20"/>
        </w:rPr>
        <w:t>-mail</w:t>
      </w:r>
      <w:r w:rsidR="000D34FF" w:rsidRPr="002D0880">
        <w:rPr>
          <w:rFonts w:ascii="Arial" w:hAnsi="Arial" w:cs="Arial"/>
          <w:sz w:val="20"/>
          <w:szCs w:val="20"/>
        </w:rPr>
        <w:t>:</w:t>
      </w:r>
    </w:p>
    <w:p w:rsidR="000D34FF" w:rsidRPr="002D0880" w:rsidRDefault="000D34FF" w:rsidP="00D21762">
      <w:pPr>
        <w:jc w:val="both"/>
        <w:rPr>
          <w:b/>
          <w:i/>
          <w:sz w:val="20"/>
          <w:szCs w:val="20"/>
          <w:u w:val="single"/>
        </w:rPr>
      </w:pPr>
    </w:p>
    <w:p w:rsidR="00C26E4E" w:rsidRDefault="00527222" w:rsidP="00D21762">
      <w:pPr>
        <w:jc w:val="both"/>
        <w:rPr>
          <w:b/>
          <w:i/>
          <w:u w:val="single"/>
        </w:rPr>
      </w:pPr>
      <w:r>
        <w:rPr>
          <w:i/>
          <w:noProof/>
        </w:rPr>
        <mc:AlternateContent>
          <mc:Choice Requires="wps">
            <w:drawing>
              <wp:anchor distT="0" distB="0" distL="114300" distR="114300" simplePos="0" relativeHeight="251660800" behindDoc="0" locked="0" layoutInCell="1" allowOverlap="1">
                <wp:simplePos x="0" y="0"/>
                <wp:positionH relativeFrom="column">
                  <wp:posOffset>1423670</wp:posOffset>
                </wp:positionH>
                <wp:positionV relativeFrom="paragraph">
                  <wp:posOffset>132080</wp:posOffset>
                </wp:positionV>
                <wp:extent cx="4469765" cy="933450"/>
                <wp:effectExtent l="9525" t="5080" r="6985" b="13970"/>
                <wp:wrapNone/>
                <wp:docPr id="6" name="Text Box 1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469765" cy="933450"/>
                        </a:xfrm>
                        <a:prstGeom prst="rect">
                          <a:avLst/>
                        </a:prstGeom>
                        <a:solidFill>
                          <a:srgbClr val="FFFFFF"/>
                        </a:solidFill>
                        <a:ln w="9525">
                          <a:solidFill>
                            <a:srgbClr val="31849B"/>
                          </a:solidFill>
                          <a:miter lim="800000"/>
                          <a:headEnd/>
                          <a:tailEnd/>
                        </a:ln>
                      </wps:spPr>
                      <wps:txbx>
                        <w:txbxContent>
                          <w:p w:rsidR="00D431C7" w:rsidRPr="00C23E54" w:rsidRDefault="00BF02B8" w:rsidP="00C23E54">
                            <w:pPr>
                              <w:rPr>
                                <w:rFonts w:ascii="Arial" w:hAnsi="Arial" w:cs="Arial"/>
                                <w:sz w:val="20"/>
                                <w:szCs w:val="20"/>
                                <w:lang w:val="es-ES_tradnl"/>
                              </w:rPr>
                            </w:pPr>
                            <w:r>
                              <w:rPr>
                                <w:rFonts w:ascii="Arial" w:hAnsi="Arial" w:cs="Arial"/>
                                <w:sz w:val="20"/>
                                <w:szCs w:val="20"/>
                                <w:lang w:val="es-ES_tradnl"/>
                              </w:rPr>
                              <w:t>B. Yolanda Moratilla Soria/Universidad Pontificia Comillas</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11" o:spid="_x0000_s1028" type="#_x0000_t202" style="position:absolute;left:0;text-align:left;margin-left:112.1pt;margin-top:10.4pt;width:351.95pt;height:73.5pt;z-index:2516608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" strokecolor="#31849b">
                <v:textbox>
                  <w:txbxContent>
                    <w:p w:rsidR="00D431C7" w:rsidRPr="00C23E54" w:rsidRDefault="00BF02B8" w:rsidP="00C23E54">
                      <w:pPr>
                        <w:rPr>
                          <w:rFonts w:ascii="Arial" w:hAnsi="Arial" w:cs="Arial"/>
                          <w:sz w:val="20"/>
                          <w:szCs w:val="20"/>
                          <w:lang w:val="es-ES_tradnl"/>
                        </w:rPr>
                      </w:pPr>
                      <w:r>
                        <w:rPr>
                          <w:rFonts w:ascii="Arial" w:hAnsi="Arial" w:cs="Arial"/>
                          <w:sz w:val="20"/>
                          <w:szCs w:val="20"/>
                          <w:lang w:val="es-ES_tradnl"/>
                        </w:rPr>
                        <w:t>B. Yolanda Moratilla Soria/Universidad Pontificia Comillas</w:t>
                      </w:r>
                    </w:p>
                  </w:txbxContent>
                </v:textbox>
              </v:shape>
            </w:pict>
          </mc:Fallback>
        </mc:AlternateContent>
      </w:r>
    </w:p>
    <w:p w:rsidR="00F546C1" w:rsidRPr="002A3D9B" w:rsidRDefault="00F546C1" w:rsidP="00D21762">
      <w:pPr>
        <w:jc w:val="both"/>
        <w:rPr>
          <w:rFonts w:ascii="Arial" w:hAnsi="Arial" w:cs="Arial"/>
          <w:sz w:val="20"/>
          <w:szCs w:val="20"/>
        </w:rPr>
      </w:pPr>
      <w:r w:rsidRPr="002A3D9B">
        <w:rPr>
          <w:rFonts w:ascii="Arial" w:hAnsi="Arial" w:cs="Arial"/>
          <w:sz w:val="20"/>
          <w:szCs w:val="20"/>
        </w:rPr>
        <w:t>Otros autores/Empresas</w:t>
      </w:r>
      <w:r w:rsidR="00C26E4E" w:rsidRPr="002A3D9B">
        <w:rPr>
          <w:rFonts w:ascii="Arial" w:hAnsi="Arial" w:cs="Arial"/>
          <w:sz w:val="20"/>
          <w:szCs w:val="20"/>
        </w:rPr>
        <w:t>:</w:t>
      </w:r>
    </w:p>
    <w:p w:rsidR="00C23E54" w:rsidRDefault="00C23E54" w:rsidP="00D21762">
      <w:pPr>
        <w:jc w:val="both"/>
        <w:rPr>
          <w:i/>
        </w:rPr>
      </w:pPr>
    </w:p>
    <w:p w:rsidR="00F546C1" w:rsidRPr="00F546C1" w:rsidRDefault="00F546C1" w:rsidP="00D21762">
      <w:pPr>
        <w:jc w:val="both"/>
        <w:rPr>
          <w:i/>
        </w:rPr>
      </w:pPr>
    </w:p>
    <w:p w:rsidR="000D34FF" w:rsidRDefault="000D34FF" w:rsidP="00D21762">
      <w:pPr>
        <w:jc w:val="both"/>
        <w:rPr>
          <w:b/>
          <w:i/>
          <w:u w:val="single"/>
        </w:rPr>
      </w:pPr>
    </w:p>
    <w:p w:rsidR="00C23E54" w:rsidRDefault="00C23E54" w:rsidP="00D21762">
      <w:pPr>
        <w:jc w:val="both"/>
        <w:rPr>
          <w:b/>
          <w:i/>
          <w:u w:val="single"/>
        </w:rPr>
      </w:pPr>
    </w:p>
    <w:p w:rsidR="00C23E54" w:rsidRDefault="00C23E54" w:rsidP="00D21762">
      <w:pPr>
        <w:jc w:val="both"/>
        <w:rPr>
          <w:b/>
          <w:i/>
          <w:u w:val="single"/>
        </w:rPr>
      </w:pPr>
    </w:p>
    <w:p w:rsidR="00BC34C0" w:rsidRDefault="00D21762" w:rsidP="0093514F">
      <w:pPr>
        <w:spacing w:before="120"/>
        <w:jc w:val="both"/>
        <w:rPr>
          <w:b/>
          <w:i/>
          <w:u w:val="single"/>
        </w:rPr>
      </w:pPr>
      <w:r w:rsidRPr="00D21762">
        <w:rPr>
          <w:b/>
          <w:i/>
          <w:u w:val="single"/>
        </w:rPr>
        <w:t>TEXTO</w:t>
      </w:r>
      <w:r w:rsidR="00545913">
        <w:rPr>
          <w:b/>
          <w:i/>
          <w:u w:val="single"/>
        </w:rPr>
        <w:t xml:space="preserve"> DE LA SINOPSIS</w:t>
      </w:r>
    </w:p>
    <w:p w:rsidR="00545913" w:rsidRPr="00776F78" w:rsidRDefault="00545913" w:rsidP="0093514F">
      <w:pPr>
        <w:spacing w:before="120"/>
        <w:jc w:val="both"/>
        <w:rPr>
          <w:u w:val="single"/>
        </w:rPr>
      </w:pPr>
    </w:p>
    <w:p w:rsidR="00D21762" w:rsidRPr="00D21762" w:rsidRDefault="00527222" w:rsidP="0093514F">
      <w:pPr>
        <w:spacing w:before="120"/>
        <w:jc w:val="both"/>
        <w:rPr>
          <w:b/>
          <w:i/>
          <w:u w:val="single"/>
        </w:rPr>
      </w:pPr>
      <w:r>
        <w:rPr>
          <w:b/>
          <w:i/>
          <w:noProof/>
          <w:u w:val="single"/>
        </w:rPr>
        <mc:AlternateContent>
          <mc:Choice Requires="wps">
            <w:drawing>
              <wp:anchor distT="0" distB="0" distL="114300" distR="114300" simplePos="0" relativeHeight="251655680" behindDoc="0" locked="0" layoutInCell="1" allowOverlap="1">
                <wp:simplePos x="0" y="0"/>
                <wp:positionH relativeFrom="column">
                  <wp:posOffset>-19050</wp:posOffset>
                </wp:positionH>
                <wp:positionV relativeFrom="paragraph">
                  <wp:posOffset>24130</wp:posOffset>
                </wp:positionV>
                <wp:extent cx="5962650" cy="4330700"/>
                <wp:effectExtent l="5080" t="6985" r="13970" b="5715"/>
                <wp:wrapNone/>
                <wp:docPr id="5"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962650" cy="4330700"/>
                        </a:xfrm>
                        <a:prstGeom prst="rect">
                          <a:avLst/>
                        </a:prstGeom>
                        <a:solidFill>
                          <a:srgbClr val="FFFFFF"/>
                        </a:solidFill>
                        <a:ln w="3175">
                          <a:solidFill>
                            <a:srgbClr val="4F81BD"/>
                          </a:solidFill>
                          <a:miter lim="800000"/>
                          <a:headEnd/>
                          <a:tailEnd/>
                        </a:ln>
                        <a:effectLst/>
                        <a:extLst>
                          <a:ext uri="{AF507438-7753-43E0-B8FC-AC1667EBCBE1}">
                            <a14:hiddenEffects xmlns:a14="http://schemas.microsoft.com/office/drawing/2010/main">
                              <a:effectLst>
                                <a:outerShdw dist="35921" dir="2700000" algn="ctr" rotWithShape="0">
                                  <a:srgbClr val="868686"/>
                                </a:outerShdw>
                              </a:effectLst>
                            </a14:hiddenEffects>
                          </a:ext>
                        </a:extLst>
                      </wps:spPr>
                      <wps:txbx>
                        <w:txbxContent>
                          <w:p w:rsidR="00D431C7" w:rsidRDefault="00D431C7"/>
                          <w:p w:rsidR="00D431C7" w:rsidRDefault="00D431C7"/>
                          <w:p w:rsidR="00D431C7" w:rsidRDefault="00D431C7"/>
                          <w:p w:rsidR="00D431C7" w:rsidRDefault="00D431C7"/>
                          <w:p w:rsidR="00D431C7" w:rsidRDefault="00D431C7"/>
                          <w:p w:rsidR="00D431C7" w:rsidRDefault="00D431C7"/>
                          <w:p w:rsidR="00D431C7" w:rsidRDefault="00D431C7"/>
                          <w:p w:rsidR="00D431C7" w:rsidRDefault="00D431C7"/>
                          <w:p w:rsidR="00D431C7" w:rsidRDefault="00D431C7"/>
                          <w:p w:rsidR="00D431C7" w:rsidRDefault="00D431C7"/>
                          <w:p w:rsidR="00D431C7" w:rsidRDefault="00D431C7"/>
                          <w:p w:rsidR="00D431C7" w:rsidRDefault="00D431C7"/>
                          <w:p w:rsidR="00D431C7" w:rsidRDefault="00D431C7"/>
                          <w:p w:rsidR="00D431C7" w:rsidRDefault="00D431C7"/>
                          <w:p w:rsidR="00D431C7" w:rsidRDefault="00D431C7"/>
                          <w:p w:rsidR="00D431C7" w:rsidRDefault="00D431C7"/>
                          <w:p w:rsidR="00D431C7" w:rsidRDefault="00D431C7"/>
                          <w:p w:rsidR="00D431C7" w:rsidRDefault="00D431C7"/>
                          <w:p w:rsidR="00D431C7" w:rsidRDefault="00D431C7"/>
                          <w:p w:rsidR="00D431C7" w:rsidRDefault="00D431C7"/>
                          <w:p w:rsidR="00D431C7" w:rsidRDefault="00D431C7"/>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Text Box 4" o:spid="_x0000_s1029" type="#_x0000_t202" style="position:absolute;left:0;text-align:left;margin-left:-1.5pt;margin-top:1.9pt;width:469.5pt;height:341pt;z-index:2516556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" strokecolor="#4f81bd" strokeweight=".25pt">
                <v:shadow color="#868686"/>
                <v:textbox>
                  <w:txbxContent>
                    <w:p w:rsidR="00D431C7" w:rsidRDefault="00D431C7"/>
                    <w:p w:rsidR="00D431C7" w:rsidRDefault="00D431C7"/>
                    <w:p w:rsidR="00D431C7" w:rsidRDefault="00D431C7"/>
                    <w:p w:rsidR="00D431C7" w:rsidRDefault="00D431C7"/>
                    <w:p w:rsidR="00D431C7" w:rsidRDefault="00D431C7"/>
                    <w:p w:rsidR="00D431C7" w:rsidRDefault="00D431C7"/>
                    <w:p w:rsidR="00D431C7" w:rsidRDefault="00D431C7"/>
                    <w:p w:rsidR="00D431C7" w:rsidRDefault="00D431C7"/>
                    <w:p w:rsidR="00D431C7" w:rsidRDefault="00D431C7"/>
                    <w:p w:rsidR="00D431C7" w:rsidRDefault="00D431C7"/>
                    <w:p w:rsidR="00D431C7" w:rsidRDefault="00D431C7"/>
                    <w:p w:rsidR="00D431C7" w:rsidRDefault="00D431C7"/>
                    <w:p w:rsidR="00D431C7" w:rsidRDefault="00D431C7"/>
                    <w:p w:rsidR="00D431C7" w:rsidRDefault="00D431C7"/>
                    <w:p w:rsidR="00D431C7" w:rsidRDefault="00D431C7"/>
                    <w:p w:rsidR="00D431C7" w:rsidRDefault="00D431C7"/>
                    <w:p w:rsidR="00D431C7" w:rsidRDefault="00D431C7"/>
                    <w:p w:rsidR="00D431C7" w:rsidRDefault="00D431C7"/>
                    <w:p w:rsidR="00D431C7" w:rsidRDefault="00D431C7"/>
                    <w:p w:rsidR="00D431C7" w:rsidRDefault="00D431C7"/>
                    <w:p w:rsidR="00D431C7" w:rsidRDefault="00D431C7"/>
                  </w:txbxContent>
                </v:textbox>
              </v:shape>
            </w:pict>
          </mc:Fallback>
        </mc:AlternateContent>
      </w:r>
      <w:r>
        <w:rPr>
          <w:noProof/>
        </w:rPr>
        <mc:AlternateContent>
          <mc:Choice Requires="wps">
            <w:drawing>
              <wp:anchor distT="0" distB="0" distL="114300" distR="114300" simplePos="0" relativeHeight="251656704" behindDoc="0" locked="0" layoutInCell="1" allowOverlap="1">
                <wp:simplePos x="0" y="0"/>
                <wp:positionH relativeFrom="column">
                  <wp:posOffset>57150</wp:posOffset>
                </wp:positionH>
                <wp:positionV relativeFrom="paragraph">
                  <wp:posOffset>86360</wp:posOffset>
                </wp:positionV>
                <wp:extent cx="5858510" cy="1098550"/>
                <wp:effectExtent l="14605" t="12065" r="13335" b="13335"/>
                <wp:wrapNone/>
                <wp:docPr id="4"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858510" cy="1098550"/>
                        </a:xfrm>
                        <a:prstGeom prst="rect">
                          <a:avLst/>
                        </a:prstGeom>
                        <a:solidFill>
                          <a:srgbClr val="FFFFFF"/>
                        </a:solidFill>
                        <a:ln w="12700">
                          <a:solidFill>
                            <a:srgbClr val="4F81BD"/>
                          </a:solidFill>
                          <a:prstDash val="dash"/>
                          <a:miter lim="800000"/>
                          <a:headEnd/>
                          <a:tailEnd/>
                        </a:ln>
                        <a:effectLst/>
                        <a:extLst>
                          <a:ext uri="{AF507438-7753-43E0-B8FC-AC1667EBCBE1}">
                            <a14:hiddenEffects xmlns:a14="http://schemas.microsoft.com/office/drawing/2010/main">
                              <a:effectLst>
                                <a:outerShdw dist="35921" dir="2700000" algn="ctr" rotWithShape="0">
                                  <a:srgbClr val="868686"/>
                                </a:outerShdw>
                              </a:effectLst>
                            </a14:hiddenEffects>
                          </a:ext>
                        </a:extLst>
                      </wps:spPr>
                      <wps:txbx>
                        <w:txbxContent>
                          <w:p w:rsidR="00D431C7" w:rsidRPr="00F546C1" w:rsidRDefault="00BF02B8" w:rsidP="00F54AD8">
                            <w:pPr>
                              <w:jc w:val="both"/>
                              <w:rPr>
                                <w:sz w:val="20"/>
                                <w:szCs w:val="20"/>
                              </w:rPr>
                            </w:pPr>
                            <w:r>
                              <w:rPr>
                                <w:rFonts w:ascii="Arial" w:hAnsi="Arial" w:cs="Arial"/>
                                <w:sz w:val="20"/>
                                <w:szCs w:val="20"/>
                              </w:rPr>
                              <w:t xml:space="preserve">Tras una década de retraso en la construcción del ATC, varias de las piscinas de las centrales nucleares se han visto en el punto de saturación, lo que ha llevado a la construcción de varios ATIS que no estaban planificados originalmente en el VI Plan General de Residuos Radiactivos de 2006, modificando significativamente el contexto de gestión del combustible nuclear gastado contemplando entonces. </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Text Box 3" o:spid="_x0000_s1030" type="#_x0000_t202" style="position:absolute;left:0;text-align:left;margin-left:4.5pt;margin-top:6.8pt;width:461.3pt;height:86.5pt;z-index:2516567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" strokecolor="#4f81bd" strokeweight="1pt">
                <v:stroke dashstyle="dash"/>
                <v:shadow color="#868686"/>
                <v:textbox>
                  <w:txbxContent>
                    <w:p w:rsidR="00D431C7" w:rsidRPr="00F546C1" w:rsidRDefault="00BF02B8" w:rsidP="00F54AD8">
                      <w:pPr>
                        <w:jc w:val="both"/>
                        <w:rPr>
                          <w:sz w:val="20"/>
                          <w:szCs w:val="20"/>
                        </w:rPr>
                      </w:pPr>
                      <w:r>
                        <w:rPr>
                          <w:rFonts w:ascii="Arial" w:hAnsi="Arial" w:cs="Arial"/>
                          <w:sz w:val="20"/>
                          <w:szCs w:val="20"/>
                        </w:rPr>
                        <w:t xml:space="preserve">Tras una década de retraso en la construcción del ATC, varias de las piscinas de las centrales nucleares se han visto en el punto de saturación, lo que ha llevado a la construcción de varios ATIS que no estaban planificados originalmente en el VI Plan General de Residuos Radiactivos de 2006, modificando significativamente el contexto de gestión del combustible nuclear gastado contemplando entonces. </w:t>
                      </w:r>
                    </w:p>
                  </w:txbxContent>
                </v:textbox>
              </v:shape>
            </w:pict>
          </mc:Fallback>
        </mc:AlternateContent>
      </w:r>
    </w:p>
    <w:p w:rsidR="00202F03" w:rsidRDefault="00202F03" w:rsidP="00202F03">
      <w:pPr>
        <w:spacing w:before="120"/>
        <w:jc w:val="both"/>
      </w:pPr>
    </w:p>
    <w:p w:rsidR="0093514F" w:rsidRDefault="0093514F" w:rsidP="00202F03">
      <w:pPr>
        <w:spacing w:before="120"/>
        <w:jc w:val="both"/>
      </w:pPr>
    </w:p>
    <w:p w:rsidR="0093514F" w:rsidRDefault="0093514F" w:rsidP="00202F03">
      <w:pPr>
        <w:spacing w:before="120"/>
        <w:jc w:val="both"/>
      </w:pPr>
    </w:p>
    <w:p w:rsidR="0093514F" w:rsidRDefault="0093514F" w:rsidP="00202F03">
      <w:pPr>
        <w:spacing w:before="120"/>
        <w:jc w:val="both"/>
      </w:pPr>
    </w:p>
    <w:p w:rsidR="0093514F" w:rsidRDefault="00527222" w:rsidP="00202F03">
      <w:pPr>
        <w:spacing w:before="120"/>
        <w:jc w:val="both"/>
      </w:pPr>
      <w:r>
        <w:rPr>
          <w:noProof/>
        </w:rPr>
        <mc:AlternateContent>
          <mc:Choice Requires="wps">
            <w:drawing>
              <wp:anchor distT="0" distB="0" distL="114300" distR="114300" simplePos="0" relativeHeight="251657728" behindDoc="0" locked="0" layoutInCell="1" allowOverlap="1">
                <wp:simplePos x="0" y="0"/>
                <wp:positionH relativeFrom="column">
                  <wp:posOffset>40005</wp:posOffset>
                </wp:positionH>
                <wp:positionV relativeFrom="paragraph">
                  <wp:posOffset>102235</wp:posOffset>
                </wp:positionV>
                <wp:extent cx="5858510" cy="1052195"/>
                <wp:effectExtent l="6985" t="8890" r="11430" b="15240"/>
                <wp:wrapNone/>
                <wp:docPr id="3"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858510" cy="1052195"/>
                        </a:xfrm>
                        <a:prstGeom prst="rect">
                          <a:avLst/>
                        </a:prstGeom>
                        <a:solidFill>
                          <a:srgbClr val="FFFFFF"/>
                        </a:solidFill>
                        <a:ln w="12700">
                          <a:solidFill>
                            <a:srgbClr val="4F81BD"/>
                          </a:solidFill>
                          <a:prstDash val="dash"/>
                          <a:miter lim="800000"/>
                          <a:headEnd/>
                          <a:tailEnd/>
                        </a:ln>
                        <a:effectLst/>
                        <a:extLst>
                          <a:ext uri="{AF507438-7753-43E0-B8FC-AC1667EBCBE1}">
                            <a14:hiddenEffects xmlns:a14="http://schemas.microsoft.com/office/drawing/2010/main">
                              <a:effectLst>
                                <a:outerShdw dist="35921" dir="2700000" algn="ctr" rotWithShape="0">
                                  <a:srgbClr val="868686"/>
                                </a:outerShdw>
                              </a:effectLst>
                            </a14:hiddenEffects>
                          </a:ext>
                        </a:extLst>
                      </wps:spPr>
                      <wps:txbx>
                        <w:txbxContent>
                          <w:p w:rsidR="00D431C7" w:rsidRDefault="00BF02B8" w:rsidP="00E85864">
                            <w:pPr>
                              <w:jc w:val="both"/>
                              <w:rPr>
                                <w:rFonts w:ascii="Arial" w:hAnsi="Arial" w:cs="Arial"/>
                                <w:sz w:val="20"/>
                                <w:szCs w:val="20"/>
                              </w:rPr>
                            </w:pPr>
                            <w:r>
                              <w:rPr>
                                <w:rFonts w:ascii="Arial" w:hAnsi="Arial" w:cs="Arial"/>
                                <w:sz w:val="20"/>
                                <w:szCs w:val="20"/>
                              </w:rPr>
                              <w:t xml:space="preserve">Debido a este cambio en el contexto español, el objetivo del estudio es plantear un modelo que estudie, bajo las hipótesis actuales, los costes de varios escenarios de gestión del combustible nuclear gastado en España: el modelo Mariño. Este modelo se basa en dos cálculos: i) el flujo de materiales en base a las restricciones de cada escenario y ii) </w:t>
                            </w:r>
                            <w:r w:rsidR="0035761B">
                              <w:rPr>
                                <w:rFonts w:ascii="Arial" w:hAnsi="Arial" w:cs="Arial"/>
                                <w:sz w:val="20"/>
                                <w:szCs w:val="20"/>
                              </w:rPr>
                              <w:t>el cálculo del Valor Actual Neto de los costes producidos a lo largo del tiempo considerado para los escenarios. Asimismo, mediante la estimación de la producción de electricidad futura, también se calculan los costes normalizados.</w:t>
                            </w:r>
                          </w:p>
                          <w:p w:rsidR="00D431C7" w:rsidRDefault="00D431C7" w:rsidP="00E85864">
                            <w:pPr>
                              <w:jc w:val="both"/>
                              <w:rPr>
                                <w:rFonts w:ascii="Arial" w:hAnsi="Arial" w:cs="Arial"/>
                                <w:sz w:val="20"/>
                                <w:szCs w:val="20"/>
                              </w:rPr>
                            </w:pPr>
                          </w:p>
                          <w:p w:rsidR="00D431C7" w:rsidRDefault="00D431C7" w:rsidP="00E85864">
                            <w:pPr>
                              <w:jc w:val="both"/>
                              <w:rPr>
                                <w:rFonts w:ascii="Arial" w:hAnsi="Arial" w:cs="Arial"/>
                                <w:sz w:val="20"/>
                                <w:szCs w:val="20"/>
                              </w:rPr>
                            </w:pPr>
                          </w:p>
                          <w:p w:rsidR="00D431C7" w:rsidRPr="00106574" w:rsidRDefault="00D431C7" w:rsidP="00E85864">
                            <w:pPr>
                              <w:jc w:val="both"/>
                              <w:rPr>
                                <w:sz w:val="20"/>
                                <w:szCs w:val="20"/>
                              </w:rPr>
                            </w:pPr>
                            <w:r w:rsidRPr="00106574">
                              <w:rPr>
                                <w:rFonts w:ascii="Arial" w:hAnsi="Arial" w:cs="Arial"/>
                                <w:sz w:val="20"/>
                                <w:szCs w:val="20"/>
                              </w:rPr>
                              <w:t xml:space="preserve"> </w:t>
                            </w:r>
                            <w:r w:rsidRPr="00106574">
                              <w:rPr>
                                <w:sz w:val="20"/>
                                <w:szCs w:val="20"/>
                              </w:rPr>
                              <w:t xml:space="preserve">  </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5" o:spid="_x0000_s1031" type="#_x0000_t202" style="position:absolute;left:0;text-align:left;margin-left:3.15pt;margin-top:8.05pt;width:461.3pt;height:82.85pt;z-index:251657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" strokecolor="#4f81bd" strokeweight="1pt">
                <v:stroke dashstyle="dash"/>
                <v:shadow color="#868686"/>
                <v:textbox>
                  <w:txbxContent>
                    <w:p w:rsidR="00D431C7" w:rsidRDefault="00BF02B8" w:rsidP="00E85864">
                      <w:pPr>
                        <w:jc w:val="both"/>
                        <w:rPr>
                          <w:rFonts w:ascii="Arial" w:hAnsi="Arial" w:cs="Arial"/>
                          <w:sz w:val="20"/>
                          <w:szCs w:val="20"/>
                        </w:rPr>
                      </w:pPr>
                      <w:r>
                        <w:rPr>
                          <w:rFonts w:ascii="Arial" w:hAnsi="Arial" w:cs="Arial"/>
                          <w:sz w:val="20"/>
                          <w:szCs w:val="20"/>
                        </w:rPr>
                        <w:t xml:space="preserve">Debido a este cambio en el contexto español, el objetivo del estudio es plantear un modelo que estudie, bajo las hipótesis actuales, los costes de varios escenarios de gestión del combustible nuclear gastado en España: el modelo Mariño. Este modelo se basa en dos cálculos: i) el flujo de materiales en base a las restricciones de cada escenario y ii) </w:t>
                      </w:r>
                      <w:r w:rsidR="0035761B">
                        <w:rPr>
                          <w:rFonts w:ascii="Arial" w:hAnsi="Arial" w:cs="Arial"/>
                          <w:sz w:val="20"/>
                          <w:szCs w:val="20"/>
                        </w:rPr>
                        <w:t>el cálculo del Valor Actual Neto de los costes producidos a lo largo del tiempo considerado para los escenarios. Asimismo, mediante la estimación de la producción de electricidad futura, también se calculan los costes normalizados.</w:t>
                      </w:r>
                    </w:p>
                    <w:p w:rsidR="00D431C7" w:rsidRDefault="00D431C7" w:rsidP="00E85864">
                      <w:pPr>
                        <w:jc w:val="both"/>
                        <w:rPr>
                          <w:rFonts w:ascii="Arial" w:hAnsi="Arial" w:cs="Arial"/>
                          <w:sz w:val="20"/>
                          <w:szCs w:val="20"/>
                        </w:rPr>
                      </w:pPr>
                    </w:p>
                    <w:p w:rsidR="00D431C7" w:rsidRDefault="00D431C7" w:rsidP="00E85864">
                      <w:pPr>
                        <w:jc w:val="both"/>
                        <w:rPr>
                          <w:rFonts w:ascii="Arial" w:hAnsi="Arial" w:cs="Arial"/>
                          <w:sz w:val="20"/>
                          <w:szCs w:val="20"/>
                        </w:rPr>
                      </w:pPr>
                    </w:p>
                    <w:p w:rsidR="00D431C7" w:rsidRPr="00106574" w:rsidRDefault="00D431C7" w:rsidP="00E85864">
                      <w:pPr>
                        <w:jc w:val="both"/>
                        <w:rPr>
                          <w:sz w:val="20"/>
                          <w:szCs w:val="20"/>
                        </w:rPr>
                      </w:pPr>
                      <w:r w:rsidRPr="00106574">
                        <w:rPr>
                          <w:rFonts w:ascii="Arial" w:hAnsi="Arial" w:cs="Arial"/>
                          <w:sz w:val="20"/>
                          <w:szCs w:val="20"/>
                        </w:rPr>
                        <w:t xml:space="preserve"> </w:t>
                      </w:r>
                      <w:r w:rsidRPr="00106574">
                        <w:rPr>
                          <w:sz w:val="20"/>
                          <w:szCs w:val="20"/>
                        </w:rPr>
                        <w:t xml:space="preserve">  </w:t>
                      </w:r>
                    </w:p>
                  </w:txbxContent>
                </v:textbox>
              </v:shape>
            </w:pict>
          </mc:Fallback>
        </mc:AlternateContent>
      </w:r>
    </w:p>
    <w:p w:rsidR="0093514F" w:rsidRDefault="0093514F" w:rsidP="00202F03">
      <w:pPr>
        <w:spacing w:before="120"/>
        <w:jc w:val="both"/>
      </w:pPr>
    </w:p>
    <w:p w:rsidR="00D21762" w:rsidRDefault="00D21762" w:rsidP="00202F03">
      <w:pPr>
        <w:spacing w:before="120"/>
        <w:jc w:val="both"/>
      </w:pPr>
    </w:p>
    <w:p w:rsidR="00D21762" w:rsidRDefault="00D21762" w:rsidP="00202F03">
      <w:pPr>
        <w:spacing w:before="120"/>
        <w:jc w:val="both"/>
      </w:pPr>
    </w:p>
    <w:p w:rsidR="00D21762" w:rsidRDefault="00527222" w:rsidP="00202F03">
      <w:pPr>
        <w:spacing w:before="120"/>
        <w:jc w:val="both"/>
      </w:pPr>
      <w:r>
        <w:rPr>
          <w:noProof/>
        </w:rPr>
        <mc:AlternateContent>
          <mc:Choice Requires="wps">
            <w:drawing>
              <wp:anchor distT="0" distB="0" distL="114300" distR="114300" simplePos="0" relativeHeight="251658752" behindDoc="0" locked="0" layoutInCell="1" allowOverlap="1">
                <wp:simplePos x="0" y="0"/>
                <wp:positionH relativeFrom="column">
                  <wp:posOffset>40005</wp:posOffset>
                </wp:positionH>
                <wp:positionV relativeFrom="paragraph">
                  <wp:posOffset>224790</wp:posOffset>
                </wp:positionV>
                <wp:extent cx="5853430" cy="1819275"/>
                <wp:effectExtent l="6985" t="13335" r="6985" b="15240"/>
                <wp:wrapNone/>
                <wp:docPr id="2" name="Text Box 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853430" cy="1819275"/>
                        </a:xfrm>
                        <a:prstGeom prst="rect">
                          <a:avLst/>
                        </a:prstGeom>
                        <a:solidFill>
                          <a:srgbClr val="FFFFFF"/>
                        </a:solidFill>
                        <a:ln w="12700">
                          <a:solidFill>
                            <a:srgbClr val="4F81BD"/>
                          </a:solidFill>
                          <a:prstDash val="dash"/>
                          <a:miter lim="800000"/>
                          <a:headEnd/>
                          <a:tailEnd/>
                        </a:ln>
                        <a:effectLst/>
                        <a:extLst>
                          <a:ext uri="{AF507438-7753-43E0-B8FC-AC1667EBCBE1}">
                            <a14:hiddenEffects xmlns:a14="http://schemas.microsoft.com/office/drawing/2010/main">
                              <a:effectLst>
                                <a:outerShdw dist="35921" dir="2700000" algn="ctr" rotWithShape="0">
                                  <a:srgbClr val="868686"/>
                                </a:outerShdw>
                              </a:effectLst>
                            </a14:hiddenEffects>
                          </a:ext>
                        </a:extLst>
                      </wps:spPr>
                      <wps:txbx>
                        <w:txbxContent>
                          <w:p w:rsidR="00D431C7" w:rsidRDefault="0035761B" w:rsidP="00C84947">
                            <w:pPr>
                              <w:rPr>
                                <w:rFonts w:ascii="Arial" w:hAnsi="Arial" w:cs="Arial"/>
                                <w:sz w:val="20"/>
                                <w:szCs w:val="20"/>
                              </w:rPr>
                            </w:pPr>
                            <w:r>
                              <w:rPr>
                                <w:rFonts w:ascii="Arial" w:hAnsi="Arial" w:cs="Arial"/>
                                <w:sz w:val="20"/>
                                <w:szCs w:val="20"/>
                              </w:rPr>
                              <w:t xml:space="preserve">Para el caso base estudiado (50 años de vida media de las centrales nucleares), el modelo establece que el escenario de menor coste para España, bajo las hipótesis actuales, es el ciclo abierto sin construcción de un ATC, con un coste a partir del año 2017 de 2.653,97M€ </w:t>
                            </w:r>
                            <w:r w:rsidR="00527222">
                              <w:rPr>
                                <w:rFonts w:ascii="Arial" w:hAnsi="Arial" w:cs="Arial"/>
                                <w:sz w:val="20"/>
                                <w:szCs w:val="20"/>
                              </w:rPr>
                              <w:t xml:space="preserve">(0,86 </w:t>
                            </w:r>
                            <w:proofErr w:type="spellStart"/>
                            <w:r w:rsidR="00527222">
                              <w:rPr>
                                <w:rFonts w:ascii="Arial" w:hAnsi="Arial" w:cs="Arial"/>
                                <w:sz w:val="20"/>
                                <w:szCs w:val="20"/>
                              </w:rPr>
                              <w:t>mill</w:t>
                            </w:r>
                            <w:proofErr w:type="spellEnd"/>
                            <w:r w:rsidR="00527222">
                              <w:rPr>
                                <w:rFonts w:ascii="Arial" w:hAnsi="Arial" w:cs="Arial"/>
                                <w:sz w:val="20"/>
                                <w:szCs w:val="20"/>
                              </w:rPr>
                              <w:t>/</w:t>
                            </w:r>
                            <w:proofErr w:type="spellStart"/>
                            <w:r w:rsidR="00527222">
                              <w:rPr>
                                <w:rFonts w:ascii="Arial" w:hAnsi="Arial" w:cs="Arial"/>
                                <w:sz w:val="20"/>
                                <w:szCs w:val="20"/>
                              </w:rPr>
                              <w:t>kWh</w:t>
                            </w:r>
                            <w:proofErr w:type="spellEnd"/>
                            <w:r w:rsidR="00527222">
                              <w:rPr>
                                <w:rFonts w:ascii="Arial" w:hAnsi="Arial" w:cs="Arial"/>
                                <w:sz w:val="20"/>
                                <w:szCs w:val="20"/>
                              </w:rPr>
                              <w:t xml:space="preserve">) </w:t>
                            </w:r>
                            <w:r>
                              <w:rPr>
                                <w:rFonts w:ascii="Arial" w:hAnsi="Arial" w:cs="Arial"/>
                                <w:sz w:val="20"/>
                                <w:szCs w:val="20"/>
                              </w:rPr>
                              <w:t xml:space="preserve">frente a los 4.340,21M€ </w:t>
                            </w:r>
                            <w:r w:rsidR="00527222">
                              <w:rPr>
                                <w:rFonts w:ascii="Arial" w:hAnsi="Arial" w:cs="Arial"/>
                                <w:sz w:val="20"/>
                                <w:szCs w:val="20"/>
                              </w:rPr>
                              <w:t xml:space="preserve">(1,40 </w:t>
                            </w:r>
                            <w:proofErr w:type="spellStart"/>
                            <w:r w:rsidR="00527222">
                              <w:rPr>
                                <w:rFonts w:ascii="Arial" w:hAnsi="Arial" w:cs="Arial"/>
                                <w:sz w:val="20"/>
                                <w:szCs w:val="20"/>
                              </w:rPr>
                              <w:t>mill</w:t>
                            </w:r>
                            <w:proofErr w:type="spellEnd"/>
                            <w:r w:rsidR="00527222">
                              <w:rPr>
                                <w:rFonts w:ascii="Arial" w:hAnsi="Arial" w:cs="Arial"/>
                                <w:sz w:val="20"/>
                                <w:szCs w:val="20"/>
                              </w:rPr>
                              <w:t>/</w:t>
                            </w:r>
                            <w:proofErr w:type="spellStart"/>
                            <w:r w:rsidR="00527222">
                              <w:rPr>
                                <w:rFonts w:ascii="Arial" w:hAnsi="Arial" w:cs="Arial"/>
                                <w:sz w:val="20"/>
                                <w:szCs w:val="20"/>
                              </w:rPr>
                              <w:t>kWh</w:t>
                            </w:r>
                            <w:proofErr w:type="spellEnd"/>
                            <w:r w:rsidR="00527222">
                              <w:rPr>
                                <w:rFonts w:ascii="Arial" w:hAnsi="Arial" w:cs="Arial"/>
                                <w:sz w:val="20"/>
                                <w:szCs w:val="20"/>
                              </w:rPr>
                              <w:t xml:space="preserve">) </w:t>
                            </w:r>
                            <w:r>
                              <w:rPr>
                                <w:rFonts w:ascii="Arial" w:hAnsi="Arial" w:cs="Arial"/>
                                <w:sz w:val="20"/>
                                <w:szCs w:val="20"/>
                              </w:rPr>
                              <w:t xml:space="preserve">del ciclo abierto con el diseño de ATC planteado en 2006. El modelo concluye, asimismo, que, en caso de requerir la construcción de un ATC, un diseño de éste sin </w:t>
                            </w:r>
                            <w:proofErr w:type="spellStart"/>
                            <w:r>
                              <w:rPr>
                                <w:rFonts w:ascii="Arial" w:hAnsi="Arial" w:cs="Arial"/>
                                <w:sz w:val="20"/>
                                <w:szCs w:val="20"/>
                              </w:rPr>
                              <w:t>reencapsulado</w:t>
                            </w:r>
                            <w:proofErr w:type="spellEnd"/>
                            <w:r>
                              <w:rPr>
                                <w:rFonts w:ascii="Arial" w:hAnsi="Arial" w:cs="Arial"/>
                                <w:sz w:val="20"/>
                                <w:szCs w:val="20"/>
                              </w:rPr>
                              <w:t xml:space="preserve"> resulta más económicamente viable, con un coste total de 3.079,82M€ </w:t>
                            </w:r>
                            <w:r w:rsidR="00527222">
                              <w:rPr>
                                <w:rFonts w:ascii="Arial" w:hAnsi="Arial" w:cs="Arial"/>
                                <w:sz w:val="20"/>
                                <w:szCs w:val="20"/>
                              </w:rPr>
                              <w:t xml:space="preserve">(1 </w:t>
                            </w:r>
                            <w:proofErr w:type="spellStart"/>
                            <w:r w:rsidR="00527222">
                              <w:rPr>
                                <w:rFonts w:ascii="Arial" w:hAnsi="Arial" w:cs="Arial"/>
                                <w:sz w:val="20"/>
                                <w:szCs w:val="20"/>
                              </w:rPr>
                              <w:t>mill</w:t>
                            </w:r>
                            <w:proofErr w:type="spellEnd"/>
                            <w:r w:rsidR="00527222">
                              <w:rPr>
                                <w:rFonts w:ascii="Arial" w:hAnsi="Arial" w:cs="Arial"/>
                                <w:sz w:val="20"/>
                                <w:szCs w:val="20"/>
                              </w:rPr>
                              <w:t>/</w:t>
                            </w:r>
                            <w:proofErr w:type="spellStart"/>
                            <w:r w:rsidR="00527222">
                              <w:rPr>
                                <w:rFonts w:ascii="Arial" w:hAnsi="Arial" w:cs="Arial"/>
                                <w:sz w:val="20"/>
                                <w:szCs w:val="20"/>
                              </w:rPr>
                              <w:t>kWh</w:t>
                            </w:r>
                            <w:proofErr w:type="spellEnd"/>
                            <w:r w:rsidR="00527222">
                              <w:rPr>
                                <w:rFonts w:ascii="Arial" w:hAnsi="Arial" w:cs="Arial"/>
                                <w:sz w:val="20"/>
                                <w:szCs w:val="20"/>
                              </w:rPr>
                              <w:t xml:space="preserve">) </w:t>
                            </w:r>
                            <w:r>
                              <w:rPr>
                                <w:rFonts w:ascii="Arial" w:hAnsi="Arial" w:cs="Arial"/>
                                <w:sz w:val="20"/>
                                <w:szCs w:val="20"/>
                              </w:rPr>
                              <w:t>a partir de 2017.</w:t>
                            </w:r>
                          </w:p>
                          <w:p w:rsidR="00D431C7" w:rsidRDefault="00527222" w:rsidP="00C84947">
                            <w:pPr>
                              <w:rPr>
                                <w:rFonts w:ascii="Arial" w:hAnsi="Arial" w:cs="Arial"/>
                                <w:sz w:val="20"/>
                                <w:szCs w:val="20"/>
                              </w:rPr>
                            </w:pPr>
                            <w:r>
                              <w:rPr>
                                <w:rFonts w:ascii="Arial" w:hAnsi="Arial" w:cs="Arial"/>
                                <w:sz w:val="20"/>
                                <w:szCs w:val="20"/>
                              </w:rPr>
                              <w:t xml:space="preserve">El modelo también estudia la opción de reprocesar el combustible nuclear gastado, pero debido a que, a día de hoy, el aprovechamiento del uranio y el plutonio en España es prácticamente inviable, el alto coste de reprocesar no se ve compensado por el ahorro de uranio, ocasionando que el coste total del escenario se eleve desproporcionadamente hasta 12.820,68M€ (4,15 </w:t>
                            </w:r>
                            <w:proofErr w:type="spellStart"/>
                            <w:r>
                              <w:rPr>
                                <w:rFonts w:ascii="Arial" w:hAnsi="Arial" w:cs="Arial"/>
                                <w:sz w:val="20"/>
                                <w:szCs w:val="20"/>
                              </w:rPr>
                              <w:t>mill</w:t>
                            </w:r>
                            <w:proofErr w:type="spellEnd"/>
                            <w:r>
                              <w:rPr>
                                <w:rFonts w:ascii="Arial" w:hAnsi="Arial" w:cs="Arial"/>
                                <w:sz w:val="20"/>
                                <w:szCs w:val="20"/>
                              </w:rPr>
                              <w:t>/</w:t>
                            </w:r>
                            <w:proofErr w:type="spellStart"/>
                            <w:r>
                              <w:rPr>
                                <w:rFonts w:ascii="Arial" w:hAnsi="Arial" w:cs="Arial"/>
                                <w:sz w:val="20"/>
                                <w:szCs w:val="20"/>
                              </w:rPr>
                              <w:t>kWh</w:t>
                            </w:r>
                            <w:proofErr w:type="spellEnd"/>
                            <w:r>
                              <w:rPr>
                                <w:rFonts w:ascii="Arial" w:hAnsi="Arial" w:cs="Arial"/>
                                <w:sz w:val="20"/>
                                <w:szCs w:val="20"/>
                              </w:rPr>
                              <w:t>).</w:t>
                            </w:r>
                          </w:p>
                          <w:p w:rsidR="00D431C7" w:rsidRDefault="00D431C7" w:rsidP="00C84947">
                            <w:pPr>
                              <w:rPr>
                                <w:rFonts w:ascii="Arial" w:hAnsi="Arial" w:cs="Arial"/>
                                <w:sz w:val="20"/>
                                <w:szCs w:val="20"/>
                              </w:rPr>
                            </w:pPr>
                          </w:p>
                          <w:p w:rsidR="00D431C7" w:rsidRDefault="00D431C7" w:rsidP="00C84947">
                            <w:pPr>
                              <w:rPr>
                                <w:rFonts w:ascii="Arial" w:hAnsi="Arial" w:cs="Arial"/>
                                <w:sz w:val="20"/>
                                <w:szCs w:val="20"/>
                              </w:rPr>
                            </w:pPr>
                          </w:p>
                          <w:p w:rsidR="00D431C7" w:rsidRDefault="00D431C7" w:rsidP="00C84947">
                            <w:pPr>
                              <w:rPr>
                                <w:rFonts w:ascii="Arial" w:hAnsi="Arial" w:cs="Arial"/>
                                <w:sz w:val="20"/>
                                <w:szCs w:val="20"/>
                              </w:rPr>
                            </w:pPr>
                          </w:p>
                          <w:p w:rsidR="00D431C7" w:rsidRPr="00106574" w:rsidRDefault="00D431C7" w:rsidP="00C84947">
                            <w:pPr>
                              <w:rPr>
                                <w:rFonts w:ascii="Arial" w:hAnsi="Arial" w:cs="Arial"/>
                                <w:sz w:val="20"/>
                                <w:szCs w:val="20"/>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6" o:spid="_x0000_s1032" type="#_x0000_t202" style="position:absolute;left:0;text-align:left;margin-left:3.15pt;margin-top:17.7pt;width:460.9pt;height:143.25pt;z-index:2516587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" strokecolor="#4f81bd" strokeweight="1pt">
                <v:stroke dashstyle="dash"/>
                <v:shadow color="#868686"/>
                <v:textbox>
                  <w:txbxContent>
                    <w:p w:rsidR="00D431C7" w:rsidRDefault="0035761B" w:rsidP="00C84947">
                      <w:pPr>
                        <w:rPr>
                          <w:rFonts w:ascii="Arial" w:hAnsi="Arial" w:cs="Arial"/>
                          <w:sz w:val="20"/>
                          <w:szCs w:val="20"/>
                        </w:rPr>
                      </w:pPr>
                      <w:r>
                        <w:rPr>
                          <w:rFonts w:ascii="Arial" w:hAnsi="Arial" w:cs="Arial"/>
                          <w:sz w:val="20"/>
                          <w:szCs w:val="20"/>
                        </w:rPr>
                        <w:t xml:space="preserve">Para el caso base estudiado (50 años de vida media de las centrales nucleares), el modelo establece que el escenario de menor coste para España, bajo las hipótesis actuales, es el ciclo abierto sin construcción de un ATC, con un coste a partir del año 2017 de 2.653,97M€ </w:t>
                      </w:r>
                      <w:r w:rsidR="00527222">
                        <w:rPr>
                          <w:rFonts w:ascii="Arial" w:hAnsi="Arial" w:cs="Arial"/>
                          <w:sz w:val="20"/>
                          <w:szCs w:val="20"/>
                        </w:rPr>
                        <w:t xml:space="preserve">(0,86 mill/kWh) </w:t>
                      </w:r>
                      <w:r>
                        <w:rPr>
                          <w:rFonts w:ascii="Arial" w:hAnsi="Arial" w:cs="Arial"/>
                          <w:sz w:val="20"/>
                          <w:szCs w:val="20"/>
                        </w:rPr>
                        <w:t xml:space="preserve">frente a los 4.340,21M€ </w:t>
                      </w:r>
                      <w:r w:rsidR="00527222">
                        <w:rPr>
                          <w:rFonts w:ascii="Arial" w:hAnsi="Arial" w:cs="Arial"/>
                          <w:sz w:val="20"/>
                          <w:szCs w:val="20"/>
                        </w:rPr>
                        <w:t xml:space="preserve">(1,40 mill/kWh) </w:t>
                      </w:r>
                      <w:r>
                        <w:rPr>
                          <w:rFonts w:ascii="Arial" w:hAnsi="Arial" w:cs="Arial"/>
                          <w:sz w:val="20"/>
                          <w:szCs w:val="20"/>
                        </w:rPr>
                        <w:t xml:space="preserve">del ciclo abierto con el diseño de ATC planteado en 2006. El modelo concluye, asimismo, que, en caso de requerir la construcción de un ATC, un diseño de éste sin reencapsulado resulta más económicamente viable, con un coste total de 3.079,82M€ </w:t>
                      </w:r>
                      <w:r w:rsidR="00527222">
                        <w:rPr>
                          <w:rFonts w:ascii="Arial" w:hAnsi="Arial" w:cs="Arial"/>
                          <w:sz w:val="20"/>
                          <w:szCs w:val="20"/>
                        </w:rPr>
                        <w:t xml:space="preserve">(1 mill/kWh) </w:t>
                      </w:r>
                      <w:r>
                        <w:rPr>
                          <w:rFonts w:ascii="Arial" w:hAnsi="Arial" w:cs="Arial"/>
                          <w:sz w:val="20"/>
                          <w:szCs w:val="20"/>
                        </w:rPr>
                        <w:t>a partir de 2017.</w:t>
                      </w:r>
                    </w:p>
                    <w:p w:rsidR="00D431C7" w:rsidRDefault="00527222" w:rsidP="00C84947">
                      <w:pPr>
                        <w:rPr>
                          <w:rFonts w:ascii="Arial" w:hAnsi="Arial" w:cs="Arial"/>
                          <w:sz w:val="20"/>
                          <w:szCs w:val="20"/>
                        </w:rPr>
                      </w:pPr>
                      <w:r>
                        <w:rPr>
                          <w:rFonts w:ascii="Arial" w:hAnsi="Arial" w:cs="Arial"/>
                          <w:sz w:val="20"/>
                          <w:szCs w:val="20"/>
                        </w:rPr>
                        <w:t>El modelo también estudia la opción de reprocesar el combustible nuclear gastado, pero debido a que, a día de hoy, el aprovechamiento del uranio y el plutonio en España es prácticamente inviable, el alto coste de reprocesar no se ve compensado por el ahorro de uranio, ocasionando que el coste total del escenario se eleve des</w:t>
                      </w:r>
                      <w:bookmarkStart w:id="1" w:name="_GoBack"/>
                      <w:bookmarkEnd w:id="1"/>
                      <w:r>
                        <w:rPr>
                          <w:rFonts w:ascii="Arial" w:hAnsi="Arial" w:cs="Arial"/>
                          <w:sz w:val="20"/>
                          <w:szCs w:val="20"/>
                        </w:rPr>
                        <w:t>proporcionadamente hasta 12.820,68M€ (4,15 mill/kWh).</w:t>
                      </w:r>
                    </w:p>
                    <w:p w:rsidR="00D431C7" w:rsidRDefault="00D431C7" w:rsidP="00C84947">
                      <w:pPr>
                        <w:rPr>
                          <w:rFonts w:ascii="Arial" w:hAnsi="Arial" w:cs="Arial"/>
                          <w:sz w:val="20"/>
                          <w:szCs w:val="20"/>
                        </w:rPr>
                      </w:pPr>
                    </w:p>
                    <w:p w:rsidR="00D431C7" w:rsidRDefault="00D431C7" w:rsidP="00C84947">
                      <w:pPr>
                        <w:rPr>
                          <w:rFonts w:ascii="Arial" w:hAnsi="Arial" w:cs="Arial"/>
                          <w:sz w:val="20"/>
                          <w:szCs w:val="20"/>
                        </w:rPr>
                      </w:pPr>
                    </w:p>
                    <w:p w:rsidR="00D431C7" w:rsidRDefault="00D431C7" w:rsidP="00C84947">
                      <w:pPr>
                        <w:rPr>
                          <w:rFonts w:ascii="Arial" w:hAnsi="Arial" w:cs="Arial"/>
                          <w:sz w:val="20"/>
                          <w:szCs w:val="20"/>
                        </w:rPr>
                      </w:pPr>
                    </w:p>
                    <w:p w:rsidR="00D431C7" w:rsidRPr="00106574" w:rsidRDefault="00D431C7" w:rsidP="00C84947">
                      <w:pPr>
                        <w:rPr>
                          <w:rFonts w:ascii="Arial" w:hAnsi="Arial" w:cs="Arial"/>
                          <w:sz w:val="20"/>
                          <w:szCs w:val="20"/>
                        </w:rPr>
                      </w:pPr>
                    </w:p>
                  </w:txbxContent>
                </v:textbox>
              </v:shape>
            </w:pict>
          </mc:Fallback>
        </mc:AlternateContent>
      </w:r>
    </w:p>
    <w:p w:rsidR="00D21762" w:rsidRDefault="00D21762" w:rsidP="00202F03">
      <w:pPr>
        <w:spacing w:before="120"/>
        <w:jc w:val="both"/>
      </w:pPr>
    </w:p>
    <w:p w:rsidR="00D21762" w:rsidRDefault="00D21762" w:rsidP="00202F03">
      <w:pPr>
        <w:spacing w:before="120"/>
        <w:jc w:val="both"/>
      </w:pPr>
    </w:p>
    <w:p w:rsidR="00D21762" w:rsidRDefault="00D21762" w:rsidP="00202F03">
      <w:pPr>
        <w:spacing w:before="120"/>
        <w:jc w:val="both"/>
      </w:pPr>
    </w:p>
    <w:p w:rsidR="00D21762" w:rsidRDefault="00D21762" w:rsidP="00202F03">
      <w:pPr>
        <w:spacing w:before="120"/>
        <w:jc w:val="both"/>
      </w:pPr>
    </w:p>
    <w:p w:rsidR="00D21762" w:rsidRDefault="00D21762" w:rsidP="00202F03">
      <w:pPr>
        <w:spacing w:before="120"/>
        <w:jc w:val="both"/>
      </w:pPr>
    </w:p>
    <w:p w:rsidR="00D21762" w:rsidRDefault="00D21762" w:rsidP="00202F03">
      <w:pPr>
        <w:spacing w:before="120"/>
        <w:jc w:val="both"/>
      </w:pPr>
    </w:p>
    <w:p w:rsidR="0093514F" w:rsidRPr="001F5302" w:rsidRDefault="0093514F" w:rsidP="00C23F42">
      <w:pPr>
        <w:tabs>
          <w:tab w:val="left" w:pos="142"/>
        </w:tabs>
        <w:spacing w:before="120"/>
        <w:jc w:val="both"/>
        <w:rPr>
          <w:sz w:val="16"/>
          <w:szCs w:val="16"/>
        </w:rPr>
      </w:pPr>
    </w:p>
    <w:sectPr w:rsidR="0093514F" w:rsidRPr="001F5302" w:rsidSect="001B0563">
      <w:headerReference w:type="default" r:id="rId8"/>
      <w:footerReference w:type="default" r:id="rId9"/>
      <w:pgSz w:w="11906" w:h="16838"/>
      <w:pgMar w:top="2055" w:right="1134" w:bottom="426" w:left="1418" w:header="0"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6C5FE9" w:rsidRDefault="006C5FE9" w:rsidP="0093514F">
      <w:r>
        <w:separator/>
      </w:r>
    </w:p>
  </w:endnote>
  <w:endnote w:type="continuationSeparator" w:id="0">
    <w:p w:rsidR="006C5FE9" w:rsidRDefault="006C5FE9" w:rsidP="0093514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431C7" w:rsidRDefault="0064043C">
    <w:pPr>
      <w:pStyle w:val="Piedepgina"/>
    </w:pPr>
    <w:r>
      <w:rPr>
        <w:rFonts w:ascii="Arial" w:hAnsi="Arial" w:cs="Arial"/>
        <w:sz w:val="14"/>
        <w:szCs w:val="14"/>
      </w:rPr>
      <w:t>45</w:t>
    </w:r>
    <w:r w:rsidR="00D431C7" w:rsidRPr="002F20A1">
      <w:rPr>
        <w:rFonts w:ascii="Arial" w:hAnsi="Arial" w:cs="Arial"/>
        <w:sz w:val="14"/>
        <w:szCs w:val="14"/>
      </w:rPr>
      <w:t xml:space="preserve"> </w:t>
    </w:r>
    <w:r w:rsidR="00D431C7" w:rsidRPr="002F20A1">
      <w:rPr>
        <w:rFonts w:ascii="Arial" w:hAnsi="Arial" w:cs="Arial"/>
        <w:color w:val="231F20"/>
        <w:sz w:val="14"/>
        <w:szCs w:val="14"/>
      </w:rPr>
      <w:t xml:space="preserve">Reunión Anual de la SNE, </w:t>
    </w:r>
    <w:r>
      <w:rPr>
        <w:rFonts w:ascii="Arial" w:hAnsi="Arial" w:cs="Arial"/>
        <w:color w:val="231F20"/>
        <w:sz w:val="14"/>
        <w:szCs w:val="14"/>
      </w:rPr>
      <w:t>25-27</w:t>
    </w:r>
    <w:r w:rsidR="00D431C7">
      <w:rPr>
        <w:rFonts w:ascii="Arial" w:hAnsi="Arial" w:cs="Arial"/>
        <w:color w:val="231F20"/>
        <w:sz w:val="14"/>
        <w:szCs w:val="14"/>
      </w:rPr>
      <w:t xml:space="preserve"> septiembre</w:t>
    </w:r>
    <w:r w:rsidR="00D431C7" w:rsidRPr="002F20A1">
      <w:rPr>
        <w:rFonts w:ascii="Arial" w:hAnsi="Arial" w:cs="Arial"/>
        <w:color w:val="231F20"/>
        <w:sz w:val="14"/>
        <w:szCs w:val="14"/>
      </w:rPr>
      <w:t xml:space="preserve"> 201</w:t>
    </w:r>
    <w:r>
      <w:rPr>
        <w:rFonts w:ascii="Arial" w:hAnsi="Arial" w:cs="Arial"/>
        <w:color w:val="231F20"/>
        <w:sz w:val="14"/>
        <w:szCs w:val="14"/>
      </w:rPr>
      <w:t>9</w:t>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6C5FE9" w:rsidRDefault="006C5FE9" w:rsidP="0093514F">
      <w:r>
        <w:separator/>
      </w:r>
    </w:p>
  </w:footnote>
  <w:footnote w:type="continuationSeparator" w:id="0">
    <w:p w:rsidR="006C5FE9" w:rsidRDefault="006C5FE9" w:rsidP="0093514F">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431C7" w:rsidRDefault="00D431C7" w:rsidP="000D34FF">
    <w:pPr>
      <w:pStyle w:val="Encabezado"/>
      <w:jc w:val="center"/>
    </w:pPr>
  </w:p>
  <w:p w:rsidR="00D431C7" w:rsidRDefault="00527222" w:rsidP="00117F5A">
    <w:pPr>
      <w:pStyle w:val="Encabezado"/>
      <w:jc w:val="center"/>
    </w:pPr>
    <w:r>
      <w:rPr>
        <w:noProof/>
      </w:rPr>
      <w:drawing>
        <wp:anchor distT="0" distB="0" distL="114300" distR="114300" simplePos="0" relativeHeight="251663360" behindDoc="0" locked="0" layoutInCell="1" allowOverlap="1">
          <wp:simplePos x="0" y="0"/>
          <wp:positionH relativeFrom="margin">
            <wp:align>left</wp:align>
          </wp:positionH>
          <wp:positionV relativeFrom="paragraph">
            <wp:align>outside</wp:align>
          </wp:positionV>
          <wp:extent cx="1000125" cy="1036320"/>
          <wp:effectExtent l="0" t="0" r="0" b="0"/>
          <wp:wrapSquare wrapText="bothSides"/>
          <wp:docPr id="1" name="Imagen 1" descr="Lema_SNE_20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ema_SNE_2019"/>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00125" cy="1036320"/>
                  </a:xfrm>
                  <a:prstGeom prst="rect">
                    <a:avLst/>
                  </a:prstGeom>
                  <a:noFill/>
                </pic:spPr>
              </pic:pic>
            </a:graphicData>
          </a:graphic>
          <wp14:sizeRelH relativeFrom="page">
            <wp14:pctWidth>0</wp14:pctWidth>
          </wp14:sizeRelH>
          <wp14:sizeRelV relativeFrom="page">
            <wp14:pctHeight>0</wp14:pctHeight>
          </wp14:sizeRelV>
        </wp:anchor>
      </w:drawing>
    </w:r>
    <w:r w:rsidR="00C3197A">
      <w:rPr>
        <w:noProof/>
      </w:rPr>
      <w:drawing>
        <wp:anchor distT="0" distB="0" distL="114300" distR="114300" simplePos="0" relativeHeight="251661312" behindDoc="0" locked="0" layoutInCell="1" allowOverlap="1">
          <wp:simplePos x="0" y="0"/>
          <wp:positionH relativeFrom="margin">
            <wp:align>right</wp:align>
          </wp:positionH>
          <wp:positionV relativeFrom="paragraph">
            <wp:posOffset>38735</wp:posOffset>
          </wp:positionV>
          <wp:extent cx="2105025" cy="890905"/>
          <wp:effectExtent l="19050" t="0" r="9525" b="0"/>
          <wp:wrapSquare wrapText="bothSides"/>
          <wp:docPr id="8" name="Imagen 8" descr="45 RA-VI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45 RA-VIGO"/>
                  <pic:cNvPicPr>
                    <a:picLocks noChangeAspect="1" noChangeArrowheads="1"/>
                  </pic:cNvPicPr>
                </pic:nvPicPr>
                <pic:blipFill>
                  <a:blip r:embed="rId2"/>
                  <a:srcRect/>
                  <a:stretch>
                    <a:fillRect/>
                  </a:stretch>
                </pic:blipFill>
                <pic:spPr bwMode="auto">
                  <a:xfrm>
                    <a:off x="0" y="0"/>
                    <a:ext cx="2105025" cy="890905"/>
                  </a:xfrm>
                  <a:prstGeom prst="rect">
                    <a:avLst/>
                  </a:prstGeom>
                  <a:noFill/>
                  <a:ln w="9525">
                    <a:noFill/>
                    <a:miter lim="800000"/>
                    <a:headEnd/>
                    <a:tailEnd/>
                  </a:ln>
                </pic:spPr>
              </pic:pic>
            </a:graphicData>
          </a:graphic>
        </wp:anchor>
      </w:drawing>
    </w:r>
  </w:p>
  <w:p w:rsidR="00D431C7" w:rsidRDefault="00D431C7" w:rsidP="00117F5A">
    <w:pPr>
      <w:pStyle w:val="Encabezado"/>
      <w:jc w:val="center"/>
    </w:pPr>
  </w:p>
  <w:p w:rsidR="00D431C7" w:rsidRPr="000D34FF" w:rsidRDefault="00D431C7" w:rsidP="000D34FF">
    <w:pPr>
      <w:pStyle w:val="Encabezado"/>
      <w:jc w:val="center"/>
    </w:pPr>
    <w:r>
      <w:t xml:space="preserve"> </w: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1D"/>
    <w:multiLevelType w:val="multilevel"/>
    <w:tmpl w:val="EC2E37F8"/>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4681144D"/>
    <w:multiLevelType w:val="hybridMultilevel"/>
    <w:tmpl w:val="0FB034A4"/>
    <w:lvl w:ilvl="0" w:tplc="A6ACAC68">
      <w:numFmt w:val="bullet"/>
      <w:lvlText w:val="-"/>
      <w:lvlJc w:val="left"/>
      <w:pPr>
        <w:ind w:left="360" w:hanging="360"/>
      </w:pPr>
      <w:rPr>
        <w:rFonts w:ascii="Times New Roman" w:eastAsia="Times New Roman" w:hAnsi="Times New Roman" w:cs="Times New Roman" w:hint="default"/>
      </w:rPr>
    </w:lvl>
    <w:lvl w:ilvl="1" w:tplc="040A0003" w:tentative="1">
      <w:start w:val="1"/>
      <w:numFmt w:val="bullet"/>
      <w:lvlText w:val="o"/>
      <w:lvlJc w:val="left"/>
      <w:pPr>
        <w:ind w:left="1080" w:hanging="360"/>
      </w:pPr>
      <w:rPr>
        <w:rFonts w:ascii="Courier New" w:hAnsi="Courier New" w:cs="Courier New" w:hint="default"/>
      </w:rPr>
    </w:lvl>
    <w:lvl w:ilvl="2" w:tplc="040A0005" w:tentative="1">
      <w:start w:val="1"/>
      <w:numFmt w:val="bullet"/>
      <w:lvlText w:val=""/>
      <w:lvlJc w:val="left"/>
      <w:pPr>
        <w:ind w:left="1800" w:hanging="360"/>
      </w:pPr>
      <w:rPr>
        <w:rFonts w:ascii="Wingdings" w:hAnsi="Wingdings" w:hint="default"/>
      </w:rPr>
    </w:lvl>
    <w:lvl w:ilvl="3" w:tplc="040A0001" w:tentative="1">
      <w:start w:val="1"/>
      <w:numFmt w:val="bullet"/>
      <w:lvlText w:val=""/>
      <w:lvlJc w:val="left"/>
      <w:pPr>
        <w:ind w:left="2520" w:hanging="360"/>
      </w:pPr>
      <w:rPr>
        <w:rFonts w:ascii="Symbol" w:hAnsi="Symbol" w:hint="default"/>
      </w:rPr>
    </w:lvl>
    <w:lvl w:ilvl="4" w:tplc="040A0003" w:tentative="1">
      <w:start w:val="1"/>
      <w:numFmt w:val="bullet"/>
      <w:lvlText w:val="o"/>
      <w:lvlJc w:val="left"/>
      <w:pPr>
        <w:ind w:left="3240" w:hanging="360"/>
      </w:pPr>
      <w:rPr>
        <w:rFonts w:ascii="Courier New" w:hAnsi="Courier New" w:cs="Courier New" w:hint="default"/>
      </w:rPr>
    </w:lvl>
    <w:lvl w:ilvl="5" w:tplc="040A0005" w:tentative="1">
      <w:start w:val="1"/>
      <w:numFmt w:val="bullet"/>
      <w:lvlText w:val=""/>
      <w:lvlJc w:val="left"/>
      <w:pPr>
        <w:ind w:left="3960" w:hanging="360"/>
      </w:pPr>
      <w:rPr>
        <w:rFonts w:ascii="Wingdings" w:hAnsi="Wingdings" w:hint="default"/>
      </w:rPr>
    </w:lvl>
    <w:lvl w:ilvl="6" w:tplc="040A0001" w:tentative="1">
      <w:start w:val="1"/>
      <w:numFmt w:val="bullet"/>
      <w:lvlText w:val=""/>
      <w:lvlJc w:val="left"/>
      <w:pPr>
        <w:ind w:left="4680" w:hanging="360"/>
      </w:pPr>
      <w:rPr>
        <w:rFonts w:ascii="Symbol" w:hAnsi="Symbol" w:hint="default"/>
      </w:rPr>
    </w:lvl>
    <w:lvl w:ilvl="7" w:tplc="040A0003" w:tentative="1">
      <w:start w:val="1"/>
      <w:numFmt w:val="bullet"/>
      <w:lvlText w:val="o"/>
      <w:lvlJc w:val="left"/>
      <w:pPr>
        <w:ind w:left="5400" w:hanging="360"/>
      </w:pPr>
      <w:rPr>
        <w:rFonts w:ascii="Courier New" w:hAnsi="Courier New" w:cs="Courier New" w:hint="default"/>
      </w:rPr>
    </w:lvl>
    <w:lvl w:ilvl="8" w:tplc="040A0005" w:tentative="1">
      <w:start w:val="1"/>
      <w:numFmt w:val="bullet"/>
      <w:lvlText w:val=""/>
      <w:lvlJc w:val="left"/>
      <w:pPr>
        <w:ind w:left="6120" w:hanging="360"/>
      </w:pPr>
      <w:rPr>
        <w:rFonts w:ascii="Wingdings" w:hAnsi="Wingdings" w:hint="default"/>
      </w:rPr>
    </w:lvl>
  </w:abstractNum>
  <w:abstractNum w:abstractNumId="2" w15:restartNumberingAfterBreak="0">
    <w:nsid w:val="751F0846"/>
    <w:multiLevelType w:val="hybridMultilevel"/>
    <w:tmpl w:val="EBF841C8"/>
    <w:lvl w:ilvl="0" w:tplc="0C0A0015">
      <w:start w:val="1"/>
      <w:numFmt w:val="upp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num w:numId="1">
    <w:abstractNumId w:val="1"/>
  </w:num>
  <w:num w:numId="2">
    <w:abstractNumId w:val="2"/>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96"/>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02F03"/>
    <w:rsid w:val="0000530F"/>
    <w:rsid w:val="000168EC"/>
    <w:rsid w:val="000313BE"/>
    <w:rsid w:val="000346C6"/>
    <w:rsid w:val="00046198"/>
    <w:rsid w:val="000622B9"/>
    <w:rsid w:val="0008571A"/>
    <w:rsid w:val="000C4364"/>
    <w:rsid w:val="000D34FF"/>
    <w:rsid w:val="000D39C8"/>
    <w:rsid w:val="000E26CF"/>
    <w:rsid w:val="000E3702"/>
    <w:rsid w:val="0010207E"/>
    <w:rsid w:val="00106574"/>
    <w:rsid w:val="00117F5A"/>
    <w:rsid w:val="00140E76"/>
    <w:rsid w:val="00166858"/>
    <w:rsid w:val="0016774A"/>
    <w:rsid w:val="00177D85"/>
    <w:rsid w:val="00185890"/>
    <w:rsid w:val="001879A6"/>
    <w:rsid w:val="001A1ACF"/>
    <w:rsid w:val="001A3ACD"/>
    <w:rsid w:val="001B0563"/>
    <w:rsid w:val="001B1731"/>
    <w:rsid w:val="001B2B9D"/>
    <w:rsid w:val="001D6FD7"/>
    <w:rsid w:val="001D7F99"/>
    <w:rsid w:val="001F2EE2"/>
    <w:rsid w:val="001F5302"/>
    <w:rsid w:val="00202F03"/>
    <w:rsid w:val="00215C1E"/>
    <w:rsid w:val="00225FF4"/>
    <w:rsid w:val="002266F0"/>
    <w:rsid w:val="00230EC9"/>
    <w:rsid w:val="00250DDB"/>
    <w:rsid w:val="002A3D9B"/>
    <w:rsid w:val="002A6739"/>
    <w:rsid w:val="002D0880"/>
    <w:rsid w:val="002D6273"/>
    <w:rsid w:val="002E17EC"/>
    <w:rsid w:val="002F7FBF"/>
    <w:rsid w:val="00313636"/>
    <w:rsid w:val="003262AA"/>
    <w:rsid w:val="00333BFC"/>
    <w:rsid w:val="00342FCE"/>
    <w:rsid w:val="00354BD6"/>
    <w:rsid w:val="0035761B"/>
    <w:rsid w:val="003749D0"/>
    <w:rsid w:val="00397FF7"/>
    <w:rsid w:val="003B1918"/>
    <w:rsid w:val="00431D72"/>
    <w:rsid w:val="00432691"/>
    <w:rsid w:val="004345B5"/>
    <w:rsid w:val="00434E01"/>
    <w:rsid w:val="00470E48"/>
    <w:rsid w:val="0048064D"/>
    <w:rsid w:val="004D3B7F"/>
    <w:rsid w:val="00527222"/>
    <w:rsid w:val="00532A8E"/>
    <w:rsid w:val="00545913"/>
    <w:rsid w:val="0058074E"/>
    <w:rsid w:val="005E2E65"/>
    <w:rsid w:val="005F76D0"/>
    <w:rsid w:val="0064043C"/>
    <w:rsid w:val="00642045"/>
    <w:rsid w:val="00651362"/>
    <w:rsid w:val="00653CF1"/>
    <w:rsid w:val="006551D5"/>
    <w:rsid w:val="00655322"/>
    <w:rsid w:val="006636C2"/>
    <w:rsid w:val="006B225A"/>
    <w:rsid w:val="006C2C8B"/>
    <w:rsid w:val="006C5FE9"/>
    <w:rsid w:val="006F4B32"/>
    <w:rsid w:val="00703C4F"/>
    <w:rsid w:val="00731107"/>
    <w:rsid w:val="00746F21"/>
    <w:rsid w:val="00756CFE"/>
    <w:rsid w:val="00774710"/>
    <w:rsid w:val="0077548A"/>
    <w:rsid w:val="00776F78"/>
    <w:rsid w:val="007930F0"/>
    <w:rsid w:val="007B1FE0"/>
    <w:rsid w:val="007D7BDF"/>
    <w:rsid w:val="0084332C"/>
    <w:rsid w:val="008459DB"/>
    <w:rsid w:val="00885610"/>
    <w:rsid w:val="008A0728"/>
    <w:rsid w:val="008D4045"/>
    <w:rsid w:val="00925DAF"/>
    <w:rsid w:val="0093514F"/>
    <w:rsid w:val="00984818"/>
    <w:rsid w:val="009E5AEB"/>
    <w:rsid w:val="00A03381"/>
    <w:rsid w:val="00A17D6A"/>
    <w:rsid w:val="00A3042F"/>
    <w:rsid w:val="00A35F2E"/>
    <w:rsid w:val="00A551C5"/>
    <w:rsid w:val="00A93DD5"/>
    <w:rsid w:val="00AC6E4F"/>
    <w:rsid w:val="00B20301"/>
    <w:rsid w:val="00B93941"/>
    <w:rsid w:val="00BA7326"/>
    <w:rsid w:val="00BB4956"/>
    <w:rsid w:val="00BC1986"/>
    <w:rsid w:val="00BC34C0"/>
    <w:rsid w:val="00BE071A"/>
    <w:rsid w:val="00BF02B8"/>
    <w:rsid w:val="00BF2D9A"/>
    <w:rsid w:val="00BF7826"/>
    <w:rsid w:val="00C17BC4"/>
    <w:rsid w:val="00C23E54"/>
    <w:rsid w:val="00C23F42"/>
    <w:rsid w:val="00C26E4E"/>
    <w:rsid w:val="00C3197A"/>
    <w:rsid w:val="00C57C8A"/>
    <w:rsid w:val="00C701E9"/>
    <w:rsid w:val="00C84947"/>
    <w:rsid w:val="00C8497E"/>
    <w:rsid w:val="00C87EEE"/>
    <w:rsid w:val="00CA6E13"/>
    <w:rsid w:val="00CB4691"/>
    <w:rsid w:val="00CC5F53"/>
    <w:rsid w:val="00CD3E1D"/>
    <w:rsid w:val="00CD4630"/>
    <w:rsid w:val="00CF131B"/>
    <w:rsid w:val="00D1330E"/>
    <w:rsid w:val="00D21762"/>
    <w:rsid w:val="00D35C34"/>
    <w:rsid w:val="00D431C7"/>
    <w:rsid w:val="00D47856"/>
    <w:rsid w:val="00D61A44"/>
    <w:rsid w:val="00D738E6"/>
    <w:rsid w:val="00D83E5F"/>
    <w:rsid w:val="00D93968"/>
    <w:rsid w:val="00D97B4F"/>
    <w:rsid w:val="00DB2EE9"/>
    <w:rsid w:val="00DC4605"/>
    <w:rsid w:val="00DC4EC5"/>
    <w:rsid w:val="00DE32E6"/>
    <w:rsid w:val="00E202FA"/>
    <w:rsid w:val="00E32F8A"/>
    <w:rsid w:val="00E61D12"/>
    <w:rsid w:val="00E66B5D"/>
    <w:rsid w:val="00E76CF7"/>
    <w:rsid w:val="00E77D3C"/>
    <w:rsid w:val="00E85864"/>
    <w:rsid w:val="00E86EAA"/>
    <w:rsid w:val="00EB53ED"/>
    <w:rsid w:val="00EC189A"/>
    <w:rsid w:val="00EC7750"/>
    <w:rsid w:val="00ED50A8"/>
    <w:rsid w:val="00F35FC0"/>
    <w:rsid w:val="00F46E72"/>
    <w:rsid w:val="00F546C1"/>
    <w:rsid w:val="00F54AD8"/>
    <w:rsid w:val="00F800C6"/>
    <w:rsid w:val="00FC34B0"/>
    <w:rsid w:val="00FF56E5"/>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31D19C7C"/>
  <w15:docId w15:val="{0A2CC34A-386A-4963-859D-1B23B65558C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Times New Roman"/>
        <w:lang w:val="es-ES" w:eastAsia="es-E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202F03"/>
    <w:rPr>
      <w:rFonts w:ascii="Times New Roman" w:eastAsia="Times New Roman" w:hAnsi="Times New Roman"/>
      <w:sz w:val="24"/>
      <w:szCs w:val="24"/>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93514F"/>
    <w:pPr>
      <w:tabs>
        <w:tab w:val="center" w:pos="4252"/>
        <w:tab w:val="right" w:pos="8504"/>
      </w:tabs>
    </w:pPr>
  </w:style>
  <w:style w:type="character" w:customStyle="1" w:styleId="EncabezadoCar">
    <w:name w:val="Encabezado Car"/>
    <w:link w:val="Encabezado"/>
    <w:uiPriority w:val="99"/>
    <w:rsid w:val="0093514F"/>
    <w:rPr>
      <w:rFonts w:ascii="Times New Roman" w:eastAsia="Times New Roman" w:hAnsi="Times New Roman"/>
      <w:sz w:val="24"/>
      <w:szCs w:val="24"/>
    </w:rPr>
  </w:style>
  <w:style w:type="paragraph" w:styleId="Piedepgina">
    <w:name w:val="footer"/>
    <w:basedOn w:val="Normal"/>
    <w:link w:val="PiedepginaCar"/>
    <w:uiPriority w:val="99"/>
    <w:unhideWhenUsed/>
    <w:rsid w:val="0093514F"/>
    <w:pPr>
      <w:tabs>
        <w:tab w:val="center" w:pos="4252"/>
        <w:tab w:val="right" w:pos="8504"/>
      </w:tabs>
    </w:pPr>
  </w:style>
  <w:style w:type="character" w:customStyle="1" w:styleId="PiedepginaCar">
    <w:name w:val="Pie de página Car"/>
    <w:link w:val="Piedepgina"/>
    <w:uiPriority w:val="99"/>
    <w:rsid w:val="0093514F"/>
    <w:rPr>
      <w:rFonts w:ascii="Times New Roman" w:eastAsia="Times New Roman" w:hAnsi="Times New Roman"/>
      <w:sz w:val="24"/>
      <w:szCs w:val="24"/>
    </w:rPr>
  </w:style>
  <w:style w:type="paragraph" w:styleId="Textodeglobo">
    <w:name w:val="Balloon Text"/>
    <w:basedOn w:val="Normal"/>
    <w:link w:val="TextodegloboCar"/>
    <w:uiPriority w:val="99"/>
    <w:semiHidden/>
    <w:unhideWhenUsed/>
    <w:rsid w:val="0093514F"/>
    <w:rPr>
      <w:rFonts w:ascii="Tahoma" w:hAnsi="Tahoma"/>
      <w:sz w:val="16"/>
      <w:szCs w:val="16"/>
    </w:rPr>
  </w:style>
  <w:style w:type="character" w:customStyle="1" w:styleId="TextodegloboCar">
    <w:name w:val="Texto de globo Car"/>
    <w:link w:val="Textodeglobo"/>
    <w:uiPriority w:val="99"/>
    <w:semiHidden/>
    <w:rsid w:val="0093514F"/>
    <w:rPr>
      <w:rFonts w:ascii="Tahoma" w:eastAsia="Times New Roman" w:hAnsi="Tahoma" w:cs="Tahoma"/>
      <w:sz w:val="16"/>
      <w:szCs w:val="16"/>
    </w:rPr>
  </w:style>
  <w:style w:type="character" w:styleId="Refdecomentario">
    <w:name w:val="annotation reference"/>
    <w:uiPriority w:val="99"/>
    <w:semiHidden/>
    <w:unhideWhenUsed/>
    <w:rsid w:val="006F4B32"/>
    <w:rPr>
      <w:sz w:val="18"/>
      <w:szCs w:val="18"/>
    </w:rPr>
  </w:style>
  <w:style w:type="paragraph" w:styleId="Textocomentario">
    <w:name w:val="annotation text"/>
    <w:basedOn w:val="Normal"/>
    <w:link w:val="TextocomentarioCar"/>
    <w:uiPriority w:val="99"/>
    <w:semiHidden/>
    <w:unhideWhenUsed/>
    <w:rsid w:val="006F4B32"/>
  </w:style>
  <w:style w:type="character" w:customStyle="1" w:styleId="TextocomentarioCar">
    <w:name w:val="Texto comentario Car"/>
    <w:link w:val="Textocomentario"/>
    <w:uiPriority w:val="99"/>
    <w:semiHidden/>
    <w:rsid w:val="006F4B32"/>
    <w:rPr>
      <w:rFonts w:ascii="Times New Roman" w:eastAsia="Times New Roman" w:hAnsi="Times New Roman"/>
      <w:sz w:val="24"/>
      <w:szCs w:val="24"/>
    </w:rPr>
  </w:style>
  <w:style w:type="paragraph" w:styleId="Asuntodelcomentario">
    <w:name w:val="annotation subject"/>
    <w:basedOn w:val="Textocomentario"/>
    <w:next w:val="Textocomentario"/>
    <w:link w:val="AsuntodelcomentarioCar"/>
    <w:uiPriority w:val="99"/>
    <w:semiHidden/>
    <w:unhideWhenUsed/>
    <w:rsid w:val="006F4B32"/>
    <w:rPr>
      <w:b/>
      <w:bCs/>
    </w:rPr>
  </w:style>
  <w:style w:type="character" w:customStyle="1" w:styleId="AsuntodelcomentarioCar">
    <w:name w:val="Asunto del comentario Car"/>
    <w:link w:val="Asuntodelcomentario"/>
    <w:uiPriority w:val="99"/>
    <w:semiHidden/>
    <w:rsid w:val="006F4B32"/>
    <w:rPr>
      <w:rFonts w:ascii="Times New Roman" w:eastAsia="Times New Roman" w:hAnsi="Times New Roman"/>
      <w:b/>
      <w:bCs/>
      <w:sz w:val="24"/>
      <w:szCs w:val="24"/>
    </w:rPr>
  </w:style>
  <w:style w:type="paragraph" w:customStyle="1" w:styleId="Listamedia2-nfasis21">
    <w:name w:val="Lista media 2 - Énfasis 21"/>
    <w:hidden/>
    <w:uiPriority w:val="71"/>
    <w:rsid w:val="006F4B32"/>
    <w:rPr>
      <w:rFonts w:ascii="Times New Roman" w:eastAsia="Times New Roman" w:hAnsi="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2" Type="http://schemas.openxmlformats.org/officeDocument/2006/relationships/image" Target="media/image2.jpeg"/><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FEA7E12-EEBC-4752-B83E-21EE4FBB35B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TotalTime>
  <Pages>1</Pages>
  <Words>22</Words>
  <Characters>122</Characters>
  <Application>Microsoft Office Word</Application>
  <DocSecurity>0</DocSecurity>
  <Lines>1</Lines>
  <Paragraphs>1</Paragraphs>
  <ScaleCrop>false</ScaleCrop>
  <HeadingPairs>
    <vt:vector size="2" baseType="variant">
      <vt:variant>
        <vt:lpstr>Título</vt:lpstr>
      </vt:variant>
      <vt:variant>
        <vt:i4>1</vt:i4>
      </vt:variant>
    </vt:vector>
  </HeadingPairs>
  <TitlesOfParts>
    <vt:vector size="1" baseType="lpstr">
      <vt:lpstr>Plantilla Sinopsis</vt:lpstr>
    </vt:vector>
  </TitlesOfParts>
  <Company>Endesa</Company>
  <LinksUpToDate>false</LinksUpToDate>
  <CharactersWithSpaces>143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Plantilla Sinopsis</dc:title>
  <dc:subject>SNE</dc:subject>
  <dc:creator>Angel Garcia Bueno</dc:creator>
  <cp:lastModifiedBy>Cátedra Rafael Mariño</cp:lastModifiedBy>
  <cp:revision>3</cp:revision>
  <cp:lastPrinted>2019-03-28T15:02:00Z</cp:lastPrinted>
  <dcterms:created xsi:type="dcterms:W3CDTF">2019-05-07T07:58:00Z</dcterms:created>
  <dcterms:modified xsi:type="dcterms:W3CDTF">2019-05-08T09:44:00Z</dcterms:modified>
</cp:coreProperties>
</file>