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3AD" w:rsidRDefault="004A78A7">
      <w:hyperlink r:id="rId4" w:history="1">
        <w:r>
          <w:rPr>
            <w:rStyle w:val="Hipervnculo"/>
          </w:rPr>
          <w:t>https://polipapers.upv.es/index.php/REDU/issue/view/946/showToc</w:t>
        </w:r>
      </w:hyperlink>
      <w:bookmarkStart w:id="0" w:name="_GoBack"/>
      <w:bookmarkEnd w:id="0"/>
    </w:p>
    <w:sectPr w:rsidR="003F23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8A7"/>
    <w:rsid w:val="003F23AD"/>
    <w:rsid w:val="004A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9BD2F2-BDBA-4DB9-ABAD-B8FE744F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A78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lipapers.upv.es/index.php/REDU/issue/view/946/showTo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122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</cp:revision>
  <dcterms:created xsi:type="dcterms:W3CDTF">2020-01-04T18:56:00Z</dcterms:created>
  <dcterms:modified xsi:type="dcterms:W3CDTF">2020-01-04T18:57:00Z</dcterms:modified>
</cp:coreProperties>
</file>