
<file path=[Content_Types].xml><?xml version="1.0" encoding="utf-8"?>
<Types xmlns="http://schemas.openxmlformats.org/package/2006/content-types">
  <Default Extension="bin" ContentType="application/vnd.ms-office.vbaProject"/>
  <Default Extension="rels" ContentType="application/vnd.openxmlformats-package.relationships+xml"/>
  <Default Extension="xml" ContentType="application/xml"/>
  <Override PartName="/word/document.xml" ContentType="application/vnd.ms-word.document.macroEnabled.main+xml"/>
  <Override PartName="/word/customizations.xml" ContentType="application/vnd.ms-word.keyMapCustomizations+xml"/>
  <Override PartName="/word/vbaData.xml" ContentType="application/vnd.ms-word.vbaData+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06/relationships/ui/userCustomization" Target="userCustomization/customUI.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C39F7" w:rsidRDefault="007308E6" w:rsidP="005C39F7">
      <w:pPr>
        <w:autoSpaceDE w:val="0"/>
        <w:autoSpaceDN w:val="0"/>
        <w:adjustRightInd w:val="0"/>
        <w:spacing w:before="0"/>
        <w:ind w:firstLine="0"/>
        <w:jc w:val="center"/>
        <w:rPr>
          <w:b/>
          <w:bCs/>
          <w:color w:val="333333"/>
        </w:rPr>
      </w:pPr>
      <w:r w:rsidRPr="00157A6D">
        <w:rPr>
          <w:b/>
          <w:bCs/>
          <w:color w:val="333333"/>
        </w:rPr>
        <w:t>Fiscalidad de los productos financieros y de ahorro: especial referencia al impacto fiscal de las resoluciones sobre derechos de los consumidores y productos financieros</w:t>
      </w:r>
    </w:p>
    <w:p w:rsidR="007308E6" w:rsidRPr="005C39F7" w:rsidRDefault="007308E6" w:rsidP="005C39F7">
      <w:pPr>
        <w:autoSpaceDE w:val="0"/>
        <w:autoSpaceDN w:val="0"/>
        <w:adjustRightInd w:val="0"/>
        <w:spacing w:before="0"/>
        <w:ind w:firstLine="0"/>
        <w:jc w:val="center"/>
        <w:rPr>
          <w:rFonts w:eastAsia="Calibri" w:cs="Times New Roman"/>
          <w:b/>
          <w:szCs w:val="24"/>
        </w:rPr>
      </w:pPr>
      <w:bookmarkStart w:id="0" w:name="_GoBack"/>
      <w:bookmarkEnd w:id="0"/>
    </w:p>
    <w:p w:rsidR="005C39F7" w:rsidRPr="005C39F7" w:rsidRDefault="005C39F7" w:rsidP="005C39F7">
      <w:pPr>
        <w:spacing w:before="0"/>
        <w:ind w:firstLine="0"/>
        <w:contextualSpacing/>
        <w:mirrorIndents/>
        <w:jc w:val="right"/>
        <w:rPr>
          <w:rFonts w:eastAsia="Calibri" w:cs="Times New Roman"/>
          <w:b/>
          <w:szCs w:val="24"/>
        </w:rPr>
      </w:pPr>
      <w:r w:rsidRPr="005C39F7">
        <w:rPr>
          <w:rFonts w:eastAsia="Calibri" w:cs="Times New Roman"/>
          <w:b/>
          <w:szCs w:val="24"/>
        </w:rPr>
        <w:t>Eva Mª Gil Cruz</w:t>
      </w:r>
    </w:p>
    <w:p w:rsidR="005C39F7" w:rsidRPr="005C39F7" w:rsidRDefault="005C39F7" w:rsidP="005C39F7">
      <w:pPr>
        <w:spacing w:before="0"/>
        <w:ind w:firstLine="0"/>
        <w:jc w:val="right"/>
        <w:rPr>
          <w:rFonts w:eastAsia="Calibri" w:cs="Times New Roman"/>
          <w:szCs w:val="24"/>
        </w:rPr>
      </w:pPr>
      <w:r w:rsidRPr="005C39F7">
        <w:rPr>
          <w:rFonts w:eastAsia="Calibri" w:cs="Times New Roman"/>
          <w:szCs w:val="24"/>
        </w:rPr>
        <w:t>Doctora en Derecho</w:t>
      </w:r>
    </w:p>
    <w:p w:rsidR="005C39F7" w:rsidRPr="005C39F7" w:rsidRDefault="005C39F7" w:rsidP="005C39F7">
      <w:pPr>
        <w:spacing w:before="0"/>
        <w:ind w:firstLine="0"/>
        <w:jc w:val="right"/>
        <w:rPr>
          <w:rFonts w:eastAsia="Calibri" w:cs="Times New Roman"/>
          <w:szCs w:val="24"/>
        </w:rPr>
      </w:pPr>
      <w:r w:rsidRPr="005C39F7">
        <w:rPr>
          <w:rFonts w:eastAsia="Calibri" w:cs="Times New Roman"/>
          <w:szCs w:val="24"/>
        </w:rPr>
        <w:t>Profesora de Derecho financiero y tributario</w:t>
      </w:r>
    </w:p>
    <w:p w:rsidR="005C39F7" w:rsidRPr="005C39F7" w:rsidRDefault="005C39F7" w:rsidP="005C39F7">
      <w:pPr>
        <w:spacing w:before="0"/>
        <w:ind w:firstLine="0"/>
        <w:contextualSpacing/>
        <w:mirrorIndents/>
        <w:jc w:val="right"/>
        <w:rPr>
          <w:rFonts w:eastAsia="Calibri" w:cs="Times New Roman"/>
          <w:b/>
          <w:szCs w:val="24"/>
        </w:rPr>
      </w:pPr>
    </w:p>
    <w:p w:rsidR="005C39F7" w:rsidRPr="005C39F7" w:rsidRDefault="005C39F7" w:rsidP="005C39F7">
      <w:pPr>
        <w:spacing w:before="0"/>
        <w:ind w:firstLine="0"/>
        <w:contextualSpacing/>
        <w:mirrorIndents/>
        <w:rPr>
          <w:rFonts w:eastAsia="Calibri" w:cs="Times New Roman"/>
          <w:b/>
          <w:szCs w:val="24"/>
        </w:rPr>
      </w:pPr>
      <w:r w:rsidRPr="005C39F7">
        <w:rPr>
          <w:rFonts w:eastAsia="Calibri" w:cs="Times New Roman"/>
          <w:b/>
          <w:szCs w:val="24"/>
        </w:rPr>
        <w:t>SUMARIO</w:t>
      </w:r>
    </w:p>
    <w:p w:rsidR="005C39F7" w:rsidRPr="005C39F7" w:rsidRDefault="005C39F7" w:rsidP="005C39F7">
      <w:pPr>
        <w:spacing w:before="0"/>
        <w:ind w:firstLine="0"/>
        <w:contextualSpacing/>
        <w:mirrorIndents/>
        <w:rPr>
          <w:rFonts w:eastAsia="Calibri" w:cs="Times New Roman"/>
          <w:b/>
          <w:szCs w:val="24"/>
        </w:rPr>
      </w:pPr>
    </w:p>
    <w:p w:rsidR="005C39F7" w:rsidRPr="005C39F7" w:rsidRDefault="005C39F7" w:rsidP="005C39F7">
      <w:pPr>
        <w:spacing w:before="0"/>
        <w:ind w:firstLine="0"/>
        <w:mirrorIndents/>
        <w:rPr>
          <w:rFonts w:eastAsia="Calibri" w:cs="Times New Roman"/>
          <w:szCs w:val="24"/>
        </w:rPr>
      </w:pPr>
      <w:r w:rsidRPr="005C39F7">
        <w:rPr>
          <w:rFonts w:eastAsia="Calibri" w:cs="Times New Roman"/>
          <w:szCs w:val="24"/>
        </w:rPr>
        <w:t>I.-Protección al cliente de servicios bancarios</w:t>
      </w:r>
    </w:p>
    <w:p w:rsidR="005C39F7" w:rsidRPr="005C39F7" w:rsidRDefault="005C39F7" w:rsidP="005C39F7">
      <w:pPr>
        <w:spacing w:before="0"/>
        <w:ind w:firstLine="0"/>
        <w:contextualSpacing/>
        <w:mirrorIndents/>
        <w:rPr>
          <w:rFonts w:eastAsia="Calibri" w:cs="Times New Roman"/>
          <w:szCs w:val="24"/>
        </w:rPr>
      </w:pPr>
    </w:p>
    <w:p w:rsidR="005C39F7" w:rsidRPr="005C39F7" w:rsidRDefault="005C39F7" w:rsidP="005C39F7">
      <w:pPr>
        <w:spacing w:before="0"/>
        <w:ind w:firstLine="0"/>
        <w:contextualSpacing/>
        <w:mirrorIndents/>
        <w:rPr>
          <w:rFonts w:eastAsia="Calibri" w:cs="Times New Roman"/>
          <w:szCs w:val="24"/>
        </w:rPr>
      </w:pPr>
      <w:r w:rsidRPr="005C39F7">
        <w:rPr>
          <w:rFonts w:eastAsia="Calibri" w:cs="Times New Roman"/>
          <w:szCs w:val="24"/>
        </w:rPr>
        <w:t>II.- Transparencia y control de la publicidad en el ámbito del mercado de productos y servicios bancarios</w:t>
      </w:r>
    </w:p>
    <w:p w:rsidR="005C39F7" w:rsidRPr="005C39F7" w:rsidRDefault="005C39F7" w:rsidP="005C39F7">
      <w:pPr>
        <w:spacing w:before="0"/>
        <w:ind w:firstLine="0"/>
        <w:contextualSpacing/>
        <w:mirrorIndents/>
        <w:rPr>
          <w:rFonts w:eastAsia="Calibri" w:cs="Times New Roman"/>
          <w:szCs w:val="24"/>
        </w:rPr>
      </w:pPr>
    </w:p>
    <w:p w:rsidR="005C39F7" w:rsidRPr="005C39F7" w:rsidRDefault="005C39F7" w:rsidP="005C39F7">
      <w:pPr>
        <w:spacing w:before="0"/>
        <w:ind w:firstLine="0"/>
        <w:contextualSpacing/>
        <w:mirrorIndents/>
        <w:rPr>
          <w:rFonts w:eastAsia="Calibri" w:cs="Times New Roman"/>
          <w:szCs w:val="24"/>
        </w:rPr>
      </w:pPr>
      <w:r w:rsidRPr="005C39F7">
        <w:rPr>
          <w:rFonts w:eastAsia="Calibri" w:cs="Times New Roman"/>
          <w:szCs w:val="24"/>
        </w:rPr>
        <w:t>III.- Información y clasificación de los productos financieros</w:t>
      </w:r>
    </w:p>
    <w:p w:rsidR="005C39F7" w:rsidRPr="005C39F7" w:rsidRDefault="005C39F7" w:rsidP="005C39F7">
      <w:pPr>
        <w:spacing w:before="0"/>
        <w:ind w:firstLine="0"/>
        <w:contextualSpacing/>
        <w:mirrorIndents/>
        <w:rPr>
          <w:rFonts w:eastAsia="Calibri" w:cs="Times New Roman"/>
          <w:szCs w:val="24"/>
        </w:rPr>
      </w:pPr>
    </w:p>
    <w:p w:rsidR="005C39F7" w:rsidRPr="005C39F7" w:rsidRDefault="005C39F7" w:rsidP="005C39F7">
      <w:pPr>
        <w:spacing w:before="0"/>
        <w:ind w:firstLine="0"/>
        <w:contextualSpacing/>
        <w:mirrorIndents/>
        <w:rPr>
          <w:rFonts w:eastAsia="Calibri" w:cs="Times New Roman"/>
          <w:szCs w:val="24"/>
        </w:rPr>
      </w:pPr>
      <w:r w:rsidRPr="005C39F7">
        <w:rPr>
          <w:rFonts w:eastAsia="Calibri" w:cs="Times New Roman"/>
          <w:szCs w:val="24"/>
        </w:rPr>
        <w:t>IV.- Fiscalidad de los productos financieros</w:t>
      </w:r>
    </w:p>
    <w:p w:rsidR="005C39F7" w:rsidRPr="005C39F7" w:rsidRDefault="005C39F7" w:rsidP="005C39F7">
      <w:pPr>
        <w:spacing w:before="0"/>
        <w:ind w:firstLine="0"/>
        <w:contextualSpacing/>
        <w:mirrorIndents/>
        <w:rPr>
          <w:rFonts w:eastAsia="Calibri" w:cs="Times New Roman"/>
          <w:szCs w:val="24"/>
        </w:rPr>
      </w:pPr>
      <w:r w:rsidRPr="005C39F7">
        <w:rPr>
          <w:rFonts w:eastAsia="Calibri" w:cs="Times New Roman"/>
          <w:szCs w:val="24"/>
        </w:rPr>
        <w:tab/>
      </w:r>
    </w:p>
    <w:p w:rsidR="005C39F7" w:rsidRPr="005C39F7" w:rsidRDefault="005C39F7" w:rsidP="005C39F7">
      <w:pPr>
        <w:spacing w:before="0"/>
        <w:ind w:firstLine="708"/>
        <w:contextualSpacing/>
        <w:mirrorIndents/>
        <w:rPr>
          <w:rFonts w:eastAsia="Calibri" w:cs="Times New Roman"/>
          <w:szCs w:val="24"/>
        </w:rPr>
      </w:pPr>
      <w:r w:rsidRPr="005C39F7">
        <w:rPr>
          <w:rFonts w:eastAsia="Calibri" w:cs="Times New Roman"/>
          <w:szCs w:val="24"/>
        </w:rPr>
        <w:t>IV.1.-Planificación fiscal</w:t>
      </w:r>
    </w:p>
    <w:p w:rsidR="005C39F7" w:rsidRPr="005C39F7" w:rsidRDefault="005C39F7" w:rsidP="005C39F7">
      <w:pPr>
        <w:spacing w:before="0"/>
        <w:ind w:firstLine="708"/>
        <w:contextualSpacing/>
        <w:mirrorIndents/>
        <w:rPr>
          <w:rFonts w:eastAsia="Calibri" w:cs="Times New Roman"/>
          <w:szCs w:val="24"/>
        </w:rPr>
      </w:pPr>
    </w:p>
    <w:p w:rsidR="005C39F7" w:rsidRPr="005C39F7" w:rsidRDefault="005C39F7" w:rsidP="005C39F7">
      <w:pPr>
        <w:spacing w:before="0"/>
        <w:ind w:firstLine="708"/>
        <w:contextualSpacing/>
        <w:mirrorIndents/>
        <w:rPr>
          <w:rFonts w:eastAsia="Calibri" w:cs="Times New Roman"/>
          <w:szCs w:val="24"/>
        </w:rPr>
      </w:pPr>
      <w:r w:rsidRPr="005C39F7">
        <w:rPr>
          <w:rFonts w:eastAsia="Calibri" w:cs="Times New Roman"/>
          <w:szCs w:val="24"/>
        </w:rPr>
        <w:t>IV.2.- Régimen fiscal de los principales productos financieros</w:t>
      </w:r>
    </w:p>
    <w:p w:rsidR="005C39F7" w:rsidRPr="005C39F7" w:rsidRDefault="005C39F7" w:rsidP="005C39F7">
      <w:pPr>
        <w:spacing w:before="0"/>
        <w:ind w:firstLine="708"/>
        <w:contextualSpacing/>
        <w:mirrorIndents/>
        <w:rPr>
          <w:rFonts w:eastAsia="Calibri" w:cs="Times New Roman"/>
          <w:szCs w:val="24"/>
        </w:rPr>
      </w:pPr>
      <w:r w:rsidRPr="005C39F7">
        <w:rPr>
          <w:rFonts w:eastAsia="Calibri" w:cs="Times New Roman"/>
          <w:szCs w:val="24"/>
        </w:rPr>
        <w:tab/>
        <w:t>IV.2.1.-Renta variable</w:t>
      </w:r>
    </w:p>
    <w:p w:rsidR="005C39F7" w:rsidRPr="005C39F7" w:rsidRDefault="005C39F7" w:rsidP="005C39F7">
      <w:pPr>
        <w:spacing w:before="0"/>
        <w:ind w:firstLine="708"/>
        <w:contextualSpacing/>
        <w:mirrorIndents/>
        <w:rPr>
          <w:rFonts w:eastAsia="Calibri" w:cs="Times New Roman"/>
          <w:szCs w:val="24"/>
        </w:rPr>
      </w:pPr>
      <w:r w:rsidRPr="005C39F7">
        <w:rPr>
          <w:rFonts w:eastAsia="Calibri" w:cs="Times New Roman"/>
          <w:szCs w:val="24"/>
        </w:rPr>
        <w:tab/>
        <w:t>IV.2.2.-Renta fija</w:t>
      </w:r>
    </w:p>
    <w:p w:rsidR="005C39F7" w:rsidRPr="005C39F7" w:rsidRDefault="005C39F7" w:rsidP="005C39F7">
      <w:pPr>
        <w:spacing w:before="0"/>
        <w:ind w:left="2127" w:hanging="711"/>
        <w:contextualSpacing/>
        <w:mirrorIndents/>
        <w:rPr>
          <w:rFonts w:eastAsia="Calibri" w:cs="Times New Roman"/>
          <w:szCs w:val="24"/>
        </w:rPr>
      </w:pPr>
      <w:r w:rsidRPr="005C39F7">
        <w:rPr>
          <w:rFonts w:eastAsia="Calibri" w:cs="Times New Roman"/>
          <w:szCs w:val="24"/>
        </w:rPr>
        <w:t>IV.2.3.- Préstamo hipotecarios: especial atención a las cláusulas suelo</w:t>
      </w:r>
    </w:p>
    <w:p w:rsidR="005C39F7" w:rsidRPr="005C39F7" w:rsidRDefault="005C39F7" w:rsidP="005C39F7">
      <w:pPr>
        <w:spacing w:before="0"/>
        <w:ind w:firstLine="0"/>
        <w:contextualSpacing/>
        <w:mirrorIndents/>
        <w:rPr>
          <w:rFonts w:eastAsia="Calibri" w:cs="Times New Roman"/>
          <w:szCs w:val="24"/>
        </w:rPr>
      </w:pPr>
    </w:p>
    <w:p w:rsidR="005C39F7" w:rsidRPr="005C39F7" w:rsidRDefault="005C39F7" w:rsidP="005C39F7">
      <w:pPr>
        <w:spacing w:before="0"/>
        <w:ind w:firstLine="0"/>
        <w:contextualSpacing/>
        <w:mirrorIndents/>
        <w:rPr>
          <w:rFonts w:eastAsia="Calibri" w:cs="Times New Roman"/>
          <w:szCs w:val="24"/>
        </w:rPr>
      </w:pPr>
      <w:r w:rsidRPr="005C39F7">
        <w:rPr>
          <w:rFonts w:eastAsia="Calibri" w:cs="Times New Roman"/>
          <w:szCs w:val="24"/>
        </w:rPr>
        <w:t>V.- Reflexiones finales</w:t>
      </w:r>
    </w:p>
    <w:p w:rsidR="005C39F7" w:rsidRPr="005C39F7" w:rsidRDefault="005C39F7" w:rsidP="005C39F7">
      <w:pPr>
        <w:spacing w:before="0"/>
        <w:ind w:firstLine="708"/>
        <w:contextualSpacing/>
        <w:mirrorIndents/>
        <w:rPr>
          <w:rFonts w:eastAsia="Calibri" w:cs="Times New Roman"/>
          <w:b/>
          <w:szCs w:val="24"/>
        </w:rPr>
      </w:pPr>
      <w:r w:rsidRPr="005C39F7">
        <w:rPr>
          <w:rFonts w:eastAsia="Calibri" w:cs="Times New Roman"/>
          <w:b/>
          <w:szCs w:val="24"/>
        </w:rPr>
        <w:tab/>
      </w:r>
    </w:p>
    <w:p w:rsidR="005C39F7" w:rsidRPr="005C39F7" w:rsidRDefault="005C39F7" w:rsidP="005C39F7">
      <w:pPr>
        <w:spacing w:before="0"/>
        <w:ind w:firstLine="0"/>
        <w:contextualSpacing/>
        <w:mirrorIndents/>
        <w:rPr>
          <w:rFonts w:eastAsia="Calibri" w:cs="Times New Roman"/>
          <w:b/>
          <w:szCs w:val="24"/>
        </w:rPr>
      </w:pPr>
      <w:r w:rsidRPr="005C39F7">
        <w:rPr>
          <w:rFonts w:eastAsia="Calibri" w:cs="Times New Roman"/>
          <w:b/>
          <w:szCs w:val="24"/>
        </w:rPr>
        <w:t xml:space="preserve">RESUMEN: </w:t>
      </w:r>
      <w:r w:rsidRPr="005C39F7">
        <w:rPr>
          <w:rFonts w:eastAsia="Calibri" w:cs="Times New Roman"/>
          <w:szCs w:val="24"/>
          <w:shd w:val="clear" w:color="auto" w:fill="FFFFFF"/>
        </w:rPr>
        <w:t xml:space="preserve">En España se han dado pasos tendentes a procurar una mayor protección al cliente financiero por parte de los poderes públicos. El primero de ellos afianzado en la necesidad de transparencia y claridad en la información que las entidades financieras suministran a la hora de contratar con sus clientes. Y de otro, la necesidad de clasificar los diferentes productos financieros en función del riesgo y la complejidad de </w:t>
      </w:r>
      <w:proofErr w:type="gramStart"/>
      <w:r w:rsidRPr="005C39F7">
        <w:rPr>
          <w:rFonts w:eastAsia="Calibri" w:cs="Times New Roman"/>
          <w:szCs w:val="24"/>
          <w:shd w:val="clear" w:color="auto" w:fill="FFFFFF"/>
        </w:rPr>
        <w:t>los mismos</w:t>
      </w:r>
      <w:proofErr w:type="gramEnd"/>
      <w:r w:rsidRPr="005C39F7">
        <w:rPr>
          <w:rFonts w:eastAsia="Calibri" w:cs="Times New Roman"/>
          <w:szCs w:val="24"/>
          <w:shd w:val="clear" w:color="auto" w:fill="FFFFFF"/>
        </w:rPr>
        <w:t xml:space="preserve">. Ello ayudará al cliente bancario a poder invertir con mayor seguridad y fiabilidad así como </w:t>
      </w:r>
      <w:proofErr w:type="gramStart"/>
      <w:r w:rsidRPr="005C39F7">
        <w:rPr>
          <w:rFonts w:eastAsia="Calibri" w:cs="Times New Roman"/>
          <w:szCs w:val="24"/>
          <w:shd w:val="clear" w:color="auto" w:fill="FFFFFF"/>
        </w:rPr>
        <w:t>a  poder</w:t>
      </w:r>
      <w:proofErr w:type="gramEnd"/>
      <w:r w:rsidRPr="005C39F7">
        <w:rPr>
          <w:rFonts w:eastAsia="Calibri" w:cs="Times New Roman"/>
          <w:szCs w:val="24"/>
          <w:shd w:val="clear" w:color="auto" w:fill="FFFFFF"/>
        </w:rPr>
        <w:t xml:space="preserve"> planificar mejor la carga fiscal que está dispuesto a soportar</w:t>
      </w:r>
    </w:p>
    <w:p w:rsidR="005C39F7" w:rsidRPr="005C39F7" w:rsidRDefault="005C39F7" w:rsidP="005C39F7">
      <w:pPr>
        <w:spacing w:before="0"/>
        <w:ind w:firstLine="0"/>
        <w:contextualSpacing/>
        <w:mirrorIndents/>
        <w:rPr>
          <w:rFonts w:eastAsia="Calibri" w:cs="Times New Roman"/>
          <w:b/>
          <w:szCs w:val="24"/>
        </w:rPr>
      </w:pPr>
    </w:p>
    <w:p w:rsidR="005C39F7" w:rsidRPr="005C39F7" w:rsidRDefault="005C39F7" w:rsidP="005C39F7">
      <w:pPr>
        <w:spacing w:before="0"/>
        <w:ind w:firstLine="0"/>
        <w:contextualSpacing/>
        <w:mirrorIndents/>
        <w:rPr>
          <w:rFonts w:eastAsia="Calibri" w:cs="Times New Roman"/>
          <w:szCs w:val="24"/>
        </w:rPr>
      </w:pPr>
      <w:r w:rsidRPr="005C39F7">
        <w:rPr>
          <w:rFonts w:eastAsia="Calibri" w:cs="Times New Roman"/>
          <w:b/>
          <w:szCs w:val="24"/>
        </w:rPr>
        <w:t>PALABRAS CLAVE:</w:t>
      </w:r>
      <w:r w:rsidRPr="005C39F7">
        <w:rPr>
          <w:rFonts w:eastAsia="Calibri" w:cs="Times New Roman"/>
          <w:szCs w:val="24"/>
        </w:rPr>
        <w:t xml:space="preserve"> productos financieros, ahorro, diferimiento del impuesto </w:t>
      </w:r>
    </w:p>
    <w:p w:rsidR="005C39F7" w:rsidRPr="005C39F7" w:rsidRDefault="005C39F7" w:rsidP="005C39F7">
      <w:pPr>
        <w:spacing w:before="0"/>
        <w:ind w:firstLine="0"/>
        <w:contextualSpacing/>
        <w:mirrorIndents/>
        <w:rPr>
          <w:rFonts w:eastAsia="Calibri" w:cs="Times New Roman"/>
          <w:b/>
          <w:szCs w:val="24"/>
        </w:rPr>
      </w:pPr>
    </w:p>
    <w:p w:rsidR="005C39F7" w:rsidRPr="005C39F7" w:rsidRDefault="005C39F7" w:rsidP="005C39F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ind w:firstLine="0"/>
        <w:rPr>
          <w:rFonts w:eastAsia="Times New Roman" w:cs="Times New Roman"/>
          <w:szCs w:val="24"/>
          <w:lang w:val="en-US" w:eastAsia="es-ES"/>
        </w:rPr>
      </w:pPr>
      <w:r w:rsidRPr="005C39F7">
        <w:rPr>
          <w:rFonts w:eastAsia="Times New Roman" w:cs="Times New Roman"/>
          <w:b/>
          <w:szCs w:val="24"/>
          <w:lang w:val="en-US" w:eastAsia="es-ES"/>
        </w:rPr>
        <w:t>ABSTRACT:</w:t>
      </w:r>
      <w:r w:rsidRPr="005C39F7">
        <w:rPr>
          <w:rFonts w:eastAsia="Times New Roman" w:cs="Times New Roman"/>
          <w:szCs w:val="24"/>
          <w:lang w:val="en-US" w:eastAsia="es-ES"/>
        </w:rPr>
        <w:t xml:space="preserve"> In Spain, that steps have been taken to ensure greater protection </w:t>
      </w:r>
      <w:r w:rsidRPr="005C39F7">
        <w:rPr>
          <w:rFonts w:eastAsia="Times New Roman" w:cs="Times New Roman"/>
          <w:szCs w:val="24"/>
          <w:shd w:val="clear" w:color="auto" w:fill="FFFFFF"/>
          <w:lang w:val="en-US" w:eastAsia="es-ES"/>
        </w:rPr>
        <w:t xml:space="preserve">to the financial customer </w:t>
      </w:r>
      <w:r w:rsidRPr="005C39F7">
        <w:rPr>
          <w:rFonts w:eastAsia="Times New Roman" w:cs="Times New Roman"/>
          <w:szCs w:val="24"/>
          <w:lang w:val="en-US" w:eastAsia="es-ES"/>
        </w:rPr>
        <w:t>by the public authorities. The first one of them is based on the need for transparency and clarity in the information that financial institutions provide when it comes to contracting with their clients. And on the other one, the need to classify the different financial products according to the risk and the complexity of the same ones. This will help the banking client to be able to invest with greater security and reliability as well as to be able to better plan the tax burden he is willing to support</w:t>
      </w:r>
    </w:p>
    <w:p w:rsidR="005C39F7" w:rsidRPr="005C39F7" w:rsidRDefault="005C39F7" w:rsidP="005C39F7">
      <w:pPr>
        <w:spacing w:before="0"/>
        <w:ind w:firstLine="0"/>
        <w:contextualSpacing/>
        <w:mirrorIndents/>
        <w:rPr>
          <w:rFonts w:eastAsia="Calibri" w:cs="Times New Roman"/>
          <w:b/>
          <w:color w:val="FF0000"/>
          <w:szCs w:val="24"/>
          <w:lang w:val="en-US"/>
        </w:rPr>
      </w:pPr>
    </w:p>
    <w:p w:rsidR="005C39F7" w:rsidRPr="005C39F7" w:rsidRDefault="005C39F7" w:rsidP="005C39F7">
      <w:pPr>
        <w:spacing w:before="0"/>
        <w:ind w:firstLine="0"/>
        <w:contextualSpacing/>
        <w:mirrorIndents/>
        <w:rPr>
          <w:rFonts w:eastAsia="Calibri" w:cs="Times New Roman"/>
          <w:b/>
          <w:szCs w:val="24"/>
          <w:lang w:val="en-US"/>
        </w:rPr>
      </w:pPr>
    </w:p>
    <w:p w:rsidR="005C39F7" w:rsidRPr="005C39F7" w:rsidRDefault="005C39F7" w:rsidP="005C39F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ind w:firstLine="0"/>
        <w:rPr>
          <w:rFonts w:eastAsia="Times New Roman" w:cs="Times New Roman"/>
          <w:szCs w:val="24"/>
          <w:lang w:val="en-US" w:eastAsia="es-ES"/>
        </w:rPr>
      </w:pPr>
      <w:r w:rsidRPr="005C39F7">
        <w:rPr>
          <w:rFonts w:eastAsia="Times New Roman" w:cs="Times New Roman"/>
          <w:b/>
          <w:szCs w:val="24"/>
          <w:lang w:val="en-US" w:eastAsia="es-ES"/>
        </w:rPr>
        <w:lastRenderedPageBreak/>
        <w:t xml:space="preserve">KEY WORDS:  </w:t>
      </w:r>
      <w:r w:rsidRPr="005C39F7">
        <w:rPr>
          <w:rFonts w:eastAsia="Times New Roman" w:cs="Times New Roman"/>
          <w:szCs w:val="24"/>
          <w:shd w:val="clear" w:color="auto" w:fill="FFFFFF"/>
          <w:lang w:val="en-US" w:eastAsia="es-ES"/>
        </w:rPr>
        <w:t xml:space="preserve">financial products, saving, </w:t>
      </w:r>
      <w:r w:rsidRPr="005C39F7">
        <w:rPr>
          <w:rFonts w:eastAsia="Times New Roman" w:cs="Times New Roman"/>
          <w:szCs w:val="24"/>
          <w:lang w:val="en-US" w:eastAsia="es-ES"/>
        </w:rPr>
        <w:t>delay payment of tax</w:t>
      </w:r>
    </w:p>
    <w:p w:rsidR="005C39F7" w:rsidRPr="005C39F7" w:rsidRDefault="005C39F7" w:rsidP="005C39F7">
      <w:pPr>
        <w:spacing w:before="0"/>
        <w:ind w:firstLine="0"/>
        <w:contextualSpacing/>
        <w:mirrorIndents/>
        <w:rPr>
          <w:rFonts w:eastAsia="Calibri" w:cs="Times New Roman"/>
          <w:b/>
          <w:szCs w:val="24"/>
          <w:lang w:val="en-US"/>
        </w:rPr>
      </w:pPr>
    </w:p>
    <w:p w:rsidR="005C39F7" w:rsidRPr="005C39F7" w:rsidRDefault="005C39F7" w:rsidP="005C39F7">
      <w:pPr>
        <w:spacing w:before="0"/>
        <w:ind w:firstLine="0"/>
        <w:contextualSpacing/>
        <w:mirrorIndents/>
        <w:rPr>
          <w:rFonts w:eastAsia="Calibri" w:cs="Times New Roman"/>
          <w:b/>
          <w:szCs w:val="24"/>
          <w:lang w:val="en-US"/>
        </w:rPr>
      </w:pPr>
    </w:p>
    <w:p w:rsidR="005C39F7" w:rsidRPr="005C39F7" w:rsidRDefault="005C39F7" w:rsidP="005C39F7">
      <w:pPr>
        <w:spacing w:before="0"/>
        <w:ind w:firstLine="0"/>
        <w:contextualSpacing/>
        <w:mirrorIndents/>
        <w:rPr>
          <w:rFonts w:eastAsia="Calibri" w:cs="Times New Roman"/>
          <w:b/>
          <w:szCs w:val="24"/>
          <w:lang w:val="en-US"/>
        </w:rPr>
      </w:pPr>
    </w:p>
    <w:p w:rsidR="005C39F7" w:rsidRPr="005C39F7" w:rsidRDefault="005C39F7" w:rsidP="005C39F7">
      <w:pPr>
        <w:spacing w:before="0"/>
        <w:ind w:firstLine="0"/>
        <w:contextualSpacing/>
        <w:mirrorIndents/>
        <w:rPr>
          <w:rFonts w:eastAsia="Calibri" w:cs="Times New Roman"/>
          <w:b/>
          <w:szCs w:val="24"/>
          <w:lang w:val="en-US"/>
        </w:rPr>
      </w:pPr>
    </w:p>
    <w:p w:rsidR="005C39F7" w:rsidRPr="005C39F7" w:rsidRDefault="005C39F7" w:rsidP="005C39F7">
      <w:pPr>
        <w:spacing w:before="0"/>
        <w:ind w:firstLine="0"/>
        <w:contextualSpacing/>
        <w:mirrorIndents/>
        <w:rPr>
          <w:rFonts w:eastAsia="Calibri" w:cs="Times New Roman"/>
          <w:b/>
          <w:szCs w:val="24"/>
        </w:rPr>
      </w:pPr>
      <w:r w:rsidRPr="005C39F7">
        <w:rPr>
          <w:rFonts w:eastAsia="Calibri" w:cs="Times New Roman"/>
          <w:b/>
          <w:szCs w:val="24"/>
        </w:rPr>
        <w:t>I.-Protección al cliente de servicios bancarios</w:t>
      </w:r>
    </w:p>
    <w:p w:rsidR="005C39F7" w:rsidRPr="005C39F7" w:rsidRDefault="005C39F7" w:rsidP="005C39F7">
      <w:pPr>
        <w:spacing w:before="0"/>
        <w:ind w:firstLine="0"/>
        <w:contextualSpacing/>
        <w:mirrorIndents/>
        <w:rPr>
          <w:rFonts w:eastAsia="Calibri" w:cs="Times New Roman"/>
          <w:szCs w:val="24"/>
        </w:rPr>
      </w:pPr>
    </w:p>
    <w:p w:rsidR="005C39F7" w:rsidRPr="005C39F7" w:rsidRDefault="005C39F7" w:rsidP="005C39F7">
      <w:pPr>
        <w:spacing w:before="0"/>
        <w:ind w:firstLine="0"/>
        <w:contextualSpacing/>
        <w:mirrorIndents/>
        <w:rPr>
          <w:rFonts w:eastAsia="Calibri" w:cs="Times New Roman"/>
          <w:szCs w:val="24"/>
        </w:rPr>
      </w:pPr>
      <w:r w:rsidRPr="005C39F7">
        <w:rPr>
          <w:rFonts w:eastAsia="Calibri" w:cs="Times New Roman"/>
          <w:szCs w:val="24"/>
        </w:rPr>
        <w:t>Las funciones del Banco de España en la protección a los clientes de servicios bancarios y financieros derivan del artículo 48.2 de la Ley 26/1988, de 29 de julio, sobre Disciplina e Intervención de Entidades de Crédito y de la Orden EHA 2899/2011, de 28 de octubre</w:t>
      </w:r>
    </w:p>
    <w:p w:rsidR="005C39F7" w:rsidRPr="005C39F7" w:rsidRDefault="005C39F7" w:rsidP="005C39F7">
      <w:pPr>
        <w:spacing w:before="0"/>
        <w:ind w:firstLine="0"/>
        <w:contextualSpacing/>
        <w:mirrorIndents/>
        <w:rPr>
          <w:rFonts w:eastAsia="Calibri" w:cs="Times New Roman"/>
          <w:szCs w:val="24"/>
        </w:rPr>
      </w:pPr>
    </w:p>
    <w:p w:rsidR="005C39F7" w:rsidRPr="005C39F7" w:rsidRDefault="005C39F7" w:rsidP="005C39F7">
      <w:pPr>
        <w:spacing w:before="0"/>
        <w:ind w:firstLine="0"/>
        <w:contextualSpacing/>
        <w:mirrorIndents/>
        <w:rPr>
          <w:rFonts w:eastAsia="Calibri" w:cs="Times New Roman"/>
          <w:szCs w:val="24"/>
        </w:rPr>
      </w:pPr>
      <w:r w:rsidRPr="005C39F7">
        <w:rPr>
          <w:rFonts w:eastAsia="Calibri" w:cs="Times New Roman"/>
          <w:szCs w:val="24"/>
        </w:rPr>
        <w:t>En función de esta normativa, la cual declara el principio general de libertad de contratación que preside las relaciones entre las entidades de crédito y su clientela, se atribuyen al Banco de España ciertas funciones, entre las que destacan las siguientes</w:t>
      </w:r>
      <w:r w:rsidRPr="005C39F7">
        <w:rPr>
          <w:rFonts w:eastAsia="Calibri" w:cs="Times New Roman"/>
          <w:szCs w:val="24"/>
          <w:vertAlign w:val="superscript"/>
        </w:rPr>
        <w:footnoteReference w:id="1"/>
      </w:r>
      <w:r w:rsidRPr="005C39F7">
        <w:rPr>
          <w:rFonts w:eastAsia="Calibri" w:cs="Times New Roman"/>
          <w:szCs w:val="24"/>
        </w:rPr>
        <w:t>:</w:t>
      </w:r>
    </w:p>
    <w:p w:rsidR="005C39F7" w:rsidRPr="005C39F7" w:rsidRDefault="005C39F7" w:rsidP="005C39F7">
      <w:pPr>
        <w:spacing w:before="0"/>
        <w:ind w:firstLine="0"/>
        <w:contextualSpacing/>
        <w:mirrorIndents/>
        <w:rPr>
          <w:rFonts w:eastAsia="Calibri" w:cs="Times New Roman"/>
          <w:szCs w:val="24"/>
        </w:rPr>
      </w:pPr>
    </w:p>
    <w:p w:rsidR="005C39F7" w:rsidRPr="005C39F7" w:rsidRDefault="005C39F7" w:rsidP="005C39F7">
      <w:pPr>
        <w:numPr>
          <w:ilvl w:val="0"/>
          <w:numId w:val="32"/>
        </w:numPr>
        <w:spacing w:before="0" w:after="200"/>
        <w:contextualSpacing/>
        <w:mirrorIndents/>
        <w:jc w:val="left"/>
        <w:rPr>
          <w:rFonts w:eastAsia="Calibri" w:cs="Times New Roman"/>
          <w:szCs w:val="24"/>
        </w:rPr>
      </w:pPr>
      <w:r w:rsidRPr="005C39F7">
        <w:rPr>
          <w:rFonts w:eastAsia="Calibri" w:cs="Times New Roman"/>
          <w:szCs w:val="24"/>
        </w:rPr>
        <w:t>La recepción de las declaraciones de determinadas entidades de crédito sobre tipos de interés y comisiones de operaciones activas, concretamente descubiertos tácitos en cuentas de depósito y excedidos tácitos en las de crédito.</w:t>
      </w:r>
    </w:p>
    <w:p w:rsidR="005C39F7" w:rsidRPr="005C39F7" w:rsidRDefault="005C39F7" w:rsidP="005C39F7">
      <w:pPr>
        <w:spacing w:before="0"/>
        <w:ind w:left="720" w:firstLine="0"/>
        <w:contextualSpacing/>
        <w:mirrorIndents/>
        <w:rPr>
          <w:rFonts w:eastAsia="Calibri" w:cs="Times New Roman"/>
          <w:szCs w:val="24"/>
        </w:rPr>
      </w:pPr>
    </w:p>
    <w:p w:rsidR="005C39F7" w:rsidRPr="005C39F7" w:rsidRDefault="005C39F7" w:rsidP="005C39F7">
      <w:pPr>
        <w:numPr>
          <w:ilvl w:val="0"/>
          <w:numId w:val="32"/>
        </w:numPr>
        <w:spacing w:before="0" w:after="200"/>
        <w:contextualSpacing/>
        <w:mirrorIndents/>
        <w:jc w:val="left"/>
        <w:rPr>
          <w:rFonts w:eastAsia="Calibri" w:cs="Times New Roman"/>
          <w:szCs w:val="24"/>
        </w:rPr>
      </w:pPr>
      <w:r w:rsidRPr="005C39F7">
        <w:rPr>
          <w:rFonts w:eastAsia="Calibri" w:cs="Times New Roman"/>
          <w:szCs w:val="24"/>
        </w:rPr>
        <w:t>La publicación de los tipos de interés de referencia oficiales aplicables en operaciones de préstamo hipotecario y de crédito al consumo a interés variable, así como de otros tipos no oficiales.</w:t>
      </w:r>
    </w:p>
    <w:p w:rsidR="005C39F7" w:rsidRPr="005C39F7" w:rsidRDefault="005C39F7" w:rsidP="005C39F7">
      <w:pPr>
        <w:spacing w:before="0"/>
        <w:ind w:left="720" w:firstLine="0"/>
        <w:contextualSpacing/>
        <w:mirrorIndents/>
        <w:rPr>
          <w:rFonts w:eastAsia="Calibri" w:cs="Times New Roman"/>
          <w:szCs w:val="24"/>
        </w:rPr>
      </w:pPr>
    </w:p>
    <w:p w:rsidR="005C39F7" w:rsidRPr="005C39F7" w:rsidRDefault="005C39F7" w:rsidP="005C39F7">
      <w:pPr>
        <w:numPr>
          <w:ilvl w:val="0"/>
          <w:numId w:val="32"/>
        </w:numPr>
        <w:spacing w:before="0" w:after="200"/>
        <w:contextualSpacing/>
        <w:mirrorIndents/>
        <w:jc w:val="left"/>
        <w:rPr>
          <w:rFonts w:eastAsia="Calibri" w:cs="Times New Roman"/>
          <w:szCs w:val="24"/>
        </w:rPr>
      </w:pPr>
      <w:r w:rsidRPr="005C39F7">
        <w:rPr>
          <w:rFonts w:eastAsia="Calibri" w:cs="Times New Roman"/>
          <w:szCs w:val="24"/>
        </w:rPr>
        <w:t>La determinación de las técnicas para el cálculo del coste o rendimiento efectivo de las operaciones (conocido como "T.A.E." o tasa anual equivalente).</w:t>
      </w:r>
    </w:p>
    <w:p w:rsidR="005C39F7" w:rsidRPr="005C39F7" w:rsidRDefault="005C39F7" w:rsidP="005C39F7">
      <w:pPr>
        <w:spacing w:before="0"/>
        <w:ind w:firstLine="0"/>
        <w:contextualSpacing/>
        <w:mirrorIndents/>
        <w:rPr>
          <w:rFonts w:eastAsia="Calibri" w:cs="Times New Roman"/>
          <w:szCs w:val="24"/>
        </w:rPr>
      </w:pPr>
    </w:p>
    <w:p w:rsidR="005C39F7" w:rsidRPr="005C39F7" w:rsidRDefault="005C39F7" w:rsidP="005C39F7">
      <w:pPr>
        <w:spacing w:before="0"/>
        <w:ind w:firstLine="0"/>
        <w:contextualSpacing/>
        <w:mirrorIndents/>
        <w:rPr>
          <w:rFonts w:eastAsia="Calibri" w:cs="Times New Roman"/>
          <w:szCs w:val="24"/>
        </w:rPr>
      </w:pPr>
      <w:r w:rsidRPr="005C39F7">
        <w:rPr>
          <w:rFonts w:eastAsia="Calibri" w:cs="Times New Roman"/>
          <w:szCs w:val="24"/>
        </w:rPr>
        <w:t>En las competencias de supervisión y control sobre las entidades de crédito junto con el Banco de España también pueden intervenir otras autoridades.</w:t>
      </w:r>
    </w:p>
    <w:p w:rsidR="005C39F7" w:rsidRPr="005C39F7" w:rsidRDefault="005C39F7" w:rsidP="005C39F7">
      <w:pPr>
        <w:spacing w:before="0"/>
        <w:ind w:firstLine="0"/>
        <w:contextualSpacing/>
        <w:mirrorIndents/>
        <w:rPr>
          <w:rFonts w:eastAsia="Calibri" w:cs="Times New Roman"/>
          <w:szCs w:val="24"/>
        </w:rPr>
      </w:pPr>
    </w:p>
    <w:p w:rsidR="005C39F7" w:rsidRPr="005C39F7" w:rsidRDefault="005C39F7" w:rsidP="005C39F7">
      <w:pPr>
        <w:spacing w:before="0"/>
        <w:ind w:firstLine="0"/>
        <w:contextualSpacing/>
        <w:mirrorIndents/>
        <w:rPr>
          <w:rFonts w:eastAsia="Calibri" w:cs="Times New Roman"/>
          <w:szCs w:val="24"/>
        </w:rPr>
      </w:pPr>
      <w:r w:rsidRPr="005C39F7">
        <w:rPr>
          <w:rFonts w:eastAsia="Calibri" w:cs="Times New Roman"/>
          <w:szCs w:val="24"/>
        </w:rPr>
        <w:t>Así, el conocimiento de las cuestiones relativas a Derecho Civil o Derecho Mercantil queda atribuido a los Tribunales de Justicia a instancia de parte.</w:t>
      </w:r>
    </w:p>
    <w:p w:rsidR="005C39F7" w:rsidRPr="005C39F7" w:rsidRDefault="005C39F7" w:rsidP="005C39F7">
      <w:pPr>
        <w:spacing w:before="0"/>
        <w:ind w:firstLine="0"/>
        <w:contextualSpacing/>
        <w:mirrorIndents/>
        <w:rPr>
          <w:rFonts w:eastAsia="Calibri" w:cs="Times New Roman"/>
          <w:szCs w:val="24"/>
        </w:rPr>
      </w:pPr>
    </w:p>
    <w:p w:rsidR="005C39F7" w:rsidRPr="005C39F7" w:rsidRDefault="005C39F7" w:rsidP="005C39F7">
      <w:pPr>
        <w:spacing w:before="0"/>
        <w:ind w:firstLine="0"/>
        <w:contextualSpacing/>
        <w:mirrorIndents/>
        <w:rPr>
          <w:rFonts w:eastAsia="Calibri" w:cs="Times New Roman"/>
          <w:szCs w:val="24"/>
        </w:rPr>
      </w:pPr>
      <w:r w:rsidRPr="005C39F7">
        <w:rPr>
          <w:rFonts w:eastAsia="Calibri" w:cs="Times New Roman"/>
          <w:szCs w:val="24"/>
        </w:rPr>
        <w:t>Mientras que los organismos supervisores llevan a cabo el control de las actuaciones de las entidades de crédito en ciertos ámbitos, a saber:</w:t>
      </w:r>
    </w:p>
    <w:p w:rsidR="005C39F7" w:rsidRPr="005C39F7" w:rsidRDefault="005C39F7" w:rsidP="005C39F7">
      <w:pPr>
        <w:spacing w:before="0"/>
        <w:ind w:firstLine="0"/>
        <w:contextualSpacing/>
        <w:mirrorIndents/>
        <w:rPr>
          <w:rFonts w:eastAsia="Calibri" w:cs="Times New Roman"/>
          <w:szCs w:val="24"/>
        </w:rPr>
      </w:pPr>
    </w:p>
    <w:p w:rsidR="005C39F7" w:rsidRPr="005C39F7" w:rsidRDefault="005C39F7" w:rsidP="005C39F7">
      <w:pPr>
        <w:numPr>
          <w:ilvl w:val="0"/>
          <w:numId w:val="34"/>
        </w:numPr>
        <w:spacing w:before="0" w:after="200"/>
        <w:contextualSpacing/>
        <w:mirrorIndents/>
        <w:jc w:val="left"/>
        <w:rPr>
          <w:rFonts w:eastAsia="Calibri" w:cs="Times New Roman"/>
          <w:szCs w:val="24"/>
        </w:rPr>
      </w:pPr>
      <w:r w:rsidRPr="005C39F7">
        <w:rPr>
          <w:rFonts w:eastAsia="Calibri" w:cs="Times New Roman"/>
          <w:szCs w:val="24"/>
        </w:rPr>
        <w:t>La Comisión Nacional del Mercado de Valores (C.N.M.V.): para cuando presten servicios de inversión.</w:t>
      </w:r>
    </w:p>
    <w:p w:rsidR="005C39F7" w:rsidRPr="005C39F7" w:rsidRDefault="005C39F7" w:rsidP="005C39F7">
      <w:pPr>
        <w:spacing w:before="0"/>
        <w:ind w:left="1068" w:firstLine="0"/>
        <w:contextualSpacing/>
        <w:mirrorIndents/>
        <w:rPr>
          <w:rFonts w:eastAsia="Calibri" w:cs="Times New Roman"/>
          <w:szCs w:val="24"/>
        </w:rPr>
      </w:pPr>
    </w:p>
    <w:p w:rsidR="005C39F7" w:rsidRPr="005C39F7" w:rsidRDefault="005C39F7" w:rsidP="005C39F7">
      <w:pPr>
        <w:numPr>
          <w:ilvl w:val="0"/>
          <w:numId w:val="34"/>
        </w:numPr>
        <w:spacing w:before="0" w:after="200"/>
        <w:contextualSpacing/>
        <w:mirrorIndents/>
        <w:jc w:val="left"/>
        <w:rPr>
          <w:rFonts w:eastAsia="Calibri" w:cs="Times New Roman"/>
          <w:szCs w:val="24"/>
        </w:rPr>
      </w:pPr>
      <w:r w:rsidRPr="005C39F7">
        <w:rPr>
          <w:rFonts w:eastAsia="Calibri" w:cs="Times New Roman"/>
          <w:szCs w:val="24"/>
        </w:rPr>
        <w:t>La Dirección General de Seguros y Fondos de Pensiones: para la comercialización por entidades de crédito de seguros y planes de pensiones.</w:t>
      </w:r>
    </w:p>
    <w:p w:rsidR="005C39F7" w:rsidRPr="005C39F7" w:rsidRDefault="005C39F7" w:rsidP="005C39F7">
      <w:pPr>
        <w:spacing w:before="0"/>
        <w:ind w:left="1068" w:firstLine="0"/>
        <w:contextualSpacing/>
        <w:mirrorIndents/>
        <w:rPr>
          <w:rFonts w:eastAsia="Calibri" w:cs="Times New Roman"/>
          <w:szCs w:val="24"/>
        </w:rPr>
      </w:pPr>
    </w:p>
    <w:p w:rsidR="005C39F7" w:rsidRPr="005C39F7" w:rsidRDefault="005C39F7" w:rsidP="005C39F7">
      <w:pPr>
        <w:numPr>
          <w:ilvl w:val="0"/>
          <w:numId w:val="34"/>
        </w:numPr>
        <w:spacing w:before="0" w:after="200"/>
        <w:contextualSpacing/>
        <w:mirrorIndents/>
        <w:jc w:val="left"/>
        <w:rPr>
          <w:rFonts w:eastAsia="Calibri" w:cs="Times New Roman"/>
          <w:szCs w:val="24"/>
        </w:rPr>
      </w:pPr>
      <w:r w:rsidRPr="005C39F7">
        <w:rPr>
          <w:rFonts w:eastAsia="Calibri" w:cs="Times New Roman"/>
          <w:szCs w:val="24"/>
        </w:rPr>
        <w:t>El control de su actividad como depositarias de Instituciones de Inversión Colectiva (fundamentalmente, fondos de inversión) está a cargo de la C.N.M.V. y, como depositarias de Fondos de Pensiones, a cargo de la Dirección General de Seguros y Fondos de Pensiones del Ministerio de Economía y Hacienda.</w:t>
      </w:r>
    </w:p>
    <w:p w:rsidR="005C39F7" w:rsidRPr="005C39F7" w:rsidRDefault="005C39F7" w:rsidP="005C39F7">
      <w:pPr>
        <w:spacing w:before="0"/>
        <w:ind w:left="1068" w:firstLine="0"/>
        <w:contextualSpacing/>
        <w:mirrorIndents/>
        <w:rPr>
          <w:rFonts w:eastAsia="Calibri" w:cs="Times New Roman"/>
          <w:szCs w:val="24"/>
        </w:rPr>
      </w:pPr>
    </w:p>
    <w:p w:rsidR="005C39F7" w:rsidRPr="005C39F7" w:rsidRDefault="005C39F7" w:rsidP="005C39F7">
      <w:pPr>
        <w:numPr>
          <w:ilvl w:val="0"/>
          <w:numId w:val="34"/>
        </w:numPr>
        <w:spacing w:before="0" w:after="200"/>
        <w:contextualSpacing/>
        <w:mirrorIndents/>
        <w:jc w:val="left"/>
        <w:rPr>
          <w:rFonts w:eastAsia="Calibri" w:cs="Times New Roman"/>
          <w:szCs w:val="24"/>
        </w:rPr>
      </w:pPr>
      <w:r w:rsidRPr="005C39F7">
        <w:rPr>
          <w:rFonts w:eastAsia="Calibri" w:cs="Times New Roman"/>
          <w:szCs w:val="24"/>
        </w:rPr>
        <w:t>Y la Comisión de Prevención del Blanqueo de Capitales e Infracciones Monetarias, y del Servicio Ejecutivo.</w:t>
      </w:r>
    </w:p>
    <w:p w:rsidR="005C39F7" w:rsidRPr="005C39F7" w:rsidRDefault="005C39F7" w:rsidP="005C39F7">
      <w:pPr>
        <w:numPr>
          <w:ilvl w:val="0"/>
          <w:numId w:val="32"/>
        </w:numPr>
        <w:shd w:val="clear" w:color="auto" w:fill="FFFFFF"/>
        <w:spacing w:before="0" w:after="200"/>
        <w:ind w:left="0" w:firstLine="0"/>
        <w:contextualSpacing/>
        <w:mirrorIndents/>
        <w:jc w:val="left"/>
        <w:rPr>
          <w:rFonts w:eastAsia="Times New Roman" w:cs="Times New Roman"/>
          <w:szCs w:val="24"/>
          <w:lang w:eastAsia="es-ES"/>
        </w:rPr>
      </w:pPr>
    </w:p>
    <w:p w:rsidR="005C39F7" w:rsidRPr="005C39F7" w:rsidRDefault="005C39F7" w:rsidP="005C39F7">
      <w:pPr>
        <w:numPr>
          <w:ilvl w:val="0"/>
          <w:numId w:val="32"/>
        </w:numPr>
        <w:shd w:val="clear" w:color="auto" w:fill="FFFFFF"/>
        <w:spacing w:before="0" w:after="200"/>
        <w:ind w:left="0" w:firstLine="0"/>
        <w:contextualSpacing/>
        <w:mirrorIndents/>
        <w:jc w:val="left"/>
        <w:rPr>
          <w:rFonts w:eastAsia="Times New Roman" w:cs="Times New Roman"/>
          <w:szCs w:val="24"/>
          <w:lang w:eastAsia="es-ES"/>
        </w:rPr>
      </w:pPr>
      <w:r w:rsidRPr="005C39F7">
        <w:rPr>
          <w:rFonts w:eastAsia="Times New Roman" w:cs="Times New Roman"/>
          <w:szCs w:val="24"/>
          <w:lang w:eastAsia="es-ES"/>
        </w:rPr>
        <w:t xml:space="preserve">Desde la perspectiva de los consumidores e inversores sus derechos básicos quedan enumerados en el art. 8 del Real Decreto Legislativo 1/2017 de 16 de noviembre, por el que se aprueba el texto refundido </w:t>
      </w:r>
      <w:proofErr w:type="gramStart"/>
      <w:r w:rsidRPr="005C39F7">
        <w:rPr>
          <w:rFonts w:eastAsia="Times New Roman" w:cs="Times New Roman"/>
          <w:szCs w:val="24"/>
          <w:lang w:eastAsia="es-ES"/>
        </w:rPr>
        <w:t>de  la</w:t>
      </w:r>
      <w:proofErr w:type="gramEnd"/>
      <w:r w:rsidRPr="005C39F7">
        <w:rPr>
          <w:rFonts w:eastAsia="Times New Roman" w:cs="Times New Roman"/>
          <w:szCs w:val="24"/>
          <w:lang w:eastAsia="es-ES"/>
        </w:rPr>
        <w:t xml:space="preserve"> Ley General para la Defensa de los Consumidores y Usuarios y otras leyes complementarias, son derechos básicos de los consumidores y usuarios:</w:t>
      </w:r>
    </w:p>
    <w:p w:rsidR="005C39F7" w:rsidRPr="005C39F7" w:rsidRDefault="005C39F7" w:rsidP="005C39F7">
      <w:pPr>
        <w:numPr>
          <w:ilvl w:val="0"/>
          <w:numId w:val="32"/>
        </w:numPr>
        <w:shd w:val="clear" w:color="auto" w:fill="FFFFFF"/>
        <w:spacing w:before="0" w:after="200"/>
        <w:ind w:left="0" w:firstLine="0"/>
        <w:contextualSpacing/>
        <w:mirrorIndents/>
        <w:jc w:val="left"/>
        <w:rPr>
          <w:rFonts w:eastAsia="Times New Roman" w:cs="Times New Roman"/>
          <w:szCs w:val="24"/>
          <w:lang w:eastAsia="es-ES"/>
        </w:rPr>
      </w:pPr>
    </w:p>
    <w:p w:rsidR="005C39F7" w:rsidRPr="005C39F7" w:rsidRDefault="005C39F7" w:rsidP="005C39F7">
      <w:pPr>
        <w:numPr>
          <w:ilvl w:val="0"/>
          <w:numId w:val="32"/>
        </w:numPr>
        <w:shd w:val="clear" w:color="auto" w:fill="FFFFFF"/>
        <w:spacing w:before="0" w:after="200"/>
        <w:ind w:left="1068" w:firstLine="0"/>
        <w:contextualSpacing/>
        <w:mirrorIndents/>
        <w:jc w:val="left"/>
        <w:rPr>
          <w:rFonts w:eastAsia="Times New Roman" w:cs="Times New Roman"/>
          <w:szCs w:val="24"/>
          <w:lang w:eastAsia="es-ES"/>
        </w:rPr>
      </w:pPr>
      <w:r w:rsidRPr="005C39F7">
        <w:rPr>
          <w:rFonts w:eastAsia="Times New Roman" w:cs="Times New Roman"/>
          <w:szCs w:val="24"/>
          <w:lang w:eastAsia="es-ES"/>
        </w:rPr>
        <w:t>a) La protección contra los riesgos que puedan afectar su salud o seguridad.</w:t>
      </w:r>
    </w:p>
    <w:p w:rsidR="005C39F7" w:rsidRPr="005C39F7" w:rsidRDefault="005C39F7" w:rsidP="005C39F7">
      <w:pPr>
        <w:numPr>
          <w:ilvl w:val="0"/>
          <w:numId w:val="32"/>
        </w:numPr>
        <w:shd w:val="clear" w:color="auto" w:fill="FFFFFF"/>
        <w:spacing w:before="0" w:after="200"/>
        <w:ind w:left="1068" w:firstLine="0"/>
        <w:contextualSpacing/>
        <w:mirrorIndents/>
        <w:jc w:val="left"/>
        <w:rPr>
          <w:rFonts w:eastAsia="Times New Roman" w:cs="Times New Roman"/>
          <w:szCs w:val="24"/>
          <w:lang w:eastAsia="es-ES"/>
        </w:rPr>
      </w:pPr>
    </w:p>
    <w:p w:rsidR="005C39F7" w:rsidRPr="005C39F7" w:rsidRDefault="005C39F7" w:rsidP="005C39F7">
      <w:pPr>
        <w:numPr>
          <w:ilvl w:val="0"/>
          <w:numId w:val="32"/>
        </w:numPr>
        <w:shd w:val="clear" w:color="auto" w:fill="FFFFFF"/>
        <w:spacing w:before="0" w:after="200"/>
        <w:ind w:left="1068" w:firstLine="0"/>
        <w:contextualSpacing/>
        <w:mirrorIndents/>
        <w:jc w:val="left"/>
        <w:rPr>
          <w:rFonts w:eastAsia="Times New Roman" w:cs="Times New Roman"/>
          <w:szCs w:val="24"/>
          <w:lang w:eastAsia="es-ES"/>
        </w:rPr>
      </w:pPr>
      <w:r w:rsidRPr="005C39F7">
        <w:rPr>
          <w:rFonts w:eastAsia="Times New Roman" w:cs="Times New Roman"/>
          <w:szCs w:val="24"/>
          <w:lang w:eastAsia="es-ES"/>
        </w:rPr>
        <w:t>b) La protección de sus legítimos intereses económicos y sociales; en particular frente a las prácticas comerciales desleales y la inclusión de cláusulas abusivas en los contratos.</w:t>
      </w:r>
    </w:p>
    <w:p w:rsidR="005C39F7" w:rsidRPr="005C39F7" w:rsidRDefault="005C39F7" w:rsidP="005C39F7">
      <w:pPr>
        <w:numPr>
          <w:ilvl w:val="0"/>
          <w:numId w:val="32"/>
        </w:numPr>
        <w:shd w:val="clear" w:color="auto" w:fill="FFFFFF"/>
        <w:spacing w:before="0" w:after="200"/>
        <w:ind w:left="1068" w:firstLine="0"/>
        <w:contextualSpacing/>
        <w:mirrorIndents/>
        <w:jc w:val="left"/>
        <w:rPr>
          <w:rFonts w:eastAsia="Times New Roman" w:cs="Times New Roman"/>
          <w:szCs w:val="24"/>
          <w:lang w:eastAsia="es-ES"/>
        </w:rPr>
      </w:pPr>
    </w:p>
    <w:p w:rsidR="005C39F7" w:rsidRPr="005C39F7" w:rsidRDefault="005C39F7" w:rsidP="005C39F7">
      <w:pPr>
        <w:numPr>
          <w:ilvl w:val="0"/>
          <w:numId w:val="32"/>
        </w:numPr>
        <w:shd w:val="clear" w:color="auto" w:fill="FFFFFF"/>
        <w:spacing w:before="0" w:after="200"/>
        <w:ind w:left="1068" w:firstLine="0"/>
        <w:contextualSpacing/>
        <w:mirrorIndents/>
        <w:jc w:val="left"/>
        <w:rPr>
          <w:rFonts w:eastAsia="Times New Roman" w:cs="Times New Roman"/>
          <w:szCs w:val="24"/>
          <w:lang w:eastAsia="es-ES"/>
        </w:rPr>
      </w:pPr>
      <w:r w:rsidRPr="005C39F7">
        <w:rPr>
          <w:rFonts w:eastAsia="Times New Roman" w:cs="Times New Roman"/>
          <w:szCs w:val="24"/>
          <w:lang w:eastAsia="es-ES"/>
        </w:rPr>
        <w:t>c) La indemnización de los daños y la reparación de los perjuicios sufridos.</w:t>
      </w:r>
    </w:p>
    <w:p w:rsidR="005C39F7" w:rsidRPr="005C39F7" w:rsidRDefault="005C39F7" w:rsidP="005C39F7">
      <w:pPr>
        <w:numPr>
          <w:ilvl w:val="0"/>
          <w:numId w:val="32"/>
        </w:numPr>
        <w:shd w:val="clear" w:color="auto" w:fill="FFFFFF"/>
        <w:spacing w:before="0" w:after="200"/>
        <w:ind w:left="1068" w:firstLine="0"/>
        <w:contextualSpacing/>
        <w:mirrorIndents/>
        <w:jc w:val="left"/>
        <w:rPr>
          <w:rFonts w:eastAsia="Times New Roman" w:cs="Times New Roman"/>
          <w:szCs w:val="24"/>
          <w:lang w:eastAsia="es-ES"/>
        </w:rPr>
      </w:pPr>
    </w:p>
    <w:p w:rsidR="005C39F7" w:rsidRPr="005C39F7" w:rsidRDefault="005C39F7" w:rsidP="005C39F7">
      <w:pPr>
        <w:numPr>
          <w:ilvl w:val="0"/>
          <w:numId w:val="32"/>
        </w:numPr>
        <w:shd w:val="clear" w:color="auto" w:fill="FFFFFF"/>
        <w:spacing w:before="0" w:after="200"/>
        <w:ind w:left="1068" w:firstLine="0"/>
        <w:contextualSpacing/>
        <w:mirrorIndents/>
        <w:jc w:val="left"/>
        <w:rPr>
          <w:rFonts w:eastAsia="Times New Roman" w:cs="Times New Roman"/>
          <w:szCs w:val="24"/>
          <w:lang w:eastAsia="es-ES"/>
        </w:rPr>
      </w:pPr>
      <w:r w:rsidRPr="005C39F7">
        <w:rPr>
          <w:rFonts w:eastAsia="Times New Roman" w:cs="Times New Roman"/>
          <w:szCs w:val="24"/>
          <w:lang w:eastAsia="es-ES"/>
        </w:rPr>
        <w:t>d) La información correcta sobre los diferentes bienes o servicios y la educación y divulgación para facilitar el conocimiento sobre su adecuado uso, consumo o disfrute.</w:t>
      </w:r>
    </w:p>
    <w:p w:rsidR="005C39F7" w:rsidRPr="005C39F7" w:rsidRDefault="005C39F7" w:rsidP="005C39F7">
      <w:pPr>
        <w:numPr>
          <w:ilvl w:val="0"/>
          <w:numId w:val="32"/>
        </w:numPr>
        <w:shd w:val="clear" w:color="auto" w:fill="FFFFFF"/>
        <w:spacing w:before="0" w:after="200"/>
        <w:ind w:left="1068" w:firstLine="0"/>
        <w:contextualSpacing/>
        <w:mirrorIndents/>
        <w:jc w:val="left"/>
        <w:rPr>
          <w:rFonts w:eastAsia="Times New Roman" w:cs="Times New Roman"/>
          <w:szCs w:val="24"/>
          <w:lang w:eastAsia="es-ES"/>
        </w:rPr>
      </w:pPr>
    </w:p>
    <w:p w:rsidR="005C39F7" w:rsidRPr="005C39F7" w:rsidRDefault="005C39F7" w:rsidP="005C39F7">
      <w:pPr>
        <w:numPr>
          <w:ilvl w:val="0"/>
          <w:numId w:val="32"/>
        </w:numPr>
        <w:shd w:val="clear" w:color="auto" w:fill="FFFFFF"/>
        <w:spacing w:before="0" w:after="200"/>
        <w:ind w:left="1068" w:firstLine="0"/>
        <w:contextualSpacing/>
        <w:mirrorIndents/>
        <w:jc w:val="left"/>
        <w:rPr>
          <w:rFonts w:eastAsia="Times New Roman" w:cs="Times New Roman"/>
          <w:szCs w:val="24"/>
          <w:lang w:eastAsia="es-ES"/>
        </w:rPr>
      </w:pPr>
      <w:r w:rsidRPr="005C39F7">
        <w:rPr>
          <w:rFonts w:eastAsia="Times New Roman" w:cs="Times New Roman"/>
          <w:szCs w:val="24"/>
          <w:lang w:eastAsia="es-ES"/>
        </w:rPr>
        <w:t>e) La audiencia en consulta, la participación en el procedimiento de elaboración de las disposiciones generales que les afectan directamente y la representación de sus intereses, a través de las asociaciones, agrupaciones, federaciones o confederaciones de consumidores y usuarios legalmente constituidas.</w:t>
      </w:r>
    </w:p>
    <w:p w:rsidR="005C39F7" w:rsidRPr="005C39F7" w:rsidRDefault="005C39F7" w:rsidP="005C39F7">
      <w:pPr>
        <w:numPr>
          <w:ilvl w:val="0"/>
          <w:numId w:val="32"/>
        </w:numPr>
        <w:shd w:val="clear" w:color="auto" w:fill="FFFFFF"/>
        <w:spacing w:before="0" w:after="200"/>
        <w:ind w:left="1068" w:firstLine="0"/>
        <w:contextualSpacing/>
        <w:mirrorIndents/>
        <w:jc w:val="left"/>
        <w:rPr>
          <w:rFonts w:eastAsia="Times New Roman" w:cs="Times New Roman"/>
          <w:szCs w:val="24"/>
          <w:lang w:eastAsia="es-ES"/>
        </w:rPr>
      </w:pPr>
    </w:p>
    <w:p w:rsidR="005C39F7" w:rsidRPr="005C39F7" w:rsidRDefault="005C39F7" w:rsidP="005C39F7">
      <w:pPr>
        <w:numPr>
          <w:ilvl w:val="0"/>
          <w:numId w:val="32"/>
        </w:numPr>
        <w:shd w:val="clear" w:color="auto" w:fill="FFFFFF"/>
        <w:spacing w:before="0" w:after="200"/>
        <w:ind w:left="1068" w:firstLine="0"/>
        <w:contextualSpacing/>
        <w:mirrorIndents/>
        <w:jc w:val="left"/>
        <w:rPr>
          <w:rFonts w:eastAsia="Times New Roman" w:cs="Times New Roman"/>
          <w:szCs w:val="24"/>
          <w:lang w:eastAsia="es-ES"/>
        </w:rPr>
      </w:pPr>
      <w:r w:rsidRPr="005C39F7">
        <w:rPr>
          <w:rFonts w:eastAsia="Times New Roman" w:cs="Times New Roman"/>
          <w:szCs w:val="24"/>
          <w:lang w:eastAsia="es-ES"/>
        </w:rPr>
        <w:t>f) La protección de sus derechos mediante procedimientos eficaces, en especial ante situaciones de inferioridad, subordinación e indefensión</w:t>
      </w:r>
    </w:p>
    <w:p w:rsidR="005C39F7" w:rsidRPr="005C39F7" w:rsidRDefault="005C39F7" w:rsidP="005C39F7">
      <w:pPr>
        <w:spacing w:before="0"/>
        <w:ind w:firstLine="0"/>
        <w:contextualSpacing/>
        <w:mirrorIndents/>
        <w:rPr>
          <w:rFonts w:eastAsia="Calibri" w:cs="Times New Roman"/>
          <w:b/>
          <w:szCs w:val="24"/>
        </w:rPr>
      </w:pPr>
    </w:p>
    <w:p w:rsidR="005C39F7" w:rsidRPr="005C39F7" w:rsidRDefault="005C39F7" w:rsidP="005C39F7">
      <w:pPr>
        <w:spacing w:before="0"/>
        <w:ind w:firstLine="0"/>
        <w:contextualSpacing/>
        <w:mirrorIndents/>
        <w:rPr>
          <w:rFonts w:eastAsia="Calibri" w:cs="Times New Roman"/>
          <w:szCs w:val="24"/>
          <w:shd w:val="clear" w:color="auto" w:fill="FFFFFF"/>
        </w:rPr>
      </w:pPr>
      <w:r w:rsidRPr="005C39F7">
        <w:rPr>
          <w:rFonts w:eastAsia="Calibri" w:cs="Times New Roman"/>
          <w:szCs w:val="24"/>
        </w:rPr>
        <w:t xml:space="preserve">Si bien no se trata de una lista </w:t>
      </w:r>
      <w:proofErr w:type="gramStart"/>
      <w:r w:rsidRPr="005C39F7">
        <w:rPr>
          <w:rFonts w:eastAsia="Calibri" w:cs="Times New Roman"/>
          <w:szCs w:val="24"/>
        </w:rPr>
        <w:t>cerrada</w:t>
      </w:r>
      <w:proofErr w:type="gramEnd"/>
      <w:r w:rsidRPr="005C39F7">
        <w:rPr>
          <w:rFonts w:eastAsia="Calibri" w:cs="Times New Roman"/>
          <w:szCs w:val="24"/>
        </w:rPr>
        <w:t xml:space="preserve"> sino que tal y como establece el apartado 5 del art. 19 del mismo cuerpo legal viene a concretar que </w:t>
      </w:r>
      <w:r w:rsidRPr="005C39F7">
        <w:rPr>
          <w:rFonts w:eastAsia="Calibri" w:cs="Times New Roman"/>
          <w:szCs w:val="24"/>
          <w:shd w:val="clear" w:color="auto" w:fill="FFFFFF"/>
        </w:rPr>
        <w:t>en relación con las prácticas comerciales relativas a servicios financieros y bienes inmuebles, podrán establecerse normas legales o reglamentarias que ofrezcan una mayor protección al consumidor o usuario.</w:t>
      </w:r>
    </w:p>
    <w:p w:rsidR="005C39F7" w:rsidRPr="005C39F7" w:rsidRDefault="005C39F7" w:rsidP="005C39F7">
      <w:pPr>
        <w:spacing w:before="0"/>
        <w:ind w:firstLine="0"/>
        <w:contextualSpacing/>
        <w:mirrorIndents/>
        <w:rPr>
          <w:rFonts w:eastAsia="Calibri" w:cs="Times New Roman"/>
          <w:szCs w:val="24"/>
          <w:shd w:val="clear" w:color="auto" w:fill="FFFFFF"/>
        </w:rPr>
      </w:pPr>
    </w:p>
    <w:p w:rsidR="005C39F7" w:rsidRPr="005C39F7" w:rsidRDefault="005C39F7" w:rsidP="005C39F7">
      <w:pPr>
        <w:spacing w:before="0"/>
        <w:ind w:firstLine="0"/>
        <w:contextualSpacing/>
        <w:mirrorIndents/>
        <w:rPr>
          <w:rFonts w:eastAsia="Calibri" w:cs="Times New Roman"/>
          <w:szCs w:val="24"/>
          <w:shd w:val="clear" w:color="auto" w:fill="FFFFFF"/>
        </w:rPr>
      </w:pPr>
      <w:r w:rsidRPr="005C39F7">
        <w:rPr>
          <w:rFonts w:eastAsia="Calibri" w:cs="Times New Roman"/>
          <w:szCs w:val="24"/>
          <w:shd w:val="clear" w:color="auto" w:fill="FFFFFF"/>
        </w:rPr>
        <w:t xml:space="preserve">Lo que a su vez, ha de completarse con aquéllas normas reguladoras de los servicios financieros, en particular las referidas a las obligaciones de las entidades de crédito en </w:t>
      </w:r>
      <w:r w:rsidRPr="005C39F7">
        <w:rPr>
          <w:rFonts w:eastAsia="Calibri" w:cs="Times New Roman"/>
          <w:szCs w:val="24"/>
          <w:shd w:val="clear" w:color="auto" w:fill="FFFFFF"/>
        </w:rPr>
        <w:lastRenderedPageBreak/>
        <w:t xml:space="preserve">relación con la información a los clientes, publicidad y transparencia de las operaciones cuyo estudio </w:t>
      </w:r>
      <w:proofErr w:type="gramStart"/>
      <w:r w:rsidRPr="005C39F7">
        <w:rPr>
          <w:rFonts w:eastAsia="Calibri" w:cs="Times New Roman"/>
          <w:szCs w:val="24"/>
          <w:shd w:val="clear" w:color="auto" w:fill="FFFFFF"/>
        </w:rPr>
        <w:t>pasaremos  a</w:t>
      </w:r>
      <w:proofErr w:type="gramEnd"/>
      <w:r w:rsidRPr="005C39F7">
        <w:rPr>
          <w:rFonts w:eastAsia="Calibri" w:cs="Times New Roman"/>
          <w:szCs w:val="24"/>
          <w:shd w:val="clear" w:color="auto" w:fill="FFFFFF"/>
        </w:rPr>
        <w:t xml:space="preserve"> abordar en el siguiente epígrafe. </w:t>
      </w:r>
    </w:p>
    <w:p w:rsidR="005C39F7" w:rsidRPr="005C39F7" w:rsidRDefault="005C39F7" w:rsidP="005C39F7">
      <w:pPr>
        <w:spacing w:before="0"/>
        <w:ind w:firstLine="0"/>
        <w:contextualSpacing/>
        <w:mirrorIndents/>
        <w:rPr>
          <w:rFonts w:eastAsia="Calibri" w:cs="Times New Roman"/>
          <w:b/>
          <w:szCs w:val="24"/>
        </w:rPr>
      </w:pPr>
    </w:p>
    <w:p w:rsidR="005C39F7" w:rsidRPr="005C39F7" w:rsidRDefault="005C39F7" w:rsidP="005C39F7">
      <w:pPr>
        <w:spacing w:before="0"/>
        <w:ind w:firstLine="0"/>
        <w:contextualSpacing/>
        <w:mirrorIndents/>
        <w:rPr>
          <w:rFonts w:eastAsia="Calibri" w:cs="Times New Roman"/>
          <w:b/>
          <w:szCs w:val="24"/>
        </w:rPr>
      </w:pPr>
      <w:r w:rsidRPr="005C39F7">
        <w:rPr>
          <w:rFonts w:eastAsia="Calibri" w:cs="Times New Roman"/>
          <w:b/>
          <w:szCs w:val="24"/>
        </w:rPr>
        <w:t>II.-Transparencia y control de la publicidad en el ámbito del mercado de productos y servicios bancarios</w:t>
      </w:r>
    </w:p>
    <w:p w:rsidR="005C39F7" w:rsidRPr="005C39F7" w:rsidRDefault="005C39F7" w:rsidP="005C39F7">
      <w:pPr>
        <w:spacing w:before="0"/>
        <w:ind w:firstLine="0"/>
        <w:contextualSpacing/>
        <w:mirrorIndents/>
        <w:rPr>
          <w:rFonts w:eastAsia="Calibri" w:cs="Times New Roman"/>
          <w:szCs w:val="24"/>
        </w:rPr>
      </w:pPr>
    </w:p>
    <w:p w:rsidR="005C39F7" w:rsidRPr="005C39F7" w:rsidRDefault="005C39F7" w:rsidP="005C39F7">
      <w:pPr>
        <w:spacing w:before="0"/>
        <w:ind w:firstLine="0"/>
        <w:contextualSpacing/>
        <w:mirrorIndents/>
        <w:rPr>
          <w:rFonts w:eastAsia="Calibri" w:cs="Times New Roman"/>
          <w:szCs w:val="24"/>
        </w:rPr>
      </w:pPr>
      <w:r w:rsidRPr="005C39F7">
        <w:rPr>
          <w:rFonts w:eastAsia="Calibri" w:cs="Times New Roman"/>
          <w:szCs w:val="24"/>
        </w:rPr>
        <w:t>La transparencia en el funcionamiento de los mercados ha supuesto históricamente uno de los objetivos más perseguidos por el ordenamiento jurídico de cualquier sector económico.</w:t>
      </w:r>
    </w:p>
    <w:p w:rsidR="005C39F7" w:rsidRPr="005C39F7" w:rsidRDefault="005C39F7" w:rsidP="005C39F7">
      <w:pPr>
        <w:spacing w:before="0"/>
        <w:ind w:firstLine="0"/>
        <w:contextualSpacing/>
        <w:mirrorIndents/>
        <w:rPr>
          <w:rFonts w:eastAsia="Calibri" w:cs="Times New Roman"/>
          <w:szCs w:val="24"/>
        </w:rPr>
      </w:pPr>
    </w:p>
    <w:p w:rsidR="005C39F7" w:rsidRPr="005C39F7" w:rsidRDefault="005C39F7" w:rsidP="005C39F7">
      <w:pPr>
        <w:spacing w:before="0"/>
        <w:ind w:firstLine="0"/>
        <w:contextualSpacing/>
        <w:mirrorIndents/>
        <w:rPr>
          <w:rFonts w:eastAsia="Calibri" w:cs="Times New Roman"/>
          <w:szCs w:val="24"/>
        </w:rPr>
      </w:pPr>
      <w:r w:rsidRPr="005C39F7">
        <w:rPr>
          <w:rFonts w:eastAsia="Calibri" w:cs="Times New Roman"/>
          <w:szCs w:val="24"/>
        </w:rPr>
        <w:t xml:space="preserve">Como consecuencia de las reformas llevadas a cabo en del Derecho comparado, nuestro país, a través de una adecuación al mismo, ha mejorado </w:t>
      </w:r>
      <w:proofErr w:type="gramStart"/>
      <w:r w:rsidRPr="005C39F7">
        <w:rPr>
          <w:rFonts w:eastAsia="Calibri" w:cs="Times New Roman"/>
          <w:szCs w:val="24"/>
        </w:rPr>
        <w:t>la exigencias</w:t>
      </w:r>
      <w:proofErr w:type="gramEnd"/>
      <w:r w:rsidRPr="005C39F7">
        <w:rPr>
          <w:rFonts w:eastAsia="Calibri" w:cs="Times New Roman"/>
          <w:szCs w:val="24"/>
        </w:rPr>
        <w:t xml:space="preserve"> en materias tales como información relativa a los tipos de interés y a las comisiones, comunicaciones con el cliente, información precontractual, servicios financieros vinculados, etc.</w:t>
      </w:r>
    </w:p>
    <w:p w:rsidR="005C39F7" w:rsidRPr="005C39F7" w:rsidRDefault="005C39F7" w:rsidP="005C39F7">
      <w:pPr>
        <w:spacing w:before="0"/>
        <w:ind w:firstLine="0"/>
        <w:contextualSpacing/>
        <w:mirrorIndents/>
        <w:rPr>
          <w:rFonts w:eastAsia="Calibri" w:cs="Times New Roman"/>
          <w:szCs w:val="24"/>
        </w:rPr>
      </w:pPr>
    </w:p>
    <w:p w:rsidR="005C39F7" w:rsidRPr="005C39F7" w:rsidRDefault="005C39F7" w:rsidP="005C39F7">
      <w:pPr>
        <w:spacing w:before="0"/>
        <w:ind w:firstLine="0"/>
        <w:contextualSpacing/>
        <w:mirrorIndents/>
        <w:rPr>
          <w:rFonts w:eastAsia="Calibri" w:cs="Times New Roman"/>
          <w:szCs w:val="24"/>
        </w:rPr>
      </w:pPr>
      <w:r w:rsidRPr="005C39F7">
        <w:rPr>
          <w:rFonts w:eastAsia="Calibri" w:cs="Times New Roman"/>
          <w:szCs w:val="24"/>
        </w:rPr>
        <w:t>Dentro del sector financiero la defensa de la clientela</w:t>
      </w:r>
      <w:r w:rsidRPr="005C39F7">
        <w:rPr>
          <w:rFonts w:eastAsia="Calibri" w:cs="Times New Roman"/>
          <w:szCs w:val="24"/>
          <w:vertAlign w:val="superscript"/>
        </w:rPr>
        <w:footnoteReference w:id="2"/>
      </w:r>
      <w:r w:rsidRPr="005C39F7">
        <w:rPr>
          <w:rFonts w:eastAsia="Calibri" w:cs="Times New Roman"/>
          <w:szCs w:val="24"/>
        </w:rPr>
        <w:t xml:space="preserve"> ha pivotado tradicionalmente sobre dos ejes. De una parte, la normativa asentada sobre el </w:t>
      </w:r>
      <w:r w:rsidRPr="005C39F7">
        <w:rPr>
          <w:rFonts w:eastAsia="Calibri" w:cs="Times New Roman"/>
          <w:i/>
          <w:szCs w:val="24"/>
        </w:rPr>
        <w:t>principio de prudencia de solvencia de las entidades de crédito</w:t>
      </w:r>
      <w:r w:rsidRPr="005C39F7">
        <w:rPr>
          <w:rFonts w:eastAsia="Calibri" w:cs="Times New Roman"/>
          <w:szCs w:val="24"/>
        </w:rPr>
        <w:t xml:space="preserve"> lo que implica un efecto inestimable sobre la protección de los clientes. Y de otro </w:t>
      </w:r>
      <w:proofErr w:type="gramStart"/>
      <w:r w:rsidRPr="005C39F7">
        <w:rPr>
          <w:rFonts w:eastAsia="Calibri" w:cs="Times New Roman"/>
          <w:szCs w:val="24"/>
        </w:rPr>
        <w:t>lado,  tratando</w:t>
      </w:r>
      <w:proofErr w:type="gramEnd"/>
      <w:r w:rsidRPr="005C39F7">
        <w:rPr>
          <w:rFonts w:eastAsia="Calibri" w:cs="Times New Roman"/>
          <w:szCs w:val="24"/>
        </w:rPr>
        <w:t xml:space="preserve"> de </w:t>
      </w:r>
      <w:r w:rsidRPr="005C39F7">
        <w:rPr>
          <w:rFonts w:eastAsia="Calibri" w:cs="Times New Roman"/>
          <w:i/>
          <w:szCs w:val="24"/>
        </w:rPr>
        <w:t>paliar los efectos que produce la el menoscabo de información para el cliente bancario</w:t>
      </w:r>
      <w:r w:rsidRPr="005C39F7">
        <w:rPr>
          <w:rFonts w:eastAsia="Calibri" w:cs="Times New Roman"/>
          <w:szCs w:val="24"/>
        </w:rPr>
        <w:t xml:space="preserve">, fomentando la transparencia en la relaciones entre la entidad financiera y el cliente a lo largo de la negociación bancaria. </w:t>
      </w:r>
    </w:p>
    <w:p w:rsidR="005C39F7" w:rsidRPr="005C39F7" w:rsidRDefault="005C39F7" w:rsidP="005C39F7">
      <w:pPr>
        <w:spacing w:before="0"/>
        <w:ind w:firstLine="0"/>
        <w:contextualSpacing/>
        <w:mirrorIndents/>
        <w:rPr>
          <w:rFonts w:eastAsia="Calibri" w:cs="Times New Roman"/>
          <w:szCs w:val="24"/>
        </w:rPr>
      </w:pPr>
    </w:p>
    <w:p w:rsidR="005C39F7" w:rsidRPr="005C39F7" w:rsidRDefault="005C39F7" w:rsidP="005C39F7">
      <w:pPr>
        <w:spacing w:before="0"/>
        <w:ind w:firstLine="0"/>
        <w:contextualSpacing/>
        <w:mirrorIndents/>
        <w:rPr>
          <w:rFonts w:eastAsia="Calibri" w:cs="Times New Roman"/>
          <w:szCs w:val="24"/>
        </w:rPr>
      </w:pPr>
      <w:r w:rsidRPr="005C39F7">
        <w:rPr>
          <w:rFonts w:eastAsia="Calibri" w:cs="Times New Roman"/>
          <w:szCs w:val="24"/>
        </w:rPr>
        <w:t>Precisamente, es la protección al cliente bancario la base sobre la que se empieza a inspirar la legislación financiera vigente y la actividad supervisora en el ámbito del mercado de productos y servicios bancarios. El cliente debe disponer de información suficiente para fundamentar su decisión de contratación, y esta información debe ser veraz.</w:t>
      </w:r>
    </w:p>
    <w:p w:rsidR="005C39F7" w:rsidRPr="005C39F7" w:rsidRDefault="005C39F7" w:rsidP="005C39F7">
      <w:pPr>
        <w:spacing w:before="0"/>
        <w:ind w:firstLine="0"/>
        <w:contextualSpacing/>
        <w:mirrorIndents/>
        <w:rPr>
          <w:rFonts w:eastAsia="Calibri" w:cs="Times New Roman"/>
          <w:szCs w:val="24"/>
        </w:rPr>
      </w:pPr>
    </w:p>
    <w:p w:rsidR="005C39F7" w:rsidRPr="005C39F7" w:rsidRDefault="005C39F7" w:rsidP="005C39F7">
      <w:pPr>
        <w:spacing w:before="0"/>
        <w:ind w:firstLine="0"/>
        <w:contextualSpacing/>
        <w:mirrorIndents/>
        <w:rPr>
          <w:rFonts w:eastAsia="Calibri" w:cs="Times New Roman"/>
          <w:szCs w:val="24"/>
        </w:rPr>
      </w:pPr>
      <w:r w:rsidRPr="005C39F7">
        <w:rPr>
          <w:rFonts w:eastAsia="Calibri" w:cs="Times New Roman"/>
          <w:szCs w:val="24"/>
        </w:rPr>
        <w:t xml:space="preserve">De ahí que, en el ordenamiento jurídico sean cada vez más las previsiones que obligan a las entidades de crédito a ofrecer información y asumir obligaciones de transparencia. </w:t>
      </w:r>
    </w:p>
    <w:p w:rsidR="005C39F7" w:rsidRPr="005C39F7" w:rsidRDefault="005C39F7" w:rsidP="005C39F7">
      <w:pPr>
        <w:spacing w:before="0"/>
        <w:ind w:firstLine="0"/>
        <w:contextualSpacing/>
        <w:mirrorIndents/>
        <w:rPr>
          <w:rFonts w:eastAsia="Calibri" w:cs="Times New Roman"/>
          <w:szCs w:val="24"/>
        </w:rPr>
      </w:pPr>
    </w:p>
    <w:p w:rsidR="005C39F7" w:rsidRPr="005C39F7" w:rsidRDefault="005C39F7" w:rsidP="005C39F7">
      <w:pPr>
        <w:spacing w:before="0"/>
        <w:ind w:firstLine="0"/>
        <w:contextualSpacing/>
        <w:mirrorIndents/>
        <w:rPr>
          <w:rFonts w:eastAsia="Calibri" w:cs="Times New Roman"/>
          <w:szCs w:val="24"/>
        </w:rPr>
      </w:pPr>
      <w:r w:rsidRPr="005C39F7">
        <w:rPr>
          <w:rFonts w:eastAsia="Calibri" w:cs="Times New Roman"/>
          <w:szCs w:val="24"/>
        </w:rPr>
        <w:t>Sin embargo, para que estas previsiones consigan tener la eficacia deseada la normativa financiera no debe obviar la relevancia que tiene la publicidad a la hora de que el cliente bancario tome, de forma razonada y segura, sus decisiones.</w:t>
      </w:r>
    </w:p>
    <w:p w:rsidR="005C39F7" w:rsidRPr="005C39F7" w:rsidRDefault="005C39F7" w:rsidP="005C39F7">
      <w:pPr>
        <w:spacing w:before="0"/>
        <w:ind w:firstLine="0"/>
        <w:contextualSpacing/>
        <w:mirrorIndents/>
        <w:rPr>
          <w:rFonts w:eastAsia="Calibri" w:cs="Times New Roman"/>
          <w:szCs w:val="24"/>
        </w:rPr>
      </w:pPr>
    </w:p>
    <w:p w:rsidR="005C39F7" w:rsidRPr="005C39F7" w:rsidRDefault="005C39F7" w:rsidP="005C39F7">
      <w:pPr>
        <w:spacing w:before="0"/>
        <w:ind w:firstLine="0"/>
        <w:contextualSpacing/>
        <w:mirrorIndents/>
        <w:rPr>
          <w:rFonts w:eastAsia="Calibri" w:cs="Times New Roman"/>
          <w:szCs w:val="24"/>
        </w:rPr>
      </w:pPr>
      <w:r w:rsidRPr="005C39F7">
        <w:rPr>
          <w:rFonts w:eastAsia="Calibri" w:cs="Times New Roman"/>
          <w:szCs w:val="24"/>
        </w:rPr>
        <w:lastRenderedPageBreak/>
        <w:t xml:space="preserve">Y este papel trascendental de la publicidad de los servicios y productos bancarios ha venido siendo uno de los aspectos vitales que en los últimos años ha sido objeto de la regulación bancaria española. </w:t>
      </w:r>
    </w:p>
    <w:p w:rsidR="005C39F7" w:rsidRPr="005C39F7" w:rsidRDefault="005C39F7" w:rsidP="005C39F7">
      <w:pPr>
        <w:numPr>
          <w:ilvl w:val="0"/>
          <w:numId w:val="32"/>
        </w:numPr>
        <w:autoSpaceDE w:val="0"/>
        <w:autoSpaceDN w:val="0"/>
        <w:adjustRightInd w:val="0"/>
        <w:spacing w:before="0" w:after="200"/>
        <w:ind w:left="0" w:firstLine="0"/>
        <w:contextualSpacing/>
        <w:mirrorIndents/>
        <w:jc w:val="left"/>
        <w:rPr>
          <w:rFonts w:eastAsia="Arial Unicode MS" w:cs="Times New Roman"/>
          <w:szCs w:val="24"/>
        </w:rPr>
      </w:pPr>
    </w:p>
    <w:p w:rsidR="005C39F7" w:rsidRPr="005C39F7" w:rsidRDefault="005C39F7" w:rsidP="005C39F7">
      <w:pPr>
        <w:numPr>
          <w:ilvl w:val="0"/>
          <w:numId w:val="32"/>
        </w:numPr>
        <w:autoSpaceDE w:val="0"/>
        <w:autoSpaceDN w:val="0"/>
        <w:adjustRightInd w:val="0"/>
        <w:spacing w:before="0" w:after="200"/>
        <w:ind w:left="0" w:firstLine="0"/>
        <w:contextualSpacing/>
        <w:mirrorIndents/>
        <w:jc w:val="left"/>
        <w:rPr>
          <w:rFonts w:eastAsia="Arial Unicode MS" w:cs="Times New Roman"/>
          <w:szCs w:val="24"/>
        </w:rPr>
      </w:pPr>
      <w:r w:rsidRPr="005C39F7">
        <w:rPr>
          <w:rFonts w:eastAsia="Arial Unicode MS" w:cs="Times New Roman"/>
          <w:szCs w:val="24"/>
        </w:rPr>
        <w:t xml:space="preserve">Por su parte, el Banco de España determinará los demás principios generales a los que debe ajustarse la publicidad y los criterios generales sobre el contenido mínimo y formato del mensaje publicitario y cualquier otro aspecto que pueda afectar al carácter equilibrado y objetivo de la publicidad. </w:t>
      </w:r>
    </w:p>
    <w:p w:rsidR="005C39F7" w:rsidRPr="005C39F7" w:rsidRDefault="005C39F7" w:rsidP="005C39F7">
      <w:pPr>
        <w:numPr>
          <w:ilvl w:val="0"/>
          <w:numId w:val="32"/>
        </w:numPr>
        <w:autoSpaceDE w:val="0"/>
        <w:autoSpaceDN w:val="0"/>
        <w:adjustRightInd w:val="0"/>
        <w:spacing w:before="0" w:after="200"/>
        <w:ind w:left="0" w:firstLine="0"/>
        <w:contextualSpacing/>
        <w:mirrorIndents/>
        <w:jc w:val="left"/>
        <w:rPr>
          <w:rFonts w:eastAsia="Arial Unicode MS" w:cs="Times New Roman"/>
          <w:szCs w:val="24"/>
        </w:rPr>
      </w:pPr>
    </w:p>
    <w:p w:rsidR="005C39F7" w:rsidRPr="005C39F7" w:rsidRDefault="005C39F7" w:rsidP="005C39F7">
      <w:pPr>
        <w:numPr>
          <w:ilvl w:val="0"/>
          <w:numId w:val="32"/>
        </w:numPr>
        <w:autoSpaceDE w:val="0"/>
        <w:autoSpaceDN w:val="0"/>
        <w:adjustRightInd w:val="0"/>
        <w:spacing w:before="0" w:after="200"/>
        <w:ind w:left="0" w:firstLine="0"/>
        <w:contextualSpacing/>
        <w:mirrorIndents/>
        <w:jc w:val="left"/>
        <w:rPr>
          <w:rFonts w:eastAsia="Arial Unicode MS" w:cs="Times New Roman"/>
          <w:szCs w:val="24"/>
        </w:rPr>
      </w:pPr>
      <w:r w:rsidRPr="005C39F7">
        <w:rPr>
          <w:rFonts w:eastAsia="Arial Unicode MS" w:cs="Times New Roman"/>
          <w:szCs w:val="24"/>
        </w:rPr>
        <w:t>En todo caso, deberá especificar la forma y condiciones de difusión de los mensajes publicitarios con el fin de que ni se omita ningún dato relevante sobre los productos y servicios bancarios ni se induzca a error de sus destinatarios.</w:t>
      </w:r>
    </w:p>
    <w:p w:rsidR="005C39F7" w:rsidRPr="005C39F7" w:rsidRDefault="005C39F7" w:rsidP="005C39F7">
      <w:pPr>
        <w:numPr>
          <w:ilvl w:val="0"/>
          <w:numId w:val="32"/>
        </w:numPr>
        <w:autoSpaceDE w:val="0"/>
        <w:autoSpaceDN w:val="0"/>
        <w:adjustRightInd w:val="0"/>
        <w:spacing w:before="0" w:after="200"/>
        <w:ind w:left="0" w:firstLine="0"/>
        <w:contextualSpacing/>
        <w:mirrorIndents/>
        <w:jc w:val="left"/>
        <w:rPr>
          <w:rFonts w:eastAsia="Arial Unicode MS" w:cs="Times New Roman"/>
          <w:szCs w:val="24"/>
        </w:rPr>
      </w:pPr>
    </w:p>
    <w:p w:rsidR="005C39F7" w:rsidRPr="005C39F7" w:rsidRDefault="005C39F7" w:rsidP="005C39F7">
      <w:pPr>
        <w:numPr>
          <w:ilvl w:val="0"/>
          <w:numId w:val="32"/>
        </w:numPr>
        <w:autoSpaceDE w:val="0"/>
        <w:autoSpaceDN w:val="0"/>
        <w:adjustRightInd w:val="0"/>
        <w:spacing w:before="0" w:after="200"/>
        <w:ind w:left="0" w:firstLine="0"/>
        <w:contextualSpacing/>
        <w:mirrorIndents/>
        <w:jc w:val="left"/>
        <w:rPr>
          <w:rFonts w:eastAsia="Arial Unicode MS" w:cs="Times New Roman"/>
          <w:szCs w:val="24"/>
        </w:rPr>
      </w:pPr>
      <w:r w:rsidRPr="005C39F7">
        <w:rPr>
          <w:rFonts w:eastAsia="Arial Unicode MS" w:cs="Times New Roman"/>
          <w:szCs w:val="24"/>
        </w:rPr>
        <w:t xml:space="preserve">De tal modo que en base al artículo 30 bis de la Ley 26/1988, de 29 de julio las entidades incluirán </w:t>
      </w:r>
      <w:proofErr w:type="gramStart"/>
      <w:r w:rsidRPr="005C39F7">
        <w:rPr>
          <w:rFonts w:eastAsia="Arial Unicode MS" w:cs="Times New Roman"/>
          <w:szCs w:val="24"/>
        </w:rPr>
        <w:t>los  procedimientos</w:t>
      </w:r>
      <w:proofErr w:type="gramEnd"/>
      <w:r w:rsidRPr="005C39F7">
        <w:rPr>
          <w:rFonts w:eastAsia="Arial Unicode MS" w:cs="Times New Roman"/>
          <w:szCs w:val="24"/>
        </w:rPr>
        <w:t xml:space="preserve"> y controles internos necesarios para proteger los legítimos intereses de la clientela y gestionar los riesgos a los que estén o puedan estar expuestas derivados de su actividad publicitaria</w:t>
      </w:r>
      <w:r w:rsidRPr="005C39F7">
        <w:rPr>
          <w:rFonts w:eastAsia="Arial Unicode MS" w:cs="Times New Roman"/>
          <w:szCs w:val="24"/>
          <w:vertAlign w:val="superscript"/>
        </w:rPr>
        <w:footnoteReference w:id="3"/>
      </w:r>
    </w:p>
    <w:p w:rsidR="005C39F7" w:rsidRPr="005C39F7" w:rsidRDefault="005C39F7" w:rsidP="005C39F7">
      <w:pPr>
        <w:spacing w:before="0"/>
        <w:ind w:firstLine="0"/>
        <w:contextualSpacing/>
        <w:mirrorIndents/>
        <w:rPr>
          <w:rFonts w:eastAsia="Calibri" w:cs="Times New Roman"/>
          <w:szCs w:val="24"/>
          <w:shd w:val="clear" w:color="auto" w:fill="FFFFFF"/>
        </w:rPr>
      </w:pPr>
    </w:p>
    <w:p w:rsidR="005C39F7" w:rsidRPr="005C39F7" w:rsidRDefault="005C39F7" w:rsidP="005C39F7">
      <w:pPr>
        <w:spacing w:before="0"/>
        <w:ind w:firstLine="0"/>
        <w:contextualSpacing/>
        <w:mirrorIndents/>
        <w:rPr>
          <w:rFonts w:eastAsia="Calibri" w:cs="Times New Roman"/>
          <w:i/>
          <w:szCs w:val="24"/>
        </w:rPr>
      </w:pPr>
      <w:r w:rsidRPr="005C39F7">
        <w:rPr>
          <w:rFonts w:eastAsia="Calibri" w:cs="Times New Roman"/>
          <w:b/>
          <w:szCs w:val="24"/>
        </w:rPr>
        <w:t xml:space="preserve">III.-Información y clasificación de los productos financieros </w:t>
      </w:r>
    </w:p>
    <w:p w:rsidR="005C39F7" w:rsidRPr="005C39F7" w:rsidRDefault="005C39F7" w:rsidP="005C39F7">
      <w:pPr>
        <w:shd w:val="clear" w:color="auto" w:fill="FFFFFF"/>
        <w:spacing w:before="0"/>
        <w:ind w:right="225" w:firstLine="0"/>
        <w:contextualSpacing/>
        <w:mirrorIndents/>
        <w:rPr>
          <w:rFonts w:eastAsia="Times New Roman" w:cs="Times New Roman"/>
          <w:szCs w:val="24"/>
          <w:lang w:eastAsia="es-ES"/>
        </w:rPr>
      </w:pPr>
    </w:p>
    <w:p w:rsidR="005C39F7" w:rsidRPr="005C39F7" w:rsidRDefault="005C39F7" w:rsidP="005C39F7">
      <w:pPr>
        <w:shd w:val="clear" w:color="auto" w:fill="FFFFFF"/>
        <w:tabs>
          <w:tab w:val="left" w:pos="0"/>
        </w:tabs>
        <w:spacing w:before="0"/>
        <w:ind w:right="-1" w:firstLine="0"/>
        <w:contextualSpacing/>
        <w:mirrorIndents/>
        <w:rPr>
          <w:rFonts w:eastAsia="Times New Roman" w:cs="Times New Roman"/>
          <w:szCs w:val="24"/>
          <w:lang w:eastAsia="es-ES"/>
        </w:rPr>
      </w:pPr>
      <w:r w:rsidRPr="005C39F7">
        <w:rPr>
          <w:rFonts w:eastAsia="Times New Roman" w:cs="Times New Roman"/>
          <w:szCs w:val="24"/>
          <w:lang w:eastAsia="es-ES"/>
        </w:rPr>
        <w:t xml:space="preserve">Tal y como se acaba de exponer, la existencia de información veraz, suficiente y comprensible sobre los productos y servicios ofrecidos por las entidades financieras a sus clientes constituye uno de los principios básicos del Derecho de los mercados financieros. Este principio elemental adquiere más importancia aún si cabe cuanto más sofisticados y complejos son los bienes y servicios que se ofrecen a los clientes. </w:t>
      </w:r>
    </w:p>
    <w:p w:rsidR="005C39F7" w:rsidRPr="005C39F7" w:rsidRDefault="005C39F7" w:rsidP="005C39F7">
      <w:pPr>
        <w:shd w:val="clear" w:color="auto" w:fill="FFFFFF"/>
        <w:tabs>
          <w:tab w:val="left" w:pos="0"/>
        </w:tabs>
        <w:spacing w:before="0"/>
        <w:ind w:right="-1" w:firstLine="0"/>
        <w:contextualSpacing/>
        <w:mirrorIndents/>
        <w:rPr>
          <w:rFonts w:eastAsia="Times New Roman" w:cs="Times New Roman"/>
          <w:szCs w:val="24"/>
          <w:lang w:eastAsia="es-ES"/>
        </w:rPr>
      </w:pPr>
    </w:p>
    <w:p w:rsidR="005C39F7" w:rsidRPr="005C39F7" w:rsidRDefault="005C39F7" w:rsidP="005C39F7">
      <w:pPr>
        <w:shd w:val="clear" w:color="auto" w:fill="FFFFFF"/>
        <w:tabs>
          <w:tab w:val="left" w:pos="0"/>
        </w:tabs>
        <w:spacing w:before="0"/>
        <w:ind w:right="-1" w:firstLine="0"/>
        <w:contextualSpacing/>
        <w:mirrorIndents/>
        <w:rPr>
          <w:rFonts w:eastAsia="Times New Roman" w:cs="Times New Roman"/>
          <w:szCs w:val="24"/>
          <w:lang w:eastAsia="es-ES"/>
        </w:rPr>
      </w:pPr>
      <w:r w:rsidRPr="005C39F7">
        <w:rPr>
          <w:rFonts w:eastAsia="Times New Roman" w:cs="Times New Roman"/>
          <w:szCs w:val="24"/>
          <w:lang w:eastAsia="es-ES"/>
        </w:rPr>
        <w:t xml:space="preserve">Es por ello </w:t>
      </w:r>
      <w:proofErr w:type="gramStart"/>
      <w:r w:rsidRPr="005C39F7">
        <w:rPr>
          <w:rFonts w:eastAsia="Times New Roman" w:cs="Times New Roman"/>
          <w:szCs w:val="24"/>
          <w:lang w:eastAsia="es-ES"/>
        </w:rPr>
        <w:t>que  uno</w:t>
      </w:r>
      <w:proofErr w:type="gramEnd"/>
      <w:r w:rsidRPr="005C39F7">
        <w:rPr>
          <w:rFonts w:eastAsia="Times New Roman" w:cs="Times New Roman"/>
          <w:szCs w:val="24"/>
          <w:lang w:eastAsia="es-ES"/>
        </w:rPr>
        <w:t xml:space="preserve"> de los objetivos principales en la regulación de los mercados financieros ha sido, precisamente, el de garantizar que los clientes de servicios financieros dispongan de toda la información necesaria para conocer el valor sobre los servicios de inversión ofrecidos y para comprender los riesgos asociados a ellos.</w:t>
      </w:r>
    </w:p>
    <w:p w:rsidR="005C39F7" w:rsidRPr="005C39F7" w:rsidRDefault="005C39F7" w:rsidP="005C39F7">
      <w:pPr>
        <w:shd w:val="clear" w:color="auto" w:fill="FFFFFF"/>
        <w:tabs>
          <w:tab w:val="left" w:pos="0"/>
        </w:tabs>
        <w:spacing w:before="0"/>
        <w:ind w:right="-1" w:firstLine="0"/>
        <w:contextualSpacing/>
        <w:mirrorIndents/>
        <w:rPr>
          <w:rFonts w:eastAsia="Times New Roman" w:cs="Times New Roman"/>
          <w:szCs w:val="24"/>
          <w:lang w:eastAsia="es-ES"/>
        </w:rPr>
      </w:pPr>
      <w:bookmarkStart w:id="1" w:name="#3"/>
      <w:bookmarkEnd w:id="1"/>
    </w:p>
    <w:p w:rsidR="005C39F7" w:rsidRPr="005C39F7" w:rsidRDefault="005C39F7" w:rsidP="005C39F7">
      <w:pPr>
        <w:shd w:val="clear" w:color="auto" w:fill="FFFFFF"/>
        <w:tabs>
          <w:tab w:val="left" w:pos="0"/>
        </w:tabs>
        <w:spacing w:before="0"/>
        <w:ind w:right="-1" w:firstLine="0"/>
        <w:contextualSpacing/>
        <w:mirrorIndents/>
        <w:rPr>
          <w:rFonts w:eastAsia="Times New Roman" w:cs="Times New Roman"/>
          <w:szCs w:val="24"/>
          <w:lang w:eastAsia="es-ES"/>
        </w:rPr>
      </w:pPr>
      <w:r w:rsidRPr="005C39F7">
        <w:rPr>
          <w:rFonts w:eastAsia="Times New Roman" w:cs="Times New Roman"/>
          <w:szCs w:val="24"/>
          <w:lang w:eastAsia="es-ES"/>
        </w:rPr>
        <w:t>Sin embargo, tanto en el ámbito nacional como en el ámbito de la Unión Europea, la realidad demuestra que la falta de disponibilidad de información suficiente y comparable, así como la presentación confusa o incompleta de la información sobre los productos y servicios financieros, continúa siendo una de las mayores preocupaciones para los clientes financieros.</w:t>
      </w:r>
    </w:p>
    <w:p w:rsidR="005C39F7" w:rsidRPr="005C39F7" w:rsidRDefault="005C39F7" w:rsidP="005C39F7">
      <w:pPr>
        <w:shd w:val="clear" w:color="auto" w:fill="FFFFFF"/>
        <w:tabs>
          <w:tab w:val="left" w:pos="0"/>
        </w:tabs>
        <w:spacing w:before="0"/>
        <w:ind w:right="-1" w:firstLine="0"/>
        <w:contextualSpacing/>
        <w:mirrorIndents/>
        <w:rPr>
          <w:rFonts w:eastAsia="Times New Roman" w:cs="Times New Roman"/>
          <w:szCs w:val="24"/>
          <w:shd w:val="clear" w:color="auto" w:fill="FFFFFF"/>
          <w:lang w:eastAsia="es-ES"/>
        </w:rPr>
      </w:pPr>
    </w:p>
    <w:p w:rsidR="005C39F7" w:rsidRPr="005C39F7" w:rsidRDefault="005C39F7" w:rsidP="005C39F7">
      <w:pPr>
        <w:shd w:val="clear" w:color="auto" w:fill="FFFFFF"/>
        <w:tabs>
          <w:tab w:val="left" w:pos="0"/>
        </w:tabs>
        <w:spacing w:before="0"/>
        <w:ind w:right="-1" w:firstLine="0"/>
        <w:contextualSpacing/>
        <w:mirrorIndents/>
        <w:rPr>
          <w:rFonts w:eastAsia="Times New Roman" w:cs="Times New Roman"/>
          <w:szCs w:val="24"/>
          <w:shd w:val="clear" w:color="auto" w:fill="FFFFFF"/>
          <w:lang w:eastAsia="es-ES"/>
        </w:rPr>
      </w:pPr>
      <w:r w:rsidRPr="005C39F7">
        <w:rPr>
          <w:rFonts w:eastAsia="Times New Roman" w:cs="Times New Roman"/>
          <w:szCs w:val="24"/>
          <w:shd w:val="clear" w:color="auto" w:fill="FFFFFF"/>
          <w:lang w:eastAsia="es-ES"/>
        </w:rPr>
        <w:t xml:space="preserve">La aprobación de distintas normas dictadas al efecto pretende unificar los requisitos que han de cumplir ciertos productos financieros, de forma que las obligaciones de información varían considerablemente entre productos. Basta una somera lectura de la normativa aplicable a estas obligaciones de información para darnos cuenta </w:t>
      </w:r>
      <w:proofErr w:type="gramStart"/>
      <w:r w:rsidRPr="005C39F7">
        <w:rPr>
          <w:rFonts w:eastAsia="Times New Roman" w:cs="Times New Roman"/>
          <w:szCs w:val="24"/>
          <w:shd w:val="clear" w:color="auto" w:fill="FFFFFF"/>
          <w:lang w:eastAsia="es-ES"/>
        </w:rPr>
        <w:t>que</w:t>
      </w:r>
      <w:proofErr w:type="gramEnd"/>
      <w:r w:rsidRPr="005C39F7">
        <w:rPr>
          <w:rFonts w:eastAsia="Times New Roman" w:cs="Times New Roman"/>
          <w:szCs w:val="24"/>
          <w:shd w:val="clear" w:color="auto" w:fill="FFFFFF"/>
          <w:lang w:eastAsia="es-ES"/>
        </w:rPr>
        <w:t xml:space="preserve"> existen diferencias relevantes en cuanto a la información a publicar o facilitar sobre </w:t>
      </w:r>
      <w:r w:rsidRPr="005C39F7">
        <w:rPr>
          <w:rFonts w:eastAsia="Times New Roman" w:cs="Times New Roman"/>
          <w:szCs w:val="24"/>
          <w:shd w:val="clear" w:color="auto" w:fill="FFFFFF"/>
          <w:lang w:eastAsia="es-ES"/>
        </w:rPr>
        <w:lastRenderedPageBreak/>
        <w:t>cada producto, su forma de representación y el medio y momento de su transmisión al cliente final.</w:t>
      </w:r>
      <w:r w:rsidRPr="005C39F7">
        <w:rPr>
          <w:rFonts w:eastAsia="Times New Roman" w:cs="Times New Roman"/>
          <w:szCs w:val="24"/>
          <w:shd w:val="clear" w:color="auto" w:fill="FFFFFF"/>
          <w:vertAlign w:val="superscript"/>
          <w:lang w:eastAsia="es-ES"/>
        </w:rPr>
        <w:footnoteReference w:id="4"/>
      </w:r>
    </w:p>
    <w:p w:rsidR="005C39F7" w:rsidRPr="005C39F7" w:rsidRDefault="005C39F7" w:rsidP="005C39F7">
      <w:pPr>
        <w:shd w:val="clear" w:color="auto" w:fill="FFFFFF"/>
        <w:tabs>
          <w:tab w:val="left" w:pos="0"/>
        </w:tabs>
        <w:spacing w:before="0"/>
        <w:ind w:right="-1" w:firstLine="0"/>
        <w:contextualSpacing/>
        <w:mirrorIndents/>
        <w:rPr>
          <w:rFonts w:eastAsia="Times New Roman" w:cs="Times New Roman"/>
          <w:szCs w:val="24"/>
          <w:shd w:val="clear" w:color="auto" w:fill="FFFFFF"/>
          <w:lang w:eastAsia="es-ES"/>
        </w:rPr>
      </w:pPr>
    </w:p>
    <w:p w:rsidR="005C39F7" w:rsidRPr="005C39F7" w:rsidRDefault="005C39F7" w:rsidP="005C39F7">
      <w:pPr>
        <w:shd w:val="clear" w:color="auto" w:fill="FFFFFF"/>
        <w:tabs>
          <w:tab w:val="left" w:pos="0"/>
        </w:tabs>
        <w:spacing w:before="0"/>
        <w:ind w:right="-1" w:firstLine="0"/>
        <w:contextualSpacing/>
        <w:mirrorIndents/>
        <w:rPr>
          <w:rFonts w:eastAsia="Times New Roman" w:cs="Times New Roman"/>
          <w:szCs w:val="24"/>
          <w:shd w:val="clear" w:color="auto" w:fill="FFFFFF"/>
          <w:lang w:eastAsia="es-ES"/>
        </w:rPr>
      </w:pPr>
      <w:r w:rsidRPr="005C39F7">
        <w:rPr>
          <w:rFonts w:eastAsia="Times New Roman" w:cs="Times New Roman"/>
          <w:szCs w:val="24"/>
          <w:shd w:val="clear" w:color="auto" w:fill="FFFFFF"/>
          <w:lang w:eastAsia="es-ES"/>
        </w:rPr>
        <w:t xml:space="preserve">A lo que hay que añadir que, en muchas ocasiones, la información que se facilita en la práctica carece de un formato homogéneo, contiene un lenguaje excesivamente técnico y que los documentos precontractuales y publicitarios cuentan con demasiada información dificultando el distinguir en ellos la información más relevante. Lo que genera una merma de la eficacia y utilidad de dicha información. </w:t>
      </w:r>
    </w:p>
    <w:p w:rsidR="005C39F7" w:rsidRPr="005C39F7" w:rsidRDefault="005C39F7" w:rsidP="005C39F7">
      <w:pPr>
        <w:spacing w:before="0"/>
        <w:ind w:firstLine="0"/>
        <w:contextualSpacing/>
        <w:mirrorIndents/>
        <w:rPr>
          <w:rFonts w:eastAsia="Calibri" w:cs="Times New Roman"/>
          <w:iCs/>
          <w:szCs w:val="24"/>
          <w:shd w:val="clear" w:color="auto" w:fill="FFFFFF"/>
        </w:rPr>
      </w:pPr>
    </w:p>
    <w:p w:rsidR="005C39F7" w:rsidRPr="005C39F7" w:rsidRDefault="005C39F7" w:rsidP="005C39F7">
      <w:pPr>
        <w:spacing w:before="0"/>
        <w:ind w:firstLine="0"/>
        <w:contextualSpacing/>
        <w:mirrorIndents/>
        <w:rPr>
          <w:rFonts w:eastAsia="Calibri" w:cs="Times New Roman"/>
          <w:b/>
          <w:szCs w:val="24"/>
        </w:rPr>
      </w:pPr>
      <w:r w:rsidRPr="005C39F7">
        <w:rPr>
          <w:rFonts w:eastAsia="Calibri" w:cs="Times New Roman"/>
          <w:iCs/>
          <w:szCs w:val="24"/>
          <w:shd w:val="clear" w:color="auto" w:fill="FFFFFF"/>
        </w:rPr>
        <w:t xml:space="preserve">Es preciso, pues, que la clientela bancaria cuente con una clasificación de productos financieros en virtud del indicador de riesgo, la alerta sobre la liquidez y sobre la complejidad </w:t>
      </w:r>
      <w:r w:rsidRPr="005C39F7">
        <w:rPr>
          <w:rFonts w:eastAsia="Calibri" w:cs="Times New Roman"/>
          <w:szCs w:val="24"/>
          <w:shd w:val="clear" w:color="auto" w:fill="FFFFFF"/>
        </w:rPr>
        <w:t>de los productos financieros que sean complejos</w:t>
      </w:r>
      <w:r w:rsidRPr="005C39F7">
        <w:rPr>
          <w:rFonts w:eastAsia="Calibri" w:cs="Times New Roman"/>
          <w:szCs w:val="24"/>
          <w:shd w:val="clear" w:color="auto" w:fill="FFFFFF"/>
          <w:vertAlign w:val="superscript"/>
        </w:rPr>
        <w:footnoteReference w:id="5"/>
      </w:r>
      <w:r w:rsidRPr="005C39F7">
        <w:rPr>
          <w:rFonts w:eastAsia="Calibri" w:cs="Times New Roman"/>
          <w:szCs w:val="24"/>
          <w:shd w:val="clear" w:color="auto" w:fill="FFFFFF"/>
        </w:rPr>
        <w:t>.</w:t>
      </w:r>
    </w:p>
    <w:tbl>
      <w:tblPr>
        <w:tblW w:w="5000" w:type="pct"/>
        <w:tblBorders>
          <w:top w:val="single" w:sz="6" w:space="0" w:color="FFFFFF"/>
          <w:left w:val="single" w:sz="6" w:space="0" w:color="FFFFFF"/>
          <w:bottom w:val="single" w:sz="6" w:space="0" w:color="FFFFFF"/>
          <w:right w:val="single" w:sz="6" w:space="0" w:color="FFFFFF"/>
        </w:tblBorders>
        <w:shd w:val="clear" w:color="auto" w:fill="FFFFFF"/>
        <w:tblCellMar>
          <w:left w:w="0" w:type="dxa"/>
          <w:right w:w="0" w:type="dxa"/>
        </w:tblCellMar>
        <w:tblLook w:val="04A0" w:firstRow="1" w:lastRow="0" w:firstColumn="1" w:lastColumn="0" w:noHBand="0" w:noVBand="1"/>
      </w:tblPr>
      <w:tblGrid>
        <w:gridCol w:w="8488"/>
      </w:tblGrid>
      <w:tr w:rsidR="005C39F7" w:rsidRPr="005C39F7" w:rsidTr="00B804F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5C39F7" w:rsidRPr="005C39F7" w:rsidRDefault="005C39F7" w:rsidP="005C39F7">
            <w:pPr>
              <w:spacing w:before="0"/>
              <w:ind w:firstLine="0"/>
              <w:contextualSpacing/>
              <w:mirrorIndents/>
              <w:rPr>
                <w:rFonts w:eastAsia="Times New Roman" w:cs="Times New Roman"/>
                <w:szCs w:val="24"/>
                <w:lang w:eastAsia="es-ES"/>
              </w:rPr>
            </w:pPr>
          </w:p>
          <w:p w:rsidR="005C39F7" w:rsidRPr="005C39F7" w:rsidRDefault="005C39F7" w:rsidP="005C39F7">
            <w:pPr>
              <w:spacing w:before="0"/>
              <w:ind w:firstLine="0"/>
              <w:contextualSpacing/>
              <w:mirrorIndents/>
              <w:rPr>
                <w:rFonts w:eastAsia="Times New Roman" w:cs="Times New Roman"/>
                <w:szCs w:val="24"/>
                <w:lang w:eastAsia="es-ES"/>
              </w:rPr>
            </w:pPr>
            <w:r w:rsidRPr="005C39F7">
              <w:rPr>
                <w:rFonts w:eastAsia="Times New Roman" w:cs="Times New Roman"/>
                <w:szCs w:val="24"/>
                <w:lang w:eastAsia="es-ES"/>
              </w:rPr>
              <w:t>Para lograr la máxima transparencia a la hora de contratar un producto financiero la información debería ser</w:t>
            </w:r>
            <w:r w:rsidRPr="005C39F7">
              <w:rPr>
                <w:rFonts w:eastAsia="Calibri" w:cs="Times New Roman"/>
                <w:szCs w:val="24"/>
                <w:shd w:val="clear" w:color="auto" w:fill="FFFFFF"/>
              </w:rPr>
              <w:t xml:space="preserve"> precisa, imparcial, clara y sobre todo no engañosa.</w:t>
            </w:r>
          </w:p>
          <w:p w:rsidR="005C39F7" w:rsidRPr="005C39F7" w:rsidRDefault="005C39F7" w:rsidP="005C39F7">
            <w:pPr>
              <w:spacing w:before="0"/>
              <w:ind w:firstLine="0"/>
              <w:contextualSpacing/>
              <w:mirrorIndents/>
              <w:rPr>
                <w:rFonts w:eastAsia="Times New Roman" w:cs="Times New Roman"/>
                <w:szCs w:val="24"/>
                <w:lang w:eastAsia="es-ES"/>
              </w:rPr>
            </w:pPr>
          </w:p>
          <w:p w:rsidR="005C39F7" w:rsidRPr="005C39F7" w:rsidRDefault="005C39F7" w:rsidP="005C39F7">
            <w:pPr>
              <w:spacing w:before="0"/>
              <w:ind w:firstLine="0"/>
              <w:contextualSpacing/>
              <w:mirrorIndents/>
              <w:rPr>
                <w:rFonts w:eastAsia="Calibri" w:cs="Times New Roman"/>
                <w:szCs w:val="24"/>
                <w:shd w:val="clear" w:color="auto" w:fill="FFFFFF"/>
              </w:rPr>
            </w:pPr>
            <w:r w:rsidRPr="005C39F7">
              <w:rPr>
                <w:rFonts w:eastAsia="Calibri" w:cs="Times New Roman"/>
                <w:szCs w:val="24"/>
                <w:shd w:val="clear" w:color="auto" w:fill="FFFFFF"/>
              </w:rPr>
              <w:t xml:space="preserve">De ahí que el legislador establezca que el documento con la información del producto financiero o del servicio bancario sea </w:t>
            </w:r>
            <w:r w:rsidRPr="005C39F7">
              <w:rPr>
                <w:rFonts w:eastAsia="Times New Roman" w:cs="Times New Roman"/>
                <w:szCs w:val="24"/>
                <w:lang w:eastAsia="es-ES"/>
              </w:rPr>
              <w:t>breve, redactado de forma concisa y contenga los</w:t>
            </w:r>
            <w:r w:rsidRPr="005C39F7">
              <w:rPr>
                <w:rFonts w:eastAsia="Calibri" w:cs="Times New Roman"/>
                <w:szCs w:val="24"/>
                <w:shd w:val="clear" w:color="auto" w:fill="FFFFFF"/>
              </w:rPr>
              <w:t xml:space="preserve"> datos fundamentales. </w:t>
            </w:r>
            <w:proofErr w:type="gramStart"/>
            <w:r w:rsidRPr="005C39F7">
              <w:rPr>
                <w:rFonts w:eastAsia="Calibri" w:cs="Times New Roman"/>
                <w:szCs w:val="24"/>
                <w:shd w:val="clear" w:color="auto" w:fill="FFFFFF"/>
              </w:rPr>
              <w:t>Además  de</w:t>
            </w:r>
            <w:proofErr w:type="gramEnd"/>
            <w:r w:rsidRPr="005C39F7">
              <w:rPr>
                <w:rFonts w:eastAsia="Calibri" w:cs="Times New Roman"/>
                <w:szCs w:val="24"/>
                <w:shd w:val="clear" w:color="auto" w:fill="FFFFFF"/>
              </w:rPr>
              <w:t xml:space="preserve"> ser un documento independiente, claramente separado del material comercial y no contenga remisiones a dicho material. </w:t>
            </w:r>
          </w:p>
          <w:p w:rsidR="005C39F7" w:rsidRPr="005C39F7" w:rsidRDefault="005C39F7" w:rsidP="005C39F7">
            <w:pPr>
              <w:shd w:val="clear" w:color="auto" w:fill="FFFFFF"/>
              <w:spacing w:before="0"/>
              <w:ind w:firstLine="0"/>
              <w:contextualSpacing/>
              <w:mirrorIndents/>
              <w:textAlignment w:val="baseline"/>
              <w:rPr>
                <w:rFonts w:eastAsia="Times New Roman" w:cs="Times New Roman"/>
                <w:szCs w:val="24"/>
                <w:lang w:eastAsia="es-ES"/>
              </w:rPr>
            </w:pPr>
          </w:p>
          <w:p w:rsidR="005C39F7" w:rsidRPr="005C39F7" w:rsidRDefault="005C39F7" w:rsidP="005C39F7">
            <w:pPr>
              <w:shd w:val="clear" w:color="auto" w:fill="FFFFFF"/>
              <w:spacing w:before="0"/>
              <w:ind w:firstLine="0"/>
              <w:contextualSpacing/>
              <w:mirrorIndents/>
              <w:textAlignment w:val="baseline"/>
              <w:rPr>
                <w:rFonts w:eastAsia="Times New Roman" w:cs="Times New Roman"/>
                <w:szCs w:val="24"/>
                <w:lang w:eastAsia="es-ES"/>
              </w:rPr>
            </w:pPr>
            <w:r w:rsidRPr="005C39F7">
              <w:rPr>
                <w:rFonts w:eastAsia="Times New Roman" w:cs="Times New Roman"/>
                <w:szCs w:val="24"/>
                <w:lang w:eastAsia="es-ES"/>
              </w:rPr>
              <w:t>El mismo deberá</w:t>
            </w:r>
            <w:r w:rsidRPr="005C39F7">
              <w:rPr>
                <w:rFonts w:eastAsia="Times New Roman" w:cs="Times New Roman"/>
                <w:szCs w:val="24"/>
                <w:vertAlign w:val="superscript"/>
                <w:lang w:eastAsia="es-ES"/>
              </w:rPr>
              <w:footnoteReference w:id="6"/>
            </w:r>
            <w:r w:rsidRPr="005C39F7">
              <w:rPr>
                <w:rFonts w:eastAsia="Times New Roman" w:cs="Times New Roman"/>
                <w:szCs w:val="24"/>
                <w:lang w:eastAsia="es-ES"/>
              </w:rPr>
              <w:t>:</w:t>
            </w:r>
          </w:p>
          <w:p w:rsidR="005C39F7" w:rsidRPr="005C39F7" w:rsidRDefault="005C39F7" w:rsidP="005C39F7">
            <w:pPr>
              <w:shd w:val="clear" w:color="auto" w:fill="FFFFFF"/>
              <w:spacing w:before="0"/>
              <w:ind w:firstLine="0"/>
              <w:contextualSpacing/>
              <w:mirrorIndents/>
              <w:textAlignment w:val="baseline"/>
              <w:rPr>
                <w:rFonts w:eastAsia="Times New Roman" w:cs="Times New Roman"/>
                <w:szCs w:val="24"/>
                <w:lang w:eastAsia="es-ES"/>
              </w:rPr>
            </w:pPr>
          </w:p>
          <w:tbl>
            <w:tblPr>
              <w:tblW w:w="5000" w:type="pct"/>
              <w:tblBorders>
                <w:top w:val="single" w:sz="6" w:space="0" w:color="FFFFFF"/>
                <w:left w:val="single" w:sz="6" w:space="0" w:color="FFFFFF"/>
                <w:bottom w:val="single" w:sz="6" w:space="0" w:color="FFFFFF"/>
                <w:right w:val="single" w:sz="6" w:space="0" w:color="FFFFFF"/>
              </w:tblBorders>
              <w:shd w:val="clear" w:color="auto" w:fill="FFFFFF"/>
              <w:tblCellMar>
                <w:left w:w="0" w:type="dxa"/>
                <w:right w:w="0" w:type="dxa"/>
              </w:tblCellMar>
              <w:tblLook w:val="04A0" w:firstRow="1" w:lastRow="0" w:firstColumn="1" w:lastColumn="0" w:noHBand="0" w:noVBand="1"/>
            </w:tblPr>
            <w:tblGrid>
              <w:gridCol w:w="293"/>
              <w:gridCol w:w="8074"/>
            </w:tblGrid>
            <w:tr w:rsidR="005C39F7" w:rsidRPr="005C39F7" w:rsidTr="00B804F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5C39F7" w:rsidRPr="005C39F7" w:rsidRDefault="005C39F7" w:rsidP="005C39F7">
                  <w:pPr>
                    <w:spacing w:before="0"/>
                    <w:ind w:firstLine="0"/>
                    <w:rPr>
                      <w:rFonts w:eastAsia="Calibri" w:cs="Times New Roman"/>
                      <w:szCs w:val="24"/>
                    </w:rPr>
                  </w:pPr>
                  <w:r w:rsidRPr="005C39F7">
                    <w:rPr>
                      <w:rFonts w:eastAsia="Calibri" w:cs="Times New Roman"/>
                      <w:szCs w:val="24"/>
                    </w:rPr>
                    <w:t>a)</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5C39F7" w:rsidRPr="005C39F7" w:rsidRDefault="005C39F7" w:rsidP="005C39F7">
                  <w:pPr>
                    <w:spacing w:before="0"/>
                    <w:ind w:firstLine="0"/>
                    <w:rPr>
                      <w:rFonts w:eastAsia="Calibri" w:cs="Times New Roman"/>
                      <w:szCs w:val="24"/>
                    </w:rPr>
                  </w:pPr>
                  <w:r w:rsidRPr="005C39F7">
                    <w:rPr>
                      <w:rFonts w:eastAsia="Calibri" w:cs="Times New Roman"/>
                      <w:szCs w:val="24"/>
                    </w:rPr>
                    <w:t>tener una presentación y una estructura que permitan su fácil lectura, y los caracteres empleados serán de un tamaño legible;</w:t>
                  </w:r>
                </w:p>
                <w:p w:rsidR="005C39F7" w:rsidRPr="005C39F7" w:rsidRDefault="005C39F7" w:rsidP="005C39F7">
                  <w:pPr>
                    <w:spacing w:before="0"/>
                    <w:ind w:firstLine="0"/>
                    <w:rPr>
                      <w:rFonts w:eastAsia="Calibri" w:cs="Times New Roman"/>
                      <w:szCs w:val="24"/>
                    </w:rPr>
                  </w:pPr>
                </w:p>
              </w:tc>
            </w:tr>
          </w:tbl>
          <w:p w:rsidR="005C39F7" w:rsidRPr="005C39F7" w:rsidRDefault="005C39F7" w:rsidP="005C39F7">
            <w:pPr>
              <w:spacing w:before="0"/>
              <w:ind w:firstLine="0"/>
              <w:rPr>
                <w:rFonts w:eastAsia="Calibri" w:cs="Times New Roman"/>
                <w:vanish/>
                <w:szCs w:val="24"/>
              </w:rPr>
            </w:pPr>
          </w:p>
          <w:tbl>
            <w:tblPr>
              <w:tblW w:w="5000" w:type="pct"/>
              <w:tblBorders>
                <w:top w:val="single" w:sz="6" w:space="0" w:color="FFFFFF"/>
                <w:left w:val="single" w:sz="6" w:space="0" w:color="FFFFFF"/>
                <w:bottom w:val="single" w:sz="6" w:space="0" w:color="FFFFFF"/>
                <w:right w:val="single" w:sz="6" w:space="0" w:color="FFFFFF"/>
              </w:tblBorders>
              <w:shd w:val="clear" w:color="auto" w:fill="FFFFFF"/>
              <w:tblCellMar>
                <w:left w:w="0" w:type="dxa"/>
                <w:right w:w="0" w:type="dxa"/>
              </w:tblCellMar>
              <w:tblLook w:val="04A0" w:firstRow="1" w:lastRow="0" w:firstColumn="1" w:lastColumn="0" w:noHBand="0" w:noVBand="1"/>
            </w:tblPr>
            <w:tblGrid>
              <w:gridCol w:w="317"/>
              <w:gridCol w:w="8050"/>
            </w:tblGrid>
            <w:tr w:rsidR="005C39F7" w:rsidRPr="005C39F7" w:rsidTr="00B804F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5C39F7" w:rsidRPr="005C39F7" w:rsidRDefault="005C39F7" w:rsidP="005C39F7">
                  <w:pPr>
                    <w:spacing w:before="0"/>
                    <w:ind w:firstLine="0"/>
                    <w:rPr>
                      <w:rFonts w:eastAsia="Calibri" w:cs="Times New Roman"/>
                      <w:szCs w:val="24"/>
                    </w:rPr>
                  </w:pPr>
                  <w:r w:rsidRPr="005C39F7">
                    <w:rPr>
                      <w:rFonts w:eastAsia="Calibri" w:cs="Times New Roman"/>
                      <w:szCs w:val="24"/>
                    </w:rPr>
                    <w:t>b)</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5C39F7" w:rsidRPr="005C39F7" w:rsidRDefault="005C39F7" w:rsidP="005C39F7">
                  <w:pPr>
                    <w:spacing w:before="0"/>
                    <w:ind w:firstLine="0"/>
                    <w:rPr>
                      <w:rFonts w:eastAsia="Calibri" w:cs="Times New Roman"/>
                      <w:szCs w:val="24"/>
                    </w:rPr>
                  </w:pPr>
                  <w:r w:rsidRPr="005C39F7">
                    <w:rPr>
                      <w:rFonts w:eastAsia="Calibri" w:cs="Times New Roman"/>
                      <w:szCs w:val="24"/>
                    </w:rPr>
                    <w:t>centrarse en los datos fundamentales que necesitan los inversores minoristas;</w:t>
                  </w:r>
                </w:p>
              </w:tc>
            </w:tr>
            <w:tr w:rsidR="005C39F7" w:rsidRPr="005C39F7" w:rsidTr="00B804F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tcPr>
                <w:p w:rsidR="005C39F7" w:rsidRPr="005C39F7" w:rsidRDefault="005C39F7" w:rsidP="005C39F7">
                  <w:pPr>
                    <w:spacing w:before="0"/>
                    <w:ind w:firstLine="0"/>
                    <w:rPr>
                      <w:rFonts w:eastAsia="Calibri" w:cs="Times New Roman"/>
                      <w:szCs w:val="24"/>
                    </w:rPr>
                  </w:pP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tcPr>
                <w:p w:rsidR="005C39F7" w:rsidRPr="005C39F7" w:rsidRDefault="005C39F7" w:rsidP="005C39F7">
                  <w:pPr>
                    <w:spacing w:before="0"/>
                    <w:ind w:firstLine="0"/>
                    <w:rPr>
                      <w:rFonts w:eastAsia="Calibri" w:cs="Times New Roman"/>
                      <w:szCs w:val="24"/>
                    </w:rPr>
                  </w:pPr>
                </w:p>
              </w:tc>
            </w:tr>
          </w:tbl>
          <w:p w:rsidR="005C39F7" w:rsidRPr="005C39F7" w:rsidRDefault="005C39F7" w:rsidP="005C39F7">
            <w:pPr>
              <w:spacing w:before="0"/>
              <w:ind w:firstLine="0"/>
              <w:rPr>
                <w:rFonts w:eastAsia="Calibri" w:cs="Times New Roman"/>
                <w:vanish/>
                <w:szCs w:val="24"/>
              </w:rPr>
            </w:pPr>
          </w:p>
          <w:tbl>
            <w:tblPr>
              <w:tblW w:w="5000" w:type="pct"/>
              <w:tblBorders>
                <w:top w:val="single" w:sz="6" w:space="0" w:color="FFFFFF"/>
                <w:left w:val="single" w:sz="6" w:space="0" w:color="FFFFFF"/>
                <w:bottom w:val="single" w:sz="6" w:space="0" w:color="FFFFFF"/>
                <w:right w:val="single" w:sz="6" w:space="0" w:color="FFFFFF"/>
              </w:tblBorders>
              <w:shd w:val="clear" w:color="auto" w:fill="FFFFFF"/>
              <w:tblCellMar>
                <w:left w:w="0" w:type="dxa"/>
                <w:right w:w="0" w:type="dxa"/>
              </w:tblCellMar>
              <w:tblLook w:val="04A0" w:firstRow="1" w:lastRow="0" w:firstColumn="1" w:lastColumn="0" w:noHBand="0" w:noVBand="1"/>
            </w:tblPr>
            <w:tblGrid>
              <w:gridCol w:w="280"/>
              <w:gridCol w:w="8087"/>
            </w:tblGrid>
            <w:tr w:rsidR="005C39F7" w:rsidRPr="005C39F7" w:rsidTr="00B804FC">
              <w:trPr>
                <w:trHeight w:val="25"/>
              </w:trPr>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5C39F7" w:rsidRPr="005C39F7" w:rsidRDefault="005C39F7" w:rsidP="005C39F7">
                  <w:pPr>
                    <w:spacing w:before="0"/>
                    <w:ind w:firstLine="0"/>
                    <w:rPr>
                      <w:rFonts w:eastAsia="Calibri" w:cs="Times New Roman"/>
                      <w:szCs w:val="24"/>
                    </w:rPr>
                  </w:pPr>
                  <w:r w:rsidRPr="005C39F7">
                    <w:rPr>
                      <w:rFonts w:eastAsia="Calibri" w:cs="Times New Roman"/>
                      <w:szCs w:val="24"/>
                    </w:rPr>
                    <w:t>c)</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5C39F7" w:rsidRPr="005C39F7" w:rsidRDefault="005C39F7" w:rsidP="005C39F7">
                  <w:pPr>
                    <w:spacing w:before="0"/>
                    <w:ind w:firstLine="0"/>
                    <w:rPr>
                      <w:rFonts w:eastAsia="Calibri" w:cs="Times New Roman"/>
                      <w:szCs w:val="24"/>
                    </w:rPr>
                  </w:pPr>
                  <w:r w:rsidRPr="005C39F7">
                    <w:rPr>
                      <w:rFonts w:eastAsia="Calibri" w:cs="Times New Roman"/>
                      <w:szCs w:val="24"/>
                    </w:rPr>
                    <w:t>estar redactado con claridad y en un lenguaje y con un estilo de comunicación que faciliten la comprensión de la información, en particular con un lenguaje claro, sucinto y comprensible</w:t>
                  </w:r>
                </w:p>
              </w:tc>
            </w:tr>
          </w:tbl>
          <w:p w:rsidR="005C39F7" w:rsidRPr="005C39F7" w:rsidRDefault="005C39F7" w:rsidP="005C39F7">
            <w:pPr>
              <w:shd w:val="clear" w:color="auto" w:fill="FFFFFF"/>
              <w:spacing w:before="0"/>
              <w:ind w:firstLine="0"/>
              <w:contextualSpacing/>
              <w:mirrorIndents/>
              <w:textAlignment w:val="baseline"/>
              <w:rPr>
                <w:rFonts w:eastAsia="Times New Roman" w:cs="Times New Roman"/>
                <w:szCs w:val="24"/>
                <w:lang w:eastAsia="es-ES"/>
              </w:rPr>
            </w:pPr>
          </w:p>
          <w:p w:rsidR="005C39F7" w:rsidRPr="005C39F7" w:rsidRDefault="005C39F7" w:rsidP="005C39F7">
            <w:pPr>
              <w:spacing w:before="0"/>
              <w:ind w:left="720" w:firstLine="0"/>
              <w:contextualSpacing/>
              <w:mirrorIndents/>
              <w:rPr>
                <w:rFonts w:eastAsia="Times New Roman" w:cs="Times New Roman"/>
                <w:szCs w:val="24"/>
                <w:lang w:eastAsia="es-ES"/>
              </w:rPr>
            </w:pPr>
          </w:p>
        </w:tc>
      </w:tr>
    </w:tbl>
    <w:p w:rsidR="005C39F7" w:rsidRPr="005C39F7" w:rsidRDefault="005C39F7" w:rsidP="005C39F7">
      <w:pPr>
        <w:spacing w:before="0"/>
        <w:ind w:firstLine="0"/>
        <w:contextualSpacing/>
        <w:mirrorIndents/>
        <w:rPr>
          <w:rFonts w:eastAsia="Times New Roman" w:cs="Times New Roman"/>
          <w:vanish/>
          <w:szCs w:val="24"/>
          <w:lang w:eastAsia="es-ES"/>
        </w:rPr>
      </w:pPr>
    </w:p>
    <w:p w:rsidR="005C39F7" w:rsidRPr="005C39F7" w:rsidRDefault="005C39F7" w:rsidP="005C39F7">
      <w:pPr>
        <w:spacing w:before="0"/>
        <w:ind w:firstLine="0"/>
        <w:contextualSpacing/>
        <w:mirrorIndents/>
        <w:rPr>
          <w:rFonts w:eastAsia="Times New Roman" w:cs="Times New Roman"/>
          <w:vanish/>
          <w:szCs w:val="24"/>
          <w:lang w:eastAsia="es-ES"/>
        </w:rPr>
      </w:pPr>
    </w:p>
    <w:p w:rsidR="005C39F7" w:rsidRPr="005C39F7" w:rsidRDefault="005C39F7" w:rsidP="005C39F7">
      <w:pPr>
        <w:spacing w:before="0"/>
        <w:ind w:firstLine="0"/>
        <w:contextualSpacing/>
        <w:mirrorIndents/>
        <w:rPr>
          <w:rFonts w:eastAsia="Calibri" w:cs="Times New Roman"/>
          <w:b/>
          <w:szCs w:val="24"/>
        </w:rPr>
      </w:pPr>
      <w:r w:rsidRPr="005C39F7">
        <w:rPr>
          <w:rFonts w:eastAsia="Calibri" w:cs="Times New Roman"/>
          <w:b/>
          <w:szCs w:val="24"/>
        </w:rPr>
        <w:t xml:space="preserve">IV.-Fiscalidad de los productos financieros </w:t>
      </w:r>
    </w:p>
    <w:p w:rsidR="005C39F7" w:rsidRPr="005C39F7" w:rsidRDefault="005C39F7" w:rsidP="005C39F7">
      <w:pPr>
        <w:spacing w:before="0"/>
        <w:ind w:left="708" w:firstLine="708"/>
        <w:contextualSpacing/>
        <w:mirrorIndents/>
        <w:rPr>
          <w:rFonts w:eastAsia="Calibri" w:cs="Times New Roman"/>
          <w:b/>
          <w:szCs w:val="24"/>
        </w:rPr>
      </w:pPr>
    </w:p>
    <w:p w:rsidR="005C39F7" w:rsidRPr="005C39F7" w:rsidRDefault="005C39F7" w:rsidP="005C39F7">
      <w:pPr>
        <w:spacing w:before="0"/>
        <w:ind w:left="708" w:firstLine="708"/>
        <w:contextualSpacing/>
        <w:mirrorIndents/>
        <w:rPr>
          <w:rFonts w:eastAsia="Calibri" w:cs="Times New Roman"/>
          <w:b/>
          <w:szCs w:val="24"/>
        </w:rPr>
      </w:pPr>
      <w:r w:rsidRPr="005C39F7">
        <w:rPr>
          <w:rFonts w:eastAsia="Calibri" w:cs="Times New Roman"/>
          <w:b/>
          <w:szCs w:val="24"/>
        </w:rPr>
        <w:t xml:space="preserve">IV.1.-Planificación fiscal </w:t>
      </w:r>
    </w:p>
    <w:p w:rsidR="005C39F7" w:rsidRPr="005C39F7" w:rsidRDefault="005C39F7" w:rsidP="005C39F7">
      <w:pPr>
        <w:spacing w:before="0"/>
        <w:ind w:firstLine="0"/>
        <w:contextualSpacing/>
        <w:mirrorIndents/>
        <w:rPr>
          <w:rFonts w:eastAsia="Calibri" w:cs="Times New Roman"/>
          <w:b/>
          <w:szCs w:val="24"/>
        </w:rPr>
      </w:pPr>
    </w:p>
    <w:p w:rsidR="005C39F7" w:rsidRPr="005C39F7" w:rsidRDefault="005C39F7" w:rsidP="005C39F7">
      <w:pPr>
        <w:spacing w:before="0"/>
        <w:ind w:firstLine="0"/>
        <w:contextualSpacing/>
        <w:mirrorIndents/>
        <w:rPr>
          <w:rFonts w:eastAsia="Calibri" w:cs="Times New Roman"/>
          <w:szCs w:val="24"/>
        </w:rPr>
      </w:pPr>
      <w:r w:rsidRPr="005C39F7">
        <w:rPr>
          <w:rFonts w:eastAsia="Calibri" w:cs="Times New Roman"/>
          <w:szCs w:val="24"/>
        </w:rPr>
        <w:t>Los objetivos de la fiscalidad del ahorro se fundamentan especialmente en atender los objetivos de índole económica derivados de la internacionalización, así como la necesidad de atraer inversiones extranjeras y evitar la deslocalización del ahorro nacional.</w:t>
      </w:r>
    </w:p>
    <w:p w:rsidR="005C39F7" w:rsidRPr="005C39F7" w:rsidRDefault="005C39F7" w:rsidP="005C39F7">
      <w:pPr>
        <w:spacing w:before="0"/>
        <w:ind w:firstLine="0"/>
        <w:contextualSpacing/>
        <w:mirrorIndents/>
        <w:rPr>
          <w:rFonts w:eastAsia="Calibri" w:cs="Times New Roman"/>
          <w:szCs w:val="24"/>
        </w:rPr>
      </w:pPr>
    </w:p>
    <w:p w:rsidR="005C39F7" w:rsidRPr="005C39F7" w:rsidRDefault="005C39F7" w:rsidP="005C39F7">
      <w:pPr>
        <w:spacing w:before="0"/>
        <w:ind w:firstLine="0"/>
        <w:contextualSpacing/>
        <w:mirrorIndents/>
        <w:rPr>
          <w:rFonts w:eastAsia="Calibri" w:cs="Times New Roman"/>
          <w:szCs w:val="24"/>
        </w:rPr>
      </w:pPr>
      <w:r w:rsidRPr="005C39F7">
        <w:rPr>
          <w:rFonts w:eastAsia="Calibri" w:cs="Times New Roman"/>
          <w:szCs w:val="24"/>
        </w:rPr>
        <w:t xml:space="preserve">Desde la perspectiva del ahorrador sus objetivos divergen en el </w:t>
      </w:r>
      <w:r w:rsidRPr="005C39F7">
        <w:rPr>
          <w:rFonts w:eastAsia="Calibri" w:cs="Times New Roman"/>
          <w:i/>
          <w:szCs w:val="24"/>
        </w:rPr>
        <w:t>riesgo</w:t>
      </w:r>
      <w:r w:rsidRPr="005C39F7">
        <w:rPr>
          <w:rFonts w:eastAsia="Calibri" w:cs="Times New Roman"/>
          <w:szCs w:val="24"/>
        </w:rPr>
        <w:t xml:space="preserve"> que está dispuesto a asumir (a mayor riesgo, mayores rendimientos) y en el </w:t>
      </w:r>
      <w:r w:rsidRPr="005C39F7">
        <w:rPr>
          <w:rFonts w:eastAsia="Calibri" w:cs="Times New Roman"/>
          <w:i/>
          <w:szCs w:val="24"/>
        </w:rPr>
        <w:t>plazo de generación</w:t>
      </w:r>
      <w:r w:rsidRPr="005C39F7">
        <w:rPr>
          <w:rFonts w:eastAsia="Calibri" w:cs="Times New Roman"/>
          <w:szCs w:val="24"/>
        </w:rPr>
        <w:t xml:space="preserve"> de los rendimientos de los productos contratados en el mercado financiero, pues a mayor plazo de recuperación de los rendimientos, mayores serán estos y, por el </w:t>
      </w:r>
      <w:proofErr w:type="gramStart"/>
      <w:r w:rsidRPr="005C39F7">
        <w:rPr>
          <w:rFonts w:eastAsia="Calibri" w:cs="Times New Roman"/>
          <w:szCs w:val="24"/>
        </w:rPr>
        <w:t>contrario</w:t>
      </w:r>
      <w:proofErr w:type="gramEnd"/>
      <w:r w:rsidRPr="005C39F7">
        <w:rPr>
          <w:rFonts w:eastAsia="Calibri" w:cs="Times New Roman"/>
          <w:szCs w:val="24"/>
        </w:rPr>
        <w:t xml:space="preserve"> ante la mayor inmediatez en el cobro de las rentas supondrá menor rentabilidad. </w:t>
      </w:r>
    </w:p>
    <w:p w:rsidR="005C39F7" w:rsidRPr="005C39F7" w:rsidRDefault="005C39F7" w:rsidP="005C39F7">
      <w:pPr>
        <w:spacing w:before="0"/>
        <w:ind w:firstLine="0"/>
        <w:contextualSpacing/>
        <w:mirrorIndents/>
        <w:rPr>
          <w:rFonts w:eastAsia="Calibri" w:cs="Times New Roman"/>
          <w:szCs w:val="24"/>
        </w:rPr>
      </w:pPr>
    </w:p>
    <w:p w:rsidR="005C39F7" w:rsidRPr="005C39F7" w:rsidRDefault="005C39F7" w:rsidP="005C39F7">
      <w:pPr>
        <w:spacing w:before="0"/>
        <w:ind w:firstLine="0"/>
        <w:contextualSpacing/>
        <w:mirrorIndents/>
        <w:rPr>
          <w:rFonts w:eastAsia="Calibri" w:cs="Times New Roman"/>
          <w:szCs w:val="24"/>
        </w:rPr>
      </w:pPr>
      <w:r w:rsidRPr="005C39F7">
        <w:rPr>
          <w:rFonts w:eastAsia="Calibri" w:cs="Times New Roman"/>
          <w:szCs w:val="24"/>
        </w:rPr>
        <w:t>El legislador fiscal ha buscado con las últimas reformas fiscales otorgar un tratamiento neutral de las rentas derivadas del ahorro mediante la eliminación de las diferencias existentes entre los distintos instrumentos en los que se materializa pues ello ocasionaba una distorsión de la realidad financieras del ahorro</w:t>
      </w:r>
      <w:r w:rsidRPr="005C39F7">
        <w:rPr>
          <w:rFonts w:eastAsia="Calibri" w:cs="Times New Roman"/>
          <w:szCs w:val="24"/>
          <w:vertAlign w:val="superscript"/>
        </w:rPr>
        <w:footnoteReference w:id="7"/>
      </w:r>
      <w:r w:rsidRPr="005C39F7">
        <w:rPr>
          <w:rFonts w:eastAsia="Calibri" w:cs="Times New Roman"/>
          <w:szCs w:val="24"/>
        </w:rPr>
        <w:t xml:space="preserve">. </w:t>
      </w:r>
    </w:p>
    <w:p w:rsidR="005C39F7" w:rsidRPr="005C39F7" w:rsidRDefault="005C39F7" w:rsidP="005C39F7">
      <w:pPr>
        <w:spacing w:before="0"/>
        <w:ind w:firstLine="0"/>
        <w:contextualSpacing/>
        <w:mirrorIndents/>
        <w:rPr>
          <w:rFonts w:eastAsia="Calibri" w:cs="Times New Roman"/>
          <w:szCs w:val="24"/>
        </w:rPr>
      </w:pPr>
    </w:p>
    <w:p w:rsidR="005C39F7" w:rsidRPr="005C39F7" w:rsidRDefault="005C39F7" w:rsidP="005C39F7">
      <w:pPr>
        <w:spacing w:before="0"/>
        <w:ind w:firstLine="0"/>
        <w:contextualSpacing/>
        <w:mirrorIndents/>
        <w:rPr>
          <w:rFonts w:eastAsia="Calibri" w:cs="Times New Roman"/>
          <w:szCs w:val="24"/>
        </w:rPr>
      </w:pPr>
      <w:r w:rsidRPr="005C39F7">
        <w:rPr>
          <w:rFonts w:eastAsia="Calibri" w:cs="Times New Roman"/>
          <w:szCs w:val="24"/>
        </w:rPr>
        <w:t>No obstante, junto a la valoración de las ventajas a corto y largo plazo el cliente bancario que debe tributar habrá de buscar minimizar la carga fiscal siempre dentro de los márgenes de la legalidad.</w:t>
      </w:r>
    </w:p>
    <w:p w:rsidR="005C39F7" w:rsidRPr="005C39F7" w:rsidRDefault="005C39F7" w:rsidP="005C39F7">
      <w:pPr>
        <w:spacing w:before="0"/>
        <w:ind w:firstLine="0"/>
        <w:contextualSpacing/>
        <w:mirrorIndents/>
        <w:rPr>
          <w:rFonts w:eastAsia="Calibri" w:cs="Times New Roman"/>
          <w:szCs w:val="24"/>
        </w:rPr>
      </w:pPr>
    </w:p>
    <w:p w:rsidR="005C39F7" w:rsidRPr="005C39F7" w:rsidRDefault="005C39F7" w:rsidP="005C39F7">
      <w:pPr>
        <w:spacing w:before="0"/>
        <w:ind w:firstLine="0"/>
        <w:contextualSpacing/>
        <w:mirrorIndents/>
        <w:rPr>
          <w:rFonts w:eastAsia="Calibri" w:cs="Times New Roman"/>
          <w:szCs w:val="24"/>
        </w:rPr>
      </w:pPr>
      <w:r w:rsidRPr="005C39F7">
        <w:rPr>
          <w:rFonts w:eastAsia="Calibri" w:cs="Times New Roman"/>
          <w:szCs w:val="24"/>
        </w:rPr>
        <w:t>La planificación fiscal sobre la inversión de productos financieros se convierte de esta manera en una variable que se ha de tener presente. El diferimiento en el pago de los impuestos permite al cliente bancario obtener una rentabilidad adicional de los tributos no anticipados.</w:t>
      </w:r>
    </w:p>
    <w:p w:rsidR="005C39F7" w:rsidRPr="005C39F7" w:rsidRDefault="005C39F7" w:rsidP="005C39F7">
      <w:pPr>
        <w:spacing w:before="0"/>
        <w:ind w:firstLine="0"/>
        <w:contextualSpacing/>
        <w:mirrorIndents/>
        <w:rPr>
          <w:rFonts w:eastAsia="Calibri" w:cs="Times New Roman"/>
          <w:szCs w:val="24"/>
        </w:rPr>
      </w:pPr>
    </w:p>
    <w:p w:rsidR="005C39F7" w:rsidRPr="005C39F7" w:rsidRDefault="005C39F7" w:rsidP="005C39F7">
      <w:pPr>
        <w:spacing w:before="0"/>
        <w:ind w:firstLine="0"/>
        <w:contextualSpacing/>
        <w:mirrorIndents/>
        <w:rPr>
          <w:rFonts w:eastAsia="Calibri" w:cs="Times New Roman"/>
          <w:szCs w:val="24"/>
        </w:rPr>
      </w:pPr>
    </w:p>
    <w:p w:rsidR="005C39F7" w:rsidRPr="005C39F7" w:rsidRDefault="005C39F7" w:rsidP="005C39F7">
      <w:pPr>
        <w:spacing w:before="0"/>
        <w:ind w:firstLine="0"/>
        <w:contextualSpacing/>
        <w:mirrorIndents/>
        <w:rPr>
          <w:rFonts w:eastAsia="Calibri" w:cs="Times New Roman"/>
          <w:b/>
          <w:szCs w:val="24"/>
        </w:rPr>
      </w:pPr>
      <w:r w:rsidRPr="005C39F7">
        <w:rPr>
          <w:rFonts w:eastAsia="Calibri" w:cs="Times New Roman"/>
          <w:b/>
          <w:szCs w:val="24"/>
        </w:rPr>
        <w:t>IV.2.-Régimen fiscal los principales productos financieros</w:t>
      </w:r>
    </w:p>
    <w:p w:rsidR="005C39F7" w:rsidRPr="005C39F7" w:rsidRDefault="005C39F7" w:rsidP="005C39F7">
      <w:pPr>
        <w:spacing w:before="0"/>
        <w:ind w:firstLine="0"/>
        <w:contextualSpacing/>
        <w:mirrorIndents/>
        <w:rPr>
          <w:rFonts w:eastAsia="Calibri" w:cs="Times New Roman"/>
          <w:b/>
          <w:szCs w:val="24"/>
        </w:rPr>
      </w:pPr>
    </w:p>
    <w:p w:rsidR="005C39F7" w:rsidRPr="005C39F7" w:rsidRDefault="005C39F7" w:rsidP="005C39F7">
      <w:pPr>
        <w:spacing w:before="0"/>
        <w:ind w:firstLine="0"/>
        <w:contextualSpacing/>
        <w:mirrorIndents/>
        <w:rPr>
          <w:rFonts w:eastAsia="Calibri" w:cs="Times New Roman"/>
          <w:szCs w:val="24"/>
        </w:rPr>
      </w:pPr>
      <w:r w:rsidRPr="005C39F7">
        <w:rPr>
          <w:rFonts w:eastAsia="Calibri" w:cs="Times New Roman"/>
          <w:szCs w:val="24"/>
        </w:rPr>
        <w:t xml:space="preserve">En la actualidad los mercados financieros cuentan con una extensa gama de productos financieros de diferentes características tanto en lo relativo a rentabilidad y riesgo como en lo referente a la tributación de </w:t>
      </w:r>
      <w:proofErr w:type="gramStart"/>
      <w:r w:rsidRPr="005C39F7">
        <w:rPr>
          <w:rFonts w:eastAsia="Calibri" w:cs="Times New Roman"/>
          <w:szCs w:val="24"/>
        </w:rPr>
        <w:t>los mismos</w:t>
      </w:r>
      <w:proofErr w:type="gramEnd"/>
      <w:r w:rsidRPr="005C39F7">
        <w:rPr>
          <w:rFonts w:eastAsia="Calibri" w:cs="Times New Roman"/>
          <w:szCs w:val="24"/>
        </w:rPr>
        <w:t>.</w:t>
      </w:r>
    </w:p>
    <w:p w:rsidR="005C39F7" w:rsidRPr="005C39F7" w:rsidRDefault="005C39F7" w:rsidP="005C39F7">
      <w:pPr>
        <w:spacing w:before="0"/>
        <w:ind w:firstLine="0"/>
        <w:contextualSpacing/>
        <w:mirrorIndents/>
        <w:rPr>
          <w:rFonts w:eastAsia="Calibri" w:cs="Times New Roman"/>
          <w:szCs w:val="24"/>
        </w:rPr>
      </w:pPr>
    </w:p>
    <w:p w:rsidR="005C39F7" w:rsidRPr="005C39F7" w:rsidRDefault="005C39F7" w:rsidP="005C39F7">
      <w:pPr>
        <w:spacing w:before="0"/>
        <w:ind w:firstLine="0"/>
        <w:contextualSpacing/>
        <w:mirrorIndents/>
        <w:rPr>
          <w:rFonts w:eastAsia="Calibri" w:cs="Times New Roman"/>
          <w:szCs w:val="24"/>
        </w:rPr>
      </w:pPr>
      <w:r w:rsidRPr="005C39F7">
        <w:rPr>
          <w:rFonts w:eastAsia="Calibri" w:cs="Times New Roman"/>
          <w:szCs w:val="24"/>
        </w:rPr>
        <w:t xml:space="preserve">El cliente bancario podrá optar por contratar productos básicos y sencillos que ante un bajo riesgo le aporten una menor rentabilidad que aquéllos otros que posean unas características mucho más complejas. </w:t>
      </w:r>
    </w:p>
    <w:p w:rsidR="005C39F7" w:rsidRPr="005C39F7" w:rsidRDefault="005C39F7" w:rsidP="005C39F7">
      <w:pPr>
        <w:spacing w:before="0"/>
        <w:ind w:firstLine="0"/>
        <w:contextualSpacing/>
        <w:mirrorIndents/>
        <w:rPr>
          <w:rFonts w:eastAsia="Calibri" w:cs="Times New Roman"/>
          <w:szCs w:val="24"/>
        </w:rPr>
      </w:pPr>
    </w:p>
    <w:p w:rsidR="005C39F7" w:rsidRPr="005C39F7" w:rsidRDefault="005C39F7" w:rsidP="005C39F7">
      <w:pPr>
        <w:spacing w:before="0"/>
        <w:ind w:firstLine="0"/>
        <w:contextualSpacing/>
        <w:mirrorIndents/>
        <w:rPr>
          <w:rFonts w:eastAsia="Calibri" w:cs="Times New Roman"/>
          <w:b/>
          <w:szCs w:val="24"/>
        </w:rPr>
      </w:pPr>
      <w:r w:rsidRPr="005C39F7">
        <w:rPr>
          <w:rFonts w:eastAsia="Calibri" w:cs="Times New Roman"/>
          <w:szCs w:val="24"/>
        </w:rPr>
        <w:t xml:space="preserve">Cada instrumento financiero tendrá un impacto fiscal en el inversor que variará en función de la inversión realizada. Es por ello, que a lo largo de las siguientes páginas vamos </w:t>
      </w:r>
      <w:proofErr w:type="gramStart"/>
      <w:r w:rsidRPr="005C39F7">
        <w:rPr>
          <w:rFonts w:eastAsia="Calibri" w:cs="Times New Roman"/>
          <w:szCs w:val="24"/>
        </w:rPr>
        <w:t>a  intentar</w:t>
      </w:r>
      <w:proofErr w:type="gramEnd"/>
      <w:r w:rsidRPr="005C39F7">
        <w:rPr>
          <w:rFonts w:eastAsia="Calibri" w:cs="Times New Roman"/>
          <w:szCs w:val="24"/>
        </w:rPr>
        <w:t xml:space="preserve"> sistematizar la fiscalidad de los principales productos que ofrecen los mercados financieros agrupándolos para su estudio en renta variables y renta fija para terminar con una mención expresa de la tributación de los préstamos hipotecarios.</w:t>
      </w:r>
    </w:p>
    <w:p w:rsidR="005C39F7" w:rsidRPr="005C39F7" w:rsidRDefault="005C39F7" w:rsidP="005C39F7">
      <w:pPr>
        <w:spacing w:before="0"/>
        <w:ind w:firstLine="0"/>
        <w:contextualSpacing/>
        <w:mirrorIndents/>
        <w:rPr>
          <w:rFonts w:eastAsia="Calibri" w:cs="Times New Roman"/>
          <w:b/>
          <w:szCs w:val="24"/>
        </w:rPr>
      </w:pPr>
    </w:p>
    <w:p w:rsidR="005C39F7" w:rsidRPr="005C39F7" w:rsidRDefault="005C39F7" w:rsidP="005C39F7">
      <w:pPr>
        <w:spacing w:before="0"/>
        <w:ind w:firstLine="708"/>
        <w:contextualSpacing/>
        <w:mirrorIndents/>
        <w:rPr>
          <w:rFonts w:eastAsia="Calibri" w:cs="Times New Roman"/>
          <w:b/>
          <w:szCs w:val="24"/>
        </w:rPr>
      </w:pPr>
      <w:r w:rsidRPr="005C39F7">
        <w:rPr>
          <w:rFonts w:eastAsia="Calibri" w:cs="Times New Roman"/>
          <w:b/>
          <w:szCs w:val="24"/>
        </w:rPr>
        <w:t>IV.2.1.-Renta variable</w:t>
      </w:r>
    </w:p>
    <w:p w:rsidR="005C39F7" w:rsidRPr="005C39F7" w:rsidRDefault="005C39F7" w:rsidP="005C39F7">
      <w:pPr>
        <w:numPr>
          <w:ilvl w:val="0"/>
          <w:numId w:val="32"/>
        </w:numPr>
        <w:shd w:val="clear" w:color="auto" w:fill="FFFFFF"/>
        <w:spacing w:before="0" w:after="200"/>
        <w:ind w:left="0" w:firstLine="360"/>
        <w:contextualSpacing/>
        <w:mirrorIndents/>
        <w:jc w:val="left"/>
        <w:rPr>
          <w:rFonts w:eastAsia="Times New Roman" w:cs="Times New Roman"/>
          <w:szCs w:val="24"/>
          <w:lang w:eastAsia="es-ES"/>
        </w:rPr>
      </w:pPr>
    </w:p>
    <w:p w:rsidR="005C39F7" w:rsidRPr="005C39F7" w:rsidRDefault="005C39F7" w:rsidP="005C39F7">
      <w:pPr>
        <w:numPr>
          <w:ilvl w:val="0"/>
          <w:numId w:val="32"/>
        </w:numPr>
        <w:shd w:val="clear" w:color="auto" w:fill="FFFFFF"/>
        <w:spacing w:before="0" w:after="200"/>
        <w:ind w:left="0" w:firstLine="0"/>
        <w:contextualSpacing/>
        <w:mirrorIndents/>
        <w:jc w:val="left"/>
        <w:textAlignment w:val="baseline"/>
        <w:rPr>
          <w:rFonts w:eastAsia="Times New Roman" w:cs="Times New Roman"/>
          <w:bCs/>
          <w:i/>
          <w:szCs w:val="24"/>
          <w:bdr w:val="none" w:sz="0" w:space="0" w:color="auto" w:frame="1"/>
          <w:lang w:eastAsia="es-ES"/>
        </w:rPr>
      </w:pPr>
      <w:r w:rsidRPr="005C39F7">
        <w:rPr>
          <w:rFonts w:eastAsia="Times New Roman" w:cs="Times New Roman"/>
          <w:b/>
          <w:bCs/>
          <w:i/>
          <w:szCs w:val="24"/>
          <w:lang w:eastAsia="es-ES"/>
        </w:rPr>
        <w:t xml:space="preserve">A) Rendimientos obtenidos por la participación en fondos propios: dividendos y asimilados </w:t>
      </w:r>
    </w:p>
    <w:p w:rsidR="005C39F7" w:rsidRPr="005C39F7" w:rsidRDefault="005C39F7" w:rsidP="005C39F7">
      <w:pPr>
        <w:numPr>
          <w:ilvl w:val="0"/>
          <w:numId w:val="32"/>
        </w:numPr>
        <w:shd w:val="clear" w:color="auto" w:fill="FFFFFF"/>
        <w:spacing w:before="0" w:after="200"/>
        <w:ind w:left="0" w:firstLine="0"/>
        <w:contextualSpacing/>
        <w:mirrorIndents/>
        <w:jc w:val="left"/>
        <w:textAlignment w:val="baseline"/>
        <w:rPr>
          <w:rFonts w:eastAsia="Times New Roman" w:cs="Times New Roman"/>
          <w:szCs w:val="24"/>
          <w:lang w:eastAsia="es-ES"/>
        </w:rPr>
      </w:pPr>
    </w:p>
    <w:p w:rsidR="005C39F7" w:rsidRPr="005C39F7" w:rsidRDefault="005C39F7" w:rsidP="005C39F7">
      <w:pPr>
        <w:numPr>
          <w:ilvl w:val="0"/>
          <w:numId w:val="32"/>
        </w:numPr>
        <w:shd w:val="clear" w:color="auto" w:fill="FFFFFF"/>
        <w:spacing w:before="0" w:after="200"/>
        <w:ind w:left="0" w:right="-2" w:firstLine="0"/>
        <w:contextualSpacing/>
        <w:mirrorIndents/>
        <w:jc w:val="left"/>
        <w:textAlignment w:val="baseline"/>
        <w:rPr>
          <w:rFonts w:eastAsia="Times New Roman" w:cs="Times New Roman"/>
          <w:bCs/>
          <w:szCs w:val="24"/>
          <w:bdr w:val="none" w:sz="0" w:space="0" w:color="auto" w:frame="1"/>
          <w:lang w:eastAsia="es-ES"/>
        </w:rPr>
      </w:pPr>
      <w:r w:rsidRPr="005C39F7">
        <w:rPr>
          <w:rFonts w:eastAsia="Times New Roman" w:cs="Times New Roman"/>
          <w:szCs w:val="24"/>
          <w:lang w:eastAsia="es-ES"/>
        </w:rPr>
        <w:t xml:space="preserve">En primer lugar y en relación a los </w:t>
      </w:r>
      <w:proofErr w:type="gramStart"/>
      <w:r w:rsidRPr="005C39F7">
        <w:rPr>
          <w:rFonts w:eastAsia="Times New Roman" w:cs="Times New Roman"/>
          <w:szCs w:val="24"/>
          <w:lang w:eastAsia="es-ES"/>
        </w:rPr>
        <w:t>dividendos,  desde</w:t>
      </w:r>
      <w:proofErr w:type="gramEnd"/>
      <w:r w:rsidRPr="005C39F7">
        <w:rPr>
          <w:rFonts w:eastAsia="Times New Roman" w:cs="Times New Roman"/>
          <w:szCs w:val="24"/>
          <w:lang w:eastAsia="es-ES"/>
        </w:rPr>
        <w:t xml:space="preserve"> el 2015 no se elimina la doble imposición producida conjuntamente por la aplicación del Impuesto sobre Sociedades y del Impuesto sobre la Renta de las Personas Físicas, ya que los primeros 1.500 euros no están exentos. Los dividendos están</w:t>
      </w:r>
      <w:hyperlink r:id="rId10" w:tgtFrame="_blank" w:history="1">
        <w:r w:rsidRPr="005C39F7">
          <w:rPr>
            <w:rFonts w:eastAsia="Times New Roman" w:cs="Times New Roman"/>
            <w:bCs/>
            <w:szCs w:val="24"/>
            <w:bdr w:val="none" w:sz="0" w:space="0" w:color="auto" w:frame="1"/>
            <w:lang w:eastAsia="es-ES"/>
          </w:rPr>
          <w:t xml:space="preserve"> sujetos a retención del 19%</w:t>
        </w:r>
      </w:hyperlink>
    </w:p>
    <w:p w:rsidR="005C39F7" w:rsidRPr="005C39F7" w:rsidRDefault="005C39F7" w:rsidP="005C39F7">
      <w:pPr>
        <w:shd w:val="clear" w:color="auto" w:fill="FFFFFF"/>
        <w:spacing w:before="0"/>
        <w:ind w:firstLine="0"/>
        <w:contextualSpacing/>
        <w:mirrorIndents/>
        <w:textAlignment w:val="baseline"/>
        <w:rPr>
          <w:rFonts w:eastAsia="Times New Roman" w:cs="Times New Roman"/>
          <w:szCs w:val="24"/>
          <w:lang w:eastAsia="es-ES"/>
        </w:rPr>
      </w:pPr>
    </w:p>
    <w:p w:rsidR="005C39F7" w:rsidRPr="005C39F7" w:rsidRDefault="005C39F7" w:rsidP="005C39F7">
      <w:pPr>
        <w:shd w:val="clear" w:color="auto" w:fill="FFFFFF"/>
        <w:spacing w:before="0"/>
        <w:ind w:firstLine="0"/>
        <w:contextualSpacing/>
        <w:mirrorIndents/>
        <w:textAlignment w:val="baseline"/>
        <w:rPr>
          <w:rFonts w:eastAsia="Times New Roman" w:cs="Times New Roman"/>
          <w:szCs w:val="24"/>
          <w:lang w:eastAsia="es-ES"/>
        </w:rPr>
      </w:pPr>
      <w:r w:rsidRPr="005C39F7">
        <w:rPr>
          <w:rFonts w:eastAsia="Times New Roman" w:cs="Times New Roman"/>
          <w:szCs w:val="24"/>
          <w:lang w:eastAsia="es-ES"/>
        </w:rPr>
        <w:t xml:space="preserve">Es relevante que salvo en lo que respecta a los derechos de suscripción preferente que llevan aparejadas las ampliaciones de capital, y que se tratará más adelante, en 2017 el caso de los </w:t>
      </w:r>
      <w:proofErr w:type="spellStart"/>
      <w:r w:rsidRPr="005C39F7">
        <w:rPr>
          <w:rFonts w:eastAsia="Times New Roman" w:cs="Times New Roman"/>
          <w:i/>
          <w:szCs w:val="24"/>
          <w:lang w:eastAsia="es-ES"/>
        </w:rPr>
        <w:t>scrip</w:t>
      </w:r>
      <w:proofErr w:type="spellEnd"/>
      <w:r w:rsidRPr="005C39F7">
        <w:rPr>
          <w:rFonts w:eastAsia="Times New Roman" w:cs="Times New Roman"/>
          <w:i/>
          <w:szCs w:val="24"/>
          <w:lang w:eastAsia="es-ES"/>
        </w:rPr>
        <w:t xml:space="preserve"> </w:t>
      </w:r>
      <w:proofErr w:type="spellStart"/>
      <w:r w:rsidRPr="005C39F7">
        <w:rPr>
          <w:rFonts w:eastAsia="Times New Roman" w:cs="Times New Roman"/>
          <w:i/>
          <w:szCs w:val="24"/>
          <w:lang w:eastAsia="es-ES"/>
        </w:rPr>
        <w:t>dividend</w:t>
      </w:r>
      <w:proofErr w:type="spellEnd"/>
      <w:r w:rsidRPr="005C39F7">
        <w:rPr>
          <w:rFonts w:eastAsia="Times New Roman" w:cs="Times New Roman"/>
          <w:szCs w:val="24"/>
          <w:lang w:eastAsia="es-ES"/>
        </w:rPr>
        <w:t xml:space="preserve"> (pago del dividendo en efectivo o acciones</w:t>
      </w:r>
      <w:proofErr w:type="gramStart"/>
      <w:r w:rsidRPr="005C39F7">
        <w:rPr>
          <w:rFonts w:eastAsia="Times New Roman" w:cs="Times New Roman"/>
          <w:szCs w:val="24"/>
          <w:lang w:eastAsia="es-ES"/>
        </w:rPr>
        <w:t>),  pasan</w:t>
      </w:r>
      <w:proofErr w:type="gramEnd"/>
      <w:r w:rsidRPr="005C39F7">
        <w:rPr>
          <w:rFonts w:eastAsia="Times New Roman" w:cs="Times New Roman"/>
          <w:szCs w:val="24"/>
          <w:lang w:eastAsia="es-ES"/>
        </w:rPr>
        <w:t xml:space="preserve"> a tributar como un dividendo normal</w:t>
      </w:r>
      <w:r w:rsidRPr="005C39F7">
        <w:rPr>
          <w:rFonts w:eastAsia="Times New Roman" w:cs="Times New Roman"/>
          <w:szCs w:val="24"/>
          <w:vertAlign w:val="superscript"/>
          <w:lang w:eastAsia="es-ES"/>
        </w:rPr>
        <w:footnoteReference w:id="8"/>
      </w:r>
    </w:p>
    <w:p w:rsidR="005C39F7" w:rsidRPr="005C39F7" w:rsidRDefault="005C39F7" w:rsidP="005C39F7">
      <w:pPr>
        <w:spacing w:before="0"/>
        <w:ind w:firstLine="0"/>
        <w:contextualSpacing/>
        <w:mirrorIndents/>
        <w:rPr>
          <w:rFonts w:eastAsia="Times New Roman" w:cs="Times New Roman"/>
          <w:szCs w:val="24"/>
          <w:lang w:eastAsia="es-ES"/>
        </w:rPr>
      </w:pPr>
    </w:p>
    <w:p w:rsidR="005C39F7" w:rsidRPr="005C39F7" w:rsidRDefault="005C39F7" w:rsidP="005C39F7">
      <w:pPr>
        <w:spacing w:before="0"/>
        <w:ind w:firstLine="0"/>
        <w:contextualSpacing/>
        <w:mirrorIndents/>
        <w:rPr>
          <w:rFonts w:eastAsia="Times New Roman" w:cs="Times New Roman"/>
          <w:szCs w:val="24"/>
          <w:lang w:eastAsia="es-ES"/>
        </w:rPr>
      </w:pPr>
      <w:r w:rsidRPr="005C39F7">
        <w:rPr>
          <w:rFonts w:eastAsia="Times New Roman" w:cs="Times New Roman"/>
          <w:szCs w:val="24"/>
          <w:lang w:eastAsia="es-ES"/>
        </w:rPr>
        <w:t xml:space="preserve">Se trata de una operación en donde la entidad acuerda un aumento de su capital social mediante la emisión de acciones nuevas totalmente liberadas con cargo a reservas procedentes de beneficios no distribuidos, de manera que en el momento en que se ejecute el acuerdo, todos los accionistas pasan a ser propietarios de los correspondientes derechos de asignación gratuita de las nuevas acciones emitidas. </w:t>
      </w:r>
    </w:p>
    <w:p w:rsidR="005C39F7" w:rsidRPr="005C39F7" w:rsidRDefault="005C39F7" w:rsidP="005C39F7">
      <w:pPr>
        <w:spacing w:before="0"/>
        <w:ind w:firstLine="0"/>
        <w:contextualSpacing/>
        <w:mirrorIndents/>
        <w:rPr>
          <w:rFonts w:eastAsia="Times New Roman" w:cs="Times New Roman"/>
          <w:szCs w:val="24"/>
          <w:lang w:eastAsia="es-ES"/>
        </w:rPr>
      </w:pPr>
    </w:p>
    <w:p w:rsidR="005C39F7" w:rsidRPr="005C39F7" w:rsidRDefault="005C39F7" w:rsidP="005C39F7">
      <w:pPr>
        <w:spacing w:before="0"/>
        <w:ind w:firstLine="0"/>
        <w:contextualSpacing/>
        <w:mirrorIndents/>
        <w:rPr>
          <w:rFonts w:eastAsia="Times New Roman" w:cs="Times New Roman"/>
          <w:szCs w:val="24"/>
          <w:lang w:eastAsia="es-ES"/>
        </w:rPr>
      </w:pPr>
      <w:r w:rsidRPr="005C39F7">
        <w:rPr>
          <w:rFonts w:eastAsia="Times New Roman" w:cs="Times New Roman"/>
          <w:szCs w:val="24"/>
          <w:lang w:eastAsia="es-ES"/>
        </w:rPr>
        <w:t>Respecto de aquellos titulares de derechos de asignación gratuita que no suscriban las nuevas acciones ni transmitan sus derechos en el mercado, la entidad efectuará una oferta de compra de tales derechos a un precio fijo, renunciando al ejercicio de los derechos sobre las nuevas acciones que hubiese adquirido en ejecución de dicha oferta, por lo que no adquirirá estas acciones en autocartera.</w:t>
      </w:r>
      <w:r w:rsidRPr="005C39F7">
        <w:rPr>
          <w:rFonts w:eastAsia="Times New Roman" w:cs="Times New Roman"/>
          <w:szCs w:val="24"/>
          <w:vertAlign w:val="superscript"/>
          <w:lang w:eastAsia="es-ES"/>
        </w:rPr>
        <w:footnoteReference w:id="9"/>
      </w:r>
    </w:p>
    <w:p w:rsidR="005C39F7" w:rsidRPr="005C39F7" w:rsidRDefault="005C39F7" w:rsidP="005C39F7">
      <w:pPr>
        <w:spacing w:before="0"/>
        <w:ind w:firstLine="0"/>
        <w:contextualSpacing/>
        <w:mirrorIndents/>
        <w:rPr>
          <w:rFonts w:eastAsia="Times New Roman" w:cs="Times New Roman"/>
          <w:szCs w:val="24"/>
          <w:lang w:eastAsia="es-ES"/>
        </w:rPr>
      </w:pPr>
    </w:p>
    <w:p w:rsidR="005C39F7" w:rsidRPr="005C39F7" w:rsidRDefault="005C39F7" w:rsidP="005C39F7">
      <w:pPr>
        <w:shd w:val="clear" w:color="auto" w:fill="FFFFFF"/>
        <w:spacing w:before="0" w:after="300"/>
        <w:ind w:firstLine="0"/>
        <w:textAlignment w:val="baseline"/>
        <w:rPr>
          <w:rFonts w:eastAsia="Times New Roman" w:cs="Times New Roman"/>
          <w:szCs w:val="24"/>
          <w:lang w:eastAsia="es-ES"/>
        </w:rPr>
      </w:pPr>
      <w:r w:rsidRPr="005C39F7">
        <w:rPr>
          <w:rFonts w:eastAsia="Times New Roman" w:cs="Times New Roman"/>
          <w:szCs w:val="24"/>
          <w:lang w:eastAsia="es-ES"/>
        </w:rPr>
        <w:lastRenderedPageBreak/>
        <w:t>Por tanto, la operación no es propiamente un reparto de dividendos, sino una ampliación de capital con cargo a reservas, de tal forma que al accionista se le ofrecen tres posibilidades, que se enumeran a continuación:</w:t>
      </w:r>
    </w:p>
    <w:p w:rsidR="005C39F7" w:rsidRPr="005C39F7" w:rsidRDefault="005C39F7" w:rsidP="005C39F7">
      <w:pPr>
        <w:shd w:val="clear" w:color="auto" w:fill="FFFFFF"/>
        <w:spacing w:before="0" w:after="300"/>
        <w:ind w:left="284" w:firstLine="0"/>
        <w:textAlignment w:val="baseline"/>
        <w:rPr>
          <w:rFonts w:eastAsia="Times New Roman" w:cs="Times New Roman"/>
          <w:szCs w:val="24"/>
          <w:lang w:eastAsia="es-ES"/>
        </w:rPr>
      </w:pPr>
      <w:r w:rsidRPr="005C39F7">
        <w:rPr>
          <w:rFonts w:eastAsia="Times New Roman" w:cs="Times New Roman"/>
          <w:szCs w:val="24"/>
          <w:lang w:eastAsia="es-ES"/>
        </w:rPr>
        <w:t>1ª.- No hacer nada con los derechos de suscripción que recibe y la entidad le entrega acciones liberadas.</w:t>
      </w:r>
    </w:p>
    <w:p w:rsidR="005C39F7" w:rsidRPr="005C39F7" w:rsidRDefault="005C39F7" w:rsidP="005C39F7">
      <w:pPr>
        <w:shd w:val="clear" w:color="auto" w:fill="FFFFFF"/>
        <w:spacing w:before="0" w:after="300"/>
        <w:ind w:left="284" w:firstLine="0"/>
        <w:textAlignment w:val="baseline"/>
        <w:rPr>
          <w:rFonts w:eastAsia="Times New Roman" w:cs="Times New Roman"/>
          <w:szCs w:val="24"/>
          <w:lang w:eastAsia="es-ES"/>
        </w:rPr>
      </w:pPr>
      <w:r w:rsidRPr="005C39F7">
        <w:rPr>
          <w:rFonts w:eastAsia="Times New Roman" w:cs="Times New Roman"/>
          <w:szCs w:val="24"/>
          <w:lang w:eastAsia="es-ES"/>
        </w:rPr>
        <w:t>En ese caso las acciones que tiene en cartera disminuirán su precio de adquisición unitario, al dividir el coste que tenían entre las acciones antiguas más las nuevas.</w:t>
      </w:r>
    </w:p>
    <w:p w:rsidR="005C39F7" w:rsidRPr="005C39F7" w:rsidRDefault="005C39F7" w:rsidP="005C39F7">
      <w:pPr>
        <w:shd w:val="clear" w:color="auto" w:fill="FFFFFF"/>
        <w:spacing w:before="0" w:after="300"/>
        <w:ind w:left="284" w:firstLine="0"/>
        <w:textAlignment w:val="baseline"/>
        <w:rPr>
          <w:rFonts w:eastAsia="Times New Roman" w:cs="Times New Roman"/>
          <w:szCs w:val="24"/>
          <w:lang w:eastAsia="es-ES"/>
        </w:rPr>
      </w:pPr>
      <w:r w:rsidRPr="005C39F7">
        <w:rPr>
          <w:rFonts w:eastAsia="Times New Roman" w:cs="Times New Roman"/>
          <w:szCs w:val="24"/>
          <w:lang w:eastAsia="es-ES"/>
        </w:rPr>
        <w:t xml:space="preserve">2ª.- Transmisión de los derechos de suscripción. </w:t>
      </w:r>
    </w:p>
    <w:p w:rsidR="005C39F7" w:rsidRPr="005C39F7" w:rsidRDefault="005C39F7" w:rsidP="005C39F7">
      <w:pPr>
        <w:shd w:val="clear" w:color="auto" w:fill="FFFFFF"/>
        <w:spacing w:before="0" w:after="300"/>
        <w:ind w:left="284" w:firstLine="0"/>
        <w:textAlignment w:val="baseline"/>
        <w:rPr>
          <w:rFonts w:eastAsia="Times New Roman" w:cs="Times New Roman"/>
          <w:szCs w:val="24"/>
          <w:lang w:eastAsia="es-ES"/>
        </w:rPr>
      </w:pPr>
      <w:r w:rsidRPr="005C39F7">
        <w:rPr>
          <w:rFonts w:eastAsia="Times New Roman" w:cs="Times New Roman"/>
          <w:szCs w:val="24"/>
          <w:lang w:eastAsia="es-ES"/>
        </w:rPr>
        <w:t>En este otro supuesto en 2016 el contribuyente no obtendrá renta alguna, pero minorará en el importe recibido el precio de adquisición de las acciones; y si se ejercitara esa opción en 2017 estaría obteniendo una ganancia de patrimonio sometida a retención.</w:t>
      </w:r>
    </w:p>
    <w:p w:rsidR="005C39F7" w:rsidRPr="005C39F7" w:rsidRDefault="005C39F7" w:rsidP="005C39F7">
      <w:pPr>
        <w:shd w:val="clear" w:color="auto" w:fill="FFFFFF"/>
        <w:spacing w:before="0" w:after="300"/>
        <w:ind w:left="284" w:firstLine="0"/>
        <w:textAlignment w:val="baseline"/>
        <w:rPr>
          <w:rFonts w:eastAsia="Times New Roman" w:cs="Times New Roman"/>
          <w:szCs w:val="24"/>
          <w:lang w:eastAsia="es-ES"/>
        </w:rPr>
      </w:pPr>
      <w:r w:rsidRPr="005C39F7">
        <w:rPr>
          <w:rFonts w:eastAsia="Times New Roman" w:cs="Times New Roman"/>
          <w:szCs w:val="24"/>
          <w:lang w:eastAsia="es-ES"/>
        </w:rPr>
        <w:t>3ª.- Compensación en metálico por la entidad por los derechos de asignación no ejercidos ni transmitidos en el mercado.</w:t>
      </w:r>
    </w:p>
    <w:p w:rsidR="005C39F7" w:rsidRPr="005C39F7" w:rsidRDefault="005C39F7" w:rsidP="005C39F7">
      <w:pPr>
        <w:shd w:val="clear" w:color="auto" w:fill="FFFFFF"/>
        <w:spacing w:before="0" w:after="300"/>
        <w:ind w:left="284" w:firstLine="0"/>
        <w:textAlignment w:val="baseline"/>
        <w:rPr>
          <w:rFonts w:eastAsia="Times New Roman" w:cs="Times New Roman"/>
          <w:szCs w:val="24"/>
          <w:lang w:eastAsia="es-ES"/>
        </w:rPr>
      </w:pPr>
      <w:r w:rsidRPr="005C39F7">
        <w:rPr>
          <w:rFonts w:eastAsia="Times New Roman" w:cs="Times New Roman"/>
          <w:szCs w:val="24"/>
          <w:lang w:eastAsia="es-ES"/>
        </w:rPr>
        <w:t>En tal caso el importe obtenido será un rendimiento del capital mobiliario, como si se tratase de dividendos, y estará sometido a retención.</w:t>
      </w:r>
    </w:p>
    <w:p w:rsidR="005C39F7" w:rsidRPr="005C39F7" w:rsidRDefault="005C39F7" w:rsidP="005C39F7">
      <w:pPr>
        <w:spacing w:before="0"/>
        <w:ind w:firstLine="708"/>
        <w:contextualSpacing/>
        <w:mirrorIndents/>
        <w:rPr>
          <w:rFonts w:eastAsia="Calibri" w:cs="Times New Roman"/>
          <w:b/>
          <w:szCs w:val="24"/>
        </w:rPr>
      </w:pPr>
    </w:p>
    <w:p w:rsidR="005C39F7" w:rsidRPr="005C39F7" w:rsidRDefault="005C39F7" w:rsidP="005C39F7">
      <w:pPr>
        <w:spacing w:before="0"/>
        <w:ind w:firstLine="0"/>
        <w:contextualSpacing/>
        <w:mirrorIndents/>
        <w:rPr>
          <w:rFonts w:eastAsia="Calibri" w:cs="Times New Roman"/>
          <w:szCs w:val="24"/>
        </w:rPr>
      </w:pPr>
      <w:r w:rsidRPr="005C39F7">
        <w:rPr>
          <w:rFonts w:eastAsia="Calibri" w:cs="Times New Roman"/>
          <w:szCs w:val="24"/>
        </w:rPr>
        <w:t>No obstante, no todos los dividendos ni las utilidades derivadas de la condición de socio se gravan al percibirse o se incluyen entre los procedentes de la participación en fondos propios. Hay que excluir una serie supuestos, a saber:</w:t>
      </w:r>
    </w:p>
    <w:p w:rsidR="005C39F7" w:rsidRPr="005C39F7" w:rsidRDefault="005C39F7" w:rsidP="005C39F7">
      <w:pPr>
        <w:tabs>
          <w:tab w:val="left" w:pos="142"/>
        </w:tabs>
        <w:spacing w:before="0"/>
        <w:ind w:right="-2" w:firstLine="0"/>
        <w:contextualSpacing/>
        <w:mirrorIndents/>
        <w:rPr>
          <w:rFonts w:eastAsia="Calibri" w:cs="Times New Roman"/>
          <w:szCs w:val="24"/>
        </w:rPr>
      </w:pPr>
      <w:r w:rsidRPr="005C39F7">
        <w:rPr>
          <w:rFonts w:eastAsia="Calibri" w:cs="Times New Roman"/>
          <w:szCs w:val="24"/>
        </w:rPr>
        <w:t xml:space="preserve">En primer </w:t>
      </w:r>
      <w:proofErr w:type="gramStart"/>
      <w:r w:rsidRPr="005C39F7">
        <w:rPr>
          <w:rFonts w:eastAsia="Calibri" w:cs="Times New Roman"/>
          <w:szCs w:val="24"/>
        </w:rPr>
        <w:t>lugar</w:t>
      </w:r>
      <w:proofErr w:type="gramEnd"/>
      <w:r w:rsidRPr="005C39F7">
        <w:rPr>
          <w:rFonts w:eastAsia="Calibri" w:cs="Times New Roman"/>
          <w:szCs w:val="24"/>
        </w:rPr>
        <w:t xml:space="preserve"> no han de integrarse en la base imponible los dividendos procedentes de beneficios que han sido imputados al socio al generarse. Es el caso de los dividendos procedentes de entidades sujetas al régimen de transparencia fiscal internacional.</w:t>
      </w:r>
      <w:r w:rsidRPr="005C39F7">
        <w:rPr>
          <w:rFonts w:eastAsia="Calibri" w:cs="Times New Roman"/>
          <w:szCs w:val="24"/>
          <w:vertAlign w:val="superscript"/>
        </w:rPr>
        <w:footnoteReference w:id="10"/>
      </w:r>
    </w:p>
    <w:p w:rsidR="005C39F7" w:rsidRPr="005C39F7" w:rsidRDefault="005C39F7" w:rsidP="005C39F7">
      <w:pPr>
        <w:spacing w:before="0"/>
        <w:ind w:firstLine="0"/>
        <w:contextualSpacing/>
        <w:mirrorIndents/>
        <w:rPr>
          <w:rFonts w:eastAsia="Calibri" w:cs="Times New Roman"/>
          <w:szCs w:val="24"/>
        </w:rPr>
      </w:pPr>
    </w:p>
    <w:p w:rsidR="005C39F7" w:rsidRPr="005C39F7" w:rsidRDefault="005C39F7" w:rsidP="005C39F7">
      <w:pPr>
        <w:spacing w:before="0"/>
        <w:ind w:firstLine="0"/>
        <w:contextualSpacing/>
        <w:mirrorIndents/>
        <w:rPr>
          <w:rFonts w:eastAsia="Calibri" w:cs="Times New Roman"/>
          <w:szCs w:val="24"/>
        </w:rPr>
      </w:pPr>
      <w:r w:rsidRPr="005C39F7">
        <w:rPr>
          <w:rFonts w:eastAsia="Calibri" w:cs="Times New Roman"/>
          <w:szCs w:val="24"/>
        </w:rPr>
        <w:t xml:space="preserve">También es este el régimen establecido en relación a los dividendos repartidos por una sociedad al socio que le hubiese cedido el derecho a la explotación de su imagen cuando tal cesión hubiese provocado la imputación prevista en </w:t>
      </w:r>
      <w:proofErr w:type="gramStart"/>
      <w:r w:rsidRPr="005C39F7">
        <w:rPr>
          <w:rFonts w:eastAsia="Calibri" w:cs="Times New Roman"/>
          <w:szCs w:val="24"/>
        </w:rPr>
        <w:t>el  art.</w:t>
      </w:r>
      <w:proofErr w:type="gramEnd"/>
      <w:r w:rsidRPr="005C39F7">
        <w:rPr>
          <w:rFonts w:eastAsia="Calibri" w:cs="Times New Roman"/>
          <w:szCs w:val="24"/>
        </w:rPr>
        <w:t xml:space="preserve"> 92 de la Ley 35/2006, de 28 de noviembre, del Impuesto sobre la Renta de las Personas Físicas   RCL 2006\2123.</w:t>
      </w:r>
    </w:p>
    <w:p w:rsidR="005C39F7" w:rsidRPr="005C39F7" w:rsidRDefault="005C39F7" w:rsidP="005C39F7">
      <w:pPr>
        <w:spacing w:before="0"/>
        <w:ind w:firstLine="0"/>
        <w:contextualSpacing/>
        <w:mirrorIndents/>
        <w:rPr>
          <w:rFonts w:eastAsia="Calibri" w:cs="Times New Roman"/>
          <w:szCs w:val="24"/>
        </w:rPr>
      </w:pPr>
    </w:p>
    <w:p w:rsidR="005C39F7" w:rsidRPr="005C39F7" w:rsidRDefault="005C39F7" w:rsidP="005C39F7">
      <w:pPr>
        <w:spacing w:before="0"/>
        <w:ind w:firstLine="0"/>
        <w:contextualSpacing/>
        <w:mirrorIndents/>
        <w:rPr>
          <w:rFonts w:eastAsia="Calibri" w:cs="Times New Roman"/>
          <w:szCs w:val="24"/>
        </w:rPr>
      </w:pPr>
      <w:r w:rsidRPr="005C39F7">
        <w:rPr>
          <w:rFonts w:eastAsia="Calibri" w:cs="Times New Roman"/>
          <w:szCs w:val="24"/>
        </w:rPr>
        <w:t xml:space="preserve">Asimismo, ha de excluirse de los rendimientos gravados la entrega de acciones total o parcialmente liberadas (art. 25.1.b de Ley 35/2006, de 28 de noviembre, del Impuesto sobre la Renta de las Personas Físicas   RCL 2006\2123puesto que el accionista no </w:t>
      </w:r>
      <w:r w:rsidRPr="005C39F7">
        <w:rPr>
          <w:rFonts w:eastAsia="Calibri" w:cs="Times New Roman"/>
          <w:szCs w:val="24"/>
        </w:rPr>
        <w:lastRenderedPageBreak/>
        <w:t>recibe nada distinto de lo que ya tenía: los fondos propios de la sociedad permanecen intactos, no habiendo desinversión.</w:t>
      </w:r>
    </w:p>
    <w:p w:rsidR="005C39F7" w:rsidRPr="005C39F7" w:rsidRDefault="005C39F7" w:rsidP="005C39F7">
      <w:pPr>
        <w:spacing w:before="0"/>
        <w:ind w:firstLine="0"/>
        <w:contextualSpacing/>
        <w:mirrorIndents/>
        <w:rPr>
          <w:rFonts w:eastAsia="Calibri" w:cs="Times New Roman"/>
          <w:szCs w:val="24"/>
        </w:rPr>
      </w:pPr>
    </w:p>
    <w:p w:rsidR="005C39F7" w:rsidRPr="005C39F7" w:rsidRDefault="005C39F7" w:rsidP="005C39F7">
      <w:pPr>
        <w:spacing w:before="0"/>
        <w:ind w:firstLine="0"/>
        <w:contextualSpacing/>
        <w:mirrorIndents/>
        <w:rPr>
          <w:rFonts w:eastAsia="Calibri" w:cs="Times New Roman"/>
          <w:szCs w:val="24"/>
        </w:rPr>
      </w:pPr>
      <w:r w:rsidRPr="005C39F7">
        <w:rPr>
          <w:rFonts w:eastAsia="Calibri" w:cs="Times New Roman"/>
          <w:szCs w:val="24"/>
        </w:rPr>
        <w:t xml:space="preserve">Igualmente y desde el 1 de enero de 2017 la venta de derechos de suscripción (D.T. ª </w:t>
      </w:r>
      <w:proofErr w:type="gramStart"/>
      <w:r w:rsidRPr="005C39F7">
        <w:rPr>
          <w:rFonts w:eastAsia="Calibri" w:cs="Times New Roman"/>
          <w:szCs w:val="24"/>
        </w:rPr>
        <w:t>29ª  Ley</w:t>
      </w:r>
      <w:proofErr w:type="gramEnd"/>
      <w:r w:rsidRPr="005C39F7">
        <w:rPr>
          <w:rFonts w:eastAsia="Calibri" w:cs="Times New Roman"/>
          <w:szCs w:val="24"/>
        </w:rPr>
        <w:t xml:space="preserve"> 35/2006, de 28 de noviembre, del Impuesto sobre la Renta de las Personas Físicas   RCL 2006\2123 tanto derive de valores que cotizan en mercados oficiales o no el importe obtenido tributara íntegramente como ganancia patrimonial en el periodo impositivo en el que se produzca la transmisión. Hasta esa fecha la transmisión de derechos de suscripción de valores que cotizan en bolsa minorará el valor de adquisición.</w:t>
      </w:r>
    </w:p>
    <w:p w:rsidR="005C39F7" w:rsidRPr="005C39F7" w:rsidRDefault="005C39F7" w:rsidP="005C39F7">
      <w:pPr>
        <w:spacing w:before="0"/>
        <w:ind w:firstLine="0"/>
        <w:contextualSpacing/>
        <w:mirrorIndents/>
        <w:rPr>
          <w:rFonts w:eastAsia="Calibri" w:cs="Times New Roman"/>
          <w:szCs w:val="24"/>
        </w:rPr>
      </w:pPr>
    </w:p>
    <w:p w:rsidR="005C39F7" w:rsidRPr="005C39F7" w:rsidRDefault="005C39F7" w:rsidP="005C39F7">
      <w:pPr>
        <w:spacing w:before="0"/>
        <w:ind w:firstLine="0"/>
        <w:contextualSpacing/>
        <w:mirrorIndents/>
        <w:rPr>
          <w:rFonts w:eastAsia="Calibri" w:cs="Times New Roman"/>
          <w:szCs w:val="24"/>
        </w:rPr>
      </w:pPr>
      <w:proofErr w:type="gramStart"/>
      <w:r w:rsidRPr="005C39F7">
        <w:rPr>
          <w:rFonts w:eastAsia="Calibri" w:cs="Times New Roman"/>
          <w:szCs w:val="24"/>
        </w:rPr>
        <w:t>Finalmente</w:t>
      </w:r>
      <w:proofErr w:type="gramEnd"/>
      <w:r w:rsidRPr="005C39F7">
        <w:rPr>
          <w:rFonts w:eastAsia="Calibri" w:cs="Times New Roman"/>
          <w:szCs w:val="24"/>
        </w:rPr>
        <w:t xml:space="preserve"> las rentas derivadas de operaciones societarias, que son gravadas como ganancias o pérdidas patrimoniales. Es el caso, por ejemplo, de las rentas percibidas en caso de separación de los socios o disolución social.</w:t>
      </w:r>
    </w:p>
    <w:p w:rsidR="005C39F7" w:rsidRPr="005C39F7" w:rsidRDefault="005C39F7" w:rsidP="005C39F7">
      <w:pPr>
        <w:numPr>
          <w:ilvl w:val="0"/>
          <w:numId w:val="32"/>
        </w:numPr>
        <w:shd w:val="clear" w:color="auto" w:fill="FFFFFF"/>
        <w:spacing w:before="0" w:after="200"/>
        <w:ind w:firstLine="0"/>
        <w:contextualSpacing/>
        <w:mirrorIndents/>
        <w:jc w:val="left"/>
        <w:rPr>
          <w:rFonts w:eastAsia="Times New Roman" w:cs="Times New Roman"/>
          <w:b/>
          <w:i/>
          <w:szCs w:val="24"/>
          <w:shd w:val="clear" w:color="auto" w:fill="FFFFFF"/>
          <w:lang w:eastAsia="es-ES"/>
        </w:rPr>
      </w:pPr>
    </w:p>
    <w:p w:rsidR="005C39F7" w:rsidRPr="005C39F7" w:rsidRDefault="005C39F7" w:rsidP="005C39F7">
      <w:pPr>
        <w:numPr>
          <w:ilvl w:val="0"/>
          <w:numId w:val="32"/>
        </w:numPr>
        <w:shd w:val="clear" w:color="auto" w:fill="FFFFFF"/>
        <w:tabs>
          <w:tab w:val="left" w:pos="8504"/>
        </w:tabs>
        <w:spacing w:before="0" w:after="200"/>
        <w:ind w:firstLine="0"/>
        <w:contextualSpacing/>
        <w:mirrorIndents/>
        <w:jc w:val="left"/>
        <w:rPr>
          <w:rFonts w:eastAsia="Times New Roman" w:cs="Times New Roman"/>
          <w:b/>
          <w:i/>
          <w:szCs w:val="24"/>
          <w:lang w:eastAsia="es-ES"/>
        </w:rPr>
      </w:pPr>
      <w:r w:rsidRPr="005C39F7">
        <w:rPr>
          <w:rFonts w:eastAsia="Times New Roman" w:cs="Times New Roman"/>
          <w:b/>
          <w:i/>
          <w:szCs w:val="24"/>
          <w:shd w:val="clear" w:color="auto" w:fill="FFFFFF"/>
          <w:lang w:eastAsia="es-ES"/>
        </w:rPr>
        <w:t>B) La</w:t>
      </w:r>
      <w:r w:rsidRPr="005C39F7">
        <w:rPr>
          <w:rFonts w:eastAsia="Times New Roman" w:cs="Times New Roman"/>
          <w:b/>
          <w:i/>
          <w:szCs w:val="24"/>
          <w:lang w:eastAsia="es-ES"/>
        </w:rPr>
        <w:t xml:space="preserve"> distribución de la prima de emisión de acciones o participaciones en entidades. </w:t>
      </w:r>
    </w:p>
    <w:p w:rsidR="005C39F7" w:rsidRPr="005C39F7" w:rsidRDefault="005C39F7" w:rsidP="005C39F7">
      <w:pPr>
        <w:shd w:val="clear" w:color="auto" w:fill="FFFFFF"/>
        <w:spacing w:before="0"/>
        <w:ind w:firstLine="0"/>
        <w:contextualSpacing/>
        <w:mirrorIndents/>
        <w:textAlignment w:val="baseline"/>
        <w:rPr>
          <w:rFonts w:eastAsia="Calibri" w:cs="Times New Roman"/>
          <w:szCs w:val="24"/>
        </w:rPr>
      </w:pPr>
    </w:p>
    <w:p w:rsidR="005C39F7" w:rsidRPr="005C39F7" w:rsidRDefault="005C39F7" w:rsidP="005C39F7">
      <w:pPr>
        <w:shd w:val="clear" w:color="auto" w:fill="FFFFFF"/>
        <w:spacing w:before="0"/>
        <w:ind w:firstLine="0"/>
        <w:contextualSpacing/>
        <w:mirrorIndents/>
        <w:textAlignment w:val="baseline"/>
        <w:rPr>
          <w:rFonts w:eastAsia="Calibri" w:cs="Times New Roman"/>
          <w:szCs w:val="24"/>
        </w:rPr>
      </w:pPr>
      <w:r w:rsidRPr="005C39F7">
        <w:rPr>
          <w:rFonts w:eastAsia="Calibri" w:cs="Times New Roman"/>
          <w:szCs w:val="24"/>
        </w:rPr>
        <w:t xml:space="preserve">De acuerdo con la normativa del IS, la distribución de la prima de emisión minorará el valor fiscal de la participación, considerándose ingreso el exceso que, en su caso, se pudiera obtener. </w:t>
      </w:r>
    </w:p>
    <w:p w:rsidR="005C39F7" w:rsidRPr="005C39F7" w:rsidRDefault="005C39F7" w:rsidP="005C39F7">
      <w:pPr>
        <w:shd w:val="clear" w:color="auto" w:fill="FFFFFF"/>
        <w:spacing w:before="0"/>
        <w:ind w:firstLine="0"/>
        <w:contextualSpacing/>
        <w:mirrorIndents/>
        <w:textAlignment w:val="baseline"/>
        <w:rPr>
          <w:rFonts w:eastAsia="Calibri" w:cs="Times New Roman"/>
          <w:szCs w:val="24"/>
        </w:rPr>
      </w:pPr>
    </w:p>
    <w:p w:rsidR="005C39F7" w:rsidRPr="005C39F7" w:rsidRDefault="005C39F7" w:rsidP="005C39F7">
      <w:pPr>
        <w:spacing w:before="0"/>
        <w:ind w:firstLine="0"/>
        <w:contextualSpacing/>
        <w:mirrorIndents/>
        <w:rPr>
          <w:rFonts w:eastAsia="Calibri" w:cs="Times New Roman"/>
          <w:szCs w:val="24"/>
        </w:rPr>
      </w:pPr>
      <w:r w:rsidRPr="005C39F7">
        <w:rPr>
          <w:rFonts w:eastAsia="Calibri" w:cs="Times New Roman"/>
          <w:szCs w:val="24"/>
        </w:rPr>
        <w:t>En el ámbito de las personas físicas la distribución de la prima de emisión de acciones o participaciones se considera rendimiento de capital mobiliario. El importe obtenido minorará, hasta su anulación, el valor de adquisición de las acciones o participaciones afectadas y el exceso que pudiera resultar tributará como rendimiento del capital mobiliario. (art. 25.1.e) Ley 35/2006, de 28 de noviembre, del Impuesto sobre la Renta de las Personas Físicas   RCL 2006\2123.</w:t>
      </w:r>
    </w:p>
    <w:p w:rsidR="005C39F7" w:rsidRPr="005C39F7" w:rsidRDefault="005C39F7" w:rsidP="005C39F7">
      <w:pPr>
        <w:shd w:val="clear" w:color="auto" w:fill="FFFFFF"/>
        <w:spacing w:before="0"/>
        <w:ind w:firstLine="0"/>
        <w:contextualSpacing/>
        <w:mirrorIndents/>
        <w:textAlignment w:val="baseline"/>
        <w:rPr>
          <w:rFonts w:eastAsia="Times New Roman" w:cs="Times New Roman"/>
          <w:szCs w:val="24"/>
          <w:lang w:eastAsia="es-ES"/>
        </w:rPr>
      </w:pPr>
    </w:p>
    <w:p w:rsidR="005C39F7" w:rsidRPr="005C39F7" w:rsidRDefault="005C39F7" w:rsidP="005C39F7">
      <w:pPr>
        <w:spacing w:before="0"/>
        <w:ind w:firstLine="0"/>
        <w:contextualSpacing/>
        <w:mirrorIndents/>
        <w:rPr>
          <w:rFonts w:eastAsia="Calibri" w:cs="Times New Roman"/>
          <w:szCs w:val="24"/>
        </w:rPr>
      </w:pPr>
      <w:r w:rsidRPr="005C39F7">
        <w:rPr>
          <w:rFonts w:eastAsia="Times New Roman" w:cs="Times New Roman"/>
          <w:szCs w:val="24"/>
          <w:lang w:eastAsia="es-ES"/>
        </w:rPr>
        <w:t>D</w:t>
      </w:r>
      <w:r w:rsidRPr="005C39F7">
        <w:rPr>
          <w:rFonts w:eastAsia="Calibri" w:cs="Times New Roman"/>
          <w:szCs w:val="24"/>
        </w:rPr>
        <w:t>e acuerdo con lo previsto en el segundo párrafo del artículo 33.3.a) de la Ley 35/2006, de 28 de noviembre, del Impuesto sobre la Renta de las Personas Físicas   RCL 2006\2123.</w:t>
      </w:r>
    </w:p>
    <w:p w:rsidR="005C39F7" w:rsidRPr="005C39F7" w:rsidRDefault="005C39F7" w:rsidP="005C39F7">
      <w:pPr>
        <w:shd w:val="clear" w:color="auto" w:fill="FFFFFF"/>
        <w:spacing w:before="0"/>
        <w:ind w:firstLine="0"/>
        <w:contextualSpacing/>
        <w:mirrorIndents/>
        <w:textAlignment w:val="baseline"/>
        <w:rPr>
          <w:rFonts w:eastAsia="Calibri" w:cs="Times New Roman"/>
          <w:szCs w:val="24"/>
        </w:rPr>
      </w:pPr>
      <w:r w:rsidRPr="005C39F7">
        <w:rPr>
          <w:rFonts w:eastAsia="Calibri" w:cs="Times New Roman"/>
          <w:szCs w:val="24"/>
        </w:rPr>
        <w:t>n</w:t>
      </w:r>
      <w:r w:rsidRPr="005C39F7">
        <w:rPr>
          <w:rFonts w:eastAsia="Times New Roman" w:cs="Times New Roman"/>
          <w:szCs w:val="24"/>
          <w:lang w:eastAsia="es-ES"/>
        </w:rPr>
        <w:t xml:space="preserve">o </w:t>
      </w:r>
      <w:r w:rsidRPr="005C39F7">
        <w:rPr>
          <w:rFonts w:eastAsia="Calibri" w:cs="Times New Roman"/>
          <w:szCs w:val="24"/>
        </w:rPr>
        <w:t>existirá obligación de practicar retención o ingreso a cuenta sobre “</w:t>
      </w:r>
      <w:r w:rsidRPr="005C39F7">
        <w:rPr>
          <w:rFonts w:eastAsia="Calibri" w:cs="Times New Roman"/>
          <w:i/>
          <w:szCs w:val="24"/>
        </w:rPr>
        <w:t>los rendimientos procedentes de la devolución de la prima de emisión de acciones o participaciones y de la reducción de capital con devolución de aportaciones, salvo que procedan de beneficios no distribuidos”</w:t>
      </w:r>
    </w:p>
    <w:p w:rsidR="005C39F7" w:rsidRPr="005C39F7" w:rsidRDefault="005C39F7" w:rsidP="005C39F7">
      <w:pPr>
        <w:shd w:val="clear" w:color="auto" w:fill="FFFFFF"/>
        <w:spacing w:before="0"/>
        <w:ind w:firstLine="0"/>
        <w:contextualSpacing/>
        <w:mirrorIndents/>
        <w:textAlignment w:val="baseline"/>
        <w:rPr>
          <w:rFonts w:eastAsia="Calibri" w:cs="Times New Roman"/>
          <w:szCs w:val="24"/>
        </w:rPr>
      </w:pPr>
    </w:p>
    <w:p w:rsidR="005C39F7" w:rsidRPr="005C39F7" w:rsidRDefault="005C39F7" w:rsidP="005C39F7">
      <w:pPr>
        <w:shd w:val="clear" w:color="auto" w:fill="FFFFFF"/>
        <w:spacing w:before="0"/>
        <w:ind w:firstLine="0"/>
        <w:contextualSpacing/>
        <w:mirrorIndents/>
        <w:textAlignment w:val="baseline"/>
        <w:rPr>
          <w:rFonts w:eastAsia="Calibri" w:cs="Times New Roman"/>
          <w:szCs w:val="24"/>
        </w:rPr>
      </w:pPr>
      <w:r w:rsidRPr="005C39F7">
        <w:rPr>
          <w:rFonts w:eastAsia="Calibri" w:cs="Times New Roman"/>
          <w:szCs w:val="24"/>
        </w:rPr>
        <w:t xml:space="preserve">En el caso de distribución de la prima de emisión correspondiente a valores no admitidos a negociación en alguno de los mercados regulados en la Directiva 2004/39/CE del Parlamento Europeo y del Consejo, de 21 de abril de 2004, relativa a los mercados de instrumentos financieros, y representativos de la participación en fondos propios de sociedades o entidades, cuando la diferencia entre el valor de los fondos propios de las acciones o participaciones correspondiente al último ejercicio cerrado con anterioridad a la fecha de la distribución de la prima y su valor de adquisición sea positiva, el importe obtenido o el valor normal de mercado de los </w:t>
      </w:r>
      <w:r w:rsidRPr="005C39F7">
        <w:rPr>
          <w:rFonts w:eastAsia="Calibri" w:cs="Times New Roman"/>
          <w:szCs w:val="24"/>
        </w:rPr>
        <w:lastRenderedPageBreak/>
        <w:t>bienes o derechos recibidos se considerará rendimiento del capital mobiliario con el límite de la citada diferencia positiva</w:t>
      </w:r>
      <w:r w:rsidRPr="005C39F7">
        <w:rPr>
          <w:rFonts w:eastAsia="Calibri" w:cs="Times New Roman"/>
          <w:szCs w:val="24"/>
          <w:vertAlign w:val="superscript"/>
        </w:rPr>
        <w:footnoteReference w:id="11"/>
      </w:r>
      <w:r w:rsidRPr="005C39F7">
        <w:rPr>
          <w:rFonts w:eastAsia="Calibri" w:cs="Times New Roman"/>
          <w:szCs w:val="24"/>
        </w:rPr>
        <w:t xml:space="preserve">. </w:t>
      </w:r>
    </w:p>
    <w:p w:rsidR="005C39F7" w:rsidRPr="005C39F7" w:rsidRDefault="005C39F7" w:rsidP="005C39F7">
      <w:pPr>
        <w:shd w:val="clear" w:color="auto" w:fill="FFFFFF"/>
        <w:spacing w:before="0"/>
        <w:ind w:firstLine="0"/>
        <w:contextualSpacing/>
        <w:mirrorIndents/>
        <w:textAlignment w:val="baseline"/>
        <w:rPr>
          <w:rFonts w:eastAsia="Calibri" w:cs="Times New Roman"/>
          <w:szCs w:val="24"/>
        </w:rPr>
      </w:pPr>
    </w:p>
    <w:p w:rsidR="005C39F7" w:rsidRPr="005C39F7" w:rsidRDefault="005C39F7" w:rsidP="005C39F7">
      <w:pPr>
        <w:shd w:val="clear" w:color="auto" w:fill="FFFFFF"/>
        <w:spacing w:before="0"/>
        <w:ind w:firstLine="0"/>
        <w:contextualSpacing/>
        <w:mirrorIndents/>
        <w:textAlignment w:val="baseline"/>
        <w:rPr>
          <w:rFonts w:eastAsia="Times New Roman" w:cs="Times New Roman"/>
          <w:szCs w:val="24"/>
          <w:lang w:eastAsia="es-ES"/>
        </w:rPr>
      </w:pPr>
      <w:r w:rsidRPr="005C39F7">
        <w:rPr>
          <w:rFonts w:eastAsia="Calibri" w:cs="Times New Roman"/>
          <w:szCs w:val="24"/>
        </w:rPr>
        <w:t>De tal forma que, el valor de los fondos propios se minorará en el importe de los beneficios repartidos con anterioridad a la fecha de la distribución de la prima de emisión, procedentes de reservas incluidas en los citados fondos propios, así como en el importe de las reservas legalmente indisponibles incluidas en dichos fondos propios que se hubieran generado con posterioridad a la adquisición de las acciones o participaciones. El exceso sobre el citado límite minorará el valor de adquisición de las acciones o participaciones</w:t>
      </w:r>
      <w:r w:rsidRPr="005C39F7">
        <w:rPr>
          <w:rFonts w:eastAsia="Calibri" w:cs="Times New Roman"/>
          <w:szCs w:val="24"/>
          <w:vertAlign w:val="superscript"/>
        </w:rPr>
        <w:footnoteReference w:id="12"/>
      </w:r>
    </w:p>
    <w:p w:rsidR="005C39F7" w:rsidRPr="005C39F7" w:rsidRDefault="005C39F7" w:rsidP="005C39F7">
      <w:pPr>
        <w:shd w:val="clear" w:color="auto" w:fill="FFFFFF"/>
        <w:spacing w:before="0"/>
        <w:ind w:left="720" w:firstLine="0"/>
        <w:contextualSpacing/>
        <w:mirrorIndents/>
        <w:textAlignment w:val="baseline"/>
        <w:outlineLvl w:val="1"/>
        <w:rPr>
          <w:rFonts w:eastAsia="Times New Roman" w:cs="Times New Roman"/>
          <w:b/>
          <w:bCs/>
          <w:szCs w:val="24"/>
          <w:lang w:eastAsia="es-ES"/>
        </w:rPr>
      </w:pPr>
    </w:p>
    <w:p w:rsidR="005C39F7" w:rsidRPr="005C39F7" w:rsidRDefault="005C39F7" w:rsidP="005C39F7">
      <w:pPr>
        <w:shd w:val="clear" w:color="auto" w:fill="FFFFFF"/>
        <w:spacing w:before="0"/>
        <w:ind w:firstLine="0"/>
        <w:mirrorIndents/>
        <w:textAlignment w:val="baseline"/>
        <w:outlineLvl w:val="1"/>
        <w:rPr>
          <w:rFonts w:eastAsia="Times New Roman" w:cs="Times New Roman"/>
          <w:b/>
          <w:bCs/>
          <w:i/>
          <w:szCs w:val="24"/>
          <w:lang w:eastAsia="es-ES"/>
        </w:rPr>
      </w:pPr>
      <w:r w:rsidRPr="005C39F7">
        <w:rPr>
          <w:rFonts w:eastAsia="Times New Roman" w:cs="Times New Roman"/>
          <w:b/>
          <w:bCs/>
          <w:i/>
          <w:szCs w:val="24"/>
          <w:lang w:eastAsia="es-ES"/>
        </w:rPr>
        <w:t xml:space="preserve">C) Derechos de suscripción preferente </w:t>
      </w:r>
    </w:p>
    <w:p w:rsidR="005C39F7" w:rsidRPr="005C39F7" w:rsidRDefault="005C39F7" w:rsidP="005C39F7">
      <w:pPr>
        <w:shd w:val="clear" w:color="auto" w:fill="FFFFFF"/>
        <w:spacing w:before="0"/>
        <w:ind w:firstLine="0"/>
        <w:contextualSpacing/>
        <w:mirrorIndents/>
        <w:textAlignment w:val="baseline"/>
        <w:rPr>
          <w:rFonts w:eastAsia="Times New Roman" w:cs="Times New Roman"/>
          <w:szCs w:val="24"/>
          <w:lang w:eastAsia="es-ES"/>
        </w:rPr>
      </w:pPr>
    </w:p>
    <w:p w:rsidR="005C39F7" w:rsidRPr="005C39F7" w:rsidRDefault="005C39F7" w:rsidP="005C39F7">
      <w:pPr>
        <w:shd w:val="clear" w:color="auto" w:fill="FFFFFF"/>
        <w:spacing w:before="0"/>
        <w:ind w:firstLine="0"/>
        <w:contextualSpacing/>
        <w:mirrorIndents/>
        <w:textAlignment w:val="baseline"/>
        <w:rPr>
          <w:rFonts w:eastAsia="Times New Roman" w:cs="Times New Roman"/>
          <w:szCs w:val="24"/>
          <w:lang w:eastAsia="es-ES"/>
        </w:rPr>
      </w:pPr>
      <w:r w:rsidRPr="005C39F7">
        <w:rPr>
          <w:rFonts w:eastAsia="Times New Roman" w:cs="Times New Roman"/>
          <w:szCs w:val="24"/>
          <w:lang w:eastAsia="es-ES"/>
        </w:rPr>
        <w:t xml:space="preserve">Cuando se transmiten derechos de suscripción el importe obtenido tributa de distinta manera si se trata de derechos procedentes de participaciones en entidades no </w:t>
      </w:r>
      <w:proofErr w:type="gramStart"/>
      <w:r w:rsidRPr="005C39F7">
        <w:rPr>
          <w:rFonts w:eastAsia="Times New Roman" w:cs="Times New Roman"/>
          <w:szCs w:val="24"/>
          <w:lang w:eastAsia="es-ES"/>
        </w:rPr>
        <w:t>cotizadas  (</w:t>
      </w:r>
      <w:proofErr w:type="gramEnd"/>
      <w:r w:rsidRPr="005C39F7">
        <w:rPr>
          <w:rFonts w:eastAsia="Times New Roman" w:cs="Times New Roman"/>
          <w:szCs w:val="24"/>
          <w:lang w:eastAsia="es-ES"/>
        </w:rPr>
        <w:t>lo que daría lugar a una ganancia patrimonial) que si proceden de entidades que cotizan, en cuyo caso dicho importe minoraría el valor de adquisición, aunque si se superase este, el exceso se considerará ganancia patrimonial.</w:t>
      </w:r>
    </w:p>
    <w:p w:rsidR="005C39F7" w:rsidRPr="005C39F7" w:rsidRDefault="005C39F7" w:rsidP="005C39F7">
      <w:pPr>
        <w:shd w:val="clear" w:color="auto" w:fill="FFFFFF"/>
        <w:spacing w:before="0"/>
        <w:ind w:firstLine="0"/>
        <w:contextualSpacing/>
        <w:mirrorIndents/>
        <w:textAlignment w:val="baseline"/>
        <w:rPr>
          <w:rFonts w:eastAsia="Times New Roman" w:cs="Times New Roman"/>
          <w:szCs w:val="24"/>
          <w:lang w:eastAsia="es-ES"/>
        </w:rPr>
      </w:pPr>
    </w:p>
    <w:p w:rsidR="005C39F7" w:rsidRPr="005C39F7" w:rsidRDefault="005C39F7" w:rsidP="005C39F7">
      <w:pPr>
        <w:shd w:val="clear" w:color="auto" w:fill="FFFFFF"/>
        <w:spacing w:before="0"/>
        <w:ind w:firstLine="0"/>
        <w:contextualSpacing/>
        <w:mirrorIndents/>
        <w:textAlignment w:val="baseline"/>
        <w:rPr>
          <w:rFonts w:eastAsia="Times New Roman" w:cs="Times New Roman"/>
          <w:szCs w:val="24"/>
          <w:lang w:eastAsia="es-ES"/>
        </w:rPr>
      </w:pPr>
      <w:r w:rsidRPr="005C39F7">
        <w:rPr>
          <w:rFonts w:eastAsia="Times New Roman" w:cs="Times New Roman"/>
          <w:szCs w:val="24"/>
          <w:lang w:eastAsia="es-ES"/>
        </w:rPr>
        <w:t>A partir de 2017, el importe obtenido por la transmisión de derechos de suscripción se considera ganancia patrimonial y se somete a retención, estando obligada a ello la entidad depositaria y, en su defecto, el intermediario financiero o fedatario público que haya intervenido en la operación.</w:t>
      </w:r>
    </w:p>
    <w:p w:rsidR="005C39F7" w:rsidRPr="005C39F7" w:rsidRDefault="005C39F7" w:rsidP="005C39F7">
      <w:pPr>
        <w:shd w:val="clear" w:color="auto" w:fill="FFFFFF"/>
        <w:spacing w:before="0"/>
        <w:ind w:firstLine="0"/>
        <w:contextualSpacing/>
        <w:mirrorIndents/>
        <w:textAlignment w:val="baseline"/>
        <w:rPr>
          <w:rFonts w:eastAsia="Times New Roman" w:cs="Times New Roman"/>
          <w:szCs w:val="24"/>
          <w:lang w:eastAsia="es-ES"/>
        </w:rPr>
      </w:pPr>
    </w:p>
    <w:p w:rsidR="005C39F7" w:rsidRPr="005C39F7" w:rsidRDefault="005C39F7" w:rsidP="005C39F7">
      <w:pPr>
        <w:shd w:val="clear" w:color="auto" w:fill="FFFFFF"/>
        <w:spacing w:before="0"/>
        <w:ind w:firstLine="0"/>
        <w:contextualSpacing/>
        <w:mirrorIndents/>
        <w:textAlignment w:val="baseline"/>
        <w:outlineLvl w:val="1"/>
        <w:rPr>
          <w:rFonts w:eastAsia="Times New Roman" w:cs="Times New Roman"/>
          <w:b/>
          <w:bCs/>
          <w:i/>
          <w:szCs w:val="24"/>
          <w:lang w:eastAsia="es-ES"/>
        </w:rPr>
      </w:pPr>
    </w:p>
    <w:p w:rsidR="005C39F7" w:rsidRPr="005C39F7" w:rsidRDefault="005C39F7" w:rsidP="005C39F7">
      <w:pPr>
        <w:shd w:val="clear" w:color="auto" w:fill="FFFFFF"/>
        <w:spacing w:before="0"/>
        <w:ind w:firstLine="0"/>
        <w:contextualSpacing/>
        <w:mirrorIndents/>
        <w:textAlignment w:val="baseline"/>
        <w:outlineLvl w:val="1"/>
        <w:rPr>
          <w:rFonts w:eastAsia="Times New Roman" w:cs="Times New Roman"/>
          <w:b/>
          <w:bCs/>
          <w:i/>
          <w:szCs w:val="24"/>
          <w:lang w:eastAsia="es-ES"/>
        </w:rPr>
      </w:pPr>
      <w:r w:rsidRPr="005C39F7">
        <w:rPr>
          <w:rFonts w:eastAsia="Times New Roman" w:cs="Times New Roman"/>
          <w:b/>
          <w:bCs/>
          <w:i/>
          <w:szCs w:val="24"/>
          <w:lang w:eastAsia="es-ES"/>
        </w:rPr>
        <w:t>D) Sociedades y Fondos de inversión</w:t>
      </w:r>
    </w:p>
    <w:p w:rsidR="005C39F7" w:rsidRPr="005C39F7" w:rsidRDefault="005C39F7" w:rsidP="005C39F7">
      <w:pPr>
        <w:spacing w:before="0"/>
        <w:ind w:firstLine="0"/>
        <w:contextualSpacing/>
        <w:mirrorIndents/>
        <w:rPr>
          <w:rFonts w:eastAsia="Times New Roman" w:cs="Times New Roman"/>
          <w:szCs w:val="24"/>
          <w:lang w:eastAsia="es-ES"/>
        </w:rPr>
      </w:pPr>
    </w:p>
    <w:p w:rsidR="005C39F7" w:rsidRPr="005C39F7" w:rsidRDefault="005C39F7" w:rsidP="005C39F7">
      <w:pPr>
        <w:spacing w:before="0"/>
        <w:ind w:firstLine="0"/>
        <w:contextualSpacing/>
        <w:mirrorIndents/>
        <w:rPr>
          <w:rFonts w:eastAsia="Times New Roman" w:cs="Times New Roman"/>
          <w:szCs w:val="24"/>
          <w:lang w:eastAsia="es-ES"/>
        </w:rPr>
      </w:pPr>
      <w:r w:rsidRPr="005C39F7">
        <w:rPr>
          <w:rFonts w:eastAsia="Times New Roman" w:cs="Times New Roman"/>
          <w:szCs w:val="24"/>
          <w:lang w:eastAsia="es-ES"/>
        </w:rPr>
        <w:t>En el caso de las </w:t>
      </w:r>
      <w:r w:rsidRPr="005C39F7">
        <w:rPr>
          <w:rFonts w:eastAsia="Times New Roman" w:cs="Times New Roman"/>
          <w:bCs/>
          <w:i/>
          <w:szCs w:val="24"/>
          <w:lang w:eastAsia="es-ES"/>
        </w:rPr>
        <w:t>Sociedades de Inversión</w:t>
      </w:r>
      <w:r w:rsidRPr="005C39F7">
        <w:rPr>
          <w:rFonts w:eastAsia="Times New Roman" w:cs="Times New Roman"/>
          <w:szCs w:val="24"/>
          <w:lang w:eastAsia="es-ES"/>
        </w:rPr>
        <w:t>, quedan  </w:t>
      </w:r>
      <w:hyperlink r:id="rId11" w:tooltip="DOC\2003\450" w:history="1">
        <w:r w:rsidRPr="005C39F7">
          <w:rPr>
            <w:rFonts w:eastAsia="Times New Roman" w:cs="Times New Roman"/>
            <w:color w:val="0000FF"/>
            <w:szCs w:val="24"/>
            <w:u w:val="single"/>
            <w:lang w:eastAsia="es-ES"/>
          </w:rPr>
          <w:t>sujetas al IS</w:t>
        </w:r>
      </w:hyperlink>
      <w:r w:rsidRPr="005C39F7">
        <w:rPr>
          <w:rFonts w:eastAsia="Times New Roman" w:cs="Times New Roman"/>
          <w:szCs w:val="24"/>
          <w:lang w:eastAsia="es-ES"/>
        </w:rPr>
        <w:t>, puesto que tienen personalidad jurídica</w:t>
      </w:r>
      <w:r w:rsidRPr="005C39F7">
        <w:rPr>
          <w:rFonts w:eastAsia="Times New Roman" w:cs="Times New Roman"/>
          <w:szCs w:val="24"/>
          <w:vertAlign w:val="superscript"/>
          <w:lang w:eastAsia="es-ES"/>
        </w:rPr>
        <w:footnoteReference w:id="13"/>
      </w:r>
      <w:r w:rsidRPr="005C39F7">
        <w:rPr>
          <w:rFonts w:eastAsia="Times New Roman" w:cs="Times New Roman"/>
          <w:szCs w:val="24"/>
          <w:lang w:eastAsia="es-ES"/>
        </w:rPr>
        <w:t xml:space="preserve"> al tener que constituirse necesariamente bajo la forma jurídica de sociedad anónima.</w:t>
      </w:r>
    </w:p>
    <w:p w:rsidR="005C39F7" w:rsidRPr="005C39F7" w:rsidRDefault="005C39F7" w:rsidP="005C39F7">
      <w:pPr>
        <w:spacing w:before="0"/>
        <w:ind w:firstLine="0"/>
        <w:contextualSpacing/>
        <w:mirrorIndents/>
        <w:rPr>
          <w:rFonts w:eastAsia="Times New Roman" w:cs="Times New Roman"/>
          <w:szCs w:val="24"/>
          <w:lang w:eastAsia="es-ES"/>
        </w:rPr>
      </w:pPr>
    </w:p>
    <w:p w:rsidR="005C39F7" w:rsidRPr="005C39F7" w:rsidRDefault="005C39F7" w:rsidP="005C39F7">
      <w:pPr>
        <w:spacing w:before="0"/>
        <w:ind w:firstLine="0"/>
        <w:contextualSpacing/>
        <w:mirrorIndents/>
        <w:rPr>
          <w:rFonts w:eastAsia="Times New Roman" w:cs="Times New Roman"/>
          <w:szCs w:val="24"/>
          <w:lang w:eastAsia="es-ES"/>
        </w:rPr>
      </w:pPr>
      <w:r w:rsidRPr="005C39F7">
        <w:rPr>
          <w:rFonts w:eastAsia="Times New Roman" w:cs="Times New Roman"/>
          <w:szCs w:val="24"/>
          <w:lang w:eastAsia="es-ES"/>
        </w:rPr>
        <w:t>En cuanto a los </w:t>
      </w:r>
      <w:r w:rsidRPr="005C39F7">
        <w:rPr>
          <w:rFonts w:eastAsia="Times New Roman" w:cs="Times New Roman"/>
          <w:bCs/>
          <w:i/>
          <w:szCs w:val="24"/>
          <w:lang w:eastAsia="es-ES"/>
        </w:rPr>
        <w:t>Fondos de Inversión</w:t>
      </w:r>
      <w:r w:rsidRPr="005C39F7">
        <w:rPr>
          <w:rFonts w:eastAsia="Times New Roman" w:cs="Times New Roman"/>
          <w:bCs/>
          <w:szCs w:val="24"/>
          <w:lang w:eastAsia="es-ES"/>
        </w:rPr>
        <w:t> </w:t>
      </w:r>
      <w:r w:rsidRPr="005C39F7">
        <w:rPr>
          <w:rFonts w:eastAsia="Times New Roman" w:cs="Times New Roman"/>
          <w:szCs w:val="24"/>
          <w:lang w:eastAsia="es-ES"/>
        </w:rPr>
        <w:t>se someten a sujeción de forma expresa en la letra  c) del  </w:t>
      </w:r>
      <w:hyperlink r:id="rId12" w:tooltip="RCL\2014\1581" w:history="1">
        <w:r w:rsidRPr="005C39F7">
          <w:rPr>
            <w:rFonts w:eastAsia="Times New Roman" w:cs="Times New Roman"/>
            <w:color w:val="0000FF"/>
            <w:szCs w:val="24"/>
            <w:u w:val="single"/>
            <w:lang w:eastAsia="es-ES"/>
          </w:rPr>
          <w:t>art. 7.1 </w:t>
        </w:r>
      </w:hyperlink>
      <w:r w:rsidRPr="005C39F7">
        <w:rPr>
          <w:rFonts w:eastAsia="Times New Roman" w:cs="Times New Roman"/>
          <w:szCs w:val="24"/>
          <w:lang w:eastAsia="es-ES"/>
        </w:rPr>
        <w:t>  del LIS, debido a que aunque carecen de personalidad jurídica, constituyen una fórmula jurídica apta para ser sujetos pasivos del IS, ya que forman una unidad económica o patrimonio separado susceptible de imposición, es decir, encajan dentro de las entidades a las que se refiere el  35</w:t>
      </w:r>
      <w:hyperlink r:id="rId13" w:tooltip="RCL\2003\2945" w:history="1">
        <w:r w:rsidRPr="005C39F7">
          <w:rPr>
            <w:rFonts w:eastAsia="Times New Roman" w:cs="Times New Roman"/>
            <w:color w:val="0000FF"/>
            <w:szCs w:val="24"/>
            <w:u w:val="single"/>
            <w:lang w:eastAsia="es-ES"/>
          </w:rPr>
          <w:t>.4</w:t>
        </w:r>
      </w:hyperlink>
      <w:r w:rsidRPr="005C39F7">
        <w:rPr>
          <w:rFonts w:eastAsia="Times New Roman" w:cs="Times New Roman"/>
          <w:szCs w:val="24"/>
          <w:lang w:eastAsia="es-ES"/>
        </w:rPr>
        <w:t xml:space="preserve">  de la LGT. </w:t>
      </w:r>
    </w:p>
    <w:p w:rsidR="005C39F7" w:rsidRPr="005C39F7" w:rsidRDefault="005C39F7" w:rsidP="005C39F7">
      <w:pPr>
        <w:shd w:val="clear" w:color="auto" w:fill="FFFFFF"/>
        <w:spacing w:before="0"/>
        <w:ind w:firstLine="0"/>
        <w:contextualSpacing/>
        <w:mirrorIndents/>
        <w:textAlignment w:val="baseline"/>
        <w:rPr>
          <w:rFonts w:eastAsia="Times New Roman" w:cs="Times New Roman"/>
          <w:szCs w:val="24"/>
          <w:lang w:eastAsia="es-ES"/>
        </w:rPr>
      </w:pPr>
    </w:p>
    <w:p w:rsidR="005C39F7" w:rsidRPr="005C39F7" w:rsidRDefault="005C39F7" w:rsidP="005C39F7">
      <w:pPr>
        <w:shd w:val="clear" w:color="auto" w:fill="FFFFFF"/>
        <w:spacing w:before="0"/>
        <w:ind w:firstLine="0"/>
        <w:contextualSpacing/>
        <w:mirrorIndents/>
        <w:textAlignment w:val="baseline"/>
        <w:rPr>
          <w:rFonts w:eastAsia="Times New Roman" w:cs="Times New Roman"/>
          <w:szCs w:val="24"/>
          <w:lang w:eastAsia="es-ES"/>
        </w:rPr>
      </w:pPr>
      <w:r w:rsidRPr="005C39F7">
        <w:rPr>
          <w:rFonts w:eastAsia="Times New Roman" w:cs="Times New Roman"/>
          <w:szCs w:val="24"/>
          <w:lang w:eastAsia="es-ES"/>
        </w:rPr>
        <w:lastRenderedPageBreak/>
        <w:t xml:space="preserve">Con la legislación anterior se diferenciaba los rendimientos generados antes y después de un </w:t>
      </w:r>
      <w:proofErr w:type="gramStart"/>
      <w:r w:rsidRPr="005C39F7">
        <w:rPr>
          <w:rFonts w:eastAsia="Times New Roman" w:cs="Times New Roman"/>
          <w:szCs w:val="24"/>
          <w:lang w:eastAsia="es-ES"/>
        </w:rPr>
        <w:t>año</w:t>
      </w:r>
      <w:proofErr w:type="gramEnd"/>
      <w:r w:rsidRPr="005C39F7">
        <w:rPr>
          <w:rFonts w:eastAsia="Times New Roman" w:cs="Times New Roman"/>
          <w:szCs w:val="24"/>
          <w:lang w:eastAsia="es-ES"/>
        </w:rPr>
        <w:t xml:space="preserve"> pero la tributación actual es la misma que en otros productos de ahorro, con tres tramos distintos.</w:t>
      </w:r>
    </w:p>
    <w:p w:rsidR="005C39F7" w:rsidRPr="005C39F7" w:rsidRDefault="005C39F7" w:rsidP="005C39F7">
      <w:pPr>
        <w:shd w:val="clear" w:color="auto" w:fill="FFFFFF"/>
        <w:spacing w:before="0"/>
        <w:ind w:firstLine="0"/>
        <w:contextualSpacing/>
        <w:mirrorIndents/>
        <w:textAlignment w:val="baseline"/>
        <w:rPr>
          <w:rFonts w:eastAsia="Times New Roman" w:cs="Times New Roman"/>
          <w:szCs w:val="24"/>
          <w:lang w:eastAsia="es-ES"/>
        </w:rPr>
      </w:pPr>
    </w:p>
    <w:p w:rsidR="005C39F7" w:rsidRPr="005C39F7" w:rsidRDefault="005C39F7" w:rsidP="005C39F7">
      <w:pPr>
        <w:shd w:val="clear" w:color="auto" w:fill="FFFFFF"/>
        <w:spacing w:before="0"/>
        <w:ind w:firstLine="0"/>
        <w:contextualSpacing/>
        <w:mirrorIndents/>
        <w:textAlignment w:val="baseline"/>
        <w:rPr>
          <w:rFonts w:eastAsia="Times New Roman" w:cs="Times New Roman"/>
          <w:szCs w:val="24"/>
          <w:lang w:eastAsia="es-ES"/>
        </w:rPr>
      </w:pPr>
      <w:r w:rsidRPr="005C39F7">
        <w:rPr>
          <w:rFonts w:eastAsia="Times New Roman" w:cs="Times New Roman"/>
          <w:szCs w:val="24"/>
          <w:lang w:eastAsia="es-ES"/>
        </w:rPr>
        <w:t>La ventaja es que el traspaso de fondos está libre del impuesto. Hasta que no se produce la transmisión de la participación la ganancia patrimonial no se paga a Hacienda.</w:t>
      </w:r>
    </w:p>
    <w:p w:rsidR="005C39F7" w:rsidRPr="005C39F7" w:rsidRDefault="005C39F7" w:rsidP="005C39F7">
      <w:pPr>
        <w:spacing w:before="0"/>
        <w:ind w:firstLine="0"/>
        <w:contextualSpacing/>
        <w:mirrorIndents/>
        <w:rPr>
          <w:rFonts w:eastAsia="Times New Roman" w:cs="Times New Roman"/>
          <w:szCs w:val="24"/>
          <w:lang w:eastAsia="es-ES"/>
        </w:rPr>
      </w:pPr>
    </w:p>
    <w:p w:rsidR="005C39F7" w:rsidRPr="005C39F7" w:rsidRDefault="005C39F7" w:rsidP="005C39F7">
      <w:pPr>
        <w:spacing w:before="0"/>
        <w:ind w:firstLine="0"/>
        <w:contextualSpacing/>
        <w:mirrorIndents/>
        <w:rPr>
          <w:rFonts w:eastAsia="Calibri" w:cs="Times New Roman"/>
          <w:szCs w:val="24"/>
        </w:rPr>
      </w:pPr>
      <w:r w:rsidRPr="005C39F7">
        <w:rPr>
          <w:rFonts w:eastAsia="Times New Roman" w:cs="Times New Roman"/>
          <w:szCs w:val="24"/>
          <w:lang w:eastAsia="es-ES"/>
        </w:rPr>
        <w:t>En el IS</w:t>
      </w:r>
      <w:r w:rsidRPr="005C39F7">
        <w:rPr>
          <w:rFonts w:eastAsia="Calibri" w:cs="Times New Roman"/>
          <w:szCs w:val="24"/>
        </w:rPr>
        <w:t xml:space="preserve"> y siempre que se cumplan los requisitos del art. 29.4 de la LIS, el fondo tributa al 1%. Y no están obligadas a efectuar pagos fraccionados,  </w:t>
      </w:r>
      <w:hyperlink r:id="rId14" w:tooltip="RCL\2014\1581" w:history="1">
        <w:r w:rsidRPr="005C39F7">
          <w:rPr>
            <w:rFonts w:eastAsia="Calibri" w:cs="Times New Roman"/>
            <w:color w:val="0000FF"/>
            <w:szCs w:val="24"/>
            <w:u w:val="single"/>
          </w:rPr>
          <w:t>art. 40.1 </w:t>
        </w:r>
      </w:hyperlink>
      <w:r w:rsidRPr="005C39F7">
        <w:rPr>
          <w:rFonts w:eastAsia="Calibri" w:cs="Times New Roman"/>
          <w:szCs w:val="24"/>
        </w:rPr>
        <w:t>  LIS.</w:t>
      </w:r>
    </w:p>
    <w:p w:rsidR="005C39F7" w:rsidRPr="005C39F7" w:rsidRDefault="005C39F7" w:rsidP="005C39F7">
      <w:pPr>
        <w:spacing w:before="0"/>
        <w:ind w:firstLine="0"/>
        <w:contextualSpacing/>
        <w:mirrorIndents/>
        <w:rPr>
          <w:rFonts w:eastAsia="Times New Roman" w:cs="Times New Roman"/>
          <w:szCs w:val="24"/>
          <w:lang w:eastAsia="es-ES"/>
        </w:rPr>
      </w:pPr>
    </w:p>
    <w:p w:rsidR="005C39F7" w:rsidRPr="005C39F7" w:rsidRDefault="005C39F7" w:rsidP="005C39F7">
      <w:pPr>
        <w:spacing w:before="0"/>
        <w:ind w:firstLine="0"/>
        <w:contextualSpacing/>
        <w:mirrorIndents/>
        <w:rPr>
          <w:rFonts w:eastAsia="Times New Roman" w:cs="Times New Roman"/>
          <w:szCs w:val="24"/>
          <w:lang w:eastAsia="es-ES"/>
        </w:rPr>
      </w:pPr>
      <w:r w:rsidRPr="005C39F7">
        <w:rPr>
          <w:rFonts w:eastAsia="Times New Roman" w:cs="Times New Roman"/>
          <w:szCs w:val="24"/>
          <w:lang w:eastAsia="es-ES"/>
        </w:rPr>
        <w:t>En cuanto a los partícipes de los Fondos de Activos Bancarios, cuando se trate de </w:t>
      </w:r>
      <w:r w:rsidRPr="005C39F7">
        <w:rPr>
          <w:rFonts w:eastAsia="Times New Roman" w:cs="Times New Roman"/>
          <w:bCs/>
          <w:szCs w:val="24"/>
          <w:lang w:eastAsia="es-ES"/>
        </w:rPr>
        <w:t>partícipes que sean sujetos pasivos del IS, del IRNR que obtengan sus rentas mediante establecimiento permanente</w:t>
      </w:r>
      <w:r w:rsidRPr="005C39F7">
        <w:rPr>
          <w:rFonts w:eastAsia="Times New Roman" w:cs="Times New Roman"/>
          <w:szCs w:val="24"/>
          <w:lang w:eastAsia="es-ES"/>
        </w:rPr>
        <w:t> en territorio español, o </w:t>
      </w:r>
      <w:r w:rsidRPr="005C39F7">
        <w:rPr>
          <w:rFonts w:eastAsia="Times New Roman" w:cs="Times New Roman"/>
          <w:bCs/>
          <w:szCs w:val="24"/>
          <w:lang w:eastAsia="es-ES"/>
        </w:rPr>
        <w:t>contribuyentes del IRPF</w:t>
      </w:r>
      <w:r w:rsidRPr="005C39F7">
        <w:rPr>
          <w:rFonts w:eastAsia="Times New Roman" w:cs="Times New Roman"/>
          <w:szCs w:val="24"/>
          <w:lang w:eastAsia="es-ES"/>
        </w:rPr>
        <w:t> les resultará de aplicación el régimen fiscal previsto para los socios o partícipes de las Instituciones de Inversión Colectiva.</w:t>
      </w:r>
    </w:p>
    <w:p w:rsidR="005C39F7" w:rsidRPr="005C39F7" w:rsidRDefault="005C39F7" w:rsidP="005C39F7">
      <w:pPr>
        <w:spacing w:before="0"/>
        <w:ind w:firstLine="0"/>
        <w:contextualSpacing/>
        <w:mirrorIndents/>
        <w:rPr>
          <w:rFonts w:eastAsia="Times New Roman" w:cs="Times New Roman"/>
          <w:szCs w:val="24"/>
          <w:lang w:eastAsia="es-ES"/>
        </w:rPr>
      </w:pPr>
    </w:p>
    <w:p w:rsidR="005C39F7" w:rsidRPr="005C39F7" w:rsidRDefault="005C39F7" w:rsidP="005C39F7">
      <w:pPr>
        <w:spacing w:before="0"/>
        <w:ind w:firstLine="0"/>
        <w:contextualSpacing/>
        <w:mirrorIndents/>
        <w:rPr>
          <w:rFonts w:eastAsia="Times New Roman" w:cs="Times New Roman"/>
          <w:szCs w:val="24"/>
          <w:lang w:eastAsia="es-ES"/>
        </w:rPr>
      </w:pPr>
      <w:r w:rsidRPr="005C39F7">
        <w:rPr>
          <w:rFonts w:eastAsia="Times New Roman" w:cs="Times New Roman"/>
          <w:szCs w:val="24"/>
          <w:lang w:eastAsia="es-ES"/>
        </w:rPr>
        <w:t>En cambio cuando se trate de </w:t>
      </w:r>
      <w:r w:rsidRPr="005C39F7">
        <w:rPr>
          <w:rFonts w:eastAsia="Times New Roman" w:cs="Times New Roman"/>
          <w:bCs/>
          <w:szCs w:val="24"/>
          <w:lang w:eastAsia="es-ES"/>
        </w:rPr>
        <w:t>contribuyentes del IRNR sin establecimiento permanente</w:t>
      </w:r>
      <w:r w:rsidRPr="005C39F7">
        <w:rPr>
          <w:rFonts w:eastAsia="Times New Roman" w:cs="Times New Roman"/>
          <w:szCs w:val="24"/>
          <w:lang w:eastAsia="es-ES"/>
        </w:rPr>
        <w:t>, las rentas obtenidas estarán exentas de dicho impuesto en los mismos términos establecidos para los rendimientos derivados de la deuda pública en el  </w:t>
      </w:r>
      <w:hyperlink r:id="rId15" w:tooltip="RCL\2004\651-1" w:history="1">
        <w:r w:rsidRPr="005C39F7">
          <w:rPr>
            <w:rFonts w:eastAsia="Times New Roman" w:cs="Times New Roman"/>
            <w:color w:val="0000FF"/>
            <w:szCs w:val="24"/>
            <w:u w:val="single"/>
            <w:lang w:eastAsia="es-ES"/>
          </w:rPr>
          <w:t>art. 14 </w:t>
        </w:r>
      </w:hyperlink>
      <w:r w:rsidRPr="005C39F7">
        <w:rPr>
          <w:rFonts w:eastAsia="Times New Roman" w:cs="Times New Roman"/>
          <w:szCs w:val="24"/>
          <w:lang w:eastAsia="es-ES"/>
        </w:rPr>
        <w:t>TRLIRNR.</w:t>
      </w:r>
    </w:p>
    <w:p w:rsidR="005C39F7" w:rsidRPr="005C39F7" w:rsidRDefault="005C39F7" w:rsidP="005C39F7">
      <w:pPr>
        <w:spacing w:before="0"/>
        <w:ind w:firstLine="0"/>
        <w:contextualSpacing/>
        <w:mirrorIndents/>
        <w:rPr>
          <w:rFonts w:eastAsia="Times New Roman" w:cs="Times New Roman"/>
          <w:szCs w:val="24"/>
          <w:lang w:eastAsia="es-ES"/>
        </w:rPr>
      </w:pPr>
    </w:p>
    <w:p w:rsidR="005C39F7" w:rsidRPr="005C39F7" w:rsidRDefault="005C39F7" w:rsidP="005C39F7">
      <w:pPr>
        <w:spacing w:before="0"/>
        <w:ind w:firstLine="0"/>
        <w:contextualSpacing/>
        <w:mirrorIndents/>
        <w:rPr>
          <w:rFonts w:eastAsia="Calibri" w:cs="Times New Roman"/>
          <w:b/>
          <w:szCs w:val="24"/>
        </w:rPr>
      </w:pPr>
    </w:p>
    <w:p w:rsidR="005C39F7" w:rsidRPr="005C39F7" w:rsidRDefault="005C39F7" w:rsidP="005C39F7">
      <w:pPr>
        <w:spacing w:before="0"/>
        <w:ind w:firstLine="0"/>
        <w:contextualSpacing/>
        <w:mirrorIndents/>
        <w:rPr>
          <w:rFonts w:eastAsia="Calibri" w:cs="Times New Roman"/>
          <w:b/>
          <w:szCs w:val="24"/>
        </w:rPr>
      </w:pPr>
      <w:r w:rsidRPr="005C39F7">
        <w:rPr>
          <w:rFonts w:eastAsia="Calibri" w:cs="Times New Roman"/>
          <w:b/>
          <w:szCs w:val="24"/>
        </w:rPr>
        <w:t>IV.2.2.-Renta fija</w:t>
      </w:r>
    </w:p>
    <w:p w:rsidR="005C39F7" w:rsidRPr="005C39F7" w:rsidRDefault="005C39F7" w:rsidP="005C39F7">
      <w:pPr>
        <w:spacing w:before="0"/>
        <w:ind w:firstLine="0"/>
        <w:contextualSpacing/>
        <w:mirrorIndents/>
        <w:rPr>
          <w:rFonts w:eastAsia="Calibri" w:cs="Times New Roman"/>
          <w:szCs w:val="24"/>
          <w:shd w:val="clear" w:color="auto" w:fill="FFFFFF"/>
        </w:rPr>
      </w:pPr>
    </w:p>
    <w:p w:rsidR="005C39F7" w:rsidRPr="005C39F7" w:rsidRDefault="005C39F7" w:rsidP="005C39F7">
      <w:pPr>
        <w:spacing w:before="0"/>
        <w:ind w:firstLine="0"/>
        <w:contextualSpacing/>
        <w:mirrorIndents/>
        <w:rPr>
          <w:rFonts w:eastAsia="Calibri" w:cs="Times New Roman"/>
          <w:b/>
          <w:i/>
          <w:szCs w:val="24"/>
          <w:shd w:val="clear" w:color="auto" w:fill="FFFFFF"/>
        </w:rPr>
      </w:pPr>
      <w:r w:rsidRPr="005C39F7">
        <w:rPr>
          <w:rFonts w:eastAsia="Calibri" w:cs="Times New Roman"/>
          <w:b/>
          <w:i/>
          <w:szCs w:val="24"/>
          <w:shd w:val="clear" w:color="auto" w:fill="FFFFFF"/>
        </w:rPr>
        <w:t>A) Rendimientos obtenidos por la cesión a terceros de capitales propios.</w:t>
      </w:r>
    </w:p>
    <w:p w:rsidR="005C39F7" w:rsidRPr="005C39F7" w:rsidRDefault="005C39F7" w:rsidP="005C39F7">
      <w:pPr>
        <w:spacing w:before="0"/>
        <w:ind w:firstLine="0"/>
        <w:contextualSpacing/>
        <w:mirrorIndents/>
        <w:rPr>
          <w:rFonts w:eastAsia="Calibri" w:cs="Times New Roman"/>
          <w:szCs w:val="24"/>
          <w:shd w:val="clear" w:color="auto" w:fill="FFFFFF"/>
        </w:rPr>
      </w:pPr>
    </w:p>
    <w:p w:rsidR="005C39F7" w:rsidRPr="005C39F7" w:rsidRDefault="005C39F7" w:rsidP="005C39F7">
      <w:pPr>
        <w:spacing w:before="0"/>
        <w:ind w:firstLine="0"/>
        <w:contextualSpacing/>
        <w:mirrorIndents/>
        <w:rPr>
          <w:rFonts w:eastAsia="Calibri" w:cs="Times New Roman"/>
          <w:szCs w:val="24"/>
        </w:rPr>
      </w:pPr>
      <w:r w:rsidRPr="005C39F7">
        <w:rPr>
          <w:rFonts w:eastAsia="Calibri" w:cs="Times New Roman"/>
          <w:szCs w:val="24"/>
        </w:rPr>
        <w:t>Tienen esta consideración, conforme recoge el art. 25.2 de la Ley 35/2006, de 28 de noviembre, del Impuesto sobre la Renta de las Personas Físicas   RCL 2006\2123 las contraprestaciones de todo tipo,  dinerarias o en especie, como los intereses y cualquier otra forma de retribución pactada como remuneración por tal cesión, así como, las derivadas de la transmisión, reembolso, amortización, canje o conversión de cualquier clase de activos representativos de la captación y utilización de capitales ajenos.</w:t>
      </w:r>
      <w:r w:rsidRPr="005C39F7">
        <w:rPr>
          <w:rFonts w:eastAsia="Calibri" w:cs="Times New Roman"/>
          <w:szCs w:val="24"/>
          <w:vertAlign w:val="superscript"/>
        </w:rPr>
        <w:footnoteReference w:id="14"/>
      </w:r>
    </w:p>
    <w:p w:rsidR="005C39F7" w:rsidRPr="005C39F7" w:rsidRDefault="005C39F7" w:rsidP="005C39F7">
      <w:pPr>
        <w:numPr>
          <w:ilvl w:val="0"/>
          <w:numId w:val="32"/>
        </w:numPr>
        <w:shd w:val="clear" w:color="auto" w:fill="FFFFFF"/>
        <w:spacing w:before="360" w:after="180"/>
        <w:ind w:left="0" w:firstLine="0"/>
        <w:jc w:val="left"/>
        <w:rPr>
          <w:rFonts w:eastAsia="Times New Roman" w:cs="Times New Roman"/>
          <w:szCs w:val="24"/>
          <w:lang w:eastAsia="es-ES"/>
        </w:rPr>
      </w:pPr>
      <w:r w:rsidRPr="005C39F7">
        <w:rPr>
          <w:rFonts w:eastAsia="Times New Roman" w:cs="Times New Roman"/>
          <w:szCs w:val="24"/>
          <w:lang w:eastAsia="es-ES"/>
        </w:rPr>
        <w:t xml:space="preserve">El régimen fiscal a seguir </w:t>
      </w:r>
      <w:proofErr w:type="gramStart"/>
      <w:r w:rsidRPr="005C39F7">
        <w:rPr>
          <w:rFonts w:eastAsia="Times New Roman" w:cs="Times New Roman"/>
          <w:szCs w:val="24"/>
          <w:lang w:eastAsia="es-ES"/>
        </w:rPr>
        <w:t>en  caso</w:t>
      </w:r>
      <w:proofErr w:type="gramEnd"/>
      <w:r w:rsidRPr="005C39F7">
        <w:rPr>
          <w:rFonts w:eastAsia="Times New Roman" w:cs="Times New Roman"/>
          <w:szCs w:val="24"/>
          <w:lang w:eastAsia="es-ES"/>
        </w:rPr>
        <w:t xml:space="preserve"> de transmisión, reembolso, amortización, canje o conversión de valores, será la diferencia entre el valor de transmisión, reembolso, amortización, canje o conversión de los mismos y su valor de adquisición o </w:t>
      </w:r>
      <w:r w:rsidRPr="005C39F7">
        <w:rPr>
          <w:rFonts w:eastAsia="Times New Roman" w:cs="Times New Roman"/>
          <w:szCs w:val="24"/>
          <w:lang w:eastAsia="es-ES"/>
        </w:rPr>
        <w:lastRenderedPageBreak/>
        <w:t>suscripción, teniéndose en cuenta los gastos accesorios tanto en la adquisición como en la transmisión siempre y cuando se justifiquen adecuadamente.</w:t>
      </w:r>
    </w:p>
    <w:p w:rsidR="005C39F7" w:rsidRPr="005C39F7" w:rsidRDefault="005C39F7" w:rsidP="005C39F7">
      <w:pPr>
        <w:spacing w:before="0"/>
        <w:ind w:firstLine="0"/>
        <w:contextualSpacing/>
        <w:mirrorIndents/>
        <w:rPr>
          <w:rFonts w:eastAsia="Calibri" w:cs="Times New Roman"/>
          <w:szCs w:val="24"/>
          <w:shd w:val="clear" w:color="auto" w:fill="FFFFFF"/>
        </w:rPr>
      </w:pPr>
      <w:r w:rsidRPr="005C39F7">
        <w:rPr>
          <w:rFonts w:eastAsia="Calibri" w:cs="Times New Roman"/>
          <w:szCs w:val="24"/>
          <w:shd w:val="clear" w:color="auto" w:fill="FFFFFF"/>
        </w:rPr>
        <w:t>En caso de que el rendimiento del activo financiero fuese negativo, siempre que el contribuyente hubiera adquirido activos financieros homogéneos dentro de los dos meses anteriores o posteriores a dichas transmisiones, se integrarán a medida que se transmitan los activos financieros que permanezcan en el patrimonio del contribuyente.</w:t>
      </w:r>
    </w:p>
    <w:p w:rsidR="005C39F7" w:rsidRPr="005C39F7" w:rsidRDefault="005C39F7" w:rsidP="005C39F7">
      <w:pPr>
        <w:spacing w:before="0"/>
        <w:ind w:firstLine="0"/>
        <w:contextualSpacing/>
        <w:mirrorIndents/>
        <w:rPr>
          <w:rFonts w:eastAsia="Calibri" w:cs="Times New Roman"/>
          <w:szCs w:val="24"/>
          <w:shd w:val="clear" w:color="auto" w:fill="FFFFFF"/>
        </w:rPr>
      </w:pPr>
    </w:p>
    <w:p w:rsidR="005C39F7" w:rsidRPr="005C39F7" w:rsidRDefault="005C39F7" w:rsidP="005C39F7">
      <w:pPr>
        <w:spacing w:before="0"/>
        <w:ind w:firstLine="0"/>
        <w:contextualSpacing/>
        <w:mirrorIndents/>
        <w:rPr>
          <w:rFonts w:eastAsia="Calibri" w:cs="Times New Roman"/>
          <w:b/>
          <w:i/>
          <w:szCs w:val="24"/>
          <w:shd w:val="clear" w:color="auto" w:fill="FFFFFF"/>
        </w:rPr>
      </w:pPr>
      <w:r w:rsidRPr="005C39F7">
        <w:rPr>
          <w:rFonts w:eastAsia="Calibri" w:cs="Times New Roman"/>
          <w:b/>
          <w:i/>
          <w:szCs w:val="24"/>
          <w:shd w:val="clear" w:color="auto" w:fill="FFFFFF"/>
        </w:rPr>
        <w:t>b) Deuda pública</w:t>
      </w:r>
    </w:p>
    <w:p w:rsidR="005C39F7" w:rsidRPr="005C39F7" w:rsidRDefault="005C39F7" w:rsidP="005C39F7">
      <w:pPr>
        <w:spacing w:before="0"/>
        <w:ind w:firstLine="0"/>
        <w:contextualSpacing/>
        <w:mirrorIndents/>
        <w:rPr>
          <w:rFonts w:eastAsia="Calibri" w:cs="Times New Roman"/>
          <w:b/>
          <w:szCs w:val="24"/>
          <w:shd w:val="clear" w:color="auto" w:fill="FFFFFF"/>
        </w:rPr>
      </w:pPr>
    </w:p>
    <w:p w:rsidR="005C39F7" w:rsidRPr="005C39F7" w:rsidRDefault="005C39F7" w:rsidP="005C39F7">
      <w:pPr>
        <w:spacing w:before="0"/>
        <w:ind w:firstLine="0"/>
        <w:mirrorIndents/>
        <w:rPr>
          <w:rFonts w:eastAsia="Calibri" w:cs="Times New Roman"/>
          <w:b/>
          <w:szCs w:val="24"/>
          <w:shd w:val="clear" w:color="auto" w:fill="FFFFFF"/>
        </w:rPr>
      </w:pPr>
      <w:r w:rsidRPr="005C39F7">
        <w:rPr>
          <w:rFonts w:eastAsia="Calibri" w:cs="Times New Roman"/>
          <w:b/>
          <w:szCs w:val="24"/>
          <w:shd w:val="clear" w:color="auto" w:fill="FFFFFF"/>
        </w:rPr>
        <w:t>b.1.--LETRAS DEL TESORO</w:t>
      </w:r>
    </w:p>
    <w:p w:rsidR="005C39F7" w:rsidRPr="005C39F7" w:rsidRDefault="005C39F7" w:rsidP="005C39F7">
      <w:pPr>
        <w:spacing w:before="0"/>
        <w:ind w:firstLine="0"/>
        <w:contextualSpacing/>
        <w:mirrorIndents/>
        <w:rPr>
          <w:rFonts w:eastAsia="Calibri" w:cs="Times New Roman"/>
          <w:szCs w:val="24"/>
        </w:rPr>
      </w:pPr>
    </w:p>
    <w:p w:rsidR="005C39F7" w:rsidRPr="005C39F7" w:rsidRDefault="005C39F7" w:rsidP="005C39F7">
      <w:pPr>
        <w:spacing w:before="0"/>
        <w:ind w:firstLine="0"/>
        <w:rPr>
          <w:rFonts w:eastAsia="Times New Roman" w:cs="Times New Roman"/>
          <w:szCs w:val="24"/>
          <w:lang w:eastAsia="es-ES"/>
        </w:rPr>
      </w:pPr>
      <w:r w:rsidRPr="005C39F7">
        <w:rPr>
          <w:rFonts w:eastAsia="Times New Roman" w:cs="Times New Roman"/>
          <w:szCs w:val="24"/>
          <w:lang w:eastAsia="es-ES"/>
        </w:rPr>
        <w:t>Entre los instrumentos de deuda podemos encontrar las </w:t>
      </w:r>
      <w:r w:rsidRPr="005C39F7">
        <w:rPr>
          <w:rFonts w:eastAsia="Times New Roman" w:cs="Times New Roman"/>
          <w:bCs/>
          <w:szCs w:val="24"/>
          <w:lang w:eastAsia="es-ES"/>
        </w:rPr>
        <w:t>Letras del Tesoro</w:t>
      </w:r>
      <w:r w:rsidRPr="005C39F7">
        <w:rPr>
          <w:rFonts w:eastAsia="Times New Roman" w:cs="Times New Roman"/>
          <w:szCs w:val="24"/>
          <w:lang w:eastAsia="es-ES"/>
        </w:rPr>
        <w:t> que son activos a corto plazo (a 3, 6, 12 y 18 meses) cuyo rasgo definitorio consiste en que se emiten al descuento, por lo que su precio de adquisición es inferior al importe que el inversor recibirá en el momento del reembolso.</w:t>
      </w:r>
    </w:p>
    <w:p w:rsidR="005C39F7" w:rsidRPr="005C39F7" w:rsidRDefault="005C39F7" w:rsidP="005C39F7">
      <w:pPr>
        <w:spacing w:before="0"/>
        <w:ind w:firstLine="0"/>
        <w:rPr>
          <w:rFonts w:eastAsia="Times New Roman" w:cs="Times New Roman"/>
          <w:szCs w:val="24"/>
          <w:lang w:eastAsia="es-ES"/>
        </w:rPr>
      </w:pPr>
    </w:p>
    <w:p w:rsidR="005C39F7" w:rsidRPr="005C39F7" w:rsidRDefault="005C39F7" w:rsidP="005C39F7">
      <w:pPr>
        <w:spacing w:before="0"/>
        <w:ind w:firstLine="0"/>
        <w:rPr>
          <w:rFonts w:eastAsia="Times New Roman" w:cs="Times New Roman"/>
          <w:szCs w:val="24"/>
          <w:lang w:eastAsia="es-ES"/>
        </w:rPr>
      </w:pPr>
      <w:r w:rsidRPr="005C39F7">
        <w:rPr>
          <w:rFonts w:eastAsia="Times New Roman" w:cs="Times New Roman"/>
          <w:szCs w:val="24"/>
          <w:lang w:eastAsia="es-ES"/>
        </w:rPr>
        <w:t xml:space="preserve">La diferencia entre el valor de reembolso de la Letra y su precio de adquisición será el interés o rendimiento generado por la Letra del Tesoro (la </w:t>
      </w:r>
      <w:r w:rsidRPr="005C39F7">
        <w:rPr>
          <w:rFonts w:eastAsia="Times New Roman" w:cs="Times New Roman"/>
          <w:bCs/>
          <w:szCs w:val="24"/>
          <w:lang w:eastAsia="es-ES"/>
        </w:rPr>
        <w:t>comisión por transferencia devengada a favor del Banco de España minora el valor de reembolso</w:t>
      </w:r>
      <w:r w:rsidRPr="005C39F7">
        <w:rPr>
          <w:rFonts w:eastAsia="Times New Roman" w:cs="Times New Roman"/>
          <w:szCs w:val="24"/>
          <w:lang w:eastAsia="es-ES"/>
        </w:rPr>
        <w:t>, a efectos de la determinación del rendimiento del capital mobiliario generado en el reembolso de las Letras del Tesoro</w:t>
      </w:r>
      <w:r w:rsidRPr="005C39F7">
        <w:rPr>
          <w:rFonts w:eastAsia="Times New Roman" w:cs="Times New Roman"/>
          <w:szCs w:val="24"/>
          <w:vertAlign w:val="superscript"/>
          <w:lang w:eastAsia="es-ES"/>
        </w:rPr>
        <w:footnoteReference w:id="15"/>
      </w:r>
      <w:r w:rsidRPr="005C39F7">
        <w:rPr>
          <w:rFonts w:eastAsia="Times New Roman" w:cs="Times New Roman"/>
          <w:szCs w:val="24"/>
          <w:lang w:eastAsia="es-ES"/>
        </w:rPr>
        <w:t xml:space="preserve">). </w:t>
      </w:r>
    </w:p>
    <w:p w:rsidR="005C39F7" w:rsidRPr="005C39F7" w:rsidRDefault="005C39F7" w:rsidP="005C39F7">
      <w:pPr>
        <w:spacing w:before="0"/>
        <w:ind w:firstLine="0"/>
        <w:contextualSpacing/>
        <w:mirrorIndents/>
        <w:rPr>
          <w:rFonts w:eastAsia="Calibri" w:cs="Times New Roman"/>
          <w:szCs w:val="24"/>
        </w:rPr>
      </w:pPr>
    </w:p>
    <w:p w:rsidR="005C39F7" w:rsidRPr="005C39F7" w:rsidRDefault="005C39F7" w:rsidP="005C39F7">
      <w:pPr>
        <w:spacing w:before="0"/>
        <w:ind w:firstLine="0"/>
        <w:contextualSpacing/>
        <w:mirrorIndents/>
        <w:rPr>
          <w:rFonts w:eastAsia="Calibri" w:cs="Times New Roman"/>
          <w:szCs w:val="24"/>
        </w:rPr>
      </w:pPr>
      <w:r w:rsidRPr="005C39F7">
        <w:rPr>
          <w:rFonts w:eastAsia="Calibri" w:cs="Times New Roman"/>
          <w:szCs w:val="24"/>
        </w:rPr>
        <w:t>Este tipo de activos financieros no están sometidos a retención tal y como lo prevé el  </w:t>
      </w:r>
      <w:hyperlink r:id="rId16" w:tooltip="RCL\2006\2123" w:history="1">
        <w:r w:rsidRPr="005C39F7">
          <w:rPr>
            <w:rFonts w:eastAsia="Calibri" w:cs="Times New Roman"/>
            <w:color w:val="0000FF"/>
            <w:szCs w:val="24"/>
            <w:u w:val="single"/>
          </w:rPr>
          <w:t>art. 99.3 </w:t>
        </w:r>
      </w:hyperlink>
      <w:r w:rsidRPr="005C39F7">
        <w:rPr>
          <w:rFonts w:eastAsia="Calibri" w:cs="Times New Roman"/>
          <w:szCs w:val="24"/>
        </w:rPr>
        <w:t> de la Ley 35/2006, de 28 de noviembre, del Impuesto sobre la Renta de las Personas Físicas   RCL 2006\2123.</w:t>
      </w:r>
    </w:p>
    <w:p w:rsidR="005C39F7" w:rsidRPr="005C39F7" w:rsidRDefault="005C39F7" w:rsidP="005C39F7">
      <w:pPr>
        <w:spacing w:before="0"/>
        <w:ind w:firstLine="0"/>
        <w:contextualSpacing/>
        <w:mirrorIndents/>
        <w:rPr>
          <w:rFonts w:eastAsia="Calibri" w:cs="Times New Roman"/>
          <w:szCs w:val="24"/>
          <w:shd w:val="clear" w:color="auto" w:fill="FFFFFF"/>
        </w:rPr>
      </w:pPr>
      <w:r w:rsidRPr="005C39F7">
        <w:rPr>
          <w:rFonts w:eastAsia="Calibri" w:cs="Times New Roman"/>
          <w:szCs w:val="24"/>
          <w:shd w:val="clear" w:color="auto" w:fill="FFFFFF"/>
        </w:rPr>
        <w:t xml:space="preserve"> </w:t>
      </w:r>
    </w:p>
    <w:p w:rsidR="005C39F7" w:rsidRPr="005C39F7" w:rsidRDefault="005C39F7" w:rsidP="005C39F7">
      <w:pPr>
        <w:spacing w:before="0"/>
        <w:ind w:firstLine="0"/>
        <w:contextualSpacing/>
        <w:mirrorIndents/>
        <w:rPr>
          <w:rFonts w:eastAsia="Calibri" w:cs="Times New Roman"/>
          <w:szCs w:val="24"/>
        </w:rPr>
      </w:pPr>
      <w:r w:rsidRPr="005C39F7">
        <w:rPr>
          <w:rFonts w:eastAsia="Calibri" w:cs="Times New Roman"/>
          <w:szCs w:val="24"/>
        </w:rPr>
        <w:t>A pesar de lo cual, las entidades de crédito y demás instituciones financieras que formalicen con sus clientes contratos de cuentas basadas en operaciones sobre Letras del Tesoro estarán obligadas a retener respecto de los rendimientos obtenidos por los titulares de las citadas cuentas.</w:t>
      </w:r>
    </w:p>
    <w:p w:rsidR="005C39F7" w:rsidRPr="005C39F7" w:rsidRDefault="005C39F7" w:rsidP="005C39F7">
      <w:pPr>
        <w:spacing w:before="0"/>
        <w:ind w:firstLine="0"/>
        <w:contextualSpacing/>
        <w:mirrorIndents/>
        <w:rPr>
          <w:rFonts w:eastAsia="Calibri" w:cs="Times New Roman"/>
          <w:szCs w:val="24"/>
        </w:rPr>
      </w:pPr>
    </w:p>
    <w:p w:rsidR="005C39F7" w:rsidRPr="005C39F7" w:rsidRDefault="005C39F7" w:rsidP="005C39F7">
      <w:pPr>
        <w:spacing w:before="0"/>
        <w:ind w:firstLine="0"/>
        <w:rPr>
          <w:rFonts w:eastAsia="Times New Roman" w:cs="Times New Roman"/>
          <w:szCs w:val="24"/>
          <w:lang w:eastAsia="es-ES"/>
        </w:rPr>
      </w:pPr>
      <w:r w:rsidRPr="005C39F7">
        <w:rPr>
          <w:rFonts w:eastAsia="Times New Roman" w:cs="Times New Roman"/>
          <w:szCs w:val="24"/>
          <w:lang w:eastAsia="es-ES"/>
        </w:rPr>
        <w:t xml:space="preserve">En igual sentido sucede respecto </w:t>
      </w:r>
      <w:proofErr w:type="gramStart"/>
      <w:r w:rsidRPr="005C39F7">
        <w:rPr>
          <w:rFonts w:eastAsia="Times New Roman" w:cs="Times New Roman"/>
          <w:szCs w:val="24"/>
          <w:lang w:eastAsia="es-ES"/>
        </w:rPr>
        <w:t>de  los</w:t>
      </w:r>
      <w:proofErr w:type="gramEnd"/>
      <w:r w:rsidRPr="005C39F7">
        <w:rPr>
          <w:rFonts w:eastAsia="Times New Roman" w:cs="Times New Roman"/>
          <w:szCs w:val="24"/>
          <w:lang w:eastAsia="es-ES"/>
        </w:rPr>
        <w:t xml:space="preserve"> rendimientos derivados de la transmisión o reembolso de </w:t>
      </w:r>
      <w:r w:rsidRPr="005C39F7">
        <w:rPr>
          <w:rFonts w:eastAsia="Times New Roman" w:cs="Times New Roman"/>
          <w:bCs/>
          <w:szCs w:val="24"/>
          <w:lang w:eastAsia="es-ES"/>
        </w:rPr>
        <w:t>activos financieros con rendimiento explícito</w:t>
      </w:r>
      <w:r w:rsidRPr="005C39F7">
        <w:rPr>
          <w:rFonts w:eastAsia="Times New Roman" w:cs="Times New Roman"/>
          <w:szCs w:val="24"/>
          <w:lang w:eastAsia="es-ES"/>
        </w:rPr>
        <w:t>, siempre que estén representados mediante anotaciones en cuenta y que se negocien en un mercado secundario oficial de valores español.</w:t>
      </w:r>
    </w:p>
    <w:p w:rsidR="005C39F7" w:rsidRPr="005C39F7" w:rsidRDefault="005C39F7" w:rsidP="005C39F7">
      <w:pPr>
        <w:spacing w:before="0"/>
        <w:ind w:firstLine="0"/>
        <w:rPr>
          <w:rFonts w:eastAsia="Times New Roman" w:cs="Times New Roman"/>
          <w:szCs w:val="24"/>
          <w:lang w:eastAsia="es-ES"/>
        </w:rPr>
      </w:pPr>
    </w:p>
    <w:p w:rsidR="005C39F7" w:rsidRPr="005C39F7" w:rsidRDefault="005C39F7" w:rsidP="005C39F7">
      <w:pPr>
        <w:spacing w:before="0"/>
        <w:ind w:firstLine="0"/>
        <w:rPr>
          <w:rFonts w:eastAsia="Times New Roman" w:cs="Times New Roman"/>
          <w:szCs w:val="24"/>
          <w:lang w:eastAsia="es-ES"/>
        </w:rPr>
      </w:pPr>
      <w:r w:rsidRPr="005C39F7">
        <w:rPr>
          <w:rFonts w:eastAsia="Times New Roman" w:cs="Times New Roman"/>
          <w:szCs w:val="24"/>
          <w:lang w:eastAsia="es-ES"/>
        </w:rPr>
        <w:t xml:space="preserve">En estos casos, los activos financieros no están sujetos a retención, pero las entidades financieras que intervengan en la transmisión, amortización o reembolso estarán obligadas a calcular el rendimiento y a comunicarlo al titular y a la Administración tributaria, a la que proporcionarán los datos correspondientes a las personas que intervengan en las operaciones. </w:t>
      </w:r>
      <w:r w:rsidRPr="005C39F7">
        <w:rPr>
          <w:rFonts w:eastAsia="Times New Roman" w:cs="Times New Roman"/>
          <w:szCs w:val="24"/>
          <w:vertAlign w:val="superscript"/>
          <w:lang w:eastAsia="es-ES"/>
        </w:rPr>
        <w:footnoteReference w:id="16"/>
      </w:r>
    </w:p>
    <w:p w:rsidR="005C39F7" w:rsidRPr="005C39F7" w:rsidRDefault="005C39F7" w:rsidP="005C39F7">
      <w:pPr>
        <w:spacing w:before="0"/>
        <w:ind w:firstLine="0"/>
        <w:rPr>
          <w:rFonts w:eastAsia="Times New Roman" w:cs="Times New Roman"/>
          <w:szCs w:val="24"/>
          <w:lang w:eastAsia="es-ES"/>
        </w:rPr>
      </w:pPr>
    </w:p>
    <w:p w:rsidR="005C39F7" w:rsidRPr="005C39F7" w:rsidRDefault="005C39F7" w:rsidP="005C39F7">
      <w:pPr>
        <w:spacing w:before="0"/>
        <w:ind w:firstLine="0"/>
        <w:rPr>
          <w:rFonts w:eastAsia="Times New Roman" w:cs="Times New Roman"/>
          <w:szCs w:val="24"/>
          <w:lang w:eastAsia="es-ES"/>
        </w:rPr>
      </w:pPr>
      <w:r w:rsidRPr="005C39F7">
        <w:rPr>
          <w:rFonts w:eastAsia="Times New Roman" w:cs="Times New Roman"/>
          <w:szCs w:val="24"/>
          <w:lang w:eastAsia="es-ES"/>
        </w:rPr>
        <w:lastRenderedPageBreak/>
        <w:t>Igualmente, quedará </w:t>
      </w:r>
      <w:r w:rsidRPr="005C39F7">
        <w:rPr>
          <w:rFonts w:eastAsia="Times New Roman" w:cs="Times New Roman"/>
          <w:bCs/>
          <w:szCs w:val="24"/>
          <w:lang w:eastAsia="es-ES"/>
        </w:rPr>
        <w:t>sujeta a retención la parte del precio que equivalga al cupón corrido</w:t>
      </w:r>
      <w:r w:rsidRPr="005C39F7">
        <w:rPr>
          <w:rFonts w:eastAsia="Times New Roman" w:cs="Times New Roman"/>
          <w:szCs w:val="24"/>
          <w:lang w:eastAsia="es-ES"/>
        </w:rPr>
        <w:t> en las transmisiones de activos financieros efectuadas dentro de los treinta días inmediatamente anteriores al vencimiento del cupón, cuando se cumplan los siguientes requisitos:</w:t>
      </w:r>
    </w:p>
    <w:p w:rsidR="005C39F7" w:rsidRPr="005C39F7" w:rsidRDefault="005C39F7" w:rsidP="005C39F7">
      <w:pPr>
        <w:spacing w:before="0"/>
        <w:ind w:firstLine="0"/>
        <w:rPr>
          <w:rFonts w:eastAsia="Times New Roman" w:cs="Times New Roman"/>
          <w:szCs w:val="24"/>
          <w:lang w:eastAsia="es-ES"/>
        </w:rPr>
      </w:pPr>
    </w:p>
    <w:p w:rsidR="005C39F7" w:rsidRPr="005C39F7" w:rsidRDefault="005C39F7" w:rsidP="005C39F7">
      <w:pPr>
        <w:spacing w:before="0"/>
        <w:ind w:left="426" w:firstLine="0"/>
        <w:rPr>
          <w:rFonts w:eastAsia="Times New Roman" w:cs="Times New Roman"/>
          <w:szCs w:val="24"/>
          <w:lang w:eastAsia="es-ES"/>
        </w:rPr>
      </w:pPr>
      <w:r w:rsidRPr="005C39F7">
        <w:rPr>
          <w:rFonts w:eastAsia="Times New Roman" w:cs="Times New Roman"/>
          <w:szCs w:val="24"/>
          <w:lang w:eastAsia="es-ES"/>
        </w:rPr>
        <w:t>1º Que el adquirente sea una persona o entidad no residente en territorio español o sea sujeto pasivo del IS.</w:t>
      </w:r>
    </w:p>
    <w:p w:rsidR="005C39F7" w:rsidRPr="005C39F7" w:rsidRDefault="005C39F7" w:rsidP="005C39F7">
      <w:pPr>
        <w:spacing w:before="0"/>
        <w:ind w:firstLine="0"/>
        <w:rPr>
          <w:rFonts w:eastAsia="Times New Roman" w:cs="Times New Roman"/>
          <w:szCs w:val="24"/>
          <w:lang w:eastAsia="es-ES"/>
        </w:rPr>
      </w:pPr>
    </w:p>
    <w:p w:rsidR="005C39F7" w:rsidRPr="005C39F7" w:rsidRDefault="005C39F7" w:rsidP="005C39F7">
      <w:pPr>
        <w:spacing w:before="0"/>
        <w:ind w:left="426" w:firstLine="0"/>
        <w:rPr>
          <w:rFonts w:eastAsia="Times New Roman" w:cs="Times New Roman"/>
          <w:szCs w:val="24"/>
          <w:lang w:eastAsia="es-ES"/>
        </w:rPr>
      </w:pPr>
      <w:r w:rsidRPr="005C39F7">
        <w:rPr>
          <w:rFonts w:eastAsia="Times New Roman" w:cs="Times New Roman"/>
          <w:szCs w:val="24"/>
          <w:lang w:eastAsia="es-ES"/>
        </w:rPr>
        <w:t>2º Que los rendimientos explícitos derivados de los valores transmitidos estén exceptuados de la obligación de retener en relación con el adquirente».</w:t>
      </w:r>
    </w:p>
    <w:p w:rsidR="005C39F7" w:rsidRPr="005C39F7" w:rsidRDefault="005C39F7" w:rsidP="005C39F7">
      <w:pPr>
        <w:spacing w:before="0"/>
        <w:ind w:firstLine="0"/>
        <w:contextualSpacing/>
        <w:mirrorIndents/>
        <w:rPr>
          <w:rFonts w:eastAsia="Calibri" w:cs="Times New Roman"/>
          <w:b/>
          <w:szCs w:val="24"/>
          <w:shd w:val="clear" w:color="auto" w:fill="FFFFFF"/>
        </w:rPr>
      </w:pPr>
    </w:p>
    <w:p w:rsidR="005C39F7" w:rsidRPr="005C39F7" w:rsidRDefault="005C39F7" w:rsidP="005C39F7">
      <w:pPr>
        <w:spacing w:before="0"/>
        <w:ind w:firstLine="0"/>
        <w:mirrorIndents/>
        <w:rPr>
          <w:rFonts w:eastAsia="Calibri" w:cs="Times New Roman"/>
          <w:b/>
          <w:szCs w:val="24"/>
          <w:shd w:val="clear" w:color="auto" w:fill="FFFFFF"/>
        </w:rPr>
      </w:pPr>
    </w:p>
    <w:p w:rsidR="005C39F7" w:rsidRPr="005C39F7" w:rsidRDefault="005C39F7" w:rsidP="005C39F7">
      <w:pPr>
        <w:spacing w:before="0"/>
        <w:ind w:firstLine="0"/>
        <w:mirrorIndents/>
        <w:rPr>
          <w:rFonts w:eastAsia="Calibri" w:cs="Times New Roman"/>
          <w:b/>
          <w:szCs w:val="24"/>
          <w:shd w:val="clear" w:color="auto" w:fill="FFFFFF"/>
        </w:rPr>
      </w:pPr>
      <w:r w:rsidRPr="005C39F7">
        <w:rPr>
          <w:rFonts w:eastAsia="Calibri" w:cs="Times New Roman"/>
          <w:b/>
          <w:szCs w:val="24"/>
          <w:shd w:val="clear" w:color="auto" w:fill="FFFFFF"/>
        </w:rPr>
        <w:t>b.2.- BONOS Y OBLIGACIONES</w:t>
      </w:r>
    </w:p>
    <w:p w:rsidR="005C39F7" w:rsidRPr="005C39F7" w:rsidRDefault="005C39F7" w:rsidP="005C39F7">
      <w:pPr>
        <w:spacing w:before="0"/>
        <w:ind w:firstLine="0"/>
        <w:contextualSpacing/>
        <w:mirrorIndents/>
        <w:rPr>
          <w:rFonts w:eastAsia="Calibri" w:cs="Times New Roman"/>
          <w:szCs w:val="24"/>
          <w:shd w:val="clear" w:color="auto" w:fill="FFFFFF"/>
        </w:rPr>
      </w:pPr>
    </w:p>
    <w:p w:rsidR="005C39F7" w:rsidRPr="005C39F7" w:rsidRDefault="005C39F7" w:rsidP="005C39F7">
      <w:pPr>
        <w:spacing w:before="0"/>
        <w:ind w:firstLine="0"/>
        <w:contextualSpacing/>
        <w:mirrorIndents/>
        <w:rPr>
          <w:rFonts w:eastAsia="Calibri" w:cs="Times New Roman"/>
          <w:szCs w:val="24"/>
        </w:rPr>
      </w:pPr>
      <w:r w:rsidRPr="005C39F7">
        <w:rPr>
          <w:rFonts w:eastAsia="Calibri" w:cs="Times New Roman"/>
          <w:szCs w:val="24"/>
          <w:shd w:val="clear" w:color="auto" w:fill="FFFFFF"/>
        </w:rPr>
        <w:t xml:space="preserve">Se trata de una Deuda a medio y largo plazo, con idénticas </w:t>
      </w:r>
      <w:r w:rsidRPr="005C39F7">
        <w:rPr>
          <w:rFonts w:eastAsia="Calibri" w:cs="Times New Roman"/>
          <w:szCs w:val="24"/>
        </w:rPr>
        <w:t xml:space="preserve">características salvo el plazo, que en el caso de los </w:t>
      </w:r>
      <w:r w:rsidRPr="005C39F7">
        <w:rPr>
          <w:rFonts w:eastAsia="Calibri" w:cs="Times New Roman"/>
          <w:i/>
          <w:szCs w:val="24"/>
        </w:rPr>
        <w:t>Bonos</w:t>
      </w:r>
      <w:r w:rsidRPr="005C39F7">
        <w:rPr>
          <w:rFonts w:eastAsia="Calibri" w:cs="Times New Roman"/>
          <w:szCs w:val="24"/>
        </w:rPr>
        <w:t xml:space="preserve"> oscila entre 3 y 5 años, mientras que en las </w:t>
      </w:r>
      <w:r w:rsidRPr="005C39F7">
        <w:rPr>
          <w:rFonts w:eastAsia="Calibri" w:cs="Times New Roman"/>
          <w:i/>
          <w:szCs w:val="24"/>
        </w:rPr>
        <w:t>Obligaciones</w:t>
      </w:r>
      <w:r w:rsidRPr="005C39F7">
        <w:rPr>
          <w:rFonts w:eastAsia="Calibri" w:cs="Times New Roman"/>
          <w:szCs w:val="24"/>
        </w:rPr>
        <w:t xml:space="preserve"> se emiten a 10, 15 y 30 años. </w:t>
      </w:r>
    </w:p>
    <w:p w:rsidR="005C39F7" w:rsidRPr="005C39F7" w:rsidRDefault="005C39F7" w:rsidP="005C39F7">
      <w:pPr>
        <w:spacing w:before="0"/>
        <w:ind w:firstLine="0"/>
        <w:contextualSpacing/>
        <w:mirrorIndents/>
        <w:rPr>
          <w:rFonts w:eastAsia="Calibri" w:cs="Times New Roman"/>
          <w:szCs w:val="24"/>
        </w:rPr>
      </w:pPr>
    </w:p>
    <w:p w:rsidR="005C39F7" w:rsidRPr="005C39F7" w:rsidRDefault="005C39F7" w:rsidP="005C39F7">
      <w:pPr>
        <w:spacing w:before="0"/>
        <w:ind w:firstLine="0"/>
        <w:contextualSpacing/>
        <w:mirrorIndents/>
        <w:rPr>
          <w:rFonts w:eastAsia="Calibri" w:cs="Times New Roman"/>
          <w:szCs w:val="24"/>
        </w:rPr>
      </w:pPr>
      <w:r w:rsidRPr="005C39F7">
        <w:rPr>
          <w:rFonts w:eastAsia="Calibri" w:cs="Times New Roman"/>
          <w:szCs w:val="24"/>
        </w:rPr>
        <w:t>En cuanto al interés de estos títulos es de carácter periódico, en forma de «cupón», a diferencia de las Letras del Tesoro, que pagan los intereses al vencimiento.</w:t>
      </w:r>
    </w:p>
    <w:p w:rsidR="005C39F7" w:rsidRPr="005C39F7" w:rsidRDefault="005C39F7" w:rsidP="005C39F7">
      <w:pPr>
        <w:spacing w:before="0"/>
        <w:ind w:firstLine="0"/>
        <w:rPr>
          <w:rFonts w:eastAsia="Times New Roman" w:cs="Times New Roman"/>
          <w:szCs w:val="24"/>
          <w:lang w:eastAsia="es-ES"/>
        </w:rPr>
      </w:pPr>
    </w:p>
    <w:p w:rsidR="005C39F7" w:rsidRPr="005C39F7" w:rsidRDefault="005C39F7" w:rsidP="005C39F7">
      <w:pPr>
        <w:spacing w:before="0"/>
        <w:ind w:firstLine="0"/>
        <w:rPr>
          <w:rFonts w:eastAsia="Times New Roman" w:cs="Times New Roman"/>
          <w:szCs w:val="24"/>
          <w:lang w:eastAsia="es-ES"/>
        </w:rPr>
      </w:pPr>
      <w:r w:rsidRPr="005C39F7">
        <w:rPr>
          <w:rFonts w:eastAsia="Times New Roman" w:cs="Times New Roman"/>
          <w:szCs w:val="24"/>
          <w:lang w:eastAsia="es-ES"/>
        </w:rPr>
        <w:t>Este tipo de Deuda no se emite al descuento por lo que su rentabilidad entraría en la categoría de los rendimientos explícitos, retribuyéndose a través de cupones de intereses cuyo devengo se produce periódicamente.</w:t>
      </w:r>
    </w:p>
    <w:p w:rsidR="005C39F7" w:rsidRPr="005C39F7" w:rsidRDefault="005C39F7" w:rsidP="005C39F7">
      <w:pPr>
        <w:spacing w:before="0"/>
        <w:ind w:firstLine="0"/>
        <w:contextualSpacing/>
        <w:mirrorIndents/>
        <w:rPr>
          <w:rFonts w:eastAsia="Calibri" w:cs="Times New Roman"/>
          <w:szCs w:val="24"/>
        </w:rPr>
      </w:pPr>
    </w:p>
    <w:p w:rsidR="005C39F7" w:rsidRPr="005C39F7" w:rsidRDefault="005C39F7" w:rsidP="005C39F7">
      <w:pPr>
        <w:spacing w:before="0"/>
        <w:ind w:firstLine="0"/>
        <w:contextualSpacing/>
        <w:mirrorIndents/>
        <w:rPr>
          <w:rFonts w:eastAsia="Calibri" w:cs="Times New Roman"/>
          <w:szCs w:val="24"/>
        </w:rPr>
      </w:pPr>
      <w:r w:rsidRPr="005C39F7">
        <w:rPr>
          <w:rFonts w:eastAsia="Calibri" w:cs="Times New Roman"/>
          <w:szCs w:val="24"/>
        </w:rPr>
        <w:t>El  </w:t>
      </w:r>
      <w:hyperlink r:id="rId17" w:tooltip="RCL\2006\2123" w:history="1">
        <w:r w:rsidRPr="005C39F7">
          <w:rPr>
            <w:rFonts w:eastAsia="Calibri" w:cs="Times New Roman"/>
            <w:color w:val="0000FF"/>
            <w:szCs w:val="24"/>
            <w:u w:val="single"/>
          </w:rPr>
          <w:t>art. 25.2 </w:t>
        </w:r>
      </w:hyperlink>
      <w:r w:rsidRPr="005C39F7">
        <w:rPr>
          <w:rFonts w:eastAsia="Calibri" w:cs="Times New Roman"/>
          <w:szCs w:val="24"/>
        </w:rPr>
        <w:t>  Ley 35/2006, de 28 de noviembre, del Impuesto sobre la Renta de las Personas Físicas   RCL 2006\2123  establece que tanto la amortización, como la transmisión de estos activos dan lugar a un rendimiento del capital mobiliario. Sin embargo, sólo somete a retención el cobro del cupón.</w:t>
      </w:r>
      <w:r w:rsidRPr="005C39F7">
        <w:rPr>
          <w:rFonts w:eastAsia="Calibri" w:cs="Times New Roman"/>
          <w:szCs w:val="24"/>
          <w:vertAlign w:val="superscript"/>
        </w:rPr>
        <w:footnoteReference w:id="17"/>
      </w:r>
    </w:p>
    <w:p w:rsidR="005C39F7" w:rsidRPr="005C39F7" w:rsidRDefault="005C39F7" w:rsidP="005C39F7">
      <w:pPr>
        <w:spacing w:before="0"/>
        <w:ind w:firstLine="0"/>
        <w:contextualSpacing/>
        <w:mirrorIndents/>
        <w:rPr>
          <w:rFonts w:eastAsia="Calibri" w:cs="Times New Roman"/>
          <w:szCs w:val="24"/>
        </w:rPr>
      </w:pPr>
    </w:p>
    <w:p w:rsidR="005C39F7" w:rsidRPr="005C39F7" w:rsidRDefault="005C39F7" w:rsidP="005C39F7">
      <w:pPr>
        <w:spacing w:before="0"/>
        <w:ind w:firstLine="0"/>
        <w:contextualSpacing/>
        <w:mirrorIndents/>
        <w:rPr>
          <w:rFonts w:eastAsia="Calibri" w:cs="Times New Roman"/>
          <w:szCs w:val="24"/>
        </w:rPr>
      </w:pPr>
      <w:r w:rsidRPr="005C39F7">
        <w:rPr>
          <w:rFonts w:eastAsia="Calibri" w:cs="Times New Roman"/>
          <w:szCs w:val="24"/>
        </w:rPr>
        <w:t xml:space="preserve">De modo que la renta se pone de relieve con su transmisión o amortización. Es por ello </w:t>
      </w:r>
      <w:proofErr w:type="gramStart"/>
      <w:r w:rsidRPr="005C39F7">
        <w:rPr>
          <w:rFonts w:eastAsia="Calibri" w:cs="Times New Roman"/>
          <w:szCs w:val="24"/>
        </w:rPr>
        <w:t>que</w:t>
      </w:r>
      <w:proofErr w:type="gramEnd"/>
      <w:r w:rsidRPr="005C39F7">
        <w:rPr>
          <w:rFonts w:eastAsia="Calibri" w:cs="Times New Roman"/>
          <w:szCs w:val="24"/>
        </w:rPr>
        <w:t xml:space="preserve"> la suscripción de un Bono por una cuantía superior a su nominal no tiene incidencia fiscal</w:t>
      </w:r>
      <w:r w:rsidRPr="005C39F7">
        <w:rPr>
          <w:rFonts w:eastAsia="Calibri" w:cs="Times New Roman"/>
          <w:szCs w:val="24"/>
          <w:vertAlign w:val="superscript"/>
        </w:rPr>
        <w:footnoteReference w:id="18"/>
      </w:r>
    </w:p>
    <w:p w:rsidR="005C39F7" w:rsidRPr="005C39F7" w:rsidRDefault="005C39F7" w:rsidP="005C39F7">
      <w:pPr>
        <w:spacing w:before="0"/>
        <w:ind w:firstLine="0"/>
        <w:contextualSpacing/>
        <w:mirrorIndents/>
        <w:rPr>
          <w:rFonts w:eastAsia="Calibri" w:cs="Times New Roman"/>
          <w:szCs w:val="24"/>
        </w:rPr>
      </w:pPr>
    </w:p>
    <w:p w:rsidR="005C39F7" w:rsidRPr="005C39F7" w:rsidRDefault="005C39F7" w:rsidP="005C39F7">
      <w:pPr>
        <w:spacing w:before="0"/>
        <w:ind w:firstLine="0"/>
        <w:contextualSpacing/>
        <w:mirrorIndents/>
        <w:rPr>
          <w:rFonts w:eastAsia="Calibri" w:cs="Times New Roman"/>
          <w:szCs w:val="24"/>
        </w:rPr>
      </w:pPr>
      <w:r w:rsidRPr="005C39F7">
        <w:rPr>
          <w:rFonts w:eastAsia="Calibri" w:cs="Times New Roman"/>
          <w:szCs w:val="24"/>
        </w:rPr>
        <w:t>Hay que tener presente para el cálculo del rendimiento neto que únicamente se pueden </w:t>
      </w:r>
      <w:r w:rsidRPr="005C39F7">
        <w:rPr>
          <w:rFonts w:eastAsia="Calibri" w:cs="Times New Roman"/>
          <w:bCs/>
          <w:szCs w:val="24"/>
        </w:rPr>
        <w:t>deducir los gastos de administración y depósito de valores negociables</w:t>
      </w:r>
      <w:r w:rsidRPr="005C39F7">
        <w:rPr>
          <w:rFonts w:eastAsia="Calibri" w:cs="Times New Roman"/>
          <w:szCs w:val="24"/>
        </w:rPr>
        <w:t>, por lo que los intereses y comisiones soportados por el préstamo empleado en la adquisición de valores de deuda pública no pueden minorar dichos rendimientos, al no poderse considerar ni gasto de administración y depósito de valores, ni gasto accesorio de adquisición que pueda integrar el valor de adquisición o suscripción de los bonos</w:t>
      </w:r>
      <w:r w:rsidRPr="005C39F7">
        <w:rPr>
          <w:rFonts w:eastAsia="Calibri" w:cs="Times New Roman"/>
          <w:szCs w:val="24"/>
          <w:vertAlign w:val="superscript"/>
        </w:rPr>
        <w:footnoteReference w:id="19"/>
      </w:r>
    </w:p>
    <w:p w:rsidR="005C39F7" w:rsidRPr="005C39F7" w:rsidRDefault="005C39F7" w:rsidP="005C39F7">
      <w:pPr>
        <w:spacing w:before="0"/>
        <w:ind w:firstLine="0"/>
        <w:contextualSpacing/>
        <w:mirrorIndents/>
        <w:rPr>
          <w:rFonts w:eastAsia="Calibri" w:cs="Times New Roman"/>
          <w:szCs w:val="24"/>
          <w:shd w:val="clear" w:color="auto" w:fill="FFFFFF"/>
        </w:rPr>
      </w:pPr>
    </w:p>
    <w:p w:rsidR="005C39F7" w:rsidRPr="005C39F7" w:rsidRDefault="005C39F7" w:rsidP="005C39F7">
      <w:pPr>
        <w:spacing w:before="0" w:after="200"/>
        <w:ind w:firstLine="0"/>
        <w:rPr>
          <w:rFonts w:eastAsia="Calibri" w:cs="Times New Roman"/>
          <w:b/>
          <w:i/>
          <w:szCs w:val="24"/>
        </w:rPr>
      </w:pPr>
      <w:r w:rsidRPr="005C39F7">
        <w:rPr>
          <w:rFonts w:eastAsia="Calibri" w:cs="Times New Roman"/>
          <w:b/>
          <w:i/>
          <w:szCs w:val="24"/>
        </w:rPr>
        <w:t>c) Previsión social y seguros</w:t>
      </w:r>
    </w:p>
    <w:p w:rsidR="005C39F7" w:rsidRPr="005C39F7" w:rsidRDefault="005C39F7" w:rsidP="005C39F7">
      <w:pPr>
        <w:spacing w:before="0" w:after="200"/>
        <w:ind w:firstLine="0"/>
        <w:rPr>
          <w:rFonts w:eastAsia="Calibri" w:cs="Times New Roman"/>
          <w:szCs w:val="24"/>
        </w:rPr>
      </w:pPr>
      <w:r w:rsidRPr="005C39F7">
        <w:rPr>
          <w:rFonts w:eastAsia="Calibri" w:cs="Times New Roman"/>
          <w:b/>
          <w:szCs w:val="24"/>
        </w:rPr>
        <w:t>c.1.-FONDO DE PENSIONES</w:t>
      </w:r>
    </w:p>
    <w:p w:rsidR="005C39F7" w:rsidRPr="005C39F7" w:rsidRDefault="005C39F7" w:rsidP="005C39F7">
      <w:pPr>
        <w:autoSpaceDE w:val="0"/>
        <w:autoSpaceDN w:val="0"/>
        <w:adjustRightInd w:val="0"/>
        <w:spacing w:before="0"/>
        <w:ind w:firstLine="0"/>
        <w:rPr>
          <w:rFonts w:eastAsia="Calibri" w:cs="Times New Roman"/>
          <w:bCs/>
          <w:szCs w:val="24"/>
        </w:rPr>
      </w:pPr>
      <w:r w:rsidRPr="005C39F7">
        <w:rPr>
          <w:rFonts w:eastAsia="Calibri" w:cs="Times New Roman"/>
          <w:szCs w:val="24"/>
        </w:rPr>
        <w:lastRenderedPageBreak/>
        <w:t xml:space="preserve">La normativa de Planes y Fondos de </w:t>
      </w:r>
      <w:proofErr w:type="gramStart"/>
      <w:r w:rsidRPr="005C39F7">
        <w:rPr>
          <w:rFonts w:eastAsia="Calibri" w:cs="Times New Roman"/>
          <w:szCs w:val="24"/>
        </w:rPr>
        <w:t>Pensiones,</w:t>
      </w:r>
      <w:proofErr w:type="gramEnd"/>
      <w:r w:rsidRPr="005C39F7">
        <w:rPr>
          <w:rFonts w:eastAsia="Calibri" w:cs="Times New Roman"/>
          <w:szCs w:val="24"/>
        </w:rPr>
        <w:t xml:space="preserve"> ha establecido un </w:t>
      </w:r>
      <w:r w:rsidRPr="005C39F7">
        <w:rPr>
          <w:rFonts w:eastAsia="Calibri" w:cs="Times New Roman"/>
          <w:bCs/>
          <w:szCs w:val="24"/>
        </w:rPr>
        <w:t>régimen fiscal unitario cualquiera que sea la modalidad del Plan (empleo, individual o asociado)</w:t>
      </w:r>
      <w:r w:rsidRPr="005C39F7">
        <w:rPr>
          <w:rFonts w:eastAsia="Calibri" w:cs="Times New Roman"/>
          <w:bCs/>
          <w:szCs w:val="24"/>
          <w:vertAlign w:val="superscript"/>
        </w:rPr>
        <w:footnoteReference w:id="20"/>
      </w:r>
    </w:p>
    <w:p w:rsidR="005C39F7" w:rsidRPr="005C39F7" w:rsidRDefault="005C39F7" w:rsidP="005C39F7">
      <w:pPr>
        <w:autoSpaceDE w:val="0"/>
        <w:autoSpaceDN w:val="0"/>
        <w:adjustRightInd w:val="0"/>
        <w:spacing w:before="0"/>
        <w:ind w:firstLine="0"/>
        <w:rPr>
          <w:rFonts w:eastAsia="Calibri" w:cs="Times New Roman"/>
          <w:bCs/>
          <w:szCs w:val="24"/>
        </w:rPr>
      </w:pPr>
    </w:p>
    <w:p w:rsidR="005C39F7" w:rsidRPr="005C39F7" w:rsidRDefault="005C39F7" w:rsidP="005C39F7">
      <w:pPr>
        <w:autoSpaceDE w:val="0"/>
        <w:autoSpaceDN w:val="0"/>
        <w:adjustRightInd w:val="0"/>
        <w:spacing w:before="0"/>
        <w:ind w:firstLine="0"/>
        <w:rPr>
          <w:rFonts w:eastAsia="Calibri" w:cs="Times New Roman"/>
          <w:szCs w:val="24"/>
        </w:rPr>
      </w:pPr>
      <w:r w:rsidRPr="005C39F7">
        <w:rPr>
          <w:rFonts w:eastAsia="Calibri" w:cs="Times New Roman"/>
          <w:szCs w:val="24"/>
        </w:rPr>
        <w:t xml:space="preserve">La constitución, disolución y las modificaciones consistentes en aumentos </w:t>
      </w:r>
      <w:proofErr w:type="gramStart"/>
      <w:r w:rsidRPr="005C39F7">
        <w:rPr>
          <w:rFonts w:eastAsia="Calibri" w:cs="Times New Roman"/>
          <w:szCs w:val="24"/>
        </w:rPr>
        <w:t>y  disminuciones</w:t>
      </w:r>
      <w:proofErr w:type="gramEnd"/>
      <w:r w:rsidRPr="005C39F7">
        <w:rPr>
          <w:rFonts w:eastAsia="Calibri" w:cs="Times New Roman"/>
          <w:szCs w:val="24"/>
        </w:rPr>
        <w:t xml:space="preserve"> de los Fondos de Pensiones gozarán de exención en la modalidad de OS del </w:t>
      </w:r>
      <w:proofErr w:type="spellStart"/>
      <w:r w:rsidRPr="005C39F7">
        <w:rPr>
          <w:rFonts w:eastAsia="Calibri" w:cs="Times New Roman"/>
          <w:szCs w:val="24"/>
        </w:rPr>
        <w:t>ITPyAJD</w:t>
      </w:r>
      <w:proofErr w:type="spellEnd"/>
      <w:r w:rsidRPr="005C39F7">
        <w:rPr>
          <w:rFonts w:eastAsia="Calibri" w:cs="Times New Roman"/>
          <w:szCs w:val="24"/>
        </w:rPr>
        <w:t xml:space="preserve"> conforme dispone el art. 45.1 C 13 ª del </w:t>
      </w:r>
      <w:proofErr w:type="spellStart"/>
      <w:r w:rsidRPr="005C39F7">
        <w:rPr>
          <w:rFonts w:eastAsia="Calibri" w:cs="Times New Roman"/>
          <w:szCs w:val="24"/>
        </w:rPr>
        <w:t>TRLITPyAJD</w:t>
      </w:r>
      <w:proofErr w:type="spellEnd"/>
    </w:p>
    <w:p w:rsidR="005C39F7" w:rsidRPr="005C39F7" w:rsidRDefault="005C39F7" w:rsidP="005C39F7">
      <w:pPr>
        <w:autoSpaceDE w:val="0"/>
        <w:autoSpaceDN w:val="0"/>
        <w:adjustRightInd w:val="0"/>
        <w:spacing w:before="0"/>
        <w:ind w:firstLine="0"/>
        <w:rPr>
          <w:rFonts w:eastAsia="Calibri" w:cs="Times New Roman"/>
          <w:szCs w:val="24"/>
        </w:rPr>
      </w:pPr>
    </w:p>
    <w:p w:rsidR="005C39F7" w:rsidRPr="005C39F7" w:rsidRDefault="005C39F7" w:rsidP="005C39F7">
      <w:pPr>
        <w:autoSpaceDE w:val="0"/>
        <w:autoSpaceDN w:val="0"/>
        <w:adjustRightInd w:val="0"/>
        <w:spacing w:before="0"/>
        <w:ind w:firstLine="0"/>
        <w:rPr>
          <w:rFonts w:eastAsia="Calibri" w:cs="Times New Roman"/>
          <w:szCs w:val="24"/>
        </w:rPr>
      </w:pPr>
      <w:r w:rsidRPr="005C39F7">
        <w:rPr>
          <w:rFonts w:eastAsia="Calibri" w:cs="Times New Roman"/>
          <w:szCs w:val="24"/>
        </w:rPr>
        <w:t xml:space="preserve">Por su parte </w:t>
      </w:r>
      <w:proofErr w:type="gramStart"/>
      <w:r w:rsidRPr="005C39F7">
        <w:rPr>
          <w:rFonts w:eastAsia="Calibri" w:cs="Times New Roman"/>
          <w:szCs w:val="24"/>
        </w:rPr>
        <w:t>y  en</w:t>
      </w:r>
      <w:proofErr w:type="gramEnd"/>
      <w:r w:rsidRPr="005C39F7">
        <w:rPr>
          <w:rFonts w:eastAsia="Calibri" w:cs="Times New Roman"/>
          <w:szCs w:val="24"/>
        </w:rPr>
        <w:t xml:space="preserve"> relación al IS el art. 7.1 de la LIS incluye como sujeto pasivo del impuesto a los fondos de pensiones, con un tipo de gravamen del 0% (art. 29.5 de la LIS). Lo que conlleva de un lado, la devolución de las retenciones soportadas e ingresos a cuenta practicados, y de otro, el deber de cumplir con las obligaciones formales que el IS establece.</w:t>
      </w:r>
    </w:p>
    <w:p w:rsidR="005C39F7" w:rsidRPr="005C39F7" w:rsidRDefault="005C39F7" w:rsidP="005C39F7">
      <w:pPr>
        <w:autoSpaceDE w:val="0"/>
        <w:autoSpaceDN w:val="0"/>
        <w:adjustRightInd w:val="0"/>
        <w:spacing w:before="0"/>
        <w:ind w:firstLine="0"/>
        <w:rPr>
          <w:rFonts w:eastAsia="Calibri" w:cs="Times New Roman"/>
          <w:szCs w:val="24"/>
        </w:rPr>
      </w:pPr>
    </w:p>
    <w:p w:rsidR="005C39F7" w:rsidRPr="005C39F7" w:rsidRDefault="005C39F7" w:rsidP="005C39F7">
      <w:pPr>
        <w:autoSpaceDE w:val="0"/>
        <w:autoSpaceDN w:val="0"/>
        <w:adjustRightInd w:val="0"/>
        <w:spacing w:before="0"/>
        <w:ind w:firstLine="0"/>
        <w:rPr>
          <w:rFonts w:eastAsia="Calibri" w:cs="Times New Roman"/>
          <w:szCs w:val="24"/>
        </w:rPr>
      </w:pPr>
      <w:r w:rsidRPr="005C39F7">
        <w:rPr>
          <w:rFonts w:eastAsia="Calibri" w:cs="Times New Roman"/>
          <w:szCs w:val="24"/>
        </w:rPr>
        <w:t xml:space="preserve">En relación con </w:t>
      </w:r>
      <w:proofErr w:type="gramStart"/>
      <w:r w:rsidRPr="005C39F7">
        <w:rPr>
          <w:rFonts w:eastAsia="Calibri" w:cs="Times New Roman"/>
          <w:szCs w:val="24"/>
        </w:rPr>
        <w:t>el  IVA</w:t>
      </w:r>
      <w:proofErr w:type="gramEnd"/>
      <w:r w:rsidRPr="005C39F7">
        <w:rPr>
          <w:rFonts w:eastAsia="Calibri" w:cs="Times New Roman"/>
          <w:szCs w:val="24"/>
        </w:rPr>
        <w:t>, el art. 20. Uno 18º LIVA sobre exenciones relativas a operaciones financieras, recoge una amplia enumeración de operaciones financieras exentas, entre ellas las operaciones de gestión y depósito, de los Fondos de Pensiones.</w:t>
      </w:r>
    </w:p>
    <w:p w:rsidR="005C39F7" w:rsidRPr="005C39F7" w:rsidRDefault="005C39F7" w:rsidP="005C39F7">
      <w:pPr>
        <w:autoSpaceDE w:val="0"/>
        <w:autoSpaceDN w:val="0"/>
        <w:adjustRightInd w:val="0"/>
        <w:spacing w:before="0"/>
        <w:ind w:firstLine="0"/>
        <w:rPr>
          <w:rFonts w:eastAsia="Calibri" w:cs="Times New Roman"/>
          <w:szCs w:val="24"/>
        </w:rPr>
      </w:pPr>
    </w:p>
    <w:p w:rsidR="005C39F7" w:rsidRPr="005C39F7" w:rsidRDefault="005C39F7" w:rsidP="005C39F7">
      <w:pPr>
        <w:spacing w:before="0" w:after="200"/>
        <w:ind w:firstLine="0"/>
        <w:rPr>
          <w:rFonts w:eastAsia="Calibri" w:cs="Times New Roman"/>
          <w:szCs w:val="24"/>
          <w:u w:val="single"/>
        </w:rPr>
      </w:pPr>
      <w:r w:rsidRPr="005C39F7">
        <w:rPr>
          <w:rFonts w:eastAsia="Calibri" w:cs="Times New Roman"/>
          <w:szCs w:val="24"/>
          <w:u w:val="single"/>
        </w:rPr>
        <w:t>Tributación de las aportaciones a planes de pensiones</w:t>
      </w:r>
    </w:p>
    <w:p w:rsidR="005C39F7" w:rsidRPr="005C39F7" w:rsidRDefault="005C39F7" w:rsidP="005C39F7">
      <w:pPr>
        <w:spacing w:before="0"/>
        <w:ind w:firstLine="0"/>
        <w:contextualSpacing/>
        <w:mirrorIndents/>
        <w:rPr>
          <w:rFonts w:eastAsia="Calibri" w:cs="Times New Roman"/>
          <w:szCs w:val="24"/>
        </w:rPr>
      </w:pPr>
      <w:r w:rsidRPr="005C39F7">
        <w:rPr>
          <w:rFonts w:eastAsia="Calibri" w:cs="Times New Roman"/>
          <w:szCs w:val="24"/>
        </w:rPr>
        <w:t xml:space="preserve">De conformidad con el art. 17.1 e) Ley 35/2006, de 28 de noviembre, del Impuesto sobre la Renta de las Personas Físicas   RCL 2006\2123 se considerarán como </w:t>
      </w:r>
      <w:r w:rsidRPr="005C39F7">
        <w:rPr>
          <w:rFonts w:eastAsia="Calibri" w:cs="Times New Roman"/>
          <w:bCs/>
          <w:szCs w:val="24"/>
        </w:rPr>
        <w:t xml:space="preserve">rentas del trabajo en especie </w:t>
      </w:r>
      <w:r w:rsidRPr="005C39F7">
        <w:rPr>
          <w:rFonts w:eastAsia="Calibri" w:cs="Times New Roman"/>
          <w:szCs w:val="24"/>
        </w:rPr>
        <w:t xml:space="preserve">las contribuciones o aportaciones satisfechas por los promotores de planes de pensiones o por las empresas promotoras previstas en la Directiva 2003/41/CE, </w:t>
      </w:r>
      <w:proofErr w:type="gramStart"/>
      <w:r w:rsidRPr="005C39F7">
        <w:rPr>
          <w:rFonts w:eastAsia="Calibri" w:cs="Times New Roman"/>
          <w:szCs w:val="24"/>
        </w:rPr>
        <w:t>valorándose  por</w:t>
      </w:r>
      <w:proofErr w:type="gramEnd"/>
      <w:r w:rsidRPr="005C39F7">
        <w:rPr>
          <w:rFonts w:eastAsia="Calibri" w:cs="Times New Roman"/>
          <w:szCs w:val="24"/>
        </w:rPr>
        <w:t xml:space="preserve"> su importe. (art. 43.</w:t>
      </w:r>
      <w:proofErr w:type="gramStart"/>
      <w:r w:rsidRPr="005C39F7">
        <w:rPr>
          <w:rFonts w:eastAsia="Calibri" w:cs="Times New Roman"/>
          <w:szCs w:val="24"/>
        </w:rPr>
        <w:t>1.1º</w:t>
      </w:r>
      <w:proofErr w:type="gramEnd"/>
      <w:r w:rsidRPr="005C39F7">
        <w:rPr>
          <w:rFonts w:eastAsia="Calibri" w:cs="Times New Roman"/>
          <w:szCs w:val="24"/>
        </w:rPr>
        <w:t xml:space="preserve"> e) Ley 35/2006, de 28 de noviembre, del Impuesto sobre la Renta de las Personas Físicas   RCL 2006\2123.</w:t>
      </w:r>
    </w:p>
    <w:p w:rsidR="005C39F7" w:rsidRPr="005C39F7" w:rsidRDefault="005C39F7" w:rsidP="005C39F7">
      <w:pPr>
        <w:spacing w:before="0"/>
        <w:ind w:firstLine="0"/>
        <w:contextualSpacing/>
        <w:mirrorIndents/>
        <w:rPr>
          <w:rFonts w:eastAsia="Calibri" w:cs="Times New Roman"/>
          <w:szCs w:val="24"/>
        </w:rPr>
      </w:pPr>
    </w:p>
    <w:p w:rsidR="005C39F7" w:rsidRPr="005C39F7" w:rsidRDefault="005C39F7" w:rsidP="005C39F7">
      <w:pPr>
        <w:autoSpaceDE w:val="0"/>
        <w:autoSpaceDN w:val="0"/>
        <w:adjustRightInd w:val="0"/>
        <w:spacing w:before="0"/>
        <w:ind w:firstLine="0"/>
        <w:rPr>
          <w:rFonts w:eastAsia="Calibri" w:cs="Times New Roman"/>
          <w:szCs w:val="24"/>
        </w:rPr>
      </w:pPr>
    </w:p>
    <w:p w:rsidR="005C39F7" w:rsidRPr="005C39F7" w:rsidRDefault="005C39F7" w:rsidP="005C39F7">
      <w:pPr>
        <w:spacing w:before="0"/>
        <w:ind w:firstLine="0"/>
        <w:contextualSpacing/>
        <w:mirrorIndents/>
        <w:rPr>
          <w:rFonts w:eastAsia="Calibri" w:cs="Times New Roman"/>
          <w:szCs w:val="24"/>
        </w:rPr>
      </w:pPr>
      <w:r w:rsidRPr="005C39F7">
        <w:rPr>
          <w:rFonts w:eastAsia="Calibri" w:cs="Times New Roman"/>
          <w:szCs w:val="24"/>
        </w:rPr>
        <w:t xml:space="preserve">Como </w:t>
      </w:r>
      <w:r w:rsidRPr="005C39F7">
        <w:rPr>
          <w:rFonts w:eastAsia="Calibri" w:cs="Times New Roman"/>
          <w:bCs/>
          <w:szCs w:val="24"/>
        </w:rPr>
        <w:t xml:space="preserve">límite máximo conjunto </w:t>
      </w:r>
      <w:r w:rsidRPr="005C39F7">
        <w:rPr>
          <w:rFonts w:eastAsia="Calibri" w:cs="Times New Roman"/>
          <w:szCs w:val="24"/>
        </w:rPr>
        <w:t>para las reducciones previstas en los apartados 1 a 5 del artículo 51 de Ley 35/2006, de 28 de noviembre, del Impuesto sobre la Renta de las Personas Físicas   RCL 2006\2123, se aplicará la menor de las cantidades siguientes:</w:t>
      </w:r>
    </w:p>
    <w:p w:rsidR="005C39F7" w:rsidRPr="005C39F7" w:rsidRDefault="005C39F7" w:rsidP="005C39F7">
      <w:pPr>
        <w:autoSpaceDE w:val="0"/>
        <w:autoSpaceDN w:val="0"/>
        <w:adjustRightInd w:val="0"/>
        <w:spacing w:before="0"/>
        <w:ind w:firstLine="0"/>
        <w:rPr>
          <w:rFonts w:eastAsia="Calibri" w:cs="Times New Roman"/>
          <w:szCs w:val="24"/>
        </w:rPr>
      </w:pPr>
    </w:p>
    <w:p w:rsidR="005C39F7" w:rsidRPr="005C39F7" w:rsidRDefault="005C39F7" w:rsidP="005C39F7">
      <w:pPr>
        <w:autoSpaceDE w:val="0"/>
        <w:autoSpaceDN w:val="0"/>
        <w:adjustRightInd w:val="0"/>
        <w:spacing w:before="0"/>
        <w:ind w:firstLine="0"/>
        <w:rPr>
          <w:rFonts w:eastAsia="Calibri" w:cs="Times New Roman"/>
          <w:szCs w:val="24"/>
        </w:rPr>
      </w:pPr>
      <w:r w:rsidRPr="005C39F7">
        <w:rPr>
          <w:rFonts w:eastAsia="Calibri" w:cs="Times New Roman"/>
          <w:szCs w:val="24"/>
        </w:rPr>
        <w:t xml:space="preserve">a) El </w:t>
      </w:r>
      <w:r w:rsidRPr="005C39F7">
        <w:rPr>
          <w:rFonts w:eastAsia="Calibri" w:cs="Times New Roman"/>
          <w:bCs/>
          <w:szCs w:val="24"/>
        </w:rPr>
        <w:t xml:space="preserve">30% de la suma de los rendimientos netos del trabajo y de actividades económicas </w:t>
      </w:r>
      <w:r w:rsidRPr="005C39F7">
        <w:rPr>
          <w:rFonts w:eastAsia="Calibri" w:cs="Times New Roman"/>
          <w:szCs w:val="24"/>
        </w:rPr>
        <w:t>percibidos individualmente en el ejercicio.</w:t>
      </w:r>
    </w:p>
    <w:p w:rsidR="005C39F7" w:rsidRPr="005C39F7" w:rsidRDefault="005C39F7" w:rsidP="005C39F7">
      <w:pPr>
        <w:spacing w:before="0" w:after="200"/>
        <w:ind w:firstLine="0"/>
        <w:rPr>
          <w:rFonts w:eastAsia="Calibri" w:cs="Times New Roman"/>
          <w:szCs w:val="24"/>
        </w:rPr>
      </w:pPr>
    </w:p>
    <w:p w:rsidR="005C39F7" w:rsidRPr="005C39F7" w:rsidRDefault="005C39F7" w:rsidP="005C39F7">
      <w:pPr>
        <w:spacing w:before="0" w:after="200"/>
        <w:ind w:firstLine="0"/>
        <w:rPr>
          <w:rFonts w:eastAsia="Calibri" w:cs="Times New Roman"/>
          <w:szCs w:val="24"/>
        </w:rPr>
      </w:pPr>
      <w:r w:rsidRPr="005C39F7">
        <w:rPr>
          <w:rFonts w:eastAsia="Calibri" w:cs="Times New Roman"/>
          <w:szCs w:val="24"/>
        </w:rPr>
        <w:t xml:space="preserve">b) </w:t>
      </w:r>
      <w:r w:rsidRPr="005C39F7">
        <w:rPr>
          <w:rFonts w:eastAsia="Calibri" w:cs="Times New Roman"/>
          <w:bCs/>
          <w:szCs w:val="24"/>
        </w:rPr>
        <w:t>8.000 euros anuales</w:t>
      </w:r>
      <w:r w:rsidRPr="005C39F7">
        <w:rPr>
          <w:rFonts w:eastAsia="Calibri" w:cs="Times New Roman"/>
          <w:szCs w:val="24"/>
        </w:rPr>
        <w:t>.</w:t>
      </w:r>
    </w:p>
    <w:p w:rsidR="005C39F7" w:rsidRPr="005C39F7" w:rsidRDefault="005C39F7" w:rsidP="005C39F7">
      <w:pPr>
        <w:autoSpaceDE w:val="0"/>
        <w:autoSpaceDN w:val="0"/>
        <w:adjustRightInd w:val="0"/>
        <w:spacing w:before="0"/>
        <w:ind w:firstLine="0"/>
        <w:rPr>
          <w:rFonts w:eastAsia="Calibri" w:cs="Times New Roman"/>
          <w:szCs w:val="24"/>
        </w:rPr>
      </w:pPr>
      <w:r w:rsidRPr="005C39F7">
        <w:rPr>
          <w:rFonts w:eastAsia="Calibri" w:cs="Times New Roman"/>
          <w:szCs w:val="24"/>
        </w:rPr>
        <w:lastRenderedPageBreak/>
        <w:t>Asimismo, para seguros colectivos de dependencia contratados por empresas para cubrir compromisos por pensiones, se establece un límite adicional de 5.000 euros anuales.</w:t>
      </w:r>
    </w:p>
    <w:p w:rsidR="005C39F7" w:rsidRPr="005C39F7" w:rsidRDefault="005C39F7" w:rsidP="005C39F7">
      <w:pPr>
        <w:autoSpaceDE w:val="0"/>
        <w:autoSpaceDN w:val="0"/>
        <w:adjustRightInd w:val="0"/>
        <w:spacing w:before="0"/>
        <w:ind w:firstLine="0"/>
        <w:rPr>
          <w:rFonts w:eastAsia="Calibri" w:cs="Times New Roman"/>
          <w:szCs w:val="24"/>
        </w:rPr>
      </w:pPr>
    </w:p>
    <w:p w:rsidR="005C39F7" w:rsidRPr="005C39F7" w:rsidRDefault="005C39F7" w:rsidP="005C39F7">
      <w:pPr>
        <w:spacing w:before="0"/>
        <w:ind w:firstLine="0"/>
        <w:contextualSpacing/>
        <w:mirrorIndents/>
        <w:rPr>
          <w:rFonts w:eastAsia="Calibri" w:cs="Times New Roman"/>
          <w:szCs w:val="24"/>
        </w:rPr>
      </w:pPr>
      <w:r w:rsidRPr="005C39F7">
        <w:rPr>
          <w:rFonts w:eastAsia="Calibri" w:cs="Times New Roman"/>
          <w:szCs w:val="24"/>
        </w:rPr>
        <w:t xml:space="preserve">En el caso que se produjesen </w:t>
      </w:r>
      <w:r w:rsidRPr="005C39F7">
        <w:rPr>
          <w:rFonts w:eastAsia="Calibri" w:cs="Times New Roman"/>
          <w:bCs/>
          <w:szCs w:val="24"/>
        </w:rPr>
        <w:t xml:space="preserve">excesos que no hubieran podido ser objeto de reducción </w:t>
      </w:r>
      <w:r w:rsidRPr="005C39F7">
        <w:rPr>
          <w:rFonts w:eastAsia="Calibri" w:cs="Times New Roman"/>
          <w:szCs w:val="24"/>
        </w:rPr>
        <w:t xml:space="preserve">en la base imponible por insuficiencia de </w:t>
      </w:r>
      <w:proofErr w:type="gramStart"/>
      <w:r w:rsidRPr="005C39F7">
        <w:rPr>
          <w:rFonts w:eastAsia="Calibri" w:cs="Times New Roman"/>
          <w:szCs w:val="24"/>
        </w:rPr>
        <w:t>la misma</w:t>
      </w:r>
      <w:proofErr w:type="gramEnd"/>
      <w:r w:rsidRPr="005C39F7">
        <w:rPr>
          <w:rFonts w:eastAsia="Calibri" w:cs="Times New Roman"/>
          <w:szCs w:val="24"/>
        </w:rPr>
        <w:t xml:space="preserve"> o por aplicación del límite porcentual, podrán ser reducidos en los cinco ejercicios siguientes (art. 52.2 Ley 35/2006, de 28 de noviembre, del Impuesto sobre la Renta de las Personas Físicas   RCL 2006\2123.</w:t>
      </w:r>
    </w:p>
    <w:p w:rsidR="005C39F7" w:rsidRPr="005C39F7" w:rsidRDefault="005C39F7" w:rsidP="005C39F7">
      <w:pPr>
        <w:autoSpaceDE w:val="0"/>
        <w:autoSpaceDN w:val="0"/>
        <w:adjustRightInd w:val="0"/>
        <w:spacing w:before="0"/>
        <w:ind w:firstLine="0"/>
        <w:rPr>
          <w:rFonts w:eastAsia="Calibri" w:cs="Times New Roman"/>
          <w:szCs w:val="24"/>
        </w:rPr>
      </w:pPr>
    </w:p>
    <w:p w:rsidR="005C39F7" w:rsidRPr="005C39F7" w:rsidRDefault="005C39F7" w:rsidP="005C39F7">
      <w:pPr>
        <w:spacing w:before="0"/>
        <w:ind w:firstLine="0"/>
        <w:contextualSpacing/>
        <w:mirrorIndents/>
        <w:rPr>
          <w:rFonts w:eastAsia="Calibri" w:cs="Times New Roman"/>
          <w:szCs w:val="24"/>
        </w:rPr>
      </w:pPr>
      <w:r w:rsidRPr="005C39F7">
        <w:rPr>
          <w:rFonts w:eastAsia="Calibri" w:cs="Times New Roman"/>
          <w:szCs w:val="24"/>
        </w:rPr>
        <w:t xml:space="preserve">Por el contrario, esta norma no resultará de aplicación a las aportaciones </w:t>
      </w:r>
      <w:proofErr w:type="gramStart"/>
      <w:r w:rsidRPr="005C39F7">
        <w:rPr>
          <w:rFonts w:eastAsia="Calibri" w:cs="Times New Roman"/>
          <w:szCs w:val="24"/>
        </w:rPr>
        <w:t>y  contribuciones</w:t>
      </w:r>
      <w:proofErr w:type="gramEnd"/>
      <w:r w:rsidRPr="005C39F7">
        <w:rPr>
          <w:rFonts w:eastAsia="Calibri" w:cs="Times New Roman"/>
          <w:szCs w:val="24"/>
        </w:rPr>
        <w:t xml:space="preserve"> que excedan de 8.000 euros (límite máximo previsto en el apartado 6 del artículo 51 de la Ley 35/2006, de 28 de noviembre, del Impuesto sobre la Renta de las Personas Físicas   RCL 2006\2123.</w:t>
      </w:r>
    </w:p>
    <w:p w:rsidR="005C39F7" w:rsidRPr="005C39F7" w:rsidRDefault="005C39F7" w:rsidP="005C39F7">
      <w:pPr>
        <w:autoSpaceDE w:val="0"/>
        <w:autoSpaceDN w:val="0"/>
        <w:adjustRightInd w:val="0"/>
        <w:spacing w:before="0"/>
        <w:ind w:firstLine="0"/>
        <w:rPr>
          <w:rFonts w:eastAsia="Calibri" w:cs="Times New Roman"/>
          <w:szCs w:val="24"/>
        </w:rPr>
      </w:pPr>
    </w:p>
    <w:p w:rsidR="005C39F7" w:rsidRPr="005C39F7" w:rsidRDefault="005C39F7" w:rsidP="005C39F7">
      <w:pPr>
        <w:autoSpaceDE w:val="0"/>
        <w:autoSpaceDN w:val="0"/>
        <w:adjustRightInd w:val="0"/>
        <w:spacing w:before="0"/>
        <w:ind w:firstLine="0"/>
        <w:rPr>
          <w:rFonts w:eastAsia="Calibri" w:cs="Times New Roman"/>
          <w:szCs w:val="24"/>
        </w:rPr>
      </w:pPr>
    </w:p>
    <w:p w:rsidR="005C39F7" w:rsidRPr="005C39F7" w:rsidRDefault="005C39F7" w:rsidP="005C39F7">
      <w:pPr>
        <w:autoSpaceDE w:val="0"/>
        <w:autoSpaceDN w:val="0"/>
        <w:adjustRightInd w:val="0"/>
        <w:spacing w:before="0"/>
        <w:ind w:firstLine="0"/>
        <w:rPr>
          <w:rFonts w:eastAsia="Calibri" w:cs="Times New Roman"/>
          <w:szCs w:val="24"/>
        </w:rPr>
      </w:pPr>
      <w:r w:rsidRPr="005C39F7">
        <w:rPr>
          <w:rFonts w:eastAsia="Calibri" w:cs="Times New Roman"/>
          <w:szCs w:val="24"/>
        </w:rPr>
        <w:t>En lo que respecta a la tributación de las futuras prestaciones que se perciban no se verán minorada por aquellas aportaciones que no hubieren sido objeto de reducción por insuficiencia de la base imponible o por exceder del límite porcentual (30% de los rendimientos netos del trabajo y de actividades económicas).</w:t>
      </w:r>
    </w:p>
    <w:p w:rsidR="005C39F7" w:rsidRPr="005C39F7" w:rsidRDefault="005C39F7" w:rsidP="005C39F7">
      <w:pPr>
        <w:autoSpaceDE w:val="0"/>
        <w:autoSpaceDN w:val="0"/>
        <w:adjustRightInd w:val="0"/>
        <w:spacing w:before="0"/>
        <w:ind w:firstLine="0"/>
        <w:rPr>
          <w:rFonts w:eastAsia="Calibri" w:cs="Times New Roman"/>
          <w:szCs w:val="24"/>
        </w:rPr>
      </w:pPr>
    </w:p>
    <w:p w:rsidR="005C39F7" w:rsidRPr="005C39F7" w:rsidRDefault="005C39F7" w:rsidP="005C39F7">
      <w:pPr>
        <w:spacing w:before="0"/>
        <w:ind w:firstLine="0"/>
        <w:contextualSpacing/>
        <w:mirrorIndents/>
        <w:rPr>
          <w:rFonts w:eastAsia="Calibri" w:cs="Times New Roman"/>
          <w:szCs w:val="24"/>
        </w:rPr>
      </w:pPr>
      <w:r w:rsidRPr="005C39F7">
        <w:rPr>
          <w:rFonts w:eastAsia="Calibri" w:cs="Times New Roman"/>
          <w:szCs w:val="24"/>
        </w:rPr>
        <w:t xml:space="preserve">En el supuesto de que los contribuyentes opten por el régimen de </w:t>
      </w:r>
      <w:r w:rsidRPr="005C39F7">
        <w:rPr>
          <w:rFonts w:eastAsia="Calibri" w:cs="Times New Roman"/>
          <w:bCs/>
          <w:szCs w:val="24"/>
        </w:rPr>
        <w:t>tributación conjunta</w:t>
      </w:r>
      <w:r w:rsidRPr="005C39F7">
        <w:rPr>
          <w:rFonts w:eastAsia="Calibri" w:cs="Times New Roman"/>
          <w:szCs w:val="24"/>
        </w:rPr>
        <w:t>, de acuerdo con el art. 84.2 Ley 35/2006, de 28 de noviembre, del Impuesto sobre la Renta de las Personas Físicas   RCL 2006\2123 los límites máximos de reducción en la base imponible serán aplicados individualmente por cada partícipe o mutualista integrado en la unidad familiar.</w:t>
      </w:r>
    </w:p>
    <w:p w:rsidR="005C39F7" w:rsidRPr="005C39F7" w:rsidRDefault="005C39F7" w:rsidP="005C39F7">
      <w:pPr>
        <w:spacing w:before="0" w:after="200"/>
        <w:ind w:firstLine="0"/>
        <w:rPr>
          <w:rFonts w:eastAsia="Calibri" w:cs="Times New Roman"/>
          <w:szCs w:val="24"/>
        </w:rPr>
      </w:pPr>
      <w:r w:rsidRPr="005C39F7">
        <w:rPr>
          <w:rFonts w:eastAsia="Calibri" w:cs="Times New Roman"/>
          <w:szCs w:val="24"/>
        </w:rPr>
        <w:t xml:space="preserve">Finalmente, existen determinadas especialidades que pasamos a exponer: </w:t>
      </w:r>
    </w:p>
    <w:p w:rsidR="005C39F7" w:rsidRPr="005C39F7" w:rsidRDefault="005C39F7" w:rsidP="005C39F7">
      <w:pPr>
        <w:autoSpaceDE w:val="0"/>
        <w:autoSpaceDN w:val="0"/>
        <w:adjustRightInd w:val="0"/>
        <w:spacing w:before="0"/>
        <w:ind w:firstLine="0"/>
        <w:rPr>
          <w:rFonts w:eastAsia="Calibri" w:cs="Times New Roman"/>
          <w:i/>
          <w:szCs w:val="24"/>
        </w:rPr>
      </w:pPr>
      <w:r w:rsidRPr="005C39F7">
        <w:rPr>
          <w:rFonts w:eastAsia="Calibri" w:cs="Times New Roman"/>
          <w:i/>
          <w:szCs w:val="24"/>
        </w:rPr>
        <w:t xml:space="preserve">a) Aportaciones a un plan de pensiones del cónyuge. </w:t>
      </w:r>
    </w:p>
    <w:p w:rsidR="005C39F7" w:rsidRPr="005C39F7" w:rsidRDefault="005C39F7" w:rsidP="005C39F7">
      <w:pPr>
        <w:autoSpaceDE w:val="0"/>
        <w:autoSpaceDN w:val="0"/>
        <w:adjustRightInd w:val="0"/>
        <w:spacing w:before="0"/>
        <w:ind w:firstLine="0"/>
        <w:rPr>
          <w:rFonts w:eastAsia="Calibri" w:cs="Times New Roman"/>
          <w:szCs w:val="24"/>
        </w:rPr>
      </w:pPr>
    </w:p>
    <w:p w:rsidR="005C39F7" w:rsidRPr="005C39F7" w:rsidRDefault="005C39F7" w:rsidP="005C39F7">
      <w:pPr>
        <w:autoSpaceDE w:val="0"/>
        <w:autoSpaceDN w:val="0"/>
        <w:adjustRightInd w:val="0"/>
        <w:spacing w:before="0"/>
        <w:ind w:firstLine="0"/>
        <w:rPr>
          <w:rFonts w:eastAsia="Calibri" w:cs="Times New Roman"/>
          <w:bCs/>
          <w:szCs w:val="24"/>
        </w:rPr>
      </w:pPr>
      <w:r w:rsidRPr="005C39F7">
        <w:rPr>
          <w:rFonts w:eastAsia="Calibri" w:cs="Times New Roman"/>
          <w:szCs w:val="24"/>
        </w:rPr>
        <w:t xml:space="preserve">El art. 51.7 de la LIRPPF establece que los contribuyentes cuyo cónyuge no obtenga rendimientos netos del trabajo ni de actividades económicas, o los obtenga en cuantía inferior a 8.000 euros anuales, podrán reducir en la base imponible las aportaciones realizadas a los sistemas de previsión social previstos en el artículo 51 LEY 35/2006, DE 28 DE NOVIEMBRE, DEL IMPUESTO SOBRE LA RENTA DE LAS PERSONAS FÏSICAS   RCL 2006\2123 de los que sea partícipe, mutualista o titular dicho cónyuge, con el </w:t>
      </w:r>
      <w:r w:rsidRPr="005C39F7">
        <w:rPr>
          <w:rFonts w:eastAsia="Calibri" w:cs="Times New Roman"/>
          <w:bCs/>
          <w:szCs w:val="24"/>
        </w:rPr>
        <w:t>límite máximo de 2.500 euros</w:t>
      </w:r>
    </w:p>
    <w:p w:rsidR="005C39F7" w:rsidRPr="005C39F7" w:rsidRDefault="005C39F7" w:rsidP="005C39F7">
      <w:pPr>
        <w:autoSpaceDE w:val="0"/>
        <w:autoSpaceDN w:val="0"/>
        <w:adjustRightInd w:val="0"/>
        <w:spacing w:before="0"/>
        <w:ind w:firstLine="0"/>
        <w:rPr>
          <w:rFonts w:eastAsia="Calibri" w:cs="Times New Roman"/>
          <w:bCs/>
          <w:szCs w:val="24"/>
        </w:rPr>
      </w:pPr>
    </w:p>
    <w:p w:rsidR="005C39F7" w:rsidRPr="005C39F7" w:rsidRDefault="005C39F7" w:rsidP="005C39F7">
      <w:pPr>
        <w:autoSpaceDE w:val="0"/>
        <w:autoSpaceDN w:val="0"/>
        <w:adjustRightInd w:val="0"/>
        <w:spacing w:before="0"/>
        <w:ind w:firstLine="0"/>
        <w:rPr>
          <w:rFonts w:eastAsia="Calibri" w:cs="Times New Roman"/>
          <w:szCs w:val="24"/>
        </w:rPr>
      </w:pPr>
      <w:r w:rsidRPr="005C39F7">
        <w:rPr>
          <w:rFonts w:eastAsia="Calibri" w:cs="Times New Roman"/>
          <w:szCs w:val="24"/>
        </w:rPr>
        <w:t xml:space="preserve">Estas aportaciones no estarán sujetas al </w:t>
      </w:r>
      <w:proofErr w:type="spellStart"/>
      <w:r w:rsidRPr="005C39F7">
        <w:rPr>
          <w:rFonts w:eastAsia="Calibri" w:cs="Times New Roman"/>
          <w:szCs w:val="24"/>
        </w:rPr>
        <w:t>ISyD</w:t>
      </w:r>
      <w:proofErr w:type="spellEnd"/>
      <w:r w:rsidRPr="005C39F7">
        <w:rPr>
          <w:rFonts w:eastAsia="Calibri" w:cs="Times New Roman"/>
          <w:szCs w:val="24"/>
        </w:rPr>
        <w:t xml:space="preserve">. </w:t>
      </w:r>
    </w:p>
    <w:p w:rsidR="005C39F7" w:rsidRPr="005C39F7" w:rsidRDefault="005C39F7" w:rsidP="005C39F7">
      <w:pPr>
        <w:autoSpaceDE w:val="0"/>
        <w:autoSpaceDN w:val="0"/>
        <w:adjustRightInd w:val="0"/>
        <w:spacing w:before="0"/>
        <w:ind w:firstLine="0"/>
        <w:rPr>
          <w:rFonts w:eastAsia="Calibri" w:cs="Times New Roman"/>
          <w:szCs w:val="24"/>
        </w:rPr>
      </w:pPr>
    </w:p>
    <w:p w:rsidR="005C39F7" w:rsidRPr="005C39F7" w:rsidRDefault="005C39F7" w:rsidP="005C39F7">
      <w:pPr>
        <w:autoSpaceDE w:val="0"/>
        <w:autoSpaceDN w:val="0"/>
        <w:adjustRightInd w:val="0"/>
        <w:spacing w:before="0"/>
        <w:ind w:firstLine="0"/>
        <w:rPr>
          <w:rFonts w:eastAsia="Calibri" w:cs="Times New Roman"/>
          <w:bCs/>
          <w:szCs w:val="24"/>
        </w:rPr>
      </w:pPr>
      <w:r w:rsidRPr="005C39F7">
        <w:rPr>
          <w:rFonts w:eastAsia="Calibri" w:cs="Times New Roman"/>
          <w:szCs w:val="24"/>
        </w:rPr>
        <w:t xml:space="preserve">Por su parte el </w:t>
      </w:r>
      <w:r w:rsidRPr="005C39F7">
        <w:rPr>
          <w:rFonts w:eastAsia="Calibri" w:cs="Times New Roman"/>
          <w:bCs/>
          <w:szCs w:val="24"/>
        </w:rPr>
        <w:t>cónyuge partícipe en el plan no debe obtener rendimientos netos del trabajo o de actividades económicas superiores a 8.000 euros anuales</w:t>
      </w:r>
    </w:p>
    <w:p w:rsidR="005C39F7" w:rsidRPr="005C39F7" w:rsidRDefault="005C39F7" w:rsidP="005C39F7">
      <w:pPr>
        <w:autoSpaceDE w:val="0"/>
        <w:autoSpaceDN w:val="0"/>
        <w:adjustRightInd w:val="0"/>
        <w:spacing w:before="0"/>
        <w:ind w:firstLine="0"/>
        <w:rPr>
          <w:rFonts w:eastAsia="Calibri" w:cs="Times New Roman"/>
          <w:szCs w:val="24"/>
        </w:rPr>
      </w:pPr>
    </w:p>
    <w:p w:rsidR="005C39F7" w:rsidRPr="005C39F7" w:rsidRDefault="005C39F7" w:rsidP="005C39F7">
      <w:pPr>
        <w:autoSpaceDE w:val="0"/>
        <w:autoSpaceDN w:val="0"/>
        <w:adjustRightInd w:val="0"/>
        <w:spacing w:before="0"/>
        <w:ind w:firstLine="0"/>
        <w:rPr>
          <w:rFonts w:eastAsia="Calibri" w:cs="Times New Roman"/>
          <w:szCs w:val="24"/>
        </w:rPr>
      </w:pPr>
      <w:r w:rsidRPr="005C39F7">
        <w:rPr>
          <w:rFonts w:eastAsia="Calibri" w:cs="Times New Roman"/>
          <w:szCs w:val="24"/>
        </w:rPr>
        <w:t xml:space="preserve">La </w:t>
      </w:r>
      <w:r w:rsidRPr="005C39F7">
        <w:rPr>
          <w:rFonts w:eastAsia="Calibri" w:cs="Times New Roman"/>
          <w:bCs/>
          <w:szCs w:val="24"/>
        </w:rPr>
        <w:t xml:space="preserve">cuantía máxima que puede reducir el cónyuge no partícipe es de 2.500 euros anuales </w:t>
      </w:r>
      <w:r w:rsidRPr="005C39F7">
        <w:rPr>
          <w:rFonts w:eastAsia="Calibri" w:cs="Times New Roman"/>
          <w:szCs w:val="24"/>
        </w:rPr>
        <w:t>desde el 1 de enero de 2015 con independencia de las deducciones que pueda practicar por aportaciones a sus propios sistemas de previsión social.</w:t>
      </w:r>
    </w:p>
    <w:p w:rsidR="005C39F7" w:rsidRPr="005C39F7" w:rsidRDefault="005C39F7" w:rsidP="005C39F7">
      <w:pPr>
        <w:autoSpaceDE w:val="0"/>
        <w:autoSpaceDN w:val="0"/>
        <w:adjustRightInd w:val="0"/>
        <w:spacing w:before="0"/>
        <w:ind w:firstLine="0"/>
        <w:rPr>
          <w:rFonts w:eastAsia="Calibri" w:cs="Times New Roman"/>
          <w:i/>
          <w:szCs w:val="24"/>
        </w:rPr>
      </w:pPr>
    </w:p>
    <w:p w:rsidR="005C39F7" w:rsidRPr="005C39F7" w:rsidRDefault="005C39F7" w:rsidP="005C39F7">
      <w:pPr>
        <w:autoSpaceDE w:val="0"/>
        <w:autoSpaceDN w:val="0"/>
        <w:adjustRightInd w:val="0"/>
        <w:spacing w:before="0"/>
        <w:ind w:firstLine="0"/>
        <w:rPr>
          <w:rFonts w:eastAsia="Calibri" w:cs="Times New Roman"/>
          <w:i/>
          <w:szCs w:val="24"/>
        </w:rPr>
      </w:pPr>
      <w:r w:rsidRPr="005C39F7">
        <w:rPr>
          <w:rFonts w:eastAsia="Calibri" w:cs="Times New Roman"/>
          <w:i/>
          <w:szCs w:val="24"/>
        </w:rPr>
        <w:t xml:space="preserve">b) Aportaciones a plan de pensiones de discapacitados. </w:t>
      </w:r>
    </w:p>
    <w:p w:rsidR="005C39F7" w:rsidRPr="005C39F7" w:rsidRDefault="005C39F7" w:rsidP="005C39F7">
      <w:pPr>
        <w:autoSpaceDE w:val="0"/>
        <w:autoSpaceDN w:val="0"/>
        <w:adjustRightInd w:val="0"/>
        <w:spacing w:before="0"/>
        <w:ind w:firstLine="0"/>
        <w:rPr>
          <w:rFonts w:eastAsia="Calibri" w:cs="Times New Roman"/>
          <w:szCs w:val="24"/>
        </w:rPr>
      </w:pPr>
    </w:p>
    <w:p w:rsidR="005C39F7" w:rsidRPr="005C39F7" w:rsidRDefault="005C39F7" w:rsidP="005C39F7">
      <w:pPr>
        <w:spacing w:before="0"/>
        <w:ind w:firstLine="0"/>
        <w:contextualSpacing/>
        <w:mirrorIndents/>
        <w:rPr>
          <w:rFonts w:eastAsia="Calibri" w:cs="Times New Roman"/>
          <w:szCs w:val="24"/>
        </w:rPr>
      </w:pPr>
      <w:r w:rsidRPr="005C39F7">
        <w:rPr>
          <w:rFonts w:eastAsia="Calibri" w:cs="Times New Roman"/>
          <w:szCs w:val="24"/>
        </w:rPr>
        <w:t>El art. 53 de la Ley 35/2006, de 28 de noviembre, del Impuesto sobre la Renta de las Personas Físicas   RCL 2006\2123 prevé la posibilidad de reducir por aportaciones o contribuciones realizadas a planes de pensiones, mutualidades de previsión social, planes de previsión asegurado , planes de previsión social empresarial y seguros que cubran exclusivamente el riesgo de dependencia severa o de gran dependencia siempre que se realicen de acuerdo con lo establecido por la Disp.Adic.10ª Ley 35/2006, de 28 de noviembre, del Impuesto sobre la Renta de las Personas Físicas   RCL 2006\2123.</w:t>
      </w:r>
      <w:r w:rsidRPr="005C39F7">
        <w:rPr>
          <w:rFonts w:eastAsia="Calibri" w:cs="Times New Roman"/>
          <w:szCs w:val="24"/>
          <w:vertAlign w:val="superscript"/>
        </w:rPr>
        <w:footnoteReference w:id="21"/>
      </w:r>
    </w:p>
    <w:p w:rsidR="005C39F7" w:rsidRPr="005C39F7" w:rsidRDefault="005C39F7" w:rsidP="005C39F7">
      <w:pPr>
        <w:autoSpaceDE w:val="0"/>
        <w:autoSpaceDN w:val="0"/>
        <w:adjustRightInd w:val="0"/>
        <w:spacing w:before="0"/>
        <w:ind w:firstLine="0"/>
        <w:rPr>
          <w:rFonts w:eastAsia="Calibri" w:cs="Times New Roman"/>
          <w:szCs w:val="24"/>
        </w:rPr>
      </w:pPr>
    </w:p>
    <w:p w:rsidR="005C39F7" w:rsidRPr="005C39F7" w:rsidRDefault="005C39F7" w:rsidP="005C39F7">
      <w:pPr>
        <w:autoSpaceDE w:val="0"/>
        <w:autoSpaceDN w:val="0"/>
        <w:adjustRightInd w:val="0"/>
        <w:spacing w:before="0"/>
        <w:ind w:firstLine="0"/>
        <w:rPr>
          <w:rFonts w:eastAsia="Calibri" w:cs="Times New Roman"/>
          <w:szCs w:val="24"/>
        </w:rPr>
      </w:pPr>
      <w:r w:rsidRPr="005C39F7">
        <w:rPr>
          <w:rFonts w:eastAsia="Calibri" w:cs="Times New Roman"/>
          <w:szCs w:val="24"/>
        </w:rPr>
        <w:t xml:space="preserve">La reducción de las aportaciones realizadas en dicho régimen tendrá como </w:t>
      </w:r>
      <w:r w:rsidRPr="005C39F7">
        <w:rPr>
          <w:rFonts w:eastAsia="Calibri" w:cs="Times New Roman"/>
          <w:bCs/>
          <w:szCs w:val="24"/>
        </w:rPr>
        <w:t xml:space="preserve">límite máximo </w:t>
      </w:r>
      <w:r w:rsidRPr="005C39F7">
        <w:rPr>
          <w:rFonts w:eastAsia="Calibri" w:cs="Times New Roman"/>
          <w:szCs w:val="24"/>
        </w:rPr>
        <w:t>las siguientes cuantías:</w:t>
      </w:r>
    </w:p>
    <w:p w:rsidR="005C39F7" w:rsidRPr="005C39F7" w:rsidRDefault="005C39F7" w:rsidP="005C39F7">
      <w:pPr>
        <w:autoSpaceDE w:val="0"/>
        <w:autoSpaceDN w:val="0"/>
        <w:adjustRightInd w:val="0"/>
        <w:spacing w:before="0"/>
        <w:ind w:firstLine="0"/>
        <w:rPr>
          <w:rFonts w:eastAsia="Calibri" w:cs="Times New Roman"/>
          <w:szCs w:val="24"/>
        </w:rPr>
      </w:pPr>
    </w:p>
    <w:p w:rsidR="005C39F7" w:rsidRPr="005C39F7" w:rsidRDefault="005C39F7" w:rsidP="005C39F7">
      <w:pPr>
        <w:numPr>
          <w:ilvl w:val="0"/>
          <w:numId w:val="42"/>
        </w:numPr>
        <w:autoSpaceDE w:val="0"/>
        <w:autoSpaceDN w:val="0"/>
        <w:adjustRightInd w:val="0"/>
        <w:spacing w:before="0" w:after="200"/>
        <w:contextualSpacing/>
        <w:jc w:val="left"/>
        <w:rPr>
          <w:rFonts w:eastAsia="Calibri" w:cs="Times New Roman"/>
          <w:szCs w:val="24"/>
        </w:rPr>
      </w:pPr>
      <w:r w:rsidRPr="005C39F7">
        <w:rPr>
          <w:rFonts w:eastAsia="Calibri" w:cs="Times New Roman"/>
          <w:szCs w:val="24"/>
        </w:rPr>
        <w:t xml:space="preserve">Las aportaciones anuales máximas realizadas por las personas con discapacidad partícipes no podrán rebasar la cantidad de </w:t>
      </w:r>
      <w:r w:rsidRPr="005C39F7">
        <w:rPr>
          <w:rFonts w:eastAsia="Calibri" w:cs="Times New Roman"/>
          <w:bCs/>
          <w:szCs w:val="24"/>
        </w:rPr>
        <w:t>24.250 euros.</w:t>
      </w:r>
    </w:p>
    <w:p w:rsidR="005C39F7" w:rsidRPr="005C39F7" w:rsidRDefault="005C39F7" w:rsidP="005C39F7">
      <w:pPr>
        <w:autoSpaceDE w:val="0"/>
        <w:autoSpaceDN w:val="0"/>
        <w:adjustRightInd w:val="0"/>
        <w:spacing w:before="0"/>
        <w:ind w:left="720" w:firstLine="0"/>
        <w:contextualSpacing/>
        <w:rPr>
          <w:rFonts w:eastAsia="Calibri" w:cs="Times New Roman"/>
          <w:szCs w:val="24"/>
        </w:rPr>
      </w:pPr>
    </w:p>
    <w:p w:rsidR="005C39F7" w:rsidRPr="005C39F7" w:rsidRDefault="005C39F7" w:rsidP="005C39F7">
      <w:pPr>
        <w:numPr>
          <w:ilvl w:val="0"/>
          <w:numId w:val="42"/>
        </w:numPr>
        <w:autoSpaceDE w:val="0"/>
        <w:autoSpaceDN w:val="0"/>
        <w:adjustRightInd w:val="0"/>
        <w:spacing w:before="0" w:after="200"/>
        <w:contextualSpacing/>
        <w:mirrorIndents/>
        <w:jc w:val="left"/>
        <w:rPr>
          <w:rFonts w:eastAsia="Calibri" w:cs="Times New Roman"/>
          <w:szCs w:val="24"/>
        </w:rPr>
      </w:pPr>
      <w:r w:rsidRPr="005C39F7">
        <w:rPr>
          <w:rFonts w:eastAsia="Calibri" w:cs="Times New Roman"/>
          <w:bCs/>
          <w:szCs w:val="24"/>
        </w:rPr>
        <w:t>Las aportaciones</w:t>
      </w:r>
      <w:r w:rsidRPr="005C39F7">
        <w:rPr>
          <w:rFonts w:eastAsia="Calibri" w:cs="Times New Roman"/>
          <w:szCs w:val="24"/>
        </w:rPr>
        <w:t xml:space="preserve"> anuales máximas realizadas por cada partícipe a favor de personas con discapacidad ligadas por relación de parentesco no podrán rebasar la cantidad de 10.000 euros. Todo ello sin perjuicio de las aportaciones que pueda realizar a su propio plan de pensiones, de acuerdo con el límite previsto en el artículo 52 Ley 35/2006, de 28 de noviembre, del Impuesto sobre la Renta de las Personas Físicas   RCL 2006\2123.</w:t>
      </w:r>
    </w:p>
    <w:p w:rsidR="005C39F7" w:rsidRPr="005C39F7" w:rsidRDefault="005C39F7" w:rsidP="005C39F7">
      <w:pPr>
        <w:autoSpaceDE w:val="0"/>
        <w:autoSpaceDN w:val="0"/>
        <w:adjustRightInd w:val="0"/>
        <w:spacing w:before="0"/>
        <w:ind w:left="720" w:firstLine="0"/>
        <w:contextualSpacing/>
        <w:rPr>
          <w:rFonts w:eastAsia="Calibri" w:cs="Times New Roman"/>
          <w:szCs w:val="24"/>
        </w:rPr>
      </w:pPr>
    </w:p>
    <w:p w:rsidR="005C39F7" w:rsidRPr="005C39F7" w:rsidRDefault="005C39F7" w:rsidP="005C39F7">
      <w:pPr>
        <w:autoSpaceDE w:val="0"/>
        <w:autoSpaceDN w:val="0"/>
        <w:adjustRightInd w:val="0"/>
        <w:spacing w:before="0"/>
        <w:ind w:firstLine="0"/>
        <w:rPr>
          <w:rFonts w:eastAsia="Calibri" w:cs="Times New Roman"/>
          <w:szCs w:val="24"/>
        </w:rPr>
      </w:pPr>
    </w:p>
    <w:p w:rsidR="005C39F7" w:rsidRPr="005C39F7" w:rsidRDefault="005C39F7" w:rsidP="005C39F7">
      <w:pPr>
        <w:autoSpaceDE w:val="0"/>
        <w:autoSpaceDN w:val="0"/>
        <w:adjustRightInd w:val="0"/>
        <w:spacing w:before="0"/>
        <w:ind w:firstLine="0"/>
        <w:rPr>
          <w:rFonts w:eastAsia="Calibri" w:cs="Times New Roman"/>
          <w:szCs w:val="24"/>
        </w:rPr>
      </w:pPr>
      <w:r w:rsidRPr="005C39F7">
        <w:rPr>
          <w:rFonts w:eastAsia="Calibri" w:cs="Times New Roman"/>
          <w:szCs w:val="24"/>
        </w:rPr>
        <w:t xml:space="preserve">El </w:t>
      </w:r>
      <w:r w:rsidRPr="005C39F7">
        <w:rPr>
          <w:rFonts w:eastAsia="Calibri" w:cs="Times New Roman"/>
          <w:bCs/>
          <w:szCs w:val="24"/>
        </w:rPr>
        <w:t xml:space="preserve">conjunto de las reducciones practicadas por todas las personas </w:t>
      </w:r>
      <w:r w:rsidRPr="005C39F7">
        <w:rPr>
          <w:rFonts w:eastAsia="Calibri" w:cs="Times New Roman"/>
          <w:szCs w:val="24"/>
        </w:rPr>
        <w:t>que realicen aportaciones a favor de una misma persona con discapacidad, incluidas las de la propia persona con discapacidad, no podrá exceder de 24.250 euros anuales</w:t>
      </w:r>
    </w:p>
    <w:p w:rsidR="005C39F7" w:rsidRPr="005C39F7" w:rsidRDefault="005C39F7" w:rsidP="005C39F7">
      <w:pPr>
        <w:spacing w:before="0" w:after="200"/>
        <w:ind w:firstLine="0"/>
        <w:rPr>
          <w:rFonts w:eastAsia="Calibri" w:cs="Times New Roman"/>
          <w:szCs w:val="24"/>
        </w:rPr>
      </w:pPr>
    </w:p>
    <w:p w:rsidR="005C39F7" w:rsidRPr="005C39F7" w:rsidRDefault="005C39F7" w:rsidP="005C39F7">
      <w:pPr>
        <w:spacing w:before="0" w:after="200"/>
        <w:ind w:firstLine="0"/>
        <w:rPr>
          <w:rFonts w:eastAsia="Calibri" w:cs="Times New Roman"/>
          <w:szCs w:val="24"/>
        </w:rPr>
      </w:pPr>
    </w:p>
    <w:p w:rsidR="005C39F7" w:rsidRPr="005C39F7" w:rsidRDefault="005C39F7" w:rsidP="005C39F7">
      <w:pPr>
        <w:spacing w:before="0" w:after="200"/>
        <w:ind w:firstLine="0"/>
        <w:rPr>
          <w:rFonts w:eastAsia="Calibri" w:cs="Times New Roman"/>
          <w:szCs w:val="24"/>
          <w:u w:val="single"/>
        </w:rPr>
      </w:pPr>
      <w:r w:rsidRPr="005C39F7">
        <w:rPr>
          <w:rFonts w:eastAsia="Calibri" w:cs="Times New Roman"/>
          <w:szCs w:val="24"/>
          <w:u w:val="single"/>
        </w:rPr>
        <w:t>Tributación de las prestaciones a planes de pensiones</w:t>
      </w:r>
    </w:p>
    <w:p w:rsidR="005C39F7" w:rsidRPr="005C39F7" w:rsidRDefault="005C39F7" w:rsidP="005C39F7">
      <w:pPr>
        <w:autoSpaceDE w:val="0"/>
        <w:autoSpaceDN w:val="0"/>
        <w:adjustRightInd w:val="0"/>
        <w:spacing w:before="0"/>
        <w:ind w:firstLine="0"/>
        <w:rPr>
          <w:rFonts w:eastAsia="Calibri" w:cs="Times New Roman"/>
          <w:szCs w:val="24"/>
        </w:rPr>
      </w:pPr>
      <w:r w:rsidRPr="005C39F7">
        <w:rPr>
          <w:rFonts w:eastAsia="Calibri" w:cs="Times New Roman"/>
          <w:szCs w:val="24"/>
        </w:rPr>
        <w:t>Desde el 1 de enero de 2007 no hay diferencias en el tratamiento tributario de las prestaciones recibidas de los planes de pensiones.</w:t>
      </w:r>
    </w:p>
    <w:p w:rsidR="005C39F7" w:rsidRPr="005C39F7" w:rsidRDefault="005C39F7" w:rsidP="005C39F7">
      <w:pPr>
        <w:autoSpaceDE w:val="0"/>
        <w:autoSpaceDN w:val="0"/>
        <w:adjustRightInd w:val="0"/>
        <w:spacing w:before="0"/>
        <w:ind w:firstLine="0"/>
        <w:rPr>
          <w:rFonts w:eastAsia="Calibri" w:cs="Times New Roman"/>
          <w:szCs w:val="24"/>
        </w:rPr>
      </w:pPr>
    </w:p>
    <w:p w:rsidR="005C39F7" w:rsidRPr="005C39F7" w:rsidRDefault="005C39F7" w:rsidP="005C39F7">
      <w:pPr>
        <w:autoSpaceDE w:val="0"/>
        <w:autoSpaceDN w:val="0"/>
        <w:adjustRightInd w:val="0"/>
        <w:spacing w:before="0"/>
        <w:ind w:firstLine="0"/>
        <w:rPr>
          <w:rFonts w:eastAsia="Calibri" w:cs="Times New Roman"/>
          <w:szCs w:val="24"/>
        </w:rPr>
      </w:pPr>
      <w:r w:rsidRPr="005C39F7">
        <w:rPr>
          <w:rFonts w:eastAsia="Calibri" w:cs="Times New Roman"/>
          <w:szCs w:val="24"/>
        </w:rPr>
        <w:t>Su tratamiento es el mismo se perciban en forma de capital, en forma de renta periódica o de forma mixta (con las especialidades propias del régimen transitorio).</w:t>
      </w:r>
    </w:p>
    <w:p w:rsidR="005C39F7" w:rsidRPr="005C39F7" w:rsidRDefault="005C39F7" w:rsidP="005C39F7">
      <w:pPr>
        <w:autoSpaceDE w:val="0"/>
        <w:autoSpaceDN w:val="0"/>
        <w:adjustRightInd w:val="0"/>
        <w:spacing w:before="0"/>
        <w:ind w:firstLine="0"/>
        <w:rPr>
          <w:rFonts w:eastAsia="Calibri" w:cs="Times New Roman"/>
          <w:szCs w:val="24"/>
        </w:rPr>
      </w:pPr>
    </w:p>
    <w:p w:rsidR="005C39F7" w:rsidRPr="005C39F7" w:rsidRDefault="005C39F7" w:rsidP="005C39F7">
      <w:pPr>
        <w:autoSpaceDE w:val="0"/>
        <w:autoSpaceDN w:val="0"/>
        <w:adjustRightInd w:val="0"/>
        <w:spacing w:before="0"/>
        <w:ind w:firstLine="0"/>
        <w:rPr>
          <w:rFonts w:eastAsia="Calibri" w:cs="Times New Roman"/>
          <w:bCs/>
          <w:szCs w:val="24"/>
        </w:rPr>
      </w:pPr>
      <w:r w:rsidRPr="005C39F7">
        <w:rPr>
          <w:rFonts w:eastAsia="Calibri" w:cs="Times New Roman"/>
          <w:szCs w:val="24"/>
        </w:rPr>
        <w:t xml:space="preserve">Las prestaciones recibidas por un plan de pensiones tributan como </w:t>
      </w:r>
      <w:r w:rsidRPr="005C39F7">
        <w:rPr>
          <w:rFonts w:eastAsia="Calibri" w:cs="Times New Roman"/>
          <w:bCs/>
          <w:szCs w:val="24"/>
        </w:rPr>
        <w:t>rendimientos del trabajo</w:t>
      </w:r>
      <w:r w:rsidRPr="005C39F7">
        <w:rPr>
          <w:rFonts w:eastAsia="Calibri" w:cs="Times New Roman"/>
          <w:szCs w:val="24"/>
        </w:rPr>
        <w:t xml:space="preserve">, régimen que resulta más favorable de entre las distintas modalidades de rendimientos, ya que el beneficiario de </w:t>
      </w:r>
      <w:proofErr w:type="gramStart"/>
      <w:r w:rsidRPr="005C39F7">
        <w:rPr>
          <w:rFonts w:eastAsia="Calibri" w:cs="Times New Roman"/>
          <w:szCs w:val="24"/>
        </w:rPr>
        <w:t>las mismas</w:t>
      </w:r>
      <w:proofErr w:type="gramEnd"/>
      <w:r w:rsidRPr="005C39F7">
        <w:rPr>
          <w:rFonts w:eastAsia="Calibri" w:cs="Times New Roman"/>
          <w:szCs w:val="24"/>
        </w:rPr>
        <w:t xml:space="preserve"> podrá beneficiarse de las reducciones aplicables sobre tales rendimientos.</w:t>
      </w:r>
    </w:p>
    <w:p w:rsidR="005C39F7" w:rsidRPr="005C39F7" w:rsidRDefault="005C39F7" w:rsidP="005C39F7">
      <w:pPr>
        <w:autoSpaceDE w:val="0"/>
        <w:autoSpaceDN w:val="0"/>
        <w:adjustRightInd w:val="0"/>
        <w:spacing w:before="0"/>
        <w:ind w:firstLine="0"/>
        <w:rPr>
          <w:rFonts w:eastAsia="Calibri" w:cs="Times New Roman"/>
          <w:bCs/>
          <w:szCs w:val="24"/>
        </w:rPr>
      </w:pPr>
    </w:p>
    <w:p w:rsidR="005C39F7" w:rsidRPr="005C39F7" w:rsidRDefault="005C39F7" w:rsidP="005C39F7">
      <w:pPr>
        <w:autoSpaceDE w:val="0"/>
        <w:autoSpaceDN w:val="0"/>
        <w:adjustRightInd w:val="0"/>
        <w:spacing w:before="0"/>
        <w:ind w:firstLine="0"/>
        <w:rPr>
          <w:rFonts w:eastAsia="Calibri" w:cs="Times New Roman"/>
          <w:szCs w:val="24"/>
        </w:rPr>
      </w:pPr>
      <w:r w:rsidRPr="005C39F7">
        <w:rPr>
          <w:rFonts w:eastAsia="Calibri" w:cs="Times New Roman"/>
          <w:bCs/>
          <w:szCs w:val="24"/>
        </w:rPr>
        <w:t xml:space="preserve">En </w:t>
      </w:r>
      <w:proofErr w:type="gramStart"/>
      <w:r w:rsidRPr="005C39F7">
        <w:rPr>
          <w:rFonts w:eastAsia="Calibri" w:cs="Times New Roman"/>
          <w:bCs/>
          <w:szCs w:val="24"/>
        </w:rPr>
        <w:t>consecuencia</w:t>
      </w:r>
      <w:proofErr w:type="gramEnd"/>
      <w:r w:rsidRPr="005C39F7">
        <w:rPr>
          <w:rFonts w:eastAsia="Calibri" w:cs="Times New Roman"/>
          <w:bCs/>
          <w:szCs w:val="24"/>
        </w:rPr>
        <w:t xml:space="preserve"> al estar sujetos a IRPF, no tributarán por el </w:t>
      </w:r>
      <w:proofErr w:type="spellStart"/>
      <w:r w:rsidRPr="005C39F7">
        <w:rPr>
          <w:rFonts w:eastAsia="Calibri" w:cs="Times New Roman"/>
          <w:bCs/>
          <w:szCs w:val="24"/>
        </w:rPr>
        <w:t>ISyD</w:t>
      </w:r>
      <w:proofErr w:type="spellEnd"/>
    </w:p>
    <w:p w:rsidR="005C39F7" w:rsidRPr="005C39F7" w:rsidRDefault="005C39F7" w:rsidP="005C39F7">
      <w:pPr>
        <w:autoSpaceDE w:val="0"/>
        <w:autoSpaceDN w:val="0"/>
        <w:adjustRightInd w:val="0"/>
        <w:spacing w:before="0"/>
        <w:ind w:firstLine="0"/>
        <w:rPr>
          <w:rFonts w:eastAsia="Calibri" w:cs="Times New Roman"/>
          <w:szCs w:val="24"/>
        </w:rPr>
      </w:pPr>
    </w:p>
    <w:p w:rsidR="005C39F7" w:rsidRPr="005C39F7" w:rsidRDefault="005C39F7" w:rsidP="005C39F7">
      <w:pPr>
        <w:autoSpaceDE w:val="0"/>
        <w:autoSpaceDN w:val="0"/>
        <w:adjustRightInd w:val="0"/>
        <w:spacing w:before="0"/>
        <w:ind w:firstLine="0"/>
        <w:rPr>
          <w:rFonts w:eastAsia="Calibri" w:cs="Times New Roman"/>
          <w:szCs w:val="24"/>
        </w:rPr>
      </w:pPr>
      <w:r w:rsidRPr="005C39F7">
        <w:rPr>
          <w:rFonts w:eastAsia="Calibri" w:cs="Times New Roman"/>
          <w:szCs w:val="24"/>
        </w:rPr>
        <w:t xml:space="preserve">Sin embargo, es preciso hacer al respecto la siguiente puntualización. Si la prestación por la contingencia de fallecimiento procede directamente de un plan de pensiones del sistema de empleo tributarán como renta del trabajo en el IRPF. Si en cambio la prestación se percibiera de un contrato de seguro de vida contratado por la empresa tributaría en el </w:t>
      </w:r>
      <w:proofErr w:type="spellStart"/>
      <w:r w:rsidRPr="005C39F7">
        <w:rPr>
          <w:rFonts w:eastAsia="Calibri" w:cs="Times New Roman"/>
          <w:szCs w:val="24"/>
        </w:rPr>
        <w:t>ISyD</w:t>
      </w:r>
      <w:proofErr w:type="spellEnd"/>
    </w:p>
    <w:p w:rsidR="005C39F7" w:rsidRPr="005C39F7" w:rsidRDefault="005C39F7" w:rsidP="005C39F7">
      <w:pPr>
        <w:spacing w:before="0" w:after="200"/>
        <w:ind w:firstLine="0"/>
        <w:rPr>
          <w:rFonts w:eastAsia="Calibri" w:cs="Times New Roman"/>
          <w:szCs w:val="24"/>
        </w:rPr>
      </w:pPr>
    </w:p>
    <w:p w:rsidR="005C39F7" w:rsidRPr="005C39F7" w:rsidRDefault="005C39F7" w:rsidP="005C39F7">
      <w:pPr>
        <w:autoSpaceDE w:val="0"/>
        <w:autoSpaceDN w:val="0"/>
        <w:adjustRightInd w:val="0"/>
        <w:spacing w:before="0"/>
        <w:ind w:firstLine="0"/>
        <w:rPr>
          <w:rFonts w:eastAsia="Calibri" w:cs="Times New Roman"/>
          <w:b/>
          <w:szCs w:val="24"/>
        </w:rPr>
      </w:pPr>
      <w:r w:rsidRPr="005C39F7">
        <w:rPr>
          <w:rFonts w:eastAsia="Calibri" w:cs="Times New Roman"/>
          <w:b/>
          <w:szCs w:val="24"/>
        </w:rPr>
        <w:t>c.2-MUTUALIDADES</w:t>
      </w:r>
    </w:p>
    <w:p w:rsidR="005C39F7" w:rsidRPr="005C39F7" w:rsidRDefault="005C39F7" w:rsidP="005C39F7">
      <w:pPr>
        <w:autoSpaceDE w:val="0"/>
        <w:autoSpaceDN w:val="0"/>
        <w:adjustRightInd w:val="0"/>
        <w:spacing w:before="0"/>
        <w:ind w:firstLine="0"/>
        <w:rPr>
          <w:rFonts w:eastAsia="Calibri" w:cs="Times New Roman"/>
          <w:szCs w:val="24"/>
        </w:rPr>
      </w:pPr>
    </w:p>
    <w:p w:rsidR="005C39F7" w:rsidRPr="005C39F7" w:rsidRDefault="005C39F7" w:rsidP="005C39F7">
      <w:pPr>
        <w:autoSpaceDE w:val="0"/>
        <w:autoSpaceDN w:val="0"/>
        <w:adjustRightInd w:val="0"/>
        <w:spacing w:before="0"/>
        <w:ind w:firstLine="0"/>
        <w:rPr>
          <w:rFonts w:eastAsia="Calibri" w:cs="Times New Roman"/>
          <w:szCs w:val="24"/>
        </w:rPr>
      </w:pPr>
      <w:r w:rsidRPr="005C39F7">
        <w:rPr>
          <w:rFonts w:eastAsia="Calibri" w:cs="Times New Roman"/>
          <w:szCs w:val="24"/>
        </w:rPr>
        <w:t xml:space="preserve">A efectos tributarios es preciso distinguir entre el </w:t>
      </w:r>
      <w:r w:rsidRPr="005C39F7">
        <w:rPr>
          <w:rFonts w:eastAsia="Calibri" w:cs="Times New Roman"/>
          <w:bCs/>
          <w:szCs w:val="24"/>
        </w:rPr>
        <w:t xml:space="preserve">pago de primas de contratos de seguro que se efectúa por el empleador </w:t>
      </w:r>
      <w:r w:rsidRPr="005C39F7">
        <w:rPr>
          <w:rFonts w:eastAsia="Calibri" w:cs="Times New Roman"/>
          <w:szCs w:val="24"/>
        </w:rPr>
        <w:t xml:space="preserve">dentro de una relación laboral, siendo beneficiario y asegurado el trabajador, y aquellos otros supuestos en los que el </w:t>
      </w:r>
      <w:r w:rsidRPr="005C39F7">
        <w:rPr>
          <w:rFonts w:eastAsia="Calibri" w:cs="Times New Roman"/>
          <w:bCs/>
          <w:szCs w:val="24"/>
        </w:rPr>
        <w:t xml:space="preserve">pago de la prima la realiza un tercero que </w:t>
      </w:r>
      <w:r w:rsidRPr="005C39F7">
        <w:rPr>
          <w:rFonts w:eastAsia="Calibri" w:cs="Times New Roman"/>
          <w:szCs w:val="24"/>
        </w:rPr>
        <w:t xml:space="preserve">no se inserta en la relación de trabajo, sino que responde al ánimo de </w:t>
      </w:r>
      <w:r w:rsidRPr="005C39F7">
        <w:rPr>
          <w:rFonts w:eastAsia="Calibri" w:cs="Times New Roman"/>
          <w:bCs/>
          <w:szCs w:val="24"/>
        </w:rPr>
        <w:t>liberalidad.</w:t>
      </w:r>
    </w:p>
    <w:p w:rsidR="005C39F7" w:rsidRPr="005C39F7" w:rsidRDefault="005C39F7" w:rsidP="005C39F7">
      <w:pPr>
        <w:autoSpaceDE w:val="0"/>
        <w:autoSpaceDN w:val="0"/>
        <w:adjustRightInd w:val="0"/>
        <w:spacing w:before="0"/>
        <w:ind w:firstLine="0"/>
        <w:rPr>
          <w:rFonts w:eastAsia="Calibri" w:cs="Times New Roman"/>
          <w:szCs w:val="24"/>
        </w:rPr>
      </w:pPr>
    </w:p>
    <w:p w:rsidR="005C39F7" w:rsidRPr="005C39F7" w:rsidRDefault="005C39F7" w:rsidP="005C39F7">
      <w:pPr>
        <w:autoSpaceDE w:val="0"/>
        <w:autoSpaceDN w:val="0"/>
        <w:adjustRightInd w:val="0"/>
        <w:spacing w:before="0"/>
        <w:ind w:firstLine="0"/>
        <w:rPr>
          <w:rFonts w:eastAsia="Calibri" w:cs="Times New Roman"/>
          <w:szCs w:val="24"/>
        </w:rPr>
      </w:pPr>
      <w:r w:rsidRPr="005C39F7">
        <w:rPr>
          <w:rFonts w:eastAsia="Calibri" w:cs="Times New Roman"/>
          <w:szCs w:val="24"/>
        </w:rPr>
        <w:t xml:space="preserve">Para que el promotor pueda deducirse las aportaciones a fórmulas alternativas a planes de </w:t>
      </w:r>
      <w:proofErr w:type="gramStart"/>
      <w:r w:rsidRPr="005C39F7">
        <w:rPr>
          <w:rFonts w:eastAsia="Calibri" w:cs="Times New Roman"/>
          <w:szCs w:val="24"/>
        </w:rPr>
        <w:t>pensiones,  el</w:t>
      </w:r>
      <w:proofErr w:type="gramEnd"/>
      <w:r w:rsidRPr="005C39F7">
        <w:rPr>
          <w:rFonts w:eastAsia="Calibri" w:cs="Times New Roman"/>
          <w:szCs w:val="24"/>
        </w:rPr>
        <w:t xml:space="preserve"> art. 14.2 de la LIS recoge los requisitos que debe cumplir: </w:t>
      </w:r>
    </w:p>
    <w:p w:rsidR="005C39F7" w:rsidRPr="005C39F7" w:rsidRDefault="005C39F7" w:rsidP="005C39F7">
      <w:pPr>
        <w:autoSpaceDE w:val="0"/>
        <w:autoSpaceDN w:val="0"/>
        <w:adjustRightInd w:val="0"/>
        <w:spacing w:before="0"/>
        <w:ind w:firstLine="0"/>
        <w:rPr>
          <w:rFonts w:eastAsia="Calibri" w:cs="Times New Roman"/>
          <w:szCs w:val="24"/>
        </w:rPr>
      </w:pPr>
    </w:p>
    <w:p w:rsidR="005C39F7" w:rsidRPr="005C39F7" w:rsidRDefault="005C39F7" w:rsidP="005C39F7">
      <w:pPr>
        <w:numPr>
          <w:ilvl w:val="0"/>
          <w:numId w:val="39"/>
        </w:numPr>
        <w:autoSpaceDE w:val="0"/>
        <w:autoSpaceDN w:val="0"/>
        <w:adjustRightInd w:val="0"/>
        <w:spacing w:before="0" w:after="200"/>
        <w:contextualSpacing/>
        <w:jc w:val="left"/>
        <w:rPr>
          <w:rFonts w:eastAsia="Calibri" w:cs="Times New Roman"/>
          <w:szCs w:val="24"/>
        </w:rPr>
      </w:pPr>
      <w:r w:rsidRPr="005C39F7">
        <w:rPr>
          <w:rFonts w:eastAsia="Calibri" w:cs="Times New Roman"/>
          <w:szCs w:val="24"/>
        </w:rPr>
        <w:t>Las aportaciones deben ser sean imputadas fiscalmente en la imposición personal del sujeto al que se vinculan éstas consistiendo en la individualización de las primas satisfechas por el empresario a favor de cada uno de los empleados.</w:t>
      </w:r>
    </w:p>
    <w:p w:rsidR="005C39F7" w:rsidRPr="005C39F7" w:rsidRDefault="005C39F7" w:rsidP="005C39F7">
      <w:pPr>
        <w:autoSpaceDE w:val="0"/>
        <w:autoSpaceDN w:val="0"/>
        <w:adjustRightInd w:val="0"/>
        <w:spacing w:before="0"/>
        <w:ind w:left="720" w:firstLine="0"/>
        <w:contextualSpacing/>
        <w:rPr>
          <w:rFonts w:eastAsia="Calibri" w:cs="Times New Roman"/>
          <w:szCs w:val="24"/>
        </w:rPr>
      </w:pPr>
    </w:p>
    <w:p w:rsidR="005C39F7" w:rsidRPr="005C39F7" w:rsidRDefault="005C39F7" w:rsidP="005C39F7">
      <w:pPr>
        <w:numPr>
          <w:ilvl w:val="0"/>
          <w:numId w:val="39"/>
        </w:numPr>
        <w:autoSpaceDE w:val="0"/>
        <w:autoSpaceDN w:val="0"/>
        <w:adjustRightInd w:val="0"/>
        <w:spacing w:before="0" w:after="200"/>
        <w:contextualSpacing/>
        <w:jc w:val="left"/>
        <w:rPr>
          <w:rFonts w:eastAsia="Calibri" w:cs="Times New Roman"/>
          <w:szCs w:val="24"/>
        </w:rPr>
      </w:pPr>
      <w:r w:rsidRPr="005C39F7">
        <w:rPr>
          <w:rFonts w:eastAsia="Calibri" w:cs="Times New Roman"/>
          <w:szCs w:val="24"/>
        </w:rPr>
        <w:t>Es necesario que el derecho a la percepción de las prestaciones futuras se haya transmitido.</w:t>
      </w:r>
    </w:p>
    <w:p w:rsidR="005C39F7" w:rsidRPr="005C39F7" w:rsidRDefault="005C39F7" w:rsidP="005C39F7">
      <w:pPr>
        <w:spacing w:before="0" w:after="200"/>
        <w:ind w:left="720" w:firstLine="0"/>
        <w:contextualSpacing/>
        <w:rPr>
          <w:rFonts w:eastAsia="Calibri" w:cs="Times New Roman"/>
          <w:szCs w:val="24"/>
        </w:rPr>
      </w:pPr>
    </w:p>
    <w:p w:rsidR="005C39F7" w:rsidRPr="005C39F7" w:rsidRDefault="005C39F7" w:rsidP="005C39F7">
      <w:pPr>
        <w:numPr>
          <w:ilvl w:val="0"/>
          <w:numId w:val="39"/>
        </w:numPr>
        <w:autoSpaceDE w:val="0"/>
        <w:autoSpaceDN w:val="0"/>
        <w:adjustRightInd w:val="0"/>
        <w:spacing w:before="0" w:after="200"/>
        <w:contextualSpacing/>
        <w:jc w:val="left"/>
        <w:rPr>
          <w:rFonts w:eastAsia="Calibri" w:cs="Times New Roman"/>
          <w:szCs w:val="24"/>
        </w:rPr>
      </w:pPr>
      <w:r w:rsidRPr="005C39F7">
        <w:rPr>
          <w:rFonts w:eastAsia="Calibri" w:cs="Times New Roman"/>
          <w:szCs w:val="24"/>
        </w:rPr>
        <w:t xml:space="preserve">Que el pagador transmita la titularidad y la gestión de los recursos en que consistan dichas contribuciones. Para lo cual se requiere que el tomador renuncie al derecho de rescate. </w:t>
      </w:r>
    </w:p>
    <w:p w:rsidR="005C39F7" w:rsidRPr="005C39F7" w:rsidRDefault="005C39F7" w:rsidP="005C39F7">
      <w:pPr>
        <w:spacing w:before="0" w:after="200"/>
        <w:ind w:left="720" w:firstLine="0"/>
        <w:contextualSpacing/>
        <w:rPr>
          <w:rFonts w:eastAsia="Calibri" w:cs="Times New Roman"/>
          <w:szCs w:val="24"/>
          <w:shd w:val="clear" w:color="auto" w:fill="FFF1E0"/>
        </w:rPr>
      </w:pPr>
    </w:p>
    <w:p w:rsidR="005C39F7" w:rsidRPr="005C39F7" w:rsidRDefault="005C39F7" w:rsidP="005C39F7">
      <w:pPr>
        <w:spacing w:before="0"/>
        <w:ind w:firstLine="0"/>
        <w:contextualSpacing/>
        <w:mirrorIndents/>
        <w:rPr>
          <w:rFonts w:eastAsia="Calibri" w:cs="Times New Roman"/>
          <w:bCs/>
          <w:szCs w:val="24"/>
        </w:rPr>
      </w:pPr>
      <w:r w:rsidRPr="005C39F7">
        <w:rPr>
          <w:rFonts w:eastAsia="Calibri" w:cs="Times New Roman"/>
          <w:szCs w:val="24"/>
        </w:rPr>
        <w:t xml:space="preserve">Desde la perspectiva del trabajador y de conformidad con el art. 43.1.e) Ley 35/2006, de 28 de noviembre, del Impuesto sobre la Renta de las Personas Físicas   RCL 2006\2123, las primas o cuotas satisfechas por la empresa en virtud de contratos de seguro  como fórmulas alternativas a los Planes de Pensiones se consideran como retribuciones en especie dentro de la categoría de rendimientos de trabajo </w:t>
      </w:r>
      <w:r w:rsidRPr="005C39F7">
        <w:rPr>
          <w:rFonts w:eastAsia="Calibri" w:cs="Times New Roman"/>
          <w:bCs/>
          <w:szCs w:val="24"/>
        </w:rPr>
        <w:t xml:space="preserve">con independencia de que el mutualista sea un trabajador por cuenta ajena o un empresario o profesional, cualquiera que sea el beneficiario </w:t>
      </w:r>
      <w:r w:rsidRPr="005C39F7">
        <w:rPr>
          <w:rFonts w:eastAsia="Calibri" w:cs="Times New Roman"/>
          <w:szCs w:val="24"/>
        </w:rPr>
        <w:t xml:space="preserve">(puede por tanto ser persona distinta del tomador del contrato y a pesar de ello tributar en el IRPF y no en el ISD) </w:t>
      </w:r>
      <w:r w:rsidRPr="005C39F7">
        <w:rPr>
          <w:rFonts w:eastAsia="Calibri" w:cs="Times New Roman"/>
          <w:bCs/>
          <w:szCs w:val="24"/>
        </w:rPr>
        <w:t>y cualesquiera que sean las contingencias que generen las prestaciones</w:t>
      </w:r>
    </w:p>
    <w:p w:rsidR="005C39F7" w:rsidRPr="005C39F7" w:rsidRDefault="005C39F7" w:rsidP="005C39F7">
      <w:pPr>
        <w:autoSpaceDE w:val="0"/>
        <w:autoSpaceDN w:val="0"/>
        <w:adjustRightInd w:val="0"/>
        <w:spacing w:before="0"/>
        <w:ind w:firstLine="0"/>
        <w:rPr>
          <w:rFonts w:eastAsia="Calibri" w:cs="Times New Roman"/>
          <w:bCs/>
          <w:szCs w:val="24"/>
        </w:rPr>
      </w:pPr>
    </w:p>
    <w:p w:rsidR="005C39F7" w:rsidRPr="005C39F7" w:rsidRDefault="005C39F7" w:rsidP="005C39F7">
      <w:pPr>
        <w:autoSpaceDE w:val="0"/>
        <w:autoSpaceDN w:val="0"/>
        <w:adjustRightInd w:val="0"/>
        <w:spacing w:before="0"/>
        <w:ind w:firstLine="0"/>
        <w:rPr>
          <w:rFonts w:eastAsia="Calibri" w:cs="Times New Roman"/>
          <w:szCs w:val="24"/>
        </w:rPr>
      </w:pPr>
      <w:r w:rsidRPr="005C39F7">
        <w:rPr>
          <w:rFonts w:eastAsia="Calibri" w:cs="Times New Roman"/>
          <w:bCs/>
          <w:szCs w:val="24"/>
        </w:rPr>
        <w:t>Asimismo, y de igual forma que sucede en los Planes de Pensiones</w:t>
      </w:r>
      <w:r w:rsidRPr="005C39F7">
        <w:rPr>
          <w:rFonts w:eastAsia="Calibri" w:cs="Times New Roman"/>
          <w:szCs w:val="24"/>
        </w:rPr>
        <w:t xml:space="preserve">, no existe la obligación de practicar ingresos a cuenta </w:t>
      </w:r>
    </w:p>
    <w:p w:rsidR="005C39F7" w:rsidRPr="005C39F7" w:rsidRDefault="005C39F7" w:rsidP="005C39F7">
      <w:pPr>
        <w:autoSpaceDE w:val="0"/>
        <w:autoSpaceDN w:val="0"/>
        <w:adjustRightInd w:val="0"/>
        <w:spacing w:before="0"/>
        <w:ind w:firstLine="0"/>
        <w:rPr>
          <w:rFonts w:eastAsia="Calibri" w:cs="Times New Roman"/>
          <w:color w:val="FF0000"/>
          <w:szCs w:val="24"/>
        </w:rPr>
      </w:pPr>
    </w:p>
    <w:p w:rsidR="005C39F7" w:rsidRPr="005C39F7" w:rsidRDefault="005C39F7" w:rsidP="005C39F7">
      <w:pPr>
        <w:spacing w:before="0"/>
        <w:ind w:firstLine="0"/>
        <w:contextualSpacing/>
        <w:mirrorIndents/>
        <w:rPr>
          <w:rFonts w:eastAsia="Calibri" w:cs="Times New Roman"/>
          <w:szCs w:val="24"/>
        </w:rPr>
      </w:pPr>
      <w:r w:rsidRPr="005C39F7">
        <w:rPr>
          <w:rFonts w:eastAsia="Calibri" w:cs="Times New Roman"/>
          <w:szCs w:val="24"/>
        </w:rPr>
        <w:t xml:space="preserve">La Ley 35/2006, de 28 de noviembre, del Impuesto sobre la Renta de las Personas Físicas   RCL 2006\2123 establece, además, la forma de tributación aplicable a aquellos </w:t>
      </w:r>
      <w:r w:rsidRPr="005C39F7">
        <w:rPr>
          <w:rFonts w:eastAsia="Calibri" w:cs="Times New Roman"/>
          <w:szCs w:val="24"/>
        </w:rPr>
        <w:lastRenderedPageBreak/>
        <w:t xml:space="preserve">casos de </w:t>
      </w:r>
      <w:r w:rsidRPr="005C39F7">
        <w:rPr>
          <w:rFonts w:eastAsia="Calibri" w:cs="Times New Roman"/>
          <w:bCs/>
          <w:szCs w:val="24"/>
        </w:rPr>
        <w:t xml:space="preserve">prestaciones recibidas de contratos de seguro celebrados con mutualidades de previsión social que </w:t>
      </w:r>
      <w:r w:rsidRPr="005C39F7">
        <w:rPr>
          <w:rFonts w:eastAsia="Calibri" w:cs="Times New Roman"/>
          <w:szCs w:val="24"/>
        </w:rPr>
        <w:t>incumplan algunos de los requisitos materiales previstos en el art. 51.2 Ley 35/2006, de 28 de noviembre, del Impuesto sobre la Renta de las Personas Físicas   RCL 2006\2123 para poder gozar de la reducción de la base imponible.</w:t>
      </w:r>
    </w:p>
    <w:p w:rsidR="005C39F7" w:rsidRPr="005C39F7" w:rsidRDefault="005C39F7" w:rsidP="005C39F7">
      <w:pPr>
        <w:autoSpaceDE w:val="0"/>
        <w:autoSpaceDN w:val="0"/>
        <w:adjustRightInd w:val="0"/>
        <w:spacing w:before="0"/>
        <w:ind w:firstLine="0"/>
        <w:rPr>
          <w:rFonts w:eastAsia="Calibri" w:cs="Times New Roman"/>
          <w:szCs w:val="24"/>
        </w:rPr>
      </w:pPr>
    </w:p>
    <w:p w:rsidR="005C39F7" w:rsidRPr="005C39F7" w:rsidRDefault="005C39F7" w:rsidP="005C39F7">
      <w:pPr>
        <w:autoSpaceDE w:val="0"/>
        <w:autoSpaceDN w:val="0"/>
        <w:adjustRightInd w:val="0"/>
        <w:spacing w:before="0"/>
        <w:ind w:firstLine="0"/>
        <w:rPr>
          <w:rFonts w:eastAsia="Calibri" w:cs="Times New Roman"/>
          <w:bCs/>
          <w:szCs w:val="24"/>
        </w:rPr>
      </w:pPr>
      <w:r w:rsidRPr="005C39F7">
        <w:rPr>
          <w:rFonts w:eastAsia="Calibri" w:cs="Times New Roman"/>
          <w:szCs w:val="24"/>
        </w:rPr>
        <w:t xml:space="preserve">En estos casos, el régimen, aplicable </w:t>
      </w:r>
      <w:r w:rsidRPr="005C39F7">
        <w:rPr>
          <w:rFonts w:eastAsia="Calibri" w:cs="Times New Roman"/>
          <w:bCs/>
          <w:szCs w:val="24"/>
        </w:rPr>
        <w:t>dependerá de las prestaciones recibidas, diferenciándose entre las prestaciones de jubilación o invalidez, y las derivadas de la contingencia de muerte.</w:t>
      </w:r>
    </w:p>
    <w:p w:rsidR="005C39F7" w:rsidRPr="005C39F7" w:rsidRDefault="005C39F7" w:rsidP="005C39F7">
      <w:pPr>
        <w:autoSpaceDE w:val="0"/>
        <w:autoSpaceDN w:val="0"/>
        <w:adjustRightInd w:val="0"/>
        <w:spacing w:before="0"/>
        <w:ind w:firstLine="0"/>
        <w:rPr>
          <w:rFonts w:eastAsia="Calibri" w:cs="Times New Roman"/>
          <w:bCs/>
          <w:szCs w:val="24"/>
        </w:rPr>
      </w:pPr>
    </w:p>
    <w:p w:rsidR="005C39F7" w:rsidRPr="005C39F7" w:rsidRDefault="005C39F7" w:rsidP="005C39F7">
      <w:pPr>
        <w:spacing w:before="0"/>
        <w:ind w:firstLine="0"/>
        <w:contextualSpacing/>
        <w:mirrorIndents/>
        <w:rPr>
          <w:rFonts w:eastAsia="Calibri" w:cs="Times New Roman"/>
          <w:szCs w:val="24"/>
        </w:rPr>
      </w:pPr>
      <w:r w:rsidRPr="005C39F7">
        <w:rPr>
          <w:rFonts w:eastAsia="Calibri" w:cs="Times New Roman"/>
          <w:bCs/>
          <w:szCs w:val="24"/>
        </w:rPr>
        <w:t xml:space="preserve">a) </w:t>
      </w:r>
      <w:r w:rsidRPr="005C39F7">
        <w:rPr>
          <w:rFonts w:eastAsia="Calibri" w:cs="Times New Roman"/>
          <w:bCs/>
          <w:i/>
          <w:szCs w:val="24"/>
        </w:rPr>
        <w:t>Prestaciones de jubilación o invalidez</w:t>
      </w:r>
      <w:r w:rsidRPr="005C39F7">
        <w:rPr>
          <w:rFonts w:eastAsia="Calibri" w:cs="Times New Roman"/>
          <w:bCs/>
          <w:szCs w:val="24"/>
        </w:rPr>
        <w:t xml:space="preserve"> s</w:t>
      </w:r>
      <w:r w:rsidRPr="005C39F7">
        <w:rPr>
          <w:rFonts w:eastAsia="Calibri" w:cs="Times New Roman"/>
          <w:szCs w:val="24"/>
        </w:rPr>
        <w:t xml:space="preserve">e consideran como </w:t>
      </w:r>
      <w:r w:rsidRPr="005C39F7">
        <w:rPr>
          <w:rFonts w:eastAsia="Calibri" w:cs="Times New Roman"/>
          <w:bCs/>
          <w:szCs w:val="24"/>
        </w:rPr>
        <w:t xml:space="preserve">rendimientos del trabajo y se </w:t>
      </w:r>
      <w:proofErr w:type="gramStart"/>
      <w:r w:rsidRPr="005C39F7">
        <w:rPr>
          <w:rFonts w:eastAsia="Calibri" w:cs="Times New Roman"/>
          <w:bCs/>
          <w:szCs w:val="24"/>
        </w:rPr>
        <w:t>integrarán  en</w:t>
      </w:r>
      <w:proofErr w:type="gramEnd"/>
      <w:r w:rsidRPr="005C39F7">
        <w:rPr>
          <w:rFonts w:eastAsia="Calibri" w:cs="Times New Roman"/>
          <w:bCs/>
          <w:szCs w:val="24"/>
        </w:rPr>
        <w:t xml:space="preserve"> </w:t>
      </w:r>
      <w:r w:rsidRPr="005C39F7">
        <w:rPr>
          <w:rFonts w:eastAsia="Calibri" w:cs="Times New Roman"/>
          <w:szCs w:val="24"/>
        </w:rPr>
        <w:t xml:space="preserve"> la base imponible del IRPF </w:t>
      </w:r>
      <w:r w:rsidRPr="005C39F7">
        <w:rPr>
          <w:rFonts w:eastAsia="Calibri" w:cs="Times New Roman"/>
          <w:bCs/>
          <w:szCs w:val="24"/>
        </w:rPr>
        <w:t xml:space="preserve">únicamente en la medida en que su cuantía exceda de las aportaciones que no hayan podido ser deducibles </w:t>
      </w:r>
      <w:r w:rsidRPr="005C39F7">
        <w:rPr>
          <w:rFonts w:eastAsia="Calibri" w:cs="Times New Roman"/>
          <w:szCs w:val="24"/>
        </w:rPr>
        <w:t>en el momento de la aportación por incumplir los requisitos del art. 51.2 Ley 35/2006, de 28 de noviembre, del Impuesto sobre la Renta de las Personas Físicas   RCL 2006\2123.</w:t>
      </w:r>
    </w:p>
    <w:p w:rsidR="005C39F7" w:rsidRPr="005C39F7" w:rsidRDefault="005C39F7" w:rsidP="005C39F7">
      <w:pPr>
        <w:autoSpaceDE w:val="0"/>
        <w:autoSpaceDN w:val="0"/>
        <w:adjustRightInd w:val="0"/>
        <w:spacing w:before="0"/>
        <w:ind w:firstLine="0"/>
        <w:rPr>
          <w:rFonts w:eastAsia="Calibri" w:cs="Times New Roman"/>
          <w:szCs w:val="24"/>
        </w:rPr>
      </w:pPr>
    </w:p>
    <w:p w:rsidR="005C39F7" w:rsidRPr="005C39F7" w:rsidRDefault="005C39F7" w:rsidP="005C39F7">
      <w:pPr>
        <w:spacing w:before="0"/>
        <w:ind w:firstLine="0"/>
        <w:contextualSpacing/>
        <w:mirrorIndents/>
        <w:rPr>
          <w:rFonts w:eastAsia="Calibri" w:cs="Times New Roman"/>
          <w:szCs w:val="24"/>
        </w:rPr>
      </w:pPr>
      <w:r w:rsidRPr="005C39F7">
        <w:rPr>
          <w:rFonts w:eastAsia="Calibri" w:cs="Times New Roman"/>
          <w:szCs w:val="24"/>
        </w:rPr>
        <w:t>Si el exceso de aportación no fue deducible por superar los límites del art. 52 Ley 35/2006, de 28 de noviembre, del Impuesto sobre la Renta de las Personas Físicas   RCL 2006\2123tributará en su integridad.</w:t>
      </w:r>
    </w:p>
    <w:p w:rsidR="005C39F7" w:rsidRPr="005C39F7" w:rsidRDefault="005C39F7" w:rsidP="005C39F7">
      <w:pPr>
        <w:autoSpaceDE w:val="0"/>
        <w:autoSpaceDN w:val="0"/>
        <w:adjustRightInd w:val="0"/>
        <w:spacing w:before="0"/>
        <w:ind w:firstLine="0"/>
        <w:rPr>
          <w:rFonts w:eastAsia="Calibri" w:cs="Times New Roman"/>
          <w:szCs w:val="24"/>
        </w:rPr>
      </w:pPr>
    </w:p>
    <w:p w:rsidR="005C39F7" w:rsidRPr="005C39F7" w:rsidRDefault="005C39F7" w:rsidP="005C39F7">
      <w:pPr>
        <w:autoSpaceDE w:val="0"/>
        <w:autoSpaceDN w:val="0"/>
        <w:adjustRightInd w:val="0"/>
        <w:spacing w:before="0"/>
        <w:ind w:firstLine="0"/>
        <w:rPr>
          <w:rFonts w:eastAsia="Calibri" w:cs="Times New Roman"/>
          <w:szCs w:val="24"/>
        </w:rPr>
      </w:pPr>
      <w:r w:rsidRPr="005C39F7">
        <w:rPr>
          <w:rFonts w:eastAsia="Calibri" w:cs="Times New Roman"/>
          <w:szCs w:val="24"/>
        </w:rPr>
        <w:t>b)</w:t>
      </w:r>
      <w:r w:rsidRPr="005C39F7">
        <w:rPr>
          <w:rFonts w:eastAsia="Calibri" w:cs="Times New Roman"/>
          <w:bCs/>
          <w:szCs w:val="24"/>
        </w:rPr>
        <w:t xml:space="preserve"> </w:t>
      </w:r>
      <w:r w:rsidRPr="005C39F7">
        <w:rPr>
          <w:rFonts w:eastAsia="Calibri" w:cs="Times New Roman"/>
          <w:bCs/>
          <w:i/>
          <w:szCs w:val="24"/>
        </w:rPr>
        <w:t>Prestaciones derivadas del fallecimiento</w:t>
      </w:r>
      <w:r w:rsidRPr="005C39F7">
        <w:rPr>
          <w:rFonts w:eastAsia="Calibri" w:cs="Times New Roman"/>
          <w:bCs/>
          <w:szCs w:val="24"/>
        </w:rPr>
        <w:t>,</w:t>
      </w:r>
      <w:r w:rsidRPr="005C39F7">
        <w:rPr>
          <w:rFonts w:eastAsia="Calibri" w:cs="Times New Roman"/>
          <w:szCs w:val="24"/>
        </w:rPr>
        <w:t xml:space="preserve"> tributará el beneficiario por el importe total de la prestación (sin que pueda por tanto reducir el exceso que no fue deducible), como </w:t>
      </w:r>
      <w:r w:rsidRPr="005C39F7">
        <w:rPr>
          <w:rFonts w:eastAsia="Calibri" w:cs="Times New Roman"/>
          <w:bCs/>
          <w:szCs w:val="24"/>
        </w:rPr>
        <w:t>renta del trabajo</w:t>
      </w:r>
      <w:r w:rsidRPr="005C39F7">
        <w:rPr>
          <w:rFonts w:eastAsia="Calibri" w:cs="Times New Roman"/>
          <w:szCs w:val="24"/>
        </w:rPr>
        <w:t>, si el mutualista que hizo las aportaciones pudo deducirlas de su IRPF.</w:t>
      </w:r>
    </w:p>
    <w:p w:rsidR="005C39F7" w:rsidRPr="005C39F7" w:rsidRDefault="005C39F7" w:rsidP="005C39F7">
      <w:pPr>
        <w:autoSpaceDE w:val="0"/>
        <w:autoSpaceDN w:val="0"/>
        <w:adjustRightInd w:val="0"/>
        <w:spacing w:before="0"/>
        <w:ind w:firstLine="0"/>
        <w:rPr>
          <w:rFonts w:eastAsia="Calibri" w:cs="Times New Roman"/>
          <w:szCs w:val="24"/>
        </w:rPr>
      </w:pPr>
    </w:p>
    <w:p w:rsidR="005C39F7" w:rsidRPr="005C39F7" w:rsidRDefault="005C39F7" w:rsidP="005C39F7">
      <w:pPr>
        <w:autoSpaceDE w:val="0"/>
        <w:autoSpaceDN w:val="0"/>
        <w:adjustRightInd w:val="0"/>
        <w:spacing w:before="0"/>
        <w:ind w:firstLine="0"/>
        <w:rPr>
          <w:rFonts w:eastAsia="Calibri" w:cs="Times New Roman"/>
          <w:szCs w:val="24"/>
        </w:rPr>
      </w:pPr>
      <w:r w:rsidRPr="005C39F7">
        <w:rPr>
          <w:rFonts w:eastAsia="Calibri" w:cs="Times New Roman"/>
          <w:szCs w:val="24"/>
        </w:rPr>
        <w:t>En caso contrario (si no pudo deducir cantidad alguna),</w:t>
      </w:r>
      <w:r w:rsidRPr="005C39F7">
        <w:rPr>
          <w:rFonts w:eastAsia="Calibri" w:cs="Times New Roman"/>
          <w:bCs/>
          <w:szCs w:val="24"/>
        </w:rPr>
        <w:t xml:space="preserve"> tributarán en el ISD </w:t>
      </w:r>
      <w:r w:rsidRPr="005C39F7">
        <w:rPr>
          <w:rFonts w:eastAsia="Calibri" w:cs="Times New Roman"/>
          <w:szCs w:val="24"/>
        </w:rPr>
        <w:t>bajo la modalidad de percepciones derivadas de contratos de seguro, tanto si se perciben en forma de capital como en forma de renta.</w:t>
      </w:r>
    </w:p>
    <w:p w:rsidR="005C39F7" w:rsidRPr="005C39F7" w:rsidRDefault="005C39F7" w:rsidP="005C39F7">
      <w:pPr>
        <w:autoSpaceDE w:val="0"/>
        <w:autoSpaceDN w:val="0"/>
        <w:adjustRightInd w:val="0"/>
        <w:spacing w:before="0"/>
        <w:ind w:firstLine="0"/>
        <w:rPr>
          <w:rFonts w:eastAsia="Calibri" w:cs="Times New Roman"/>
          <w:b/>
          <w:szCs w:val="24"/>
        </w:rPr>
      </w:pPr>
    </w:p>
    <w:p w:rsidR="005C39F7" w:rsidRPr="005C39F7" w:rsidRDefault="005C39F7" w:rsidP="005C39F7">
      <w:pPr>
        <w:spacing w:before="0" w:after="200"/>
        <w:ind w:firstLine="0"/>
        <w:rPr>
          <w:rFonts w:eastAsia="Calibri" w:cs="Times New Roman"/>
          <w:b/>
          <w:szCs w:val="24"/>
        </w:rPr>
      </w:pPr>
      <w:r w:rsidRPr="005C39F7">
        <w:rPr>
          <w:rFonts w:eastAsia="Calibri" w:cs="Times New Roman"/>
          <w:b/>
          <w:szCs w:val="24"/>
        </w:rPr>
        <w:t>c.3.-CONTRATOS DE SEGURO COLECTIVOS</w:t>
      </w:r>
    </w:p>
    <w:p w:rsidR="005C39F7" w:rsidRPr="005C39F7" w:rsidRDefault="005C39F7" w:rsidP="005C39F7">
      <w:pPr>
        <w:autoSpaceDE w:val="0"/>
        <w:autoSpaceDN w:val="0"/>
        <w:adjustRightInd w:val="0"/>
        <w:spacing w:before="0"/>
        <w:ind w:firstLine="0"/>
        <w:rPr>
          <w:rFonts w:eastAsia="Calibri" w:cs="Times New Roman"/>
          <w:szCs w:val="24"/>
        </w:rPr>
      </w:pPr>
      <w:r w:rsidRPr="005C39F7">
        <w:rPr>
          <w:rFonts w:eastAsia="Calibri" w:cs="Times New Roman"/>
          <w:szCs w:val="24"/>
        </w:rPr>
        <w:t xml:space="preserve">El tratamiento fiscal de las primas correspondientes a seguros colectivos concertados con entidades aseguradoras ordinarias, diferentes, por </w:t>
      </w:r>
      <w:proofErr w:type="gramStart"/>
      <w:r w:rsidRPr="005C39F7">
        <w:rPr>
          <w:rFonts w:eastAsia="Calibri" w:cs="Times New Roman"/>
          <w:szCs w:val="24"/>
        </w:rPr>
        <w:t>tanto</w:t>
      </w:r>
      <w:proofErr w:type="gramEnd"/>
      <w:r w:rsidRPr="005C39F7">
        <w:rPr>
          <w:rFonts w:eastAsia="Calibri" w:cs="Times New Roman"/>
          <w:szCs w:val="24"/>
        </w:rPr>
        <w:t xml:space="preserve"> de las Mutualidades de Previsión Social, no difiere en absoluto del previsto para las aportaciones a estas últimas.</w:t>
      </w:r>
    </w:p>
    <w:p w:rsidR="005C39F7" w:rsidRPr="005C39F7" w:rsidRDefault="005C39F7" w:rsidP="005C39F7">
      <w:pPr>
        <w:autoSpaceDE w:val="0"/>
        <w:autoSpaceDN w:val="0"/>
        <w:adjustRightInd w:val="0"/>
        <w:spacing w:before="0"/>
        <w:ind w:firstLine="0"/>
        <w:rPr>
          <w:rFonts w:eastAsia="Calibri" w:cs="Times New Roman"/>
          <w:szCs w:val="24"/>
        </w:rPr>
      </w:pPr>
    </w:p>
    <w:p w:rsidR="005C39F7" w:rsidRPr="005C39F7" w:rsidRDefault="005C39F7" w:rsidP="005C39F7">
      <w:pPr>
        <w:autoSpaceDE w:val="0"/>
        <w:autoSpaceDN w:val="0"/>
        <w:adjustRightInd w:val="0"/>
        <w:spacing w:before="0"/>
        <w:ind w:firstLine="0"/>
        <w:rPr>
          <w:rFonts w:eastAsia="Calibri" w:cs="Times New Roman"/>
          <w:szCs w:val="24"/>
        </w:rPr>
      </w:pPr>
      <w:r w:rsidRPr="005C39F7">
        <w:rPr>
          <w:rFonts w:eastAsia="Calibri" w:cs="Times New Roman"/>
          <w:szCs w:val="24"/>
        </w:rPr>
        <w:t>En cuanto al trabajador asegurado, el tratamiento fiscal de las primas abonadas varía dependiendo de que le hayan sido imputadas fiscalmente o no:</w:t>
      </w:r>
    </w:p>
    <w:p w:rsidR="005C39F7" w:rsidRPr="005C39F7" w:rsidRDefault="005C39F7" w:rsidP="005C39F7">
      <w:pPr>
        <w:autoSpaceDE w:val="0"/>
        <w:autoSpaceDN w:val="0"/>
        <w:adjustRightInd w:val="0"/>
        <w:spacing w:before="0"/>
        <w:ind w:firstLine="0"/>
        <w:rPr>
          <w:rFonts w:eastAsia="Calibri" w:cs="Times New Roman"/>
          <w:szCs w:val="24"/>
        </w:rPr>
      </w:pPr>
    </w:p>
    <w:p w:rsidR="005C39F7" w:rsidRPr="005C39F7" w:rsidRDefault="005C39F7" w:rsidP="005C39F7">
      <w:pPr>
        <w:autoSpaceDE w:val="0"/>
        <w:autoSpaceDN w:val="0"/>
        <w:adjustRightInd w:val="0"/>
        <w:spacing w:before="0"/>
        <w:ind w:firstLine="0"/>
        <w:rPr>
          <w:rFonts w:eastAsia="Calibri" w:cs="Times New Roman"/>
          <w:szCs w:val="24"/>
        </w:rPr>
      </w:pPr>
      <w:r w:rsidRPr="005C39F7">
        <w:rPr>
          <w:rFonts w:eastAsia="Calibri" w:cs="Times New Roman"/>
          <w:szCs w:val="24"/>
        </w:rPr>
        <w:t xml:space="preserve">a) En el caso de </w:t>
      </w:r>
      <w:r w:rsidRPr="005C39F7">
        <w:rPr>
          <w:rFonts w:eastAsia="Calibri" w:cs="Times New Roman"/>
          <w:i/>
          <w:szCs w:val="24"/>
        </w:rPr>
        <w:t>no</w:t>
      </w:r>
      <w:r w:rsidRPr="005C39F7">
        <w:rPr>
          <w:rFonts w:eastAsia="Calibri" w:cs="Times New Roman"/>
          <w:szCs w:val="24"/>
        </w:rPr>
        <w:t xml:space="preserve"> existir </w:t>
      </w:r>
      <w:r w:rsidRPr="005C39F7">
        <w:rPr>
          <w:rFonts w:eastAsia="Calibri" w:cs="Times New Roman"/>
          <w:i/>
          <w:iCs/>
          <w:szCs w:val="24"/>
        </w:rPr>
        <w:t xml:space="preserve">imputación de primas </w:t>
      </w:r>
      <w:r w:rsidRPr="005C39F7">
        <w:rPr>
          <w:rFonts w:eastAsia="Calibri" w:cs="Times New Roman"/>
          <w:szCs w:val="24"/>
        </w:rPr>
        <w:t>al trabajador asegurado no constituyen retribución en especie. De igual manera, de habérsele reconocido derechos económicos en caso de cese de su relación laboral, no queda sujeta al impuesto la renta que se ponga de manifiesto como consecuencia del ejercicio del derecho de rescate para integrarlos en otro contrato de seguro.</w:t>
      </w:r>
    </w:p>
    <w:p w:rsidR="005C39F7" w:rsidRPr="005C39F7" w:rsidRDefault="005C39F7" w:rsidP="005C39F7">
      <w:pPr>
        <w:autoSpaceDE w:val="0"/>
        <w:autoSpaceDN w:val="0"/>
        <w:adjustRightInd w:val="0"/>
        <w:spacing w:before="0"/>
        <w:ind w:firstLine="0"/>
        <w:rPr>
          <w:rFonts w:eastAsia="Calibri" w:cs="Times New Roman"/>
          <w:szCs w:val="24"/>
        </w:rPr>
      </w:pPr>
    </w:p>
    <w:p w:rsidR="005C39F7" w:rsidRPr="005C39F7" w:rsidRDefault="005C39F7" w:rsidP="005C39F7">
      <w:pPr>
        <w:autoSpaceDE w:val="0"/>
        <w:autoSpaceDN w:val="0"/>
        <w:adjustRightInd w:val="0"/>
        <w:spacing w:before="0"/>
        <w:ind w:firstLine="0"/>
        <w:rPr>
          <w:rFonts w:eastAsia="Calibri" w:cs="Times New Roman"/>
          <w:szCs w:val="24"/>
        </w:rPr>
      </w:pPr>
      <w:r w:rsidRPr="005C39F7">
        <w:rPr>
          <w:rFonts w:eastAsia="Calibri" w:cs="Times New Roman"/>
          <w:szCs w:val="24"/>
        </w:rPr>
        <w:t xml:space="preserve">b) De existir </w:t>
      </w:r>
      <w:r w:rsidRPr="005C39F7">
        <w:rPr>
          <w:rFonts w:eastAsia="Calibri" w:cs="Times New Roman"/>
          <w:i/>
          <w:iCs/>
          <w:szCs w:val="24"/>
        </w:rPr>
        <w:t>imputación de primas</w:t>
      </w:r>
      <w:r w:rsidRPr="005C39F7">
        <w:rPr>
          <w:rFonts w:eastAsia="Calibri" w:cs="Times New Roman"/>
          <w:szCs w:val="24"/>
        </w:rPr>
        <w:t>, éstas constituyen rendimientos del trabajo y el trabajador debe incorporar su cuantía a la base imponible del IRPF en el mismo ejercicio en que el tomador las abonó a la compañía aseguradora.</w:t>
      </w:r>
    </w:p>
    <w:p w:rsidR="005C39F7" w:rsidRPr="005C39F7" w:rsidRDefault="005C39F7" w:rsidP="005C39F7">
      <w:pPr>
        <w:spacing w:before="0" w:after="200"/>
        <w:ind w:firstLine="0"/>
        <w:rPr>
          <w:rFonts w:eastAsia="Calibri" w:cs="Times New Roman"/>
          <w:b/>
          <w:szCs w:val="24"/>
        </w:rPr>
      </w:pPr>
    </w:p>
    <w:p w:rsidR="005C39F7" w:rsidRPr="005C39F7" w:rsidRDefault="005C39F7" w:rsidP="005C39F7">
      <w:pPr>
        <w:spacing w:before="0" w:after="200"/>
        <w:ind w:firstLine="0"/>
        <w:rPr>
          <w:rFonts w:eastAsia="Calibri" w:cs="Times New Roman"/>
          <w:b/>
          <w:szCs w:val="24"/>
        </w:rPr>
      </w:pPr>
      <w:r w:rsidRPr="005C39F7">
        <w:rPr>
          <w:rFonts w:eastAsia="Calibri" w:cs="Times New Roman"/>
          <w:b/>
          <w:szCs w:val="24"/>
        </w:rPr>
        <w:t>c.4.-PLANES DE PREVISIÓN ASEGURADOS</w:t>
      </w:r>
    </w:p>
    <w:p w:rsidR="005C39F7" w:rsidRPr="005C39F7" w:rsidRDefault="005C39F7" w:rsidP="005C39F7">
      <w:pPr>
        <w:spacing w:before="0"/>
        <w:ind w:firstLine="0"/>
        <w:contextualSpacing/>
        <w:mirrorIndents/>
        <w:rPr>
          <w:rFonts w:eastAsia="Calibri" w:cs="Times New Roman"/>
          <w:szCs w:val="24"/>
        </w:rPr>
      </w:pPr>
      <w:r w:rsidRPr="005C39F7">
        <w:rPr>
          <w:rFonts w:eastAsia="Calibri" w:cs="Times New Roman"/>
          <w:szCs w:val="24"/>
        </w:rPr>
        <w:t xml:space="preserve">Estos </w:t>
      </w:r>
      <w:r w:rsidRPr="005C39F7">
        <w:rPr>
          <w:rFonts w:eastAsia="Calibri" w:cs="Times New Roman"/>
          <w:i/>
          <w:szCs w:val="24"/>
        </w:rPr>
        <w:t>P</w:t>
      </w:r>
      <w:r w:rsidRPr="005C39F7">
        <w:rPr>
          <w:rFonts w:eastAsia="Calibri" w:cs="Times New Roman"/>
          <w:bCs/>
          <w:i/>
          <w:szCs w:val="24"/>
        </w:rPr>
        <w:t>lanes de Previsión Asegurados</w:t>
      </w:r>
      <w:r w:rsidRPr="005C39F7">
        <w:rPr>
          <w:rFonts w:eastAsia="Calibri" w:cs="Times New Roman"/>
          <w:bCs/>
          <w:szCs w:val="24"/>
          <w:vertAlign w:val="superscript"/>
        </w:rPr>
        <w:footnoteReference w:id="22"/>
      </w:r>
      <w:r w:rsidRPr="005C39F7">
        <w:rPr>
          <w:rFonts w:eastAsia="Calibri" w:cs="Times New Roman"/>
          <w:bCs/>
          <w:szCs w:val="24"/>
        </w:rPr>
        <w:t xml:space="preserve"> no son sino contratos de seguro </w:t>
      </w:r>
      <w:r w:rsidRPr="005C39F7">
        <w:rPr>
          <w:rFonts w:eastAsia="Calibri" w:cs="Times New Roman"/>
          <w:szCs w:val="24"/>
        </w:rPr>
        <w:t>que reúnen unos requisitos específicos que los asimilan en cuanto a cobertura de contingencias y régimen de prestaciones a los planes de pensiones (art. 51.3 Ley 35/2006, de 28 de noviembre, del Impuesto sobre la Renta de las Personas Físicas   RCL 2006\2123.)</w:t>
      </w:r>
    </w:p>
    <w:p w:rsidR="005C39F7" w:rsidRPr="005C39F7" w:rsidRDefault="005C39F7" w:rsidP="005C39F7">
      <w:pPr>
        <w:autoSpaceDE w:val="0"/>
        <w:autoSpaceDN w:val="0"/>
        <w:adjustRightInd w:val="0"/>
        <w:spacing w:before="0"/>
        <w:ind w:firstLine="0"/>
        <w:rPr>
          <w:rFonts w:eastAsia="Calibri" w:cs="Times New Roman"/>
          <w:szCs w:val="24"/>
        </w:rPr>
      </w:pPr>
    </w:p>
    <w:p w:rsidR="005C39F7" w:rsidRPr="005C39F7" w:rsidRDefault="005C39F7" w:rsidP="005C39F7">
      <w:pPr>
        <w:spacing w:before="0" w:after="200"/>
        <w:ind w:firstLine="0"/>
        <w:rPr>
          <w:rFonts w:eastAsia="Calibri" w:cs="Times New Roman"/>
          <w:szCs w:val="24"/>
        </w:rPr>
      </w:pPr>
    </w:p>
    <w:p w:rsidR="005C39F7" w:rsidRPr="005C39F7" w:rsidRDefault="005C39F7" w:rsidP="005C39F7">
      <w:pPr>
        <w:autoSpaceDE w:val="0"/>
        <w:autoSpaceDN w:val="0"/>
        <w:adjustRightInd w:val="0"/>
        <w:spacing w:before="0"/>
        <w:ind w:firstLine="0"/>
        <w:rPr>
          <w:rFonts w:eastAsia="Calibri" w:cs="Times New Roman"/>
          <w:szCs w:val="24"/>
        </w:rPr>
      </w:pPr>
      <w:r w:rsidRPr="005C39F7">
        <w:rPr>
          <w:rFonts w:eastAsia="Calibri" w:cs="Times New Roman"/>
          <w:bCs/>
          <w:szCs w:val="24"/>
        </w:rPr>
        <w:t>El tratamiento, tanto en el momento de las aportaciones, como cuando se reciban las prestaciones, es idéntico al establecido para los planes de pensiones</w:t>
      </w:r>
      <w:r w:rsidRPr="005C39F7">
        <w:rPr>
          <w:rFonts w:eastAsia="Calibri" w:cs="Times New Roman"/>
          <w:szCs w:val="24"/>
        </w:rPr>
        <w:t>. (diferimiento del gravamen al momento del cobro de las prestaciones mediante la práctica de una reducción de la base imponible por el importe de las primas satisfechas).</w:t>
      </w:r>
    </w:p>
    <w:p w:rsidR="005C39F7" w:rsidRPr="005C39F7" w:rsidRDefault="005C39F7" w:rsidP="005C39F7">
      <w:pPr>
        <w:autoSpaceDE w:val="0"/>
        <w:autoSpaceDN w:val="0"/>
        <w:adjustRightInd w:val="0"/>
        <w:spacing w:before="0"/>
        <w:ind w:firstLine="0"/>
        <w:rPr>
          <w:rFonts w:eastAsia="Calibri" w:cs="Times New Roman"/>
          <w:szCs w:val="24"/>
        </w:rPr>
      </w:pPr>
    </w:p>
    <w:p w:rsidR="005C39F7" w:rsidRPr="005C39F7" w:rsidRDefault="005C39F7" w:rsidP="005C39F7">
      <w:pPr>
        <w:autoSpaceDE w:val="0"/>
        <w:autoSpaceDN w:val="0"/>
        <w:adjustRightInd w:val="0"/>
        <w:spacing w:before="0"/>
        <w:ind w:firstLine="0"/>
        <w:rPr>
          <w:rFonts w:eastAsia="Calibri" w:cs="Times New Roman"/>
          <w:szCs w:val="24"/>
        </w:rPr>
      </w:pPr>
      <w:r w:rsidRPr="005C39F7">
        <w:rPr>
          <w:rFonts w:eastAsia="Calibri" w:cs="Times New Roman"/>
          <w:szCs w:val="24"/>
        </w:rPr>
        <w:t xml:space="preserve">Tan sólo especificar </w:t>
      </w:r>
      <w:proofErr w:type="gramStart"/>
      <w:r w:rsidRPr="005C39F7">
        <w:rPr>
          <w:rFonts w:eastAsia="Calibri" w:cs="Times New Roman"/>
          <w:szCs w:val="24"/>
        </w:rPr>
        <w:t>que  la</w:t>
      </w:r>
      <w:proofErr w:type="gramEnd"/>
      <w:r w:rsidRPr="005C39F7">
        <w:rPr>
          <w:rFonts w:eastAsia="Calibri" w:cs="Times New Roman"/>
          <w:szCs w:val="24"/>
        </w:rPr>
        <w:t xml:space="preserve"> única nota diferencial entre estos planes de previsión y los planes de pensiones estriba en que en los de previsión no se prevé la realización de aportaciones por el empresario de manera análoga a lo que ocurre con los promotores de los planes.</w:t>
      </w:r>
    </w:p>
    <w:p w:rsidR="005C39F7" w:rsidRPr="005C39F7" w:rsidRDefault="005C39F7" w:rsidP="005C39F7">
      <w:pPr>
        <w:spacing w:before="0" w:after="200"/>
        <w:ind w:firstLine="0"/>
        <w:rPr>
          <w:rFonts w:eastAsia="Calibri" w:cs="Times New Roman"/>
          <w:szCs w:val="24"/>
        </w:rPr>
      </w:pPr>
    </w:p>
    <w:p w:rsidR="005C39F7" w:rsidRPr="005C39F7" w:rsidRDefault="005C39F7" w:rsidP="005C39F7">
      <w:pPr>
        <w:spacing w:before="0" w:after="200"/>
        <w:ind w:firstLine="0"/>
        <w:rPr>
          <w:rFonts w:eastAsia="Calibri" w:cs="Times New Roman"/>
          <w:b/>
          <w:szCs w:val="24"/>
        </w:rPr>
      </w:pPr>
      <w:r w:rsidRPr="005C39F7">
        <w:rPr>
          <w:rFonts w:eastAsia="Calibri" w:cs="Times New Roman"/>
          <w:b/>
          <w:szCs w:val="24"/>
        </w:rPr>
        <w:t>c.5.-PLANES INDIVIDUALES DE AHORRO SISTEMÁTICO (PIAS)</w:t>
      </w:r>
    </w:p>
    <w:p w:rsidR="005C39F7" w:rsidRPr="005C39F7" w:rsidRDefault="005C39F7" w:rsidP="005C39F7">
      <w:pPr>
        <w:autoSpaceDE w:val="0"/>
        <w:autoSpaceDN w:val="0"/>
        <w:adjustRightInd w:val="0"/>
        <w:spacing w:before="0"/>
        <w:ind w:firstLine="0"/>
        <w:rPr>
          <w:rFonts w:eastAsia="Calibri" w:cs="Times New Roman"/>
          <w:szCs w:val="24"/>
        </w:rPr>
      </w:pPr>
      <w:r w:rsidRPr="005C39F7">
        <w:rPr>
          <w:rFonts w:eastAsia="Calibri" w:cs="Times New Roman"/>
          <w:szCs w:val="24"/>
        </w:rPr>
        <w:t xml:space="preserve">Los </w:t>
      </w:r>
      <w:r w:rsidRPr="005C39F7">
        <w:rPr>
          <w:rFonts w:eastAsia="Calibri" w:cs="Times New Roman"/>
          <w:i/>
          <w:szCs w:val="24"/>
        </w:rPr>
        <w:t>Planes Individuales de Ahorro Sistemático</w:t>
      </w:r>
      <w:r w:rsidRPr="005C39F7">
        <w:rPr>
          <w:rFonts w:eastAsia="Calibri" w:cs="Times New Roman"/>
          <w:szCs w:val="24"/>
        </w:rPr>
        <w:t xml:space="preserve"> son instrumentos financieros que </w:t>
      </w:r>
      <w:r w:rsidRPr="005C39F7">
        <w:rPr>
          <w:rFonts w:eastAsia="Calibri" w:cs="Times New Roman"/>
          <w:bCs/>
          <w:szCs w:val="24"/>
        </w:rPr>
        <w:t xml:space="preserve">no disfrutan de incentivo tributario alguno para las aportaciones </w:t>
      </w:r>
      <w:r w:rsidRPr="005C39F7">
        <w:rPr>
          <w:rFonts w:eastAsia="Calibri" w:cs="Times New Roman"/>
          <w:szCs w:val="24"/>
        </w:rPr>
        <w:t xml:space="preserve">que pudieran realizarse (no reducen la base imponible como sucede en otras fórmulas de previsión social), </w:t>
      </w:r>
    </w:p>
    <w:p w:rsidR="005C39F7" w:rsidRPr="005C39F7" w:rsidRDefault="005C39F7" w:rsidP="005C39F7">
      <w:pPr>
        <w:autoSpaceDE w:val="0"/>
        <w:autoSpaceDN w:val="0"/>
        <w:adjustRightInd w:val="0"/>
        <w:spacing w:before="0"/>
        <w:ind w:firstLine="0"/>
        <w:rPr>
          <w:rFonts w:eastAsia="Calibri" w:cs="Times New Roman"/>
          <w:szCs w:val="24"/>
        </w:rPr>
      </w:pPr>
    </w:p>
    <w:p w:rsidR="005C39F7" w:rsidRPr="005C39F7" w:rsidRDefault="005C39F7" w:rsidP="005C39F7">
      <w:pPr>
        <w:autoSpaceDE w:val="0"/>
        <w:autoSpaceDN w:val="0"/>
        <w:adjustRightInd w:val="0"/>
        <w:spacing w:before="0"/>
        <w:ind w:firstLine="0"/>
        <w:rPr>
          <w:rFonts w:eastAsia="Calibri" w:cs="Times New Roman"/>
          <w:bCs/>
          <w:szCs w:val="24"/>
        </w:rPr>
      </w:pPr>
      <w:r w:rsidRPr="005C39F7">
        <w:rPr>
          <w:rFonts w:eastAsia="Calibri" w:cs="Times New Roman"/>
          <w:szCs w:val="24"/>
        </w:rPr>
        <w:t xml:space="preserve">No obstante, el legislador ha previsto un </w:t>
      </w:r>
      <w:r w:rsidRPr="005C39F7">
        <w:rPr>
          <w:rFonts w:eastAsia="Calibri" w:cs="Times New Roman"/>
          <w:bCs/>
          <w:szCs w:val="24"/>
        </w:rPr>
        <w:t>beneficio fiscal consistente en que la rentabilidad de las aportaciones que se pongan de manifiesto en el momento del vencimiento del contrato estará exenta</w:t>
      </w:r>
      <w:r w:rsidRPr="005C39F7">
        <w:rPr>
          <w:rFonts w:eastAsia="Calibri" w:cs="Times New Roman"/>
          <w:szCs w:val="24"/>
        </w:rPr>
        <w:t xml:space="preserve">, es decir, los rendimientos que se hayan generado desde la primera prima hasta el inicio del cobro de la renta </w:t>
      </w:r>
      <w:proofErr w:type="gramStart"/>
      <w:r w:rsidRPr="005C39F7">
        <w:rPr>
          <w:rFonts w:eastAsia="Calibri" w:cs="Times New Roman"/>
          <w:szCs w:val="24"/>
        </w:rPr>
        <w:t>vitalicia,</w:t>
      </w:r>
      <w:proofErr w:type="gramEnd"/>
      <w:r w:rsidRPr="005C39F7">
        <w:rPr>
          <w:rFonts w:eastAsia="Calibri" w:cs="Times New Roman"/>
          <w:szCs w:val="24"/>
        </w:rPr>
        <w:t xml:space="preserve"> estarán exentos siempre que se cumplan los requisitos legalmente exigidos</w:t>
      </w:r>
      <w:r w:rsidRPr="005C39F7">
        <w:rPr>
          <w:rFonts w:eastAsia="Calibri" w:cs="Times New Roman"/>
          <w:szCs w:val="24"/>
          <w:vertAlign w:val="superscript"/>
        </w:rPr>
        <w:footnoteReference w:id="23"/>
      </w:r>
    </w:p>
    <w:p w:rsidR="005C39F7" w:rsidRPr="005C39F7" w:rsidRDefault="005C39F7" w:rsidP="005C39F7">
      <w:pPr>
        <w:autoSpaceDE w:val="0"/>
        <w:autoSpaceDN w:val="0"/>
        <w:adjustRightInd w:val="0"/>
        <w:spacing w:before="0"/>
        <w:ind w:firstLine="0"/>
        <w:rPr>
          <w:rFonts w:eastAsia="Calibri" w:cs="Times New Roman"/>
          <w:bCs/>
          <w:szCs w:val="24"/>
        </w:rPr>
      </w:pPr>
    </w:p>
    <w:p w:rsidR="005C39F7" w:rsidRPr="005C39F7" w:rsidRDefault="005C39F7" w:rsidP="005C39F7">
      <w:pPr>
        <w:autoSpaceDE w:val="0"/>
        <w:autoSpaceDN w:val="0"/>
        <w:adjustRightInd w:val="0"/>
        <w:spacing w:before="0"/>
        <w:ind w:firstLine="0"/>
        <w:rPr>
          <w:rFonts w:eastAsia="Calibri" w:cs="Times New Roman"/>
          <w:szCs w:val="24"/>
        </w:rPr>
      </w:pPr>
      <w:r w:rsidRPr="005C39F7">
        <w:rPr>
          <w:rFonts w:eastAsia="Calibri" w:cs="Times New Roman"/>
          <w:bCs/>
          <w:szCs w:val="24"/>
        </w:rPr>
        <w:t xml:space="preserve">Pues en caso de incumplimiento de </w:t>
      </w:r>
      <w:proofErr w:type="gramStart"/>
      <w:r w:rsidRPr="005C39F7">
        <w:rPr>
          <w:rFonts w:eastAsia="Calibri" w:cs="Times New Roman"/>
          <w:bCs/>
          <w:szCs w:val="24"/>
        </w:rPr>
        <w:t>los mismos</w:t>
      </w:r>
      <w:proofErr w:type="gramEnd"/>
      <w:r w:rsidRPr="005C39F7">
        <w:rPr>
          <w:rFonts w:eastAsia="Calibri" w:cs="Times New Roman"/>
          <w:bCs/>
          <w:szCs w:val="24"/>
        </w:rPr>
        <w:t xml:space="preserve"> </w:t>
      </w:r>
      <w:r w:rsidRPr="005C39F7">
        <w:rPr>
          <w:rFonts w:eastAsia="Calibri" w:cs="Times New Roman"/>
          <w:szCs w:val="24"/>
        </w:rPr>
        <w:t>los rendimientos tributarán como cualquier otro seguro de ahorro, esto es, como rendimiento del capital.</w:t>
      </w:r>
    </w:p>
    <w:p w:rsidR="005C39F7" w:rsidRPr="005C39F7" w:rsidRDefault="005C39F7" w:rsidP="005C39F7">
      <w:pPr>
        <w:autoSpaceDE w:val="0"/>
        <w:autoSpaceDN w:val="0"/>
        <w:adjustRightInd w:val="0"/>
        <w:spacing w:before="0"/>
        <w:ind w:firstLine="0"/>
        <w:rPr>
          <w:rFonts w:eastAsia="Calibri" w:cs="Times New Roman"/>
          <w:bCs/>
          <w:szCs w:val="24"/>
        </w:rPr>
      </w:pPr>
    </w:p>
    <w:p w:rsidR="005C39F7" w:rsidRPr="005C39F7" w:rsidRDefault="005C39F7" w:rsidP="005C39F7">
      <w:pPr>
        <w:autoSpaceDE w:val="0"/>
        <w:autoSpaceDN w:val="0"/>
        <w:adjustRightInd w:val="0"/>
        <w:spacing w:before="0"/>
        <w:ind w:firstLine="0"/>
        <w:rPr>
          <w:rFonts w:eastAsia="Calibri" w:cs="Times New Roman"/>
          <w:szCs w:val="24"/>
        </w:rPr>
      </w:pPr>
      <w:r w:rsidRPr="005C39F7">
        <w:rPr>
          <w:rFonts w:eastAsia="Calibri" w:cs="Times New Roman"/>
          <w:szCs w:val="24"/>
        </w:rPr>
        <w:t xml:space="preserve"> La renta vitalicia que se perciba tributará de conformidad con lo dispuesto en el art.</w:t>
      </w:r>
    </w:p>
    <w:p w:rsidR="005C39F7" w:rsidRPr="005C39F7" w:rsidRDefault="005C39F7" w:rsidP="005C39F7">
      <w:pPr>
        <w:spacing w:before="0"/>
        <w:ind w:firstLine="0"/>
        <w:contextualSpacing/>
        <w:mirrorIndents/>
        <w:rPr>
          <w:rFonts w:eastAsia="Calibri" w:cs="Times New Roman"/>
          <w:szCs w:val="24"/>
        </w:rPr>
      </w:pPr>
      <w:r w:rsidRPr="005C39F7">
        <w:rPr>
          <w:rFonts w:eastAsia="Calibri" w:cs="Times New Roman"/>
          <w:szCs w:val="24"/>
        </w:rPr>
        <w:lastRenderedPageBreak/>
        <w:t>25.3.a</w:t>
      </w:r>
      <w:proofErr w:type="gramStart"/>
      <w:r w:rsidRPr="005C39F7">
        <w:rPr>
          <w:rFonts w:eastAsia="Calibri" w:cs="Times New Roman"/>
          <w:szCs w:val="24"/>
        </w:rPr>
        <w:t>).2º</w:t>
      </w:r>
      <w:proofErr w:type="gramEnd"/>
      <w:r w:rsidRPr="005C39F7">
        <w:rPr>
          <w:rFonts w:eastAsia="Calibri" w:cs="Times New Roman"/>
          <w:szCs w:val="24"/>
        </w:rPr>
        <w:t xml:space="preserve"> Ley 35/2006, de 28 de noviembre, del Impuesto sobre la Renta de las Personas Físicas   RCL 2006\2123, considerándose rendimiento de capital mobiliario (y tributando por tanto a la tarifa reducida de la base imponible del ahorro) el resultado de aplicar a cada anualidad los porcentajes fijados en dicho artículo que serán los correspondientes a la edad del rentista en el momento de la constitución de la renta y permanecerán constantes durante toda su vigencia.</w:t>
      </w:r>
      <w:r w:rsidRPr="005C39F7">
        <w:rPr>
          <w:rFonts w:eastAsia="Calibri" w:cs="Times New Roman"/>
          <w:szCs w:val="24"/>
          <w:vertAlign w:val="superscript"/>
        </w:rPr>
        <w:footnoteReference w:id="24"/>
      </w:r>
    </w:p>
    <w:p w:rsidR="005C39F7" w:rsidRPr="005C39F7" w:rsidRDefault="005C39F7" w:rsidP="005C39F7">
      <w:pPr>
        <w:autoSpaceDE w:val="0"/>
        <w:autoSpaceDN w:val="0"/>
        <w:adjustRightInd w:val="0"/>
        <w:spacing w:before="0"/>
        <w:ind w:firstLine="0"/>
        <w:rPr>
          <w:rFonts w:eastAsia="Calibri" w:cs="Times New Roman"/>
          <w:szCs w:val="24"/>
        </w:rPr>
      </w:pPr>
    </w:p>
    <w:p w:rsidR="005C39F7" w:rsidRPr="005C39F7" w:rsidRDefault="005C39F7" w:rsidP="005C39F7">
      <w:pPr>
        <w:autoSpaceDE w:val="0"/>
        <w:autoSpaceDN w:val="0"/>
        <w:adjustRightInd w:val="0"/>
        <w:spacing w:before="0"/>
        <w:ind w:firstLine="0"/>
        <w:rPr>
          <w:rFonts w:eastAsia="Calibri" w:cs="Times New Roman"/>
          <w:szCs w:val="24"/>
        </w:rPr>
      </w:pPr>
      <w:r w:rsidRPr="005C39F7">
        <w:rPr>
          <w:rFonts w:eastAsia="Calibri" w:cs="Times New Roman"/>
          <w:szCs w:val="24"/>
        </w:rPr>
        <w:t xml:space="preserve">En caso de </w:t>
      </w:r>
      <w:r w:rsidRPr="005C39F7">
        <w:rPr>
          <w:rFonts w:eastAsia="Calibri" w:cs="Times New Roman"/>
          <w:bCs/>
          <w:szCs w:val="24"/>
        </w:rPr>
        <w:t>fallecimiento</w:t>
      </w:r>
      <w:r w:rsidRPr="005C39F7">
        <w:rPr>
          <w:rFonts w:eastAsia="Calibri" w:cs="Times New Roman"/>
          <w:szCs w:val="24"/>
        </w:rPr>
        <w:t xml:space="preserve">, la prestación tributará en el </w:t>
      </w:r>
      <w:proofErr w:type="spellStart"/>
      <w:r w:rsidRPr="005C39F7">
        <w:rPr>
          <w:rFonts w:eastAsia="Calibri" w:cs="Times New Roman"/>
          <w:szCs w:val="24"/>
        </w:rPr>
        <w:t>ISyD</w:t>
      </w:r>
      <w:proofErr w:type="spellEnd"/>
      <w:r w:rsidRPr="005C39F7">
        <w:rPr>
          <w:rFonts w:eastAsia="Calibri" w:cs="Times New Roman"/>
          <w:szCs w:val="24"/>
        </w:rPr>
        <w:t>. Sin embargo, si el seguro estuviera contratado en régimen de gananciales, el 50% del cónyuge superviviente tributará como rendimiento del capital mobiliario.</w:t>
      </w:r>
    </w:p>
    <w:p w:rsidR="005C39F7" w:rsidRPr="005C39F7" w:rsidRDefault="005C39F7" w:rsidP="005C39F7">
      <w:pPr>
        <w:spacing w:before="0" w:after="200"/>
        <w:ind w:firstLine="0"/>
        <w:rPr>
          <w:rFonts w:eastAsia="Calibri" w:cs="Times New Roman"/>
          <w:szCs w:val="24"/>
        </w:rPr>
      </w:pPr>
    </w:p>
    <w:p w:rsidR="005C39F7" w:rsidRPr="005C39F7" w:rsidRDefault="005C39F7" w:rsidP="005C39F7">
      <w:pPr>
        <w:spacing w:before="0" w:after="200"/>
        <w:ind w:firstLine="0"/>
        <w:rPr>
          <w:rFonts w:eastAsia="Calibri" w:cs="Times New Roman"/>
          <w:b/>
          <w:szCs w:val="24"/>
        </w:rPr>
      </w:pPr>
      <w:r w:rsidRPr="005C39F7">
        <w:rPr>
          <w:rFonts w:eastAsia="Calibri" w:cs="Times New Roman"/>
          <w:b/>
          <w:szCs w:val="24"/>
        </w:rPr>
        <w:t>c. 6.-SEGUROS DE DEPENDENCIA</w:t>
      </w:r>
    </w:p>
    <w:p w:rsidR="005C39F7" w:rsidRPr="005C39F7" w:rsidRDefault="005C39F7" w:rsidP="005C39F7">
      <w:pPr>
        <w:autoSpaceDE w:val="0"/>
        <w:autoSpaceDN w:val="0"/>
        <w:adjustRightInd w:val="0"/>
        <w:spacing w:before="0"/>
        <w:ind w:firstLine="0"/>
        <w:rPr>
          <w:rFonts w:eastAsia="Calibri" w:cs="Times New Roman"/>
          <w:szCs w:val="24"/>
        </w:rPr>
      </w:pPr>
      <w:r w:rsidRPr="005C39F7">
        <w:rPr>
          <w:rFonts w:eastAsia="Calibri" w:cs="Times New Roman"/>
          <w:szCs w:val="24"/>
        </w:rPr>
        <w:t xml:space="preserve">El legislador tributario ha configurado una serie de </w:t>
      </w:r>
      <w:r w:rsidRPr="005C39F7">
        <w:rPr>
          <w:rFonts w:eastAsia="Calibri" w:cs="Times New Roman"/>
          <w:bCs/>
          <w:szCs w:val="24"/>
        </w:rPr>
        <w:t>medidas para incentivar fiscalmente la cobertura privada de la contingencia de dependencia</w:t>
      </w:r>
      <w:r w:rsidRPr="005C39F7">
        <w:rPr>
          <w:rFonts w:eastAsia="Calibri" w:cs="Times New Roman"/>
          <w:szCs w:val="24"/>
        </w:rPr>
        <w:t>.</w:t>
      </w:r>
    </w:p>
    <w:p w:rsidR="005C39F7" w:rsidRPr="005C39F7" w:rsidRDefault="005C39F7" w:rsidP="005C39F7">
      <w:pPr>
        <w:autoSpaceDE w:val="0"/>
        <w:autoSpaceDN w:val="0"/>
        <w:adjustRightInd w:val="0"/>
        <w:spacing w:before="0"/>
        <w:ind w:firstLine="0"/>
        <w:rPr>
          <w:rFonts w:eastAsia="Calibri" w:cs="Times New Roman"/>
          <w:bCs/>
          <w:szCs w:val="24"/>
        </w:rPr>
      </w:pPr>
    </w:p>
    <w:p w:rsidR="005C39F7" w:rsidRPr="005C39F7" w:rsidRDefault="005C39F7" w:rsidP="005C39F7">
      <w:pPr>
        <w:autoSpaceDE w:val="0"/>
        <w:autoSpaceDN w:val="0"/>
        <w:adjustRightInd w:val="0"/>
        <w:spacing w:before="0"/>
        <w:ind w:firstLine="0"/>
        <w:rPr>
          <w:rFonts w:eastAsia="Calibri" w:cs="Times New Roman"/>
          <w:bCs/>
          <w:szCs w:val="24"/>
        </w:rPr>
      </w:pPr>
      <w:r w:rsidRPr="005C39F7">
        <w:rPr>
          <w:rFonts w:eastAsia="Calibri" w:cs="Times New Roman"/>
          <w:bCs/>
          <w:szCs w:val="24"/>
        </w:rPr>
        <w:t xml:space="preserve">Estas medidas están dirigidas: </w:t>
      </w:r>
    </w:p>
    <w:p w:rsidR="005C39F7" w:rsidRPr="005C39F7" w:rsidRDefault="005C39F7" w:rsidP="005C39F7">
      <w:pPr>
        <w:autoSpaceDE w:val="0"/>
        <w:autoSpaceDN w:val="0"/>
        <w:adjustRightInd w:val="0"/>
        <w:spacing w:before="0"/>
        <w:ind w:firstLine="0"/>
        <w:rPr>
          <w:rFonts w:eastAsia="Calibri" w:cs="Times New Roman"/>
          <w:bCs/>
          <w:szCs w:val="24"/>
        </w:rPr>
      </w:pPr>
    </w:p>
    <w:p w:rsidR="005C39F7" w:rsidRPr="005C39F7" w:rsidRDefault="005C39F7" w:rsidP="005C39F7">
      <w:pPr>
        <w:autoSpaceDE w:val="0"/>
        <w:autoSpaceDN w:val="0"/>
        <w:adjustRightInd w:val="0"/>
        <w:spacing w:before="0"/>
        <w:ind w:firstLine="0"/>
        <w:rPr>
          <w:rFonts w:eastAsia="Calibri" w:cs="Times New Roman"/>
          <w:szCs w:val="24"/>
        </w:rPr>
      </w:pPr>
      <w:r w:rsidRPr="005C39F7">
        <w:rPr>
          <w:rFonts w:eastAsia="Calibri" w:cs="Times New Roman"/>
          <w:bCs/>
          <w:szCs w:val="24"/>
        </w:rPr>
        <w:t xml:space="preserve">a) A aquellas personas que ya sean </w:t>
      </w:r>
      <w:r w:rsidRPr="005C39F7">
        <w:rPr>
          <w:rFonts w:eastAsia="Calibri" w:cs="Times New Roman"/>
          <w:bCs/>
          <w:i/>
          <w:szCs w:val="24"/>
        </w:rPr>
        <w:t>grandes dependientes</w:t>
      </w:r>
      <w:r w:rsidRPr="005C39F7">
        <w:rPr>
          <w:rFonts w:eastAsia="Calibri" w:cs="Times New Roman"/>
          <w:szCs w:val="24"/>
        </w:rPr>
        <w:t xml:space="preserve">, para las que prevé la posibilidad de movilizar su patrimonio inmobiliario con la finalidad de obtener unos recursos periódicos que ayuden a hacer frente a las necesidades económicas que ocasiona su situación de dependencia. </w:t>
      </w:r>
    </w:p>
    <w:p w:rsidR="005C39F7" w:rsidRPr="005C39F7" w:rsidRDefault="005C39F7" w:rsidP="005C39F7">
      <w:pPr>
        <w:autoSpaceDE w:val="0"/>
        <w:autoSpaceDN w:val="0"/>
        <w:adjustRightInd w:val="0"/>
        <w:spacing w:before="0"/>
        <w:ind w:firstLine="0"/>
        <w:rPr>
          <w:rFonts w:eastAsia="Calibri" w:cs="Times New Roman"/>
          <w:szCs w:val="24"/>
        </w:rPr>
      </w:pPr>
    </w:p>
    <w:p w:rsidR="005C39F7" w:rsidRPr="005C39F7" w:rsidRDefault="005C39F7" w:rsidP="005C39F7">
      <w:pPr>
        <w:spacing w:before="0"/>
        <w:ind w:firstLine="0"/>
        <w:contextualSpacing/>
        <w:mirrorIndents/>
        <w:rPr>
          <w:rFonts w:eastAsia="Calibri" w:cs="Times New Roman"/>
          <w:szCs w:val="24"/>
        </w:rPr>
      </w:pPr>
      <w:r w:rsidRPr="005C39F7">
        <w:rPr>
          <w:rFonts w:eastAsia="Calibri" w:cs="Times New Roman"/>
          <w:szCs w:val="24"/>
        </w:rPr>
        <w:t xml:space="preserve">Así el art. 33.4.b) Ley 35/2006, de 28 de noviembre, del Impuesto sobre la Renta de las Personas Físicas   RCL 2006\2123declara </w:t>
      </w:r>
      <w:r w:rsidRPr="005C39F7">
        <w:rPr>
          <w:rFonts w:eastAsia="Calibri" w:cs="Times New Roman"/>
          <w:bCs/>
          <w:szCs w:val="24"/>
        </w:rPr>
        <w:t xml:space="preserve">exentas las ganancias patrimoniales puestas de manifiesto con ocasión de la transmisión de su vivienda habitual por mayores de 65 años o por personas en situación de dependencia severa o de gran dependencia </w:t>
      </w:r>
      <w:r w:rsidRPr="005C39F7">
        <w:rPr>
          <w:rFonts w:eastAsia="Calibri" w:cs="Times New Roman"/>
          <w:szCs w:val="24"/>
        </w:rPr>
        <w:t>de conformidad con la Ley 39/2006, de 14 de diciembre, de promoción de la autonomía personal y atención a las personas en situación de dependencia.</w:t>
      </w:r>
    </w:p>
    <w:p w:rsidR="005C39F7" w:rsidRPr="005C39F7" w:rsidRDefault="005C39F7" w:rsidP="005C39F7">
      <w:pPr>
        <w:autoSpaceDE w:val="0"/>
        <w:autoSpaceDN w:val="0"/>
        <w:adjustRightInd w:val="0"/>
        <w:spacing w:before="0"/>
        <w:ind w:firstLine="0"/>
        <w:rPr>
          <w:rFonts w:eastAsia="Calibri" w:cs="Times New Roman"/>
          <w:b/>
          <w:bCs/>
          <w:szCs w:val="24"/>
        </w:rPr>
      </w:pPr>
    </w:p>
    <w:p w:rsidR="005C39F7" w:rsidRPr="005C39F7" w:rsidRDefault="005C39F7" w:rsidP="005C39F7">
      <w:pPr>
        <w:autoSpaceDE w:val="0"/>
        <w:autoSpaceDN w:val="0"/>
        <w:adjustRightInd w:val="0"/>
        <w:spacing w:before="0"/>
        <w:ind w:firstLine="0"/>
        <w:rPr>
          <w:rFonts w:eastAsia="Calibri" w:cs="Times New Roman"/>
          <w:szCs w:val="24"/>
        </w:rPr>
      </w:pPr>
      <w:r w:rsidRPr="005C39F7">
        <w:rPr>
          <w:rFonts w:eastAsia="Calibri" w:cs="Times New Roman"/>
          <w:bCs/>
          <w:szCs w:val="24"/>
        </w:rPr>
        <w:t xml:space="preserve">b) </w:t>
      </w:r>
      <w:r w:rsidRPr="005C39F7">
        <w:rPr>
          <w:rFonts w:eastAsia="Calibri" w:cs="Times New Roman"/>
          <w:bCs/>
          <w:i/>
          <w:szCs w:val="24"/>
        </w:rPr>
        <w:t>A aquellas personas que quieran cubrirse de un eventual riesgo</w:t>
      </w:r>
      <w:r w:rsidRPr="005C39F7">
        <w:rPr>
          <w:rFonts w:eastAsia="Calibri" w:cs="Times New Roman"/>
          <w:bCs/>
          <w:szCs w:val="24"/>
        </w:rPr>
        <w:t xml:space="preserve"> de incurrir en una situación de gran dependencia, para lo que el legislador prevé la consideración de la dependencia como una nueva contingencia a cubrir por los diferentes sistemas existentes de previsión </w:t>
      </w:r>
      <w:proofErr w:type="gramStart"/>
      <w:r w:rsidRPr="005C39F7">
        <w:rPr>
          <w:rFonts w:eastAsia="Calibri" w:cs="Times New Roman"/>
          <w:bCs/>
          <w:szCs w:val="24"/>
        </w:rPr>
        <w:t xml:space="preserve">social </w:t>
      </w:r>
      <w:r w:rsidRPr="005C39F7">
        <w:rPr>
          <w:rFonts w:eastAsia="Calibri" w:cs="Times New Roman"/>
          <w:szCs w:val="24"/>
        </w:rPr>
        <w:t>,</w:t>
      </w:r>
      <w:proofErr w:type="gramEnd"/>
      <w:r w:rsidRPr="005C39F7">
        <w:rPr>
          <w:rFonts w:eastAsia="Calibri" w:cs="Times New Roman"/>
          <w:szCs w:val="24"/>
        </w:rPr>
        <w:t xml:space="preserve"> ya se trate de planes de pensiones, planes de previsión asegurados o mutualidades de previsión social</w:t>
      </w:r>
    </w:p>
    <w:p w:rsidR="005C39F7" w:rsidRPr="005C39F7" w:rsidRDefault="005C39F7" w:rsidP="005C39F7">
      <w:pPr>
        <w:autoSpaceDE w:val="0"/>
        <w:autoSpaceDN w:val="0"/>
        <w:adjustRightInd w:val="0"/>
        <w:spacing w:before="0"/>
        <w:ind w:firstLine="0"/>
        <w:rPr>
          <w:rFonts w:eastAsia="Calibri" w:cs="Times New Roman"/>
          <w:szCs w:val="24"/>
        </w:rPr>
      </w:pPr>
    </w:p>
    <w:p w:rsidR="005C39F7" w:rsidRPr="005C39F7" w:rsidRDefault="005C39F7" w:rsidP="005C39F7">
      <w:pPr>
        <w:autoSpaceDE w:val="0"/>
        <w:autoSpaceDN w:val="0"/>
        <w:adjustRightInd w:val="0"/>
        <w:spacing w:before="0"/>
        <w:ind w:firstLine="0"/>
        <w:rPr>
          <w:rFonts w:eastAsia="Calibri" w:cs="Times New Roman"/>
          <w:szCs w:val="24"/>
        </w:rPr>
      </w:pPr>
      <w:r w:rsidRPr="005C39F7">
        <w:rPr>
          <w:rFonts w:eastAsia="Calibri" w:cs="Times New Roman"/>
          <w:szCs w:val="24"/>
        </w:rPr>
        <w:lastRenderedPageBreak/>
        <w:t xml:space="preserve">Asimismo, se </w:t>
      </w:r>
      <w:proofErr w:type="gramStart"/>
      <w:r w:rsidRPr="005C39F7">
        <w:rPr>
          <w:rFonts w:eastAsia="Calibri" w:cs="Times New Roman"/>
          <w:szCs w:val="24"/>
        </w:rPr>
        <w:t>ha  creado</w:t>
      </w:r>
      <w:proofErr w:type="gramEnd"/>
      <w:r w:rsidRPr="005C39F7">
        <w:rPr>
          <w:rFonts w:eastAsia="Calibri" w:cs="Times New Roman"/>
          <w:szCs w:val="24"/>
        </w:rPr>
        <w:t xml:space="preserve"> un nuevo contrato de seguro que cubra ese riesgo mediante una fórmula de ahorro sistemático, el </w:t>
      </w:r>
      <w:r w:rsidRPr="005C39F7">
        <w:rPr>
          <w:rFonts w:eastAsia="Calibri" w:cs="Times New Roman"/>
          <w:bCs/>
          <w:szCs w:val="24"/>
        </w:rPr>
        <w:t>seguro de dependencia</w:t>
      </w:r>
      <w:r w:rsidRPr="005C39F7">
        <w:rPr>
          <w:rFonts w:eastAsia="Calibri" w:cs="Times New Roman"/>
          <w:szCs w:val="24"/>
        </w:rPr>
        <w:t>, cuyo tratamiento fiscal es parejo al de los planes de pensiones o al de los planes de previsión asegurados.</w:t>
      </w:r>
    </w:p>
    <w:p w:rsidR="005C39F7" w:rsidRPr="005C39F7" w:rsidRDefault="005C39F7" w:rsidP="005C39F7">
      <w:pPr>
        <w:spacing w:before="0" w:after="200"/>
        <w:ind w:firstLine="0"/>
        <w:rPr>
          <w:rFonts w:eastAsia="Calibri" w:cs="Times New Roman"/>
          <w:szCs w:val="24"/>
        </w:rPr>
      </w:pPr>
    </w:p>
    <w:p w:rsidR="005C39F7" w:rsidRPr="005C39F7" w:rsidRDefault="005C39F7" w:rsidP="005C39F7">
      <w:pPr>
        <w:spacing w:before="0" w:after="200"/>
        <w:ind w:firstLine="0"/>
        <w:rPr>
          <w:rFonts w:eastAsia="Calibri" w:cs="Times New Roman"/>
          <w:b/>
          <w:color w:val="FF0000"/>
          <w:szCs w:val="24"/>
        </w:rPr>
      </w:pPr>
      <w:r w:rsidRPr="005C39F7">
        <w:rPr>
          <w:rFonts w:eastAsia="Calibri" w:cs="Times New Roman"/>
          <w:b/>
          <w:szCs w:val="24"/>
        </w:rPr>
        <w:t xml:space="preserve">c.7.-PLANES DE AHORRO A LARGO PLAZO </w:t>
      </w:r>
    </w:p>
    <w:p w:rsidR="005C39F7" w:rsidRPr="005C39F7" w:rsidRDefault="005C39F7" w:rsidP="005C39F7">
      <w:pPr>
        <w:spacing w:before="0"/>
        <w:ind w:firstLine="0"/>
        <w:contextualSpacing/>
        <w:mirrorIndents/>
        <w:rPr>
          <w:rFonts w:eastAsia="Calibri" w:cs="Times New Roman"/>
          <w:szCs w:val="24"/>
        </w:rPr>
      </w:pPr>
      <w:r w:rsidRPr="005C39F7">
        <w:rPr>
          <w:rFonts w:eastAsia="Calibri" w:cs="Times New Roman"/>
          <w:szCs w:val="24"/>
        </w:rPr>
        <w:t xml:space="preserve">Los </w:t>
      </w:r>
      <w:r w:rsidRPr="005C39F7">
        <w:rPr>
          <w:rFonts w:eastAsia="Calibri" w:cs="Times New Roman"/>
          <w:bCs/>
          <w:i/>
          <w:szCs w:val="24"/>
        </w:rPr>
        <w:t>Planes de Ahorro a Largo Plazo</w:t>
      </w:r>
      <w:r w:rsidRPr="005C39F7">
        <w:rPr>
          <w:rFonts w:eastAsia="Calibri" w:cs="Times New Roman"/>
          <w:bCs/>
          <w:szCs w:val="24"/>
        </w:rPr>
        <w:t xml:space="preserve"> diseñados especialmente para los pequeños inversores</w:t>
      </w:r>
      <w:r w:rsidRPr="005C39F7">
        <w:rPr>
          <w:rFonts w:eastAsia="Calibri" w:cs="Times New Roman"/>
          <w:szCs w:val="24"/>
        </w:rPr>
        <w:t xml:space="preserve"> cuentan con un atractivo fiscal </w:t>
      </w:r>
      <w:proofErr w:type="gramStart"/>
      <w:r w:rsidRPr="005C39F7">
        <w:rPr>
          <w:rFonts w:eastAsia="Calibri" w:cs="Times New Roman"/>
          <w:szCs w:val="24"/>
        </w:rPr>
        <w:t>consistente  en</w:t>
      </w:r>
      <w:proofErr w:type="gramEnd"/>
      <w:r w:rsidRPr="005C39F7">
        <w:rPr>
          <w:rFonts w:eastAsia="Calibri" w:cs="Times New Roman"/>
          <w:szCs w:val="24"/>
        </w:rPr>
        <w:t xml:space="preserve"> la </w:t>
      </w:r>
      <w:r w:rsidRPr="005C39F7">
        <w:rPr>
          <w:rFonts w:eastAsia="Calibri" w:cs="Times New Roman"/>
          <w:bCs/>
          <w:szCs w:val="24"/>
        </w:rPr>
        <w:t xml:space="preserve">exención de las rentas del capital </w:t>
      </w:r>
      <w:r w:rsidRPr="005C39F7">
        <w:rPr>
          <w:rFonts w:eastAsia="Calibri" w:cs="Times New Roman"/>
          <w:szCs w:val="24"/>
        </w:rPr>
        <w:t xml:space="preserve">que puedan generarse en el marco del plan </w:t>
      </w:r>
      <w:r w:rsidRPr="005C39F7">
        <w:rPr>
          <w:rFonts w:eastAsia="Calibri" w:cs="Times New Roman"/>
          <w:bCs/>
          <w:szCs w:val="24"/>
        </w:rPr>
        <w:t xml:space="preserve">siempre que el contribuyente no efectúe disposición alguna del capital resultante del Plan antes de finalizar el plazo de cinco años desde su apertura (art. 7 ñ) </w:t>
      </w:r>
      <w:r w:rsidRPr="005C39F7">
        <w:rPr>
          <w:rFonts w:eastAsia="Calibri" w:cs="Times New Roman"/>
          <w:szCs w:val="24"/>
        </w:rPr>
        <w:t>Ley 35/2006, de 28 de noviembre, del Impuesto sobre la Renta de las Personas Físicas   RCL 2006\2123.</w:t>
      </w:r>
    </w:p>
    <w:p w:rsidR="005C39F7" w:rsidRPr="005C39F7" w:rsidRDefault="005C39F7" w:rsidP="005C39F7">
      <w:pPr>
        <w:autoSpaceDE w:val="0"/>
        <w:autoSpaceDN w:val="0"/>
        <w:adjustRightInd w:val="0"/>
        <w:spacing w:before="0"/>
        <w:ind w:firstLine="0"/>
        <w:rPr>
          <w:rFonts w:eastAsia="Calibri" w:cs="Times New Roman"/>
          <w:szCs w:val="24"/>
        </w:rPr>
      </w:pPr>
    </w:p>
    <w:p w:rsidR="005C39F7" w:rsidRPr="005C39F7" w:rsidRDefault="005C39F7" w:rsidP="005C39F7">
      <w:pPr>
        <w:autoSpaceDE w:val="0"/>
        <w:autoSpaceDN w:val="0"/>
        <w:adjustRightInd w:val="0"/>
        <w:spacing w:before="0"/>
        <w:ind w:firstLine="0"/>
        <w:rPr>
          <w:rFonts w:eastAsia="Calibri" w:cs="Times New Roman"/>
          <w:szCs w:val="24"/>
        </w:rPr>
      </w:pPr>
    </w:p>
    <w:p w:rsidR="005C39F7" w:rsidRPr="005C39F7" w:rsidRDefault="005C39F7" w:rsidP="005C39F7">
      <w:pPr>
        <w:autoSpaceDE w:val="0"/>
        <w:autoSpaceDN w:val="0"/>
        <w:adjustRightInd w:val="0"/>
        <w:spacing w:before="0"/>
        <w:ind w:firstLine="0"/>
        <w:rPr>
          <w:rFonts w:eastAsia="Calibri" w:cs="Times New Roman"/>
          <w:szCs w:val="24"/>
        </w:rPr>
      </w:pPr>
      <w:r w:rsidRPr="005C39F7">
        <w:rPr>
          <w:rFonts w:eastAsia="Calibri" w:cs="Times New Roman"/>
          <w:szCs w:val="24"/>
        </w:rPr>
        <w:t xml:space="preserve">Si bien el referido precepto hace referencia a los rendimientos positivos del capital mobiliario procedente de los seguros de vida, depósitos y contratos financieros a través de los cuales se instrumenten los Planes de Ahorro a Largo Plazo lo que implica que </w:t>
      </w:r>
      <w:r w:rsidRPr="005C39F7">
        <w:rPr>
          <w:rFonts w:eastAsia="Calibri" w:cs="Times New Roman"/>
          <w:bCs/>
          <w:szCs w:val="24"/>
        </w:rPr>
        <w:t>los negativos sí se pueden computar.</w:t>
      </w:r>
    </w:p>
    <w:p w:rsidR="005C39F7" w:rsidRPr="005C39F7" w:rsidRDefault="005C39F7" w:rsidP="005C39F7">
      <w:pPr>
        <w:spacing w:before="0"/>
        <w:ind w:firstLine="0"/>
        <w:contextualSpacing/>
        <w:mirrorIndents/>
        <w:rPr>
          <w:rFonts w:eastAsia="Calibri" w:cs="Times New Roman"/>
          <w:b/>
          <w:szCs w:val="24"/>
        </w:rPr>
      </w:pPr>
    </w:p>
    <w:p w:rsidR="005C39F7" w:rsidRPr="005C39F7" w:rsidRDefault="005C39F7" w:rsidP="005C39F7">
      <w:pPr>
        <w:spacing w:before="0"/>
        <w:ind w:firstLine="0"/>
        <w:contextualSpacing/>
        <w:mirrorIndents/>
        <w:rPr>
          <w:rFonts w:eastAsia="Calibri" w:cs="Times New Roman"/>
          <w:b/>
          <w:szCs w:val="24"/>
        </w:rPr>
      </w:pPr>
      <w:r w:rsidRPr="005C39F7">
        <w:rPr>
          <w:rFonts w:eastAsia="Calibri" w:cs="Times New Roman"/>
          <w:b/>
          <w:szCs w:val="24"/>
        </w:rPr>
        <w:t>IV.2.3.-Préstamo hipotecario: especial referencia a las cláusulas suelo</w:t>
      </w:r>
    </w:p>
    <w:p w:rsidR="005C39F7" w:rsidRPr="005C39F7" w:rsidRDefault="005C39F7" w:rsidP="005C39F7">
      <w:pPr>
        <w:spacing w:before="0"/>
        <w:ind w:firstLine="0"/>
        <w:contextualSpacing/>
        <w:mirrorIndents/>
        <w:rPr>
          <w:rFonts w:eastAsia="Calibri" w:cs="Times New Roman"/>
          <w:bCs/>
          <w:color w:val="333333"/>
          <w:szCs w:val="24"/>
          <w:shd w:val="clear" w:color="auto" w:fill="FFFFFF"/>
        </w:rPr>
      </w:pPr>
    </w:p>
    <w:p w:rsidR="005C39F7" w:rsidRPr="005C39F7" w:rsidRDefault="005C39F7" w:rsidP="005C39F7">
      <w:pPr>
        <w:spacing w:before="0"/>
        <w:ind w:firstLine="0"/>
        <w:contextualSpacing/>
        <w:mirrorIndents/>
        <w:rPr>
          <w:rFonts w:eastAsia="Calibri" w:cs="Times New Roman"/>
          <w:color w:val="FF0000"/>
          <w:szCs w:val="24"/>
        </w:rPr>
      </w:pPr>
      <w:r w:rsidRPr="005C39F7">
        <w:rPr>
          <w:rFonts w:eastAsia="Calibri" w:cs="Times New Roman"/>
          <w:bCs/>
          <w:color w:val="333333"/>
          <w:szCs w:val="24"/>
          <w:shd w:val="clear" w:color="auto" w:fill="FFFFFF"/>
        </w:rPr>
        <w:t>En cuanto al tratamiento fiscal de las cantidades percibidas por la devolución de las cláusulas de tipos de interés de préstamos derivadas de acuerdos celebrados con las entidades financieras o del cumplimiento de sentencias o laudos arbitrales será el que a continuación se detalla</w:t>
      </w:r>
      <w:r w:rsidRPr="005C39F7">
        <w:rPr>
          <w:rFonts w:eastAsia="Calibri" w:cs="Times New Roman"/>
          <w:bCs/>
          <w:color w:val="333333"/>
          <w:szCs w:val="24"/>
          <w:shd w:val="clear" w:color="auto" w:fill="FFFFFF"/>
          <w:vertAlign w:val="superscript"/>
        </w:rPr>
        <w:footnoteReference w:id="25"/>
      </w:r>
    </w:p>
    <w:p w:rsidR="005C39F7" w:rsidRPr="005C39F7" w:rsidRDefault="005C39F7" w:rsidP="005C39F7">
      <w:pPr>
        <w:spacing w:before="0"/>
        <w:ind w:firstLine="0"/>
        <w:contextualSpacing/>
        <w:mirrorIndents/>
        <w:rPr>
          <w:rFonts w:eastAsia="Times New Roman" w:cs="Times New Roman"/>
          <w:szCs w:val="24"/>
          <w:lang w:eastAsia="es-ES"/>
        </w:rPr>
      </w:pPr>
    </w:p>
    <w:p w:rsidR="005C39F7" w:rsidRPr="005C39F7" w:rsidRDefault="005C39F7" w:rsidP="005C39F7">
      <w:pPr>
        <w:spacing w:before="0"/>
        <w:ind w:firstLine="0"/>
        <w:contextualSpacing/>
        <w:mirrorIndents/>
        <w:rPr>
          <w:rFonts w:eastAsia="Times New Roman" w:cs="Times New Roman"/>
          <w:szCs w:val="24"/>
          <w:u w:val="single"/>
          <w:lang w:eastAsia="es-ES"/>
        </w:rPr>
      </w:pPr>
      <w:r w:rsidRPr="005C39F7">
        <w:rPr>
          <w:rFonts w:eastAsia="Times New Roman" w:cs="Times New Roman"/>
          <w:szCs w:val="24"/>
          <w:u w:val="single"/>
          <w:lang w:eastAsia="es-ES"/>
        </w:rPr>
        <w:t>No deben integrarse en la base imponible del IRPF.</w:t>
      </w:r>
    </w:p>
    <w:p w:rsidR="005C39F7" w:rsidRPr="005C39F7" w:rsidRDefault="005C39F7" w:rsidP="005C39F7">
      <w:pPr>
        <w:spacing w:before="0"/>
        <w:ind w:firstLine="0"/>
        <w:contextualSpacing/>
        <w:mirrorIndents/>
        <w:rPr>
          <w:rFonts w:eastAsia="Times New Roman" w:cs="Times New Roman"/>
          <w:szCs w:val="24"/>
          <w:lang w:eastAsia="es-ES"/>
        </w:rPr>
      </w:pPr>
    </w:p>
    <w:p w:rsidR="005C39F7" w:rsidRPr="005C39F7" w:rsidRDefault="005C39F7" w:rsidP="005C39F7">
      <w:pPr>
        <w:spacing w:before="0"/>
        <w:ind w:firstLine="0"/>
        <w:contextualSpacing/>
        <w:mirrorIndents/>
        <w:rPr>
          <w:rFonts w:eastAsia="Times New Roman" w:cs="Times New Roman"/>
          <w:szCs w:val="24"/>
          <w:lang w:eastAsia="es-ES"/>
        </w:rPr>
      </w:pPr>
      <w:r w:rsidRPr="005C39F7">
        <w:rPr>
          <w:rFonts w:eastAsia="Times New Roman" w:cs="Times New Roman"/>
          <w:szCs w:val="24"/>
          <w:lang w:eastAsia="es-ES"/>
        </w:rPr>
        <w:t xml:space="preserve">Conforme establece el </w:t>
      </w:r>
      <w:proofErr w:type="spellStart"/>
      <w:r w:rsidRPr="005C39F7">
        <w:rPr>
          <w:rFonts w:eastAsia="Times New Roman" w:cs="Times New Roman"/>
          <w:szCs w:val="24"/>
          <w:lang w:eastAsia="es-ES"/>
        </w:rPr>
        <w:t>aptdo</w:t>
      </w:r>
      <w:proofErr w:type="spellEnd"/>
      <w:r w:rsidRPr="005C39F7">
        <w:rPr>
          <w:rFonts w:eastAsia="Times New Roman" w:cs="Times New Roman"/>
          <w:szCs w:val="24"/>
          <w:lang w:eastAsia="es-ES"/>
        </w:rPr>
        <w:t xml:space="preserve"> 1 de la </w:t>
      </w:r>
      <w:proofErr w:type="spellStart"/>
      <w:r w:rsidRPr="005C39F7">
        <w:rPr>
          <w:rFonts w:eastAsia="Times New Roman" w:cs="Times New Roman"/>
          <w:szCs w:val="24"/>
          <w:lang w:eastAsia="es-ES"/>
        </w:rPr>
        <w:t>Disp.Adic</w:t>
      </w:r>
      <w:proofErr w:type="spellEnd"/>
      <w:r w:rsidRPr="005C39F7">
        <w:rPr>
          <w:rFonts w:eastAsia="Times New Roman" w:cs="Times New Roman"/>
          <w:szCs w:val="24"/>
          <w:lang w:eastAsia="es-ES"/>
        </w:rPr>
        <w:t xml:space="preserve">. 45 de la </w:t>
      </w:r>
      <w:r w:rsidRPr="005C39F7">
        <w:rPr>
          <w:rFonts w:eastAsia="Calibri" w:cs="Times New Roman"/>
          <w:szCs w:val="24"/>
        </w:rPr>
        <w:t xml:space="preserve">Ley 35/2006, de 28 de noviembre, del Impuesto sobre la Renta de las Personas Físicas   RCL 2006\2123 </w:t>
      </w:r>
      <w:r w:rsidRPr="005C39F7">
        <w:rPr>
          <w:rFonts w:eastAsia="Times New Roman" w:cs="Times New Roman"/>
          <w:szCs w:val="24"/>
          <w:lang w:eastAsia="es-ES"/>
        </w:rPr>
        <w:t>queda excluido de la base imponible del IRPF:</w:t>
      </w:r>
    </w:p>
    <w:p w:rsidR="005C39F7" w:rsidRPr="005C39F7" w:rsidRDefault="005C39F7" w:rsidP="005C39F7">
      <w:pPr>
        <w:spacing w:before="0"/>
        <w:ind w:firstLine="0"/>
        <w:contextualSpacing/>
        <w:mirrorIndents/>
        <w:rPr>
          <w:rFonts w:eastAsia="Times New Roman" w:cs="Times New Roman"/>
          <w:szCs w:val="24"/>
          <w:lang w:eastAsia="es-ES"/>
        </w:rPr>
      </w:pPr>
    </w:p>
    <w:p w:rsidR="005C39F7" w:rsidRPr="005C39F7" w:rsidRDefault="005C39F7" w:rsidP="005C39F7">
      <w:pPr>
        <w:spacing w:before="0"/>
        <w:ind w:left="708" w:firstLine="0"/>
        <w:contextualSpacing/>
        <w:mirrorIndents/>
        <w:rPr>
          <w:rFonts w:eastAsia="Times New Roman" w:cs="Times New Roman"/>
          <w:szCs w:val="24"/>
          <w:lang w:eastAsia="es-ES"/>
        </w:rPr>
      </w:pPr>
      <w:r w:rsidRPr="005C39F7">
        <w:rPr>
          <w:rFonts w:eastAsia="Times New Roman" w:cs="Times New Roman"/>
          <w:szCs w:val="24"/>
          <w:lang w:eastAsia="es-ES"/>
        </w:rPr>
        <w:t>1.-Las </w:t>
      </w:r>
      <w:r w:rsidRPr="005C39F7">
        <w:rPr>
          <w:rFonts w:eastAsia="Times New Roman" w:cs="Times New Roman"/>
          <w:bCs/>
          <w:szCs w:val="24"/>
          <w:lang w:eastAsia="es-ES"/>
        </w:rPr>
        <w:t>cantidades devueltas</w:t>
      </w:r>
      <w:r w:rsidRPr="005C39F7">
        <w:rPr>
          <w:rFonts w:eastAsia="Times New Roman" w:cs="Times New Roman"/>
          <w:szCs w:val="24"/>
          <w:lang w:eastAsia="es-ES"/>
        </w:rPr>
        <w:t xml:space="preserve"> derivadas de acuerdos celebrados con entidades </w:t>
      </w:r>
      <w:proofErr w:type="gramStart"/>
      <w:r w:rsidRPr="005C39F7">
        <w:rPr>
          <w:rFonts w:eastAsia="Times New Roman" w:cs="Times New Roman"/>
          <w:szCs w:val="24"/>
          <w:lang w:eastAsia="es-ES"/>
        </w:rPr>
        <w:t xml:space="preserve">financieras, </w:t>
      </w:r>
      <w:r w:rsidRPr="005C39F7">
        <w:rPr>
          <w:rFonts w:eastAsia="Times New Roman" w:cs="Times New Roman"/>
          <w:bCs/>
          <w:szCs w:val="24"/>
          <w:lang w:eastAsia="es-ES"/>
        </w:rPr>
        <w:t> </w:t>
      </w:r>
      <w:r w:rsidRPr="005C39F7">
        <w:rPr>
          <w:rFonts w:eastAsia="Times New Roman" w:cs="Times New Roman"/>
          <w:szCs w:val="24"/>
          <w:lang w:eastAsia="es-ES"/>
        </w:rPr>
        <w:t>por</w:t>
      </w:r>
      <w:proofErr w:type="gramEnd"/>
      <w:r w:rsidRPr="005C39F7">
        <w:rPr>
          <w:rFonts w:eastAsia="Times New Roman" w:cs="Times New Roman"/>
          <w:szCs w:val="24"/>
          <w:lang w:eastAsia="es-ES"/>
        </w:rPr>
        <w:t xml:space="preserve"> la aplicación de cláusulas de limitación de tipos de interés de préstamos (cláusulas suelo)</w:t>
      </w:r>
    </w:p>
    <w:p w:rsidR="005C39F7" w:rsidRPr="005C39F7" w:rsidRDefault="005C39F7" w:rsidP="005C39F7">
      <w:pPr>
        <w:spacing w:before="0"/>
        <w:ind w:firstLine="0"/>
        <w:contextualSpacing/>
        <w:mirrorIndents/>
        <w:rPr>
          <w:rFonts w:eastAsia="Times New Roman" w:cs="Times New Roman"/>
          <w:szCs w:val="24"/>
          <w:lang w:eastAsia="es-ES"/>
        </w:rPr>
      </w:pPr>
    </w:p>
    <w:p w:rsidR="005C39F7" w:rsidRPr="005C39F7" w:rsidRDefault="005C39F7" w:rsidP="005C39F7">
      <w:pPr>
        <w:spacing w:before="0"/>
        <w:ind w:firstLine="0"/>
        <w:contextualSpacing/>
        <w:mirrorIndents/>
        <w:rPr>
          <w:rFonts w:eastAsia="Times New Roman" w:cs="Times New Roman"/>
          <w:szCs w:val="24"/>
          <w:lang w:eastAsia="es-ES"/>
        </w:rPr>
      </w:pPr>
      <w:r w:rsidRPr="005C39F7">
        <w:rPr>
          <w:rFonts w:eastAsia="Times New Roman" w:cs="Times New Roman"/>
          <w:szCs w:val="24"/>
          <w:lang w:eastAsia="es-ES"/>
        </w:rPr>
        <w:t>2.- L</w:t>
      </w:r>
      <w:r w:rsidRPr="005C39F7">
        <w:rPr>
          <w:rFonts w:eastAsia="Times New Roman" w:cs="Times New Roman"/>
          <w:bCs/>
          <w:szCs w:val="24"/>
          <w:lang w:eastAsia="es-ES"/>
        </w:rPr>
        <w:t>os intereses indemnizatorios </w:t>
      </w:r>
      <w:r w:rsidRPr="005C39F7">
        <w:rPr>
          <w:rFonts w:eastAsia="Times New Roman" w:cs="Times New Roman"/>
          <w:szCs w:val="24"/>
          <w:lang w:eastAsia="es-ES"/>
        </w:rPr>
        <w:t>relacionados con los mismos.</w:t>
      </w:r>
    </w:p>
    <w:p w:rsidR="005C39F7" w:rsidRPr="005C39F7" w:rsidRDefault="005C39F7" w:rsidP="005C39F7">
      <w:pPr>
        <w:spacing w:before="0"/>
        <w:ind w:firstLine="0"/>
        <w:contextualSpacing/>
        <w:mirrorIndents/>
        <w:rPr>
          <w:rFonts w:eastAsia="Times New Roman" w:cs="Times New Roman"/>
          <w:szCs w:val="24"/>
          <w:lang w:eastAsia="es-ES"/>
        </w:rPr>
      </w:pPr>
    </w:p>
    <w:p w:rsidR="005C39F7" w:rsidRPr="005C39F7" w:rsidRDefault="005C39F7" w:rsidP="005C39F7">
      <w:pPr>
        <w:spacing w:before="0"/>
        <w:ind w:firstLine="0"/>
        <w:contextualSpacing/>
        <w:mirrorIndents/>
        <w:rPr>
          <w:rFonts w:eastAsia="Times New Roman" w:cs="Times New Roman"/>
          <w:szCs w:val="24"/>
          <w:u w:val="single"/>
          <w:lang w:eastAsia="es-ES"/>
        </w:rPr>
      </w:pPr>
      <w:r w:rsidRPr="005C39F7">
        <w:rPr>
          <w:rFonts w:eastAsia="Times New Roman" w:cs="Times New Roman"/>
          <w:szCs w:val="24"/>
          <w:u w:val="single"/>
          <w:lang w:eastAsia="es-ES"/>
        </w:rPr>
        <w:t>Regularizaciones cuando ha habido gasto deducible por inversión en vivienda habitual</w:t>
      </w:r>
    </w:p>
    <w:p w:rsidR="005C39F7" w:rsidRPr="005C39F7" w:rsidRDefault="005C39F7" w:rsidP="005C39F7">
      <w:pPr>
        <w:spacing w:before="0"/>
        <w:ind w:firstLine="0"/>
        <w:contextualSpacing/>
        <w:mirrorIndents/>
        <w:rPr>
          <w:rFonts w:eastAsia="Times New Roman" w:cs="Times New Roman"/>
          <w:szCs w:val="24"/>
          <w:lang w:eastAsia="es-ES"/>
        </w:rPr>
      </w:pPr>
    </w:p>
    <w:p w:rsidR="005C39F7" w:rsidRPr="005C39F7" w:rsidRDefault="005C39F7" w:rsidP="005C39F7">
      <w:pPr>
        <w:spacing w:before="0"/>
        <w:ind w:firstLine="0"/>
        <w:contextualSpacing/>
        <w:mirrorIndents/>
        <w:rPr>
          <w:rFonts w:eastAsia="Times New Roman" w:cs="Times New Roman"/>
          <w:szCs w:val="24"/>
          <w:lang w:eastAsia="es-ES"/>
        </w:rPr>
      </w:pPr>
      <w:r w:rsidRPr="005C39F7">
        <w:rPr>
          <w:rFonts w:eastAsia="Times New Roman" w:cs="Times New Roman"/>
          <w:szCs w:val="24"/>
          <w:lang w:eastAsia="es-ES"/>
        </w:rPr>
        <w:lastRenderedPageBreak/>
        <w:t xml:space="preserve">No obstante, el </w:t>
      </w:r>
      <w:proofErr w:type="spellStart"/>
      <w:r w:rsidRPr="005C39F7">
        <w:rPr>
          <w:rFonts w:eastAsia="Times New Roman" w:cs="Times New Roman"/>
          <w:szCs w:val="24"/>
          <w:lang w:eastAsia="es-ES"/>
        </w:rPr>
        <w:t>aptdo</w:t>
      </w:r>
      <w:proofErr w:type="spellEnd"/>
      <w:r w:rsidRPr="005C39F7">
        <w:rPr>
          <w:rFonts w:eastAsia="Times New Roman" w:cs="Times New Roman"/>
          <w:szCs w:val="24"/>
          <w:lang w:eastAsia="es-ES"/>
        </w:rPr>
        <w:t xml:space="preserve"> 2 de la </w:t>
      </w:r>
      <w:proofErr w:type="spellStart"/>
      <w:r w:rsidRPr="005C39F7">
        <w:rPr>
          <w:rFonts w:eastAsia="Times New Roman" w:cs="Times New Roman"/>
          <w:szCs w:val="24"/>
          <w:lang w:eastAsia="es-ES"/>
        </w:rPr>
        <w:t>Disp.Adic</w:t>
      </w:r>
      <w:proofErr w:type="spellEnd"/>
      <w:r w:rsidRPr="005C39F7">
        <w:rPr>
          <w:rFonts w:eastAsia="Times New Roman" w:cs="Times New Roman"/>
          <w:szCs w:val="24"/>
          <w:lang w:eastAsia="es-ES"/>
        </w:rPr>
        <w:t xml:space="preserve">. 45 de la </w:t>
      </w:r>
      <w:r w:rsidRPr="005C39F7">
        <w:rPr>
          <w:rFonts w:eastAsia="Calibri" w:cs="Times New Roman"/>
          <w:szCs w:val="24"/>
        </w:rPr>
        <w:t xml:space="preserve">Ley 35/2006, de 28 de noviembre, del Impuesto sobre la Renta de las Personas Físicas   RCL 2006\2123 </w:t>
      </w:r>
      <w:r w:rsidRPr="005C39F7">
        <w:rPr>
          <w:rFonts w:eastAsia="Times New Roman" w:cs="Times New Roman"/>
          <w:szCs w:val="24"/>
          <w:lang w:eastAsia="es-ES"/>
        </w:rPr>
        <w:t>establece unos supuestos de regularización</w:t>
      </w:r>
      <w:r w:rsidRPr="005C39F7">
        <w:rPr>
          <w:rFonts w:eastAsia="Times New Roman" w:cs="Times New Roman"/>
          <w:szCs w:val="24"/>
          <w:vertAlign w:val="superscript"/>
          <w:lang w:eastAsia="es-ES"/>
        </w:rPr>
        <w:footnoteReference w:id="26"/>
      </w:r>
      <w:r w:rsidRPr="005C39F7">
        <w:rPr>
          <w:rFonts w:eastAsia="Times New Roman" w:cs="Times New Roman"/>
          <w:szCs w:val="24"/>
          <w:lang w:eastAsia="es-ES"/>
        </w:rPr>
        <w:t>, en los casos en que dichos intereses hubieran formado parte de la </w:t>
      </w:r>
      <w:r w:rsidRPr="005C39F7">
        <w:rPr>
          <w:rFonts w:eastAsia="Times New Roman" w:cs="Times New Roman"/>
          <w:bCs/>
          <w:szCs w:val="24"/>
          <w:lang w:eastAsia="es-ES"/>
        </w:rPr>
        <w:t>deducción por inversión en vivienda habitual</w:t>
      </w:r>
      <w:r w:rsidRPr="005C39F7">
        <w:rPr>
          <w:rFonts w:eastAsia="Times New Roman" w:cs="Times New Roman"/>
          <w:szCs w:val="24"/>
          <w:lang w:eastAsia="es-ES"/>
        </w:rPr>
        <w:t> o deducciones establecidas por las Comunidades Autónomas, o hubieran tenido la consideración de gasto deducible.</w:t>
      </w:r>
    </w:p>
    <w:p w:rsidR="005C39F7" w:rsidRPr="005C39F7" w:rsidRDefault="005C39F7" w:rsidP="005C39F7">
      <w:pPr>
        <w:spacing w:before="0"/>
        <w:ind w:firstLine="0"/>
        <w:contextualSpacing/>
        <w:mirrorIndents/>
        <w:rPr>
          <w:rFonts w:eastAsia="Times New Roman" w:cs="Times New Roman"/>
          <w:szCs w:val="24"/>
          <w:lang w:eastAsia="es-ES"/>
        </w:rPr>
      </w:pPr>
    </w:p>
    <w:p w:rsidR="005C39F7" w:rsidRPr="005C39F7" w:rsidRDefault="005C39F7" w:rsidP="005C39F7">
      <w:pPr>
        <w:spacing w:before="0"/>
        <w:ind w:firstLine="0"/>
        <w:contextualSpacing/>
        <w:mirrorIndents/>
        <w:rPr>
          <w:rFonts w:eastAsia="Times New Roman" w:cs="Times New Roman"/>
          <w:szCs w:val="24"/>
          <w:lang w:eastAsia="es-ES"/>
        </w:rPr>
      </w:pPr>
      <w:r w:rsidRPr="005C39F7">
        <w:rPr>
          <w:rFonts w:eastAsia="Times New Roman" w:cs="Times New Roman"/>
          <w:szCs w:val="24"/>
          <w:lang w:eastAsia="es-ES"/>
        </w:rPr>
        <w:t>En el primero de los supuestos deberá incluir los importes deducidos en la declaración del IRPF del </w:t>
      </w:r>
      <w:r w:rsidRPr="005C39F7">
        <w:rPr>
          <w:rFonts w:eastAsia="Times New Roman" w:cs="Times New Roman"/>
          <w:bCs/>
          <w:szCs w:val="24"/>
          <w:lang w:eastAsia="es-ES"/>
        </w:rPr>
        <w:t>ejercicio en que se hubiera producido la sentencia, el laudo arbitral o el acuerdo</w:t>
      </w:r>
      <w:r w:rsidRPr="005C39F7">
        <w:rPr>
          <w:rFonts w:eastAsia="Times New Roman" w:cs="Times New Roman"/>
          <w:szCs w:val="24"/>
          <w:lang w:eastAsia="es-ES"/>
        </w:rPr>
        <w:t> con la entidad, en los términos previstos en el artículo 59 del RIRPF, pero </w:t>
      </w:r>
      <w:r w:rsidRPr="005C39F7">
        <w:rPr>
          <w:rFonts w:eastAsia="Times New Roman" w:cs="Times New Roman"/>
          <w:bCs/>
          <w:szCs w:val="24"/>
          <w:lang w:eastAsia="es-ES"/>
        </w:rPr>
        <w:t>sin inclusión de intereses de demora.</w:t>
      </w:r>
    </w:p>
    <w:p w:rsidR="005C39F7" w:rsidRPr="005C39F7" w:rsidRDefault="005C39F7" w:rsidP="005C39F7">
      <w:pPr>
        <w:spacing w:before="0"/>
        <w:ind w:firstLine="0"/>
        <w:contextualSpacing/>
        <w:mirrorIndents/>
        <w:rPr>
          <w:rFonts w:eastAsia="Times New Roman" w:cs="Times New Roman"/>
          <w:szCs w:val="24"/>
          <w:lang w:eastAsia="es-ES"/>
        </w:rPr>
      </w:pPr>
    </w:p>
    <w:p w:rsidR="005C39F7" w:rsidRPr="005C39F7" w:rsidRDefault="005C39F7" w:rsidP="005C39F7">
      <w:pPr>
        <w:spacing w:before="0"/>
        <w:ind w:firstLine="0"/>
        <w:contextualSpacing/>
        <w:mirrorIndents/>
        <w:rPr>
          <w:rFonts w:eastAsia="Times New Roman" w:cs="Times New Roman"/>
          <w:szCs w:val="24"/>
          <w:lang w:eastAsia="es-ES"/>
        </w:rPr>
      </w:pPr>
      <w:r w:rsidRPr="005C39F7">
        <w:rPr>
          <w:rFonts w:eastAsia="Times New Roman" w:cs="Times New Roman"/>
          <w:szCs w:val="24"/>
          <w:lang w:eastAsia="es-ES"/>
        </w:rPr>
        <w:t xml:space="preserve">Por el </w:t>
      </w:r>
      <w:proofErr w:type="gramStart"/>
      <w:r w:rsidRPr="005C39F7">
        <w:rPr>
          <w:rFonts w:eastAsia="Times New Roman" w:cs="Times New Roman"/>
          <w:szCs w:val="24"/>
          <w:lang w:eastAsia="es-ES"/>
        </w:rPr>
        <w:t>contrario</w:t>
      </w:r>
      <w:proofErr w:type="gramEnd"/>
      <w:r w:rsidRPr="005C39F7">
        <w:rPr>
          <w:rFonts w:eastAsia="Times New Roman" w:cs="Times New Roman"/>
          <w:szCs w:val="24"/>
          <w:lang w:eastAsia="es-ES"/>
        </w:rPr>
        <w:t xml:space="preserve"> no será de aplicación esta regularización si la entidad financiera, en lugar de devolver al contribuyente las cantidades pagadas lo que hace es </w:t>
      </w:r>
      <w:r w:rsidRPr="005C39F7">
        <w:rPr>
          <w:rFonts w:eastAsia="Times New Roman" w:cs="Times New Roman"/>
          <w:bCs/>
          <w:szCs w:val="24"/>
          <w:lang w:eastAsia="es-ES"/>
        </w:rPr>
        <w:t>reducir el principal del préstamo.</w:t>
      </w:r>
      <w:r w:rsidRPr="005C39F7">
        <w:rPr>
          <w:rFonts w:eastAsia="Times New Roman" w:cs="Times New Roman"/>
          <w:szCs w:val="24"/>
          <w:lang w:eastAsia="es-ES"/>
        </w:rPr>
        <w:t xml:space="preserve"> Por su parte, la reducción del principal del préstamo tampoco generará derecho a aplicar la deducción por inversión en vivienda habitual.</w:t>
      </w:r>
    </w:p>
    <w:p w:rsidR="005C39F7" w:rsidRPr="005C39F7" w:rsidRDefault="005C39F7" w:rsidP="005C39F7">
      <w:pPr>
        <w:spacing w:before="0"/>
        <w:ind w:firstLine="0"/>
        <w:contextualSpacing/>
        <w:mirrorIndents/>
        <w:rPr>
          <w:rFonts w:eastAsia="Times New Roman" w:cs="Times New Roman"/>
          <w:szCs w:val="24"/>
          <w:lang w:eastAsia="es-ES"/>
        </w:rPr>
      </w:pPr>
    </w:p>
    <w:p w:rsidR="005C39F7" w:rsidRPr="005C39F7" w:rsidRDefault="005C39F7" w:rsidP="005C39F7">
      <w:pPr>
        <w:spacing w:before="0"/>
        <w:ind w:firstLine="0"/>
        <w:contextualSpacing/>
        <w:mirrorIndents/>
        <w:rPr>
          <w:rFonts w:eastAsia="Times New Roman" w:cs="Times New Roman"/>
          <w:szCs w:val="24"/>
          <w:lang w:eastAsia="es-ES"/>
        </w:rPr>
      </w:pPr>
      <w:r w:rsidRPr="005C39F7">
        <w:rPr>
          <w:rFonts w:eastAsia="Times New Roman" w:cs="Times New Roman"/>
          <w:szCs w:val="24"/>
          <w:lang w:eastAsia="es-ES"/>
        </w:rPr>
        <w:t>En el supuesto de que el contribuyente hubiera incluido, en declaraciones de años anteriores, los importes ahora percibidos como gasto deducible, estos perderán tal consideración debiendo presentarse </w:t>
      </w:r>
      <w:r w:rsidRPr="005C39F7">
        <w:rPr>
          <w:rFonts w:eastAsia="Times New Roman" w:cs="Times New Roman"/>
          <w:bCs/>
          <w:i/>
          <w:szCs w:val="24"/>
          <w:lang w:eastAsia="es-ES"/>
        </w:rPr>
        <w:t>declaraciones complementarias</w:t>
      </w:r>
      <w:r w:rsidRPr="005C39F7">
        <w:rPr>
          <w:rFonts w:eastAsia="Times New Roman" w:cs="Times New Roman"/>
          <w:bCs/>
          <w:szCs w:val="24"/>
          <w:lang w:eastAsia="es-ES"/>
        </w:rPr>
        <w:t xml:space="preserve"> de los correspondientes ejercicios, suprimiendo dichos </w:t>
      </w:r>
      <w:proofErr w:type="gramStart"/>
      <w:r w:rsidRPr="005C39F7">
        <w:rPr>
          <w:rFonts w:eastAsia="Times New Roman" w:cs="Times New Roman"/>
          <w:bCs/>
          <w:szCs w:val="24"/>
          <w:lang w:eastAsia="es-ES"/>
        </w:rPr>
        <w:t>gastos,  sin</w:t>
      </w:r>
      <w:proofErr w:type="gramEnd"/>
      <w:r w:rsidRPr="005C39F7">
        <w:rPr>
          <w:rFonts w:eastAsia="Times New Roman" w:cs="Times New Roman"/>
          <w:bCs/>
          <w:szCs w:val="24"/>
          <w:lang w:eastAsia="es-ES"/>
        </w:rPr>
        <w:t xml:space="preserve"> sanción ni intereses de demora ni recargo</w:t>
      </w:r>
      <w:r w:rsidRPr="005C39F7">
        <w:rPr>
          <w:rFonts w:eastAsia="Times New Roman" w:cs="Times New Roman"/>
          <w:szCs w:val="24"/>
          <w:lang w:eastAsia="es-ES"/>
        </w:rPr>
        <w:t> alguno.</w:t>
      </w:r>
    </w:p>
    <w:p w:rsidR="005C39F7" w:rsidRPr="005C39F7" w:rsidRDefault="005C39F7" w:rsidP="005C39F7">
      <w:pPr>
        <w:spacing w:before="0"/>
        <w:ind w:firstLine="0"/>
        <w:contextualSpacing/>
        <w:mirrorIndents/>
        <w:rPr>
          <w:rFonts w:eastAsia="Times New Roman" w:cs="Times New Roman"/>
          <w:szCs w:val="24"/>
          <w:lang w:eastAsia="es-ES"/>
        </w:rPr>
      </w:pPr>
    </w:p>
    <w:p w:rsidR="005C39F7" w:rsidRPr="005C39F7" w:rsidRDefault="005C39F7" w:rsidP="005C39F7">
      <w:pPr>
        <w:spacing w:before="0"/>
        <w:ind w:firstLine="0"/>
        <w:contextualSpacing/>
        <w:mirrorIndents/>
        <w:rPr>
          <w:rFonts w:eastAsia="Times New Roman" w:cs="Times New Roman"/>
          <w:szCs w:val="24"/>
          <w:lang w:eastAsia="es-ES"/>
        </w:rPr>
      </w:pPr>
      <w:r w:rsidRPr="005C39F7">
        <w:rPr>
          <w:rFonts w:eastAsia="Times New Roman" w:cs="Times New Roman"/>
          <w:szCs w:val="24"/>
          <w:lang w:eastAsia="es-ES"/>
        </w:rPr>
        <w:t>El plazo de presentación de las declaraciones complementarias será el comprendido entre la fecha de la sentencia, laudo o acuerdo y la finalización del siguiente plazo de presentación de autoliquidación por el IRPF.</w:t>
      </w:r>
    </w:p>
    <w:p w:rsidR="005C39F7" w:rsidRPr="005C39F7" w:rsidRDefault="005C39F7" w:rsidP="005C39F7">
      <w:pPr>
        <w:spacing w:before="0"/>
        <w:ind w:firstLine="0"/>
        <w:contextualSpacing/>
        <w:mirrorIndents/>
        <w:rPr>
          <w:rFonts w:eastAsia="Times New Roman" w:cs="Times New Roman"/>
          <w:szCs w:val="24"/>
          <w:lang w:eastAsia="es-ES"/>
        </w:rPr>
      </w:pPr>
    </w:p>
    <w:p w:rsidR="005C39F7" w:rsidRPr="005C39F7" w:rsidRDefault="005C39F7" w:rsidP="005C39F7">
      <w:pPr>
        <w:spacing w:before="0"/>
        <w:ind w:firstLine="0"/>
        <w:contextualSpacing/>
        <w:mirrorIndents/>
        <w:rPr>
          <w:rFonts w:eastAsia="Times New Roman" w:cs="Times New Roman"/>
          <w:szCs w:val="24"/>
          <w:u w:val="single"/>
          <w:lang w:eastAsia="es-ES"/>
        </w:rPr>
      </w:pPr>
      <w:proofErr w:type="gramStart"/>
      <w:r w:rsidRPr="005C39F7">
        <w:rPr>
          <w:rFonts w:eastAsia="Times New Roman" w:cs="Times New Roman"/>
          <w:szCs w:val="24"/>
          <w:u w:val="single"/>
          <w:lang w:eastAsia="es-ES"/>
        </w:rPr>
        <w:t>Forma  y</w:t>
      </w:r>
      <w:proofErr w:type="gramEnd"/>
      <w:r w:rsidRPr="005C39F7">
        <w:rPr>
          <w:rFonts w:eastAsia="Times New Roman" w:cs="Times New Roman"/>
          <w:szCs w:val="24"/>
          <w:u w:val="single"/>
          <w:lang w:eastAsia="es-ES"/>
        </w:rPr>
        <w:t xml:space="preserve"> plazo de las regularizaciones</w:t>
      </w:r>
    </w:p>
    <w:p w:rsidR="005C39F7" w:rsidRPr="005C39F7" w:rsidRDefault="005C39F7" w:rsidP="005C39F7">
      <w:pPr>
        <w:spacing w:before="0"/>
        <w:ind w:firstLine="0"/>
        <w:contextualSpacing/>
        <w:mirrorIndents/>
        <w:rPr>
          <w:rFonts w:eastAsia="Times New Roman" w:cs="Times New Roman"/>
          <w:szCs w:val="24"/>
          <w:lang w:eastAsia="es-ES"/>
        </w:rPr>
      </w:pPr>
    </w:p>
    <w:p w:rsidR="005C39F7" w:rsidRPr="005C39F7" w:rsidRDefault="005C39F7" w:rsidP="005C39F7">
      <w:pPr>
        <w:spacing w:before="0"/>
        <w:ind w:firstLine="0"/>
        <w:contextualSpacing/>
        <w:mirrorIndents/>
        <w:rPr>
          <w:rFonts w:eastAsia="Times New Roman" w:cs="Times New Roman"/>
          <w:szCs w:val="24"/>
          <w:lang w:eastAsia="es-ES"/>
        </w:rPr>
      </w:pPr>
      <w:r w:rsidRPr="005C39F7">
        <w:rPr>
          <w:rFonts w:eastAsia="Times New Roman" w:cs="Times New Roman"/>
          <w:szCs w:val="24"/>
          <w:lang w:eastAsia="es-ES"/>
        </w:rPr>
        <w:t xml:space="preserve">En función del año en que se produzca el acuerdo, sentencia o laudo, la forma de regularizar y los ejercicios afectados varían. </w:t>
      </w:r>
    </w:p>
    <w:p w:rsidR="005C39F7" w:rsidRPr="005C39F7" w:rsidRDefault="005C39F7" w:rsidP="005C39F7">
      <w:pPr>
        <w:spacing w:before="0"/>
        <w:ind w:firstLine="0"/>
        <w:contextualSpacing/>
        <w:mirrorIndents/>
        <w:rPr>
          <w:rFonts w:eastAsia="Times New Roman" w:cs="Times New Roman"/>
          <w:szCs w:val="24"/>
          <w:lang w:eastAsia="es-ES"/>
        </w:rPr>
      </w:pPr>
    </w:p>
    <w:p w:rsidR="005C39F7" w:rsidRPr="005C39F7" w:rsidRDefault="005C39F7" w:rsidP="005C39F7">
      <w:pPr>
        <w:spacing w:before="0"/>
        <w:ind w:firstLine="0"/>
        <w:contextualSpacing/>
        <w:mirrorIndents/>
        <w:rPr>
          <w:rFonts w:eastAsia="Times New Roman" w:cs="Times New Roman"/>
          <w:szCs w:val="24"/>
          <w:lang w:eastAsia="es-ES"/>
        </w:rPr>
      </w:pPr>
      <w:r w:rsidRPr="005C39F7">
        <w:rPr>
          <w:rFonts w:eastAsia="Times New Roman" w:cs="Times New Roman"/>
          <w:szCs w:val="24"/>
          <w:lang w:eastAsia="es-ES"/>
        </w:rPr>
        <w:t xml:space="preserve">De tal manera que se pueden diferenciar los siguientes supuestos: </w:t>
      </w:r>
    </w:p>
    <w:p w:rsidR="005C39F7" w:rsidRPr="005C39F7" w:rsidRDefault="005C39F7" w:rsidP="005C39F7">
      <w:pPr>
        <w:spacing w:before="0"/>
        <w:ind w:firstLine="0"/>
        <w:contextualSpacing/>
        <w:mirrorIndents/>
        <w:rPr>
          <w:rFonts w:eastAsia="Times New Roman" w:cs="Times New Roman"/>
          <w:szCs w:val="24"/>
          <w:lang w:eastAsia="es-ES"/>
        </w:rPr>
      </w:pPr>
    </w:p>
    <w:p w:rsidR="005C39F7" w:rsidRPr="005C39F7" w:rsidRDefault="005C39F7" w:rsidP="005C39F7">
      <w:pPr>
        <w:tabs>
          <w:tab w:val="left" w:pos="8504"/>
        </w:tabs>
        <w:spacing w:before="0"/>
        <w:ind w:left="567" w:firstLine="0"/>
        <w:contextualSpacing/>
        <w:mirrorIndents/>
        <w:rPr>
          <w:rFonts w:eastAsia="Times New Roman" w:cs="Times New Roman"/>
          <w:i/>
          <w:szCs w:val="24"/>
          <w:lang w:eastAsia="es-ES"/>
        </w:rPr>
      </w:pPr>
      <w:r w:rsidRPr="005C39F7">
        <w:rPr>
          <w:rFonts w:eastAsia="Times New Roman" w:cs="Times New Roman"/>
          <w:bCs/>
          <w:i/>
          <w:szCs w:val="24"/>
          <w:lang w:eastAsia="es-ES"/>
        </w:rPr>
        <w:t>-El contribuyente había aplicado la deducción por inversión en vivienda habitual o deducciones establecidas por las Comunidades Autónomas, </w:t>
      </w:r>
      <w:r w:rsidRPr="005C39F7">
        <w:rPr>
          <w:rFonts w:eastAsia="Times New Roman" w:cs="Times New Roman"/>
          <w:i/>
          <w:szCs w:val="24"/>
          <w:lang w:eastAsia="es-ES"/>
        </w:rPr>
        <w:t>por las cantidades percibidas:</w:t>
      </w:r>
    </w:p>
    <w:p w:rsidR="005C39F7" w:rsidRPr="005C39F7" w:rsidRDefault="005C39F7" w:rsidP="005C39F7">
      <w:pPr>
        <w:tabs>
          <w:tab w:val="left" w:pos="8504"/>
        </w:tabs>
        <w:spacing w:before="0"/>
        <w:ind w:left="480" w:firstLine="0"/>
        <w:contextualSpacing/>
        <w:mirrorIndents/>
        <w:rPr>
          <w:rFonts w:eastAsia="Times New Roman" w:cs="Times New Roman"/>
          <w:i/>
          <w:szCs w:val="24"/>
          <w:lang w:eastAsia="es-ES"/>
        </w:rPr>
      </w:pPr>
    </w:p>
    <w:p w:rsidR="005C39F7" w:rsidRPr="005C39F7" w:rsidRDefault="005C39F7" w:rsidP="005C39F7">
      <w:pPr>
        <w:tabs>
          <w:tab w:val="left" w:pos="6804"/>
          <w:tab w:val="left" w:pos="8504"/>
        </w:tabs>
        <w:spacing w:before="0"/>
        <w:ind w:firstLine="0"/>
        <w:contextualSpacing/>
        <w:mirrorIndents/>
        <w:rPr>
          <w:rFonts w:eastAsia="Times New Roman" w:cs="Times New Roman"/>
          <w:szCs w:val="24"/>
          <w:lang w:eastAsia="es-ES"/>
        </w:rPr>
      </w:pPr>
      <w:r w:rsidRPr="005C39F7">
        <w:rPr>
          <w:rFonts w:eastAsia="Times New Roman" w:cs="Times New Roman"/>
          <w:bCs/>
          <w:i/>
          <w:szCs w:val="24"/>
          <w:lang w:eastAsia="es-ES"/>
        </w:rPr>
        <w:t>a. Sentencia, laudo o acuerdo del año 2016</w:t>
      </w:r>
      <w:r w:rsidRPr="005C39F7">
        <w:rPr>
          <w:rFonts w:eastAsia="Times New Roman" w:cs="Times New Roman"/>
          <w:bCs/>
          <w:szCs w:val="24"/>
          <w:lang w:eastAsia="es-ES"/>
        </w:rPr>
        <w:t>: </w:t>
      </w:r>
      <w:r w:rsidRPr="005C39F7">
        <w:rPr>
          <w:rFonts w:eastAsia="Times New Roman" w:cs="Times New Roman"/>
          <w:szCs w:val="24"/>
          <w:lang w:eastAsia="es-ES"/>
        </w:rPr>
        <w:t>En este caso la regularización de las cantidades deducidas se habrá debido efectuar en la declaración del año 2016 (que se presentó en abril, mayo y junio de 2017) y afectará, con carácter general, a las deducciones de los años 2012, 2013, 2014 y 2015.</w:t>
      </w:r>
    </w:p>
    <w:p w:rsidR="005C39F7" w:rsidRPr="005C39F7" w:rsidRDefault="005C39F7" w:rsidP="005C39F7">
      <w:pPr>
        <w:tabs>
          <w:tab w:val="left" w:pos="6804"/>
          <w:tab w:val="left" w:pos="8504"/>
        </w:tabs>
        <w:spacing w:before="0"/>
        <w:ind w:firstLine="0"/>
        <w:contextualSpacing/>
        <w:mirrorIndents/>
        <w:rPr>
          <w:rFonts w:eastAsia="Times New Roman" w:cs="Times New Roman"/>
          <w:szCs w:val="24"/>
          <w:lang w:eastAsia="es-ES"/>
        </w:rPr>
      </w:pPr>
    </w:p>
    <w:p w:rsidR="005C39F7" w:rsidRPr="005C39F7" w:rsidRDefault="005C39F7" w:rsidP="005C39F7">
      <w:pPr>
        <w:tabs>
          <w:tab w:val="left" w:pos="6804"/>
          <w:tab w:val="left" w:pos="8504"/>
        </w:tabs>
        <w:spacing w:before="0"/>
        <w:ind w:firstLine="0"/>
        <w:contextualSpacing/>
        <w:mirrorIndents/>
        <w:rPr>
          <w:rFonts w:eastAsia="Times New Roman" w:cs="Times New Roman"/>
          <w:szCs w:val="24"/>
          <w:lang w:eastAsia="es-ES"/>
        </w:rPr>
      </w:pPr>
      <w:r w:rsidRPr="005C39F7">
        <w:rPr>
          <w:rFonts w:eastAsia="Times New Roman" w:cs="Times New Roman"/>
          <w:szCs w:val="24"/>
          <w:lang w:eastAsia="es-ES"/>
        </w:rPr>
        <w:lastRenderedPageBreak/>
        <w:t xml:space="preserve">En el caso que entre </w:t>
      </w:r>
      <w:proofErr w:type="gramStart"/>
      <w:r w:rsidRPr="005C39F7">
        <w:rPr>
          <w:rFonts w:eastAsia="Times New Roman" w:cs="Times New Roman"/>
          <w:szCs w:val="24"/>
          <w:lang w:eastAsia="es-ES"/>
        </w:rPr>
        <w:t>las  cantidades</w:t>
      </w:r>
      <w:proofErr w:type="gramEnd"/>
      <w:r w:rsidRPr="005C39F7">
        <w:rPr>
          <w:rFonts w:eastAsia="Times New Roman" w:cs="Times New Roman"/>
          <w:szCs w:val="24"/>
          <w:lang w:eastAsia="es-ES"/>
        </w:rPr>
        <w:t xml:space="preserve"> devueltas haya intereses del año 2016, estos ya no se tendrán en cuenta para aplicar la deducción en vivienda dicho año.</w:t>
      </w:r>
    </w:p>
    <w:p w:rsidR="005C39F7" w:rsidRPr="005C39F7" w:rsidRDefault="005C39F7" w:rsidP="005C39F7">
      <w:pPr>
        <w:tabs>
          <w:tab w:val="left" w:pos="6804"/>
          <w:tab w:val="left" w:pos="8504"/>
        </w:tabs>
        <w:spacing w:before="0"/>
        <w:ind w:firstLine="0"/>
        <w:contextualSpacing/>
        <w:mirrorIndents/>
        <w:rPr>
          <w:rFonts w:eastAsia="Times New Roman" w:cs="Times New Roman"/>
          <w:szCs w:val="24"/>
          <w:lang w:eastAsia="es-ES"/>
        </w:rPr>
      </w:pPr>
    </w:p>
    <w:p w:rsidR="005C39F7" w:rsidRPr="005C39F7" w:rsidRDefault="005C39F7" w:rsidP="005C39F7">
      <w:pPr>
        <w:tabs>
          <w:tab w:val="left" w:pos="6804"/>
          <w:tab w:val="left" w:pos="8504"/>
        </w:tabs>
        <w:spacing w:before="0"/>
        <w:ind w:firstLine="0"/>
        <w:contextualSpacing/>
        <w:mirrorIndents/>
        <w:rPr>
          <w:rFonts w:eastAsia="Times New Roman" w:cs="Times New Roman"/>
          <w:szCs w:val="24"/>
          <w:lang w:eastAsia="es-ES"/>
        </w:rPr>
      </w:pPr>
      <w:r w:rsidRPr="005C39F7">
        <w:rPr>
          <w:rFonts w:eastAsia="Times New Roman" w:cs="Times New Roman"/>
          <w:bCs/>
          <w:i/>
          <w:szCs w:val="24"/>
          <w:lang w:eastAsia="es-ES"/>
        </w:rPr>
        <w:t>b. Acuerdo con la entidad financiera, sentencia o laudo del año 2017</w:t>
      </w:r>
      <w:r w:rsidRPr="005C39F7">
        <w:rPr>
          <w:rFonts w:eastAsia="Times New Roman" w:cs="Times New Roman"/>
          <w:bCs/>
          <w:szCs w:val="24"/>
          <w:lang w:eastAsia="es-ES"/>
        </w:rPr>
        <w:t>: </w:t>
      </w:r>
      <w:r w:rsidRPr="005C39F7">
        <w:rPr>
          <w:rFonts w:eastAsia="Times New Roman" w:cs="Times New Roman"/>
          <w:szCs w:val="24"/>
          <w:lang w:eastAsia="es-ES"/>
        </w:rPr>
        <w:t>En este caso la regularización de las cantidades deducidas se realizará en la declaración del año 2017 (que se presentará en abril, mayo y junio de 2018) y afectará, con carácter general, a las deducciones del año 2013, 2014, 2015 y 2016.</w:t>
      </w:r>
      <w:r w:rsidRPr="005C39F7">
        <w:rPr>
          <w:rFonts w:eastAsia="Times New Roman" w:cs="Times New Roman"/>
          <w:szCs w:val="24"/>
          <w:vertAlign w:val="superscript"/>
          <w:lang w:eastAsia="es-ES"/>
        </w:rPr>
        <w:footnoteReference w:id="27"/>
      </w:r>
    </w:p>
    <w:p w:rsidR="005C39F7" w:rsidRPr="005C39F7" w:rsidRDefault="005C39F7" w:rsidP="005C39F7">
      <w:pPr>
        <w:spacing w:before="0"/>
        <w:ind w:left="480" w:firstLine="0"/>
        <w:contextualSpacing/>
        <w:mirrorIndents/>
        <w:rPr>
          <w:rFonts w:eastAsia="Times New Roman" w:cs="Times New Roman"/>
          <w:color w:val="FF0000"/>
          <w:szCs w:val="24"/>
          <w:lang w:eastAsia="es-ES"/>
        </w:rPr>
      </w:pPr>
    </w:p>
    <w:p w:rsidR="005C39F7" w:rsidRPr="005C39F7" w:rsidRDefault="005C39F7" w:rsidP="005C39F7">
      <w:pPr>
        <w:tabs>
          <w:tab w:val="left" w:pos="142"/>
        </w:tabs>
        <w:spacing w:before="0"/>
        <w:ind w:left="709" w:firstLine="0"/>
        <w:contextualSpacing/>
        <w:mirrorIndents/>
        <w:rPr>
          <w:rFonts w:eastAsia="Times New Roman" w:cs="Times New Roman"/>
          <w:i/>
          <w:szCs w:val="24"/>
          <w:lang w:eastAsia="es-ES"/>
        </w:rPr>
      </w:pPr>
      <w:r w:rsidRPr="005C39F7">
        <w:rPr>
          <w:rFonts w:eastAsia="Times New Roman" w:cs="Times New Roman"/>
          <w:bCs/>
          <w:i/>
          <w:szCs w:val="24"/>
          <w:lang w:eastAsia="es-ES"/>
        </w:rPr>
        <w:t>-El contribuyente había incluido las cantidades ahora percibidas como gasto deducible en ejercicios anteriores:</w:t>
      </w:r>
    </w:p>
    <w:p w:rsidR="005C39F7" w:rsidRPr="005C39F7" w:rsidRDefault="005C39F7" w:rsidP="005C39F7">
      <w:pPr>
        <w:spacing w:before="0"/>
        <w:ind w:firstLine="0"/>
        <w:contextualSpacing/>
        <w:mirrorIndents/>
        <w:rPr>
          <w:rFonts w:eastAsia="Times New Roman" w:cs="Times New Roman"/>
          <w:szCs w:val="24"/>
          <w:lang w:eastAsia="es-ES"/>
        </w:rPr>
      </w:pPr>
    </w:p>
    <w:p w:rsidR="005C39F7" w:rsidRPr="005C39F7" w:rsidRDefault="005C39F7" w:rsidP="005C39F7">
      <w:pPr>
        <w:spacing w:before="0"/>
        <w:ind w:firstLine="0"/>
        <w:contextualSpacing/>
        <w:mirrorIndents/>
        <w:rPr>
          <w:rFonts w:eastAsia="Times New Roman" w:cs="Times New Roman"/>
          <w:szCs w:val="24"/>
          <w:lang w:eastAsia="es-ES"/>
        </w:rPr>
      </w:pPr>
      <w:proofErr w:type="spellStart"/>
      <w:proofErr w:type="gramStart"/>
      <w:r w:rsidRPr="005C39F7">
        <w:rPr>
          <w:rFonts w:eastAsia="Times New Roman" w:cs="Times New Roman"/>
          <w:szCs w:val="24"/>
          <w:lang w:eastAsia="es-ES"/>
        </w:rPr>
        <w:t>a.El</w:t>
      </w:r>
      <w:proofErr w:type="spellEnd"/>
      <w:proofErr w:type="gramEnd"/>
      <w:r w:rsidRPr="005C39F7">
        <w:rPr>
          <w:rFonts w:eastAsia="Times New Roman" w:cs="Times New Roman"/>
          <w:szCs w:val="24"/>
          <w:lang w:eastAsia="es-ES"/>
        </w:rPr>
        <w:t xml:space="preserve"> acuerdo con la entidad financiera, la sentencia o el laudo, se ha producido </w:t>
      </w:r>
      <w:r w:rsidRPr="005C39F7">
        <w:rPr>
          <w:rFonts w:eastAsia="Times New Roman" w:cs="Times New Roman"/>
          <w:i/>
          <w:szCs w:val="24"/>
          <w:lang w:eastAsia="es-ES"/>
        </w:rPr>
        <w:t>desde</w:t>
      </w:r>
      <w:r w:rsidRPr="005C39F7">
        <w:rPr>
          <w:rFonts w:eastAsia="Times New Roman" w:cs="Times New Roman"/>
          <w:bCs/>
          <w:i/>
          <w:szCs w:val="24"/>
          <w:lang w:eastAsia="es-ES"/>
        </w:rPr>
        <w:t> el 6 de abril de 2016 hasta el 4 de abril de 2017</w:t>
      </w:r>
      <w:r w:rsidRPr="005C39F7">
        <w:rPr>
          <w:rFonts w:eastAsia="Times New Roman" w:cs="Times New Roman"/>
          <w:b/>
          <w:bCs/>
          <w:szCs w:val="24"/>
          <w:lang w:eastAsia="es-ES"/>
        </w:rPr>
        <w:t>.</w:t>
      </w:r>
      <w:r w:rsidRPr="005C39F7">
        <w:rPr>
          <w:rFonts w:eastAsia="Times New Roman" w:cs="Times New Roman"/>
          <w:bCs/>
          <w:szCs w:val="24"/>
          <w:lang w:eastAsia="es-ES"/>
        </w:rPr>
        <w:t> </w:t>
      </w:r>
      <w:r w:rsidRPr="005C39F7">
        <w:rPr>
          <w:rFonts w:eastAsia="Times New Roman" w:cs="Times New Roman"/>
          <w:szCs w:val="24"/>
          <w:lang w:eastAsia="es-ES"/>
        </w:rPr>
        <w:t>En este caso, deberá presentar declaraciones complementarias con carácter general de los años 2012, 2013, 2014 y 2015, en el plazo de presentación de la declaración del IRPF del año 2016 (abril, mayo y junio de 2017).</w:t>
      </w:r>
    </w:p>
    <w:p w:rsidR="005C39F7" w:rsidRPr="005C39F7" w:rsidRDefault="005C39F7" w:rsidP="005C39F7">
      <w:pPr>
        <w:spacing w:before="0"/>
        <w:ind w:firstLine="0"/>
        <w:contextualSpacing/>
        <w:mirrorIndents/>
        <w:rPr>
          <w:rFonts w:eastAsia="Times New Roman" w:cs="Times New Roman"/>
          <w:szCs w:val="24"/>
          <w:lang w:eastAsia="es-ES"/>
        </w:rPr>
      </w:pPr>
    </w:p>
    <w:p w:rsidR="005C39F7" w:rsidRPr="005C39F7" w:rsidRDefault="005C39F7" w:rsidP="005C39F7">
      <w:pPr>
        <w:spacing w:before="0"/>
        <w:ind w:firstLine="0"/>
        <w:contextualSpacing/>
        <w:mirrorIndents/>
        <w:rPr>
          <w:rFonts w:eastAsia="Times New Roman" w:cs="Times New Roman"/>
          <w:szCs w:val="24"/>
          <w:lang w:eastAsia="es-ES"/>
        </w:rPr>
      </w:pPr>
      <w:r w:rsidRPr="005C39F7">
        <w:rPr>
          <w:rFonts w:eastAsia="Times New Roman" w:cs="Times New Roman"/>
          <w:szCs w:val="24"/>
          <w:lang w:eastAsia="es-ES"/>
        </w:rPr>
        <w:t xml:space="preserve">Si entre las cantidades devueltas hubiera </w:t>
      </w:r>
      <w:proofErr w:type="gramStart"/>
      <w:r w:rsidRPr="005C39F7">
        <w:rPr>
          <w:rFonts w:eastAsia="Times New Roman" w:cs="Times New Roman"/>
          <w:szCs w:val="24"/>
          <w:lang w:eastAsia="es-ES"/>
        </w:rPr>
        <w:t>intereses  abonados</w:t>
      </w:r>
      <w:proofErr w:type="gramEnd"/>
      <w:r w:rsidRPr="005C39F7">
        <w:rPr>
          <w:rFonts w:eastAsia="Times New Roman" w:cs="Times New Roman"/>
          <w:szCs w:val="24"/>
          <w:lang w:eastAsia="es-ES"/>
        </w:rPr>
        <w:t xml:space="preserve"> en el ejercicio 2016, el contribuyente ya no incluirá como gastos deducibles dichos importes en su declaración.</w:t>
      </w:r>
    </w:p>
    <w:p w:rsidR="005C39F7" w:rsidRPr="005C39F7" w:rsidRDefault="005C39F7" w:rsidP="005C39F7">
      <w:pPr>
        <w:spacing w:before="0"/>
        <w:ind w:firstLine="0"/>
        <w:contextualSpacing/>
        <w:mirrorIndents/>
        <w:rPr>
          <w:rFonts w:eastAsia="Times New Roman" w:cs="Times New Roman"/>
          <w:szCs w:val="24"/>
          <w:lang w:eastAsia="es-ES"/>
        </w:rPr>
      </w:pPr>
    </w:p>
    <w:p w:rsidR="005C39F7" w:rsidRPr="005C39F7" w:rsidRDefault="005C39F7" w:rsidP="005C39F7">
      <w:pPr>
        <w:numPr>
          <w:ilvl w:val="2"/>
          <w:numId w:val="33"/>
        </w:numPr>
        <w:tabs>
          <w:tab w:val="num" w:pos="567"/>
        </w:tabs>
        <w:spacing w:before="0" w:after="200"/>
        <w:ind w:left="0" w:firstLine="0"/>
        <w:contextualSpacing/>
        <w:mirrorIndents/>
        <w:jc w:val="left"/>
        <w:rPr>
          <w:rFonts w:eastAsia="Times New Roman" w:cs="Times New Roman"/>
          <w:szCs w:val="24"/>
          <w:lang w:eastAsia="es-ES"/>
        </w:rPr>
      </w:pPr>
      <w:r w:rsidRPr="005C39F7">
        <w:rPr>
          <w:rFonts w:eastAsia="Times New Roman" w:cs="Times New Roman"/>
          <w:szCs w:val="24"/>
          <w:lang w:eastAsia="es-ES"/>
        </w:rPr>
        <w:t>El acuerdo con la entidad financiera, la sentencia o el laudo se ha producido </w:t>
      </w:r>
      <w:r w:rsidRPr="005C39F7">
        <w:rPr>
          <w:rFonts w:eastAsia="Times New Roman" w:cs="Times New Roman"/>
          <w:bCs/>
          <w:i/>
          <w:szCs w:val="24"/>
          <w:lang w:eastAsia="es-ES"/>
        </w:rPr>
        <w:t>después del 4 de abril de 2017</w:t>
      </w:r>
      <w:r w:rsidRPr="005C39F7">
        <w:rPr>
          <w:rFonts w:eastAsia="Times New Roman" w:cs="Times New Roman"/>
          <w:bCs/>
          <w:szCs w:val="24"/>
          <w:lang w:eastAsia="es-ES"/>
        </w:rPr>
        <w:t>. </w:t>
      </w:r>
      <w:r w:rsidRPr="005C39F7">
        <w:rPr>
          <w:rFonts w:eastAsia="Times New Roman" w:cs="Times New Roman"/>
          <w:szCs w:val="24"/>
          <w:lang w:eastAsia="es-ES"/>
        </w:rPr>
        <w:t>En este caso deberá presentar declaraciones complementarias, con carácter general, de los años 2013, 2014, 2015 y 2016 en el plazo de presentación del IRPF del año 2017 (abril, mayo y junio de 2018).</w:t>
      </w:r>
    </w:p>
    <w:p w:rsidR="005C39F7" w:rsidRPr="005C39F7" w:rsidRDefault="005C39F7" w:rsidP="005C39F7">
      <w:pPr>
        <w:spacing w:before="0"/>
        <w:ind w:firstLine="0"/>
        <w:contextualSpacing/>
        <w:mirrorIndents/>
        <w:rPr>
          <w:rFonts w:eastAsia="Times New Roman" w:cs="Times New Roman"/>
          <w:szCs w:val="24"/>
          <w:lang w:eastAsia="es-ES"/>
        </w:rPr>
      </w:pPr>
    </w:p>
    <w:p w:rsidR="005C39F7" w:rsidRPr="005C39F7" w:rsidRDefault="005C39F7" w:rsidP="005C39F7">
      <w:pPr>
        <w:spacing w:before="0"/>
        <w:ind w:firstLine="0"/>
        <w:contextualSpacing/>
        <w:mirrorIndents/>
        <w:rPr>
          <w:rFonts w:eastAsia="Times New Roman" w:cs="Times New Roman"/>
          <w:szCs w:val="24"/>
          <w:lang w:eastAsia="es-ES"/>
        </w:rPr>
      </w:pPr>
      <w:r w:rsidRPr="005C39F7">
        <w:rPr>
          <w:rFonts w:eastAsia="Times New Roman" w:cs="Times New Roman"/>
          <w:szCs w:val="24"/>
          <w:lang w:eastAsia="es-ES"/>
        </w:rPr>
        <w:t>No obstante, si el acuerdo o la sentencia es anterior a la finalización del plazo de presentación de la declaración del IRPF de 2016 (30 de junio de 2017), los intereses del año 2016 no se tendrán en cuenta como gasto deducible y, por tanto, no tendrá que presentar declaración complementaria de dicho ejercicio.</w:t>
      </w:r>
    </w:p>
    <w:p w:rsidR="005C39F7" w:rsidRPr="005C39F7" w:rsidRDefault="005C39F7" w:rsidP="005C39F7">
      <w:pPr>
        <w:spacing w:before="0"/>
        <w:ind w:firstLine="0"/>
        <w:contextualSpacing/>
        <w:mirrorIndents/>
        <w:rPr>
          <w:rFonts w:eastAsia="Times New Roman" w:cs="Times New Roman"/>
          <w:szCs w:val="24"/>
          <w:lang w:eastAsia="es-ES"/>
        </w:rPr>
      </w:pPr>
    </w:p>
    <w:p w:rsidR="005C39F7" w:rsidRPr="005C39F7" w:rsidRDefault="005C39F7" w:rsidP="005C39F7">
      <w:pPr>
        <w:spacing w:before="0"/>
        <w:ind w:firstLine="0"/>
        <w:contextualSpacing/>
        <w:mirrorIndents/>
        <w:rPr>
          <w:rFonts w:eastAsia="Times New Roman" w:cs="Times New Roman"/>
          <w:szCs w:val="24"/>
          <w:u w:val="single"/>
          <w:lang w:eastAsia="es-ES"/>
        </w:rPr>
      </w:pPr>
      <w:r w:rsidRPr="005C39F7">
        <w:rPr>
          <w:rFonts w:eastAsia="Times New Roman" w:cs="Times New Roman"/>
          <w:szCs w:val="24"/>
          <w:u w:val="single"/>
          <w:lang w:eastAsia="es-ES"/>
        </w:rPr>
        <w:t>Regularización ya efectuada por el contribuyente</w:t>
      </w:r>
    </w:p>
    <w:p w:rsidR="005C39F7" w:rsidRPr="005C39F7" w:rsidRDefault="005C39F7" w:rsidP="005C39F7">
      <w:pPr>
        <w:spacing w:before="0"/>
        <w:ind w:firstLine="0"/>
        <w:contextualSpacing/>
        <w:mirrorIndents/>
        <w:rPr>
          <w:rFonts w:eastAsia="Times New Roman" w:cs="Times New Roman"/>
          <w:szCs w:val="24"/>
          <w:lang w:eastAsia="es-ES"/>
        </w:rPr>
      </w:pPr>
    </w:p>
    <w:p w:rsidR="005C39F7" w:rsidRPr="005C39F7" w:rsidRDefault="005C39F7" w:rsidP="005C39F7">
      <w:pPr>
        <w:spacing w:before="0"/>
        <w:ind w:firstLine="0"/>
        <w:contextualSpacing/>
        <w:mirrorIndents/>
        <w:rPr>
          <w:rFonts w:eastAsia="Calibri" w:cs="Times New Roman"/>
          <w:szCs w:val="24"/>
        </w:rPr>
      </w:pPr>
      <w:r w:rsidRPr="005C39F7">
        <w:rPr>
          <w:rFonts w:eastAsia="Times New Roman" w:cs="Times New Roman"/>
          <w:szCs w:val="24"/>
          <w:lang w:eastAsia="es-ES"/>
        </w:rPr>
        <w:t>Finalmente, si el contribuyente ya hubiese regularizado dichas cantidades por tener una sentencia anterior podrá </w:t>
      </w:r>
      <w:r w:rsidRPr="005C39F7">
        <w:rPr>
          <w:rFonts w:eastAsia="Times New Roman" w:cs="Times New Roman"/>
          <w:bCs/>
          <w:szCs w:val="24"/>
          <w:lang w:eastAsia="es-ES"/>
        </w:rPr>
        <w:t xml:space="preserve">instar la </w:t>
      </w:r>
      <w:r w:rsidRPr="005C39F7">
        <w:rPr>
          <w:rFonts w:eastAsia="Times New Roman" w:cs="Times New Roman"/>
          <w:bCs/>
          <w:i/>
          <w:szCs w:val="24"/>
          <w:lang w:eastAsia="es-ES"/>
        </w:rPr>
        <w:t>rectificación de sus autoliquidaciones</w:t>
      </w:r>
      <w:r w:rsidRPr="005C39F7">
        <w:rPr>
          <w:rFonts w:eastAsia="Times New Roman" w:cs="Times New Roman"/>
          <w:bCs/>
          <w:szCs w:val="24"/>
          <w:lang w:eastAsia="es-ES"/>
        </w:rPr>
        <w:t xml:space="preserve"> mediante </w:t>
      </w:r>
      <w:r w:rsidRPr="005C39F7">
        <w:rPr>
          <w:rFonts w:eastAsia="Times New Roman" w:cs="Times New Roman"/>
          <w:szCs w:val="24"/>
          <w:lang w:eastAsia="es-ES"/>
        </w:rPr>
        <w:t>la solicitud de la devolución de los intereses de demora satisfechos y, en su caso, la modificación de los intereses indemnizatorios declarados como ganancia.</w:t>
      </w:r>
    </w:p>
    <w:p w:rsidR="005C39F7" w:rsidRPr="005C39F7" w:rsidRDefault="005C39F7" w:rsidP="005C39F7">
      <w:pPr>
        <w:spacing w:before="0"/>
        <w:ind w:firstLine="0"/>
        <w:contextualSpacing/>
        <w:mirrorIndents/>
        <w:rPr>
          <w:rFonts w:eastAsia="Calibri" w:cs="Times New Roman"/>
          <w:szCs w:val="24"/>
        </w:rPr>
      </w:pPr>
    </w:p>
    <w:p w:rsidR="005C39F7" w:rsidRDefault="005C39F7" w:rsidP="005C39F7">
      <w:pPr>
        <w:spacing w:before="0"/>
        <w:ind w:firstLine="0"/>
        <w:contextualSpacing/>
        <w:mirrorIndents/>
        <w:rPr>
          <w:rFonts w:eastAsia="Calibri" w:cs="Times New Roman"/>
          <w:szCs w:val="24"/>
        </w:rPr>
      </w:pPr>
    </w:p>
    <w:p w:rsidR="00577F3E" w:rsidRDefault="00577F3E" w:rsidP="005C39F7">
      <w:pPr>
        <w:spacing w:before="0"/>
        <w:ind w:firstLine="0"/>
        <w:contextualSpacing/>
        <w:mirrorIndents/>
        <w:rPr>
          <w:rFonts w:eastAsia="Calibri" w:cs="Times New Roman"/>
          <w:szCs w:val="24"/>
        </w:rPr>
      </w:pPr>
    </w:p>
    <w:p w:rsidR="00577F3E" w:rsidRDefault="00577F3E" w:rsidP="005C39F7">
      <w:pPr>
        <w:spacing w:before="0"/>
        <w:ind w:firstLine="0"/>
        <w:contextualSpacing/>
        <w:mirrorIndents/>
        <w:rPr>
          <w:rFonts w:eastAsia="Calibri" w:cs="Times New Roman"/>
          <w:szCs w:val="24"/>
        </w:rPr>
      </w:pPr>
    </w:p>
    <w:p w:rsidR="00577F3E" w:rsidRDefault="00577F3E" w:rsidP="005C39F7">
      <w:pPr>
        <w:spacing w:before="0"/>
        <w:ind w:firstLine="0"/>
        <w:contextualSpacing/>
        <w:mirrorIndents/>
        <w:rPr>
          <w:rFonts w:eastAsia="Calibri" w:cs="Times New Roman"/>
          <w:szCs w:val="24"/>
        </w:rPr>
      </w:pPr>
    </w:p>
    <w:p w:rsidR="00577F3E" w:rsidRPr="005C39F7" w:rsidRDefault="00577F3E" w:rsidP="005C39F7">
      <w:pPr>
        <w:spacing w:before="0"/>
        <w:ind w:firstLine="0"/>
        <w:contextualSpacing/>
        <w:mirrorIndents/>
        <w:rPr>
          <w:rFonts w:eastAsia="Calibri" w:cs="Times New Roman"/>
          <w:szCs w:val="24"/>
        </w:rPr>
      </w:pPr>
    </w:p>
    <w:p w:rsidR="005C39F7" w:rsidRPr="005C39F7" w:rsidRDefault="005C39F7" w:rsidP="005C39F7">
      <w:pPr>
        <w:spacing w:before="0"/>
        <w:ind w:firstLine="0"/>
        <w:contextualSpacing/>
        <w:mirrorIndents/>
        <w:rPr>
          <w:rFonts w:eastAsia="Calibri" w:cs="Times New Roman"/>
          <w:b/>
          <w:szCs w:val="24"/>
        </w:rPr>
      </w:pPr>
      <w:r w:rsidRPr="005C39F7">
        <w:rPr>
          <w:rFonts w:eastAsia="Calibri" w:cs="Times New Roman"/>
          <w:b/>
          <w:szCs w:val="24"/>
        </w:rPr>
        <w:lastRenderedPageBreak/>
        <w:t xml:space="preserve">V.- Reflexiones finales </w:t>
      </w:r>
    </w:p>
    <w:p w:rsidR="005C39F7" w:rsidRPr="005C39F7" w:rsidRDefault="005C39F7" w:rsidP="005C39F7">
      <w:pPr>
        <w:spacing w:before="0"/>
        <w:ind w:firstLine="0"/>
        <w:contextualSpacing/>
        <w:mirrorIndents/>
        <w:rPr>
          <w:rFonts w:eastAsia="Calibri" w:cs="Times New Roman"/>
          <w:color w:val="FF0000"/>
          <w:szCs w:val="24"/>
        </w:rPr>
      </w:pPr>
    </w:p>
    <w:p w:rsidR="005C39F7" w:rsidRPr="005C39F7" w:rsidRDefault="005C39F7" w:rsidP="005C39F7">
      <w:pPr>
        <w:shd w:val="clear" w:color="auto" w:fill="FFFFFF"/>
        <w:spacing w:before="0" w:after="216"/>
        <w:ind w:firstLine="0"/>
        <w:rPr>
          <w:rFonts w:eastAsia="Calibri" w:cs="Times New Roman"/>
          <w:color w:val="000000"/>
          <w:szCs w:val="24"/>
        </w:rPr>
      </w:pPr>
      <w:r w:rsidRPr="005C39F7">
        <w:rPr>
          <w:rFonts w:eastAsia="Calibri" w:cs="Times New Roman"/>
          <w:color w:val="000000"/>
          <w:szCs w:val="24"/>
        </w:rPr>
        <w:t xml:space="preserve">En primer </w:t>
      </w:r>
      <w:proofErr w:type="gramStart"/>
      <w:r w:rsidRPr="005C39F7">
        <w:rPr>
          <w:rFonts w:eastAsia="Calibri" w:cs="Times New Roman"/>
          <w:color w:val="000000"/>
          <w:szCs w:val="24"/>
        </w:rPr>
        <w:t>lugar</w:t>
      </w:r>
      <w:proofErr w:type="gramEnd"/>
      <w:r w:rsidRPr="005C39F7">
        <w:rPr>
          <w:rFonts w:eastAsia="Calibri" w:cs="Times New Roman"/>
          <w:color w:val="000000"/>
          <w:szCs w:val="24"/>
        </w:rPr>
        <w:t xml:space="preserve"> el cliente bancario debería analizar y comparar los diferentes productos y servicios que ofrecen las distintas entidades de crédito para poder contratar aquél que mejor se adapte a sus posibilidades y en especial a sus expectativas. </w:t>
      </w:r>
    </w:p>
    <w:p w:rsidR="005C39F7" w:rsidRPr="005C39F7" w:rsidRDefault="005C39F7" w:rsidP="005C39F7">
      <w:pPr>
        <w:shd w:val="clear" w:color="auto" w:fill="FFFFFF"/>
        <w:spacing w:before="0" w:after="216"/>
        <w:ind w:firstLine="0"/>
        <w:rPr>
          <w:rFonts w:eastAsia="Calibri" w:cs="Times New Roman"/>
          <w:color w:val="000000"/>
          <w:szCs w:val="24"/>
        </w:rPr>
      </w:pPr>
      <w:r w:rsidRPr="005C39F7">
        <w:rPr>
          <w:rFonts w:eastAsia="Calibri" w:cs="Times New Roman"/>
          <w:color w:val="000000"/>
          <w:szCs w:val="24"/>
        </w:rPr>
        <w:t xml:space="preserve">Sería recomendable una mayor claridad en cuanto a los derechos y obligaciones que conlleva la contratación de determinado producto o servicio bancario no sólo en cuanto al riesgo y su rentabilidad sino fundamentalmente en cuanto a la liquidez </w:t>
      </w:r>
      <w:proofErr w:type="gramStart"/>
      <w:r w:rsidRPr="005C39F7">
        <w:rPr>
          <w:rFonts w:eastAsia="Calibri" w:cs="Times New Roman"/>
          <w:color w:val="000000"/>
          <w:szCs w:val="24"/>
        </w:rPr>
        <w:t>del mismo</w:t>
      </w:r>
      <w:proofErr w:type="gramEnd"/>
      <w:r w:rsidRPr="005C39F7">
        <w:rPr>
          <w:rFonts w:eastAsia="Calibri" w:cs="Times New Roman"/>
          <w:color w:val="000000"/>
          <w:szCs w:val="24"/>
        </w:rPr>
        <w:t>, a si se podrá reiterar todo o parte del dinero antes de que finalice el plazo convenido, así como la tributación que se va a generar</w:t>
      </w:r>
    </w:p>
    <w:p w:rsidR="005C39F7" w:rsidRPr="005C39F7" w:rsidRDefault="005C39F7" w:rsidP="005C39F7">
      <w:pPr>
        <w:shd w:val="clear" w:color="auto" w:fill="FFFFFF"/>
        <w:spacing w:before="0" w:after="216"/>
        <w:ind w:firstLine="0"/>
        <w:rPr>
          <w:rFonts w:eastAsia="Calibri" w:cs="Times New Roman"/>
          <w:color w:val="000000"/>
          <w:szCs w:val="24"/>
        </w:rPr>
      </w:pPr>
      <w:r w:rsidRPr="005C39F7">
        <w:rPr>
          <w:rFonts w:eastAsia="Calibri" w:cs="Times New Roman"/>
          <w:color w:val="000000"/>
          <w:szCs w:val="24"/>
        </w:rPr>
        <w:t>También ha de ser clara y comprensible la información y la publicidad tanto cuando se contrata un producto financiero como aquélla que periódicamente se recibe por parte de la entidad.</w:t>
      </w:r>
    </w:p>
    <w:p w:rsidR="005C39F7" w:rsidRPr="005C39F7" w:rsidRDefault="005C39F7" w:rsidP="005C39F7">
      <w:pPr>
        <w:shd w:val="clear" w:color="auto" w:fill="FFFFFF"/>
        <w:spacing w:before="0" w:after="216"/>
        <w:ind w:firstLine="0"/>
        <w:rPr>
          <w:rFonts w:eastAsia="Calibri" w:cs="Times New Roman"/>
          <w:color w:val="000000"/>
          <w:szCs w:val="24"/>
        </w:rPr>
      </w:pPr>
      <w:r w:rsidRPr="005C39F7">
        <w:rPr>
          <w:rFonts w:eastAsia="Calibri" w:cs="Times New Roman"/>
          <w:color w:val="000000"/>
          <w:szCs w:val="24"/>
        </w:rPr>
        <w:t xml:space="preserve">Finalmente, es de destacar un variable que ha alcanzado un peso específico propio como es las implicaciones tributarias de los distintos productos financieros. </w:t>
      </w:r>
    </w:p>
    <w:p w:rsidR="005C39F7" w:rsidRPr="005C39F7" w:rsidRDefault="005C39F7" w:rsidP="005C39F7">
      <w:pPr>
        <w:shd w:val="clear" w:color="auto" w:fill="FFFFFF"/>
        <w:spacing w:before="0" w:after="216"/>
        <w:ind w:firstLine="0"/>
        <w:rPr>
          <w:rFonts w:eastAsia="Calibri" w:cs="Times New Roman"/>
          <w:color w:val="000000"/>
          <w:szCs w:val="24"/>
        </w:rPr>
      </w:pPr>
      <w:r w:rsidRPr="005C39F7">
        <w:rPr>
          <w:rFonts w:eastAsia="Calibri" w:cs="Times New Roman"/>
          <w:szCs w:val="24"/>
        </w:rPr>
        <w:t xml:space="preserve">De este modo la planificación de productos de ahorro/inversión (acciones, depósitos, fondos de inversión,) y de previsión social (Planes de pensiones, </w:t>
      </w:r>
      <w:proofErr w:type="gramStart"/>
      <w:r w:rsidRPr="005C39F7">
        <w:rPr>
          <w:rFonts w:eastAsia="Calibri" w:cs="Times New Roman"/>
          <w:szCs w:val="24"/>
        </w:rPr>
        <w:t>PIAS,...</w:t>
      </w:r>
      <w:proofErr w:type="gramEnd"/>
      <w:r w:rsidRPr="005C39F7">
        <w:rPr>
          <w:rFonts w:eastAsia="Calibri" w:cs="Times New Roman"/>
          <w:szCs w:val="24"/>
        </w:rPr>
        <w:t>) se convierte en una pieza básica al objeto de obtener una optimización financiero-fiscal de las inversiones.</w:t>
      </w:r>
    </w:p>
    <w:p w:rsidR="005C39F7" w:rsidRPr="005C39F7" w:rsidRDefault="005C39F7" w:rsidP="005C39F7">
      <w:pPr>
        <w:shd w:val="clear" w:color="auto" w:fill="FFFFFF"/>
        <w:spacing w:before="0" w:after="216"/>
        <w:ind w:firstLine="0"/>
        <w:rPr>
          <w:rFonts w:eastAsia="Calibri" w:cs="Times New Roman"/>
          <w:color w:val="000000"/>
          <w:szCs w:val="24"/>
        </w:rPr>
      </w:pPr>
    </w:p>
    <w:p w:rsidR="00332737" w:rsidRPr="005C39F7" w:rsidRDefault="00332737" w:rsidP="00A962E5">
      <w:pPr>
        <w:ind w:firstLine="0"/>
      </w:pPr>
    </w:p>
    <w:sectPr w:rsidR="00332737" w:rsidRPr="005C39F7" w:rsidSect="008B0947">
      <w:headerReference w:type="even" r:id="rId18"/>
      <w:headerReference w:type="default" r:id="rId19"/>
      <w:pgSz w:w="11906" w:h="16838" w:code="9"/>
      <w:pgMar w:top="1418" w:right="1701" w:bottom="1418" w:left="1701" w:header="709" w:footer="709" w:gutter="0"/>
      <w:cols w:space="708"/>
      <w:docGrid w:linePitch="360"/>
    </w:sectPr>
  </w:body>
</w:document>
</file>

<file path=word/customizations.xml><?xml version="1.0" encoding="utf-8"?>
<wne:tcg xmlns:r="http://schemas.openxmlformats.org/officeDocument/2006/relationships" xmlns:wne="http://schemas.microsoft.com/office/word/2006/wordml">
  <wne:keymaps>
    <wne:keymap wne:kcmPrimary="027A">
      <wne:macro wne:macroName="PLANTILLA_MONOGRAFIAS.THISDOCUMENT.VALIDATESTYLES"/>
    </wne:keymap>
    <wne:keymap wne:kcmPrimary="0753">
      <wne:macro wne:macroName="PLANTILLA_MONOGRAFIAS.NEWMACROS.MOSTRARESTILOS"/>
    </wne:keymap>
  </wne:keymap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37DF5" w:rsidRDefault="00137DF5" w:rsidP="00A4563E">
      <w:r>
        <w:separator/>
      </w:r>
    </w:p>
  </w:endnote>
  <w:endnote w:type="continuationSeparator" w:id="0">
    <w:p w:rsidR="00137DF5" w:rsidRDefault="00137DF5" w:rsidP="00A456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Lucida Grande">
    <w:altName w:val="Arial"/>
    <w:charset w:val="00"/>
    <w:family w:val="auto"/>
    <w:pitch w:val="variable"/>
    <w:sig w:usb0="00000000" w:usb1="5000A1FF" w:usb2="00000000" w:usb3="00000000" w:csb0="000001BF" w:csb1="00000000"/>
  </w:font>
  <w:font w:name="Consolas">
    <w:panose1 w:val="020B0609020204030204"/>
    <w:charset w:val="00"/>
    <w:family w:val="modern"/>
    <w:pitch w:val="fixed"/>
    <w:sig w:usb0="E10002FF" w:usb1="4000FCFF" w:usb2="00000009" w:usb3="00000000" w:csb0="0000019F" w:csb1="00000000"/>
  </w:font>
  <w:font w:name="Arial Unicode MS">
    <w:altName w:val="Yu Gothic"/>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37DF5" w:rsidRDefault="00137DF5" w:rsidP="00A4563E">
      <w:r>
        <w:separator/>
      </w:r>
    </w:p>
  </w:footnote>
  <w:footnote w:type="continuationSeparator" w:id="0">
    <w:p w:rsidR="00137DF5" w:rsidRDefault="00137DF5" w:rsidP="00A4563E">
      <w:r>
        <w:continuationSeparator/>
      </w:r>
    </w:p>
  </w:footnote>
  <w:footnote w:id="1">
    <w:p w:rsidR="005C39F7" w:rsidRPr="00982872" w:rsidRDefault="005C39F7" w:rsidP="005C39F7">
      <w:pPr>
        <w:pStyle w:val="Ttulo1"/>
        <w:shd w:val="clear" w:color="auto" w:fill="FFFFFF"/>
        <w:spacing w:before="120" w:after="120"/>
        <w:jc w:val="both"/>
        <w:rPr>
          <w:rFonts w:ascii="Times New Roman" w:hAnsi="Times New Roman" w:cs="Times New Roman"/>
          <w:b w:val="0"/>
          <w:sz w:val="20"/>
          <w:szCs w:val="20"/>
        </w:rPr>
      </w:pPr>
      <w:r w:rsidRPr="00982872">
        <w:rPr>
          <w:rStyle w:val="Refdenotaalpie"/>
          <w:rFonts w:ascii="Times New Roman" w:hAnsi="Times New Roman"/>
          <w:sz w:val="20"/>
          <w:szCs w:val="20"/>
        </w:rPr>
        <w:footnoteRef/>
      </w:r>
      <w:r w:rsidRPr="00982872">
        <w:rPr>
          <w:rFonts w:ascii="Times New Roman" w:hAnsi="Times New Roman" w:cs="Times New Roman"/>
          <w:b w:val="0"/>
          <w:sz w:val="20"/>
          <w:szCs w:val="20"/>
        </w:rPr>
        <w:t xml:space="preserve"> BANCO DE ESPAÑA: </w:t>
      </w:r>
      <w:r w:rsidRPr="00982872">
        <w:rPr>
          <w:rFonts w:ascii="Times New Roman" w:hAnsi="Times New Roman" w:cs="Times New Roman"/>
          <w:b w:val="0"/>
          <w:bCs w:val="0"/>
          <w:i/>
          <w:sz w:val="20"/>
          <w:szCs w:val="20"/>
        </w:rPr>
        <w:t>El Banco de España y los derechos del cliente</w:t>
      </w:r>
      <w:r w:rsidRPr="00982872">
        <w:rPr>
          <w:rFonts w:ascii="Times New Roman" w:hAnsi="Times New Roman" w:cs="Times New Roman"/>
          <w:b w:val="0"/>
          <w:bCs w:val="0"/>
          <w:sz w:val="20"/>
          <w:szCs w:val="20"/>
        </w:rPr>
        <w:t xml:space="preserve">, disponible en </w:t>
      </w:r>
      <w:hyperlink r:id="rId1" w:history="1">
        <w:r w:rsidRPr="00982872">
          <w:rPr>
            <w:rStyle w:val="Hipervnculo"/>
            <w:rFonts w:ascii="Times New Roman" w:hAnsi="Times New Roman" w:cs="Times New Roman"/>
            <w:b w:val="0"/>
            <w:bCs w:val="0"/>
            <w:sz w:val="20"/>
            <w:szCs w:val="20"/>
          </w:rPr>
          <w:t>http://www.bde.es/clientebanca/es/areas/Derechos_de_los_/El_BdE_y_los_der/</w:t>
        </w:r>
      </w:hyperlink>
      <w:r w:rsidRPr="00982872">
        <w:rPr>
          <w:rFonts w:ascii="Times New Roman" w:hAnsi="Times New Roman" w:cs="Times New Roman"/>
          <w:b w:val="0"/>
          <w:bCs w:val="0"/>
          <w:sz w:val="20"/>
          <w:szCs w:val="20"/>
        </w:rPr>
        <w:t xml:space="preserve">, </w:t>
      </w:r>
      <w:r w:rsidRPr="00982872">
        <w:rPr>
          <w:rFonts w:ascii="Times New Roman" w:hAnsi="Times New Roman" w:cs="Times New Roman"/>
          <w:b w:val="0"/>
          <w:sz w:val="20"/>
          <w:szCs w:val="20"/>
        </w:rPr>
        <w:t xml:space="preserve">última consulta el 3 de julio de 2017. </w:t>
      </w:r>
    </w:p>
  </w:footnote>
  <w:footnote w:id="2">
    <w:p w:rsidR="005C39F7" w:rsidRPr="00AA01DA" w:rsidRDefault="005C39F7" w:rsidP="005C39F7">
      <w:pPr>
        <w:autoSpaceDE w:val="0"/>
        <w:autoSpaceDN w:val="0"/>
        <w:adjustRightInd w:val="0"/>
        <w:rPr>
          <w:rFonts w:ascii="Times New Roman" w:hAnsi="Times New Roman" w:cs="Times New Roman"/>
          <w:color w:val="FF0000"/>
        </w:rPr>
      </w:pPr>
      <w:r w:rsidRPr="00B33364">
        <w:rPr>
          <w:rStyle w:val="Refdenotaalpie"/>
          <w:rFonts w:ascii="Times New Roman" w:hAnsi="Times New Roman"/>
          <w:sz w:val="20"/>
          <w:szCs w:val="20"/>
        </w:rPr>
        <w:footnoteRef/>
      </w:r>
      <w:r w:rsidRPr="00B33364">
        <w:rPr>
          <w:rFonts w:ascii="Times New Roman" w:hAnsi="Times New Roman" w:cs="Times New Roman"/>
          <w:sz w:val="20"/>
          <w:szCs w:val="20"/>
        </w:rPr>
        <w:t xml:space="preserve">   Tal y como expresamente señala Fernando Zunzunegui la noción general de “consumidor” no coincide con la del sujeto protegido por la regulación financiera. Pues mientras que la noción de consumidor se asienta en el </w:t>
      </w:r>
      <w:r w:rsidRPr="00DC3D93">
        <w:rPr>
          <w:rFonts w:ascii="Times New Roman" w:hAnsi="Times New Roman" w:cs="Times New Roman"/>
          <w:sz w:val="20"/>
          <w:szCs w:val="20"/>
        </w:rPr>
        <w:t>art 3 del Real Decreto Legislativo 1/2017 de 16 de noviembre</w:t>
      </w:r>
      <w:r w:rsidRPr="00B33364">
        <w:rPr>
          <w:rFonts w:ascii="Times New Roman" w:hAnsi="Times New Roman" w:cs="Times New Roman"/>
          <w:sz w:val="20"/>
          <w:szCs w:val="20"/>
        </w:rPr>
        <w:t xml:space="preserve"> “</w:t>
      </w:r>
      <w:r w:rsidRPr="00B33364">
        <w:rPr>
          <w:rFonts w:ascii="Times New Roman" w:hAnsi="Times New Roman" w:cs="Times New Roman"/>
          <w:i/>
          <w:iCs/>
          <w:sz w:val="20"/>
          <w:szCs w:val="20"/>
        </w:rPr>
        <w:t>son consumidores o usuarios las personas físicas o jurídicas que actúan en un ámbito ajeno a una actividad empresarial o profesional</w:t>
      </w:r>
      <w:r w:rsidRPr="00B33364">
        <w:rPr>
          <w:rFonts w:ascii="Times New Roman" w:hAnsi="Times New Roman" w:cs="Times New Roman"/>
          <w:sz w:val="20"/>
          <w:szCs w:val="20"/>
        </w:rPr>
        <w:t>”. El concepto de cliente es diferente y más amplio que el de consumidor, pues las empresas no financieras también son protegidas en la regulación financiera, ZUNZUNEGUI, F.</w:t>
      </w:r>
      <w:r>
        <w:rPr>
          <w:rFonts w:ascii="Times New Roman" w:hAnsi="Times New Roman" w:cs="Times New Roman"/>
          <w:sz w:val="20"/>
          <w:szCs w:val="20"/>
        </w:rPr>
        <w:t>: “</w:t>
      </w:r>
      <w:r w:rsidRPr="004F34E3">
        <w:rPr>
          <w:rFonts w:ascii="Times New Roman" w:hAnsi="Times New Roman" w:cs="Times New Roman"/>
          <w:bCs/>
          <w:sz w:val="20"/>
          <w:szCs w:val="20"/>
        </w:rPr>
        <w:t>Derechos del consumidor de servicios y productos financieros</w:t>
      </w:r>
      <w:r>
        <w:rPr>
          <w:rFonts w:ascii="Times New Roman" w:hAnsi="Times New Roman" w:cs="Times New Roman"/>
          <w:bCs/>
          <w:sz w:val="20"/>
          <w:szCs w:val="20"/>
        </w:rPr>
        <w:t xml:space="preserve"> </w:t>
      </w:r>
      <w:r w:rsidRPr="004F34E3">
        <w:rPr>
          <w:rFonts w:ascii="Times New Roman" w:hAnsi="Times New Roman" w:cs="Times New Roman"/>
          <w:bCs/>
          <w:sz w:val="20"/>
          <w:szCs w:val="20"/>
        </w:rPr>
        <w:t xml:space="preserve">como derechos </w:t>
      </w:r>
      <w:proofErr w:type="gramStart"/>
      <w:r w:rsidRPr="004F34E3">
        <w:rPr>
          <w:rFonts w:ascii="Times New Roman" w:hAnsi="Times New Roman" w:cs="Times New Roman"/>
          <w:bCs/>
          <w:sz w:val="20"/>
          <w:szCs w:val="20"/>
        </w:rPr>
        <w:t>básic</w:t>
      </w:r>
      <w:r>
        <w:rPr>
          <w:rFonts w:ascii="Times New Roman" w:hAnsi="Times New Roman" w:cs="Times New Roman"/>
          <w:bCs/>
          <w:i/>
          <w:sz w:val="20"/>
          <w:szCs w:val="20"/>
        </w:rPr>
        <w:t>o”  en</w:t>
      </w:r>
      <w:proofErr w:type="gramEnd"/>
      <w:r>
        <w:rPr>
          <w:rFonts w:ascii="Times New Roman" w:hAnsi="Times New Roman" w:cs="Times New Roman"/>
          <w:bCs/>
          <w:i/>
          <w:sz w:val="20"/>
          <w:szCs w:val="20"/>
        </w:rPr>
        <w:t xml:space="preserve"> Revista de Derecho del Mercado Financiero</w:t>
      </w:r>
      <w:r w:rsidRPr="00B33364">
        <w:rPr>
          <w:rFonts w:ascii="Times New Roman" w:hAnsi="Times New Roman" w:cs="Times New Roman"/>
          <w:sz w:val="20"/>
          <w:szCs w:val="20"/>
        </w:rPr>
        <w:t>.</w:t>
      </w:r>
      <w:r>
        <w:rPr>
          <w:rFonts w:ascii="Times New Roman" w:hAnsi="Times New Roman" w:cs="Times New Roman"/>
          <w:sz w:val="20"/>
          <w:szCs w:val="20"/>
        </w:rPr>
        <w:t xml:space="preserve"> Madrid, 2013, pág. 3</w:t>
      </w:r>
    </w:p>
  </w:footnote>
  <w:footnote w:id="3">
    <w:p w:rsidR="005C39F7" w:rsidRPr="00743417" w:rsidRDefault="005C39F7" w:rsidP="005C39F7">
      <w:pPr>
        <w:pStyle w:val="Default"/>
        <w:jc w:val="both"/>
        <w:rPr>
          <w:rFonts w:ascii="Times New Roman" w:hAnsi="Times New Roman" w:cs="Times New Roman"/>
          <w:color w:val="auto"/>
          <w:sz w:val="20"/>
          <w:szCs w:val="20"/>
        </w:rPr>
      </w:pPr>
      <w:r w:rsidRPr="00743417">
        <w:rPr>
          <w:rStyle w:val="Refdenotaalpie"/>
          <w:rFonts w:ascii="Times New Roman" w:hAnsi="Times New Roman"/>
          <w:color w:val="auto"/>
          <w:sz w:val="20"/>
          <w:szCs w:val="20"/>
        </w:rPr>
        <w:footnoteRef/>
      </w:r>
      <w:r w:rsidRPr="00743417">
        <w:rPr>
          <w:rFonts w:ascii="Times New Roman" w:hAnsi="Times New Roman" w:cs="Times New Roman"/>
          <w:color w:val="auto"/>
          <w:sz w:val="20"/>
          <w:szCs w:val="20"/>
        </w:rPr>
        <w:t xml:space="preserve"> </w:t>
      </w:r>
      <w:r w:rsidRPr="002A50E9">
        <w:rPr>
          <w:rFonts w:ascii="Times New Roman" w:hAnsi="Times New Roman" w:cs="Times New Roman"/>
          <w:color w:val="auto"/>
          <w:sz w:val="20"/>
          <w:szCs w:val="20"/>
        </w:rPr>
        <w:t xml:space="preserve">Véase el art. 4 de </w:t>
      </w:r>
      <w:proofErr w:type="gramStart"/>
      <w:r w:rsidRPr="002A50E9">
        <w:rPr>
          <w:rFonts w:ascii="Times New Roman" w:hAnsi="Times New Roman" w:cs="Times New Roman"/>
          <w:color w:val="auto"/>
          <w:sz w:val="20"/>
          <w:szCs w:val="20"/>
        </w:rPr>
        <w:t>la  Orden</w:t>
      </w:r>
      <w:proofErr w:type="gramEnd"/>
      <w:r w:rsidRPr="002A50E9">
        <w:rPr>
          <w:rFonts w:ascii="Times New Roman" w:hAnsi="Times New Roman" w:cs="Times New Roman"/>
          <w:color w:val="auto"/>
          <w:sz w:val="20"/>
          <w:szCs w:val="20"/>
        </w:rPr>
        <w:t xml:space="preserve"> EHA/1718/2010, de 11 de junio, de regulación y control de la publicidad de los servicios y productos bancarios (</w:t>
      </w:r>
      <w:r w:rsidRPr="002A50E9">
        <w:rPr>
          <w:rFonts w:ascii="Times New Roman" w:hAnsi="Times New Roman" w:cs="Times New Roman"/>
          <w:color w:val="333333"/>
          <w:sz w:val="20"/>
          <w:szCs w:val="20"/>
          <w:shd w:val="clear" w:color="auto" w:fill="FFFFFF"/>
        </w:rPr>
        <w:t>«</w:t>
      </w:r>
      <w:r w:rsidRPr="002A50E9">
        <w:rPr>
          <w:rFonts w:ascii="Times New Roman" w:hAnsi="Times New Roman" w:cs="Times New Roman"/>
          <w:sz w:val="20"/>
          <w:szCs w:val="20"/>
        </w:rPr>
        <w:t>BOE</w:t>
      </w:r>
      <w:r w:rsidRPr="002A50E9">
        <w:rPr>
          <w:rFonts w:ascii="Times New Roman" w:hAnsi="Times New Roman" w:cs="Times New Roman"/>
          <w:color w:val="333333"/>
          <w:sz w:val="20"/>
          <w:szCs w:val="20"/>
          <w:shd w:val="clear" w:color="auto" w:fill="FFFFFF"/>
        </w:rPr>
        <w:t>» </w:t>
      </w:r>
      <w:r w:rsidRPr="002A50E9">
        <w:rPr>
          <w:rFonts w:ascii="Times New Roman" w:hAnsi="Times New Roman" w:cs="Times New Roman"/>
          <w:sz w:val="20"/>
          <w:szCs w:val="20"/>
        </w:rPr>
        <w:t>núm.</w:t>
      </w:r>
      <w:r w:rsidRPr="002A50E9">
        <w:rPr>
          <w:rFonts w:ascii="Times New Roman" w:hAnsi="Times New Roman" w:cs="Times New Roman"/>
          <w:color w:val="333333"/>
          <w:sz w:val="20"/>
          <w:szCs w:val="20"/>
          <w:shd w:val="clear" w:color="auto" w:fill="FFFFFF"/>
        </w:rPr>
        <w:t> 157, de 29 de junio de 2010</w:t>
      </w:r>
      <w:r w:rsidRPr="002A50E9">
        <w:rPr>
          <w:rFonts w:ascii="Times New Roman" w:hAnsi="Times New Roman" w:cs="Times New Roman"/>
          <w:color w:val="auto"/>
          <w:sz w:val="20"/>
          <w:szCs w:val="20"/>
        </w:rPr>
        <w:t>)</w:t>
      </w:r>
    </w:p>
  </w:footnote>
  <w:footnote w:id="4">
    <w:p w:rsidR="005C39F7" w:rsidRPr="00743417" w:rsidRDefault="005C39F7" w:rsidP="005C39F7">
      <w:pPr>
        <w:pStyle w:val="Textonotapie1"/>
        <w:jc w:val="both"/>
        <w:rPr>
          <w:rFonts w:ascii="Times New Roman" w:hAnsi="Times New Roman" w:cs="Times New Roman"/>
        </w:rPr>
      </w:pPr>
      <w:r w:rsidRPr="00743417">
        <w:rPr>
          <w:rStyle w:val="Refdenotaalpie"/>
          <w:rFonts w:ascii="Times New Roman" w:hAnsi="Times New Roman"/>
        </w:rPr>
        <w:footnoteRef/>
      </w:r>
      <w:r w:rsidRPr="00743417">
        <w:rPr>
          <w:rFonts w:ascii="Times New Roman" w:hAnsi="Times New Roman" w:cs="Times New Roman"/>
        </w:rPr>
        <w:t xml:space="preserve"> Tal y como pone de manifiesto la Orden ECC/2316/2015, de 4 de noviembre</w:t>
      </w:r>
      <w:r>
        <w:rPr>
          <w:rFonts w:ascii="Times New Roman" w:hAnsi="Times New Roman" w:cs="Times New Roman"/>
        </w:rPr>
        <w:t xml:space="preserve"> </w:t>
      </w:r>
      <w:r w:rsidRPr="00E671A3">
        <w:rPr>
          <w:rFonts w:ascii="Times New Roman" w:hAnsi="Times New Roman" w:cs="Times New Roman"/>
        </w:rPr>
        <w:t>(</w:t>
      </w:r>
      <w:r w:rsidRPr="00E671A3">
        <w:rPr>
          <w:rFonts w:ascii="Times New Roman" w:hAnsi="Times New Roman" w:cs="Times New Roman"/>
          <w:color w:val="333333"/>
          <w:shd w:val="clear" w:color="auto" w:fill="FFFFFF"/>
        </w:rPr>
        <w:t>«</w:t>
      </w:r>
      <w:r w:rsidRPr="00E671A3">
        <w:rPr>
          <w:rFonts w:ascii="Times New Roman" w:hAnsi="Times New Roman" w:cs="Times New Roman"/>
        </w:rPr>
        <w:t>BOE</w:t>
      </w:r>
      <w:r w:rsidRPr="00E671A3">
        <w:rPr>
          <w:rFonts w:ascii="Times New Roman" w:hAnsi="Times New Roman" w:cs="Times New Roman"/>
          <w:color w:val="333333"/>
          <w:shd w:val="clear" w:color="auto" w:fill="FFFFFF"/>
        </w:rPr>
        <w:t>» </w:t>
      </w:r>
      <w:r w:rsidRPr="00E671A3">
        <w:rPr>
          <w:rFonts w:ascii="Times New Roman" w:hAnsi="Times New Roman" w:cs="Times New Roman"/>
        </w:rPr>
        <w:t>núm.</w:t>
      </w:r>
      <w:r w:rsidRPr="00E671A3">
        <w:rPr>
          <w:rFonts w:ascii="Times New Roman" w:hAnsi="Times New Roman" w:cs="Times New Roman"/>
          <w:color w:val="333333"/>
          <w:shd w:val="clear" w:color="auto" w:fill="FFFFFF"/>
        </w:rPr>
        <w:t> 265, de 5 de noviembre de 2015</w:t>
      </w:r>
      <w:r w:rsidRPr="00E671A3">
        <w:rPr>
          <w:rFonts w:ascii="Times New Roman" w:hAnsi="Times New Roman" w:cs="Times New Roman"/>
        </w:rPr>
        <w:t>)</w:t>
      </w:r>
      <w:r w:rsidRPr="00743417">
        <w:rPr>
          <w:rFonts w:ascii="Times New Roman" w:hAnsi="Times New Roman" w:cs="Times New Roman"/>
        </w:rPr>
        <w:t>, relativa a las obligaciones de información y clasificación de productos financieros</w:t>
      </w:r>
      <w:r>
        <w:rPr>
          <w:rFonts w:ascii="Times New Roman" w:hAnsi="Times New Roman" w:cs="Times New Roman"/>
        </w:rPr>
        <w:t>.</w:t>
      </w:r>
    </w:p>
  </w:footnote>
  <w:footnote w:id="5">
    <w:p w:rsidR="005C39F7" w:rsidRPr="00E671A3" w:rsidRDefault="005C39F7" w:rsidP="005C39F7">
      <w:pPr>
        <w:pStyle w:val="Default"/>
        <w:jc w:val="both"/>
        <w:rPr>
          <w:rFonts w:ascii="Times New Roman" w:hAnsi="Times New Roman" w:cs="Times New Roman"/>
          <w:color w:val="auto"/>
          <w:sz w:val="20"/>
          <w:szCs w:val="20"/>
        </w:rPr>
      </w:pPr>
      <w:r w:rsidRPr="00E671A3">
        <w:rPr>
          <w:rStyle w:val="Refdenotaalpie"/>
          <w:rFonts w:ascii="Times New Roman" w:hAnsi="Times New Roman"/>
          <w:sz w:val="20"/>
          <w:szCs w:val="20"/>
        </w:rPr>
        <w:footnoteRef/>
      </w:r>
      <w:r w:rsidRPr="00E671A3">
        <w:rPr>
          <w:rFonts w:ascii="Times New Roman" w:hAnsi="Times New Roman" w:cs="Times New Roman"/>
          <w:sz w:val="20"/>
          <w:szCs w:val="20"/>
        </w:rPr>
        <w:t xml:space="preserve"> La cual será elaborada y representada gráficamente de conformidad con lo dispuesto en la Orden ECC/2316/2015, de 4 de noviembre </w:t>
      </w:r>
      <w:r w:rsidRPr="00E671A3">
        <w:rPr>
          <w:rFonts w:ascii="Times New Roman" w:hAnsi="Times New Roman" w:cs="Times New Roman"/>
          <w:color w:val="auto"/>
          <w:sz w:val="20"/>
          <w:szCs w:val="20"/>
        </w:rPr>
        <w:t>(</w:t>
      </w:r>
      <w:r w:rsidRPr="00E671A3">
        <w:rPr>
          <w:rFonts w:ascii="Times New Roman" w:hAnsi="Times New Roman" w:cs="Times New Roman"/>
          <w:color w:val="333333"/>
          <w:sz w:val="20"/>
          <w:szCs w:val="20"/>
          <w:shd w:val="clear" w:color="auto" w:fill="FFFFFF"/>
        </w:rPr>
        <w:t>«</w:t>
      </w:r>
      <w:r w:rsidRPr="00E671A3">
        <w:rPr>
          <w:rFonts w:ascii="Times New Roman" w:hAnsi="Times New Roman" w:cs="Times New Roman"/>
          <w:sz w:val="20"/>
          <w:szCs w:val="20"/>
        </w:rPr>
        <w:t>BOE</w:t>
      </w:r>
      <w:r w:rsidRPr="00E671A3">
        <w:rPr>
          <w:rFonts w:ascii="Times New Roman" w:hAnsi="Times New Roman" w:cs="Times New Roman"/>
          <w:color w:val="333333"/>
          <w:sz w:val="20"/>
          <w:szCs w:val="20"/>
          <w:shd w:val="clear" w:color="auto" w:fill="FFFFFF"/>
        </w:rPr>
        <w:t>» </w:t>
      </w:r>
      <w:r w:rsidRPr="00E671A3">
        <w:rPr>
          <w:rFonts w:ascii="Times New Roman" w:hAnsi="Times New Roman" w:cs="Times New Roman"/>
          <w:sz w:val="20"/>
          <w:szCs w:val="20"/>
        </w:rPr>
        <w:t>núm.</w:t>
      </w:r>
      <w:r w:rsidRPr="00E671A3">
        <w:rPr>
          <w:rFonts w:ascii="Times New Roman" w:hAnsi="Times New Roman" w:cs="Times New Roman"/>
          <w:color w:val="333333"/>
          <w:sz w:val="20"/>
          <w:szCs w:val="20"/>
          <w:shd w:val="clear" w:color="auto" w:fill="FFFFFF"/>
        </w:rPr>
        <w:t> 265, de 5 de noviembre de 2015</w:t>
      </w:r>
      <w:r w:rsidRPr="00E671A3">
        <w:rPr>
          <w:rFonts w:ascii="Times New Roman" w:hAnsi="Times New Roman" w:cs="Times New Roman"/>
          <w:color w:val="auto"/>
          <w:sz w:val="20"/>
          <w:szCs w:val="20"/>
        </w:rPr>
        <w:t>)</w:t>
      </w:r>
    </w:p>
    <w:p w:rsidR="005C39F7" w:rsidRPr="00743417" w:rsidRDefault="005C39F7" w:rsidP="005C39F7">
      <w:pPr>
        <w:pStyle w:val="Textonotapie1"/>
        <w:jc w:val="both"/>
        <w:rPr>
          <w:rFonts w:ascii="Times New Roman" w:hAnsi="Times New Roman" w:cs="Times New Roman"/>
        </w:rPr>
      </w:pPr>
    </w:p>
  </w:footnote>
  <w:footnote w:id="6">
    <w:p w:rsidR="005C39F7" w:rsidRPr="00743417" w:rsidRDefault="005C39F7" w:rsidP="005C39F7">
      <w:pPr>
        <w:rPr>
          <w:rFonts w:ascii="Times New Roman" w:hAnsi="Times New Roman" w:cs="Times New Roman"/>
          <w:sz w:val="20"/>
          <w:szCs w:val="20"/>
          <w:shd w:val="clear" w:color="auto" w:fill="FFFFFF"/>
        </w:rPr>
      </w:pPr>
      <w:r w:rsidRPr="00743417">
        <w:rPr>
          <w:rStyle w:val="Refdenotaalpie"/>
          <w:rFonts w:ascii="Times New Roman" w:hAnsi="Times New Roman"/>
          <w:sz w:val="20"/>
          <w:szCs w:val="20"/>
        </w:rPr>
        <w:footnoteRef/>
      </w:r>
      <w:r>
        <w:rPr>
          <w:rFonts w:ascii="Times New Roman" w:hAnsi="Times New Roman" w:cs="Times New Roman"/>
          <w:sz w:val="20"/>
          <w:szCs w:val="20"/>
        </w:rPr>
        <w:t xml:space="preserve"> Véase el a</w:t>
      </w:r>
      <w:r w:rsidRPr="00743417">
        <w:rPr>
          <w:rFonts w:ascii="Times New Roman" w:hAnsi="Times New Roman" w:cs="Times New Roman"/>
          <w:sz w:val="20"/>
          <w:szCs w:val="20"/>
        </w:rPr>
        <w:t xml:space="preserve">rt. 6.4 del </w:t>
      </w:r>
      <w:r w:rsidRPr="00743417">
        <w:rPr>
          <w:rFonts w:ascii="Times New Roman" w:hAnsi="Times New Roman" w:cs="Times New Roman"/>
          <w:sz w:val="20"/>
          <w:szCs w:val="20"/>
          <w:shd w:val="clear" w:color="auto" w:fill="FFFFFF"/>
        </w:rPr>
        <w:t>Reglamento (UE) n.º 1286/2014 del Parlamento Europeo y del Consejo, de 26 de noviembre de 2014</w:t>
      </w:r>
      <w:r>
        <w:rPr>
          <w:rFonts w:ascii="Times New Roman" w:hAnsi="Times New Roman" w:cs="Times New Roman"/>
          <w:sz w:val="20"/>
          <w:szCs w:val="20"/>
          <w:shd w:val="clear" w:color="auto" w:fill="FFFFFF"/>
        </w:rPr>
        <w:t xml:space="preserve"> </w:t>
      </w:r>
      <w:proofErr w:type="gramStart"/>
      <w:r w:rsidRPr="008916F9">
        <w:rPr>
          <w:rFonts w:ascii="Times New Roman" w:hAnsi="Times New Roman" w:cs="Times New Roman"/>
          <w:sz w:val="20"/>
          <w:szCs w:val="20"/>
          <w:shd w:val="clear" w:color="auto" w:fill="FFFFFF"/>
        </w:rPr>
        <w:t>(</w:t>
      </w:r>
      <w:r w:rsidRPr="008916F9">
        <w:rPr>
          <w:rFonts w:ascii="Times New Roman" w:hAnsi="Times New Roman" w:cs="Times New Roman"/>
          <w:color w:val="333333"/>
          <w:sz w:val="20"/>
          <w:szCs w:val="20"/>
          <w:shd w:val="clear" w:color="auto" w:fill="FFFFFF"/>
        </w:rPr>
        <w:t xml:space="preserve"> «</w:t>
      </w:r>
      <w:proofErr w:type="gramEnd"/>
      <w:r w:rsidRPr="008916F9">
        <w:rPr>
          <w:rFonts w:ascii="Times New Roman" w:hAnsi="Times New Roman" w:cs="Times New Roman"/>
          <w:sz w:val="20"/>
          <w:szCs w:val="20"/>
        </w:rPr>
        <w:t>DOUE</w:t>
      </w:r>
      <w:r w:rsidRPr="008916F9">
        <w:rPr>
          <w:rFonts w:ascii="Times New Roman" w:hAnsi="Times New Roman" w:cs="Times New Roman"/>
          <w:color w:val="333333"/>
          <w:sz w:val="20"/>
          <w:szCs w:val="20"/>
          <w:shd w:val="clear" w:color="auto" w:fill="FFFFFF"/>
        </w:rPr>
        <w:t>» </w:t>
      </w:r>
      <w:r w:rsidRPr="008916F9">
        <w:rPr>
          <w:rFonts w:ascii="Times New Roman" w:hAnsi="Times New Roman" w:cs="Times New Roman"/>
          <w:sz w:val="20"/>
          <w:szCs w:val="20"/>
        </w:rPr>
        <w:t>núm.</w:t>
      </w:r>
      <w:r w:rsidRPr="008916F9">
        <w:rPr>
          <w:rFonts w:ascii="Times New Roman" w:hAnsi="Times New Roman" w:cs="Times New Roman"/>
          <w:color w:val="333333"/>
          <w:sz w:val="20"/>
          <w:szCs w:val="20"/>
          <w:shd w:val="clear" w:color="auto" w:fill="FFFFFF"/>
        </w:rPr>
        <w:t> 60, de 4 de marzo de 2015)</w:t>
      </w:r>
    </w:p>
    <w:p w:rsidR="005C39F7" w:rsidRPr="00743417" w:rsidRDefault="005C39F7" w:rsidP="005C39F7">
      <w:pPr>
        <w:rPr>
          <w:rFonts w:ascii="Times New Roman" w:hAnsi="Times New Roman" w:cs="Times New Roman"/>
          <w:sz w:val="20"/>
          <w:szCs w:val="20"/>
          <w:shd w:val="clear" w:color="auto" w:fill="FFFFFF"/>
        </w:rPr>
      </w:pPr>
      <w:r w:rsidRPr="00743417">
        <w:rPr>
          <w:rFonts w:ascii="Times New Roman" w:hAnsi="Times New Roman" w:cs="Times New Roman"/>
          <w:sz w:val="20"/>
          <w:szCs w:val="20"/>
          <w:shd w:val="clear" w:color="auto" w:fill="FFFFFF"/>
        </w:rPr>
        <w:t>Precisándose en el articulado del referido Reglamento que deberá contener a modo de síntesis:</w:t>
      </w:r>
    </w:p>
    <w:p w:rsidR="005C39F7" w:rsidRPr="00743417" w:rsidRDefault="005C39F7" w:rsidP="005C39F7">
      <w:pPr>
        <w:pStyle w:val="Prrafodelista"/>
        <w:numPr>
          <w:ilvl w:val="0"/>
          <w:numId w:val="35"/>
        </w:numPr>
        <w:spacing w:before="0"/>
        <w:rPr>
          <w:rFonts w:ascii="Times New Roman" w:eastAsia="Times New Roman" w:hAnsi="Times New Roman" w:cs="Times New Roman"/>
          <w:sz w:val="20"/>
          <w:szCs w:val="20"/>
          <w:lang w:eastAsia="es-ES"/>
        </w:rPr>
      </w:pPr>
      <w:r w:rsidRPr="00743417">
        <w:rPr>
          <w:rFonts w:ascii="Times New Roman" w:hAnsi="Times New Roman" w:cs="Times New Roman"/>
          <w:sz w:val="20"/>
          <w:szCs w:val="20"/>
          <w:shd w:val="clear" w:color="auto" w:fill="FFFFFF"/>
        </w:rPr>
        <w:t xml:space="preserve">Los riesgos que </w:t>
      </w:r>
      <w:proofErr w:type="gramStart"/>
      <w:r w:rsidRPr="00743417">
        <w:rPr>
          <w:rFonts w:ascii="Times New Roman" w:hAnsi="Times New Roman" w:cs="Times New Roman"/>
          <w:sz w:val="20"/>
          <w:szCs w:val="20"/>
          <w:shd w:val="clear" w:color="auto" w:fill="FFFFFF"/>
        </w:rPr>
        <w:t>el inversión</w:t>
      </w:r>
      <w:proofErr w:type="gramEnd"/>
      <w:r w:rsidRPr="00743417">
        <w:rPr>
          <w:rFonts w:ascii="Times New Roman" w:hAnsi="Times New Roman" w:cs="Times New Roman"/>
          <w:sz w:val="20"/>
          <w:szCs w:val="20"/>
          <w:shd w:val="clear" w:color="auto" w:fill="FFFFFF"/>
        </w:rPr>
        <w:t xml:space="preserve"> corre y breve descripción del perfil de la rentabilidad</w:t>
      </w:r>
    </w:p>
    <w:p w:rsidR="005C39F7" w:rsidRPr="00743417" w:rsidRDefault="005C39F7" w:rsidP="005C39F7">
      <w:pPr>
        <w:pStyle w:val="Prrafodelista"/>
        <w:numPr>
          <w:ilvl w:val="0"/>
          <w:numId w:val="35"/>
        </w:numPr>
        <w:spacing w:before="0"/>
        <w:rPr>
          <w:rFonts w:ascii="Times New Roman" w:eastAsia="Times New Roman" w:hAnsi="Times New Roman" w:cs="Times New Roman"/>
          <w:sz w:val="20"/>
          <w:szCs w:val="20"/>
          <w:lang w:eastAsia="es-ES"/>
        </w:rPr>
      </w:pPr>
      <w:r w:rsidRPr="00743417">
        <w:rPr>
          <w:rFonts w:ascii="Times New Roman" w:hAnsi="Times New Roman" w:cs="Times New Roman"/>
          <w:sz w:val="20"/>
          <w:szCs w:val="20"/>
          <w:shd w:val="clear" w:color="auto" w:fill="FFFFFF"/>
        </w:rPr>
        <w:t xml:space="preserve">Riesgos de qué el producto financiero no se pueda pagar, es decir, </w:t>
      </w:r>
      <w:proofErr w:type="gramStart"/>
      <w:r w:rsidRPr="00743417">
        <w:rPr>
          <w:rFonts w:ascii="Times New Roman" w:hAnsi="Times New Roman" w:cs="Times New Roman"/>
          <w:sz w:val="20"/>
          <w:szCs w:val="20"/>
          <w:shd w:val="clear" w:color="auto" w:fill="FFFFFF"/>
        </w:rPr>
        <w:t>si  la</w:t>
      </w:r>
      <w:proofErr w:type="gramEnd"/>
      <w:r w:rsidRPr="00743417">
        <w:rPr>
          <w:rFonts w:ascii="Times New Roman" w:hAnsi="Times New Roman" w:cs="Times New Roman"/>
          <w:sz w:val="20"/>
          <w:szCs w:val="20"/>
          <w:shd w:val="clear" w:color="auto" w:fill="FFFFFF"/>
        </w:rPr>
        <w:t xml:space="preserve"> </w:t>
      </w:r>
      <w:r w:rsidRPr="00743417">
        <w:rPr>
          <w:rFonts w:ascii="Times New Roman" w:eastAsia="Times New Roman" w:hAnsi="Times New Roman" w:cs="Times New Roman"/>
          <w:sz w:val="20"/>
          <w:szCs w:val="20"/>
          <w:lang w:eastAsia="es-ES"/>
        </w:rPr>
        <w:t>pérdida consiguiente está cubierta por un régimen de compensación o garantía para los inversores, y en caso afirmativo, de qué régimen se trata, el nombre del garante y cuáles son los riesgos cubiertos y no cubiertos por el régimen</w:t>
      </w:r>
    </w:p>
    <w:p w:rsidR="005C39F7" w:rsidRPr="00743417" w:rsidRDefault="005C39F7" w:rsidP="005C39F7">
      <w:pPr>
        <w:pStyle w:val="Prrafodelista"/>
        <w:numPr>
          <w:ilvl w:val="0"/>
          <w:numId w:val="35"/>
        </w:numPr>
        <w:spacing w:before="0"/>
        <w:rPr>
          <w:rFonts w:ascii="Times New Roman" w:eastAsia="Times New Roman" w:hAnsi="Times New Roman" w:cs="Times New Roman"/>
          <w:sz w:val="20"/>
          <w:szCs w:val="20"/>
          <w:lang w:eastAsia="es-ES"/>
        </w:rPr>
      </w:pPr>
      <w:r w:rsidRPr="00743417">
        <w:rPr>
          <w:rFonts w:ascii="Times New Roman" w:eastAsia="Times New Roman" w:hAnsi="Times New Roman" w:cs="Times New Roman"/>
          <w:sz w:val="20"/>
          <w:szCs w:val="20"/>
          <w:lang w:eastAsia="es-ES"/>
        </w:rPr>
        <w:t>Los costes directos e indirectos que habrá de soportar el cliente bancario o financiero. Asimismo, se deberá informar de los posibles costes de distribución que no estén ya incluidos en los antedichos costes, a fin de que el inversor minorista pueda comprender los efectos acumulados de estos costes agregados en la rentabilidad de la inversión</w:t>
      </w:r>
    </w:p>
    <w:p w:rsidR="005C39F7" w:rsidRPr="00743417" w:rsidRDefault="005C39F7" w:rsidP="005C39F7">
      <w:pPr>
        <w:pStyle w:val="Prrafodelista"/>
        <w:numPr>
          <w:ilvl w:val="0"/>
          <w:numId w:val="35"/>
        </w:numPr>
        <w:spacing w:before="0"/>
        <w:rPr>
          <w:rFonts w:ascii="Times New Roman" w:eastAsia="Times New Roman" w:hAnsi="Times New Roman" w:cs="Times New Roman"/>
          <w:sz w:val="20"/>
          <w:szCs w:val="20"/>
          <w:lang w:eastAsia="es-ES"/>
        </w:rPr>
      </w:pPr>
      <w:r w:rsidRPr="00743417">
        <w:rPr>
          <w:rFonts w:ascii="Times New Roman" w:eastAsia="Times New Roman" w:hAnsi="Times New Roman" w:cs="Times New Roman"/>
          <w:sz w:val="20"/>
          <w:szCs w:val="20"/>
          <w:lang w:eastAsia="es-ES"/>
        </w:rPr>
        <w:t>Tiempo de mantenimiento de la inversión y si existe la posibilidad de retirar el dinero de manera anticipada</w:t>
      </w:r>
    </w:p>
    <w:p w:rsidR="005C39F7" w:rsidRPr="00170923" w:rsidRDefault="005C39F7" w:rsidP="005C39F7">
      <w:pPr>
        <w:pStyle w:val="Prrafodelista"/>
        <w:numPr>
          <w:ilvl w:val="0"/>
          <w:numId w:val="35"/>
        </w:numPr>
        <w:spacing w:before="0"/>
        <w:rPr>
          <w:rFonts w:ascii="Times New Roman" w:hAnsi="Times New Roman" w:cs="Times New Roman"/>
        </w:rPr>
      </w:pPr>
      <w:r w:rsidRPr="00170923">
        <w:rPr>
          <w:rFonts w:ascii="Times New Roman" w:eastAsia="Times New Roman" w:hAnsi="Times New Roman" w:cs="Times New Roman"/>
          <w:sz w:val="20"/>
          <w:szCs w:val="20"/>
          <w:lang w:eastAsia="es-ES"/>
        </w:rPr>
        <w:t xml:space="preserve">Y finalmente información sobre la forma en que el inversor minorista puede presentar una reclamación relativa al producto o a la conducta </w:t>
      </w:r>
      <w:proofErr w:type="gramStart"/>
      <w:r w:rsidRPr="00170923">
        <w:rPr>
          <w:rFonts w:ascii="Times New Roman" w:eastAsia="Times New Roman" w:hAnsi="Times New Roman" w:cs="Times New Roman"/>
          <w:sz w:val="20"/>
          <w:szCs w:val="20"/>
          <w:lang w:eastAsia="es-ES"/>
        </w:rPr>
        <w:t>de  la</w:t>
      </w:r>
      <w:proofErr w:type="gramEnd"/>
      <w:r w:rsidRPr="00170923">
        <w:rPr>
          <w:rFonts w:ascii="Times New Roman" w:eastAsia="Times New Roman" w:hAnsi="Times New Roman" w:cs="Times New Roman"/>
          <w:sz w:val="20"/>
          <w:szCs w:val="20"/>
          <w:lang w:eastAsia="es-ES"/>
        </w:rPr>
        <w:t xml:space="preserve"> persona que haya asesorado sobre él o lo haya vendido, y sobre a quién puede dirigir tal reclamación</w:t>
      </w:r>
    </w:p>
  </w:footnote>
  <w:footnote w:id="7">
    <w:p w:rsidR="005C39F7" w:rsidRPr="00743417" w:rsidRDefault="005C39F7" w:rsidP="005C39F7">
      <w:pPr>
        <w:pStyle w:val="Textonotapie1"/>
        <w:jc w:val="both"/>
        <w:rPr>
          <w:rFonts w:ascii="Times New Roman" w:hAnsi="Times New Roman" w:cs="Times New Roman"/>
        </w:rPr>
      </w:pPr>
      <w:r w:rsidRPr="00743417">
        <w:rPr>
          <w:rStyle w:val="Refdenotaalpie"/>
          <w:rFonts w:ascii="Times New Roman" w:hAnsi="Times New Roman"/>
        </w:rPr>
        <w:footnoteRef/>
      </w:r>
      <w:r w:rsidRPr="00743417">
        <w:rPr>
          <w:rFonts w:ascii="Times New Roman" w:hAnsi="Times New Roman" w:cs="Times New Roman"/>
        </w:rPr>
        <w:t xml:space="preserve"> “Como la denominada rentabilidad financiero-fiscal que mide la rentabilidad por completo </w:t>
      </w:r>
      <w:proofErr w:type="gramStart"/>
      <w:r w:rsidRPr="00743417">
        <w:rPr>
          <w:rFonts w:ascii="Times New Roman" w:hAnsi="Times New Roman" w:cs="Times New Roman"/>
        </w:rPr>
        <w:t>ajena  a</w:t>
      </w:r>
      <w:proofErr w:type="gramEnd"/>
      <w:r w:rsidRPr="00743417">
        <w:rPr>
          <w:rFonts w:ascii="Times New Roman" w:hAnsi="Times New Roman" w:cs="Times New Roman"/>
        </w:rPr>
        <w:t xml:space="preserve"> las características intrínsecas del producto que se pretende comercializar”, tal y como se establece en la Exposición de Motivos de la </w:t>
      </w:r>
      <w:r w:rsidRPr="00743417">
        <w:rPr>
          <w:rFonts w:ascii="Times New Roman" w:hAnsi="Times New Roman" w:cs="Times New Roman"/>
          <w:shd w:val="clear" w:color="auto" w:fill="FFFFFF" w:themeFill="background1"/>
        </w:rPr>
        <w:t xml:space="preserve">Ley 35/2006, de 28 de noviembre, del </w:t>
      </w:r>
      <w:r>
        <w:rPr>
          <w:rFonts w:ascii="Times New Roman" w:hAnsi="Times New Roman" w:cs="Times New Roman"/>
          <w:shd w:val="clear" w:color="auto" w:fill="FFFFFF" w:themeFill="background1"/>
        </w:rPr>
        <w:t xml:space="preserve">Impuesto sobre la Renta de las Personas Físicas </w:t>
      </w:r>
      <w:r w:rsidRPr="00743417">
        <w:rPr>
          <w:rFonts w:ascii="Times New Roman" w:hAnsi="Times New Roman" w:cs="Times New Roman"/>
          <w:shd w:val="clear" w:color="auto" w:fill="FFFFFF" w:themeFill="background1"/>
        </w:rPr>
        <w:t xml:space="preserve">y de modificación parcial de las </w:t>
      </w:r>
      <w:r w:rsidRPr="00730EF7">
        <w:rPr>
          <w:rFonts w:ascii="Times New Roman" w:hAnsi="Times New Roman" w:cs="Times New Roman"/>
          <w:shd w:val="clear" w:color="auto" w:fill="FFFFFF" w:themeFill="background1"/>
        </w:rPr>
        <w:t>leyes de los Impuestos sobre Sociedades, sobre la Renta de no Residentes y sobre el Patrimonio</w:t>
      </w:r>
      <w:r w:rsidRPr="00730EF7">
        <w:rPr>
          <w:rFonts w:ascii="Times New Roman" w:hAnsi="Times New Roman" w:cs="Times New Roman"/>
          <w:shd w:val="clear" w:color="auto" w:fill="F8F8F8"/>
        </w:rPr>
        <w:t>. (</w:t>
      </w:r>
      <w:r w:rsidRPr="00730EF7">
        <w:rPr>
          <w:rFonts w:ascii="Times New Roman" w:hAnsi="Times New Roman" w:cs="Times New Roman"/>
        </w:rPr>
        <w:t>«BOE»</w:t>
      </w:r>
      <w:r w:rsidRPr="00730EF7">
        <w:rPr>
          <w:rFonts w:ascii="Times New Roman" w:hAnsi="Times New Roman" w:cs="Times New Roman"/>
          <w:color w:val="333333"/>
          <w:shd w:val="clear" w:color="auto" w:fill="FFFFFF"/>
        </w:rPr>
        <w:t> </w:t>
      </w:r>
      <w:r w:rsidRPr="00730EF7">
        <w:rPr>
          <w:rFonts w:ascii="Times New Roman" w:hAnsi="Times New Roman" w:cs="Times New Roman"/>
        </w:rPr>
        <w:t>núm.</w:t>
      </w:r>
      <w:r w:rsidRPr="00730EF7">
        <w:rPr>
          <w:rFonts w:ascii="Times New Roman" w:hAnsi="Times New Roman" w:cs="Times New Roman"/>
          <w:color w:val="333333"/>
          <w:shd w:val="clear" w:color="auto" w:fill="FFFFFF"/>
        </w:rPr>
        <w:t> 285, de 29/11/2006</w:t>
      </w:r>
      <w:r w:rsidRPr="00730EF7">
        <w:rPr>
          <w:rFonts w:ascii="Times New Roman" w:hAnsi="Times New Roman" w:cs="Times New Roman"/>
          <w:shd w:val="clear" w:color="auto" w:fill="F8F8F8"/>
        </w:rPr>
        <w:t>)</w:t>
      </w:r>
    </w:p>
  </w:footnote>
  <w:footnote w:id="8">
    <w:p w:rsidR="005C39F7" w:rsidRPr="00743417" w:rsidRDefault="005C39F7" w:rsidP="005C39F7">
      <w:pPr>
        <w:pStyle w:val="Textonotapie1"/>
        <w:jc w:val="both"/>
        <w:rPr>
          <w:rFonts w:ascii="Times New Roman" w:hAnsi="Times New Roman" w:cs="Times New Roman"/>
        </w:rPr>
      </w:pPr>
      <w:r w:rsidRPr="00743417">
        <w:rPr>
          <w:rStyle w:val="Refdenotaalpie"/>
          <w:rFonts w:ascii="Times New Roman" w:hAnsi="Times New Roman"/>
        </w:rPr>
        <w:footnoteRef/>
      </w:r>
      <w:r w:rsidRPr="00743417">
        <w:rPr>
          <w:rFonts w:ascii="Times New Roman" w:hAnsi="Times New Roman" w:cs="Times New Roman"/>
        </w:rPr>
        <w:t xml:space="preserve"> Hasta </w:t>
      </w:r>
      <w:proofErr w:type="gramStart"/>
      <w:r w:rsidRPr="00743417">
        <w:rPr>
          <w:rFonts w:ascii="Times New Roman" w:hAnsi="Times New Roman" w:cs="Times New Roman"/>
        </w:rPr>
        <w:t xml:space="preserve">2016,   </w:t>
      </w:r>
      <w:proofErr w:type="gramEnd"/>
      <w:r w:rsidRPr="00743417">
        <w:rPr>
          <w:rFonts w:ascii="Times New Roman" w:hAnsi="Times New Roman" w:cs="Times New Roman"/>
        </w:rPr>
        <w:t>la renta  obtenida disminuía el valor de adquisición, produciéndose un diferimiento de la tributación  hasta el l momento en que se transmitían las acciones, exención que sólo se mantiene si se cobra en acciones, que recibe gratuitamente. Sin embargo, desde 2017, se considera una ganancia que tributa al porcentaje que corresponda según el importe si se venden en el mercado los derechos de suscripción.</w:t>
      </w:r>
    </w:p>
  </w:footnote>
  <w:footnote w:id="9">
    <w:p w:rsidR="005C39F7" w:rsidRPr="00730EF7" w:rsidRDefault="005C39F7" w:rsidP="005C39F7">
      <w:pPr>
        <w:pStyle w:val="Textonotapie1"/>
        <w:jc w:val="both"/>
        <w:rPr>
          <w:rFonts w:ascii="Times New Roman" w:hAnsi="Times New Roman" w:cs="Times New Roman"/>
        </w:rPr>
      </w:pPr>
      <w:r w:rsidRPr="00730EF7">
        <w:rPr>
          <w:rStyle w:val="Refdenotaalpie"/>
          <w:rFonts w:ascii="Times New Roman" w:hAnsi="Times New Roman"/>
        </w:rPr>
        <w:footnoteRef/>
      </w:r>
      <w:r w:rsidRPr="00730EF7">
        <w:rPr>
          <w:rFonts w:ascii="Times New Roman" w:hAnsi="Times New Roman" w:cs="Times New Roman"/>
        </w:rPr>
        <w:t>AA.VV.</w:t>
      </w:r>
      <w:r>
        <w:rPr>
          <w:rFonts w:ascii="Times New Roman" w:hAnsi="Times New Roman" w:cs="Times New Roman"/>
        </w:rPr>
        <w:t>:</w:t>
      </w:r>
      <w:r w:rsidRPr="00730EF7">
        <w:rPr>
          <w:rFonts w:ascii="Times New Roman" w:hAnsi="Times New Roman" w:cs="Times New Roman"/>
        </w:rPr>
        <w:t xml:space="preserve"> </w:t>
      </w:r>
      <w:r w:rsidRPr="00730EF7">
        <w:rPr>
          <w:rFonts w:ascii="Times New Roman" w:hAnsi="Times New Roman" w:cs="Times New Roman"/>
          <w:i/>
        </w:rPr>
        <w:t>Productos financieros. Acciones</w:t>
      </w:r>
      <w:r w:rsidRPr="00730EF7">
        <w:rPr>
          <w:rFonts w:ascii="Times New Roman" w:hAnsi="Times New Roman" w:cs="Times New Roman"/>
        </w:rPr>
        <w:t>.</w:t>
      </w:r>
      <w:r>
        <w:rPr>
          <w:rFonts w:ascii="Times New Roman" w:hAnsi="Times New Roman" w:cs="Times New Roman"/>
        </w:rPr>
        <w:t xml:space="preserve"> </w:t>
      </w:r>
      <w:r w:rsidRPr="00730EF7">
        <w:rPr>
          <w:rFonts w:ascii="Times New Roman" w:hAnsi="Times New Roman" w:cs="Times New Roman"/>
        </w:rPr>
        <w:t xml:space="preserve">DOC 2003\347 Aranzadi. Práctico fiscal disponible en </w:t>
      </w:r>
      <w:hyperlink r:id="rId2" w:history="1">
        <w:r w:rsidRPr="00730EF7">
          <w:rPr>
            <w:rStyle w:val="Hipervnculo"/>
            <w:rFonts w:ascii="Times New Roman" w:hAnsi="Times New Roman" w:cs="Times New Roman"/>
          </w:rPr>
          <w:t>http://experto.aranzadidigital.es/maf/app/document?docguid=Ic0a892f0759d11db9913010000000000&amp;srguid=i0ad82d9b0000015d03c3c30333b7b5a1</w:t>
        </w:r>
      </w:hyperlink>
      <w:r w:rsidRPr="00730EF7">
        <w:rPr>
          <w:rFonts w:ascii="Times New Roman" w:hAnsi="Times New Roman" w:cs="Times New Roman"/>
        </w:rPr>
        <w:t xml:space="preserve"> última consulta 21 de agosto de 2017</w:t>
      </w:r>
    </w:p>
  </w:footnote>
  <w:footnote w:id="10">
    <w:p w:rsidR="005C39F7" w:rsidRPr="00743417" w:rsidRDefault="005C39F7" w:rsidP="005C39F7">
      <w:pPr>
        <w:contextualSpacing/>
        <w:mirrorIndents/>
        <w:rPr>
          <w:rFonts w:ascii="Times New Roman" w:hAnsi="Times New Roman" w:cs="Times New Roman"/>
          <w:szCs w:val="24"/>
        </w:rPr>
      </w:pPr>
      <w:r w:rsidRPr="006C6090">
        <w:rPr>
          <w:rStyle w:val="Refdenotaalpie"/>
          <w:rFonts w:ascii="Times New Roman" w:hAnsi="Times New Roman"/>
          <w:sz w:val="20"/>
          <w:szCs w:val="20"/>
        </w:rPr>
        <w:footnoteRef/>
      </w:r>
      <w:r w:rsidRPr="006C6090">
        <w:rPr>
          <w:rFonts w:ascii="Times New Roman" w:hAnsi="Times New Roman" w:cs="Times New Roman"/>
          <w:sz w:val="20"/>
          <w:szCs w:val="20"/>
        </w:rPr>
        <w:t xml:space="preserve"> Véase </w:t>
      </w:r>
      <w:r>
        <w:rPr>
          <w:rFonts w:ascii="Times New Roman" w:hAnsi="Times New Roman" w:cs="Times New Roman"/>
          <w:sz w:val="20"/>
          <w:szCs w:val="20"/>
        </w:rPr>
        <w:t xml:space="preserve">el </w:t>
      </w:r>
      <w:r w:rsidRPr="006C6090">
        <w:rPr>
          <w:rFonts w:ascii="Times New Roman" w:hAnsi="Times New Roman" w:cs="Times New Roman"/>
          <w:sz w:val="20"/>
          <w:szCs w:val="20"/>
        </w:rPr>
        <w:t>art. 91.9</w:t>
      </w:r>
      <w:r>
        <w:rPr>
          <w:rFonts w:ascii="Times New Roman" w:hAnsi="Times New Roman" w:cs="Times New Roman"/>
          <w:sz w:val="20"/>
          <w:szCs w:val="20"/>
        </w:rPr>
        <w:t xml:space="preserve"> de la </w:t>
      </w:r>
      <w:r>
        <w:rPr>
          <w:rFonts w:ascii="Times New Roman" w:hAnsi="Times New Roman" w:cs="Times New Roman"/>
          <w:szCs w:val="24"/>
        </w:rPr>
        <w:t>Ley 35/2006, de 28 de noviembre, del Impuesto sobre la Renta de las Personas Físicas   RCL 2006\2123</w:t>
      </w:r>
      <w:r w:rsidRPr="00743417">
        <w:rPr>
          <w:rFonts w:ascii="Times New Roman" w:hAnsi="Times New Roman" w:cs="Times New Roman"/>
          <w:szCs w:val="24"/>
        </w:rPr>
        <w:t>.</w:t>
      </w:r>
    </w:p>
    <w:p w:rsidR="005C39F7" w:rsidRPr="006C6090" w:rsidRDefault="005C39F7" w:rsidP="005C39F7">
      <w:pPr>
        <w:contextualSpacing/>
        <w:mirrorIndents/>
        <w:rPr>
          <w:rFonts w:ascii="Times New Roman" w:hAnsi="Times New Roman" w:cs="Times New Roman"/>
          <w:sz w:val="20"/>
          <w:szCs w:val="20"/>
        </w:rPr>
      </w:pPr>
    </w:p>
    <w:p w:rsidR="005C39F7" w:rsidRDefault="005C39F7" w:rsidP="005C39F7">
      <w:pPr>
        <w:pStyle w:val="Textonotapie1"/>
      </w:pPr>
    </w:p>
  </w:footnote>
  <w:footnote w:id="11">
    <w:p w:rsidR="005C39F7" w:rsidRPr="00743417" w:rsidRDefault="005C39F7" w:rsidP="005C39F7">
      <w:pPr>
        <w:pStyle w:val="Textonotapie1"/>
        <w:jc w:val="both"/>
        <w:rPr>
          <w:rFonts w:ascii="Times New Roman" w:hAnsi="Times New Roman" w:cs="Times New Roman"/>
        </w:rPr>
      </w:pPr>
      <w:r w:rsidRPr="00743417">
        <w:rPr>
          <w:rStyle w:val="Refdenotaalpie"/>
          <w:rFonts w:ascii="Times New Roman" w:hAnsi="Times New Roman"/>
        </w:rPr>
        <w:footnoteRef/>
      </w:r>
      <w:r w:rsidRPr="00743417">
        <w:rPr>
          <w:rFonts w:ascii="Times New Roman" w:hAnsi="Times New Roman" w:cs="Times New Roman"/>
        </w:rPr>
        <w:t>Esto es, si un socio realiza una aportación con </w:t>
      </w:r>
      <w:r w:rsidRPr="00730EF7">
        <w:rPr>
          <w:rStyle w:val="searchterm"/>
          <w:rFonts w:ascii="Times New Roman" w:hAnsi="Times New Roman" w:cs="Times New Roman"/>
          <w:bCs/>
          <w:shd w:val="clear" w:color="auto" w:fill="FFFFFF" w:themeFill="background1"/>
        </w:rPr>
        <w:t>prima de emisión</w:t>
      </w:r>
      <w:r w:rsidRPr="00743417">
        <w:rPr>
          <w:rFonts w:ascii="Times New Roman" w:hAnsi="Times New Roman" w:cs="Times New Roman"/>
        </w:rPr>
        <w:t> por importe de 80, y la sociedad genera posteriormente 100 de beneficios, el reparto de la prima no será tratado como una devolución del capital, sino como un reparto de 80 unidades de los beneficios generados con posterioridad a la aportación de la prima</w:t>
      </w:r>
      <w:r w:rsidRPr="00730EF7">
        <w:rPr>
          <w:rFonts w:ascii="Times New Roman" w:hAnsi="Times New Roman" w:cs="Times New Roman"/>
        </w:rPr>
        <w:t xml:space="preserve"> AA.VV.</w:t>
      </w:r>
      <w:r>
        <w:rPr>
          <w:rFonts w:ascii="Times New Roman" w:hAnsi="Times New Roman" w:cs="Times New Roman"/>
        </w:rPr>
        <w:t>:</w:t>
      </w:r>
      <w:r w:rsidRPr="00730EF7">
        <w:rPr>
          <w:rFonts w:ascii="Times New Roman" w:hAnsi="Times New Roman" w:cs="Times New Roman"/>
        </w:rPr>
        <w:t xml:space="preserve"> </w:t>
      </w:r>
      <w:r w:rsidRPr="00730EF7">
        <w:rPr>
          <w:rFonts w:ascii="Times New Roman" w:hAnsi="Times New Roman" w:cs="Times New Roman"/>
          <w:i/>
        </w:rPr>
        <w:t>Productos financieros. Acciones</w:t>
      </w:r>
      <w:r w:rsidRPr="00730EF7">
        <w:rPr>
          <w:rFonts w:ascii="Times New Roman" w:hAnsi="Times New Roman" w:cs="Times New Roman"/>
        </w:rPr>
        <w:t>.</w:t>
      </w:r>
      <w:r>
        <w:rPr>
          <w:rFonts w:ascii="Times New Roman" w:hAnsi="Times New Roman" w:cs="Times New Roman"/>
        </w:rPr>
        <w:t xml:space="preserve"> </w:t>
      </w:r>
      <w:r w:rsidRPr="00730EF7">
        <w:rPr>
          <w:rFonts w:ascii="Times New Roman" w:hAnsi="Times New Roman" w:cs="Times New Roman"/>
        </w:rPr>
        <w:t xml:space="preserve">DOC 2003\347 Aranzadi. Práctico fiscal disponible en </w:t>
      </w:r>
      <w:hyperlink r:id="rId3" w:history="1">
        <w:r w:rsidRPr="00730EF7">
          <w:rPr>
            <w:rStyle w:val="Hipervnculo"/>
            <w:rFonts w:ascii="Times New Roman" w:hAnsi="Times New Roman" w:cs="Times New Roman"/>
          </w:rPr>
          <w:t>http://experto.aranzadidigital.es/maf/app/document?docguid=Ic0a892f0759d11db9913010000000000&amp;srguid=i0ad82d9b0000015d03c3c30333b7b5a1</w:t>
        </w:r>
      </w:hyperlink>
      <w:r w:rsidRPr="00730EF7">
        <w:rPr>
          <w:rFonts w:ascii="Times New Roman" w:hAnsi="Times New Roman" w:cs="Times New Roman"/>
        </w:rPr>
        <w:t xml:space="preserve"> última consulta 21 de agosto de 2017</w:t>
      </w:r>
    </w:p>
  </w:footnote>
  <w:footnote w:id="12">
    <w:p w:rsidR="005C39F7" w:rsidRPr="00743417" w:rsidRDefault="005C39F7" w:rsidP="005C39F7">
      <w:pPr>
        <w:pStyle w:val="Textonotapie1"/>
        <w:jc w:val="both"/>
        <w:rPr>
          <w:rFonts w:ascii="Times New Roman" w:hAnsi="Times New Roman" w:cs="Times New Roman"/>
        </w:rPr>
      </w:pPr>
      <w:r w:rsidRPr="00743417">
        <w:rPr>
          <w:rStyle w:val="Refdenotaalpie"/>
          <w:rFonts w:ascii="Times New Roman" w:hAnsi="Times New Roman"/>
        </w:rPr>
        <w:footnoteRef/>
      </w:r>
      <w:r w:rsidRPr="00743417">
        <w:rPr>
          <w:rFonts w:ascii="Times New Roman" w:hAnsi="Times New Roman" w:cs="Times New Roman"/>
        </w:rPr>
        <w:t xml:space="preserve"> Consulta Vinculante V1978-16, de 09 de mayo de 2016 de la Subdirecci</w:t>
      </w:r>
      <w:r>
        <w:rPr>
          <w:rFonts w:ascii="Times New Roman" w:hAnsi="Times New Roman" w:cs="Times New Roman"/>
        </w:rPr>
        <w:t>ó</w:t>
      </w:r>
      <w:r w:rsidRPr="00743417">
        <w:rPr>
          <w:rFonts w:ascii="Times New Roman" w:hAnsi="Times New Roman" w:cs="Times New Roman"/>
        </w:rPr>
        <w:t>n</w:t>
      </w:r>
      <w:r>
        <w:rPr>
          <w:rFonts w:ascii="Times New Roman" w:hAnsi="Times New Roman" w:cs="Times New Roman"/>
        </w:rPr>
        <w:t xml:space="preserve"> </w:t>
      </w:r>
      <w:r w:rsidRPr="00743417">
        <w:rPr>
          <w:rFonts w:ascii="Times New Roman" w:hAnsi="Times New Roman" w:cs="Times New Roman"/>
        </w:rPr>
        <w:t>General de Impuestos sob</w:t>
      </w:r>
      <w:r>
        <w:rPr>
          <w:rFonts w:ascii="Times New Roman" w:hAnsi="Times New Roman" w:cs="Times New Roman"/>
        </w:rPr>
        <w:t>re la Renta de las Personas Jurí</w:t>
      </w:r>
      <w:r w:rsidRPr="00743417">
        <w:rPr>
          <w:rFonts w:ascii="Times New Roman" w:hAnsi="Times New Roman" w:cs="Times New Roman"/>
        </w:rPr>
        <w:t>dicas</w:t>
      </w:r>
    </w:p>
  </w:footnote>
  <w:footnote w:id="13">
    <w:p w:rsidR="005C39F7" w:rsidRPr="00944F0E" w:rsidRDefault="005C39F7" w:rsidP="005C39F7">
      <w:pPr>
        <w:pStyle w:val="Textonotapie1"/>
        <w:rPr>
          <w:rFonts w:ascii="Times New Roman" w:hAnsi="Times New Roman" w:cs="Times New Roman"/>
        </w:rPr>
      </w:pPr>
      <w:r w:rsidRPr="00944F0E">
        <w:rPr>
          <w:rStyle w:val="Refdenotaalpie"/>
          <w:rFonts w:ascii="Times New Roman" w:hAnsi="Times New Roman"/>
        </w:rPr>
        <w:footnoteRef/>
      </w:r>
      <w:r w:rsidRPr="00944F0E">
        <w:rPr>
          <w:rFonts w:ascii="Times New Roman" w:hAnsi="Times New Roman" w:cs="Times New Roman"/>
        </w:rPr>
        <w:t xml:space="preserve"> Véase el </w:t>
      </w:r>
      <w:hyperlink r:id="rId4" w:tooltip="RCL\2014\1581" w:history="1">
        <w:r w:rsidRPr="00944F0E">
          <w:rPr>
            <w:rStyle w:val="Hipervnculo"/>
            <w:rFonts w:ascii="Times New Roman" w:hAnsi="Times New Roman" w:cs="Times New Roman"/>
          </w:rPr>
          <w:t>art. 7.1.c) </w:t>
        </w:r>
      </w:hyperlink>
      <w:r w:rsidRPr="00944F0E">
        <w:rPr>
          <w:rFonts w:ascii="Times New Roman" w:hAnsi="Times New Roman" w:cs="Times New Roman"/>
        </w:rPr>
        <w:t>  del LIS</w:t>
      </w:r>
    </w:p>
  </w:footnote>
  <w:footnote w:id="14">
    <w:p w:rsidR="005C39F7" w:rsidRPr="002D7E8A" w:rsidRDefault="005C39F7" w:rsidP="005C39F7">
      <w:pPr>
        <w:pStyle w:val="parrafo2"/>
        <w:shd w:val="clear" w:color="auto" w:fill="FFFFFF"/>
        <w:spacing w:before="0" w:beforeAutospacing="0" w:after="0" w:afterAutospacing="0"/>
        <w:jc w:val="both"/>
        <w:rPr>
          <w:sz w:val="20"/>
          <w:szCs w:val="20"/>
        </w:rPr>
      </w:pPr>
      <w:r w:rsidRPr="002D7E8A">
        <w:rPr>
          <w:rStyle w:val="Refdenotaalpie"/>
          <w:sz w:val="20"/>
          <w:szCs w:val="20"/>
        </w:rPr>
        <w:footnoteRef/>
      </w:r>
      <w:r w:rsidRPr="002D7E8A">
        <w:rPr>
          <w:sz w:val="20"/>
          <w:szCs w:val="20"/>
        </w:rPr>
        <w:t xml:space="preserve"> El legislador enumera a modo ejemplificativo:</w:t>
      </w:r>
    </w:p>
    <w:p w:rsidR="005C39F7" w:rsidRPr="002D7E8A" w:rsidRDefault="005C39F7" w:rsidP="005C39F7">
      <w:pPr>
        <w:pStyle w:val="parrafo2"/>
        <w:shd w:val="clear" w:color="auto" w:fill="FFFFFF"/>
        <w:spacing w:before="0" w:beforeAutospacing="0" w:after="0" w:afterAutospacing="0"/>
        <w:jc w:val="both"/>
        <w:rPr>
          <w:sz w:val="20"/>
          <w:szCs w:val="20"/>
        </w:rPr>
      </w:pPr>
      <w:r w:rsidRPr="002D7E8A">
        <w:rPr>
          <w:sz w:val="20"/>
          <w:szCs w:val="20"/>
        </w:rPr>
        <w:t>“1. º Los rendimientos procedentes de cualquier instrumento de giro, incluso los originados por operaciones comerciales, a partir del momento en que se endose o transmita, salvo que el endoso o cesión se haga como pago de un crédito de proveedores o suministradores.</w:t>
      </w:r>
    </w:p>
    <w:p w:rsidR="005C39F7" w:rsidRPr="002D7E8A" w:rsidRDefault="005C39F7" w:rsidP="005C39F7">
      <w:pPr>
        <w:pStyle w:val="parrafo"/>
        <w:shd w:val="clear" w:color="auto" w:fill="FFFFFF"/>
        <w:spacing w:before="0" w:beforeAutospacing="0" w:after="0" w:afterAutospacing="0"/>
        <w:jc w:val="both"/>
        <w:rPr>
          <w:sz w:val="20"/>
          <w:szCs w:val="20"/>
        </w:rPr>
      </w:pPr>
      <w:r w:rsidRPr="002D7E8A">
        <w:rPr>
          <w:sz w:val="20"/>
          <w:szCs w:val="20"/>
        </w:rPr>
        <w:t>2. º La contraprestación, cualquiera que sea su denominación o naturaleza, derivada de cuentas en toda clase de instituciones financieras, incluyendo las basadas en operaciones sobre activos financieros.</w:t>
      </w:r>
    </w:p>
    <w:p w:rsidR="005C39F7" w:rsidRPr="002D7E8A" w:rsidRDefault="005C39F7" w:rsidP="005C39F7">
      <w:pPr>
        <w:pStyle w:val="parrafo"/>
        <w:shd w:val="clear" w:color="auto" w:fill="FFFFFF"/>
        <w:spacing w:before="0" w:beforeAutospacing="0" w:after="0" w:afterAutospacing="0"/>
        <w:jc w:val="both"/>
        <w:rPr>
          <w:sz w:val="20"/>
          <w:szCs w:val="20"/>
        </w:rPr>
      </w:pPr>
      <w:r w:rsidRPr="002D7E8A">
        <w:rPr>
          <w:sz w:val="20"/>
          <w:szCs w:val="20"/>
        </w:rPr>
        <w:t>3. º Las rentas derivadas de operaciones de cesión temporal de activos financieros con pacto de recompra.</w:t>
      </w:r>
    </w:p>
    <w:p w:rsidR="005C39F7" w:rsidRPr="002D7E8A" w:rsidRDefault="005C39F7" w:rsidP="005C39F7">
      <w:pPr>
        <w:pStyle w:val="parrafo"/>
        <w:shd w:val="clear" w:color="auto" w:fill="FFFFFF"/>
        <w:spacing w:before="0" w:beforeAutospacing="0" w:after="0" w:afterAutospacing="0"/>
        <w:jc w:val="both"/>
        <w:rPr>
          <w:sz w:val="20"/>
          <w:szCs w:val="20"/>
        </w:rPr>
      </w:pPr>
      <w:r w:rsidRPr="002D7E8A">
        <w:rPr>
          <w:sz w:val="20"/>
          <w:szCs w:val="20"/>
        </w:rPr>
        <w:t>4. º Las rentas satisfechas por una entidad financiera, como consecuencia de la transmisión, cesión o transferencia, total o parcial, de un crédito titularidad de aquélla.”</w:t>
      </w:r>
    </w:p>
    <w:p w:rsidR="005C39F7" w:rsidRDefault="005C39F7" w:rsidP="005C39F7">
      <w:pPr>
        <w:pStyle w:val="Textonotapie1"/>
      </w:pPr>
    </w:p>
  </w:footnote>
  <w:footnote w:id="15">
    <w:p w:rsidR="005C39F7" w:rsidRPr="00BF3A3A" w:rsidRDefault="005C39F7" w:rsidP="005C39F7">
      <w:pPr>
        <w:pStyle w:val="Textonotapie1"/>
        <w:jc w:val="both"/>
        <w:rPr>
          <w:rFonts w:ascii="Times New Roman" w:hAnsi="Times New Roman" w:cs="Times New Roman"/>
        </w:rPr>
      </w:pPr>
      <w:r w:rsidRPr="00BF3A3A">
        <w:rPr>
          <w:rStyle w:val="Refdenotaalpie"/>
          <w:rFonts w:ascii="Times New Roman" w:hAnsi="Times New Roman"/>
        </w:rPr>
        <w:footnoteRef/>
      </w:r>
      <w:r w:rsidRPr="00BF3A3A">
        <w:rPr>
          <w:rFonts w:ascii="Times New Roman" w:hAnsi="Times New Roman" w:cs="Times New Roman"/>
        </w:rPr>
        <w:t xml:space="preserve"> Consulta V1545-14 de 12 de junio de 2014</w:t>
      </w:r>
      <w:r>
        <w:rPr>
          <w:rFonts w:ascii="Times New Roman" w:hAnsi="Times New Roman" w:cs="Times New Roman"/>
        </w:rPr>
        <w:t>, de la Dirección General de Tributos</w:t>
      </w:r>
    </w:p>
  </w:footnote>
  <w:footnote w:id="16">
    <w:p w:rsidR="005C39F7" w:rsidRPr="00BF3A3A" w:rsidRDefault="005C39F7" w:rsidP="005C39F7">
      <w:pPr>
        <w:pStyle w:val="Textonotapie1"/>
        <w:rPr>
          <w:rFonts w:ascii="Times New Roman" w:hAnsi="Times New Roman" w:cs="Times New Roman"/>
        </w:rPr>
      </w:pPr>
      <w:r w:rsidRPr="00BF3A3A">
        <w:rPr>
          <w:rStyle w:val="Refdenotaalpie"/>
          <w:rFonts w:ascii="Times New Roman" w:hAnsi="Times New Roman"/>
        </w:rPr>
        <w:footnoteRef/>
      </w:r>
      <w:r w:rsidRPr="00BF3A3A">
        <w:rPr>
          <w:rFonts w:ascii="Times New Roman" w:hAnsi="Times New Roman" w:cs="Times New Roman"/>
        </w:rPr>
        <w:t xml:space="preserve"> Véase el </w:t>
      </w:r>
      <w:hyperlink r:id="rId5" w:tooltip="RCL\2007\664-1" w:history="1">
        <w:r w:rsidRPr="00BF3A3A">
          <w:rPr>
            <w:rStyle w:val="Hipervnculo"/>
            <w:rFonts w:ascii="Times New Roman" w:hAnsi="Times New Roman" w:cs="Times New Roman"/>
          </w:rPr>
          <w:t>art. 75.3 e) </w:t>
        </w:r>
      </w:hyperlink>
      <w:r w:rsidRPr="00BF3A3A">
        <w:rPr>
          <w:rFonts w:ascii="Times New Roman" w:hAnsi="Times New Roman" w:cs="Times New Roman"/>
        </w:rPr>
        <w:t> del  RIRPF</w:t>
      </w:r>
    </w:p>
  </w:footnote>
  <w:footnote w:id="17">
    <w:p w:rsidR="005C39F7" w:rsidRPr="00BF779E" w:rsidRDefault="005C39F7" w:rsidP="005C39F7">
      <w:pPr>
        <w:pStyle w:val="Textonotapie1"/>
        <w:rPr>
          <w:rFonts w:ascii="Times New Roman" w:hAnsi="Times New Roman" w:cs="Times New Roman"/>
        </w:rPr>
      </w:pPr>
      <w:r w:rsidRPr="00BF779E">
        <w:rPr>
          <w:rStyle w:val="Refdenotaalpie"/>
          <w:rFonts w:ascii="Times New Roman" w:hAnsi="Times New Roman"/>
        </w:rPr>
        <w:footnoteRef/>
      </w:r>
      <w:r w:rsidRPr="00BF779E">
        <w:rPr>
          <w:rFonts w:ascii="Times New Roman" w:hAnsi="Times New Roman" w:cs="Times New Roman"/>
        </w:rPr>
        <w:t xml:space="preserve"> Véase el </w:t>
      </w:r>
      <w:hyperlink r:id="rId6" w:tooltip="RCL\2007\664-1" w:history="1">
        <w:r w:rsidRPr="00BF779E">
          <w:rPr>
            <w:rStyle w:val="Hipervnculo"/>
            <w:rFonts w:ascii="Times New Roman" w:hAnsi="Times New Roman" w:cs="Times New Roman"/>
          </w:rPr>
          <w:t>art. 75.3.e) </w:t>
        </w:r>
      </w:hyperlink>
      <w:r w:rsidRPr="00BF779E">
        <w:rPr>
          <w:rFonts w:ascii="Times New Roman" w:hAnsi="Times New Roman" w:cs="Times New Roman"/>
        </w:rPr>
        <w:t>del  RIRPF</w:t>
      </w:r>
    </w:p>
  </w:footnote>
  <w:footnote w:id="18">
    <w:p w:rsidR="005C39F7" w:rsidRPr="00743417" w:rsidRDefault="005C39F7" w:rsidP="005C39F7">
      <w:pPr>
        <w:pStyle w:val="Textonotapie1"/>
        <w:jc w:val="both"/>
        <w:rPr>
          <w:rFonts w:ascii="Times New Roman" w:hAnsi="Times New Roman" w:cs="Times New Roman"/>
        </w:rPr>
      </w:pPr>
      <w:r w:rsidRPr="00743417">
        <w:rPr>
          <w:rStyle w:val="Refdenotaalpie"/>
          <w:rFonts w:ascii="Times New Roman" w:hAnsi="Times New Roman"/>
        </w:rPr>
        <w:footnoteRef/>
      </w:r>
      <w:r w:rsidRPr="00743417">
        <w:rPr>
          <w:rFonts w:ascii="Times New Roman" w:hAnsi="Times New Roman" w:cs="Times New Roman"/>
        </w:rPr>
        <w:t xml:space="preserve"> Consulta V0584, de 6 de marzo de 2014</w:t>
      </w:r>
      <w:r>
        <w:rPr>
          <w:rFonts w:ascii="Times New Roman" w:hAnsi="Times New Roman" w:cs="Times New Roman"/>
        </w:rPr>
        <w:t>, de la Dirección General de Tributos</w:t>
      </w:r>
    </w:p>
  </w:footnote>
  <w:footnote w:id="19">
    <w:p w:rsidR="005C39F7" w:rsidRPr="00743417" w:rsidRDefault="005C39F7" w:rsidP="005C39F7">
      <w:pPr>
        <w:pStyle w:val="Textonotapie1"/>
        <w:jc w:val="both"/>
        <w:rPr>
          <w:rFonts w:ascii="Times New Roman" w:hAnsi="Times New Roman" w:cs="Times New Roman"/>
        </w:rPr>
      </w:pPr>
      <w:r w:rsidRPr="00743417">
        <w:rPr>
          <w:rStyle w:val="Refdenotaalpie"/>
          <w:rFonts w:ascii="Times New Roman" w:hAnsi="Times New Roman"/>
        </w:rPr>
        <w:footnoteRef/>
      </w:r>
      <w:r w:rsidRPr="00743417">
        <w:rPr>
          <w:rFonts w:ascii="Times New Roman" w:hAnsi="Times New Roman" w:cs="Times New Roman"/>
        </w:rPr>
        <w:t xml:space="preserve"> Consulta V0360-13 de 7 de febrero de 2013</w:t>
      </w:r>
      <w:r>
        <w:rPr>
          <w:rFonts w:ascii="Times New Roman" w:hAnsi="Times New Roman" w:cs="Times New Roman"/>
        </w:rPr>
        <w:t>, de la Dirección General de Tributos</w:t>
      </w:r>
    </w:p>
  </w:footnote>
  <w:footnote w:id="20">
    <w:p w:rsidR="005C39F7" w:rsidRPr="00743417" w:rsidRDefault="005C39F7" w:rsidP="005C39F7">
      <w:pPr>
        <w:autoSpaceDE w:val="0"/>
        <w:autoSpaceDN w:val="0"/>
        <w:adjustRightInd w:val="0"/>
        <w:rPr>
          <w:rFonts w:ascii="Times New Roman" w:hAnsi="Times New Roman" w:cs="Times New Roman"/>
          <w:sz w:val="20"/>
          <w:szCs w:val="20"/>
        </w:rPr>
      </w:pPr>
      <w:r w:rsidRPr="00743417">
        <w:rPr>
          <w:rStyle w:val="Refdenotaalpie"/>
          <w:rFonts w:ascii="Times New Roman" w:hAnsi="Times New Roman"/>
          <w:sz w:val="20"/>
          <w:szCs w:val="20"/>
        </w:rPr>
        <w:footnoteRef/>
      </w:r>
      <w:r w:rsidRPr="00743417">
        <w:rPr>
          <w:rFonts w:ascii="Times New Roman" w:hAnsi="Times New Roman" w:cs="Times New Roman"/>
          <w:sz w:val="20"/>
          <w:szCs w:val="20"/>
        </w:rPr>
        <w:t>El artículo 4 del TR</w:t>
      </w:r>
      <w:r>
        <w:rPr>
          <w:rFonts w:ascii="Times New Roman" w:hAnsi="Times New Roman" w:cs="Times New Roman"/>
          <w:sz w:val="20"/>
          <w:szCs w:val="20"/>
        </w:rPr>
        <w:t>LPFP</w:t>
      </w:r>
      <w:r w:rsidRPr="00743417">
        <w:rPr>
          <w:rFonts w:ascii="Times New Roman" w:hAnsi="Times New Roman" w:cs="Times New Roman"/>
          <w:sz w:val="20"/>
          <w:szCs w:val="20"/>
        </w:rPr>
        <w:t xml:space="preserve"> y los artículos 2.2 y 16 del RD304/2004 de 20 febrero, distingue tres sistemas de Planes de Pensiones: </w:t>
      </w:r>
    </w:p>
    <w:p w:rsidR="005C39F7" w:rsidRPr="00743417" w:rsidRDefault="005C39F7" w:rsidP="005C39F7">
      <w:pPr>
        <w:autoSpaceDE w:val="0"/>
        <w:autoSpaceDN w:val="0"/>
        <w:adjustRightInd w:val="0"/>
        <w:rPr>
          <w:rFonts w:ascii="Times New Roman" w:hAnsi="Times New Roman" w:cs="Times New Roman"/>
          <w:sz w:val="20"/>
          <w:szCs w:val="20"/>
        </w:rPr>
      </w:pPr>
      <w:r w:rsidRPr="00743417">
        <w:rPr>
          <w:rFonts w:ascii="Times New Roman" w:hAnsi="Times New Roman" w:cs="Times New Roman"/>
          <w:sz w:val="20"/>
          <w:szCs w:val="20"/>
        </w:rPr>
        <w:t>a)</w:t>
      </w:r>
      <w:r>
        <w:rPr>
          <w:rFonts w:ascii="Times New Roman" w:hAnsi="Times New Roman" w:cs="Times New Roman"/>
          <w:sz w:val="20"/>
          <w:szCs w:val="20"/>
        </w:rPr>
        <w:t xml:space="preserve"> </w:t>
      </w:r>
      <w:r w:rsidRPr="00B20654">
        <w:rPr>
          <w:rFonts w:ascii="Times New Roman" w:hAnsi="Times New Roman" w:cs="Times New Roman"/>
          <w:bCs/>
          <w:i/>
          <w:sz w:val="20"/>
          <w:szCs w:val="20"/>
        </w:rPr>
        <w:t>Sistema de empleo</w:t>
      </w:r>
      <w:r w:rsidRPr="00743417">
        <w:rPr>
          <w:rFonts w:ascii="Times New Roman" w:hAnsi="Times New Roman" w:cs="Times New Roman"/>
          <w:sz w:val="20"/>
          <w:szCs w:val="20"/>
        </w:rPr>
        <w:t>,</w:t>
      </w:r>
      <w:r>
        <w:rPr>
          <w:rFonts w:ascii="Times New Roman" w:hAnsi="Times New Roman" w:cs="Times New Roman"/>
          <w:sz w:val="20"/>
          <w:szCs w:val="20"/>
        </w:rPr>
        <w:t xml:space="preserve"> </w:t>
      </w:r>
      <w:r w:rsidRPr="00743417">
        <w:rPr>
          <w:rFonts w:ascii="Times New Roman" w:hAnsi="Times New Roman" w:cs="Times New Roman"/>
          <w:sz w:val="20"/>
          <w:szCs w:val="20"/>
        </w:rPr>
        <w:t xml:space="preserve">donde el promotor es cualquier entidad, corporación, sociedad o empresa y cuyos partícipes son </w:t>
      </w:r>
      <w:proofErr w:type="spellStart"/>
      <w:r w:rsidRPr="00743417">
        <w:rPr>
          <w:rFonts w:ascii="Times New Roman" w:hAnsi="Times New Roman" w:cs="Times New Roman"/>
          <w:sz w:val="20"/>
          <w:szCs w:val="20"/>
        </w:rPr>
        <w:t>susempleados</w:t>
      </w:r>
      <w:proofErr w:type="spellEnd"/>
      <w:r w:rsidRPr="00743417">
        <w:rPr>
          <w:rFonts w:ascii="Times New Roman" w:hAnsi="Times New Roman" w:cs="Times New Roman"/>
          <w:sz w:val="20"/>
          <w:szCs w:val="20"/>
        </w:rPr>
        <w:t xml:space="preserve">; </w:t>
      </w:r>
    </w:p>
    <w:p w:rsidR="005C39F7" w:rsidRPr="00743417" w:rsidRDefault="005C39F7" w:rsidP="005C39F7">
      <w:pPr>
        <w:autoSpaceDE w:val="0"/>
        <w:autoSpaceDN w:val="0"/>
        <w:adjustRightInd w:val="0"/>
        <w:rPr>
          <w:rFonts w:ascii="Times New Roman" w:hAnsi="Times New Roman" w:cs="Times New Roman"/>
          <w:sz w:val="20"/>
          <w:szCs w:val="20"/>
        </w:rPr>
      </w:pPr>
      <w:r w:rsidRPr="00743417">
        <w:rPr>
          <w:rFonts w:ascii="Times New Roman" w:hAnsi="Times New Roman" w:cs="Times New Roman"/>
          <w:sz w:val="20"/>
          <w:szCs w:val="20"/>
        </w:rPr>
        <w:t>b)</w:t>
      </w:r>
      <w:r>
        <w:rPr>
          <w:rFonts w:ascii="Times New Roman" w:hAnsi="Times New Roman" w:cs="Times New Roman"/>
          <w:sz w:val="20"/>
          <w:szCs w:val="20"/>
        </w:rPr>
        <w:t xml:space="preserve"> </w:t>
      </w:r>
      <w:r w:rsidRPr="00B20654">
        <w:rPr>
          <w:rFonts w:ascii="Times New Roman" w:hAnsi="Times New Roman" w:cs="Times New Roman"/>
          <w:bCs/>
          <w:i/>
          <w:sz w:val="20"/>
          <w:szCs w:val="20"/>
        </w:rPr>
        <w:t xml:space="preserve">Sistema </w:t>
      </w:r>
      <w:proofErr w:type="gramStart"/>
      <w:r w:rsidRPr="00B20654">
        <w:rPr>
          <w:rFonts w:ascii="Times New Roman" w:hAnsi="Times New Roman" w:cs="Times New Roman"/>
          <w:bCs/>
          <w:i/>
          <w:sz w:val="20"/>
          <w:szCs w:val="20"/>
        </w:rPr>
        <w:t>asociado</w:t>
      </w:r>
      <w:r w:rsidRPr="00743417">
        <w:rPr>
          <w:rFonts w:ascii="Times New Roman" w:hAnsi="Times New Roman" w:cs="Times New Roman"/>
          <w:b/>
          <w:bCs/>
          <w:sz w:val="20"/>
          <w:szCs w:val="20"/>
        </w:rPr>
        <w:t xml:space="preserve"> </w:t>
      </w:r>
      <w:r w:rsidRPr="00743417">
        <w:rPr>
          <w:rFonts w:ascii="Times New Roman" w:hAnsi="Times New Roman" w:cs="Times New Roman"/>
          <w:sz w:val="20"/>
          <w:szCs w:val="20"/>
        </w:rPr>
        <w:t>:</w:t>
      </w:r>
      <w:proofErr w:type="gramEnd"/>
      <w:r w:rsidRPr="00743417">
        <w:rPr>
          <w:rFonts w:ascii="Times New Roman" w:hAnsi="Times New Roman" w:cs="Times New Roman"/>
          <w:sz w:val="20"/>
          <w:szCs w:val="20"/>
        </w:rPr>
        <w:t xml:space="preserve"> promovidos por cualquier Asociación, Sindicato, gremio </w:t>
      </w:r>
      <w:proofErr w:type="spellStart"/>
      <w:r w:rsidRPr="00743417">
        <w:rPr>
          <w:rFonts w:ascii="Times New Roman" w:hAnsi="Times New Roman" w:cs="Times New Roman"/>
          <w:sz w:val="20"/>
          <w:szCs w:val="20"/>
        </w:rPr>
        <w:t>ocolectivo</w:t>
      </w:r>
      <w:proofErr w:type="spellEnd"/>
      <w:r w:rsidRPr="00743417">
        <w:rPr>
          <w:rFonts w:ascii="Times New Roman" w:hAnsi="Times New Roman" w:cs="Times New Roman"/>
          <w:sz w:val="20"/>
          <w:szCs w:val="20"/>
        </w:rPr>
        <w:t xml:space="preserve">, siendo los partícipes sus asociados y miembros; y </w:t>
      </w:r>
    </w:p>
    <w:p w:rsidR="005C39F7" w:rsidRPr="00743417" w:rsidRDefault="005C39F7" w:rsidP="005C39F7">
      <w:pPr>
        <w:autoSpaceDE w:val="0"/>
        <w:autoSpaceDN w:val="0"/>
        <w:adjustRightInd w:val="0"/>
        <w:rPr>
          <w:rFonts w:ascii="Times New Roman" w:hAnsi="Times New Roman" w:cs="Times New Roman"/>
          <w:sz w:val="20"/>
          <w:szCs w:val="20"/>
        </w:rPr>
      </w:pPr>
      <w:r w:rsidRPr="00743417">
        <w:rPr>
          <w:rFonts w:ascii="Times New Roman" w:hAnsi="Times New Roman" w:cs="Times New Roman"/>
          <w:sz w:val="20"/>
          <w:szCs w:val="20"/>
        </w:rPr>
        <w:t>c)</w:t>
      </w:r>
      <w:r w:rsidRPr="00743417">
        <w:rPr>
          <w:rFonts w:ascii="Times New Roman" w:hAnsi="Times New Roman" w:cs="Times New Roman"/>
          <w:b/>
          <w:bCs/>
          <w:sz w:val="20"/>
          <w:szCs w:val="20"/>
        </w:rPr>
        <w:t xml:space="preserve"> </w:t>
      </w:r>
      <w:r w:rsidRPr="00B20654">
        <w:rPr>
          <w:rFonts w:ascii="Times New Roman" w:hAnsi="Times New Roman" w:cs="Times New Roman"/>
          <w:bCs/>
          <w:i/>
          <w:sz w:val="20"/>
          <w:szCs w:val="20"/>
        </w:rPr>
        <w:t>Sistema individual</w:t>
      </w:r>
      <w:r w:rsidRPr="00743417">
        <w:rPr>
          <w:rFonts w:ascii="Times New Roman" w:hAnsi="Times New Roman" w:cs="Times New Roman"/>
          <w:b/>
          <w:bCs/>
          <w:sz w:val="20"/>
          <w:szCs w:val="20"/>
        </w:rPr>
        <w:t>,</w:t>
      </w:r>
      <w:r w:rsidRPr="00743417">
        <w:rPr>
          <w:rFonts w:ascii="Times New Roman" w:hAnsi="Times New Roman" w:cs="Times New Roman"/>
          <w:sz w:val="20"/>
          <w:szCs w:val="20"/>
        </w:rPr>
        <w:t xml:space="preserve"> </w:t>
      </w:r>
      <w:proofErr w:type="gramStart"/>
      <w:r w:rsidRPr="00743417">
        <w:rPr>
          <w:rFonts w:ascii="Times New Roman" w:hAnsi="Times New Roman" w:cs="Times New Roman"/>
          <w:sz w:val="20"/>
          <w:szCs w:val="20"/>
        </w:rPr>
        <w:t>cuyo promotores</w:t>
      </w:r>
      <w:proofErr w:type="gramEnd"/>
      <w:r w:rsidRPr="00743417">
        <w:rPr>
          <w:rFonts w:ascii="Times New Roman" w:hAnsi="Times New Roman" w:cs="Times New Roman"/>
          <w:sz w:val="20"/>
          <w:szCs w:val="20"/>
        </w:rPr>
        <w:t xml:space="preserve"> una o varias Entidades de carácter financiero y cuyos partícipes son cualesquiera </w:t>
      </w:r>
      <w:proofErr w:type="spellStart"/>
      <w:r w:rsidRPr="00743417">
        <w:rPr>
          <w:rFonts w:ascii="Times New Roman" w:hAnsi="Times New Roman" w:cs="Times New Roman"/>
          <w:sz w:val="20"/>
          <w:szCs w:val="20"/>
        </w:rPr>
        <w:t>personasfísicas</w:t>
      </w:r>
      <w:proofErr w:type="spellEnd"/>
      <w:r w:rsidRPr="00743417">
        <w:rPr>
          <w:rFonts w:ascii="Times New Roman" w:hAnsi="Times New Roman" w:cs="Times New Roman"/>
          <w:sz w:val="20"/>
          <w:szCs w:val="20"/>
        </w:rPr>
        <w:t xml:space="preserve">, a excepción de las que estén vinculadas a aquéllas por relación laboral y sus parientes, </w:t>
      </w:r>
      <w:proofErr w:type="spellStart"/>
      <w:r w:rsidRPr="00743417">
        <w:rPr>
          <w:rFonts w:ascii="Times New Roman" w:hAnsi="Times New Roman" w:cs="Times New Roman"/>
          <w:sz w:val="20"/>
          <w:szCs w:val="20"/>
        </w:rPr>
        <w:t>hastael</w:t>
      </w:r>
      <w:proofErr w:type="spellEnd"/>
      <w:r w:rsidRPr="00743417">
        <w:rPr>
          <w:rFonts w:ascii="Times New Roman" w:hAnsi="Times New Roman" w:cs="Times New Roman"/>
          <w:sz w:val="20"/>
          <w:szCs w:val="20"/>
        </w:rPr>
        <w:t xml:space="preserve"> tercer grado inclusive.</w:t>
      </w:r>
    </w:p>
  </w:footnote>
  <w:footnote w:id="21">
    <w:p w:rsidR="005C39F7" w:rsidRPr="00743417" w:rsidRDefault="005C39F7" w:rsidP="005C39F7">
      <w:pPr>
        <w:autoSpaceDE w:val="0"/>
        <w:autoSpaceDN w:val="0"/>
        <w:adjustRightInd w:val="0"/>
        <w:rPr>
          <w:rFonts w:ascii="Times New Roman" w:hAnsi="Times New Roman" w:cs="Times New Roman"/>
          <w:sz w:val="20"/>
          <w:szCs w:val="20"/>
        </w:rPr>
      </w:pPr>
      <w:r w:rsidRPr="00743417">
        <w:rPr>
          <w:rStyle w:val="Refdenotaalpie"/>
          <w:rFonts w:ascii="Times New Roman" w:hAnsi="Times New Roman"/>
          <w:sz w:val="20"/>
          <w:szCs w:val="20"/>
        </w:rPr>
        <w:footnoteRef/>
      </w:r>
      <w:r w:rsidRPr="00743417">
        <w:rPr>
          <w:rFonts w:ascii="Times New Roman" w:hAnsi="Times New Roman" w:cs="Times New Roman"/>
          <w:sz w:val="20"/>
          <w:szCs w:val="20"/>
        </w:rPr>
        <w:t xml:space="preserve"> A</w:t>
      </w:r>
      <w:r w:rsidRPr="00743417">
        <w:rPr>
          <w:rFonts w:ascii="Times New Roman" w:hAnsi="Times New Roman" w:cs="Times New Roman"/>
          <w:bCs/>
          <w:sz w:val="20"/>
          <w:szCs w:val="20"/>
        </w:rPr>
        <w:t xml:space="preserve"> favor de personas con discapacidad constituidos a favor de personas con minusvalía física o sensorial igual o superior al 65</w:t>
      </w:r>
      <w:proofErr w:type="gramStart"/>
      <w:r w:rsidRPr="00743417">
        <w:rPr>
          <w:rFonts w:ascii="Times New Roman" w:hAnsi="Times New Roman" w:cs="Times New Roman"/>
          <w:bCs/>
          <w:sz w:val="20"/>
          <w:szCs w:val="20"/>
        </w:rPr>
        <w:t xml:space="preserve">%,   </w:t>
      </w:r>
      <w:proofErr w:type="gramEnd"/>
      <w:r w:rsidRPr="00743417">
        <w:rPr>
          <w:rFonts w:ascii="Times New Roman" w:hAnsi="Times New Roman" w:cs="Times New Roman"/>
          <w:bCs/>
          <w:sz w:val="20"/>
          <w:szCs w:val="20"/>
        </w:rPr>
        <w:t xml:space="preserve">psíquica igual o superior al 33%, así como de personas que tengan una incapacidad declarada judicialmente con independencia de su grado </w:t>
      </w:r>
    </w:p>
    <w:p w:rsidR="005C39F7" w:rsidRPr="00743417" w:rsidRDefault="005C39F7" w:rsidP="005C39F7">
      <w:pPr>
        <w:pStyle w:val="Textonotapie1"/>
        <w:jc w:val="both"/>
        <w:rPr>
          <w:rFonts w:ascii="Times New Roman" w:hAnsi="Times New Roman" w:cs="Times New Roman"/>
        </w:rPr>
      </w:pPr>
    </w:p>
  </w:footnote>
  <w:footnote w:id="22">
    <w:p w:rsidR="005C39F7" w:rsidRPr="00743417" w:rsidRDefault="005C39F7" w:rsidP="005C39F7">
      <w:pPr>
        <w:autoSpaceDE w:val="0"/>
        <w:autoSpaceDN w:val="0"/>
        <w:adjustRightInd w:val="0"/>
        <w:rPr>
          <w:rFonts w:ascii="Times New Roman" w:hAnsi="Times New Roman" w:cs="Times New Roman"/>
          <w:sz w:val="20"/>
          <w:szCs w:val="20"/>
        </w:rPr>
      </w:pPr>
      <w:r w:rsidRPr="00743417">
        <w:rPr>
          <w:rStyle w:val="Refdenotaalpie"/>
          <w:rFonts w:ascii="Times New Roman" w:hAnsi="Times New Roman"/>
          <w:sz w:val="20"/>
          <w:szCs w:val="20"/>
        </w:rPr>
        <w:footnoteRef/>
      </w:r>
      <w:r w:rsidRPr="00743417">
        <w:rPr>
          <w:rFonts w:ascii="Times New Roman" w:hAnsi="Times New Roman" w:cs="Times New Roman"/>
          <w:sz w:val="20"/>
          <w:szCs w:val="20"/>
        </w:rPr>
        <w:t xml:space="preserve">La mayor novedad introducida por la Ley 26/2014, de reforma del IRPF consistió en la </w:t>
      </w:r>
      <w:r w:rsidRPr="00743417">
        <w:rPr>
          <w:rFonts w:ascii="Times New Roman" w:hAnsi="Times New Roman" w:cs="Times New Roman"/>
          <w:bCs/>
          <w:sz w:val="20"/>
          <w:szCs w:val="20"/>
        </w:rPr>
        <w:t>posibilidad de disponer anticipadamente del importe de los derechos</w:t>
      </w:r>
      <w:r>
        <w:rPr>
          <w:rFonts w:ascii="Times New Roman" w:hAnsi="Times New Roman" w:cs="Times New Roman"/>
          <w:bCs/>
          <w:sz w:val="20"/>
          <w:szCs w:val="20"/>
        </w:rPr>
        <w:t xml:space="preserve"> </w:t>
      </w:r>
      <w:r w:rsidRPr="00743417">
        <w:rPr>
          <w:rFonts w:ascii="Times New Roman" w:hAnsi="Times New Roman" w:cs="Times New Roman"/>
          <w:bCs/>
          <w:sz w:val="20"/>
          <w:szCs w:val="20"/>
        </w:rPr>
        <w:t xml:space="preserve">consolidados correspondientes a aportaciones con al menos diez años de antigüedad </w:t>
      </w:r>
      <w:r w:rsidRPr="00743417">
        <w:rPr>
          <w:rFonts w:ascii="Times New Roman" w:hAnsi="Times New Roman" w:cs="Times New Roman"/>
          <w:sz w:val="20"/>
          <w:szCs w:val="20"/>
        </w:rPr>
        <w:t>de determinados instrumentos de previsión social, régimen que la nueva D.A.8ª del TRLPFP extiende a los sistemas de previsión social complementaria análogos a los planes y fondos de pensiones, entre los que se incluyen los planes de previsión asegurados.</w:t>
      </w:r>
    </w:p>
    <w:p w:rsidR="005C39F7" w:rsidRPr="00743417" w:rsidRDefault="005C39F7" w:rsidP="005C39F7">
      <w:pPr>
        <w:pStyle w:val="Textonotapie1"/>
        <w:jc w:val="both"/>
        <w:rPr>
          <w:rFonts w:ascii="Times New Roman" w:hAnsi="Times New Roman" w:cs="Times New Roman"/>
        </w:rPr>
      </w:pPr>
      <w:r w:rsidRPr="00743417">
        <w:rPr>
          <w:rFonts w:ascii="Times New Roman" w:hAnsi="Times New Roman" w:cs="Times New Roman"/>
        </w:rPr>
        <w:t xml:space="preserve">Además, la nueva D.T.7ª TRLPFP establece que los </w:t>
      </w:r>
      <w:r w:rsidRPr="00743417">
        <w:rPr>
          <w:rFonts w:ascii="Times New Roman" w:hAnsi="Times New Roman" w:cs="Times New Roman"/>
          <w:bCs/>
        </w:rPr>
        <w:t>derechos económicos de los asegurados existentes a 31 de diciembre de 2015, con los rendimientos correspondientes, serán disponibles a partir del 1 de enero de 2025</w:t>
      </w:r>
    </w:p>
  </w:footnote>
  <w:footnote w:id="23">
    <w:p w:rsidR="005C39F7" w:rsidRPr="006C21CD" w:rsidRDefault="005C39F7" w:rsidP="005C39F7">
      <w:pPr>
        <w:contextualSpacing/>
        <w:mirrorIndents/>
        <w:rPr>
          <w:rFonts w:ascii="Times New Roman" w:hAnsi="Times New Roman" w:cs="Times New Roman"/>
          <w:sz w:val="20"/>
          <w:szCs w:val="20"/>
        </w:rPr>
      </w:pPr>
      <w:r w:rsidRPr="006C21CD">
        <w:rPr>
          <w:rStyle w:val="Refdenotaalpie"/>
          <w:rFonts w:ascii="Times New Roman" w:hAnsi="Times New Roman"/>
          <w:sz w:val="20"/>
          <w:szCs w:val="20"/>
        </w:rPr>
        <w:footnoteRef/>
      </w:r>
      <w:r w:rsidRPr="006C21CD">
        <w:rPr>
          <w:rFonts w:ascii="Times New Roman" w:hAnsi="Times New Roman" w:cs="Times New Roman"/>
          <w:sz w:val="20"/>
          <w:szCs w:val="20"/>
        </w:rPr>
        <w:t xml:space="preserve"> Véase el art. 7 y la Disp. </w:t>
      </w:r>
      <w:proofErr w:type="spellStart"/>
      <w:r w:rsidRPr="006C21CD">
        <w:rPr>
          <w:rFonts w:ascii="Times New Roman" w:hAnsi="Times New Roman" w:cs="Times New Roman"/>
          <w:sz w:val="20"/>
          <w:szCs w:val="20"/>
        </w:rPr>
        <w:t>Adic</w:t>
      </w:r>
      <w:proofErr w:type="spellEnd"/>
      <w:r w:rsidRPr="006C21CD">
        <w:rPr>
          <w:rFonts w:ascii="Times New Roman" w:hAnsi="Times New Roman" w:cs="Times New Roman"/>
          <w:sz w:val="20"/>
          <w:szCs w:val="20"/>
        </w:rPr>
        <w:t>. 3ª Ley 35/2006, de 28 de noviembre, del Impuesto sobre la Renta de las Personas Físicas   RCL 2006\2123.</w:t>
      </w:r>
    </w:p>
  </w:footnote>
  <w:footnote w:id="24">
    <w:p w:rsidR="005C39F7" w:rsidRPr="00A16EA5" w:rsidRDefault="005C39F7" w:rsidP="005C39F7">
      <w:pPr>
        <w:autoSpaceDE w:val="0"/>
        <w:autoSpaceDN w:val="0"/>
        <w:adjustRightInd w:val="0"/>
        <w:rPr>
          <w:rFonts w:ascii="Times New Roman" w:hAnsi="Times New Roman" w:cs="Times New Roman"/>
          <w:sz w:val="20"/>
          <w:szCs w:val="20"/>
        </w:rPr>
      </w:pPr>
      <w:r>
        <w:rPr>
          <w:rStyle w:val="Refdenotaalpie"/>
        </w:rPr>
        <w:footnoteRef/>
      </w:r>
      <w:r>
        <w:t xml:space="preserve"> </w:t>
      </w:r>
      <w:r w:rsidRPr="00A16EA5">
        <w:rPr>
          <w:rFonts w:ascii="Times New Roman" w:hAnsi="Times New Roman" w:cs="Times New Roman"/>
          <w:sz w:val="20"/>
          <w:szCs w:val="20"/>
        </w:rPr>
        <w:t xml:space="preserve">Dichos porcentajes son los siguientes:  </w:t>
      </w:r>
    </w:p>
    <w:p w:rsidR="005C39F7" w:rsidRPr="00A16EA5" w:rsidRDefault="005C39F7" w:rsidP="005C39F7">
      <w:pPr>
        <w:autoSpaceDE w:val="0"/>
        <w:autoSpaceDN w:val="0"/>
        <w:adjustRightInd w:val="0"/>
        <w:rPr>
          <w:rFonts w:ascii="Times New Roman" w:hAnsi="Times New Roman" w:cs="Times New Roman"/>
          <w:sz w:val="20"/>
          <w:szCs w:val="20"/>
        </w:rPr>
      </w:pPr>
      <w:r w:rsidRPr="00A16EA5">
        <w:rPr>
          <w:rFonts w:ascii="Times New Roman" w:hAnsi="Times New Roman" w:cs="Times New Roman"/>
          <w:sz w:val="20"/>
          <w:szCs w:val="20"/>
        </w:rPr>
        <w:t>40 por 100, cuando el perceptor tenga menos de 40 años.</w:t>
      </w:r>
    </w:p>
    <w:p w:rsidR="005C39F7" w:rsidRPr="00A16EA5" w:rsidRDefault="005C39F7" w:rsidP="005C39F7">
      <w:pPr>
        <w:autoSpaceDE w:val="0"/>
        <w:autoSpaceDN w:val="0"/>
        <w:adjustRightInd w:val="0"/>
        <w:rPr>
          <w:rFonts w:ascii="Times New Roman" w:hAnsi="Times New Roman" w:cs="Times New Roman"/>
          <w:sz w:val="20"/>
          <w:szCs w:val="20"/>
        </w:rPr>
      </w:pPr>
      <w:r w:rsidRPr="00A16EA5">
        <w:rPr>
          <w:rFonts w:ascii="Times New Roman" w:hAnsi="Times New Roman" w:cs="Times New Roman"/>
          <w:sz w:val="20"/>
          <w:szCs w:val="20"/>
        </w:rPr>
        <w:t>35 por 100, cuando el perceptor tenga entre 40 y 49 años.</w:t>
      </w:r>
    </w:p>
    <w:p w:rsidR="005C39F7" w:rsidRPr="00A16EA5" w:rsidRDefault="005C39F7" w:rsidP="005C39F7">
      <w:pPr>
        <w:autoSpaceDE w:val="0"/>
        <w:autoSpaceDN w:val="0"/>
        <w:adjustRightInd w:val="0"/>
        <w:rPr>
          <w:rFonts w:ascii="Times New Roman" w:hAnsi="Times New Roman" w:cs="Times New Roman"/>
          <w:sz w:val="20"/>
          <w:szCs w:val="20"/>
        </w:rPr>
      </w:pPr>
      <w:r w:rsidRPr="00A16EA5">
        <w:rPr>
          <w:rFonts w:ascii="Times New Roman" w:hAnsi="Times New Roman" w:cs="Times New Roman"/>
          <w:sz w:val="20"/>
          <w:szCs w:val="20"/>
        </w:rPr>
        <w:t>28 por 100, cuando el perceptor tenga entre 50 y 59 años.</w:t>
      </w:r>
    </w:p>
    <w:p w:rsidR="005C39F7" w:rsidRPr="00A16EA5" w:rsidRDefault="005C39F7" w:rsidP="005C39F7">
      <w:pPr>
        <w:autoSpaceDE w:val="0"/>
        <w:autoSpaceDN w:val="0"/>
        <w:adjustRightInd w:val="0"/>
        <w:rPr>
          <w:rFonts w:ascii="Times New Roman" w:hAnsi="Times New Roman" w:cs="Times New Roman"/>
          <w:sz w:val="20"/>
          <w:szCs w:val="20"/>
        </w:rPr>
      </w:pPr>
      <w:r w:rsidRPr="00A16EA5">
        <w:rPr>
          <w:rFonts w:ascii="Times New Roman" w:hAnsi="Times New Roman" w:cs="Times New Roman"/>
          <w:sz w:val="20"/>
          <w:szCs w:val="20"/>
        </w:rPr>
        <w:t>24 por 100, cuando el perceptor tenga entre 60 y 65 años.</w:t>
      </w:r>
    </w:p>
    <w:p w:rsidR="005C39F7" w:rsidRDefault="005C39F7" w:rsidP="005C39F7">
      <w:pPr>
        <w:pStyle w:val="Textonotapie1"/>
      </w:pPr>
    </w:p>
  </w:footnote>
  <w:footnote w:id="25">
    <w:p w:rsidR="005C39F7" w:rsidRPr="00D44F49" w:rsidRDefault="005C39F7" w:rsidP="005C39F7">
      <w:pPr>
        <w:pStyle w:val="Ttulo1"/>
        <w:spacing w:before="0"/>
        <w:jc w:val="both"/>
        <w:rPr>
          <w:rFonts w:ascii="Times New Roman" w:hAnsi="Times New Roman" w:cs="Times New Roman"/>
          <w:b w:val="0"/>
          <w:sz w:val="20"/>
          <w:szCs w:val="20"/>
        </w:rPr>
      </w:pPr>
      <w:r w:rsidRPr="00D44F49">
        <w:rPr>
          <w:rStyle w:val="Refdenotaalpie"/>
          <w:rFonts w:ascii="Times New Roman" w:hAnsi="Times New Roman"/>
          <w:sz w:val="20"/>
          <w:szCs w:val="20"/>
        </w:rPr>
        <w:footnoteRef/>
      </w:r>
      <w:r w:rsidRPr="00D44F49">
        <w:t xml:space="preserve"> </w:t>
      </w:r>
      <w:r w:rsidRPr="00D44F49">
        <w:rPr>
          <w:rFonts w:ascii="Times New Roman" w:hAnsi="Times New Roman" w:cs="Times New Roman"/>
          <w:b w:val="0"/>
          <w:sz w:val="20"/>
          <w:szCs w:val="20"/>
        </w:rPr>
        <w:t xml:space="preserve">AEAT: </w:t>
      </w:r>
      <w:r w:rsidRPr="00D44F49">
        <w:rPr>
          <w:rFonts w:ascii="Times New Roman" w:hAnsi="Times New Roman" w:cs="Times New Roman"/>
          <w:b w:val="0"/>
          <w:i/>
          <w:sz w:val="20"/>
          <w:szCs w:val="20"/>
        </w:rPr>
        <w:t>Principales novedades tributarias introducidas por el Real Decreto-Ley 1/2017, de 20 de enero, de medidas urgentes de protección de consumidores en materia de cláusulas suelo</w:t>
      </w:r>
      <w:r w:rsidRPr="00D44F49">
        <w:rPr>
          <w:rFonts w:ascii="Times New Roman" w:hAnsi="Times New Roman" w:cs="Times New Roman"/>
          <w:b w:val="0"/>
          <w:sz w:val="20"/>
          <w:szCs w:val="20"/>
        </w:rPr>
        <w:t xml:space="preserve">, disponible en </w:t>
      </w:r>
      <w:hyperlink r:id="rId7" w:history="1">
        <w:r w:rsidRPr="00D44F49">
          <w:rPr>
            <w:rStyle w:val="Hipervnculo"/>
            <w:rFonts w:ascii="Times New Roman" w:hAnsi="Times New Roman" w:cs="Times New Roman"/>
            <w:b w:val="0"/>
            <w:sz w:val="20"/>
            <w:szCs w:val="20"/>
          </w:rPr>
          <w:t>http://www.agenciatributaria.es/AEAT.internet/Inicio/La_Agencia_Tributaria/Campanas/_Campanas_/Impuesto_sobre_la_Renta_de_las_Personas_Fisicas__IRPF_/_INFORMACION/Novedades/Publicadas_en_2017/Principales_novedades_tributarias_introducidas_por_el_Real_Decreto_Ley_1_2017__de_20_de_enero__de_medidas_urgentes_de_protecc__lausulas_suelo_.shtml</w:t>
        </w:r>
      </w:hyperlink>
      <w:r w:rsidRPr="00D44F49">
        <w:rPr>
          <w:rFonts w:ascii="Times New Roman" w:hAnsi="Times New Roman" w:cs="Times New Roman"/>
          <w:b w:val="0"/>
          <w:sz w:val="20"/>
          <w:szCs w:val="20"/>
        </w:rPr>
        <w:t>, última consulta el 21 de agosto de 2017</w:t>
      </w:r>
    </w:p>
  </w:footnote>
  <w:footnote w:id="26">
    <w:p w:rsidR="005C39F7" w:rsidRPr="00743417" w:rsidRDefault="005C39F7" w:rsidP="005C39F7">
      <w:pPr>
        <w:pStyle w:val="Textonotapie1"/>
        <w:jc w:val="both"/>
        <w:rPr>
          <w:rFonts w:ascii="Times New Roman" w:hAnsi="Times New Roman" w:cs="Times New Roman"/>
        </w:rPr>
      </w:pPr>
      <w:r w:rsidRPr="00743417">
        <w:rPr>
          <w:rStyle w:val="Refdenotaalpie"/>
          <w:rFonts w:ascii="Times New Roman" w:hAnsi="Times New Roman"/>
        </w:rPr>
        <w:footnoteRef/>
      </w:r>
      <w:r w:rsidRPr="00743417">
        <w:rPr>
          <w:rFonts w:ascii="Times New Roman" w:hAnsi="Times New Roman" w:cs="Times New Roman"/>
        </w:rPr>
        <w:t xml:space="preserve"> </w:t>
      </w:r>
      <w:proofErr w:type="gramStart"/>
      <w:r w:rsidRPr="00743417">
        <w:rPr>
          <w:rFonts w:ascii="Times New Roman" w:hAnsi="Times New Roman" w:cs="Times New Roman"/>
        </w:rPr>
        <w:t>Los  ejercicios</w:t>
      </w:r>
      <w:proofErr w:type="gramEnd"/>
      <w:r w:rsidRPr="00743417">
        <w:rPr>
          <w:rFonts w:ascii="Times New Roman" w:hAnsi="Times New Roman" w:cs="Times New Roman"/>
        </w:rPr>
        <w:t xml:space="preserve"> a los que afectan estas regularizaciones, tanto de las deducciones de vivienda o autonómicas como de los gastos deducibles serán aquéllos respecto de los cuales no hubiera prescrito el derecho de la Administración para determinar la deuda tributaria.</w:t>
      </w:r>
    </w:p>
  </w:footnote>
  <w:footnote w:id="27">
    <w:p w:rsidR="005C39F7" w:rsidRPr="00AA2BF5" w:rsidRDefault="005C39F7" w:rsidP="005C39F7">
      <w:pPr>
        <w:pStyle w:val="Textonotapie1"/>
      </w:pPr>
      <w:r w:rsidRPr="00AA2BF5">
        <w:rPr>
          <w:rStyle w:val="Refdenotaalpie"/>
        </w:rPr>
        <w:footnoteRef/>
      </w:r>
      <w:r w:rsidRPr="00AA2BF5">
        <w:t xml:space="preserve"> </w:t>
      </w:r>
      <w:r w:rsidRPr="00AA2BF5">
        <w:rPr>
          <w:rFonts w:ascii="Times New Roman" w:eastAsia="Times New Roman" w:hAnsi="Times New Roman" w:cs="Times New Roman"/>
          <w:lang w:eastAsia="es-ES"/>
        </w:rPr>
        <w:t xml:space="preserve">A pesar de lo cual, si la sentencia o acuerdo es anterior a la finalización del plazo de presentación de la declaración del IRPF del año 2016 (30 de junio de 2017), los intereses del </w:t>
      </w:r>
      <w:proofErr w:type="gramStart"/>
      <w:r w:rsidRPr="00AA2BF5">
        <w:rPr>
          <w:rFonts w:ascii="Times New Roman" w:eastAsia="Times New Roman" w:hAnsi="Times New Roman" w:cs="Times New Roman"/>
          <w:lang w:eastAsia="es-ES"/>
        </w:rPr>
        <w:t>año  2016</w:t>
      </w:r>
      <w:proofErr w:type="gramEnd"/>
      <w:r w:rsidRPr="00AA2BF5">
        <w:rPr>
          <w:rFonts w:ascii="Times New Roman" w:eastAsia="Times New Roman" w:hAnsi="Times New Roman" w:cs="Times New Roman"/>
          <w:lang w:eastAsia="es-ES"/>
        </w:rPr>
        <w:t xml:space="preserve"> no se tendrán en cuenta para aplicar la deducción en vivienda y, por tanto, la regularización no afectará a dicho ejercicio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503B4" w:rsidRDefault="003503B4">
    <w:pPr>
      <w:pStyle w:val="Encabezado"/>
    </w:pPr>
    <w:r>
      <w:t>Proyecto Multilingüismo: Requerimientos</w:t>
    </w:r>
  </w:p>
  <w:sdt>
    <w:sdtPr>
      <w:id w:val="100874642"/>
      <w:docPartObj>
        <w:docPartGallery w:val="Page Numbers (Margins)"/>
        <w:docPartUnique/>
      </w:docPartObj>
    </w:sdtPr>
    <w:sdtEndPr/>
    <w:sdtContent>
      <w:p w:rsidR="003503B4" w:rsidRDefault="00577F3E">
        <w:pPr>
          <w:pStyle w:val="Encabezado"/>
        </w:pPr>
        <w:r>
          <w:rPr>
            <w:noProof/>
            <w:lang w:eastAsia="es-ES"/>
          </w:rPr>
          <mc:AlternateContent>
            <mc:Choice Requires="wps">
              <w:drawing>
                <wp:anchor distT="0" distB="0" distL="114300" distR="114300" simplePos="0" relativeHeight="251658240" behindDoc="0" locked="0" layoutInCell="0" allowOverlap="1">
                  <wp:simplePos x="0" y="0"/>
                  <wp:positionH relativeFrom="leftMargin">
                    <wp:align>center</wp:align>
                  </wp:positionH>
                  <wp:positionV relativeFrom="page">
                    <wp:align>center</wp:align>
                  </wp:positionV>
                  <wp:extent cx="762000" cy="895350"/>
                  <wp:effectExtent l="0" t="0" r="0" b="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hAnsiTheme="majorHAnsi"/>
                                  <w:sz w:val="48"/>
                                  <w:szCs w:val="44"/>
                                </w:rPr>
                                <w:id w:val="100874640"/>
                                <w:docPartObj>
                                  <w:docPartGallery w:val="Page Numbers (Margins)"/>
                                  <w:docPartUnique/>
                                </w:docPartObj>
                              </w:sdtPr>
                              <w:sdtEndPr/>
                              <w:sdtContent>
                                <w:sdt>
                                  <w:sdtPr>
                                    <w:rPr>
                                      <w:rFonts w:asciiTheme="majorHAnsi" w:hAnsiTheme="majorHAnsi"/>
                                      <w:sz w:val="48"/>
                                      <w:szCs w:val="44"/>
                                    </w:rPr>
                                    <w:id w:val="100874641"/>
                                    <w:docPartObj>
                                      <w:docPartGallery w:val="Page Numbers (Margins)"/>
                                      <w:docPartUnique/>
                                    </w:docPartObj>
                                  </w:sdtPr>
                                  <w:sdtEndPr/>
                                  <w:sdtContent>
                                    <w:p w:rsidR="003503B4" w:rsidRDefault="00EE5A19">
                                      <w:pPr>
                                        <w:jc w:val="center"/>
                                        <w:rPr>
                                          <w:rFonts w:asciiTheme="majorHAnsi" w:hAnsiTheme="majorHAnsi"/>
                                          <w:sz w:val="48"/>
                                          <w:szCs w:val="44"/>
                                        </w:rPr>
                                      </w:pPr>
                                      <w:r>
                                        <w:fldChar w:fldCharType="begin"/>
                                      </w:r>
                                      <w:r w:rsidR="003503B4">
                                        <w:instrText xml:space="preserve"> PAGE   \* MERGEFORMAT </w:instrText>
                                      </w:r>
                                      <w:r>
                                        <w:fldChar w:fldCharType="separate"/>
                                      </w:r>
                                      <w:r w:rsidR="003503B4" w:rsidRPr="00BE4FCF">
                                        <w:rPr>
                                          <w:rFonts w:asciiTheme="majorHAnsi" w:hAnsiTheme="majorHAnsi"/>
                                          <w:noProof/>
                                          <w:sz w:val="48"/>
                                          <w:szCs w:val="44"/>
                                        </w:rPr>
                                        <w:t>4</w:t>
                                      </w:r>
                                      <w:r>
                                        <w:rPr>
                                          <w:rFonts w:asciiTheme="majorHAnsi" w:hAnsiTheme="majorHAnsi"/>
                                          <w:noProof/>
                                          <w:sz w:val="48"/>
                                          <w:szCs w:val="44"/>
                                        </w:rPr>
                                        <w:fldChar w:fldCharType="end"/>
                                      </w:r>
                                    </w:p>
                                  </w:sdtContent>
                                </w:sdt>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left:0;text-align:left;margin-left:0;margin-top:0;width:60pt;height:70.5pt;z-index:251658240;visibility:visible;mso-wrap-style:square;mso-width-percent:0;mso-height-percent:0;mso-wrap-distance-left:9pt;mso-wrap-distance-top:0;mso-wrap-distance-right:9pt;mso-wrap-distance-bottom:0;mso-position-horizontal:center;mso-position-horizontal-relative:left-margin-area;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fdvAAIAAOUDAAAOAAAAZHJzL2Uyb0RvYy54bWysU9uO0zAQfUfiHyy/0zSl3UvUdLXqqghp&#10;gRULH+A4TmLheMzYbVK+nrHTLQXeEHmwPJ7xyTlnxuu7sTfsoNBrsCXPZ3POlJVQa9uW/OuX3Zsb&#10;znwQthYGrCr5UXl+t3n9aj24Qi2gA1MrZARifTG4knchuCLLvOxUL/wMnLKUbAB7ESjENqtRDITe&#10;m2wxn19lA2DtEKTynk4fpiTfJPymUTJ8ahqvAjMlJ24hrZjWKq7ZZi2KFoXrtDzREP/Aohfa0k/P&#10;UA8iCLZH/RdUryWChybMJPQZNI2WKmkgNfn8DzXPnXAqaSFzvDvb5P8frPx4eEKma+odZ1b01KLP&#10;ZJqwrVEsj/YMzhdU9eyeMAr07hHkN88sbDuqUveIMHRK1EQq1We/XYiBp6usGj5ATehiHyA5NTbY&#10;R0DygI2pIcdzQ9QYmKTD6yvqMbVNUurmdvV2lRqWieLlskMf3inoWdyUHIl6AheHRx+IPJW+lCTy&#10;YHS908akANtqa5AdBM3GLn1RL13xl2XGxmIL8dqUjidJZRQ2GRTGajx5VUF9JL0I06zR26BNB/iD&#10;s4HmrOT++16g4sy8t+TZbb5cxsFMwXJ1vaAALzPVZUZYSVAlD5xN222YhnnvULcd/SlP+i3ck8+N&#10;Th7EHkysTrxplpLO09zHYb2MU9Wv17n5CQAA//8DAFBLAwQUAAYACAAAACEAbNUf09kAAAAFAQAA&#10;DwAAAGRycy9kb3ducmV2LnhtbEyPQU/DMAyF70j8h8hI3FgyGNVWmk4IaSfgwIbE1Wu8tqJxSpNu&#10;5d/jcYGLZetZ732vWE++U0caYhvYwnxmQBFXwbVcW3jfbW6WoGJCdtgFJgvfFGFdXl4UmLtw4jc6&#10;blOtxIRjjhaalPpc61g15DHOQk8s2iEMHpOcQ63dgCcx952+NSbTHluWhAZ7emqo+tyO3gJmC/f1&#10;erh72T2PGa7qyWzuP4y111fT4wOoRFP6e4YzvqBDKUz7MLKLqrMgRdLvPGsSBWovy2JuQJeF/k9f&#10;/gAAAP//AwBQSwECLQAUAAYACAAAACEAtoM4kv4AAADhAQAAEwAAAAAAAAAAAAAAAAAAAAAAW0Nv&#10;bnRlbnRfVHlwZXNdLnhtbFBLAQItABQABgAIAAAAIQA4/SH/1gAAAJQBAAALAAAAAAAAAAAAAAAA&#10;AC8BAABfcmVscy8ucmVsc1BLAQItABQABgAIAAAAIQBpcfdvAAIAAOUDAAAOAAAAAAAAAAAAAAAA&#10;AC4CAABkcnMvZTJvRG9jLnhtbFBLAQItABQABgAIAAAAIQBs1R/T2QAAAAUBAAAPAAAAAAAAAAAA&#10;AAAAAFoEAABkcnMvZG93bnJldi54bWxQSwUGAAAAAAQABADzAAAAYAUAAAAA&#10;" o:allowincell="f" stroked="f">
                  <v:textbox>
                    <w:txbxContent>
                      <w:sdt>
                        <w:sdtPr>
                          <w:rPr>
                            <w:rFonts w:asciiTheme="majorHAnsi" w:hAnsiTheme="majorHAnsi"/>
                            <w:sz w:val="48"/>
                            <w:szCs w:val="44"/>
                          </w:rPr>
                          <w:id w:val="100874640"/>
                          <w:docPartObj>
                            <w:docPartGallery w:val="Page Numbers (Margins)"/>
                            <w:docPartUnique/>
                          </w:docPartObj>
                        </w:sdtPr>
                        <w:sdtEndPr/>
                        <w:sdtContent>
                          <w:sdt>
                            <w:sdtPr>
                              <w:rPr>
                                <w:rFonts w:asciiTheme="majorHAnsi" w:hAnsiTheme="majorHAnsi"/>
                                <w:sz w:val="48"/>
                                <w:szCs w:val="44"/>
                              </w:rPr>
                              <w:id w:val="100874641"/>
                              <w:docPartObj>
                                <w:docPartGallery w:val="Page Numbers (Margins)"/>
                                <w:docPartUnique/>
                              </w:docPartObj>
                            </w:sdtPr>
                            <w:sdtEndPr/>
                            <w:sdtContent>
                              <w:p w:rsidR="003503B4" w:rsidRDefault="00EE5A19">
                                <w:pPr>
                                  <w:jc w:val="center"/>
                                  <w:rPr>
                                    <w:rFonts w:asciiTheme="majorHAnsi" w:hAnsiTheme="majorHAnsi"/>
                                    <w:sz w:val="48"/>
                                    <w:szCs w:val="44"/>
                                  </w:rPr>
                                </w:pPr>
                                <w:r>
                                  <w:fldChar w:fldCharType="begin"/>
                                </w:r>
                                <w:r w:rsidR="003503B4">
                                  <w:instrText xml:space="preserve"> PAGE   \* MERGEFORMAT </w:instrText>
                                </w:r>
                                <w:r>
                                  <w:fldChar w:fldCharType="separate"/>
                                </w:r>
                                <w:r w:rsidR="003503B4" w:rsidRPr="00BE4FCF">
                                  <w:rPr>
                                    <w:rFonts w:asciiTheme="majorHAnsi" w:hAnsiTheme="majorHAnsi"/>
                                    <w:noProof/>
                                    <w:sz w:val="48"/>
                                    <w:szCs w:val="44"/>
                                  </w:rPr>
                                  <w:t>4</w:t>
                                </w:r>
                                <w:r>
                                  <w:rPr>
                                    <w:rFonts w:asciiTheme="majorHAnsi" w:hAnsiTheme="majorHAnsi"/>
                                    <w:noProof/>
                                    <w:sz w:val="48"/>
                                    <w:szCs w:val="44"/>
                                  </w:rPr>
                                  <w:fldChar w:fldCharType="end"/>
                                </w:r>
                              </w:p>
                            </w:sdtContent>
                          </w:sdt>
                        </w:sdtContent>
                      </w:sdt>
                    </w:txbxContent>
                  </v:textbox>
                  <w10:wrap anchorx="margin" anchory="page"/>
                </v:rect>
              </w:pict>
            </mc:Fallback>
          </mc:AlternateContent>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503B4" w:rsidRDefault="003503B4" w:rsidP="005F6123">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93D4A77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09B48B5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2F16A48C"/>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C3C4CE26"/>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8F08CD2A"/>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6BC9D64"/>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6CAC078"/>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24683AE"/>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9E0E092"/>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40A8C5F0"/>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820D4F"/>
    <w:multiLevelType w:val="hybridMultilevel"/>
    <w:tmpl w:val="9F24BA42"/>
    <w:lvl w:ilvl="0" w:tplc="116CB336">
      <w:numFmt w:val="bullet"/>
      <w:lvlText w:val="-"/>
      <w:lvlJc w:val="left"/>
      <w:pPr>
        <w:ind w:left="1069" w:hanging="360"/>
      </w:pPr>
      <w:rPr>
        <w:rFonts w:ascii="Calibri" w:eastAsiaTheme="minorHAnsi" w:hAnsi="Calibri" w:cstheme="minorBidi"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11" w15:restartNumberingAfterBreak="0">
    <w:nsid w:val="05E71DF1"/>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C3E496C"/>
    <w:multiLevelType w:val="multilevel"/>
    <w:tmpl w:val="F99C95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FBA7D48"/>
    <w:multiLevelType w:val="hybridMultilevel"/>
    <w:tmpl w:val="30C2DFBE"/>
    <w:lvl w:ilvl="0" w:tplc="234C6622">
      <w:start w:val="1"/>
      <w:numFmt w:val="bullet"/>
      <w:lvlText w:val="*"/>
      <w:lvlJc w:val="left"/>
      <w:pPr>
        <w:ind w:left="1429" w:hanging="360"/>
      </w:pPr>
      <w:rPr>
        <w:rFonts w:ascii="Arial" w:hAnsi="Aria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4" w15:restartNumberingAfterBreak="0">
    <w:nsid w:val="13A262E3"/>
    <w:multiLevelType w:val="hybridMultilevel"/>
    <w:tmpl w:val="99DE6DB8"/>
    <w:lvl w:ilvl="0" w:tplc="528E87E4">
      <w:start w:val="1"/>
      <w:numFmt w:val="lowerLetter"/>
      <w:lvlText w:val="%1)"/>
      <w:lvlJc w:val="left"/>
      <w:pPr>
        <w:ind w:left="720" w:hanging="360"/>
      </w:pPr>
      <w:rPr>
        <w:rFonts w:asciiTheme="minorHAnsi" w:eastAsiaTheme="minorHAnsi" w:hAnsiTheme="minorHAnsi" w:cstheme="minorBidi"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16C81DF6"/>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E9A2E73"/>
    <w:multiLevelType w:val="multilevel"/>
    <w:tmpl w:val="35F67FB0"/>
    <w:lvl w:ilvl="0">
      <w:start w:val="1"/>
      <w:numFmt w:val="upperRoman"/>
      <w:pStyle w:val="N1Titulo"/>
      <w:lvlText w:val="%1"/>
      <w:lvlJc w:val="left"/>
      <w:pPr>
        <w:ind w:left="360" w:hanging="360"/>
      </w:pPr>
      <w:rPr>
        <w:rFonts w:hint="default"/>
      </w:rPr>
    </w:lvl>
    <w:lvl w:ilvl="1">
      <w:start w:val="1"/>
      <w:numFmt w:val="decimal"/>
      <w:pStyle w:val="N2Titulo"/>
      <w:lvlText w:val="%2."/>
      <w:lvlJc w:val="left"/>
      <w:pPr>
        <w:ind w:left="357" w:hanging="357"/>
      </w:pPr>
      <w:rPr>
        <w:rFonts w:hint="default"/>
      </w:rPr>
    </w:lvl>
    <w:lvl w:ilvl="2">
      <w:start w:val="1"/>
      <w:numFmt w:val="decimal"/>
      <w:pStyle w:val="N3Titulo"/>
      <w:lvlText w:val="%2.%3."/>
      <w:lvlJc w:val="left"/>
      <w:pPr>
        <w:ind w:left="0" w:firstLine="357"/>
      </w:pPr>
      <w:rPr>
        <w:rFonts w:hint="default"/>
      </w:rPr>
    </w:lvl>
    <w:lvl w:ilvl="3">
      <w:start w:val="1"/>
      <w:numFmt w:val="upperLetter"/>
      <w:pStyle w:val="N4Titulo"/>
      <w:lvlText w:val="%4)"/>
      <w:lvlJc w:val="left"/>
      <w:pPr>
        <w:ind w:left="720" w:hanging="363"/>
      </w:pPr>
      <w:rPr>
        <w:rFonts w:hint="default"/>
      </w:rPr>
    </w:lvl>
    <w:lvl w:ilvl="4">
      <w:start w:val="1"/>
      <w:numFmt w:val="lowerLetter"/>
      <w:pStyle w:val="N5Titulo"/>
      <w:lvlText w:val="%5)"/>
      <w:lvlJc w:val="left"/>
      <w:pPr>
        <w:ind w:left="1077" w:hanging="357"/>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1EC76489"/>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244F2FDE"/>
    <w:multiLevelType w:val="multilevel"/>
    <w:tmpl w:val="D76E586E"/>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9" w15:restartNumberingAfterBreak="0">
    <w:nsid w:val="29A73601"/>
    <w:multiLevelType w:val="hybridMultilevel"/>
    <w:tmpl w:val="90A20306"/>
    <w:lvl w:ilvl="0" w:tplc="6970873C">
      <w:start w:val="2"/>
      <w:numFmt w:val="bullet"/>
      <w:lvlText w:val="-"/>
      <w:lvlJc w:val="left"/>
      <w:pPr>
        <w:ind w:left="1068" w:hanging="360"/>
      </w:pPr>
      <w:rPr>
        <w:rFonts w:ascii="Times New Roman" w:eastAsiaTheme="minorHAnsi" w:hAnsi="Times New Roman" w:cs="Times New Roman"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0" w15:restartNumberingAfterBreak="0">
    <w:nsid w:val="2FC431BC"/>
    <w:multiLevelType w:val="hybridMultilevel"/>
    <w:tmpl w:val="5732AC32"/>
    <w:lvl w:ilvl="0" w:tplc="04090003">
      <w:start w:val="1"/>
      <w:numFmt w:val="bullet"/>
      <w:lvlText w:val="o"/>
      <w:lvlJc w:val="left"/>
      <w:pPr>
        <w:ind w:left="1429" w:hanging="360"/>
      </w:pPr>
      <w:rPr>
        <w:rFonts w:ascii="Courier New" w:hAnsi="Courier New" w:cs="Courier New"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21" w15:restartNumberingAfterBreak="0">
    <w:nsid w:val="316237FA"/>
    <w:multiLevelType w:val="hybridMultilevel"/>
    <w:tmpl w:val="3FF4E494"/>
    <w:lvl w:ilvl="0" w:tplc="0409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22" w15:restartNumberingAfterBreak="0">
    <w:nsid w:val="331E5175"/>
    <w:multiLevelType w:val="multilevel"/>
    <w:tmpl w:val="0C0A0023"/>
    <w:styleLink w:val="ArtculoSeccin"/>
    <w:lvl w:ilvl="0">
      <w:start w:val="1"/>
      <w:numFmt w:val="upperRoman"/>
      <w:lvlText w:val="Artículo %1."/>
      <w:lvlJc w:val="left"/>
      <w:pPr>
        <w:ind w:left="4820" w:firstLine="0"/>
      </w:pPr>
    </w:lvl>
    <w:lvl w:ilvl="1">
      <w:start w:val="1"/>
      <w:numFmt w:val="decimalZero"/>
      <w:isLgl/>
      <w:lvlText w:val="Sección %1.%2"/>
      <w:lvlJc w:val="left"/>
      <w:pPr>
        <w:ind w:left="6521" w:firstLine="0"/>
      </w:pPr>
    </w:lvl>
    <w:lvl w:ilvl="2">
      <w:start w:val="1"/>
      <w:numFmt w:val="lowerLetter"/>
      <w:lvlText w:val="(%3)"/>
      <w:lvlJc w:val="left"/>
      <w:pPr>
        <w:ind w:left="5540" w:hanging="432"/>
      </w:pPr>
    </w:lvl>
    <w:lvl w:ilvl="3">
      <w:start w:val="1"/>
      <w:numFmt w:val="lowerRoman"/>
      <w:lvlText w:val="(%4)"/>
      <w:lvlJc w:val="right"/>
      <w:pPr>
        <w:ind w:left="5684" w:hanging="144"/>
      </w:pPr>
    </w:lvl>
    <w:lvl w:ilvl="4">
      <w:start w:val="1"/>
      <w:numFmt w:val="decimal"/>
      <w:lvlText w:val="%5)"/>
      <w:lvlJc w:val="left"/>
      <w:pPr>
        <w:ind w:left="5828" w:hanging="432"/>
      </w:pPr>
    </w:lvl>
    <w:lvl w:ilvl="5">
      <w:start w:val="1"/>
      <w:numFmt w:val="lowerLetter"/>
      <w:lvlText w:val="%6)"/>
      <w:lvlJc w:val="left"/>
      <w:pPr>
        <w:ind w:left="5972" w:hanging="432"/>
      </w:pPr>
    </w:lvl>
    <w:lvl w:ilvl="6">
      <w:start w:val="1"/>
      <w:numFmt w:val="lowerRoman"/>
      <w:lvlText w:val="%7)"/>
      <w:lvlJc w:val="right"/>
      <w:pPr>
        <w:ind w:left="6116" w:hanging="288"/>
      </w:pPr>
    </w:lvl>
    <w:lvl w:ilvl="7">
      <w:start w:val="1"/>
      <w:numFmt w:val="lowerLetter"/>
      <w:lvlText w:val="%8."/>
      <w:lvlJc w:val="left"/>
      <w:pPr>
        <w:ind w:left="6260" w:hanging="432"/>
      </w:pPr>
    </w:lvl>
    <w:lvl w:ilvl="8">
      <w:start w:val="1"/>
      <w:numFmt w:val="lowerRoman"/>
      <w:lvlText w:val="%9."/>
      <w:lvlJc w:val="right"/>
      <w:pPr>
        <w:ind w:left="6404" w:hanging="144"/>
      </w:pPr>
    </w:lvl>
  </w:abstractNum>
  <w:abstractNum w:abstractNumId="23" w15:restartNumberingAfterBreak="0">
    <w:nsid w:val="3D8853FB"/>
    <w:multiLevelType w:val="hybridMultilevel"/>
    <w:tmpl w:val="1C3C881E"/>
    <w:lvl w:ilvl="0" w:tplc="44C80F06">
      <w:start w:val="1"/>
      <w:numFmt w:val="bullet"/>
      <w:lvlText w:val=""/>
      <w:lvlJc w:val="left"/>
      <w:pPr>
        <w:ind w:left="1429" w:hanging="360"/>
      </w:pPr>
      <w:rPr>
        <w:rFonts w:ascii="Wingdings 2" w:hAnsi="Wingdings 2"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24" w15:restartNumberingAfterBreak="0">
    <w:nsid w:val="442A34D8"/>
    <w:multiLevelType w:val="hybridMultilevel"/>
    <w:tmpl w:val="8D5A2910"/>
    <w:lvl w:ilvl="0" w:tplc="5420DB38">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46183911"/>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47567070"/>
    <w:multiLevelType w:val="hybridMultilevel"/>
    <w:tmpl w:val="A5CC034E"/>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47694C1A"/>
    <w:multiLevelType w:val="hybridMultilevel"/>
    <w:tmpl w:val="726E8316"/>
    <w:lvl w:ilvl="0" w:tplc="0409000F">
      <w:start w:val="1"/>
      <w:numFmt w:val="decimal"/>
      <w:lvlText w:val="%1."/>
      <w:lvlJc w:val="left"/>
      <w:pPr>
        <w:ind w:left="1429" w:hanging="360"/>
      </w:pPr>
    </w:lvl>
    <w:lvl w:ilvl="1" w:tplc="0C0A0019">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28" w15:restartNumberingAfterBreak="0">
    <w:nsid w:val="489538FD"/>
    <w:multiLevelType w:val="multilevel"/>
    <w:tmpl w:val="F15627F2"/>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9" w15:restartNumberingAfterBreak="0">
    <w:nsid w:val="4A26651C"/>
    <w:multiLevelType w:val="hybridMultilevel"/>
    <w:tmpl w:val="3ADC6C1C"/>
    <w:lvl w:ilvl="0" w:tplc="2DEE6BCE">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30" w15:restartNumberingAfterBreak="0">
    <w:nsid w:val="51817FC8"/>
    <w:multiLevelType w:val="hybridMultilevel"/>
    <w:tmpl w:val="EDD6B65A"/>
    <w:lvl w:ilvl="0" w:tplc="FF167BA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58AF05D3"/>
    <w:multiLevelType w:val="hybridMultilevel"/>
    <w:tmpl w:val="038A356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591F3290"/>
    <w:multiLevelType w:val="hybridMultilevel"/>
    <w:tmpl w:val="A1223056"/>
    <w:lvl w:ilvl="0" w:tplc="E9F28A00">
      <w:start w:val="1"/>
      <w:numFmt w:val="lowerLetter"/>
      <w:lvlText w:val="%1)"/>
      <w:lvlJc w:val="left"/>
      <w:pPr>
        <w:ind w:left="720" w:hanging="360"/>
      </w:pPr>
      <w:rPr>
        <w:rFonts w:hint="default"/>
        <w:b/>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59B707B8"/>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4" w15:restartNumberingAfterBreak="0">
    <w:nsid w:val="5E0770DE"/>
    <w:multiLevelType w:val="hybridMultilevel"/>
    <w:tmpl w:val="3BA0B61E"/>
    <w:lvl w:ilvl="0" w:tplc="0C0A0017">
      <w:start w:val="1"/>
      <w:numFmt w:val="lowerLetter"/>
      <w:lvlText w:val="%1)"/>
      <w:lvlJc w:val="left"/>
      <w:pPr>
        <w:ind w:left="2204" w:hanging="360"/>
      </w:pPr>
      <w:rPr>
        <w:rFonts w:hint="default"/>
      </w:rPr>
    </w:lvl>
    <w:lvl w:ilvl="1" w:tplc="0C0A0019" w:tentative="1">
      <w:start w:val="1"/>
      <w:numFmt w:val="lowerLetter"/>
      <w:lvlText w:val="%2."/>
      <w:lvlJc w:val="left"/>
      <w:pPr>
        <w:ind w:left="2924" w:hanging="360"/>
      </w:pPr>
    </w:lvl>
    <w:lvl w:ilvl="2" w:tplc="0C0A001B" w:tentative="1">
      <w:start w:val="1"/>
      <w:numFmt w:val="lowerRoman"/>
      <w:lvlText w:val="%3."/>
      <w:lvlJc w:val="right"/>
      <w:pPr>
        <w:ind w:left="3644" w:hanging="180"/>
      </w:pPr>
    </w:lvl>
    <w:lvl w:ilvl="3" w:tplc="0C0A000F" w:tentative="1">
      <w:start w:val="1"/>
      <w:numFmt w:val="decimal"/>
      <w:lvlText w:val="%4."/>
      <w:lvlJc w:val="left"/>
      <w:pPr>
        <w:ind w:left="4364" w:hanging="360"/>
      </w:pPr>
    </w:lvl>
    <w:lvl w:ilvl="4" w:tplc="0C0A0019" w:tentative="1">
      <w:start w:val="1"/>
      <w:numFmt w:val="lowerLetter"/>
      <w:lvlText w:val="%5."/>
      <w:lvlJc w:val="left"/>
      <w:pPr>
        <w:ind w:left="5084" w:hanging="360"/>
      </w:pPr>
    </w:lvl>
    <w:lvl w:ilvl="5" w:tplc="0C0A001B" w:tentative="1">
      <w:start w:val="1"/>
      <w:numFmt w:val="lowerRoman"/>
      <w:lvlText w:val="%6."/>
      <w:lvlJc w:val="right"/>
      <w:pPr>
        <w:ind w:left="5804" w:hanging="180"/>
      </w:pPr>
    </w:lvl>
    <w:lvl w:ilvl="6" w:tplc="0C0A000F" w:tentative="1">
      <w:start w:val="1"/>
      <w:numFmt w:val="decimal"/>
      <w:lvlText w:val="%7."/>
      <w:lvlJc w:val="left"/>
      <w:pPr>
        <w:ind w:left="6524" w:hanging="360"/>
      </w:pPr>
    </w:lvl>
    <w:lvl w:ilvl="7" w:tplc="0C0A0019" w:tentative="1">
      <w:start w:val="1"/>
      <w:numFmt w:val="lowerLetter"/>
      <w:lvlText w:val="%8."/>
      <w:lvlJc w:val="left"/>
      <w:pPr>
        <w:ind w:left="7244" w:hanging="360"/>
      </w:pPr>
    </w:lvl>
    <w:lvl w:ilvl="8" w:tplc="0C0A001B" w:tentative="1">
      <w:start w:val="1"/>
      <w:numFmt w:val="lowerRoman"/>
      <w:lvlText w:val="%9."/>
      <w:lvlJc w:val="right"/>
      <w:pPr>
        <w:ind w:left="7964" w:hanging="180"/>
      </w:pPr>
    </w:lvl>
  </w:abstractNum>
  <w:abstractNum w:abstractNumId="35" w15:restartNumberingAfterBreak="0">
    <w:nsid w:val="6256381A"/>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62F8064D"/>
    <w:multiLevelType w:val="hybridMultilevel"/>
    <w:tmpl w:val="D9D2CBF8"/>
    <w:lvl w:ilvl="0" w:tplc="B7140786">
      <w:start w:val="1"/>
      <w:numFmt w:val="bullet"/>
      <w:lvlText w:val=""/>
      <w:lvlJc w:val="left"/>
      <w:pPr>
        <w:ind w:left="1429" w:hanging="360"/>
      </w:pPr>
      <w:rPr>
        <w:rFonts w:ascii="Wingdings" w:hAnsi="Wingdings"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37" w15:restartNumberingAfterBreak="0">
    <w:nsid w:val="6A93623F"/>
    <w:multiLevelType w:val="multilevel"/>
    <w:tmpl w:val="BA421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4070C58"/>
    <w:multiLevelType w:val="multilevel"/>
    <w:tmpl w:val="DA7679C4"/>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9" w15:restartNumberingAfterBreak="0">
    <w:nsid w:val="7816466D"/>
    <w:multiLevelType w:val="multilevel"/>
    <w:tmpl w:val="5C28FBEC"/>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40" w15:restartNumberingAfterBreak="0">
    <w:nsid w:val="7D7B342A"/>
    <w:multiLevelType w:val="hybridMultilevel"/>
    <w:tmpl w:val="E892C318"/>
    <w:lvl w:ilvl="0" w:tplc="0409000D">
      <w:start w:val="1"/>
      <w:numFmt w:val="bullet"/>
      <w:lvlText w:val=""/>
      <w:lvlJc w:val="left"/>
      <w:pPr>
        <w:ind w:left="1429" w:hanging="360"/>
      </w:pPr>
      <w:rPr>
        <w:rFonts w:ascii="Wingdings" w:hAnsi="Wingdings"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num w:numId="1">
    <w:abstractNumId w:val="16"/>
  </w:num>
  <w:num w:numId="2">
    <w:abstractNumId w:val="8"/>
  </w:num>
  <w:num w:numId="3">
    <w:abstractNumId w:val="3"/>
  </w:num>
  <w:num w:numId="4">
    <w:abstractNumId w:val="2"/>
  </w:num>
  <w:num w:numId="5">
    <w:abstractNumId w:val="1"/>
  </w:num>
  <w:num w:numId="6">
    <w:abstractNumId w:val="0"/>
  </w:num>
  <w:num w:numId="7">
    <w:abstractNumId w:val="9"/>
  </w:num>
  <w:num w:numId="8">
    <w:abstractNumId w:val="7"/>
  </w:num>
  <w:num w:numId="9">
    <w:abstractNumId w:val="6"/>
  </w:num>
  <w:num w:numId="10">
    <w:abstractNumId w:val="5"/>
  </w:num>
  <w:num w:numId="11">
    <w:abstractNumId w:val="4"/>
  </w:num>
  <w:num w:numId="1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5"/>
  </w:num>
  <w:num w:numId="14">
    <w:abstractNumId w:val="17"/>
  </w:num>
  <w:num w:numId="15">
    <w:abstractNumId w:val="39"/>
  </w:num>
  <w:num w:numId="16">
    <w:abstractNumId w:val="18"/>
  </w:num>
  <w:num w:numId="17">
    <w:abstractNumId w:val="38"/>
  </w:num>
  <w:num w:numId="18">
    <w:abstractNumId w:val="25"/>
  </w:num>
  <w:num w:numId="19">
    <w:abstractNumId w:val="11"/>
  </w:num>
  <w:num w:numId="20">
    <w:abstractNumId w:val="35"/>
  </w:num>
  <w:num w:numId="21">
    <w:abstractNumId w:val="33"/>
  </w:num>
  <w:num w:numId="22">
    <w:abstractNumId w:val="22"/>
  </w:num>
  <w:num w:numId="23">
    <w:abstractNumId w:val="10"/>
  </w:num>
  <w:num w:numId="24">
    <w:abstractNumId w:val="29"/>
  </w:num>
  <w:num w:numId="25">
    <w:abstractNumId w:val="21"/>
  </w:num>
  <w:num w:numId="26">
    <w:abstractNumId w:val="20"/>
  </w:num>
  <w:num w:numId="27">
    <w:abstractNumId w:val="13"/>
  </w:num>
  <w:num w:numId="28">
    <w:abstractNumId w:val="36"/>
  </w:num>
  <w:num w:numId="29">
    <w:abstractNumId w:val="23"/>
  </w:num>
  <w:num w:numId="30">
    <w:abstractNumId w:val="40"/>
  </w:num>
  <w:num w:numId="31">
    <w:abstractNumId w:val="27"/>
  </w:num>
  <w:num w:numId="32">
    <w:abstractNumId w:val="30"/>
  </w:num>
  <w:num w:numId="33">
    <w:abstractNumId w:val="28"/>
  </w:num>
  <w:num w:numId="34">
    <w:abstractNumId w:val="19"/>
  </w:num>
  <w:num w:numId="35">
    <w:abstractNumId w:val="14"/>
  </w:num>
  <w:num w:numId="36">
    <w:abstractNumId w:val="34"/>
  </w:num>
  <w:num w:numId="37">
    <w:abstractNumId w:val="12"/>
  </w:num>
  <w:num w:numId="38">
    <w:abstractNumId w:val="32"/>
  </w:num>
  <w:num w:numId="39">
    <w:abstractNumId w:val="31"/>
  </w:num>
  <w:num w:numId="40">
    <w:abstractNumId w:val="24"/>
  </w:num>
  <w:num w:numId="41">
    <w:abstractNumId w:val="37"/>
  </w:num>
  <w:num w:numId="42">
    <w:abstractNumId w:val="2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9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1"/>
  <w:stylePaneSortMethod w:val="0000"/>
  <w:documentProtection w:edit="readOnly" w:enforcement="0"/>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oTituloCapi" w:val="Título de prueba"/>
  </w:docVars>
  <w:rsids>
    <w:rsidRoot w:val="005D2712"/>
    <w:rsid w:val="00001286"/>
    <w:rsid w:val="00003CDA"/>
    <w:rsid w:val="00005BB7"/>
    <w:rsid w:val="00006D82"/>
    <w:rsid w:val="00012B81"/>
    <w:rsid w:val="00014F97"/>
    <w:rsid w:val="000157A8"/>
    <w:rsid w:val="0001732D"/>
    <w:rsid w:val="00017D67"/>
    <w:rsid w:val="000205EE"/>
    <w:rsid w:val="00020B27"/>
    <w:rsid w:val="00021DE4"/>
    <w:rsid w:val="0002224D"/>
    <w:rsid w:val="0002462E"/>
    <w:rsid w:val="00025182"/>
    <w:rsid w:val="00025802"/>
    <w:rsid w:val="0002676E"/>
    <w:rsid w:val="00027EED"/>
    <w:rsid w:val="00031BF1"/>
    <w:rsid w:val="00032AAE"/>
    <w:rsid w:val="00032C58"/>
    <w:rsid w:val="0003523D"/>
    <w:rsid w:val="00037932"/>
    <w:rsid w:val="00037BCD"/>
    <w:rsid w:val="0004733A"/>
    <w:rsid w:val="00050FF1"/>
    <w:rsid w:val="00052B98"/>
    <w:rsid w:val="00053695"/>
    <w:rsid w:val="00053883"/>
    <w:rsid w:val="0005438A"/>
    <w:rsid w:val="00057132"/>
    <w:rsid w:val="00057627"/>
    <w:rsid w:val="00057842"/>
    <w:rsid w:val="000625E9"/>
    <w:rsid w:val="00062AB5"/>
    <w:rsid w:val="00064319"/>
    <w:rsid w:val="000648AD"/>
    <w:rsid w:val="00070502"/>
    <w:rsid w:val="00073D3E"/>
    <w:rsid w:val="000749C2"/>
    <w:rsid w:val="00075F85"/>
    <w:rsid w:val="00080065"/>
    <w:rsid w:val="00080DAB"/>
    <w:rsid w:val="0008424F"/>
    <w:rsid w:val="000845CB"/>
    <w:rsid w:val="000853F0"/>
    <w:rsid w:val="000859C8"/>
    <w:rsid w:val="00090618"/>
    <w:rsid w:val="00092170"/>
    <w:rsid w:val="00093474"/>
    <w:rsid w:val="00094BCE"/>
    <w:rsid w:val="00097FA0"/>
    <w:rsid w:val="000A0C1D"/>
    <w:rsid w:val="000A10A4"/>
    <w:rsid w:val="000A2F8C"/>
    <w:rsid w:val="000A347A"/>
    <w:rsid w:val="000A4606"/>
    <w:rsid w:val="000A4F30"/>
    <w:rsid w:val="000A5257"/>
    <w:rsid w:val="000A689D"/>
    <w:rsid w:val="000A76B6"/>
    <w:rsid w:val="000A78E0"/>
    <w:rsid w:val="000B16D4"/>
    <w:rsid w:val="000B2DC1"/>
    <w:rsid w:val="000B50F3"/>
    <w:rsid w:val="000B743C"/>
    <w:rsid w:val="000C448D"/>
    <w:rsid w:val="000C4CFF"/>
    <w:rsid w:val="000D0DE1"/>
    <w:rsid w:val="000D253C"/>
    <w:rsid w:val="000D4569"/>
    <w:rsid w:val="000D45D4"/>
    <w:rsid w:val="000D4F72"/>
    <w:rsid w:val="000E1787"/>
    <w:rsid w:val="000E2177"/>
    <w:rsid w:val="000E24DC"/>
    <w:rsid w:val="000F10E7"/>
    <w:rsid w:val="000F29F1"/>
    <w:rsid w:val="000F3D1C"/>
    <w:rsid w:val="000F5F49"/>
    <w:rsid w:val="000F75D8"/>
    <w:rsid w:val="001032D4"/>
    <w:rsid w:val="001032FA"/>
    <w:rsid w:val="00103C4A"/>
    <w:rsid w:val="00103FC1"/>
    <w:rsid w:val="0010787C"/>
    <w:rsid w:val="001105AF"/>
    <w:rsid w:val="001117C7"/>
    <w:rsid w:val="00112075"/>
    <w:rsid w:val="00114967"/>
    <w:rsid w:val="00114D40"/>
    <w:rsid w:val="001251E5"/>
    <w:rsid w:val="00126561"/>
    <w:rsid w:val="00130256"/>
    <w:rsid w:val="0013035A"/>
    <w:rsid w:val="0013139C"/>
    <w:rsid w:val="001313CD"/>
    <w:rsid w:val="001335C1"/>
    <w:rsid w:val="00133B74"/>
    <w:rsid w:val="00133EEB"/>
    <w:rsid w:val="0013571D"/>
    <w:rsid w:val="00137A58"/>
    <w:rsid w:val="00137DF5"/>
    <w:rsid w:val="00140D9A"/>
    <w:rsid w:val="00141969"/>
    <w:rsid w:val="00143134"/>
    <w:rsid w:val="0014322F"/>
    <w:rsid w:val="001432BA"/>
    <w:rsid w:val="00144875"/>
    <w:rsid w:val="0014553A"/>
    <w:rsid w:val="0014575A"/>
    <w:rsid w:val="0014623C"/>
    <w:rsid w:val="001471C2"/>
    <w:rsid w:val="001476AD"/>
    <w:rsid w:val="00147CD9"/>
    <w:rsid w:val="00150222"/>
    <w:rsid w:val="00150BA0"/>
    <w:rsid w:val="00151A97"/>
    <w:rsid w:val="00152A5C"/>
    <w:rsid w:val="00154FB1"/>
    <w:rsid w:val="00160BAB"/>
    <w:rsid w:val="0016670B"/>
    <w:rsid w:val="0016780D"/>
    <w:rsid w:val="00170232"/>
    <w:rsid w:val="00170EEA"/>
    <w:rsid w:val="00170FBA"/>
    <w:rsid w:val="00171B30"/>
    <w:rsid w:val="00172834"/>
    <w:rsid w:val="0017398B"/>
    <w:rsid w:val="00176239"/>
    <w:rsid w:val="0017632E"/>
    <w:rsid w:val="00177644"/>
    <w:rsid w:val="001840CB"/>
    <w:rsid w:val="00185037"/>
    <w:rsid w:val="00185317"/>
    <w:rsid w:val="00186E8B"/>
    <w:rsid w:val="00187BED"/>
    <w:rsid w:val="0019117C"/>
    <w:rsid w:val="001925A2"/>
    <w:rsid w:val="00193532"/>
    <w:rsid w:val="0019523F"/>
    <w:rsid w:val="001957DC"/>
    <w:rsid w:val="00195FDD"/>
    <w:rsid w:val="00196C3F"/>
    <w:rsid w:val="001A1E63"/>
    <w:rsid w:val="001A20D0"/>
    <w:rsid w:val="001A490B"/>
    <w:rsid w:val="001A5430"/>
    <w:rsid w:val="001A6B37"/>
    <w:rsid w:val="001A752B"/>
    <w:rsid w:val="001B3647"/>
    <w:rsid w:val="001B37D2"/>
    <w:rsid w:val="001B63E9"/>
    <w:rsid w:val="001C083C"/>
    <w:rsid w:val="001C2BCA"/>
    <w:rsid w:val="001C32A2"/>
    <w:rsid w:val="001C3EE0"/>
    <w:rsid w:val="001C463E"/>
    <w:rsid w:val="001C573E"/>
    <w:rsid w:val="001C7506"/>
    <w:rsid w:val="001C7E33"/>
    <w:rsid w:val="001D151D"/>
    <w:rsid w:val="001D18BB"/>
    <w:rsid w:val="001D437D"/>
    <w:rsid w:val="001D45AB"/>
    <w:rsid w:val="001D6CAC"/>
    <w:rsid w:val="001D728B"/>
    <w:rsid w:val="001E082D"/>
    <w:rsid w:val="001E13D5"/>
    <w:rsid w:val="001E4630"/>
    <w:rsid w:val="001E4B76"/>
    <w:rsid w:val="001E4E93"/>
    <w:rsid w:val="001E54A7"/>
    <w:rsid w:val="001E5C71"/>
    <w:rsid w:val="001E6761"/>
    <w:rsid w:val="001F07F7"/>
    <w:rsid w:val="001F0990"/>
    <w:rsid w:val="001F1352"/>
    <w:rsid w:val="001F334D"/>
    <w:rsid w:val="001F42F9"/>
    <w:rsid w:val="001F43C2"/>
    <w:rsid w:val="001F6139"/>
    <w:rsid w:val="001F7724"/>
    <w:rsid w:val="00202CB7"/>
    <w:rsid w:val="00203EE5"/>
    <w:rsid w:val="002076C9"/>
    <w:rsid w:val="00212306"/>
    <w:rsid w:val="0021251B"/>
    <w:rsid w:val="00212E91"/>
    <w:rsid w:val="002144F2"/>
    <w:rsid w:val="00214696"/>
    <w:rsid w:val="00216C1A"/>
    <w:rsid w:val="00220F8A"/>
    <w:rsid w:val="002210FC"/>
    <w:rsid w:val="00222106"/>
    <w:rsid w:val="00223413"/>
    <w:rsid w:val="00226151"/>
    <w:rsid w:val="00226CF5"/>
    <w:rsid w:val="00227527"/>
    <w:rsid w:val="002310D3"/>
    <w:rsid w:val="00233A18"/>
    <w:rsid w:val="002345E2"/>
    <w:rsid w:val="00235B73"/>
    <w:rsid w:val="00243EBF"/>
    <w:rsid w:val="00244202"/>
    <w:rsid w:val="00247C9C"/>
    <w:rsid w:val="00247D9A"/>
    <w:rsid w:val="002501A2"/>
    <w:rsid w:val="00250238"/>
    <w:rsid w:val="002511E2"/>
    <w:rsid w:val="0025138B"/>
    <w:rsid w:val="00253844"/>
    <w:rsid w:val="00253FFD"/>
    <w:rsid w:val="00256194"/>
    <w:rsid w:val="00256271"/>
    <w:rsid w:val="00256FFD"/>
    <w:rsid w:val="0026227D"/>
    <w:rsid w:val="002622C3"/>
    <w:rsid w:val="00266D78"/>
    <w:rsid w:val="00270F79"/>
    <w:rsid w:val="00271AC3"/>
    <w:rsid w:val="00272AE8"/>
    <w:rsid w:val="00276192"/>
    <w:rsid w:val="002769D0"/>
    <w:rsid w:val="00277586"/>
    <w:rsid w:val="00277B63"/>
    <w:rsid w:val="00281D58"/>
    <w:rsid w:val="00282149"/>
    <w:rsid w:val="00283497"/>
    <w:rsid w:val="00283E3C"/>
    <w:rsid w:val="0028402F"/>
    <w:rsid w:val="00285A2E"/>
    <w:rsid w:val="0028662E"/>
    <w:rsid w:val="00286CC5"/>
    <w:rsid w:val="00287076"/>
    <w:rsid w:val="00291ECB"/>
    <w:rsid w:val="00292061"/>
    <w:rsid w:val="00292A68"/>
    <w:rsid w:val="002956D5"/>
    <w:rsid w:val="00295EC1"/>
    <w:rsid w:val="00297346"/>
    <w:rsid w:val="002A0993"/>
    <w:rsid w:val="002A1253"/>
    <w:rsid w:val="002A1C17"/>
    <w:rsid w:val="002A26A0"/>
    <w:rsid w:val="002A3B76"/>
    <w:rsid w:val="002B1C1E"/>
    <w:rsid w:val="002B3914"/>
    <w:rsid w:val="002B43B2"/>
    <w:rsid w:val="002B4F62"/>
    <w:rsid w:val="002B6867"/>
    <w:rsid w:val="002B68D9"/>
    <w:rsid w:val="002B6DDA"/>
    <w:rsid w:val="002C12B7"/>
    <w:rsid w:val="002C22F0"/>
    <w:rsid w:val="002C29A4"/>
    <w:rsid w:val="002C33ED"/>
    <w:rsid w:val="002C3BD8"/>
    <w:rsid w:val="002C4343"/>
    <w:rsid w:val="002C52ED"/>
    <w:rsid w:val="002D0B49"/>
    <w:rsid w:val="002D2152"/>
    <w:rsid w:val="002D2240"/>
    <w:rsid w:val="002D3049"/>
    <w:rsid w:val="002D40ED"/>
    <w:rsid w:val="002D419D"/>
    <w:rsid w:val="002D6EB9"/>
    <w:rsid w:val="002D70C3"/>
    <w:rsid w:val="002F070E"/>
    <w:rsid w:val="002F08B1"/>
    <w:rsid w:val="002F0A62"/>
    <w:rsid w:val="002F0DB7"/>
    <w:rsid w:val="002F13CF"/>
    <w:rsid w:val="002F436A"/>
    <w:rsid w:val="002F5D63"/>
    <w:rsid w:val="00300B29"/>
    <w:rsid w:val="003023DC"/>
    <w:rsid w:val="00303945"/>
    <w:rsid w:val="0031402D"/>
    <w:rsid w:val="00314388"/>
    <w:rsid w:val="00314846"/>
    <w:rsid w:val="0031749F"/>
    <w:rsid w:val="0032055C"/>
    <w:rsid w:val="00322109"/>
    <w:rsid w:val="0032252D"/>
    <w:rsid w:val="003243F6"/>
    <w:rsid w:val="00327504"/>
    <w:rsid w:val="003275C1"/>
    <w:rsid w:val="00327656"/>
    <w:rsid w:val="00332737"/>
    <w:rsid w:val="0033276C"/>
    <w:rsid w:val="00334548"/>
    <w:rsid w:val="00335C0E"/>
    <w:rsid w:val="0033693E"/>
    <w:rsid w:val="003377D1"/>
    <w:rsid w:val="00341436"/>
    <w:rsid w:val="003452F7"/>
    <w:rsid w:val="00345330"/>
    <w:rsid w:val="00346DAD"/>
    <w:rsid w:val="003503B4"/>
    <w:rsid w:val="00351D63"/>
    <w:rsid w:val="00353663"/>
    <w:rsid w:val="003539EF"/>
    <w:rsid w:val="00353E1E"/>
    <w:rsid w:val="00354DA6"/>
    <w:rsid w:val="00354F92"/>
    <w:rsid w:val="00355DDE"/>
    <w:rsid w:val="00356141"/>
    <w:rsid w:val="00357FC3"/>
    <w:rsid w:val="003619E8"/>
    <w:rsid w:val="0036283A"/>
    <w:rsid w:val="00364051"/>
    <w:rsid w:val="00364145"/>
    <w:rsid w:val="0036520B"/>
    <w:rsid w:val="003669BD"/>
    <w:rsid w:val="0036704E"/>
    <w:rsid w:val="003674FC"/>
    <w:rsid w:val="00367F83"/>
    <w:rsid w:val="0037089C"/>
    <w:rsid w:val="0037387C"/>
    <w:rsid w:val="003740EC"/>
    <w:rsid w:val="003744BF"/>
    <w:rsid w:val="00377A10"/>
    <w:rsid w:val="00380442"/>
    <w:rsid w:val="00382164"/>
    <w:rsid w:val="00383C48"/>
    <w:rsid w:val="00386518"/>
    <w:rsid w:val="0038663B"/>
    <w:rsid w:val="00386D77"/>
    <w:rsid w:val="00387037"/>
    <w:rsid w:val="00387221"/>
    <w:rsid w:val="00390A50"/>
    <w:rsid w:val="00390B71"/>
    <w:rsid w:val="00390E2E"/>
    <w:rsid w:val="00391602"/>
    <w:rsid w:val="00391709"/>
    <w:rsid w:val="00392C97"/>
    <w:rsid w:val="003947D7"/>
    <w:rsid w:val="00394E63"/>
    <w:rsid w:val="003A14E2"/>
    <w:rsid w:val="003A20A9"/>
    <w:rsid w:val="003A320E"/>
    <w:rsid w:val="003A3E9C"/>
    <w:rsid w:val="003A68E3"/>
    <w:rsid w:val="003A6A5C"/>
    <w:rsid w:val="003A6F1D"/>
    <w:rsid w:val="003A7AE2"/>
    <w:rsid w:val="003B2A12"/>
    <w:rsid w:val="003B4CB3"/>
    <w:rsid w:val="003B5838"/>
    <w:rsid w:val="003B5F3E"/>
    <w:rsid w:val="003C22DE"/>
    <w:rsid w:val="003C5A89"/>
    <w:rsid w:val="003C6F1A"/>
    <w:rsid w:val="003D051E"/>
    <w:rsid w:val="003D443C"/>
    <w:rsid w:val="003D4A25"/>
    <w:rsid w:val="003D52A3"/>
    <w:rsid w:val="003D6306"/>
    <w:rsid w:val="003D66F0"/>
    <w:rsid w:val="003D7164"/>
    <w:rsid w:val="003D72BF"/>
    <w:rsid w:val="003E1141"/>
    <w:rsid w:val="003E2809"/>
    <w:rsid w:val="003E5313"/>
    <w:rsid w:val="003E6C38"/>
    <w:rsid w:val="003F2533"/>
    <w:rsid w:val="003F3BCF"/>
    <w:rsid w:val="003F411F"/>
    <w:rsid w:val="003F4634"/>
    <w:rsid w:val="003F4756"/>
    <w:rsid w:val="004015A3"/>
    <w:rsid w:val="00405DD0"/>
    <w:rsid w:val="00406159"/>
    <w:rsid w:val="004069D6"/>
    <w:rsid w:val="00413330"/>
    <w:rsid w:val="004134B5"/>
    <w:rsid w:val="00414A26"/>
    <w:rsid w:val="00414DC7"/>
    <w:rsid w:val="0041588C"/>
    <w:rsid w:val="00416195"/>
    <w:rsid w:val="00416988"/>
    <w:rsid w:val="00420BB5"/>
    <w:rsid w:val="00420CDB"/>
    <w:rsid w:val="00421EEA"/>
    <w:rsid w:val="00421F10"/>
    <w:rsid w:val="00421FAD"/>
    <w:rsid w:val="004223E4"/>
    <w:rsid w:val="0042389C"/>
    <w:rsid w:val="00424495"/>
    <w:rsid w:val="00424FB8"/>
    <w:rsid w:val="00427725"/>
    <w:rsid w:val="00430892"/>
    <w:rsid w:val="00431676"/>
    <w:rsid w:val="004332E0"/>
    <w:rsid w:val="00434075"/>
    <w:rsid w:val="004348CF"/>
    <w:rsid w:val="004373D3"/>
    <w:rsid w:val="00440334"/>
    <w:rsid w:val="004408FA"/>
    <w:rsid w:val="00444EA2"/>
    <w:rsid w:val="0045037F"/>
    <w:rsid w:val="00457DED"/>
    <w:rsid w:val="004603C1"/>
    <w:rsid w:val="00460FFE"/>
    <w:rsid w:val="00461902"/>
    <w:rsid w:val="00462381"/>
    <w:rsid w:val="0046534B"/>
    <w:rsid w:val="00465985"/>
    <w:rsid w:val="00465EF1"/>
    <w:rsid w:val="00466184"/>
    <w:rsid w:val="004669C5"/>
    <w:rsid w:val="00467C39"/>
    <w:rsid w:val="00470EC9"/>
    <w:rsid w:val="00470F22"/>
    <w:rsid w:val="00473FAE"/>
    <w:rsid w:val="0047543F"/>
    <w:rsid w:val="0047560D"/>
    <w:rsid w:val="00475A01"/>
    <w:rsid w:val="00477AD2"/>
    <w:rsid w:val="0048093E"/>
    <w:rsid w:val="00481486"/>
    <w:rsid w:val="004831B4"/>
    <w:rsid w:val="0048377E"/>
    <w:rsid w:val="00484207"/>
    <w:rsid w:val="00484EBA"/>
    <w:rsid w:val="00486D86"/>
    <w:rsid w:val="004907ED"/>
    <w:rsid w:val="00493F7B"/>
    <w:rsid w:val="004A2A46"/>
    <w:rsid w:val="004A489D"/>
    <w:rsid w:val="004A69D3"/>
    <w:rsid w:val="004A78D5"/>
    <w:rsid w:val="004B1FD4"/>
    <w:rsid w:val="004B2861"/>
    <w:rsid w:val="004B395F"/>
    <w:rsid w:val="004B47DC"/>
    <w:rsid w:val="004B4879"/>
    <w:rsid w:val="004B6437"/>
    <w:rsid w:val="004B70BB"/>
    <w:rsid w:val="004B73BB"/>
    <w:rsid w:val="004C14AD"/>
    <w:rsid w:val="004C2D10"/>
    <w:rsid w:val="004C304D"/>
    <w:rsid w:val="004D10F3"/>
    <w:rsid w:val="004D18F6"/>
    <w:rsid w:val="004D3B61"/>
    <w:rsid w:val="004D48D5"/>
    <w:rsid w:val="004D4DD3"/>
    <w:rsid w:val="004D6D26"/>
    <w:rsid w:val="004E096B"/>
    <w:rsid w:val="004E18A6"/>
    <w:rsid w:val="004E3724"/>
    <w:rsid w:val="004E5830"/>
    <w:rsid w:val="004F1D21"/>
    <w:rsid w:val="004F3DB2"/>
    <w:rsid w:val="004F44FB"/>
    <w:rsid w:val="004F49B7"/>
    <w:rsid w:val="004F5E8B"/>
    <w:rsid w:val="004F65F7"/>
    <w:rsid w:val="004F74FF"/>
    <w:rsid w:val="004F7AE8"/>
    <w:rsid w:val="005011EB"/>
    <w:rsid w:val="00501CC6"/>
    <w:rsid w:val="00502496"/>
    <w:rsid w:val="005030DC"/>
    <w:rsid w:val="0050435A"/>
    <w:rsid w:val="005054E2"/>
    <w:rsid w:val="00505576"/>
    <w:rsid w:val="00506BA4"/>
    <w:rsid w:val="0050761A"/>
    <w:rsid w:val="00507CC3"/>
    <w:rsid w:val="00510169"/>
    <w:rsid w:val="00510335"/>
    <w:rsid w:val="0051133B"/>
    <w:rsid w:val="005116FE"/>
    <w:rsid w:val="00514C22"/>
    <w:rsid w:val="0051548C"/>
    <w:rsid w:val="0051653D"/>
    <w:rsid w:val="00517516"/>
    <w:rsid w:val="0052085A"/>
    <w:rsid w:val="00523F30"/>
    <w:rsid w:val="005258D5"/>
    <w:rsid w:val="005274D6"/>
    <w:rsid w:val="00527BA3"/>
    <w:rsid w:val="00527F14"/>
    <w:rsid w:val="00527F91"/>
    <w:rsid w:val="0053085F"/>
    <w:rsid w:val="005309AC"/>
    <w:rsid w:val="00532305"/>
    <w:rsid w:val="0053359E"/>
    <w:rsid w:val="00534A06"/>
    <w:rsid w:val="00535336"/>
    <w:rsid w:val="00540639"/>
    <w:rsid w:val="005408BD"/>
    <w:rsid w:val="005415FE"/>
    <w:rsid w:val="00542CFE"/>
    <w:rsid w:val="00544E62"/>
    <w:rsid w:val="0054514B"/>
    <w:rsid w:val="00547527"/>
    <w:rsid w:val="00553E0E"/>
    <w:rsid w:val="0055767B"/>
    <w:rsid w:val="005614CE"/>
    <w:rsid w:val="00563AD3"/>
    <w:rsid w:val="00566AFA"/>
    <w:rsid w:val="005702F2"/>
    <w:rsid w:val="00571BDA"/>
    <w:rsid w:val="00572238"/>
    <w:rsid w:val="00574DCE"/>
    <w:rsid w:val="005760EF"/>
    <w:rsid w:val="00577F3E"/>
    <w:rsid w:val="00581266"/>
    <w:rsid w:val="00582090"/>
    <w:rsid w:val="00582CE5"/>
    <w:rsid w:val="00583372"/>
    <w:rsid w:val="00587628"/>
    <w:rsid w:val="00587983"/>
    <w:rsid w:val="00590C59"/>
    <w:rsid w:val="0059173E"/>
    <w:rsid w:val="00594979"/>
    <w:rsid w:val="005959C4"/>
    <w:rsid w:val="00596F65"/>
    <w:rsid w:val="005A0AC1"/>
    <w:rsid w:val="005A3BB0"/>
    <w:rsid w:val="005A48F5"/>
    <w:rsid w:val="005A673E"/>
    <w:rsid w:val="005A6E49"/>
    <w:rsid w:val="005A7A53"/>
    <w:rsid w:val="005B0047"/>
    <w:rsid w:val="005B10C8"/>
    <w:rsid w:val="005B1869"/>
    <w:rsid w:val="005B1C91"/>
    <w:rsid w:val="005B3C95"/>
    <w:rsid w:val="005B5856"/>
    <w:rsid w:val="005B7D0C"/>
    <w:rsid w:val="005C39F7"/>
    <w:rsid w:val="005D2712"/>
    <w:rsid w:val="005D3286"/>
    <w:rsid w:val="005D33B2"/>
    <w:rsid w:val="005D44A9"/>
    <w:rsid w:val="005D52D9"/>
    <w:rsid w:val="005D70A6"/>
    <w:rsid w:val="005D77D2"/>
    <w:rsid w:val="005E07BD"/>
    <w:rsid w:val="005E1387"/>
    <w:rsid w:val="005E1FCD"/>
    <w:rsid w:val="005E22CC"/>
    <w:rsid w:val="005E243D"/>
    <w:rsid w:val="005E4559"/>
    <w:rsid w:val="005E4B9F"/>
    <w:rsid w:val="005E6B39"/>
    <w:rsid w:val="005F01F0"/>
    <w:rsid w:val="005F6123"/>
    <w:rsid w:val="005F65C5"/>
    <w:rsid w:val="005F6CA3"/>
    <w:rsid w:val="005F709E"/>
    <w:rsid w:val="006016A0"/>
    <w:rsid w:val="00602D6B"/>
    <w:rsid w:val="006041C6"/>
    <w:rsid w:val="00606259"/>
    <w:rsid w:val="00611F8F"/>
    <w:rsid w:val="0061395D"/>
    <w:rsid w:val="00613FEA"/>
    <w:rsid w:val="00615A05"/>
    <w:rsid w:val="00616941"/>
    <w:rsid w:val="006173E3"/>
    <w:rsid w:val="00620F12"/>
    <w:rsid w:val="00622016"/>
    <w:rsid w:val="0062313C"/>
    <w:rsid w:val="0062371C"/>
    <w:rsid w:val="00623FCF"/>
    <w:rsid w:val="00624509"/>
    <w:rsid w:val="00624B85"/>
    <w:rsid w:val="006261A9"/>
    <w:rsid w:val="00626272"/>
    <w:rsid w:val="00626BF9"/>
    <w:rsid w:val="0062793D"/>
    <w:rsid w:val="00627CA3"/>
    <w:rsid w:val="006312F0"/>
    <w:rsid w:val="00634394"/>
    <w:rsid w:val="00634516"/>
    <w:rsid w:val="00636AEF"/>
    <w:rsid w:val="00636F4B"/>
    <w:rsid w:val="00641E2E"/>
    <w:rsid w:val="00644CA4"/>
    <w:rsid w:val="006464FB"/>
    <w:rsid w:val="00647BF6"/>
    <w:rsid w:val="006511AF"/>
    <w:rsid w:val="0065131C"/>
    <w:rsid w:val="0065168A"/>
    <w:rsid w:val="00653C17"/>
    <w:rsid w:val="00655198"/>
    <w:rsid w:val="0065612A"/>
    <w:rsid w:val="00656268"/>
    <w:rsid w:val="006607AA"/>
    <w:rsid w:val="006619DD"/>
    <w:rsid w:val="00661CBC"/>
    <w:rsid w:val="006625BA"/>
    <w:rsid w:val="006629AA"/>
    <w:rsid w:val="00663424"/>
    <w:rsid w:val="00664549"/>
    <w:rsid w:val="006649B1"/>
    <w:rsid w:val="00664D12"/>
    <w:rsid w:val="00664DF4"/>
    <w:rsid w:val="00666921"/>
    <w:rsid w:val="00666D84"/>
    <w:rsid w:val="0066778F"/>
    <w:rsid w:val="00670403"/>
    <w:rsid w:val="0067167E"/>
    <w:rsid w:val="0067298C"/>
    <w:rsid w:val="00672A74"/>
    <w:rsid w:val="00672A77"/>
    <w:rsid w:val="006734F7"/>
    <w:rsid w:val="006743DD"/>
    <w:rsid w:val="00677F6A"/>
    <w:rsid w:val="006803CA"/>
    <w:rsid w:val="006812CC"/>
    <w:rsid w:val="006825EF"/>
    <w:rsid w:val="006847D1"/>
    <w:rsid w:val="0068696D"/>
    <w:rsid w:val="00691EC0"/>
    <w:rsid w:val="0069256D"/>
    <w:rsid w:val="006926D1"/>
    <w:rsid w:val="00693688"/>
    <w:rsid w:val="00693933"/>
    <w:rsid w:val="00693D0F"/>
    <w:rsid w:val="00694B70"/>
    <w:rsid w:val="00695EB5"/>
    <w:rsid w:val="00696AF4"/>
    <w:rsid w:val="006A0B4B"/>
    <w:rsid w:val="006A1124"/>
    <w:rsid w:val="006A1CDE"/>
    <w:rsid w:val="006A2C6B"/>
    <w:rsid w:val="006A4BCE"/>
    <w:rsid w:val="006A54EA"/>
    <w:rsid w:val="006A731B"/>
    <w:rsid w:val="006B0A42"/>
    <w:rsid w:val="006B1809"/>
    <w:rsid w:val="006B238C"/>
    <w:rsid w:val="006B3824"/>
    <w:rsid w:val="006B3AA5"/>
    <w:rsid w:val="006B4CFA"/>
    <w:rsid w:val="006B6748"/>
    <w:rsid w:val="006C0432"/>
    <w:rsid w:val="006C0A47"/>
    <w:rsid w:val="006C0A58"/>
    <w:rsid w:val="006C0B2B"/>
    <w:rsid w:val="006C3160"/>
    <w:rsid w:val="006C3D22"/>
    <w:rsid w:val="006C4CA6"/>
    <w:rsid w:val="006C76D7"/>
    <w:rsid w:val="006C7AA5"/>
    <w:rsid w:val="006D0415"/>
    <w:rsid w:val="006D064F"/>
    <w:rsid w:val="006D0E49"/>
    <w:rsid w:val="006D2CBB"/>
    <w:rsid w:val="006D727B"/>
    <w:rsid w:val="006E181A"/>
    <w:rsid w:val="006E1A99"/>
    <w:rsid w:val="006E3CF0"/>
    <w:rsid w:val="006E4747"/>
    <w:rsid w:val="006E5206"/>
    <w:rsid w:val="006E5D0C"/>
    <w:rsid w:val="006E6B1A"/>
    <w:rsid w:val="006E6E90"/>
    <w:rsid w:val="006F042F"/>
    <w:rsid w:val="006F0800"/>
    <w:rsid w:val="006F0DDD"/>
    <w:rsid w:val="006F1D2C"/>
    <w:rsid w:val="006F2569"/>
    <w:rsid w:val="006F3826"/>
    <w:rsid w:val="006F42B8"/>
    <w:rsid w:val="006F5777"/>
    <w:rsid w:val="006F5B03"/>
    <w:rsid w:val="006F6DB4"/>
    <w:rsid w:val="006F7335"/>
    <w:rsid w:val="006F765B"/>
    <w:rsid w:val="00706D18"/>
    <w:rsid w:val="00710381"/>
    <w:rsid w:val="00711807"/>
    <w:rsid w:val="00712A32"/>
    <w:rsid w:val="00713D98"/>
    <w:rsid w:val="007156F4"/>
    <w:rsid w:val="00717495"/>
    <w:rsid w:val="00717965"/>
    <w:rsid w:val="00721FBF"/>
    <w:rsid w:val="007308E6"/>
    <w:rsid w:val="0073324F"/>
    <w:rsid w:val="00734F72"/>
    <w:rsid w:val="007379A0"/>
    <w:rsid w:val="00740B0B"/>
    <w:rsid w:val="007412E5"/>
    <w:rsid w:val="00745733"/>
    <w:rsid w:val="00746D24"/>
    <w:rsid w:val="00750C5C"/>
    <w:rsid w:val="00751099"/>
    <w:rsid w:val="007523F5"/>
    <w:rsid w:val="00753BAF"/>
    <w:rsid w:val="007540CD"/>
    <w:rsid w:val="00754CFA"/>
    <w:rsid w:val="00756FD2"/>
    <w:rsid w:val="00757781"/>
    <w:rsid w:val="00760109"/>
    <w:rsid w:val="00764E84"/>
    <w:rsid w:val="00765555"/>
    <w:rsid w:val="00765CA6"/>
    <w:rsid w:val="00766652"/>
    <w:rsid w:val="00766734"/>
    <w:rsid w:val="00767806"/>
    <w:rsid w:val="00767940"/>
    <w:rsid w:val="00767BE2"/>
    <w:rsid w:val="00770A4B"/>
    <w:rsid w:val="00771BA6"/>
    <w:rsid w:val="007728FC"/>
    <w:rsid w:val="00772E23"/>
    <w:rsid w:val="00773596"/>
    <w:rsid w:val="00775256"/>
    <w:rsid w:val="007763C5"/>
    <w:rsid w:val="00784A94"/>
    <w:rsid w:val="007861A0"/>
    <w:rsid w:val="0078635A"/>
    <w:rsid w:val="007869A9"/>
    <w:rsid w:val="00787171"/>
    <w:rsid w:val="00790140"/>
    <w:rsid w:val="00790DAF"/>
    <w:rsid w:val="00791281"/>
    <w:rsid w:val="0079332B"/>
    <w:rsid w:val="0079344C"/>
    <w:rsid w:val="0079702E"/>
    <w:rsid w:val="00797BBE"/>
    <w:rsid w:val="007A0AFF"/>
    <w:rsid w:val="007A176D"/>
    <w:rsid w:val="007A30B8"/>
    <w:rsid w:val="007A59B9"/>
    <w:rsid w:val="007B00DD"/>
    <w:rsid w:val="007B2BE9"/>
    <w:rsid w:val="007B6D49"/>
    <w:rsid w:val="007C1486"/>
    <w:rsid w:val="007C1B1D"/>
    <w:rsid w:val="007C1C2D"/>
    <w:rsid w:val="007C1FA8"/>
    <w:rsid w:val="007C35BD"/>
    <w:rsid w:val="007C712C"/>
    <w:rsid w:val="007D0A4E"/>
    <w:rsid w:val="007D10E6"/>
    <w:rsid w:val="007D144D"/>
    <w:rsid w:val="007D24CB"/>
    <w:rsid w:val="007D389B"/>
    <w:rsid w:val="007D5B95"/>
    <w:rsid w:val="007D6ED0"/>
    <w:rsid w:val="007E14D2"/>
    <w:rsid w:val="007E2B31"/>
    <w:rsid w:val="007E2E8B"/>
    <w:rsid w:val="007E3E3D"/>
    <w:rsid w:val="007E660D"/>
    <w:rsid w:val="007E78E8"/>
    <w:rsid w:val="007F2F96"/>
    <w:rsid w:val="007F440C"/>
    <w:rsid w:val="007F762E"/>
    <w:rsid w:val="00801B4E"/>
    <w:rsid w:val="008027A3"/>
    <w:rsid w:val="008037AA"/>
    <w:rsid w:val="00803F6D"/>
    <w:rsid w:val="00804542"/>
    <w:rsid w:val="00805BCD"/>
    <w:rsid w:val="00805D9F"/>
    <w:rsid w:val="00805EDD"/>
    <w:rsid w:val="008077BB"/>
    <w:rsid w:val="00812B37"/>
    <w:rsid w:val="00816768"/>
    <w:rsid w:val="0081702A"/>
    <w:rsid w:val="00821B86"/>
    <w:rsid w:val="00822192"/>
    <w:rsid w:val="00822254"/>
    <w:rsid w:val="008234C6"/>
    <w:rsid w:val="00823754"/>
    <w:rsid w:val="008246B6"/>
    <w:rsid w:val="00824CA7"/>
    <w:rsid w:val="00825401"/>
    <w:rsid w:val="0082725E"/>
    <w:rsid w:val="0082763D"/>
    <w:rsid w:val="0083089A"/>
    <w:rsid w:val="00830F7F"/>
    <w:rsid w:val="008321A3"/>
    <w:rsid w:val="008342D2"/>
    <w:rsid w:val="008358EA"/>
    <w:rsid w:val="00835CC3"/>
    <w:rsid w:val="0083752F"/>
    <w:rsid w:val="00837E38"/>
    <w:rsid w:val="00840582"/>
    <w:rsid w:val="008417C5"/>
    <w:rsid w:val="00842001"/>
    <w:rsid w:val="00844D26"/>
    <w:rsid w:val="0084722F"/>
    <w:rsid w:val="008472AC"/>
    <w:rsid w:val="008474CD"/>
    <w:rsid w:val="008509B7"/>
    <w:rsid w:val="00850B25"/>
    <w:rsid w:val="00851069"/>
    <w:rsid w:val="008552BE"/>
    <w:rsid w:val="0085684E"/>
    <w:rsid w:val="00860596"/>
    <w:rsid w:val="0086220B"/>
    <w:rsid w:val="008640B0"/>
    <w:rsid w:val="00864284"/>
    <w:rsid w:val="00864912"/>
    <w:rsid w:val="00864A11"/>
    <w:rsid w:val="00865C80"/>
    <w:rsid w:val="00865E25"/>
    <w:rsid w:val="008666AF"/>
    <w:rsid w:val="0086729B"/>
    <w:rsid w:val="00867873"/>
    <w:rsid w:val="0086798E"/>
    <w:rsid w:val="00871D4C"/>
    <w:rsid w:val="00876497"/>
    <w:rsid w:val="00877E5C"/>
    <w:rsid w:val="00881480"/>
    <w:rsid w:val="00881806"/>
    <w:rsid w:val="00881A66"/>
    <w:rsid w:val="00881D75"/>
    <w:rsid w:val="00881DA0"/>
    <w:rsid w:val="0088415A"/>
    <w:rsid w:val="0088735F"/>
    <w:rsid w:val="00892BEA"/>
    <w:rsid w:val="00893A8D"/>
    <w:rsid w:val="00893E34"/>
    <w:rsid w:val="0089697C"/>
    <w:rsid w:val="008A1132"/>
    <w:rsid w:val="008A4E07"/>
    <w:rsid w:val="008A5655"/>
    <w:rsid w:val="008B0947"/>
    <w:rsid w:val="008B1358"/>
    <w:rsid w:val="008B1843"/>
    <w:rsid w:val="008B1C7F"/>
    <w:rsid w:val="008B1F4D"/>
    <w:rsid w:val="008B4653"/>
    <w:rsid w:val="008B4D37"/>
    <w:rsid w:val="008B5EAB"/>
    <w:rsid w:val="008B7109"/>
    <w:rsid w:val="008B73AA"/>
    <w:rsid w:val="008B7CEB"/>
    <w:rsid w:val="008C06DB"/>
    <w:rsid w:val="008C1907"/>
    <w:rsid w:val="008C1A31"/>
    <w:rsid w:val="008C33D8"/>
    <w:rsid w:val="008C3CD2"/>
    <w:rsid w:val="008C4B32"/>
    <w:rsid w:val="008C57C0"/>
    <w:rsid w:val="008C5FAB"/>
    <w:rsid w:val="008D04C1"/>
    <w:rsid w:val="008D14F2"/>
    <w:rsid w:val="008D1DF1"/>
    <w:rsid w:val="008D2B77"/>
    <w:rsid w:val="008D4AB1"/>
    <w:rsid w:val="008D6557"/>
    <w:rsid w:val="008D6A3B"/>
    <w:rsid w:val="008D7EB6"/>
    <w:rsid w:val="008E37C5"/>
    <w:rsid w:val="008E7099"/>
    <w:rsid w:val="008E7FE3"/>
    <w:rsid w:val="008F1EBF"/>
    <w:rsid w:val="008F6758"/>
    <w:rsid w:val="008F693C"/>
    <w:rsid w:val="0090135E"/>
    <w:rsid w:val="00901B14"/>
    <w:rsid w:val="00902387"/>
    <w:rsid w:val="009040A0"/>
    <w:rsid w:val="00911074"/>
    <w:rsid w:val="00911AA7"/>
    <w:rsid w:val="0091210D"/>
    <w:rsid w:val="00913B4A"/>
    <w:rsid w:val="0092027E"/>
    <w:rsid w:val="00920A46"/>
    <w:rsid w:val="0092433F"/>
    <w:rsid w:val="009258C4"/>
    <w:rsid w:val="0093460E"/>
    <w:rsid w:val="009359B6"/>
    <w:rsid w:val="00935A18"/>
    <w:rsid w:val="0094059E"/>
    <w:rsid w:val="00942FBF"/>
    <w:rsid w:val="00944147"/>
    <w:rsid w:val="0094634F"/>
    <w:rsid w:val="0094744D"/>
    <w:rsid w:val="009515FD"/>
    <w:rsid w:val="00951727"/>
    <w:rsid w:val="00952135"/>
    <w:rsid w:val="009528E3"/>
    <w:rsid w:val="00952E5B"/>
    <w:rsid w:val="00953E06"/>
    <w:rsid w:val="00961B6C"/>
    <w:rsid w:val="009636E6"/>
    <w:rsid w:val="009642E3"/>
    <w:rsid w:val="009647F1"/>
    <w:rsid w:val="00966389"/>
    <w:rsid w:val="00966ED6"/>
    <w:rsid w:val="00967AC7"/>
    <w:rsid w:val="009714BA"/>
    <w:rsid w:val="0097370E"/>
    <w:rsid w:val="00973C18"/>
    <w:rsid w:val="0098044A"/>
    <w:rsid w:val="009806D4"/>
    <w:rsid w:val="0098130C"/>
    <w:rsid w:val="0098192A"/>
    <w:rsid w:val="00981938"/>
    <w:rsid w:val="0098238A"/>
    <w:rsid w:val="00983CA4"/>
    <w:rsid w:val="00984FF8"/>
    <w:rsid w:val="00985EFC"/>
    <w:rsid w:val="00990DF4"/>
    <w:rsid w:val="00995646"/>
    <w:rsid w:val="00995845"/>
    <w:rsid w:val="00996100"/>
    <w:rsid w:val="00996C20"/>
    <w:rsid w:val="009A2048"/>
    <w:rsid w:val="009A2AAA"/>
    <w:rsid w:val="009A6054"/>
    <w:rsid w:val="009B00DA"/>
    <w:rsid w:val="009B1C79"/>
    <w:rsid w:val="009B1E5A"/>
    <w:rsid w:val="009B2911"/>
    <w:rsid w:val="009B7EA8"/>
    <w:rsid w:val="009C00F5"/>
    <w:rsid w:val="009C3430"/>
    <w:rsid w:val="009C39D1"/>
    <w:rsid w:val="009C47EB"/>
    <w:rsid w:val="009C488A"/>
    <w:rsid w:val="009C54E0"/>
    <w:rsid w:val="009D18D5"/>
    <w:rsid w:val="009D1A81"/>
    <w:rsid w:val="009D38CA"/>
    <w:rsid w:val="009D6800"/>
    <w:rsid w:val="009E24F1"/>
    <w:rsid w:val="009E305B"/>
    <w:rsid w:val="009E5FB7"/>
    <w:rsid w:val="009E6CED"/>
    <w:rsid w:val="009E6FAA"/>
    <w:rsid w:val="009F2DFB"/>
    <w:rsid w:val="009F3B75"/>
    <w:rsid w:val="009F4E6D"/>
    <w:rsid w:val="009F5077"/>
    <w:rsid w:val="00A02667"/>
    <w:rsid w:val="00A10BDB"/>
    <w:rsid w:val="00A12035"/>
    <w:rsid w:val="00A12DEC"/>
    <w:rsid w:val="00A147FB"/>
    <w:rsid w:val="00A1502C"/>
    <w:rsid w:val="00A15747"/>
    <w:rsid w:val="00A17AF6"/>
    <w:rsid w:val="00A20E87"/>
    <w:rsid w:val="00A22AC7"/>
    <w:rsid w:val="00A23009"/>
    <w:rsid w:val="00A2302F"/>
    <w:rsid w:val="00A230DC"/>
    <w:rsid w:val="00A23EE3"/>
    <w:rsid w:val="00A27227"/>
    <w:rsid w:val="00A27601"/>
    <w:rsid w:val="00A27D00"/>
    <w:rsid w:val="00A30E48"/>
    <w:rsid w:val="00A314EB"/>
    <w:rsid w:val="00A31955"/>
    <w:rsid w:val="00A32953"/>
    <w:rsid w:val="00A32AC3"/>
    <w:rsid w:val="00A335C7"/>
    <w:rsid w:val="00A36399"/>
    <w:rsid w:val="00A4079B"/>
    <w:rsid w:val="00A435F4"/>
    <w:rsid w:val="00A44001"/>
    <w:rsid w:val="00A44E27"/>
    <w:rsid w:val="00A44F96"/>
    <w:rsid w:val="00A4563E"/>
    <w:rsid w:val="00A47481"/>
    <w:rsid w:val="00A50452"/>
    <w:rsid w:val="00A505D8"/>
    <w:rsid w:val="00A53133"/>
    <w:rsid w:val="00A5364D"/>
    <w:rsid w:val="00A56787"/>
    <w:rsid w:val="00A56E99"/>
    <w:rsid w:val="00A577D2"/>
    <w:rsid w:val="00A60B90"/>
    <w:rsid w:val="00A6221C"/>
    <w:rsid w:val="00A6441A"/>
    <w:rsid w:val="00A66A0A"/>
    <w:rsid w:val="00A66C58"/>
    <w:rsid w:val="00A678BE"/>
    <w:rsid w:val="00A70844"/>
    <w:rsid w:val="00A737DD"/>
    <w:rsid w:val="00A739BB"/>
    <w:rsid w:val="00A750C0"/>
    <w:rsid w:val="00A7670E"/>
    <w:rsid w:val="00A8014F"/>
    <w:rsid w:val="00A82073"/>
    <w:rsid w:val="00A82A6E"/>
    <w:rsid w:val="00A841EE"/>
    <w:rsid w:val="00A84441"/>
    <w:rsid w:val="00A84497"/>
    <w:rsid w:val="00A8468D"/>
    <w:rsid w:val="00A863BD"/>
    <w:rsid w:val="00A868A3"/>
    <w:rsid w:val="00A9084D"/>
    <w:rsid w:val="00A93364"/>
    <w:rsid w:val="00A95048"/>
    <w:rsid w:val="00A95D40"/>
    <w:rsid w:val="00A962E5"/>
    <w:rsid w:val="00AA1CE8"/>
    <w:rsid w:val="00AA1ED6"/>
    <w:rsid w:val="00AA533B"/>
    <w:rsid w:val="00AA5D5A"/>
    <w:rsid w:val="00AA7526"/>
    <w:rsid w:val="00AA7722"/>
    <w:rsid w:val="00AB2A7B"/>
    <w:rsid w:val="00AB654E"/>
    <w:rsid w:val="00AB6C48"/>
    <w:rsid w:val="00AC001A"/>
    <w:rsid w:val="00AC2584"/>
    <w:rsid w:val="00AC3346"/>
    <w:rsid w:val="00AC5634"/>
    <w:rsid w:val="00AC63FD"/>
    <w:rsid w:val="00AC76E2"/>
    <w:rsid w:val="00AD1989"/>
    <w:rsid w:val="00AD21E8"/>
    <w:rsid w:val="00AD33E3"/>
    <w:rsid w:val="00AD45F9"/>
    <w:rsid w:val="00AD4654"/>
    <w:rsid w:val="00AD5007"/>
    <w:rsid w:val="00AD5817"/>
    <w:rsid w:val="00AE04EB"/>
    <w:rsid w:val="00AE2F8D"/>
    <w:rsid w:val="00AE5EF4"/>
    <w:rsid w:val="00AE6085"/>
    <w:rsid w:val="00AE6B70"/>
    <w:rsid w:val="00AF0A77"/>
    <w:rsid w:val="00AF3570"/>
    <w:rsid w:val="00AF7E47"/>
    <w:rsid w:val="00B01E6B"/>
    <w:rsid w:val="00B03162"/>
    <w:rsid w:val="00B03C2C"/>
    <w:rsid w:val="00B04325"/>
    <w:rsid w:val="00B05011"/>
    <w:rsid w:val="00B055F2"/>
    <w:rsid w:val="00B06A45"/>
    <w:rsid w:val="00B079DB"/>
    <w:rsid w:val="00B11E44"/>
    <w:rsid w:val="00B12303"/>
    <w:rsid w:val="00B12835"/>
    <w:rsid w:val="00B1739D"/>
    <w:rsid w:val="00B203CF"/>
    <w:rsid w:val="00B23638"/>
    <w:rsid w:val="00B240E8"/>
    <w:rsid w:val="00B245F2"/>
    <w:rsid w:val="00B26B5B"/>
    <w:rsid w:val="00B271C1"/>
    <w:rsid w:val="00B318BB"/>
    <w:rsid w:val="00B33B2C"/>
    <w:rsid w:val="00B33E34"/>
    <w:rsid w:val="00B3580A"/>
    <w:rsid w:val="00B36239"/>
    <w:rsid w:val="00B37F29"/>
    <w:rsid w:val="00B41074"/>
    <w:rsid w:val="00B41204"/>
    <w:rsid w:val="00B41F84"/>
    <w:rsid w:val="00B42D48"/>
    <w:rsid w:val="00B44E2D"/>
    <w:rsid w:val="00B45210"/>
    <w:rsid w:val="00B45B1B"/>
    <w:rsid w:val="00B503F6"/>
    <w:rsid w:val="00B509A4"/>
    <w:rsid w:val="00B53B93"/>
    <w:rsid w:val="00B54C71"/>
    <w:rsid w:val="00B5630B"/>
    <w:rsid w:val="00B567F7"/>
    <w:rsid w:val="00B6092A"/>
    <w:rsid w:val="00B60C2D"/>
    <w:rsid w:val="00B61C1A"/>
    <w:rsid w:val="00B63ABA"/>
    <w:rsid w:val="00B649CB"/>
    <w:rsid w:val="00B655AF"/>
    <w:rsid w:val="00B66A29"/>
    <w:rsid w:val="00B713E1"/>
    <w:rsid w:val="00B75CA5"/>
    <w:rsid w:val="00B81135"/>
    <w:rsid w:val="00B813B5"/>
    <w:rsid w:val="00B81B0E"/>
    <w:rsid w:val="00B83E65"/>
    <w:rsid w:val="00B84B49"/>
    <w:rsid w:val="00B84C89"/>
    <w:rsid w:val="00B872DF"/>
    <w:rsid w:val="00B8772C"/>
    <w:rsid w:val="00BA340F"/>
    <w:rsid w:val="00BA6118"/>
    <w:rsid w:val="00BA6E1C"/>
    <w:rsid w:val="00BA7650"/>
    <w:rsid w:val="00BB2C35"/>
    <w:rsid w:val="00BB571F"/>
    <w:rsid w:val="00BC0EFA"/>
    <w:rsid w:val="00BC369B"/>
    <w:rsid w:val="00BC3E8B"/>
    <w:rsid w:val="00BC42B6"/>
    <w:rsid w:val="00BC729E"/>
    <w:rsid w:val="00BC734B"/>
    <w:rsid w:val="00BD1235"/>
    <w:rsid w:val="00BD23F9"/>
    <w:rsid w:val="00BD2969"/>
    <w:rsid w:val="00BD30BE"/>
    <w:rsid w:val="00BD3A07"/>
    <w:rsid w:val="00BD425A"/>
    <w:rsid w:val="00BD6687"/>
    <w:rsid w:val="00BD6C8C"/>
    <w:rsid w:val="00BD7AC9"/>
    <w:rsid w:val="00BD7F0B"/>
    <w:rsid w:val="00BE1531"/>
    <w:rsid w:val="00BE1925"/>
    <w:rsid w:val="00BE58B8"/>
    <w:rsid w:val="00BE5DC0"/>
    <w:rsid w:val="00BF04FB"/>
    <w:rsid w:val="00BF2909"/>
    <w:rsid w:val="00BF30E9"/>
    <w:rsid w:val="00BF3E1C"/>
    <w:rsid w:val="00C00A25"/>
    <w:rsid w:val="00C00C29"/>
    <w:rsid w:val="00C010F6"/>
    <w:rsid w:val="00C013D2"/>
    <w:rsid w:val="00C013F8"/>
    <w:rsid w:val="00C01625"/>
    <w:rsid w:val="00C01902"/>
    <w:rsid w:val="00C01F09"/>
    <w:rsid w:val="00C037E4"/>
    <w:rsid w:val="00C062F6"/>
    <w:rsid w:val="00C121A7"/>
    <w:rsid w:val="00C121B2"/>
    <w:rsid w:val="00C14C16"/>
    <w:rsid w:val="00C15439"/>
    <w:rsid w:val="00C21A57"/>
    <w:rsid w:val="00C22339"/>
    <w:rsid w:val="00C22AC2"/>
    <w:rsid w:val="00C23D73"/>
    <w:rsid w:val="00C24481"/>
    <w:rsid w:val="00C26EE3"/>
    <w:rsid w:val="00C332C2"/>
    <w:rsid w:val="00C33E9A"/>
    <w:rsid w:val="00C34914"/>
    <w:rsid w:val="00C41882"/>
    <w:rsid w:val="00C41919"/>
    <w:rsid w:val="00C4709F"/>
    <w:rsid w:val="00C542FA"/>
    <w:rsid w:val="00C60716"/>
    <w:rsid w:val="00C62528"/>
    <w:rsid w:val="00C6528B"/>
    <w:rsid w:val="00C6594B"/>
    <w:rsid w:val="00C66C26"/>
    <w:rsid w:val="00C66FF4"/>
    <w:rsid w:val="00C70426"/>
    <w:rsid w:val="00C70734"/>
    <w:rsid w:val="00C70775"/>
    <w:rsid w:val="00C72149"/>
    <w:rsid w:val="00C73A9D"/>
    <w:rsid w:val="00C753D5"/>
    <w:rsid w:val="00C76C2A"/>
    <w:rsid w:val="00C8099F"/>
    <w:rsid w:val="00C830BC"/>
    <w:rsid w:val="00C8394C"/>
    <w:rsid w:val="00C84D6F"/>
    <w:rsid w:val="00C852C7"/>
    <w:rsid w:val="00C857EC"/>
    <w:rsid w:val="00C872C1"/>
    <w:rsid w:val="00C872DE"/>
    <w:rsid w:val="00C90FD4"/>
    <w:rsid w:val="00C9191B"/>
    <w:rsid w:val="00C91C83"/>
    <w:rsid w:val="00C91D54"/>
    <w:rsid w:val="00C926DD"/>
    <w:rsid w:val="00C94B58"/>
    <w:rsid w:val="00C9557A"/>
    <w:rsid w:val="00C96B34"/>
    <w:rsid w:val="00CA12F7"/>
    <w:rsid w:val="00CA1DF2"/>
    <w:rsid w:val="00CA26A0"/>
    <w:rsid w:val="00CA2BD7"/>
    <w:rsid w:val="00CA44EC"/>
    <w:rsid w:val="00CA59EF"/>
    <w:rsid w:val="00CA6564"/>
    <w:rsid w:val="00CA6D39"/>
    <w:rsid w:val="00CA77A5"/>
    <w:rsid w:val="00CA7F0A"/>
    <w:rsid w:val="00CB0896"/>
    <w:rsid w:val="00CB1574"/>
    <w:rsid w:val="00CB32B8"/>
    <w:rsid w:val="00CB5E99"/>
    <w:rsid w:val="00CB6CED"/>
    <w:rsid w:val="00CC54FB"/>
    <w:rsid w:val="00CC57A6"/>
    <w:rsid w:val="00CC6DCB"/>
    <w:rsid w:val="00CC712B"/>
    <w:rsid w:val="00CD03F1"/>
    <w:rsid w:val="00CD1227"/>
    <w:rsid w:val="00CD175B"/>
    <w:rsid w:val="00CD3B4A"/>
    <w:rsid w:val="00CD509C"/>
    <w:rsid w:val="00CE074D"/>
    <w:rsid w:val="00CE1461"/>
    <w:rsid w:val="00CE4179"/>
    <w:rsid w:val="00CE52DE"/>
    <w:rsid w:val="00CE6B32"/>
    <w:rsid w:val="00CE7360"/>
    <w:rsid w:val="00CF0CA2"/>
    <w:rsid w:val="00CF4FCA"/>
    <w:rsid w:val="00CF5B48"/>
    <w:rsid w:val="00D00C76"/>
    <w:rsid w:val="00D0363A"/>
    <w:rsid w:val="00D04CAE"/>
    <w:rsid w:val="00D06539"/>
    <w:rsid w:val="00D173D1"/>
    <w:rsid w:val="00D21895"/>
    <w:rsid w:val="00D223EC"/>
    <w:rsid w:val="00D2281C"/>
    <w:rsid w:val="00D239A1"/>
    <w:rsid w:val="00D24B56"/>
    <w:rsid w:val="00D24C52"/>
    <w:rsid w:val="00D261B2"/>
    <w:rsid w:val="00D266E1"/>
    <w:rsid w:val="00D26B71"/>
    <w:rsid w:val="00D278D9"/>
    <w:rsid w:val="00D3130A"/>
    <w:rsid w:val="00D32595"/>
    <w:rsid w:val="00D33D8D"/>
    <w:rsid w:val="00D33DCB"/>
    <w:rsid w:val="00D342C0"/>
    <w:rsid w:val="00D34E7B"/>
    <w:rsid w:val="00D3595E"/>
    <w:rsid w:val="00D36F14"/>
    <w:rsid w:val="00D37E12"/>
    <w:rsid w:val="00D407F5"/>
    <w:rsid w:val="00D414B0"/>
    <w:rsid w:val="00D415FB"/>
    <w:rsid w:val="00D416B7"/>
    <w:rsid w:val="00D41AE7"/>
    <w:rsid w:val="00D43988"/>
    <w:rsid w:val="00D45819"/>
    <w:rsid w:val="00D479F5"/>
    <w:rsid w:val="00D50DDF"/>
    <w:rsid w:val="00D52D31"/>
    <w:rsid w:val="00D5436E"/>
    <w:rsid w:val="00D56CA3"/>
    <w:rsid w:val="00D575C7"/>
    <w:rsid w:val="00D60705"/>
    <w:rsid w:val="00D642FE"/>
    <w:rsid w:val="00D64D7F"/>
    <w:rsid w:val="00D65036"/>
    <w:rsid w:val="00D661D1"/>
    <w:rsid w:val="00D6678F"/>
    <w:rsid w:val="00D66DC2"/>
    <w:rsid w:val="00D67EFF"/>
    <w:rsid w:val="00D7427C"/>
    <w:rsid w:val="00D74D83"/>
    <w:rsid w:val="00D80DE4"/>
    <w:rsid w:val="00D81030"/>
    <w:rsid w:val="00D83A69"/>
    <w:rsid w:val="00D84DC6"/>
    <w:rsid w:val="00D87237"/>
    <w:rsid w:val="00D91862"/>
    <w:rsid w:val="00D9237D"/>
    <w:rsid w:val="00D934C6"/>
    <w:rsid w:val="00D944AB"/>
    <w:rsid w:val="00D969AB"/>
    <w:rsid w:val="00D9730A"/>
    <w:rsid w:val="00DA0249"/>
    <w:rsid w:val="00DA2C94"/>
    <w:rsid w:val="00DA6CEA"/>
    <w:rsid w:val="00DA7E26"/>
    <w:rsid w:val="00DB15E4"/>
    <w:rsid w:val="00DB2060"/>
    <w:rsid w:val="00DB29F3"/>
    <w:rsid w:val="00DB334A"/>
    <w:rsid w:val="00DB7AEF"/>
    <w:rsid w:val="00DC0CDB"/>
    <w:rsid w:val="00DC3D3D"/>
    <w:rsid w:val="00DC462D"/>
    <w:rsid w:val="00DC600F"/>
    <w:rsid w:val="00DC605C"/>
    <w:rsid w:val="00DC7C87"/>
    <w:rsid w:val="00DC7FE6"/>
    <w:rsid w:val="00DD1267"/>
    <w:rsid w:val="00DD1422"/>
    <w:rsid w:val="00DD1DA9"/>
    <w:rsid w:val="00DD2CFE"/>
    <w:rsid w:val="00DD2ED6"/>
    <w:rsid w:val="00DD6D1B"/>
    <w:rsid w:val="00DD7380"/>
    <w:rsid w:val="00DE0016"/>
    <w:rsid w:val="00DE0DB7"/>
    <w:rsid w:val="00DE21B4"/>
    <w:rsid w:val="00DE48ED"/>
    <w:rsid w:val="00DE7874"/>
    <w:rsid w:val="00DF0084"/>
    <w:rsid w:val="00DF0955"/>
    <w:rsid w:val="00DF0A3B"/>
    <w:rsid w:val="00DF0E1B"/>
    <w:rsid w:val="00DF12CC"/>
    <w:rsid w:val="00DF138E"/>
    <w:rsid w:val="00DF36D6"/>
    <w:rsid w:val="00E01799"/>
    <w:rsid w:val="00E07966"/>
    <w:rsid w:val="00E10696"/>
    <w:rsid w:val="00E118FC"/>
    <w:rsid w:val="00E12787"/>
    <w:rsid w:val="00E12DED"/>
    <w:rsid w:val="00E12EDD"/>
    <w:rsid w:val="00E14941"/>
    <w:rsid w:val="00E14A9C"/>
    <w:rsid w:val="00E15011"/>
    <w:rsid w:val="00E17261"/>
    <w:rsid w:val="00E20D29"/>
    <w:rsid w:val="00E273D8"/>
    <w:rsid w:val="00E31E96"/>
    <w:rsid w:val="00E33204"/>
    <w:rsid w:val="00E33387"/>
    <w:rsid w:val="00E34650"/>
    <w:rsid w:val="00E3697F"/>
    <w:rsid w:val="00E36AB4"/>
    <w:rsid w:val="00E3721F"/>
    <w:rsid w:val="00E3748B"/>
    <w:rsid w:val="00E3795C"/>
    <w:rsid w:val="00E40A06"/>
    <w:rsid w:val="00E42565"/>
    <w:rsid w:val="00E44C96"/>
    <w:rsid w:val="00E44E0C"/>
    <w:rsid w:val="00E51186"/>
    <w:rsid w:val="00E51CA0"/>
    <w:rsid w:val="00E521FB"/>
    <w:rsid w:val="00E52418"/>
    <w:rsid w:val="00E53ABE"/>
    <w:rsid w:val="00E54E03"/>
    <w:rsid w:val="00E55C89"/>
    <w:rsid w:val="00E561E7"/>
    <w:rsid w:val="00E56FA8"/>
    <w:rsid w:val="00E614FD"/>
    <w:rsid w:val="00E621D4"/>
    <w:rsid w:val="00E62908"/>
    <w:rsid w:val="00E665B2"/>
    <w:rsid w:val="00E66BA8"/>
    <w:rsid w:val="00E70797"/>
    <w:rsid w:val="00E72988"/>
    <w:rsid w:val="00E72D27"/>
    <w:rsid w:val="00E74089"/>
    <w:rsid w:val="00E7542A"/>
    <w:rsid w:val="00E77206"/>
    <w:rsid w:val="00E77E64"/>
    <w:rsid w:val="00E80A35"/>
    <w:rsid w:val="00E80E85"/>
    <w:rsid w:val="00E82DBD"/>
    <w:rsid w:val="00E83C48"/>
    <w:rsid w:val="00E8693C"/>
    <w:rsid w:val="00E90C83"/>
    <w:rsid w:val="00E931E7"/>
    <w:rsid w:val="00E9649B"/>
    <w:rsid w:val="00E9741C"/>
    <w:rsid w:val="00E978B2"/>
    <w:rsid w:val="00EA09A2"/>
    <w:rsid w:val="00EA1FCF"/>
    <w:rsid w:val="00EA2D24"/>
    <w:rsid w:val="00EA364C"/>
    <w:rsid w:val="00EA5BD0"/>
    <w:rsid w:val="00EB2E5A"/>
    <w:rsid w:val="00EB3512"/>
    <w:rsid w:val="00EB703B"/>
    <w:rsid w:val="00EB796C"/>
    <w:rsid w:val="00EC0F29"/>
    <w:rsid w:val="00EC29C5"/>
    <w:rsid w:val="00EC2AD0"/>
    <w:rsid w:val="00EC3661"/>
    <w:rsid w:val="00EC72C1"/>
    <w:rsid w:val="00EC7485"/>
    <w:rsid w:val="00ED1F9E"/>
    <w:rsid w:val="00ED5A2A"/>
    <w:rsid w:val="00ED7DBE"/>
    <w:rsid w:val="00EE15DB"/>
    <w:rsid w:val="00EE1C91"/>
    <w:rsid w:val="00EE271F"/>
    <w:rsid w:val="00EE5A19"/>
    <w:rsid w:val="00EE6174"/>
    <w:rsid w:val="00EE6690"/>
    <w:rsid w:val="00EE7053"/>
    <w:rsid w:val="00EF0AD8"/>
    <w:rsid w:val="00EF1C69"/>
    <w:rsid w:val="00EF28F8"/>
    <w:rsid w:val="00EF293C"/>
    <w:rsid w:val="00EF3A8F"/>
    <w:rsid w:val="00EF713F"/>
    <w:rsid w:val="00EF7BB6"/>
    <w:rsid w:val="00F02DDF"/>
    <w:rsid w:val="00F030BE"/>
    <w:rsid w:val="00F03C82"/>
    <w:rsid w:val="00F0514D"/>
    <w:rsid w:val="00F060AB"/>
    <w:rsid w:val="00F11BCD"/>
    <w:rsid w:val="00F1285A"/>
    <w:rsid w:val="00F15802"/>
    <w:rsid w:val="00F219DF"/>
    <w:rsid w:val="00F23EFB"/>
    <w:rsid w:val="00F247D2"/>
    <w:rsid w:val="00F24C3F"/>
    <w:rsid w:val="00F267A5"/>
    <w:rsid w:val="00F27698"/>
    <w:rsid w:val="00F3471C"/>
    <w:rsid w:val="00F36BAB"/>
    <w:rsid w:val="00F37120"/>
    <w:rsid w:val="00F37BFA"/>
    <w:rsid w:val="00F40396"/>
    <w:rsid w:val="00F41241"/>
    <w:rsid w:val="00F42810"/>
    <w:rsid w:val="00F431C5"/>
    <w:rsid w:val="00F44621"/>
    <w:rsid w:val="00F44E28"/>
    <w:rsid w:val="00F470AB"/>
    <w:rsid w:val="00F51AD9"/>
    <w:rsid w:val="00F5214A"/>
    <w:rsid w:val="00F5345E"/>
    <w:rsid w:val="00F540C5"/>
    <w:rsid w:val="00F55E5E"/>
    <w:rsid w:val="00F566B3"/>
    <w:rsid w:val="00F578C1"/>
    <w:rsid w:val="00F62EC1"/>
    <w:rsid w:val="00F63705"/>
    <w:rsid w:val="00F63CE8"/>
    <w:rsid w:val="00F7116E"/>
    <w:rsid w:val="00F717B7"/>
    <w:rsid w:val="00F738A8"/>
    <w:rsid w:val="00F7416B"/>
    <w:rsid w:val="00F74384"/>
    <w:rsid w:val="00F81C0D"/>
    <w:rsid w:val="00F848E8"/>
    <w:rsid w:val="00F8602A"/>
    <w:rsid w:val="00F8681F"/>
    <w:rsid w:val="00F868F9"/>
    <w:rsid w:val="00F91CDB"/>
    <w:rsid w:val="00F96A49"/>
    <w:rsid w:val="00F96EE8"/>
    <w:rsid w:val="00FA1DA4"/>
    <w:rsid w:val="00FA60C0"/>
    <w:rsid w:val="00FA66C7"/>
    <w:rsid w:val="00FA7996"/>
    <w:rsid w:val="00FA7A41"/>
    <w:rsid w:val="00FB2B44"/>
    <w:rsid w:val="00FB3D63"/>
    <w:rsid w:val="00FB7806"/>
    <w:rsid w:val="00FC1E27"/>
    <w:rsid w:val="00FC2944"/>
    <w:rsid w:val="00FC4126"/>
    <w:rsid w:val="00FC43F7"/>
    <w:rsid w:val="00FC565E"/>
    <w:rsid w:val="00FC5F9A"/>
    <w:rsid w:val="00FD0FDA"/>
    <w:rsid w:val="00FD161C"/>
    <w:rsid w:val="00FD3046"/>
    <w:rsid w:val="00FD53E0"/>
    <w:rsid w:val="00FD55FC"/>
    <w:rsid w:val="00FD6FC3"/>
    <w:rsid w:val="00FD7E5F"/>
    <w:rsid w:val="00FE03BA"/>
    <w:rsid w:val="00FE0AB7"/>
    <w:rsid w:val="00FE2966"/>
    <w:rsid w:val="00FE3748"/>
    <w:rsid w:val="00FE4DB9"/>
    <w:rsid w:val="00FE6C06"/>
    <w:rsid w:val="00FF05C9"/>
    <w:rsid w:val="00FF480C"/>
    <w:rsid w:val="00FF4D6C"/>
    <w:rsid w:val="00FF5136"/>
    <w:rsid w:val="00FF5263"/>
    <w:rsid w:val="00FF761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19C12A"/>
  <w15:docId w15:val="{F602A087-43EF-40A5-B748-EEAAF8E551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0" w:unhideWhenUsed="1"/>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7D9A"/>
    <w:pPr>
      <w:spacing w:before="120" w:after="0" w:line="240" w:lineRule="auto"/>
      <w:ind w:firstLine="709"/>
      <w:jc w:val="both"/>
    </w:pPr>
    <w:rPr>
      <w:rFonts w:ascii="Calibri" w:hAnsi="Calibri"/>
      <w:sz w:val="24"/>
    </w:rPr>
  </w:style>
  <w:style w:type="paragraph" w:styleId="Ttulo1">
    <w:name w:val="heading 1"/>
    <w:basedOn w:val="Normal"/>
    <w:next w:val="Normal"/>
    <w:link w:val="Ttulo1Car"/>
    <w:uiPriority w:val="9"/>
    <w:qFormat/>
    <w:rsid w:val="007C1486"/>
    <w:pPr>
      <w:keepNext/>
      <w:keepLines/>
      <w:spacing w:before="480"/>
      <w:ind w:firstLine="0"/>
      <w:jc w:val="center"/>
      <w:outlineLvl w:val="0"/>
    </w:pPr>
    <w:rPr>
      <w:rFonts w:ascii="Arial" w:eastAsiaTheme="majorEastAsia" w:hAnsi="Arial" w:cstheme="majorBidi"/>
      <w:b/>
      <w:bCs/>
      <w:sz w:val="36"/>
      <w:szCs w:val="28"/>
    </w:rPr>
  </w:style>
  <w:style w:type="paragraph" w:styleId="Ttulo2">
    <w:name w:val="heading 2"/>
    <w:basedOn w:val="Normal"/>
    <w:next w:val="Normal"/>
    <w:link w:val="Ttulo2Car"/>
    <w:uiPriority w:val="9"/>
    <w:unhideWhenUsed/>
    <w:qFormat/>
    <w:rsid w:val="00E90C83"/>
    <w:pPr>
      <w:keepNext/>
      <w:keepLines/>
      <w:spacing w:before="200"/>
      <w:ind w:firstLine="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rsid w:val="00FF5136"/>
    <w:pPr>
      <w:keepNext/>
      <w:keepLines/>
      <w:spacing w:before="200"/>
      <w:ind w:firstLine="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unhideWhenUsed/>
    <w:rsid w:val="00FF5136"/>
    <w:pPr>
      <w:keepNext/>
      <w:keepLines/>
      <w:spacing w:before="200"/>
      <w:ind w:firstLine="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rsid w:val="00FF5136"/>
    <w:pPr>
      <w:keepNext/>
      <w:keepLines/>
      <w:spacing w:before="200"/>
      <w:ind w:firstLine="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247D9A"/>
    <w:pPr>
      <w:keepNext/>
      <w:keepLines/>
      <w:spacing w:before="200"/>
      <w:ind w:firstLine="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247D9A"/>
    <w:pPr>
      <w:keepNext/>
      <w:keepLines/>
      <w:spacing w:before="200"/>
      <w:ind w:firstLine="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247D9A"/>
    <w:pPr>
      <w:keepNext/>
      <w:keepLines/>
      <w:spacing w:before="200"/>
      <w:ind w:firstLine="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247D9A"/>
    <w:pPr>
      <w:keepNext/>
      <w:keepLines/>
      <w:spacing w:before="200"/>
      <w:ind w:firstLine="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8693C"/>
    <w:rPr>
      <w:rFonts w:ascii="Arial" w:eastAsiaTheme="majorEastAsia" w:hAnsi="Arial" w:cstheme="majorBidi"/>
      <w:b/>
      <w:bCs/>
      <w:sz w:val="36"/>
      <w:szCs w:val="28"/>
    </w:rPr>
  </w:style>
  <w:style w:type="character" w:customStyle="1" w:styleId="Ttulo2Car">
    <w:name w:val="Título 2 Car"/>
    <w:basedOn w:val="Fuentedeprrafopredeter"/>
    <w:link w:val="Ttulo2"/>
    <w:uiPriority w:val="9"/>
    <w:rsid w:val="00E8693C"/>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rsid w:val="00E8693C"/>
    <w:rPr>
      <w:rFonts w:asciiTheme="majorHAnsi" w:eastAsiaTheme="majorEastAsia" w:hAnsiTheme="majorHAnsi" w:cstheme="majorBidi"/>
      <w:b/>
      <w:bCs/>
      <w:color w:val="4F81BD" w:themeColor="accent1"/>
      <w:sz w:val="24"/>
    </w:rPr>
  </w:style>
  <w:style w:type="character" w:customStyle="1" w:styleId="Ttulo4Car">
    <w:name w:val="Título 4 Car"/>
    <w:basedOn w:val="Fuentedeprrafopredeter"/>
    <w:link w:val="Ttulo4"/>
    <w:uiPriority w:val="9"/>
    <w:rsid w:val="00E8693C"/>
    <w:rPr>
      <w:rFonts w:asciiTheme="majorHAnsi" w:eastAsiaTheme="majorEastAsia" w:hAnsiTheme="majorHAnsi" w:cstheme="majorBidi"/>
      <w:b/>
      <w:bCs/>
      <w:i/>
      <w:iCs/>
      <w:color w:val="4F81BD" w:themeColor="accent1"/>
      <w:sz w:val="24"/>
    </w:rPr>
  </w:style>
  <w:style w:type="character" w:customStyle="1" w:styleId="Ttulo5Car">
    <w:name w:val="Título 5 Car"/>
    <w:basedOn w:val="Fuentedeprrafopredeter"/>
    <w:link w:val="Ttulo5"/>
    <w:uiPriority w:val="9"/>
    <w:semiHidden/>
    <w:rsid w:val="00E8693C"/>
    <w:rPr>
      <w:rFonts w:asciiTheme="majorHAnsi" w:eastAsiaTheme="majorEastAsia" w:hAnsiTheme="majorHAnsi" w:cstheme="majorBidi"/>
      <w:color w:val="243F60" w:themeColor="accent1" w:themeShade="7F"/>
      <w:sz w:val="24"/>
    </w:rPr>
  </w:style>
  <w:style w:type="character" w:customStyle="1" w:styleId="IdentificadorConcepto">
    <w:name w:val="IdentificadorConcepto"/>
    <w:basedOn w:val="Fuentedeprrafopredeter"/>
    <w:uiPriority w:val="1"/>
    <w:qFormat/>
    <w:rsid w:val="005D2712"/>
    <w:rPr>
      <w:u w:val="double" w:color="FF0000"/>
    </w:rPr>
  </w:style>
  <w:style w:type="character" w:styleId="nfasisintenso">
    <w:name w:val="Intense Emphasis"/>
    <w:basedOn w:val="Fuentedeprrafopredeter"/>
    <w:uiPriority w:val="21"/>
    <w:qFormat/>
    <w:rsid w:val="005D2712"/>
    <w:rPr>
      <w:b/>
      <w:bCs/>
      <w:i/>
      <w:iCs/>
      <w:color w:val="4F81BD" w:themeColor="accent1"/>
    </w:rPr>
  </w:style>
  <w:style w:type="character" w:styleId="nfasis">
    <w:name w:val="Emphasis"/>
    <w:basedOn w:val="Fuentedeprrafopredeter"/>
    <w:uiPriority w:val="20"/>
    <w:rsid w:val="005D2712"/>
    <w:rPr>
      <w:i/>
      <w:iCs/>
    </w:rPr>
  </w:style>
  <w:style w:type="character" w:styleId="nfasissutil">
    <w:name w:val="Subtle Emphasis"/>
    <w:basedOn w:val="Fuentedeprrafopredeter"/>
    <w:uiPriority w:val="19"/>
    <w:rsid w:val="005D2712"/>
    <w:rPr>
      <w:i/>
      <w:iCs/>
      <w:color w:val="808080" w:themeColor="text1" w:themeTint="7F"/>
    </w:rPr>
  </w:style>
  <w:style w:type="paragraph" w:customStyle="1" w:styleId="IdentificadorParrafo">
    <w:name w:val="IdentificadorParrafo"/>
    <w:basedOn w:val="Normal"/>
    <w:next w:val="Normal"/>
    <w:link w:val="IdentificadorParrafoCar"/>
    <w:qFormat/>
    <w:rsid w:val="00227527"/>
    <w:pPr>
      <w:spacing w:before="240"/>
      <w:ind w:firstLine="0"/>
    </w:pPr>
    <w:rPr>
      <w:color w:val="00B050"/>
    </w:rPr>
  </w:style>
  <w:style w:type="character" w:customStyle="1" w:styleId="IdentificadorParrafoCar">
    <w:name w:val="IdentificadorParrafo Car"/>
    <w:basedOn w:val="Fuentedeprrafopredeter"/>
    <w:link w:val="IdentificadorParrafo"/>
    <w:rsid w:val="00227527"/>
    <w:rPr>
      <w:rFonts w:ascii="Calibri" w:hAnsi="Calibri"/>
      <w:color w:val="00B050"/>
      <w:sz w:val="24"/>
    </w:rPr>
  </w:style>
  <w:style w:type="paragraph" w:customStyle="1" w:styleId="Autor">
    <w:name w:val="Autor"/>
    <w:basedOn w:val="Normal"/>
    <w:next w:val="Normal"/>
    <w:link w:val="AutorCar"/>
    <w:qFormat/>
    <w:rsid w:val="00152A5C"/>
    <w:rPr>
      <w:smallCaps/>
    </w:rPr>
  </w:style>
  <w:style w:type="character" w:customStyle="1" w:styleId="AutorCar">
    <w:name w:val="Autor Car"/>
    <w:basedOn w:val="Fuentedeprrafopredeter"/>
    <w:link w:val="Autor"/>
    <w:rsid w:val="00152A5C"/>
    <w:rPr>
      <w:rFonts w:ascii="Calibri" w:hAnsi="Calibri"/>
      <w:smallCaps/>
      <w:sz w:val="24"/>
    </w:rPr>
  </w:style>
  <w:style w:type="paragraph" w:customStyle="1" w:styleId="N1Titulo">
    <w:name w:val="N1_Titulo"/>
    <w:basedOn w:val="Normal"/>
    <w:next w:val="Normal"/>
    <w:link w:val="N1TituloCar"/>
    <w:qFormat/>
    <w:rsid w:val="00C01902"/>
    <w:pPr>
      <w:keepNext/>
      <w:numPr>
        <w:numId w:val="1"/>
      </w:numPr>
      <w:spacing w:before="240" w:after="120"/>
    </w:pPr>
    <w:rPr>
      <w:rFonts w:ascii="Arial" w:hAnsi="Arial"/>
      <w:b/>
      <w:sz w:val="28"/>
    </w:rPr>
  </w:style>
  <w:style w:type="paragraph" w:customStyle="1" w:styleId="N2Titulo">
    <w:name w:val="N2_Titulo"/>
    <w:basedOn w:val="N1Titulo"/>
    <w:next w:val="Normal"/>
    <w:link w:val="N2TituloCar"/>
    <w:qFormat/>
    <w:rsid w:val="00C01902"/>
    <w:pPr>
      <w:numPr>
        <w:ilvl w:val="1"/>
      </w:numPr>
    </w:pPr>
  </w:style>
  <w:style w:type="paragraph" w:customStyle="1" w:styleId="N3Titulo">
    <w:name w:val="N3_Titulo"/>
    <w:basedOn w:val="Normal"/>
    <w:next w:val="Normal"/>
    <w:link w:val="N3TituloCar"/>
    <w:qFormat/>
    <w:rsid w:val="00C01902"/>
    <w:pPr>
      <w:numPr>
        <w:ilvl w:val="2"/>
        <w:numId w:val="1"/>
      </w:numPr>
    </w:pPr>
    <w:rPr>
      <w:b/>
      <w:i/>
      <w:sz w:val="28"/>
    </w:rPr>
  </w:style>
  <w:style w:type="paragraph" w:customStyle="1" w:styleId="N4Titulo">
    <w:name w:val="N4_Titulo"/>
    <w:basedOn w:val="Normal"/>
    <w:next w:val="Normal"/>
    <w:link w:val="N4TituloCar"/>
    <w:qFormat/>
    <w:rsid w:val="00C01902"/>
    <w:pPr>
      <w:numPr>
        <w:ilvl w:val="3"/>
        <w:numId w:val="1"/>
      </w:numPr>
    </w:pPr>
    <w:rPr>
      <w:b/>
      <w:i/>
    </w:rPr>
  </w:style>
  <w:style w:type="paragraph" w:customStyle="1" w:styleId="N5Titulo">
    <w:name w:val="N5_Titulo"/>
    <w:basedOn w:val="Normal"/>
    <w:next w:val="Normal"/>
    <w:link w:val="N5TituloCar"/>
    <w:qFormat/>
    <w:rsid w:val="00C01902"/>
    <w:pPr>
      <w:numPr>
        <w:ilvl w:val="4"/>
        <w:numId w:val="1"/>
      </w:numPr>
    </w:pPr>
    <w:rPr>
      <w:b/>
      <w:i/>
    </w:rPr>
  </w:style>
  <w:style w:type="character" w:customStyle="1" w:styleId="N1TituloCar">
    <w:name w:val="N1_Titulo Car"/>
    <w:basedOn w:val="Fuentedeprrafopredeter"/>
    <w:link w:val="N1Titulo"/>
    <w:rsid w:val="00C01902"/>
    <w:rPr>
      <w:rFonts w:ascii="Arial" w:hAnsi="Arial"/>
      <w:b/>
      <w:sz w:val="28"/>
    </w:rPr>
  </w:style>
  <w:style w:type="character" w:styleId="Refdenotaalpie">
    <w:name w:val="footnote reference"/>
    <w:aliases w:val="sobrescrito"/>
    <w:basedOn w:val="Fuentedeprrafopredeter"/>
    <w:uiPriority w:val="99"/>
    <w:unhideWhenUsed/>
    <w:qFormat/>
    <w:rsid w:val="00014F97"/>
    <w:rPr>
      <w:rFonts w:cs="Times New Roman"/>
      <w:vertAlign w:val="superscript"/>
    </w:rPr>
  </w:style>
  <w:style w:type="paragraph" w:customStyle="1" w:styleId="AutorCapitulo">
    <w:name w:val="AutorCapitulo"/>
    <w:basedOn w:val="Autor"/>
    <w:link w:val="AutorCapituloCar"/>
    <w:qFormat/>
    <w:rsid w:val="00A4563E"/>
    <w:pPr>
      <w:ind w:left="720" w:firstLine="0"/>
      <w:jc w:val="right"/>
    </w:pPr>
    <w:rPr>
      <w:rFonts w:ascii="Arial" w:hAnsi="Arial"/>
      <w:sz w:val="28"/>
    </w:rPr>
  </w:style>
  <w:style w:type="character" w:customStyle="1" w:styleId="AutorCapituloCar">
    <w:name w:val="AutorCapitulo Car"/>
    <w:basedOn w:val="AutorCar"/>
    <w:link w:val="AutorCapitulo"/>
    <w:rsid w:val="00A4563E"/>
    <w:rPr>
      <w:rFonts w:ascii="Arial" w:hAnsi="Arial"/>
      <w:smallCaps/>
      <w:sz w:val="28"/>
    </w:rPr>
  </w:style>
  <w:style w:type="paragraph" w:customStyle="1" w:styleId="CargoAutorCapitulo">
    <w:name w:val="CargoAutorCapitulo"/>
    <w:basedOn w:val="Normal"/>
    <w:link w:val="CargoAutorCapituloCar"/>
    <w:qFormat/>
    <w:rsid w:val="00227527"/>
    <w:pPr>
      <w:spacing w:after="480"/>
      <w:jc w:val="right"/>
    </w:pPr>
    <w:rPr>
      <w:i/>
      <w:szCs w:val="24"/>
    </w:rPr>
  </w:style>
  <w:style w:type="character" w:customStyle="1" w:styleId="CargoAutorCapituloCar">
    <w:name w:val="CargoAutorCapitulo Car"/>
    <w:basedOn w:val="Fuentedeprrafopredeter"/>
    <w:link w:val="CargoAutorCapitulo"/>
    <w:rsid w:val="00227527"/>
    <w:rPr>
      <w:rFonts w:ascii="Calibri" w:hAnsi="Calibri"/>
      <w:i/>
      <w:sz w:val="24"/>
      <w:szCs w:val="24"/>
    </w:rPr>
  </w:style>
  <w:style w:type="paragraph" w:customStyle="1" w:styleId="Grafico">
    <w:name w:val="Grafico"/>
    <w:basedOn w:val="Normal"/>
    <w:next w:val="Normal"/>
    <w:link w:val="GraficoCar"/>
    <w:qFormat/>
    <w:rsid w:val="008C33D8"/>
    <w:pPr>
      <w:spacing w:before="240"/>
      <w:ind w:firstLine="0"/>
    </w:pPr>
    <w:rPr>
      <w:rFonts w:asciiTheme="minorHAnsi" w:hAnsiTheme="minorHAnsi"/>
      <w:color w:val="365F91" w:themeColor="accent1" w:themeShade="BF"/>
      <w:sz w:val="22"/>
    </w:rPr>
  </w:style>
  <w:style w:type="character" w:customStyle="1" w:styleId="GraficoCar">
    <w:name w:val="Grafico Car"/>
    <w:basedOn w:val="Fuentedeprrafopredeter"/>
    <w:link w:val="Grafico"/>
    <w:rsid w:val="008C33D8"/>
    <w:rPr>
      <w:color w:val="365F91" w:themeColor="accent1" w:themeShade="BF"/>
    </w:rPr>
  </w:style>
  <w:style w:type="paragraph" w:customStyle="1" w:styleId="Web">
    <w:name w:val="Web"/>
    <w:basedOn w:val="Normal"/>
    <w:next w:val="Normal"/>
    <w:link w:val="WebCar"/>
    <w:qFormat/>
    <w:rsid w:val="00BC369B"/>
    <w:pPr>
      <w:spacing w:before="0"/>
    </w:pPr>
    <w:rPr>
      <w:color w:val="365F91" w:themeColor="accent1" w:themeShade="BF"/>
    </w:rPr>
  </w:style>
  <w:style w:type="character" w:customStyle="1" w:styleId="WebCar">
    <w:name w:val="Web Car"/>
    <w:basedOn w:val="Fuentedeprrafopredeter"/>
    <w:link w:val="Web"/>
    <w:rsid w:val="0094744D"/>
    <w:rPr>
      <w:rFonts w:ascii="Calibri" w:hAnsi="Calibri"/>
      <w:color w:val="365F91" w:themeColor="accent1" w:themeShade="BF"/>
      <w:sz w:val="24"/>
    </w:rPr>
  </w:style>
  <w:style w:type="paragraph" w:customStyle="1" w:styleId="SangradoDcha">
    <w:name w:val="SangradoDcha"/>
    <w:basedOn w:val="Normal"/>
    <w:next w:val="Normal"/>
    <w:qFormat/>
    <w:rsid w:val="00114D40"/>
    <w:pPr>
      <w:ind w:right="1134"/>
    </w:pPr>
    <w:rPr>
      <w:rFonts w:eastAsiaTheme="majorEastAsia" w:cstheme="majorBidi"/>
      <w:bCs/>
      <w:szCs w:val="24"/>
    </w:rPr>
  </w:style>
  <w:style w:type="paragraph" w:customStyle="1" w:styleId="SangradoIzq">
    <w:name w:val="SangradoIzq"/>
    <w:basedOn w:val="Normal"/>
    <w:next w:val="Normal"/>
    <w:qFormat/>
    <w:rsid w:val="00114D40"/>
    <w:pPr>
      <w:ind w:left="1134" w:firstLine="0"/>
    </w:pPr>
    <w:rPr>
      <w:rFonts w:eastAsia="Times New Roman" w:cs="Times New Roman"/>
      <w:szCs w:val="24"/>
      <w:lang w:eastAsia="es-ES"/>
    </w:rPr>
  </w:style>
  <w:style w:type="paragraph" w:customStyle="1" w:styleId="Tabla">
    <w:name w:val="Tabla"/>
    <w:basedOn w:val="Grafico"/>
    <w:next w:val="Normal"/>
    <w:link w:val="TablaCar"/>
    <w:qFormat/>
    <w:rsid w:val="00634394"/>
    <w:rPr>
      <w:rFonts w:ascii="Calibri" w:hAnsi="Calibri"/>
      <w:color w:val="404040" w:themeColor="text1" w:themeTint="BF"/>
      <w:sz w:val="24"/>
    </w:rPr>
  </w:style>
  <w:style w:type="character" w:customStyle="1" w:styleId="TablaCar">
    <w:name w:val="Tabla Car"/>
    <w:basedOn w:val="GraficoCar"/>
    <w:link w:val="Tabla"/>
    <w:rsid w:val="00634394"/>
    <w:rPr>
      <w:rFonts w:ascii="Calibri" w:hAnsi="Calibri"/>
      <w:color w:val="404040" w:themeColor="text1" w:themeTint="BF"/>
      <w:sz w:val="24"/>
    </w:rPr>
  </w:style>
  <w:style w:type="paragraph" w:customStyle="1" w:styleId="SangradoIzq2n">
    <w:name w:val="SangradoIzq2n"/>
    <w:basedOn w:val="SangradoIzq"/>
    <w:next w:val="Normal"/>
    <w:qFormat/>
    <w:rsid w:val="00114D40"/>
    <w:pPr>
      <w:ind w:left="2268"/>
    </w:pPr>
  </w:style>
  <w:style w:type="paragraph" w:customStyle="1" w:styleId="SangradoIzq3n">
    <w:name w:val="SangradoIzq3n"/>
    <w:basedOn w:val="SangradoIzq"/>
    <w:next w:val="Normal"/>
    <w:qFormat/>
    <w:rsid w:val="00114D40"/>
    <w:pPr>
      <w:ind w:left="3402"/>
    </w:pPr>
  </w:style>
  <w:style w:type="paragraph" w:customStyle="1" w:styleId="SangradoIzqDcha">
    <w:name w:val="SangradoIzqDcha"/>
    <w:basedOn w:val="Normal"/>
    <w:next w:val="Normal"/>
    <w:qFormat/>
    <w:rsid w:val="00114D40"/>
    <w:pPr>
      <w:ind w:left="1134" w:right="1134" w:firstLine="0"/>
    </w:pPr>
    <w:rPr>
      <w:rFonts w:eastAsia="Times New Roman" w:cs="Times New Roman"/>
      <w:szCs w:val="24"/>
      <w:lang w:eastAsia="es-ES"/>
    </w:rPr>
  </w:style>
  <w:style w:type="paragraph" w:customStyle="1" w:styleId="CapYTituloCap">
    <w:name w:val="CapYTituloCap"/>
    <w:basedOn w:val="Normal"/>
    <w:link w:val="CapYTituloCapCar"/>
    <w:qFormat/>
    <w:rsid w:val="00D239A1"/>
    <w:pPr>
      <w:jc w:val="center"/>
    </w:pPr>
    <w:rPr>
      <w:rFonts w:ascii="Arial" w:eastAsiaTheme="majorEastAsia" w:hAnsi="Arial" w:cs="Arial"/>
      <w:b/>
      <w:bCs/>
      <w:sz w:val="36"/>
      <w:szCs w:val="36"/>
    </w:rPr>
  </w:style>
  <w:style w:type="character" w:customStyle="1" w:styleId="CapYTituloCapCar">
    <w:name w:val="CapYTituloCap Car"/>
    <w:basedOn w:val="Ttulo1Car"/>
    <w:link w:val="CapYTituloCap"/>
    <w:rsid w:val="00D239A1"/>
    <w:rPr>
      <w:rFonts w:ascii="Arial" w:eastAsiaTheme="majorEastAsia" w:hAnsi="Arial" w:cs="Arial"/>
      <w:b/>
      <w:bCs/>
      <w:sz w:val="36"/>
      <w:szCs w:val="36"/>
    </w:rPr>
  </w:style>
  <w:style w:type="paragraph" w:styleId="Textodeglobo">
    <w:name w:val="Balloon Text"/>
    <w:basedOn w:val="Normal"/>
    <w:link w:val="TextodegloboCar"/>
    <w:uiPriority w:val="99"/>
    <w:semiHidden/>
    <w:unhideWhenUsed/>
    <w:rsid w:val="00717495"/>
    <w:pPr>
      <w:spacing w:before="0"/>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17495"/>
    <w:rPr>
      <w:rFonts w:ascii="Tahoma" w:hAnsi="Tahoma" w:cs="Tahoma"/>
      <w:sz w:val="16"/>
      <w:szCs w:val="16"/>
    </w:rPr>
  </w:style>
  <w:style w:type="paragraph" w:customStyle="1" w:styleId="IdParrafoAnalitico">
    <w:name w:val="IdParrafoAnalitico"/>
    <w:basedOn w:val="IdentificadorParrafo"/>
    <w:next w:val="Normal"/>
    <w:link w:val="IdParrafoAnaliticoCar"/>
    <w:qFormat/>
    <w:rsid w:val="00D5436E"/>
    <w:rPr>
      <w:color w:val="5F497A" w:themeColor="accent4" w:themeShade="BF"/>
    </w:rPr>
  </w:style>
  <w:style w:type="character" w:customStyle="1" w:styleId="IdParrafoAnaliticoCar">
    <w:name w:val="IdParrafoAnalitico Car"/>
    <w:basedOn w:val="IdentificadorParrafoCar"/>
    <w:link w:val="IdParrafoAnalitico"/>
    <w:rsid w:val="00D5436E"/>
    <w:rPr>
      <w:rFonts w:ascii="Calibri" w:hAnsi="Calibri"/>
      <w:color w:val="5F497A" w:themeColor="accent4" w:themeShade="BF"/>
      <w:sz w:val="24"/>
    </w:rPr>
  </w:style>
  <w:style w:type="paragraph" w:customStyle="1" w:styleId="RefInterna">
    <w:name w:val="RefInterna"/>
    <w:basedOn w:val="Normal"/>
    <w:next w:val="Normal"/>
    <w:link w:val="RefInternaCar"/>
    <w:qFormat/>
    <w:rsid w:val="006F2569"/>
    <w:rPr>
      <w:color w:val="E36C0A" w:themeColor="accent6" w:themeShade="BF"/>
    </w:rPr>
  </w:style>
  <w:style w:type="character" w:customStyle="1" w:styleId="RefInternaCar">
    <w:name w:val="RefInterna Car"/>
    <w:basedOn w:val="Fuentedeprrafopredeter"/>
    <w:link w:val="RefInterna"/>
    <w:rsid w:val="006F2569"/>
    <w:rPr>
      <w:rFonts w:ascii="Calibri" w:hAnsi="Calibri"/>
      <w:color w:val="E36C0A" w:themeColor="accent6" w:themeShade="BF"/>
      <w:sz w:val="24"/>
    </w:rPr>
  </w:style>
  <w:style w:type="paragraph" w:customStyle="1" w:styleId="ParrafoFormulario">
    <w:name w:val="ParrafoFormulario"/>
    <w:basedOn w:val="Normal"/>
    <w:next w:val="Normal"/>
    <w:link w:val="ParrafoFormularioCar"/>
    <w:qFormat/>
    <w:rsid w:val="006F2569"/>
    <w:rPr>
      <w:color w:val="7F7F7F" w:themeColor="text1" w:themeTint="80"/>
    </w:rPr>
  </w:style>
  <w:style w:type="character" w:customStyle="1" w:styleId="ParrafoFormularioCar">
    <w:name w:val="ParrafoFormulario Car"/>
    <w:basedOn w:val="Fuentedeprrafopredeter"/>
    <w:link w:val="ParrafoFormulario"/>
    <w:rsid w:val="006F2569"/>
    <w:rPr>
      <w:rFonts w:ascii="Calibri" w:hAnsi="Calibri"/>
      <w:color w:val="7F7F7F" w:themeColor="text1" w:themeTint="80"/>
      <w:sz w:val="24"/>
    </w:rPr>
  </w:style>
  <w:style w:type="paragraph" w:customStyle="1" w:styleId="ParrFormularioCentrado">
    <w:name w:val="ParrFormularioCentrado"/>
    <w:basedOn w:val="ParrafoFormulario"/>
    <w:next w:val="Normal"/>
    <w:link w:val="ParrFormularioCentradoCar"/>
    <w:qFormat/>
    <w:rsid w:val="006F2569"/>
    <w:pPr>
      <w:jc w:val="center"/>
    </w:pPr>
  </w:style>
  <w:style w:type="character" w:customStyle="1" w:styleId="ParrFormularioCentradoCar">
    <w:name w:val="ParrFormularioCentrado Car"/>
    <w:basedOn w:val="ParrafoFormularioCar"/>
    <w:link w:val="ParrFormularioCentrado"/>
    <w:rsid w:val="006F2569"/>
    <w:rPr>
      <w:rFonts w:ascii="Calibri" w:hAnsi="Calibri"/>
      <w:color w:val="7F7F7F" w:themeColor="text1" w:themeTint="80"/>
      <w:sz w:val="24"/>
    </w:rPr>
  </w:style>
  <w:style w:type="paragraph" w:customStyle="1" w:styleId="Formulario">
    <w:name w:val="Formulario"/>
    <w:basedOn w:val="Grafico"/>
    <w:next w:val="Normal"/>
    <w:link w:val="FormularioCar"/>
    <w:qFormat/>
    <w:rsid w:val="006F2569"/>
    <w:rPr>
      <w:rFonts w:ascii="Calibri" w:hAnsi="Calibri"/>
      <w:color w:val="404040" w:themeColor="text1" w:themeTint="BF"/>
      <w:sz w:val="24"/>
    </w:rPr>
  </w:style>
  <w:style w:type="character" w:customStyle="1" w:styleId="FormularioCar">
    <w:name w:val="Formulario Car"/>
    <w:basedOn w:val="GraficoCar"/>
    <w:link w:val="Formulario"/>
    <w:rsid w:val="006F2569"/>
    <w:rPr>
      <w:rFonts w:ascii="Calibri" w:hAnsi="Calibri"/>
      <w:color w:val="404040" w:themeColor="text1" w:themeTint="BF"/>
      <w:sz w:val="24"/>
    </w:rPr>
  </w:style>
  <w:style w:type="paragraph" w:customStyle="1" w:styleId="AP2">
    <w:name w:val="AP2"/>
    <w:basedOn w:val="Normal"/>
    <w:next w:val="Normal"/>
    <w:link w:val="AP2Car"/>
    <w:qFormat/>
    <w:rsid w:val="006F2569"/>
    <w:rPr>
      <w:smallCaps/>
      <w:color w:val="943634" w:themeColor="accent2" w:themeShade="BF"/>
    </w:rPr>
  </w:style>
  <w:style w:type="character" w:customStyle="1" w:styleId="AP2Car">
    <w:name w:val="AP2 Car"/>
    <w:basedOn w:val="AP1Car"/>
    <w:link w:val="AP2"/>
    <w:rsid w:val="006F2569"/>
    <w:rPr>
      <w:rFonts w:ascii="Calibri" w:hAnsi="Calibri"/>
      <w:smallCaps/>
      <w:color w:val="943634" w:themeColor="accent2" w:themeShade="BF"/>
      <w:sz w:val="24"/>
    </w:rPr>
  </w:style>
  <w:style w:type="character" w:customStyle="1" w:styleId="AP1Car">
    <w:name w:val="AP1 Car"/>
    <w:basedOn w:val="AutorCar"/>
    <w:link w:val="AP1"/>
    <w:rsid w:val="006F2569"/>
    <w:rPr>
      <w:rFonts w:ascii="Calibri" w:hAnsi="Calibri"/>
      <w:smallCaps/>
      <w:color w:val="365F91" w:themeColor="accent1" w:themeShade="BF"/>
      <w:sz w:val="24"/>
    </w:rPr>
  </w:style>
  <w:style w:type="paragraph" w:customStyle="1" w:styleId="AP1">
    <w:name w:val="AP1"/>
    <w:basedOn w:val="Autor"/>
    <w:next w:val="Normal"/>
    <w:link w:val="AP1Car"/>
    <w:qFormat/>
    <w:rsid w:val="006F2569"/>
    <w:rPr>
      <w:color w:val="365F91" w:themeColor="accent1" w:themeShade="BF"/>
    </w:rPr>
  </w:style>
  <w:style w:type="paragraph" w:customStyle="1" w:styleId="NPILA">
    <w:name w:val="NPILA"/>
    <w:basedOn w:val="Normal"/>
    <w:next w:val="Normal"/>
    <w:link w:val="NPILACar"/>
    <w:qFormat/>
    <w:rsid w:val="006F2569"/>
    <w:rPr>
      <w:color w:val="4A442A" w:themeColor="background2" w:themeShade="40"/>
    </w:rPr>
  </w:style>
  <w:style w:type="character" w:customStyle="1" w:styleId="NPILACar">
    <w:name w:val="NPILA Car"/>
    <w:basedOn w:val="Fuentedeprrafopredeter"/>
    <w:link w:val="NPILA"/>
    <w:rsid w:val="006F2569"/>
    <w:rPr>
      <w:rFonts w:ascii="Calibri" w:hAnsi="Calibri"/>
      <w:color w:val="4A442A" w:themeColor="background2" w:themeShade="40"/>
      <w:sz w:val="24"/>
    </w:rPr>
  </w:style>
  <w:style w:type="paragraph" w:customStyle="1" w:styleId="Esquema">
    <w:name w:val="Esquema"/>
    <w:basedOn w:val="Grafico"/>
    <w:next w:val="Normal"/>
    <w:link w:val="EsquemaCar"/>
    <w:qFormat/>
    <w:rsid w:val="006F2569"/>
    <w:rPr>
      <w:rFonts w:ascii="Calibri" w:hAnsi="Calibri"/>
      <w:color w:val="92D050"/>
      <w:sz w:val="24"/>
    </w:rPr>
  </w:style>
  <w:style w:type="character" w:customStyle="1" w:styleId="EsquemaCar">
    <w:name w:val="Esquema Car"/>
    <w:basedOn w:val="GraficoCar"/>
    <w:link w:val="Esquema"/>
    <w:rsid w:val="006F2569"/>
    <w:rPr>
      <w:rFonts w:ascii="Calibri" w:hAnsi="Calibri"/>
      <w:color w:val="92D050"/>
      <w:sz w:val="24"/>
    </w:rPr>
  </w:style>
  <w:style w:type="character" w:customStyle="1" w:styleId="N3TituloCar">
    <w:name w:val="N3_Titulo Car"/>
    <w:basedOn w:val="N2TituloCar"/>
    <w:link w:val="N3Titulo"/>
    <w:rsid w:val="00C01902"/>
    <w:rPr>
      <w:rFonts w:ascii="Calibri" w:hAnsi="Calibri"/>
      <w:b/>
      <w:i/>
      <w:sz w:val="28"/>
    </w:rPr>
  </w:style>
  <w:style w:type="character" w:customStyle="1" w:styleId="N2TituloCar">
    <w:name w:val="N2_Titulo Car"/>
    <w:basedOn w:val="N1TituloCar"/>
    <w:link w:val="N2Titulo"/>
    <w:rsid w:val="00C01902"/>
    <w:rPr>
      <w:rFonts w:ascii="Arial" w:hAnsi="Arial"/>
      <w:b/>
      <w:sz w:val="28"/>
    </w:rPr>
  </w:style>
  <w:style w:type="character" w:customStyle="1" w:styleId="N4TituloCar">
    <w:name w:val="N4_Titulo Car"/>
    <w:basedOn w:val="N3TituloCar"/>
    <w:link w:val="N4Titulo"/>
    <w:rsid w:val="00C01902"/>
    <w:rPr>
      <w:rFonts w:ascii="Calibri" w:hAnsi="Calibri"/>
      <w:b/>
      <w:i/>
      <w:sz w:val="24"/>
    </w:rPr>
  </w:style>
  <w:style w:type="character" w:customStyle="1" w:styleId="N5TituloCar">
    <w:name w:val="N5_Titulo Car"/>
    <w:basedOn w:val="N4TituloCar"/>
    <w:link w:val="N5Titulo"/>
    <w:rsid w:val="00C01902"/>
    <w:rPr>
      <w:rFonts w:ascii="Calibri" w:hAnsi="Calibri"/>
      <w:b/>
      <w:i/>
      <w:sz w:val="24"/>
    </w:rPr>
  </w:style>
  <w:style w:type="paragraph" w:styleId="Encabezado">
    <w:name w:val="header"/>
    <w:basedOn w:val="Normal"/>
    <w:link w:val="EncabezadoCar"/>
    <w:uiPriority w:val="99"/>
    <w:unhideWhenUsed/>
    <w:rsid w:val="006F42B8"/>
    <w:pPr>
      <w:tabs>
        <w:tab w:val="center" w:pos="4252"/>
        <w:tab w:val="right" w:pos="8504"/>
      </w:tabs>
      <w:spacing w:before="0"/>
    </w:pPr>
  </w:style>
  <w:style w:type="character" w:customStyle="1" w:styleId="EncabezadoCar">
    <w:name w:val="Encabezado Car"/>
    <w:basedOn w:val="Fuentedeprrafopredeter"/>
    <w:link w:val="Encabezado"/>
    <w:uiPriority w:val="99"/>
    <w:rsid w:val="006F42B8"/>
    <w:rPr>
      <w:rFonts w:ascii="Calibri" w:hAnsi="Calibri"/>
      <w:sz w:val="24"/>
    </w:rPr>
  </w:style>
  <w:style w:type="paragraph" w:styleId="Piedepgina">
    <w:name w:val="footer"/>
    <w:basedOn w:val="Normal"/>
    <w:link w:val="PiedepginaCar"/>
    <w:uiPriority w:val="99"/>
    <w:unhideWhenUsed/>
    <w:rsid w:val="006F42B8"/>
    <w:pPr>
      <w:tabs>
        <w:tab w:val="center" w:pos="4252"/>
        <w:tab w:val="right" w:pos="8504"/>
      </w:tabs>
      <w:spacing w:before="0"/>
    </w:pPr>
  </w:style>
  <w:style w:type="character" w:customStyle="1" w:styleId="PiedepginaCar">
    <w:name w:val="Pie de página Car"/>
    <w:basedOn w:val="Fuentedeprrafopredeter"/>
    <w:link w:val="Piedepgina"/>
    <w:uiPriority w:val="99"/>
    <w:rsid w:val="006F42B8"/>
    <w:rPr>
      <w:rFonts w:ascii="Calibri" w:hAnsi="Calibri"/>
      <w:sz w:val="24"/>
    </w:rPr>
  </w:style>
  <w:style w:type="character" w:styleId="Textoennegrita">
    <w:name w:val="Strong"/>
    <w:basedOn w:val="Fuentedeprrafopredeter"/>
    <w:rsid w:val="0089697C"/>
    <w:rPr>
      <w:b/>
      <w:bCs/>
    </w:rPr>
  </w:style>
  <w:style w:type="paragraph" w:styleId="Prrafodelista">
    <w:name w:val="List Paragraph"/>
    <w:basedOn w:val="Normal"/>
    <w:link w:val="PrrafodelistaCar"/>
    <w:uiPriority w:val="34"/>
    <w:qFormat/>
    <w:rsid w:val="0089697C"/>
    <w:pPr>
      <w:ind w:left="720"/>
      <w:contextualSpacing/>
    </w:pPr>
  </w:style>
  <w:style w:type="character" w:customStyle="1" w:styleId="PrrafodelistaCar">
    <w:name w:val="Párrafo de lista Car"/>
    <w:basedOn w:val="Fuentedeprrafopredeter"/>
    <w:link w:val="Prrafodelista"/>
    <w:uiPriority w:val="34"/>
    <w:rsid w:val="005F6123"/>
    <w:rPr>
      <w:rFonts w:ascii="Calibri" w:hAnsi="Calibri"/>
      <w:sz w:val="24"/>
    </w:rPr>
  </w:style>
  <w:style w:type="paragraph" w:customStyle="1" w:styleId="MARGINAL">
    <w:name w:val="MARGINAL"/>
    <w:basedOn w:val="Normal"/>
    <w:link w:val="MARGINALCar"/>
    <w:qFormat/>
    <w:rsid w:val="0089697C"/>
  </w:style>
  <w:style w:type="character" w:customStyle="1" w:styleId="MARGINALCar">
    <w:name w:val="MARGINAL Car"/>
    <w:basedOn w:val="Fuentedeprrafopredeter"/>
    <w:link w:val="MARGINAL"/>
    <w:rsid w:val="0089697C"/>
    <w:rPr>
      <w:rFonts w:ascii="Calibri" w:hAnsi="Calibri"/>
      <w:sz w:val="24"/>
    </w:rPr>
  </w:style>
  <w:style w:type="character" w:styleId="Hipervnculo">
    <w:name w:val="Hyperlink"/>
    <w:basedOn w:val="Fuentedeprrafopredeter"/>
    <w:uiPriority w:val="99"/>
    <w:unhideWhenUsed/>
    <w:rsid w:val="00C4709F"/>
    <w:rPr>
      <w:color w:val="0000FF" w:themeColor="hyperlink"/>
      <w:u w:val="single"/>
    </w:rPr>
  </w:style>
  <w:style w:type="character" w:customStyle="1" w:styleId="Textoindependiente2Car">
    <w:name w:val="Texto independiente 2 Car"/>
    <w:basedOn w:val="Fuentedeprrafopredeter"/>
    <w:link w:val="Textoindependiente2"/>
    <w:uiPriority w:val="99"/>
    <w:semiHidden/>
    <w:rsid w:val="001F42F9"/>
    <w:rPr>
      <w:rFonts w:ascii="Times New Roman" w:eastAsia="Times New Roman" w:hAnsi="Times New Roman" w:cs="Times New Roman"/>
      <w:sz w:val="24"/>
      <w:szCs w:val="24"/>
      <w:lang w:eastAsia="es-ES"/>
    </w:rPr>
  </w:style>
  <w:style w:type="paragraph" w:styleId="Textoindependiente2">
    <w:name w:val="Body Text 2"/>
    <w:basedOn w:val="Normal"/>
    <w:link w:val="Textoindependiente2Car"/>
    <w:uiPriority w:val="99"/>
    <w:semiHidden/>
    <w:unhideWhenUsed/>
    <w:rsid w:val="001F42F9"/>
    <w:pPr>
      <w:spacing w:before="100" w:beforeAutospacing="1" w:after="100" w:afterAutospacing="1"/>
      <w:ind w:firstLine="0"/>
      <w:jc w:val="left"/>
    </w:pPr>
    <w:rPr>
      <w:rFonts w:ascii="Times New Roman" w:eastAsia="Times New Roman" w:hAnsi="Times New Roman" w:cs="Times New Roman"/>
      <w:szCs w:val="24"/>
      <w:lang w:eastAsia="es-ES"/>
    </w:rPr>
  </w:style>
  <w:style w:type="character" w:customStyle="1" w:styleId="TextoindependienteCar">
    <w:name w:val="Texto independiente Car"/>
    <w:basedOn w:val="Fuentedeprrafopredeter"/>
    <w:link w:val="Textoindependiente"/>
    <w:uiPriority w:val="99"/>
    <w:rsid w:val="001F42F9"/>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uiPriority w:val="99"/>
    <w:unhideWhenUsed/>
    <w:rsid w:val="001F42F9"/>
    <w:pPr>
      <w:spacing w:before="100" w:beforeAutospacing="1" w:after="100" w:afterAutospacing="1"/>
      <w:ind w:firstLine="0"/>
      <w:jc w:val="left"/>
    </w:pPr>
    <w:rPr>
      <w:rFonts w:ascii="Times New Roman" w:eastAsia="Times New Roman" w:hAnsi="Times New Roman" w:cs="Times New Roman"/>
      <w:szCs w:val="24"/>
      <w:lang w:eastAsia="es-ES"/>
    </w:rPr>
  </w:style>
  <w:style w:type="paragraph" w:styleId="Revisin">
    <w:name w:val="Revision"/>
    <w:hidden/>
    <w:uiPriority w:val="99"/>
    <w:semiHidden/>
    <w:rsid w:val="001F42F9"/>
    <w:pPr>
      <w:spacing w:after="0" w:line="240" w:lineRule="auto"/>
    </w:pPr>
    <w:rPr>
      <w:rFonts w:ascii="Calibri" w:hAnsi="Calibri"/>
      <w:sz w:val="24"/>
    </w:rPr>
  </w:style>
  <w:style w:type="paragraph" w:customStyle="1" w:styleId="CapYTituloCapBiling">
    <w:name w:val="CapYTituloCapBiling"/>
    <w:basedOn w:val="CapYTituloCap"/>
    <w:qFormat/>
    <w:rsid w:val="00FB7806"/>
    <w:rPr>
      <w:rFonts w:eastAsia="Calibri"/>
      <w:sz w:val="32"/>
    </w:rPr>
  </w:style>
  <w:style w:type="paragraph" w:styleId="Sinespaciado">
    <w:name w:val="No Spacing"/>
    <w:uiPriority w:val="1"/>
    <w:rsid w:val="00527F14"/>
    <w:pPr>
      <w:spacing w:after="0" w:line="240" w:lineRule="auto"/>
      <w:ind w:firstLine="709"/>
      <w:jc w:val="both"/>
    </w:pPr>
    <w:rPr>
      <w:rFonts w:ascii="Calibri" w:hAnsi="Calibri"/>
      <w:sz w:val="24"/>
    </w:rPr>
  </w:style>
  <w:style w:type="character" w:styleId="Ttulodellibro">
    <w:name w:val="Book Title"/>
    <w:basedOn w:val="Fuentedeprrafopredeter"/>
    <w:uiPriority w:val="33"/>
    <w:rsid w:val="00FB7806"/>
    <w:rPr>
      <w:b/>
      <w:bCs/>
      <w:smallCaps/>
      <w:spacing w:val="5"/>
    </w:rPr>
  </w:style>
  <w:style w:type="paragraph" w:customStyle="1" w:styleId="CapYSubtituloCap">
    <w:name w:val="CapYSubtituloCap"/>
    <w:basedOn w:val="Normal"/>
    <w:qFormat/>
    <w:rsid w:val="009B2911"/>
    <w:pPr>
      <w:jc w:val="center"/>
    </w:pPr>
    <w:rPr>
      <w:rFonts w:eastAsia="Calibri" w:cs="Times New Roman"/>
      <w:b/>
      <w:sz w:val="28"/>
    </w:rPr>
  </w:style>
  <w:style w:type="paragraph" w:customStyle="1" w:styleId="CapYSubtituloCapBiling">
    <w:name w:val="CapYSubtituloCapBiling"/>
    <w:basedOn w:val="CapYSubtituloCap"/>
    <w:qFormat/>
    <w:rsid w:val="009B2911"/>
    <w:rPr>
      <w:sz w:val="24"/>
      <w:lang w:val="en-US"/>
    </w:rPr>
  </w:style>
  <w:style w:type="paragraph" w:customStyle="1" w:styleId="DOFechaRecepcion">
    <w:name w:val="DOFechaRecepcion"/>
    <w:basedOn w:val="Normal"/>
    <w:qFormat/>
    <w:rsid w:val="009B2911"/>
    <w:pPr>
      <w:spacing w:before="0"/>
      <w:ind w:firstLine="0"/>
      <w:jc w:val="left"/>
    </w:pPr>
    <w:rPr>
      <w:rFonts w:eastAsia="Times New Roman" w:cs="Times New Roman"/>
      <w:color w:val="000000"/>
      <w:sz w:val="22"/>
      <w:lang w:eastAsia="es-ES"/>
    </w:rPr>
  </w:style>
  <w:style w:type="paragraph" w:customStyle="1" w:styleId="DOAreaDerecho">
    <w:name w:val="DOAreaDerecho"/>
    <w:basedOn w:val="Normal"/>
    <w:link w:val="DOAreaDerechoCar"/>
    <w:qFormat/>
    <w:rsid w:val="009B2911"/>
    <w:pPr>
      <w:spacing w:before="0"/>
      <w:ind w:firstLine="0"/>
      <w:jc w:val="left"/>
    </w:pPr>
    <w:rPr>
      <w:rFonts w:eastAsia="Times New Roman" w:cs="Times New Roman"/>
      <w:sz w:val="22"/>
      <w:lang w:eastAsia="es-ES"/>
    </w:rPr>
  </w:style>
  <w:style w:type="paragraph" w:customStyle="1" w:styleId="DOFechaAceptacion">
    <w:name w:val="DOFechaAceptacion"/>
    <w:basedOn w:val="Normal"/>
    <w:qFormat/>
    <w:rsid w:val="009B2911"/>
    <w:pPr>
      <w:spacing w:before="0"/>
      <w:ind w:firstLine="0"/>
      <w:jc w:val="left"/>
    </w:pPr>
    <w:rPr>
      <w:rFonts w:eastAsia="Times New Roman" w:cs="Times New Roman"/>
      <w:color w:val="000000"/>
      <w:sz w:val="22"/>
      <w:lang w:eastAsia="es-ES"/>
    </w:rPr>
  </w:style>
  <w:style w:type="paragraph" w:customStyle="1" w:styleId="DOSumarioResumen">
    <w:name w:val="DOSumarioResumen"/>
    <w:basedOn w:val="Normal"/>
    <w:link w:val="DOSumarioResumenCar"/>
    <w:qFormat/>
    <w:rsid w:val="009B2911"/>
    <w:rPr>
      <w:rFonts w:eastAsia="Calibri" w:cs="Times New Roman"/>
    </w:rPr>
  </w:style>
  <w:style w:type="paragraph" w:customStyle="1" w:styleId="DOSumarioAbstract">
    <w:name w:val="DOSumarioAbstract"/>
    <w:basedOn w:val="Normal"/>
    <w:qFormat/>
    <w:rsid w:val="009B2911"/>
    <w:rPr>
      <w:rFonts w:eastAsia="Calibri" w:cs="Times New Roman"/>
      <w:lang w:val="en-US"/>
    </w:rPr>
  </w:style>
  <w:style w:type="paragraph" w:customStyle="1" w:styleId="DOSumarioPalabrasClave">
    <w:name w:val="DOSumarioPalabrasClave"/>
    <w:basedOn w:val="Normal"/>
    <w:qFormat/>
    <w:rsid w:val="009B2911"/>
    <w:rPr>
      <w:rFonts w:eastAsia="Calibri" w:cs="Times New Roman"/>
    </w:rPr>
  </w:style>
  <w:style w:type="paragraph" w:customStyle="1" w:styleId="DOSumarioKeywords">
    <w:name w:val="DOSumarioKeywords"/>
    <w:basedOn w:val="Normal"/>
    <w:link w:val="DOSumarioKeywordsCar"/>
    <w:qFormat/>
    <w:rsid w:val="009B2911"/>
    <w:rPr>
      <w:rFonts w:eastAsia="Calibri" w:cs="Times New Roman"/>
      <w:lang w:val="en-US"/>
    </w:rPr>
  </w:style>
  <w:style w:type="table" w:styleId="Tablaconcuadrcula">
    <w:name w:val="Table Grid"/>
    <w:basedOn w:val="Tablanormal"/>
    <w:rsid w:val="00A950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ODedication">
    <w:name w:val="DODedication"/>
    <w:basedOn w:val="DOSumarioKeywords"/>
    <w:link w:val="DODedicationCar"/>
    <w:qFormat/>
    <w:rsid w:val="00B245F2"/>
  </w:style>
  <w:style w:type="paragraph" w:customStyle="1" w:styleId="DOAcknowledgments">
    <w:name w:val="DOAcknowledgments"/>
    <w:basedOn w:val="Normal"/>
    <w:link w:val="DOAcknowledgmentsCar"/>
    <w:qFormat/>
    <w:rsid w:val="00B245F2"/>
    <w:rPr>
      <w:rFonts w:eastAsia="Calibri" w:cs="Times New Roman"/>
    </w:rPr>
  </w:style>
  <w:style w:type="character" w:customStyle="1" w:styleId="DOSumarioKeywordsCar">
    <w:name w:val="DOSumarioKeywords Car"/>
    <w:basedOn w:val="Fuentedeprrafopredeter"/>
    <w:link w:val="DOSumarioKeywords"/>
    <w:rsid w:val="00B245F2"/>
    <w:rPr>
      <w:rFonts w:ascii="Calibri" w:eastAsia="Calibri" w:hAnsi="Calibri" w:cs="Times New Roman"/>
      <w:sz w:val="24"/>
      <w:lang w:val="en-US"/>
    </w:rPr>
  </w:style>
  <w:style w:type="paragraph" w:customStyle="1" w:styleId="DOPreviousHistoric">
    <w:name w:val="DOPreviousHistoric"/>
    <w:basedOn w:val="Normal"/>
    <w:link w:val="DOPreviousHistoricCar"/>
    <w:qFormat/>
    <w:rsid w:val="00B245F2"/>
    <w:rPr>
      <w:rFonts w:eastAsia="Calibri" w:cs="Times New Roman"/>
    </w:rPr>
  </w:style>
  <w:style w:type="character" w:customStyle="1" w:styleId="DOAcknowledgmentsCar">
    <w:name w:val="DOAcknowledgments Car"/>
    <w:basedOn w:val="Fuentedeprrafopredeter"/>
    <w:link w:val="DOAcknowledgments"/>
    <w:rsid w:val="00B245F2"/>
    <w:rPr>
      <w:rFonts w:ascii="Calibri" w:eastAsia="Calibri" w:hAnsi="Calibri" w:cs="Times New Roman"/>
      <w:sz w:val="24"/>
    </w:rPr>
  </w:style>
  <w:style w:type="paragraph" w:customStyle="1" w:styleId="DOCopyright">
    <w:name w:val="DOCopyright"/>
    <w:basedOn w:val="Normal"/>
    <w:link w:val="DOCopyrightCar"/>
    <w:qFormat/>
    <w:rsid w:val="00B245F2"/>
    <w:rPr>
      <w:rFonts w:eastAsia="Calibri" w:cs="Times New Roman"/>
    </w:rPr>
  </w:style>
  <w:style w:type="character" w:customStyle="1" w:styleId="DOPreviousHistoricCar">
    <w:name w:val="DOPreviousHistoric Car"/>
    <w:basedOn w:val="Fuentedeprrafopredeter"/>
    <w:link w:val="DOPreviousHistoric"/>
    <w:rsid w:val="00B245F2"/>
    <w:rPr>
      <w:rFonts w:ascii="Calibri" w:eastAsia="Calibri" w:hAnsi="Calibri" w:cs="Times New Roman"/>
      <w:sz w:val="24"/>
    </w:rPr>
  </w:style>
  <w:style w:type="paragraph" w:customStyle="1" w:styleId="DOTextualCitation">
    <w:name w:val="DOTextualCitation"/>
    <w:basedOn w:val="Normal"/>
    <w:link w:val="DOTextualCitationCar"/>
    <w:qFormat/>
    <w:rsid w:val="00B245F2"/>
    <w:rPr>
      <w:rFonts w:eastAsia="Calibri" w:cs="Times New Roman"/>
    </w:rPr>
  </w:style>
  <w:style w:type="character" w:customStyle="1" w:styleId="DOCopyrightCar">
    <w:name w:val="DOCopyright Car"/>
    <w:basedOn w:val="Fuentedeprrafopredeter"/>
    <w:link w:val="DOCopyright"/>
    <w:rsid w:val="00B245F2"/>
    <w:rPr>
      <w:rFonts w:ascii="Calibri" w:eastAsia="Calibri" w:hAnsi="Calibri" w:cs="Times New Roman"/>
      <w:sz w:val="24"/>
    </w:rPr>
  </w:style>
  <w:style w:type="paragraph" w:customStyle="1" w:styleId="DODisclaimer">
    <w:name w:val="DODisclaimer"/>
    <w:basedOn w:val="Normal"/>
    <w:link w:val="DODisclaimerCar"/>
    <w:qFormat/>
    <w:rsid w:val="00B245F2"/>
    <w:rPr>
      <w:rFonts w:eastAsia="Calibri" w:cs="Times New Roman"/>
    </w:rPr>
  </w:style>
  <w:style w:type="character" w:customStyle="1" w:styleId="DOTextualCitationCar">
    <w:name w:val="DOTextualCitation Car"/>
    <w:basedOn w:val="Fuentedeprrafopredeter"/>
    <w:link w:val="DOTextualCitation"/>
    <w:rsid w:val="00B245F2"/>
    <w:rPr>
      <w:rFonts w:ascii="Calibri" w:eastAsia="Calibri" w:hAnsi="Calibri" w:cs="Times New Roman"/>
      <w:sz w:val="24"/>
    </w:rPr>
  </w:style>
  <w:style w:type="paragraph" w:customStyle="1" w:styleId="DOResearchLimitation">
    <w:name w:val="DOResearchLimitation"/>
    <w:basedOn w:val="Normal"/>
    <w:link w:val="DOResearchLimitationCar"/>
    <w:qFormat/>
    <w:rsid w:val="00B245F2"/>
    <w:rPr>
      <w:rFonts w:eastAsia="Calibri" w:cs="Times New Roman"/>
    </w:rPr>
  </w:style>
  <w:style w:type="character" w:customStyle="1" w:styleId="DODisclaimerCar">
    <w:name w:val="DODisclaimer Car"/>
    <w:basedOn w:val="Fuentedeprrafopredeter"/>
    <w:link w:val="DODisclaimer"/>
    <w:rsid w:val="00B245F2"/>
    <w:rPr>
      <w:rFonts w:ascii="Calibri" w:eastAsia="Calibri" w:hAnsi="Calibri" w:cs="Times New Roman"/>
      <w:sz w:val="24"/>
    </w:rPr>
  </w:style>
  <w:style w:type="character" w:customStyle="1" w:styleId="DOResearchLimitationCar">
    <w:name w:val="DOResearchLimitation Car"/>
    <w:basedOn w:val="Fuentedeprrafopredeter"/>
    <w:link w:val="DOResearchLimitation"/>
    <w:rsid w:val="00B245F2"/>
    <w:rPr>
      <w:rFonts w:ascii="Calibri" w:eastAsia="Calibri" w:hAnsi="Calibri" w:cs="Times New Roman"/>
      <w:sz w:val="24"/>
    </w:rPr>
  </w:style>
  <w:style w:type="character" w:customStyle="1" w:styleId="DODedicationCar">
    <w:name w:val="DODedication Car"/>
    <w:basedOn w:val="DOSumarioKeywordsCar"/>
    <w:link w:val="DODedication"/>
    <w:rsid w:val="00FF4D6C"/>
    <w:rPr>
      <w:rFonts w:ascii="Calibri" w:eastAsia="Calibri" w:hAnsi="Calibri" w:cs="Times New Roman"/>
      <w:sz w:val="24"/>
      <w:lang w:val="en-US"/>
    </w:rPr>
  </w:style>
  <w:style w:type="paragraph" w:customStyle="1" w:styleId="Subtipo">
    <w:name w:val="Subtipo"/>
    <w:basedOn w:val="Normal"/>
    <w:link w:val="SubtipoCar"/>
    <w:qFormat/>
    <w:rsid w:val="000D4569"/>
    <w:rPr>
      <w:rFonts w:eastAsia="Calibri" w:cs="Times New Roman"/>
    </w:rPr>
  </w:style>
  <w:style w:type="paragraph" w:customStyle="1" w:styleId="Colaboraciones">
    <w:name w:val="Colaboraciones"/>
    <w:basedOn w:val="Normal"/>
    <w:link w:val="ColaboracionesCar"/>
    <w:qFormat/>
    <w:rsid w:val="000D4569"/>
    <w:rPr>
      <w:rFonts w:eastAsia="Calibri" w:cs="Times New Roman"/>
    </w:rPr>
  </w:style>
  <w:style w:type="character" w:customStyle="1" w:styleId="SubtipoCar">
    <w:name w:val="Subtipo Car"/>
    <w:basedOn w:val="Fuentedeprrafopredeter"/>
    <w:link w:val="Subtipo"/>
    <w:rsid w:val="000D4569"/>
    <w:rPr>
      <w:rFonts w:ascii="Calibri" w:eastAsia="Calibri" w:hAnsi="Calibri" w:cs="Times New Roman"/>
      <w:sz w:val="24"/>
    </w:rPr>
  </w:style>
  <w:style w:type="paragraph" w:customStyle="1" w:styleId="Idiomaori">
    <w:name w:val="Idioma_ori"/>
    <w:basedOn w:val="Normal"/>
    <w:link w:val="IdiomaoriCar"/>
    <w:qFormat/>
    <w:rsid w:val="000D4569"/>
    <w:rPr>
      <w:rFonts w:eastAsia="Calibri" w:cs="Times New Roman"/>
    </w:rPr>
  </w:style>
  <w:style w:type="character" w:customStyle="1" w:styleId="ColaboracionesCar">
    <w:name w:val="Colaboraciones Car"/>
    <w:basedOn w:val="Fuentedeprrafopredeter"/>
    <w:link w:val="Colaboraciones"/>
    <w:rsid w:val="000D4569"/>
    <w:rPr>
      <w:rFonts w:ascii="Calibri" w:eastAsia="Calibri" w:hAnsi="Calibri" w:cs="Times New Roman"/>
      <w:sz w:val="24"/>
    </w:rPr>
  </w:style>
  <w:style w:type="paragraph" w:customStyle="1" w:styleId="Revista">
    <w:name w:val="Revista"/>
    <w:basedOn w:val="Normal"/>
    <w:qFormat/>
    <w:rsid w:val="000D4569"/>
    <w:rPr>
      <w:rFonts w:eastAsia="Calibri" w:cs="Times New Roman"/>
    </w:rPr>
  </w:style>
  <w:style w:type="character" w:customStyle="1" w:styleId="IdiomaoriCar">
    <w:name w:val="Idioma_ori Car"/>
    <w:basedOn w:val="Fuentedeprrafopredeter"/>
    <w:link w:val="Idiomaori"/>
    <w:rsid w:val="000D4569"/>
    <w:rPr>
      <w:rFonts w:ascii="Calibri" w:eastAsia="Calibri" w:hAnsi="Calibri" w:cs="Times New Roman"/>
      <w:sz w:val="24"/>
    </w:rPr>
  </w:style>
  <w:style w:type="paragraph" w:customStyle="1" w:styleId="numRevista">
    <w:name w:val="numRevista"/>
    <w:basedOn w:val="Normal"/>
    <w:link w:val="numRevistaCar"/>
    <w:qFormat/>
    <w:rsid w:val="000D4569"/>
    <w:pPr>
      <w:ind w:left="709" w:firstLine="0"/>
    </w:pPr>
    <w:rPr>
      <w:rFonts w:eastAsia="Calibri" w:cs="Times New Roman"/>
    </w:rPr>
  </w:style>
  <w:style w:type="paragraph" w:customStyle="1" w:styleId="parteRevista">
    <w:name w:val="parteRevista"/>
    <w:basedOn w:val="Normal"/>
    <w:link w:val="parteRevistaCar"/>
    <w:qFormat/>
    <w:rsid w:val="000D4569"/>
    <w:pPr>
      <w:ind w:left="709" w:firstLine="0"/>
    </w:pPr>
    <w:rPr>
      <w:rFonts w:eastAsia="Calibri" w:cs="Times New Roman"/>
    </w:rPr>
  </w:style>
  <w:style w:type="character" w:customStyle="1" w:styleId="numRevistaCar">
    <w:name w:val="numRevista Car"/>
    <w:basedOn w:val="Fuentedeprrafopredeter"/>
    <w:link w:val="numRevista"/>
    <w:rsid w:val="000D4569"/>
    <w:rPr>
      <w:rFonts w:ascii="Calibri" w:eastAsia="Calibri" w:hAnsi="Calibri" w:cs="Times New Roman"/>
      <w:sz w:val="24"/>
    </w:rPr>
  </w:style>
  <w:style w:type="paragraph" w:customStyle="1" w:styleId="Autorizacion">
    <w:name w:val="Autorizacion"/>
    <w:basedOn w:val="Normal"/>
    <w:link w:val="AutorizacionCar"/>
    <w:qFormat/>
    <w:rsid w:val="000D4569"/>
    <w:rPr>
      <w:rFonts w:eastAsia="Calibri" w:cs="Times New Roman"/>
    </w:rPr>
  </w:style>
  <w:style w:type="character" w:customStyle="1" w:styleId="parteRevistaCar">
    <w:name w:val="parteRevista Car"/>
    <w:basedOn w:val="Fuentedeprrafopredeter"/>
    <w:link w:val="parteRevista"/>
    <w:rsid w:val="000D4569"/>
    <w:rPr>
      <w:rFonts w:ascii="Calibri" w:eastAsia="Calibri" w:hAnsi="Calibri" w:cs="Times New Roman"/>
      <w:sz w:val="24"/>
    </w:rPr>
  </w:style>
  <w:style w:type="paragraph" w:customStyle="1" w:styleId="Soporte">
    <w:name w:val="Soporte"/>
    <w:basedOn w:val="Normal"/>
    <w:link w:val="SoporteCar"/>
    <w:qFormat/>
    <w:rsid w:val="000D4569"/>
    <w:pPr>
      <w:ind w:left="709" w:firstLine="0"/>
    </w:pPr>
    <w:rPr>
      <w:rFonts w:eastAsia="Calibri" w:cs="Times New Roman"/>
    </w:rPr>
  </w:style>
  <w:style w:type="character" w:customStyle="1" w:styleId="AutorizacionCar">
    <w:name w:val="Autorizacion Car"/>
    <w:basedOn w:val="Fuentedeprrafopredeter"/>
    <w:link w:val="Autorizacion"/>
    <w:rsid w:val="000D4569"/>
    <w:rPr>
      <w:rFonts w:ascii="Calibri" w:eastAsia="Calibri" w:hAnsi="Calibri" w:cs="Times New Roman"/>
      <w:sz w:val="24"/>
    </w:rPr>
  </w:style>
  <w:style w:type="paragraph" w:customStyle="1" w:styleId="Producto">
    <w:name w:val="Producto"/>
    <w:basedOn w:val="Normal"/>
    <w:link w:val="ProductoCar"/>
    <w:qFormat/>
    <w:rsid w:val="000D4569"/>
    <w:pPr>
      <w:ind w:left="709" w:firstLine="0"/>
    </w:pPr>
    <w:rPr>
      <w:rFonts w:eastAsia="Calibri" w:cs="Times New Roman"/>
    </w:rPr>
  </w:style>
  <w:style w:type="character" w:customStyle="1" w:styleId="SoporteCar">
    <w:name w:val="Soporte Car"/>
    <w:basedOn w:val="Fuentedeprrafopredeter"/>
    <w:link w:val="Soporte"/>
    <w:rsid w:val="000D4569"/>
    <w:rPr>
      <w:rFonts w:ascii="Calibri" w:eastAsia="Calibri" w:hAnsi="Calibri" w:cs="Times New Roman"/>
      <w:sz w:val="24"/>
    </w:rPr>
  </w:style>
  <w:style w:type="paragraph" w:customStyle="1" w:styleId="ColecPubAnalista">
    <w:name w:val="ColecPubAnalista"/>
    <w:basedOn w:val="Normal"/>
    <w:link w:val="ColecPubAnalistaCar"/>
    <w:qFormat/>
    <w:rsid w:val="000D4569"/>
    <w:pPr>
      <w:ind w:left="709" w:firstLine="0"/>
    </w:pPr>
    <w:rPr>
      <w:rFonts w:eastAsia="Calibri" w:cs="Times New Roman"/>
    </w:rPr>
  </w:style>
  <w:style w:type="character" w:customStyle="1" w:styleId="ProductoCar">
    <w:name w:val="Producto Car"/>
    <w:basedOn w:val="Fuentedeprrafopredeter"/>
    <w:link w:val="Producto"/>
    <w:rsid w:val="000D4569"/>
    <w:rPr>
      <w:rFonts w:ascii="Calibri" w:eastAsia="Calibri" w:hAnsi="Calibri" w:cs="Times New Roman"/>
      <w:sz w:val="24"/>
    </w:rPr>
  </w:style>
  <w:style w:type="character" w:customStyle="1" w:styleId="ColecPubAnalistaCar">
    <w:name w:val="ColecPubAnalista Car"/>
    <w:basedOn w:val="Fuentedeprrafopredeter"/>
    <w:link w:val="ColecPubAnalista"/>
    <w:rsid w:val="000D4569"/>
    <w:rPr>
      <w:rFonts w:ascii="Calibri" w:eastAsia="Calibri" w:hAnsi="Calibri" w:cs="Times New Roman"/>
      <w:sz w:val="24"/>
    </w:rPr>
  </w:style>
  <w:style w:type="paragraph" w:customStyle="1" w:styleId="DOMarginalLibro">
    <w:name w:val="DOMarginalLibro"/>
    <w:basedOn w:val="Normal"/>
    <w:link w:val="DOMarginalLibroCar"/>
    <w:qFormat/>
    <w:rsid w:val="00D6678F"/>
    <w:rPr>
      <w:rFonts w:eastAsia="Calibri" w:cs="Times New Roman"/>
    </w:rPr>
  </w:style>
  <w:style w:type="character" w:customStyle="1" w:styleId="DOMarginalLibroCar">
    <w:name w:val="DOMarginalLibro Car"/>
    <w:basedOn w:val="Fuentedeprrafopredeter"/>
    <w:link w:val="DOMarginalLibro"/>
    <w:rsid w:val="00D6678F"/>
    <w:rPr>
      <w:rFonts w:ascii="Calibri" w:eastAsia="Calibri" w:hAnsi="Calibri" w:cs="Times New Roman"/>
      <w:sz w:val="24"/>
    </w:rPr>
  </w:style>
  <w:style w:type="paragraph" w:customStyle="1" w:styleId="fechaPubRevista">
    <w:name w:val="fechaPubRevista"/>
    <w:basedOn w:val="Normal"/>
    <w:link w:val="fechaPubRevistaCar"/>
    <w:qFormat/>
    <w:rsid w:val="002B1C1E"/>
    <w:pPr>
      <w:ind w:left="709" w:firstLine="0"/>
    </w:pPr>
    <w:rPr>
      <w:rFonts w:eastAsia="Calibri" w:cs="Times New Roman"/>
    </w:rPr>
  </w:style>
  <w:style w:type="character" w:customStyle="1" w:styleId="fechaPubRevistaCar">
    <w:name w:val="fechaPubRevista Car"/>
    <w:basedOn w:val="Fuentedeprrafopredeter"/>
    <w:link w:val="fechaPubRevista"/>
    <w:rsid w:val="002B1C1E"/>
    <w:rPr>
      <w:rFonts w:ascii="Calibri" w:eastAsia="Calibri" w:hAnsi="Calibri" w:cs="Times New Roman"/>
      <w:sz w:val="24"/>
    </w:rPr>
  </w:style>
  <w:style w:type="paragraph" w:customStyle="1" w:styleId="METADATOS">
    <w:name w:val="METADATOS"/>
    <w:basedOn w:val="Normal"/>
    <w:link w:val="METADATOSCar"/>
    <w:qFormat/>
    <w:rsid w:val="0065131C"/>
    <w:pPr>
      <w:spacing w:before="0"/>
      <w:ind w:firstLine="0"/>
      <w:jc w:val="center"/>
    </w:pPr>
    <w:rPr>
      <w:rFonts w:eastAsia="Times New Roman"/>
      <w:b/>
      <w:bCs/>
      <w:color w:val="000000"/>
      <w:sz w:val="28"/>
      <w:szCs w:val="28"/>
      <w:lang w:eastAsia="es-ES"/>
    </w:rPr>
  </w:style>
  <w:style w:type="character" w:customStyle="1" w:styleId="METADATOSCar">
    <w:name w:val="METADATOS Car"/>
    <w:basedOn w:val="Fuentedeprrafopredeter"/>
    <w:link w:val="METADATOS"/>
    <w:rsid w:val="0065131C"/>
    <w:rPr>
      <w:rFonts w:ascii="Calibri" w:eastAsia="Times New Roman" w:hAnsi="Calibri"/>
      <w:b/>
      <w:bCs/>
      <w:color w:val="000000"/>
      <w:sz w:val="28"/>
      <w:szCs w:val="28"/>
      <w:lang w:eastAsia="es-ES"/>
    </w:rPr>
  </w:style>
  <w:style w:type="paragraph" w:styleId="Cita">
    <w:name w:val="Quote"/>
    <w:basedOn w:val="Normal"/>
    <w:next w:val="Normal"/>
    <w:link w:val="CitaCar"/>
    <w:uiPriority w:val="29"/>
    <w:rsid w:val="00527F14"/>
    <w:rPr>
      <w:i/>
      <w:iCs/>
      <w:color w:val="000000" w:themeColor="text1"/>
    </w:rPr>
  </w:style>
  <w:style w:type="character" w:customStyle="1" w:styleId="CitaCar">
    <w:name w:val="Cita Car"/>
    <w:basedOn w:val="Fuentedeprrafopredeter"/>
    <w:link w:val="Cita"/>
    <w:uiPriority w:val="29"/>
    <w:rsid w:val="00527F14"/>
    <w:rPr>
      <w:rFonts w:ascii="Calibri" w:hAnsi="Calibri"/>
      <w:i/>
      <w:iCs/>
      <w:color w:val="000000" w:themeColor="text1"/>
      <w:sz w:val="24"/>
    </w:rPr>
  </w:style>
  <w:style w:type="paragraph" w:styleId="Citadestacada">
    <w:name w:val="Intense Quote"/>
    <w:basedOn w:val="Normal"/>
    <w:next w:val="Normal"/>
    <w:link w:val="CitadestacadaCar"/>
    <w:uiPriority w:val="30"/>
    <w:qFormat/>
    <w:rsid w:val="00527F14"/>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527F14"/>
    <w:rPr>
      <w:rFonts w:ascii="Calibri" w:hAnsi="Calibri"/>
      <w:b/>
      <w:bCs/>
      <w:i/>
      <w:iCs/>
      <w:color w:val="4F81BD" w:themeColor="accent1"/>
      <w:sz w:val="24"/>
    </w:rPr>
  </w:style>
  <w:style w:type="paragraph" w:customStyle="1" w:styleId="DOVoz">
    <w:name w:val="DOVoz"/>
    <w:basedOn w:val="DOSumarioResumen"/>
    <w:link w:val="DOVozCar"/>
    <w:qFormat/>
    <w:rsid w:val="00477AD2"/>
  </w:style>
  <w:style w:type="character" w:customStyle="1" w:styleId="DOSumarioResumenCar">
    <w:name w:val="DOSumarioResumen Car"/>
    <w:basedOn w:val="Fuentedeprrafopredeter"/>
    <w:link w:val="DOSumarioResumen"/>
    <w:rsid w:val="00477AD2"/>
    <w:rPr>
      <w:rFonts w:ascii="Calibri" w:eastAsia="Calibri" w:hAnsi="Calibri" w:cs="Times New Roman"/>
      <w:sz w:val="24"/>
    </w:rPr>
  </w:style>
  <w:style w:type="character" w:customStyle="1" w:styleId="DOVozCar">
    <w:name w:val="DOVoz Car"/>
    <w:basedOn w:val="DOSumarioResumenCar"/>
    <w:link w:val="DOVoz"/>
    <w:rsid w:val="00477AD2"/>
    <w:rPr>
      <w:rFonts w:ascii="Calibri" w:eastAsia="Calibri" w:hAnsi="Calibri" w:cs="Times New Roman"/>
      <w:sz w:val="24"/>
    </w:rPr>
  </w:style>
  <w:style w:type="paragraph" w:customStyle="1" w:styleId="DOIdiomaBase">
    <w:name w:val="DOIdiomaBase"/>
    <w:basedOn w:val="DOAreaDerecho"/>
    <w:link w:val="DOIdiomaBaseCar"/>
    <w:qFormat/>
    <w:rsid w:val="008A1132"/>
    <w:pPr>
      <w:ind w:left="708"/>
    </w:pPr>
  </w:style>
  <w:style w:type="character" w:customStyle="1" w:styleId="DOAreaDerechoCar">
    <w:name w:val="DOAreaDerecho Car"/>
    <w:basedOn w:val="Fuentedeprrafopredeter"/>
    <w:link w:val="DOAreaDerecho"/>
    <w:rsid w:val="008A1132"/>
    <w:rPr>
      <w:rFonts w:ascii="Calibri" w:eastAsia="Times New Roman" w:hAnsi="Calibri" w:cs="Times New Roman"/>
      <w:lang w:eastAsia="es-ES"/>
    </w:rPr>
  </w:style>
  <w:style w:type="character" w:customStyle="1" w:styleId="DOIdiomaBaseCar">
    <w:name w:val="DOIdiomaBase Car"/>
    <w:basedOn w:val="DOAreaDerechoCar"/>
    <w:link w:val="DOIdiomaBase"/>
    <w:rsid w:val="008A1132"/>
    <w:rPr>
      <w:rFonts w:ascii="Calibri" w:eastAsia="Times New Roman" w:hAnsi="Calibri" w:cs="Times New Roman"/>
      <w:lang w:eastAsia="es-ES"/>
    </w:rPr>
  </w:style>
  <w:style w:type="character" w:styleId="Nmerodepgina">
    <w:name w:val="page number"/>
    <w:rsid w:val="009515FD"/>
  </w:style>
  <w:style w:type="character" w:styleId="Refdecomentario">
    <w:name w:val="annotation reference"/>
    <w:semiHidden/>
    <w:rsid w:val="009515FD"/>
    <w:rPr>
      <w:sz w:val="16"/>
      <w:szCs w:val="16"/>
    </w:rPr>
  </w:style>
  <w:style w:type="paragraph" w:styleId="Textocomentario">
    <w:name w:val="annotation text"/>
    <w:basedOn w:val="Normal"/>
    <w:link w:val="TextocomentarioCar"/>
    <w:semiHidden/>
    <w:rsid w:val="009515FD"/>
    <w:pPr>
      <w:spacing w:before="0"/>
      <w:ind w:firstLine="0"/>
      <w:jc w:val="center"/>
    </w:pPr>
    <w:rPr>
      <w:rFonts w:ascii="Tahoma" w:eastAsia="Times New Roman" w:hAnsi="Tahoma" w:cs="Times New Roman"/>
      <w:sz w:val="20"/>
      <w:szCs w:val="20"/>
      <w:lang w:val="pt-BR"/>
    </w:rPr>
  </w:style>
  <w:style w:type="character" w:customStyle="1" w:styleId="TextocomentarioCar">
    <w:name w:val="Texto comentario Car"/>
    <w:basedOn w:val="Fuentedeprrafopredeter"/>
    <w:link w:val="Textocomentario"/>
    <w:semiHidden/>
    <w:rsid w:val="009515FD"/>
    <w:rPr>
      <w:rFonts w:ascii="Tahoma" w:eastAsia="Times New Roman" w:hAnsi="Tahoma" w:cs="Times New Roman"/>
      <w:sz w:val="20"/>
      <w:szCs w:val="20"/>
      <w:lang w:val="pt-BR"/>
    </w:rPr>
  </w:style>
  <w:style w:type="paragraph" w:styleId="Asuntodelcomentario">
    <w:name w:val="annotation subject"/>
    <w:basedOn w:val="Textocomentario"/>
    <w:next w:val="Textocomentario"/>
    <w:link w:val="AsuntodelcomentarioCar"/>
    <w:semiHidden/>
    <w:rsid w:val="009515FD"/>
    <w:rPr>
      <w:b/>
      <w:bCs/>
    </w:rPr>
  </w:style>
  <w:style w:type="character" w:customStyle="1" w:styleId="AsuntodelcomentarioCar">
    <w:name w:val="Asunto del comentario Car"/>
    <w:basedOn w:val="TextocomentarioCar"/>
    <w:link w:val="Asuntodelcomentario"/>
    <w:semiHidden/>
    <w:rsid w:val="009515FD"/>
    <w:rPr>
      <w:rFonts w:ascii="Tahoma" w:eastAsia="Times New Roman" w:hAnsi="Tahoma" w:cs="Times New Roman"/>
      <w:b/>
      <w:bCs/>
      <w:sz w:val="20"/>
      <w:szCs w:val="20"/>
      <w:lang w:val="pt-BR"/>
    </w:rPr>
  </w:style>
  <w:style w:type="character" w:styleId="Hipervnculovisitado">
    <w:name w:val="FollowedHyperlink"/>
    <w:rsid w:val="009515FD"/>
    <w:rPr>
      <w:color w:val="800080"/>
      <w:u w:val="single"/>
    </w:rPr>
  </w:style>
  <w:style w:type="paragraph" w:styleId="Textonotaalfinal">
    <w:name w:val="endnote text"/>
    <w:basedOn w:val="Normal"/>
    <w:link w:val="TextonotaalfinalCar"/>
    <w:semiHidden/>
    <w:rsid w:val="009515FD"/>
    <w:pPr>
      <w:spacing w:before="0"/>
      <w:ind w:firstLine="0"/>
      <w:jc w:val="center"/>
    </w:pPr>
    <w:rPr>
      <w:rFonts w:ascii="Tahoma" w:eastAsia="Times New Roman" w:hAnsi="Tahoma" w:cs="Times New Roman"/>
      <w:sz w:val="20"/>
      <w:szCs w:val="20"/>
      <w:lang w:val="pt-BR"/>
    </w:rPr>
  </w:style>
  <w:style w:type="character" w:customStyle="1" w:styleId="TextonotaalfinalCar">
    <w:name w:val="Texto nota al final Car"/>
    <w:basedOn w:val="Fuentedeprrafopredeter"/>
    <w:link w:val="Textonotaalfinal"/>
    <w:semiHidden/>
    <w:rsid w:val="009515FD"/>
    <w:rPr>
      <w:rFonts w:ascii="Tahoma" w:eastAsia="Times New Roman" w:hAnsi="Tahoma" w:cs="Times New Roman"/>
      <w:sz w:val="20"/>
      <w:szCs w:val="20"/>
      <w:lang w:val="pt-BR"/>
    </w:rPr>
  </w:style>
  <w:style w:type="character" w:styleId="Refdenotaalfinal">
    <w:name w:val="endnote reference"/>
    <w:semiHidden/>
    <w:rsid w:val="009515FD"/>
    <w:rPr>
      <w:vertAlign w:val="superscript"/>
    </w:rPr>
  </w:style>
  <w:style w:type="paragraph" w:customStyle="1" w:styleId="TtulodeTDC1">
    <w:name w:val="Título de TDC1"/>
    <w:basedOn w:val="Ttulo1"/>
    <w:next w:val="Normal"/>
    <w:uiPriority w:val="39"/>
    <w:semiHidden/>
    <w:unhideWhenUsed/>
    <w:qFormat/>
    <w:rsid w:val="009515FD"/>
    <w:pPr>
      <w:spacing w:line="276" w:lineRule="auto"/>
      <w:jc w:val="left"/>
      <w:outlineLvl w:val="9"/>
    </w:pPr>
    <w:rPr>
      <w:rFonts w:ascii="Cambria" w:eastAsia="Times New Roman" w:hAnsi="Cambria" w:cs="Times New Roman"/>
      <w:color w:val="365F91"/>
      <w:sz w:val="28"/>
      <w:lang w:val="pt-BR"/>
    </w:rPr>
  </w:style>
  <w:style w:type="paragraph" w:styleId="HTMLconformatoprevio">
    <w:name w:val="HTML Preformatted"/>
    <w:basedOn w:val="Normal"/>
    <w:link w:val="HTMLconformatoprevioCar"/>
    <w:uiPriority w:val="99"/>
    <w:rsid w:val="009515FD"/>
    <w:pPr>
      <w:spacing w:before="0"/>
      <w:ind w:firstLine="0"/>
      <w:jc w:val="center"/>
    </w:pPr>
    <w:rPr>
      <w:rFonts w:ascii="Courier" w:eastAsia="Times New Roman" w:hAnsi="Courier" w:cs="Times New Roman"/>
      <w:sz w:val="20"/>
      <w:szCs w:val="20"/>
      <w:lang w:val="pt-BR"/>
    </w:rPr>
  </w:style>
  <w:style w:type="character" w:customStyle="1" w:styleId="HTMLconformatoprevioCar">
    <w:name w:val="HTML con formato previo Car"/>
    <w:basedOn w:val="Fuentedeprrafopredeter"/>
    <w:link w:val="HTMLconformatoprevio"/>
    <w:uiPriority w:val="99"/>
    <w:rsid w:val="009515FD"/>
    <w:rPr>
      <w:rFonts w:ascii="Courier" w:eastAsia="Times New Roman" w:hAnsi="Courier" w:cs="Times New Roman"/>
      <w:sz w:val="20"/>
      <w:szCs w:val="20"/>
      <w:lang w:val="pt-BR"/>
    </w:rPr>
  </w:style>
  <w:style w:type="paragraph" w:styleId="Mapadeldocumento">
    <w:name w:val="Document Map"/>
    <w:basedOn w:val="Normal"/>
    <w:link w:val="MapadeldocumentoCar"/>
    <w:uiPriority w:val="99"/>
    <w:rsid w:val="009515FD"/>
    <w:pPr>
      <w:spacing w:before="0"/>
      <w:ind w:firstLine="0"/>
      <w:jc w:val="center"/>
    </w:pPr>
    <w:rPr>
      <w:rFonts w:ascii="Lucida Grande" w:eastAsia="Times New Roman" w:hAnsi="Lucida Grande" w:cs="Lucida Grande"/>
      <w:szCs w:val="24"/>
      <w:lang w:val="pt-BR"/>
    </w:rPr>
  </w:style>
  <w:style w:type="character" w:customStyle="1" w:styleId="MapadeldocumentoCar">
    <w:name w:val="Mapa del documento Car"/>
    <w:basedOn w:val="Fuentedeprrafopredeter"/>
    <w:link w:val="Mapadeldocumento"/>
    <w:uiPriority w:val="99"/>
    <w:rsid w:val="009515FD"/>
    <w:rPr>
      <w:rFonts w:ascii="Lucida Grande" w:eastAsia="Times New Roman" w:hAnsi="Lucida Grande" w:cs="Lucida Grande"/>
      <w:sz w:val="24"/>
      <w:szCs w:val="24"/>
      <w:lang w:val="pt-BR"/>
    </w:rPr>
  </w:style>
  <w:style w:type="paragraph" w:styleId="NormalWeb">
    <w:name w:val="Normal (Web)"/>
    <w:basedOn w:val="Normal"/>
    <w:uiPriority w:val="99"/>
    <w:rsid w:val="009515FD"/>
    <w:pPr>
      <w:spacing w:before="0"/>
      <w:ind w:firstLine="0"/>
      <w:jc w:val="center"/>
    </w:pPr>
    <w:rPr>
      <w:rFonts w:ascii="Times New Roman" w:eastAsia="Times New Roman" w:hAnsi="Times New Roman" w:cs="Times New Roman"/>
      <w:szCs w:val="24"/>
      <w:lang w:val="pt-BR"/>
    </w:rPr>
  </w:style>
  <w:style w:type="paragraph" w:customStyle="1" w:styleId="LibroEditorial">
    <w:name w:val="LibroEditorial"/>
    <w:basedOn w:val="Normal"/>
    <w:link w:val="LibroEditorialCar"/>
    <w:qFormat/>
    <w:rsid w:val="009515FD"/>
    <w:pPr>
      <w:ind w:left="709" w:firstLine="0"/>
    </w:pPr>
    <w:rPr>
      <w:rFonts w:eastAsia="Calibri" w:cs="Times New Roman"/>
    </w:rPr>
  </w:style>
  <w:style w:type="paragraph" w:customStyle="1" w:styleId="LibroNumEd">
    <w:name w:val="LibroNumEd"/>
    <w:basedOn w:val="Normal"/>
    <w:link w:val="LibroNumEdCar"/>
    <w:qFormat/>
    <w:rsid w:val="009515FD"/>
    <w:rPr>
      <w:rFonts w:eastAsia="Calibri" w:cs="Times New Roman"/>
    </w:rPr>
  </w:style>
  <w:style w:type="character" w:customStyle="1" w:styleId="LibroEditorialCar">
    <w:name w:val="LibroEditorial Car"/>
    <w:basedOn w:val="Fuentedeprrafopredeter"/>
    <w:link w:val="LibroEditorial"/>
    <w:rsid w:val="009515FD"/>
    <w:rPr>
      <w:rFonts w:ascii="Calibri" w:eastAsia="Calibri" w:hAnsi="Calibri" w:cs="Times New Roman"/>
      <w:sz w:val="24"/>
    </w:rPr>
  </w:style>
  <w:style w:type="paragraph" w:customStyle="1" w:styleId="LibroFechaPub">
    <w:name w:val="LibroFechaPub"/>
    <w:basedOn w:val="Normal"/>
    <w:link w:val="LibroFechaPubCar"/>
    <w:qFormat/>
    <w:rsid w:val="009515FD"/>
    <w:rPr>
      <w:rFonts w:eastAsia="Calibri" w:cs="Times New Roman"/>
    </w:rPr>
  </w:style>
  <w:style w:type="character" w:customStyle="1" w:styleId="LibroNumEdCar">
    <w:name w:val="LibroNumEd Car"/>
    <w:basedOn w:val="Fuentedeprrafopredeter"/>
    <w:link w:val="LibroNumEd"/>
    <w:rsid w:val="009515FD"/>
    <w:rPr>
      <w:rFonts w:ascii="Calibri" w:eastAsia="Calibri" w:hAnsi="Calibri" w:cs="Times New Roman"/>
      <w:sz w:val="24"/>
    </w:rPr>
  </w:style>
  <w:style w:type="character" w:customStyle="1" w:styleId="LibroFechaPubCar">
    <w:name w:val="LibroFechaPub Car"/>
    <w:basedOn w:val="Fuentedeprrafopredeter"/>
    <w:link w:val="LibroFechaPub"/>
    <w:rsid w:val="009515FD"/>
    <w:rPr>
      <w:rFonts w:ascii="Calibri" w:eastAsia="Calibri" w:hAnsi="Calibri" w:cs="Times New Roman"/>
      <w:sz w:val="24"/>
    </w:rPr>
  </w:style>
  <w:style w:type="paragraph" w:styleId="Continuarlista">
    <w:name w:val="List Continue"/>
    <w:basedOn w:val="Normal"/>
    <w:uiPriority w:val="99"/>
    <w:unhideWhenUsed/>
    <w:rsid w:val="009515FD"/>
    <w:pPr>
      <w:spacing w:after="120"/>
      <w:ind w:left="283"/>
      <w:contextualSpacing/>
    </w:pPr>
  </w:style>
  <w:style w:type="paragraph" w:styleId="Sangradetextonormal">
    <w:name w:val="Body Text Indent"/>
    <w:basedOn w:val="Normal"/>
    <w:link w:val="SangradetextonormalCar"/>
    <w:uiPriority w:val="99"/>
    <w:unhideWhenUsed/>
    <w:rsid w:val="009515FD"/>
    <w:pPr>
      <w:spacing w:after="120"/>
      <w:ind w:left="283"/>
    </w:pPr>
  </w:style>
  <w:style w:type="character" w:customStyle="1" w:styleId="SangradetextonormalCar">
    <w:name w:val="Sangría de texto normal Car"/>
    <w:basedOn w:val="Fuentedeprrafopredeter"/>
    <w:link w:val="Sangradetextonormal"/>
    <w:uiPriority w:val="99"/>
    <w:rsid w:val="009515FD"/>
    <w:rPr>
      <w:rFonts w:ascii="Calibri" w:hAnsi="Calibri"/>
      <w:sz w:val="24"/>
    </w:rPr>
  </w:style>
  <w:style w:type="paragraph" w:styleId="Textoindependienteprimerasangra">
    <w:name w:val="Body Text First Indent"/>
    <w:basedOn w:val="Textoindependiente"/>
    <w:link w:val="TextoindependienteprimerasangraCar"/>
    <w:uiPriority w:val="99"/>
    <w:unhideWhenUsed/>
    <w:rsid w:val="009515FD"/>
    <w:pPr>
      <w:spacing w:before="120" w:beforeAutospacing="0" w:after="0" w:afterAutospacing="0"/>
      <w:ind w:firstLine="360"/>
      <w:jc w:val="both"/>
    </w:pPr>
    <w:rPr>
      <w:rFonts w:ascii="Calibri" w:eastAsiaTheme="minorHAnsi" w:hAnsi="Calibri" w:cstheme="minorBidi"/>
      <w:szCs w:val="22"/>
      <w:lang w:eastAsia="en-US"/>
    </w:rPr>
  </w:style>
  <w:style w:type="character" w:customStyle="1" w:styleId="TextoindependienteprimerasangraCar">
    <w:name w:val="Texto independiente primera sangría Car"/>
    <w:basedOn w:val="TextoindependienteCar"/>
    <w:link w:val="Textoindependienteprimerasangra"/>
    <w:uiPriority w:val="99"/>
    <w:rsid w:val="009515FD"/>
    <w:rPr>
      <w:rFonts w:ascii="Calibri" w:eastAsia="Times New Roman" w:hAnsi="Calibri" w:cs="Times New Roman"/>
      <w:sz w:val="24"/>
      <w:szCs w:val="24"/>
      <w:lang w:eastAsia="es-ES"/>
    </w:rPr>
  </w:style>
  <w:style w:type="paragraph" w:styleId="Textoindependienteprimerasangra2">
    <w:name w:val="Body Text First Indent 2"/>
    <w:basedOn w:val="Sangradetextonormal"/>
    <w:link w:val="Textoindependienteprimerasangra2Car"/>
    <w:uiPriority w:val="99"/>
    <w:unhideWhenUsed/>
    <w:rsid w:val="009515FD"/>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515FD"/>
    <w:rPr>
      <w:rFonts w:ascii="Calibri" w:hAnsi="Calibri"/>
      <w:sz w:val="24"/>
    </w:rPr>
  </w:style>
  <w:style w:type="paragraph" w:customStyle="1" w:styleId="ParrafoCaja">
    <w:name w:val="ParrafoCaja"/>
    <w:basedOn w:val="Normal"/>
    <w:next w:val="Normal"/>
    <w:link w:val="ParrafoCajaCar"/>
    <w:qFormat/>
    <w:rsid w:val="00345330"/>
    <w:pPr>
      <w:pBdr>
        <w:top w:val="single" w:sz="12" w:space="1" w:color="auto"/>
        <w:left w:val="single" w:sz="12" w:space="4" w:color="auto"/>
        <w:bottom w:val="single" w:sz="12" w:space="1" w:color="auto"/>
        <w:right w:val="single" w:sz="12" w:space="4" w:color="auto"/>
      </w:pBdr>
    </w:pPr>
    <w:rPr>
      <w:lang w:val="pt-BR"/>
    </w:rPr>
  </w:style>
  <w:style w:type="character" w:customStyle="1" w:styleId="ParrafoCajaCar">
    <w:name w:val="ParrafoCaja Car"/>
    <w:basedOn w:val="Fuentedeprrafopredeter"/>
    <w:link w:val="ParrafoCaja"/>
    <w:rsid w:val="00345330"/>
    <w:rPr>
      <w:rFonts w:ascii="Calibri" w:hAnsi="Calibri"/>
      <w:sz w:val="24"/>
      <w:lang w:val="pt-BR"/>
    </w:rPr>
  </w:style>
  <w:style w:type="character" w:styleId="AcrnimoHTML">
    <w:name w:val="HTML Acronym"/>
    <w:basedOn w:val="Fuentedeprrafopredeter"/>
    <w:uiPriority w:val="99"/>
    <w:semiHidden/>
    <w:unhideWhenUsed/>
    <w:rsid w:val="00A9084D"/>
  </w:style>
  <w:style w:type="character" w:customStyle="1" w:styleId="Ttulo6Car">
    <w:name w:val="Título 6 Car"/>
    <w:basedOn w:val="Fuentedeprrafopredeter"/>
    <w:link w:val="Ttulo6"/>
    <w:uiPriority w:val="9"/>
    <w:rsid w:val="00E8693C"/>
    <w:rPr>
      <w:rFonts w:asciiTheme="majorHAnsi" w:eastAsiaTheme="majorEastAsia" w:hAnsiTheme="majorHAnsi" w:cstheme="majorBidi"/>
      <w:i/>
      <w:iCs/>
      <w:color w:val="243F60" w:themeColor="accent1" w:themeShade="7F"/>
      <w:sz w:val="24"/>
    </w:rPr>
  </w:style>
  <w:style w:type="character" w:customStyle="1" w:styleId="Ttulo7Car">
    <w:name w:val="Título 7 Car"/>
    <w:basedOn w:val="Fuentedeprrafopredeter"/>
    <w:link w:val="Ttulo7"/>
    <w:uiPriority w:val="9"/>
    <w:semiHidden/>
    <w:rsid w:val="00E8693C"/>
    <w:rPr>
      <w:rFonts w:asciiTheme="majorHAnsi" w:eastAsiaTheme="majorEastAsia" w:hAnsiTheme="majorHAnsi" w:cstheme="majorBidi"/>
      <w:i/>
      <w:iCs/>
      <w:color w:val="404040" w:themeColor="text1" w:themeTint="BF"/>
      <w:sz w:val="24"/>
    </w:rPr>
  </w:style>
  <w:style w:type="character" w:customStyle="1" w:styleId="Ttulo8Car">
    <w:name w:val="Título 8 Car"/>
    <w:basedOn w:val="Fuentedeprrafopredeter"/>
    <w:link w:val="Ttulo8"/>
    <w:uiPriority w:val="9"/>
    <w:semiHidden/>
    <w:rsid w:val="00E8693C"/>
    <w:rPr>
      <w:rFonts w:asciiTheme="majorHAnsi" w:eastAsiaTheme="majorEastAsia" w:hAnsiTheme="majorHAnsi" w:cstheme="majorBidi"/>
      <w:color w:val="404040" w:themeColor="text1" w:themeTint="BF"/>
      <w:sz w:val="20"/>
      <w:szCs w:val="20"/>
    </w:rPr>
  </w:style>
  <w:style w:type="character" w:customStyle="1" w:styleId="Ttulo9Car">
    <w:name w:val="Título 9 Car"/>
    <w:basedOn w:val="Fuentedeprrafopredeter"/>
    <w:link w:val="Ttulo9"/>
    <w:uiPriority w:val="9"/>
    <w:semiHidden/>
    <w:rsid w:val="00E8693C"/>
    <w:rPr>
      <w:rFonts w:asciiTheme="majorHAnsi" w:eastAsiaTheme="majorEastAsia" w:hAnsiTheme="majorHAnsi" w:cstheme="majorBidi"/>
      <w:i/>
      <w:iCs/>
      <w:color w:val="404040" w:themeColor="text1" w:themeTint="BF"/>
      <w:sz w:val="20"/>
      <w:szCs w:val="20"/>
    </w:rPr>
  </w:style>
  <w:style w:type="paragraph" w:styleId="Bibliografa">
    <w:name w:val="Bibliography"/>
    <w:basedOn w:val="Normal"/>
    <w:next w:val="Normal"/>
    <w:uiPriority w:val="37"/>
    <w:semiHidden/>
    <w:unhideWhenUsed/>
    <w:rsid w:val="00A9084D"/>
  </w:style>
  <w:style w:type="paragraph" w:styleId="Cierre">
    <w:name w:val="Closing"/>
    <w:basedOn w:val="Normal"/>
    <w:link w:val="CierreCar"/>
    <w:uiPriority w:val="99"/>
    <w:semiHidden/>
    <w:unhideWhenUsed/>
    <w:rsid w:val="00A9084D"/>
    <w:pPr>
      <w:spacing w:before="0"/>
      <w:ind w:left="4252"/>
    </w:pPr>
  </w:style>
  <w:style w:type="character" w:customStyle="1" w:styleId="CierreCar">
    <w:name w:val="Cierre Car"/>
    <w:basedOn w:val="Fuentedeprrafopredeter"/>
    <w:link w:val="Cierre"/>
    <w:uiPriority w:val="99"/>
    <w:semiHidden/>
    <w:rsid w:val="00A9084D"/>
    <w:rPr>
      <w:rFonts w:ascii="Calibri" w:hAnsi="Calibri"/>
      <w:sz w:val="24"/>
    </w:rPr>
  </w:style>
  <w:style w:type="character" w:styleId="CitaHTML">
    <w:name w:val="HTML Cite"/>
    <w:basedOn w:val="Fuentedeprrafopredeter"/>
    <w:uiPriority w:val="99"/>
    <w:semiHidden/>
    <w:unhideWhenUsed/>
    <w:rsid w:val="00A9084D"/>
    <w:rPr>
      <w:i/>
      <w:iCs/>
    </w:rPr>
  </w:style>
  <w:style w:type="character" w:styleId="CdigoHTML">
    <w:name w:val="HTML Code"/>
    <w:basedOn w:val="Fuentedeprrafopredeter"/>
    <w:uiPriority w:val="99"/>
    <w:semiHidden/>
    <w:unhideWhenUsed/>
    <w:rsid w:val="00A9084D"/>
    <w:rPr>
      <w:rFonts w:ascii="Consolas" w:hAnsi="Consolas"/>
      <w:sz w:val="20"/>
      <w:szCs w:val="20"/>
    </w:rPr>
  </w:style>
  <w:style w:type="paragraph" w:styleId="Continuarlista2">
    <w:name w:val="List Continue 2"/>
    <w:basedOn w:val="Normal"/>
    <w:uiPriority w:val="99"/>
    <w:semiHidden/>
    <w:unhideWhenUsed/>
    <w:rsid w:val="00A9084D"/>
    <w:pPr>
      <w:spacing w:after="120"/>
      <w:ind w:left="566"/>
      <w:contextualSpacing/>
    </w:pPr>
  </w:style>
  <w:style w:type="paragraph" w:styleId="Continuarlista3">
    <w:name w:val="List Continue 3"/>
    <w:basedOn w:val="Normal"/>
    <w:uiPriority w:val="99"/>
    <w:semiHidden/>
    <w:unhideWhenUsed/>
    <w:rsid w:val="00A9084D"/>
    <w:pPr>
      <w:spacing w:after="120"/>
      <w:ind w:left="849"/>
      <w:contextualSpacing/>
    </w:pPr>
  </w:style>
  <w:style w:type="paragraph" w:styleId="Continuarlista4">
    <w:name w:val="List Continue 4"/>
    <w:basedOn w:val="Normal"/>
    <w:uiPriority w:val="99"/>
    <w:semiHidden/>
    <w:unhideWhenUsed/>
    <w:rsid w:val="00A9084D"/>
    <w:pPr>
      <w:spacing w:after="120"/>
      <w:ind w:left="1132"/>
      <w:contextualSpacing/>
    </w:pPr>
  </w:style>
  <w:style w:type="paragraph" w:styleId="Continuarlista5">
    <w:name w:val="List Continue 5"/>
    <w:basedOn w:val="Normal"/>
    <w:uiPriority w:val="99"/>
    <w:semiHidden/>
    <w:unhideWhenUsed/>
    <w:rsid w:val="00A9084D"/>
    <w:pPr>
      <w:spacing w:after="120"/>
      <w:ind w:left="1415"/>
      <w:contextualSpacing/>
    </w:pPr>
  </w:style>
  <w:style w:type="table" w:customStyle="1" w:styleId="Cuadrculaclara1">
    <w:name w:val="Cuadrícula clara1"/>
    <w:basedOn w:val="Tablanormal"/>
    <w:uiPriority w:val="62"/>
    <w:rsid w:val="00A9084D"/>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Cuadrculaclara-nfasis11">
    <w:name w:val="Cuadrícula clara - Énfasis 11"/>
    <w:basedOn w:val="Tablanormal"/>
    <w:uiPriority w:val="62"/>
    <w:rsid w:val="00A9084D"/>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Cuadrculaclara-nfasis2">
    <w:name w:val="Light Grid Accent 2"/>
    <w:basedOn w:val="Tablanormal"/>
    <w:uiPriority w:val="62"/>
    <w:rsid w:val="00A9084D"/>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Cuadrculaclara-nfasis3">
    <w:name w:val="Light Grid Accent 3"/>
    <w:basedOn w:val="Tablanormal"/>
    <w:uiPriority w:val="62"/>
    <w:rsid w:val="00A9084D"/>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Cuadrculaclara-nfasis4">
    <w:name w:val="Light Grid Accent 4"/>
    <w:basedOn w:val="Tablanormal"/>
    <w:uiPriority w:val="62"/>
    <w:rsid w:val="00A9084D"/>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Cuadrculaclara-nfasis5">
    <w:name w:val="Light Grid Accent 5"/>
    <w:basedOn w:val="Tablanormal"/>
    <w:uiPriority w:val="62"/>
    <w:rsid w:val="00A9084D"/>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clara-nfasis6">
    <w:name w:val="Light Grid Accent 6"/>
    <w:basedOn w:val="Tablanormal"/>
    <w:uiPriority w:val="62"/>
    <w:rsid w:val="00A9084D"/>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customStyle="1" w:styleId="Cuadrculamedia11">
    <w:name w:val="Cuadrícula media 11"/>
    <w:basedOn w:val="Tablanormal"/>
    <w:uiPriority w:val="67"/>
    <w:rsid w:val="00A9084D"/>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media1-nfasis1">
    <w:name w:val="Medium Grid 1 Accent 1"/>
    <w:basedOn w:val="Tablanormal"/>
    <w:uiPriority w:val="67"/>
    <w:rsid w:val="00A9084D"/>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media1-nfasis2">
    <w:name w:val="Medium Grid 1 Accent 2"/>
    <w:basedOn w:val="Tablanormal"/>
    <w:uiPriority w:val="67"/>
    <w:rsid w:val="00A9084D"/>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media1-nfasis3">
    <w:name w:val="Medium Grid 1 Accent 3"/>
    <w:basedOn w:val="Tablanormal"/>
    <w:uiPriority w:val="67"/>
    <w:rsid w:val="00A9084D"/>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media1-nfasis4">
    <w:name w:val="Medium Grid 1 Accent 4"/>
    <w:basedOn w:val="Tablanormal"/>
    <w:uiPriority w:val="67"/>
    <w:rsid w:val="00A9084D"/>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media1-nfasis5">
    <w:name w:val="Medium Grid 1 Accent 5"/>
    <w:basedOn w:val="Tablanormal"/>
    <w:uiPriority w:val="67"/>
    <w:rsid w:val="00A9084D"/>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media1-nfasis6">
    <w:name w:val="Medium Grid 1 Accent 6"/>
    <w:basedOn w:val="Tablanormal"/>
    <w:uiPriority w:val="67"/>
    <w:rsid w:val="00A9084D"/>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customStyle="1" w:styleId="Cuadrculamedia21">
    <w:name w:val="Cuadrícula media 21"/>
    <w:basedOn w:val="Tablanormal"/>
    <w:uiPriority w:val="68"/>
    <w:rsid w:val="00A9084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media2-nfasis1">
    <w:name w:val="Medium Grid 2 Accent 1"/>
    <w:basedOn w:val="Tablanormal"/>
    <w:uiPriority w:val="68"/>
    <w:rsid w:val="00A9084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Cuadrculamedia2-nfasis2">
    <w:name w:val="Medium Grid 2 Accent 2"/>
    <w:basedOn w:val="Tablanormal"/>
    <w:uiPriority w:val="68"/>
    <w:rsid w:val="00A9084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Cuadrculamedia2-nfasis3">
    <w:name w:val="Medium Grid 2 Accent 3"/>
    <w:basedOn w:val="Tablanormal"/>
    <w:uiPriority w:val="68"/>
    <w:rsid w:val="00A9084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Cuadrculamedia2-nfasis4">
    <w:name w:val="Medium Grid 2 Accent 4"/>
    <w:basedOn w:val="Tablanormal"/>
    <w:uiPriority w:val="68"/>
    <w:rsid w:val="00A9084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rsid w:val="00A9084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Cuadrculamedia2-nfasis6">
    <w:name w:val="Medium Grid 2 Accent 6"/>
    <w:basedOn w:val="Tablanormal"/>
    <w:uiPriority w:val="68"/>
    <w:rsid w:val="00A9084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customStyle="1" w:styleId="Cuadrculamedia31">
    <w:name w:val="Cuadrícula media 31"/>
    <w:basedOn w:val="Tablanormal"/>
    <w:uiPriority w:val="69"/>
    <w:rsid w:val="00A9084D"/>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Cuadrculamedia3-nfasis1">
    <w:name w:val="Medium Grid 3 Accent 1"/>
    <w:basedOn w:val="Tablanormal"/>
    <w:uiPriority w:val="69"/>
    <w:rsid w:val="00A9084D"/>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Cuadrculamedia3-nfasis2">
    <w:name w:val="Medium Grid 3 Accent 2"/>
    <w:basedOn w:val="Tablanormal"/>
    <w:uiPriority w:val="69"/>
    <w:rsid w:val="00A9084D"/>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Cuadrculamedia3-nfasis3">
    <w:name w:val="Medium Grid 3 Accent 3"/>
    <w:basedOn w:val="Tablanormal"/>
    <w:uiPriority w:val="69"/>
    <w:rsid w:val="00A9084D"/>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Cuadrculamedia3-nfasis4">
    <w:name w:val="Medium Grid 3 Accent 4"/>
    <w:basedOn w:val="Tablanormal"/>
    <w:uiPriority w:val="69"/>
    <w:rsid w:val="00A9084D"/>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Cuadrculamedia3-nfasis5">
    <w:name w:val="Medium Grid 3 Accent 5"/>
    <w:basedOn w:val="Tablanormal"/>
    <w:uiPriority w:val="69"/>
    <w:rsid w:val="00A9084D"/>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Cuadrculamedia3-nfasis6">
    <w:name w:val="Medium Grid 3 Accent 6"/>
    <w:basedOn w:val="Tablanormal"/>
    <w:uiPriority w:val="69"/>
    <w:rsid w:val="00A9084D"/>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customStyle="1" w:styleId="Cuadrculavistosa1">
    <w:name w:val="Cuadrícula vistosa1"/>
    <w:basedOn w:val="Tablanormal"/>
    <w:uiPriority w:val="73"/>
    <w:rsid w:val="00A9084D"/>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vistosa-nfasis1">
    <w:name w:val="Colorful Grid Accent 1"/>
    <w:basedOn w:val="Tablanormal"/>
    <w:uiPriority w:val="73"/>
    <w:rsid w:val="00A9084D"/>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vistosa-nfasis2">
    <w:name w:val="Colorful Grid Accent 2"/>
    <w:basedOn w:val="Tablanormal"/>
    <w:uiPriority w:val="73"/>
    <w:rsid w:val="00A9084D"/>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vistosa-nfasis3">
    <w:name w:val="Colorful Grid Accent 3"/>
    <w:basedOn w:val="Tablanormal"/>
    <w:uiPriority w:val="73"/>
    <w:rsid w:val="00A9084D"/>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vistosa-nfasis4">
    <w:name w:val="Colorful Grid Accent 4"/>
    <w:basedOn w:val="Tablanormal"/>
    <w:uiPriority w:val="73"/>
    <w:rsid w:val="00A9084D"/>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vistosa-nfasis5">
    <w:name w:val="Colorful Grid Accent 5"/>
    <w:basedOn w:val="Tablanormal"/>
    <w:uiPriority w:val="73"/>
    <w:rsid w:val="00A9084D"/>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vistosa-nfasis6">
    <w:name w:val="Colorful Grid Accent 6"/>
    <w:basedOn w:val="Tablanormal"/>
    <w:uiPriority w:val="73"/>
    <w:rsid w:val="00A9084D"/>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DefinicinHTML">
    <w:name w:val="HTML Definition"/>
    <w:basedOn w:val="Fuentedeprrafopredeter"/>
    <w:uiPriority w:val="99"/>
    <w:semiHidden/>
    <w:unhideWhenUsed/>
    <w:rsid w:val="00A9084D"/>
    <w:rPr>
      <w:i/>
      <w:iCs/>
    </w:rPr>
  </w:style>
  <w:style w:type="paragraph" w:styleId="DireccinHTML">
    <w:name w:val="HTML Address"/>
    <w:basedOn w:val="Normal"/>
    <w:link w:val="DireccinHTMLCar"/>
    <w:uiPriority w:val="99"/>
    <w:semiHidden/>
    <w:unhideWhenUsed/>
    <w:rsid w:val="00A9084D"/>
    <w:pPr>
      <w:spacing w:before="0"/>
    </w:pPr>
    <w:rPr>
      <w:i/>
      <w:iCs/>
    </w:rPr>
  </w:style>
  <w:style w:type="character" w:customStyle="1" w:styleId="DireccinHTMLCar">
    <w:name w:val="Dirección HTML Car"/>
    <w:basedOn w:val="Fuentedeprrafopredeter"/>
    <w:link w:val="DireccinHTML"/>
    <w:uiPriority w:val="99"/>
    <w:semiHidden/>
    <w:rsid w:val="00A9084D"/>
    <w:rPr>
      <w:rFonts w:ascii="Calibri" w:hAnsi="Calibri"/>
      <w:i/>
      <w:iCs/>
      <w:sz w:val="24"/>
    </w:rPr>
  </w:style>
  <w:style w:type="paragraph" w:styleId="Direccinsobre">
    <w:name w:val="envelope address"/>
    <w:basedOn w:val="Normal"/>
    <w:uiPriority w:val="99"/>
    <w:semiHidden/>
    <w:unhideWhenUsed/>
    <w:rsid w:val="00A9084D"/>
    <w:pPr>
      <w:framePr w:w="7920" w:h="1980" w:hRule="exact" w:hSpace="141" w:wrap="auto" w:hAnchor="page" w:xAlign="center" w:yAlign="bottom"/>
      <w:spacing w:before="0"/>
      <w:ind w:left="2880"/>
    </w:pPr>
    <w:rPr>
      <w:rFonts w:asciiTheme="majorHAnsi" w:eastAsiaTheme="majorEastAsia" w:hAnsiTheme="majorHAnsi" w:cstheme="majorBidi"/>
      <w:szCs w:val="24"/>
    </w:rPr>
  </w:style>
  <w:style w:type="character" w:styleId="EjemplodeHTML">
    <w:name w:val="HTML Sample"/>
    <w:basedOn w:val="Fuentedeprrafopredeter"/>
    <w:uiPriority w:val="99"/>
    <w:semiHidden/>
    <w:unhideWhenUsed/>
    <w:rsid w:val="00A9084D"/>
    <w:rPr>
      <w:rFonts w:ascii="Consolas" w:hAnsi="Consolas"/>
      <w:sz w:val="24"/>
      <w:szCs w:val="24"/>
    </w:rPr>
  </w:style>
  <w:style w:type="paragraph" w:styleId="Encabezadodelista">
    <w:name w:val="toa heading"/>
    <w:basedOn w:val="Normal"/>
    <w:next w:val="Normal"/>
    <w:uiPriority w:val="99"/>
    <w:semiHidden/>
    <w:unhideWhenUsed/>
    <w:rsid w:val="00A9084D"/>
    <w:rPr>
      <w:rFonts w:asciiTheme="majorHAnsi" w:eastAsiaTheme="majorEastAsia" w:hAnsiTheme="majorHAnsi" w:cstheme="majorBidi"/>
      <w:b/>
      <w:bCs/>
      <w:szCs w:val="24"/>
    </w:rPr>
  </w:style>
  <w:style w:type="paragraph" w:styleId="Encabezadodemensaje">
    <w:name w:val="Message Header"/>
    <w:basedOn w:val="Normal"/>
    <w:link w:val="EncabezadodemensajeCar"/>
    <w:uiPriority w:val="99"/>
    <w:semiHidden/>
    <w:unhideWhenUsed/>
    <w:rsid w:val="00A9084D"/>
    <w:pPr>
      <w:pBdr>
        <w:top w:val="single" w:sz="6" w:space="1" w:color="auto"/>
        <w:left w:val="single" w:sz="6" w:space="1" w:color="auto"/>
        <w:bottom w:val="single" w:sz="6" w:space="1" w:color="auto"/>
        <w:right w:val="single" w:sz="6" w:space="1" w:color="auto"/>
      </w:pBdr>
      <w:shd w:val="pct20" w:color="auto" w:fill="auto"/>
      <w:spacing w:before="0"/>
      <w:ind w:left="1134" w:hanging="1134"/>
    </w:pPr>
    <w:rPr>
      <w:rFonts w:asciiTheme="majorHAnsi" w:eastAsiaTheme="majorEastAsia" w:hAnsiTheme="majorHAnsi" w:cstheme="majorBidi"/>
      <w:szCs w:val="24"/>
    </w:rPr>
  </w:style>
  <w:style w:type="character" w:customStyle="1" w:styleId="EncabezadodemensajeCar">
    <w:name w:val="Encabezado de mensaje Car"/>
    <w:basedOn w:val="Fuentedeprrafopredeter"/>
    <w:link w:val="Encabezadodemensaje"/>
    <w:uiPriority w:val="99"/>
    <w:semiHidden/>
    <w:rsid w:val="00A9084D"/>
    <w:rPr>
      <w:rFonts w:asciiTheme="majorHAnsi" w:eastAsiaTheme="majorEastAsia" w:hAnsiTheme="majorHAnsi" w:cstheme="majorBidi"/>
      <w:sz w:val="24"/>
      <w:szCs w:val="24"/>
      <w:shd w:val="pct20" w:color="auto" w:fill="auto"/>
    </w:rPr>
  </w:style>
  <w:style w:type="paragraph" w:styleId="Encabezadodenota">
    <w:name w:val="Note Heading"/>
    <w:basedOn w:val="Normal"/>
    <w:next w:val="Normal"/>
    <w:link w:val="EncabezadodenotaCar"/>
    <w:uiPriority w:val="99"/>
    <w:semiHidden/>
    <w:unhideWhenUsed/>
    <w:rsid w:val="00A9084D"/>
    <w:pPr>
      <w:spacing w:before="0"/>
    </w:pPr>
  </w:style>
  <w:style w:type="character" w:customStyle="1" w:styleId="EncabezadodenotaCar">
    <w:name w:val="Encabezado de nota Car"/>
    <w:basedOn w:val="Fuentedeprrafopredeter"/>
    <w:link w:val="Encabezadodenota"/>
    <w:uiPriority w:val="99"/>
    <w:semiHidden/>
    <w:rsid w:val="00A9084D"/>
    <w:rPr>
      <w:rFonts w:ascii="Calibri" w:hAnsi="Calibri"/>
      <w:sz w:val="24"/>
    </w:rPr>
  </w:style>
  <w:style w:type="paragraph" w:styleId="Descripcin">
    <w:name w:val="caption"/>
    <w:basedOn w:val="Normal"/>
    <w:next w:val="Normal"/>
    <w:uiPriority w:val="35"/>
    <w:semiHidden/>
    <w:unhideWhenUsed/>
    <w:qFormat/>
    <w:rsid w:val="00A9084D"/>
    <w:pPr>
      <w:spacing w:before="0" w:after="200"/>
    </w:pPr>
    <w:rPr>
      <w:b/>
      <w:bCs/>
      <w:color w:val="4F81BD" w:themeColor="accent1"/>
      <w:sz w:val="18"/>
      <w:szCs w:val="18"/>
    </w:rPr>
  </w:style>
  <w:style w:type="paragraph" w:styleId="Fecha">
    <w:name w:val="Date"/>
    <w:basedOn w:val="Normal"/>
    <w:next w:val="Normal"/>
    <w:link w:val="FechaCar"/>
    <w:uiPriority w:val="99"/>
    <w:semiHidden/>
    <w:unhideWhenUsed/>
    <w:rsid w:val="00A9084D"/>
  </w:style>
  <w:style w:type="character" w:customStyle="1" w:styleId="FechaCar">
    <w:name w:val="Fecha Car"/>
    <w:basedOn w:val="Fuentedeprrafopredeter"/>
    <w:link w:val="Fecha"/>
    <w:uiPriority w:val="99"/>
    <w:semiHidden/>
    <w:rsid w:val="00A9084D"/>
    <w:rPr>
      <w:rFonts w:ascii="Calibri" w:hAnsi="Calibri"/>
      <w:sz w:val="24"/>
    </w:rPr>
  </w:style>
  <w:style w:type="paragraph" w:styleId="Firma">
    <w:name w:val="Signature"/>
    <w:basedOn w:val="Normal"/>
    <w:link w:val="FirmaCar"/>
    <w:uiPriority w:val="99"/>
    <w:semiHidden/>
    <w:unhideWhenUsed/>
    <w:rsid w:val="00A9084D"/>
    <w:pPr>
      <w:spacing w:before="0"/>
      <w:ind w:left="4252"/>
    </w:pPr>
  </w:style>
  <w:style w:type="character" w:customStyle="1" w:styleId="FirmaCar">
    <w:name w:val="Firma Car"/>
    <w:basedOn w:val="Fuentedeprrafopredeter"/>
    <w:link w:val="Firma"/>
    <w:uiPriority w:val="99"/>
    <w:semiHidden/>
    <w:rsid w:val="00A9084D"/>
    <w:rPr>
      <w:rFonts w:ascii="Calibri" w:hAnsi="Calibri"/>
      <w:sz w:val="24"/>
    </w:rPr>
  </w:style>
  <w:style w:type="paragraph" w:styleId="Firmadecorreoelectrnico">
    <w:name w:val="E-mail Signature"/>
    <w:basedOn w:val="Normal"/>
    <w:link w:val="FirmadecorreoelectrnicoCar"/>
    <w:uiPriority w:val="99"/>
    <w:semiHidden/>
    <w:unhideWhenUsed/>
    <w:rsid w:val="00A9084D"/>
    <w:pPr>
      <w:spacing w:before="0"/>
    </w:pPr>
  </w:style>
  <w:style w:type="character" w:customStyle="1" w:styleId="FirmadecorreoelectrnicoCar">
    <w:name w:val="Firma de correo electrónico Car"/>
    <w:basedOn w:val="Fuentedeprrafopredeter"/>
    <w:link w:val="Firmadecorreoelectrnico"/>
    <w:uiPriority w:val="99"/>
    <w:semiHidden/>
    <w:rsid w:val="00A9084D"/>
    <w:rPr>
      <w:rFonts w:ascii="Calibri" w:hAnsi="Calibri"/>
      <w:sz w:val="24"/>
    </w:rPr>
  </w:style>
  <w:style w:type="paragraph" w:styleId="ndice1">
    <w:name w:val="index 1"/>
    <w:basedOn w:val="Normal"/>
    <w:next w:val="Normal"/>
    <w:autoRedefine/>
    <w:uiPriority w:val="99"/>
    <w:semiHidden/>
    <w:unhideWhenUsed/>
    <w:rsid w:val="00A9084D"/>
    <w:pPr>
      <w:spacing w:before="0"/>
      <w:ind w:left="240" w:hanging="240"/>
    </w:pPr>
  </w:style>
  <w:style w:type="paragraph" w:styleId="ndice2">
    <w:name w:val="index 2"/>
    <w:basedOn w:val="Normal"/>
    <w:next w:val="Normal"/>
    <w:autoRedefine/>
    <w:uiPriority w:val="99"/>
    <w:semiHidden/>
    <w:unhideWhenUsed/>
    <w:rsid w:val="00A9084D"/>
    <w:pPr>
      <w:spacing w:before="0"/>
      <w:ind w:left="480" w:hanging="240"/>
    </w:pPr>
  </w:style>
  <w:style w:type="paragraph" w:styleId="ndice3">
    <w:name w:val="index 3"/>
    <w:basedOn w:val="Normal"/>
    <w:next w:val="Normal"/>
    <w:autoRedefine/>
    <w:uiPriority w:val="99"/>
    <w:semiHidden/>
    <w:unhideWhenUsed/>
    <w:rsid w:val="00A9084D"/>
    <w:pPr>
      <w:spacing w:before="0"/>
      <w:ind w:left="720" w:hanging="240"/>
    </w:pPr>
  </w:style>
  <w:style w:type="paragraph" w:styleId="ndice4">
    <w:name w:val="index 4"/>
    <w:basedOn w:val="Normal"/>
    <w:next w:val="Normal"/>
    <w:autoRedefine/>
    <w:uiPriority w:val="99"/>
    <w:semiHidden/>
    <w:unhideWhenUsed/>
    <w:rsid w:val="00A9084D"/>
    <w:pPr>
      <w:spacing w:before="0"/>
      <w:ind w:left="960" w:hanging="240"/>
    </w:pPr>
  </w:style>
  <w:style w:type="paragraph" w:styleId="ndice5">
    <w:name w:val="index 5"/>
    <w:basedOn w:val="Normal"/>
    <w:next w:val="Normal"/>
    <w:autoRedefine/>
    <w:uiPriority w:val="99"/>
    <w:semiHidden/>
    <w:unhideWhenUsed/>
    <w:rsid w:val="00A9084D"/>
    <w:pPr>
      <w:spacing w:before="0"/>
      <w:ind w:left="1200" w:hanging="240"/>
    </w:pPr>
  </w:style>
  <w:style w:type="paragraph" w:styleId="ndice6">
    <w:name w:val="index 6"/>
    <w:basedOn w:val="Normal"/>
    <w:next w:val="Normal"/>
    <w:autoRedefine/>
    <w:uiPriority w:val="99"/>
    <w:semiHidden/>
    <w:unhideWhenUsed/>
    <w:rsid w:val="00A9084D"/>
    <w:pPr>
      <w:spacing w:before="0"/>
      <w:ind w:left="1440" w:hanging="240"/>
    </w:pPr>
  </w:style>
  <w:style w:type="paragraph" w:styleId="ndice7">
    <w:name w:val="index 7"/>
    <w:basedOn w:val="Normal"/>
    <w:next w:val="Normal"/>
    <w:autoRedefine/>
    <w:uiPriority w:val="99"/>
    <w:semiHidden/>
    <w:unhideWhenUsed/>
    <w:rsid w:val="00A9084D"/>
    <w:pPr>
      <w:spacing w:before="0"/>
      <w:ind w:left="1680" w:hanging="240"/>
    </w:pPr>
  </w:style>
  <w:style w:type="paragraph" w:styleId="ndice8">
    <w:name w:val="index 8"/>
    <w:basedOn w:val="Normal"/>
    <w:next w:val="Normal"/>
    <w:autoRedefine/>
    <w:uiPriority w:val="99"/>
    <w:semiHidden/>
    <w:unhideWhenUsed/>
    <w:rsid w:val="00A9084D"/>
    <w:pPr>
      <w:spacing w:before="0"/>
      <w:ind w:left="1920" w:hanging="240"/>
    </w:pPr>
  </w:style>
  <w:style w:type="paragraph" w:styleId="ndice9">
    <w:name w:val="index 9"/>
    <w:basedOn w:val="Normal"/>
    <w:next w:val="Normal"/>
    <w:autoRedefine/>
    <w:uiPriority w:val="99"/>
    <w:semiHidden/>
    <w:unhideWhenUsed/>
    <w:rsid w:val="00A9084D"/>
    <w:pPr>
      <w:spacing w:before="0"/>
      <w:ind w:left="2160" w:hanging="240"/>
    </w:pPr>
  </w:style>
  <w:style w:type="paragraph" w:styleId="Lista">
    <w:name w:val="List"/>
    <w:basedOn w:val="Normal"/>
    <w:uiPriority w:val="99"/>
    <w:semiHidden/>
    <w:unhideWhenUsed/>
    <w:rsid w:val="00A9084D"/>
    <w:pPr>
      <w:ind w:left="283" w:hanging="283"/>
      <w:contextualSpacing/>
    </w:pPr>
  </w:style>
  <w:style w:type="paragraph" w:styleId="Lista2">
    <w:name w:val="List 2"/>
    <w:basedOn w:val="Normal"/>
    <w:uiPriority w:val="99"/>
    <w:semiHidden/>
    <w:unhideWhenUsed/>
    <w:rsid w:val="00A9084D"/>
    <w:pPr>
      <w:ind w:left="566" w:hanging="283"/>
      <w:contextualSpacing/>
    </w:pPr>
  </w:style>
  <w:style w:type="paragraph" w:styleId="Lista3">
    <w:name w:val="List 3"/>
    <w:basedOn w:val="Normal"/>
    <w:uiPriority w:val="99"/>
    <w:semiHidden/>
    <w:unhideWhenUsed/>
    <w:rsid w:val="00A9084D"/>
    <w:pPr>
      <w:ind w:left="849" w:hanging="283"/>
      <w:contextualSpacing/>
    </w:pPr>
  </w:style>
  <w:style w:type="paragraph" w:styleId="Lista4">
    <w:name w:val="List 4"/>
    <w:basedOn w:val="Normal"/>
    <w:uiPriority w:val="99"/>
    <w:semiHidden/>
    <w:unhideWhenUsed/>
    <w:rsid w:val="00A9084D"/>
    <w:pPr>
      <w:ind w:left="1132" w:hanging="283"/>
      <w:contextualSpacing/>
    </w:pPr>
  </w:style>
  <w:style w:type="paragraph" w:styleId="Lista5">
    <w:name w:val="List 5"/>
    <w:basedOn w:val="Normal"/>
    <w:uiPriority w:val="99"/>
    <w:semiHidden/>
    <w:unhideWhenUsed/>
    <w:rsid w:val="00A9084D"/>
    <w:pPr>
      <w:ind w:left="1415" w:hanging="283"/>
      <w:contextualSpacing/>
    </w:pPr>
  </w:style>
  <w:style w:type="table" w:customStyle="1" w:styleId="Listaclara1">
    <w:name w:val="Lista clara1"/>
    <w:basedOn w:val="Tablanormal"/>
    <w:uiPriority w:val="61"/>
    <w:rsid w:val="00A9084D"/>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staclara-nfasis11">
    <w:name w:val="Lista clara - Énfasis 11"/>
    <w:basedOn w:val="Tablanormal"/>
    <w:uiPriority w:val="61"/>
    <w:rsid w:val="00A9084D"/>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is2">
    <w:name w:val="Light List Accent 2"/>
    <w:basedOn w:val="Tablanormal"/>
    <w:uiPriority w:val="61"/>
    <w:rsid w:val="00A9084D"/>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is3">
    <w:name w:val="Light List Accent 3"/>
    <w:basedOn w:val="Tablanormal"/>
    <w:uiPriority w:val="61"/>
    <w:rsid w:val="00A9084D"/>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is4">
    <w:name w:val="Light List Accent 4"/>
    <w:basedOn w:val="Tablanormal"/>
    <w:uiPriority w:val="61"/>
    <w:rsid w:val="00A9084D"/>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is5">
    <w:name w:val="Light List Accent 5"/>
    <w:basedOn w:val="Tablanormal"/>
    <w:uiPriority w:val="61"/>
    <w:rsid w:val="00A9084D"/>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is6">
    <w:name w:val="Light List Accent 6"/>
    <w:basedOn w:val="Tablanormal"/>
    <w:uiPriority w:val="61"/>
    <w:rsid w:val="00A9084D"/>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paragraph" w:styleId="Listaconnmeros">
    <w:name w:val="List Number"/>
    <w:basedOn w:val="Normal"/>
    <w:uiPriority w:val="99"/>
    <w:semiHidden/>
    <w:unhideWhenUsed/>
    <w:rsid w:val="00A9084D"/>
    <w:pPr>
      <w:numPr>
        <w:numId w:val="2"/>
      </w:numPr>
      <w:contextualSpacing/>
    </w:pPr>
  </w:style>
  <w:style w:type="paragraph" w:styleId="Listaconnmeros2">
    <w:name w:val="List Number 2"/>
    <w:basedOn w:val="Normal"/>
    <w:uiPriority w:val="99"/>
    <w:semiHidden/>
    <w:unhideWhenUsed/>
    <w:rsid w:val="00A9084D"/>
    <w:pPr>
      <w:numPr>
        <w:numId w:val="3"/>
      </w:numPr>
      <w:contextualSpacing/>
    </w:pPr>
  </w:style>
  <w:style w:type="paragraph" w:styleId="Listaconnmeros3">
    <w:name w:val="List Number 3"/>
    <w:basedOn w:val="Normal"/>
    <w:uiPriority w:val="99"/>
    <w:semiHidden/>
    <w:unhideWhenUsed/>
    <w:rsid w:val="00A9084D"/>
    <w:pPr>
      <w:numPr>
        <w:numId w:val="4"/>
      </w:numPr>
      <w:contextualSpacing/>
    </w:pPr>
  </w:style>
  <w:style w:type="paragraph" w:styleId="Listaconnmeros4">
    <w:name w:val="List Number 4"/>
    <w:basedOn w:val="Normal"/>
    <w:uiPriority w:val="99"/>
    <w:semiHidden/>
    <w:unhideWhenUsed/>
    <w:rsid w:val="00A9084D"/>
    <w:pPr>
      <w:numPr>
        <w:numId w:val="5"/>
      </w:numPr>
      <w:contextualSpacing/>
    </w:pPr>
  </w:style>
  <w:style w:type="paragraph" w:styleId="Listaconnmeros5">
    <w:name w:val="List Number 5"/>
    <w:basedOn w:val="Normal"/>
    <w:uiPriority w:val="99"/>
    <w:semiHidden/>
    <w:unhideWhenUsed/>
    <w:rsid w:val="00A9084D"/>
    <w:pPr>
      <w:numPr>
        <w:numId w:val="6"/>
      </w:numPr>
      <w:contextualSpacing/>
    </w:pPr>
  </w:style>
  <w:style w:type="paragraph" w:styleId="Listaconvietas">
    <w:name w:val="List Bullet"/>
    <w:basedOn w:val="Normal"/>
    <w:uiPriority w:val="99"/>
    <w:semiHidden/>
    <w:unhideWhenUsed/>
    <w:rsid w:val="00A9084D"/>
    <w:pPr>
      <w:numPr>
        <w:numId w:val="7"/>
      </w:numPr>
      <w:contextualSpacing/>
    </w:pPr>
  </w:style>
  <w:style w:type="paragraph" w:styleId="Listaconvietas2">
    <w:name w:val="List Bullet 2"/>
    <w:basedOn w:val="Normal"/>
    <w:uiPriority w:val="99"/>
    <w:semiHidden/>
    <w:unhideWhenUsed/>
    <w:rsid w:val="00A9084D"/>
    <w:pPr>
      <w:numPr>
        <w:numId w:val="8"/>
      </w:numPr>
      <w:contextualSpacing/>
    </w:pPr>
  </w:style>
  <w:style w:type="paragraph" w:styleId="Listaconvietas3">
    <w:name w:val="List Bullet 3"/>
    <w:basedOn w:val="Normal"/>
    <w:uiPriority w:val="99"/>
    <w:semiHidden/>
    <w:unhideWhenUsed/>
    <w:rsid w:val="00A9084D"/>
    <w:pPr>
      <w:numPr>
        <w:numId w:val="9"/>
      </w:numPr>
      <w:contextualSpacing/>
    </w:pPr>
  </w:style>
  <w:style w:type="paragraph" w:styleId="Listaconvietas4">
    <w:name w:val="List Bullet 4"/>
    <w:basedOn w:val="Normal"/>
    <w:uiPriority w:val="99"/>
    <w:semiHidden/>
    <w:unhideWhenUsed/>
    <w:rsid w:val="00A9084D"/>
    <w:pPr>
      <w:numPr>
        <w:numId w:val="10"/>
      </w:numPr>
      <w:contextualSpacing/>
    </w:pPr>
  </w:style>
  <w:style w:type="paragraph" w:styleId="Listaconvietas5">
    <w:name w:val="List Bullet 5"/>
    <w:basedOn w:val="Normal"/>
    <w:uiPriority w:val="99"/>
    <w:semiHidden/>
    <w:unhideWhenUsed/>
    <w:rsid w:val="00A9084D"/>
    <w:pPr>
      <w:numPr>
        <w:numId w:val="11"/>
      </w:numPr>
      <w:contextualSpacing/>
    </w:pPr>
  </w:style>
  <w:style w:type="table" w:customStyle="1" w:styleId="Listamedia11">
    <w:name w:val="Lista media 11"/>
    <w:basedOn w:val="Tablanormal"/>
    <w:uiPriority w:val="65"/>
    <w:rsid w:val="00A9084D"/>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Listamedia1-nfasis11">
    <w:name w:val="Lista media 1 - Énfasis 11"/>
    <w:basedOn w:val="Tablanormal"/>
    <w:uiPriority w:val="65"/>
    <w:rsid w:val="00A9084D"/>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edia1-nfasis2">
    <w:name w:val="Medium List 1 Accent 2"/>
    <w:basedOn w:val="Tablanormal"/>
    <w:uiPriority w:val="65"/>
    <w:rsid w:val="00A9084D"/>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edia1-nfasis3">
    <w:name w:val="Medium List 1 Accent 3"/>
    <w:basedOn w:val="Tablanormal"/>
    <w:uiPriority w:val="65"/>
    <w:rsid w:val="00A9084D"/>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edia1-nfasis4">
    <w:name w:val="Medium List 1 Accent 4"/>
    <w:basedOn w:val="Tablanormal"/>
    <w:uiPriority w:val="65"/>
    <w:rsid w:val="00A9084D"/>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edia1-nfasis5">
    <w:name w:val="Medium List 1 Accent 5"/>
    <w:basedOn w:val="Tablanormal"/>
    <w:uiPriority w:val="65"/>
    <w:rsid w:val="00A9084D"/>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edia1-nfasis6">
    <w:name w:val="Medium List 1 Accent 6"/>
    <w:basedOn w:val="Tablanormal"/>
    <w:uiPriority w:val="65"/>
    <w:rsid w:val="00A9084D"/>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customStyle="1" w:styleId="Listamedia21">
    <w:name w:val="Lista media 21"/>
    <w:basedOn w:val="Tablanormal"/>
    <w:uiPriority w:val="66"/>
    <w:rsid w:val="00A9084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rsid w:val="00A9084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2">
    <w:name w:val="Medium List 2 Accent 2"/>
    <w:basedOn w:val="Tablanormal"/>
    <w:uiPriority w:val="66"/>
    <w:rsid w:val="00A9084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3">
    <w:name w:val="Medium List 2 Accent 3"/>
    <w:basedOn w:val="Tablanormal"/>
    <w:uiPriority w:val="66"/>
    <w:rsid w:val="00A9084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4">
    <w:name w:val="Medium List 2 Accent 4"/>
    <w:basedOn w:val="Tablanormal"/>
    <w:uiPriority w:val="66"/>
    <w:rsid w:val="00A9084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5">
    <w:name w:val="Medium List 2 Accent 5"/>
    <w:basedOn w:val="Tablanormal"/>
    <w:uiPriority w:val="66"/>
    <w:rsid w:val="00A9084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6">
    <w:name w:val="Medium List 2 Accent 6"/>
    <w:basedOn w:val="Tablanormal"/>
    <w:uiPriority w:val="66"/>
    <w:rsid w:val="00A9084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Listaoscura1">
    <w:name w:val="Lista oscura1"/>
    <w:basedOn w:val="Tablanormal"/>
    <w:uiPriority w:val="70"/>
    <w:rsid w:val="00A9084D"/>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oscura-nfasis1">
    <w:name w:val="Dark List Accent 1"/>
    <w:basedOn w:val="Tablanormal"/>
    <w:uiPriority w:val="70"/>
    <w:rsid w:val="00A9084D"/>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oscura-nfasis2">
    <w:name w:val="Dark List Accent 2"/>
    <w:basedOn w:val="Tablanormal"/>
    <w:uiPriority w:val="70"/>
    <w:rsid w:val="00A9084D"/>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oscura-nfasis3">
    <w:name w:val="Dark List Accent 3"/>
    <w:basedOn w:val="Tablanormal"/>
    <w:uiPriority w:val="70"/>
    <w:rsid w:val="00A9084D"/>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oscura-nfasis4">
    <w:name w:val="Dark List Accent 4"/>
    <w:basedOn w:val="Tablanormal"/>
    <w:uiPriority w:val="70"/>
    <w:rsid w:val="00A9084D"/>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oscura-nfasis5">
    <w:name w:val="Dark List Accent 5"/>
    <w:basedOn w:val="Tablanormal"/>
    <w:uiPriority w:val="70"/>
    <w:rsid w:val="00A9084D"/>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oscura-nfasis6">
    <w:name w:val="Dark List Accent 6"/>
    <w:basedOn w:val="Tablanormal"/>
    <w:uiPriority w:val="70"/>
    <w:rsid w:val="00A9084D"/>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customStyle="1" w:styleId="Listavistosa1">
    <w:name w:val="Lista vistosa1"/>
    <w:basedOn w:val="Tablanormal"/>
    <w:uiPriority w:val="72"/>
    <w:rsid w:val="00A9084D"/>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vistosa-nfasis1">
    <w:name w:val="Colorful List Accent 1"/>
    <w:basedOn w:val="Tablanormal"/>
    <w:uiPriority w:val="72"/>
    <w:rsid w:val="00A9084D"/>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vistosa-nfasis2">
    <w:name w:val="Colorful List Accent 2"/>
    <w:basedOn w:val="Tablanormal"/>
    <w:uiPriority w:val="72"/>
    <w:rsid w:val="00A9084D"/>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vistosa-nfasis3">
    <w:name w:val="Colorful List Accent 3"/>
    <w:basedOn w:val="Tablanormal"/>
    <w:uiPriority w:val="72"/>
    <w:rsid w:val="00A9084D"/>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vistosa-nfasis4">
    <w:name w:val="Colorful List Accent 4"/>
    <w:basedOn w:val="Tablanormal"/>
    <w:uiPriority w:val="72"/>
    <w:rsid w:val="00A9084D"/>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vistosa-nfasis5">
    <w:name w:val="Colorful List Accent 5"/>
    <w:basedOn w:val="Tablanormal"/>
    <w:uiPriority w:val="72"/>
    <w:rsid w:val="00A9084D"/>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vistosa-nfasis6">
    <w:name w:val="Colorful List Accent 6"/>
    <w:basedOn w:val="Tablanormal"/>
    <w:uiPriority w:val="72"/>
    <w:rsid w:val="00A9084D"/>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character" w:styleId="MquinadeescribirHTML">
    <w:name w:val="HTML Typewriter"/>
    <w:basedOn w:val="Fuentedeprrafopredeter"/>
    <w:uiPriority w:val="99"/>
    <w:semiHidden/>
    <w:unhideWhenUsed/>
    <w:rsid w:val="00A9084D"/>
    <w:rPr>
      <w:rFonts w:ascii="Consolas" w:hAnsi="Consolas"/>
      <w:sz w:val="20"/>
      <w:szCs w:val="20"/>
    </w:rPr>
  </w:style>
  <w:style w:type="numbering" w:styleId="ArtculoSeccin">
    <w:name w:val="Outline List 3"/>
    <w:basedOn w:val="Sinlista"/>
    <w:uiPriority w:val="99"/>
    <w:semiHidden/>
    <w:unhideWhenUsed/>
    <w:rsid w:val="00B8772C"/>
    <w:pPr>
      <w:numPr>
        <w:numId w:val="22"/>
      </w:numPr>
    </w:pPr>
  </w:style>
  <w:style w:type="paragraph" w:customStyle="1" w:styleId="TextoNotaPieTitulo">
    <w:name w:val="TextoNotaPieTitulo"/>
    <w:basedOn w:val="Normal"/>
    <w:qFormat/>
    <w:rsid w:val="00664D12"/>
    <w:pPr>
      <w:spacing w:before="0"/>
    </w:pPr>
    <w:rPr>
      <w:rFonts w:eastAsia="Calibri" w:cs="Times New Roman"/>
      <w:sz w:val="20"/>
      <w:szCs w:val="20"/>
    </w:rPr>
  </w:style>
  <w:style w:type="numbering" w:customStyle="1" w:styleId="Sinlista1">
    <w:name w:val="Sin lista1"/>
    <w:next w:val="Sinlista"/>
    <w:uiPriority w:val="99"/>
    <w:semiHidden/>
    <w:unhideWhenUsed/>
    <w:rsid w:val="005C39F7"/>
  </w:style>
  <w:style w:type="paragraph" w:customStyle="1" w:styleId="Textonotapie1">
    <w:name w:val="Texto nota pie1"/>
    <w:basedOn w:val="Normal"/>
    <w:next w:val="Textonotapie"/>
    <w:link w:val="TextonotapieCar"/>
    <w:uiPriority w:val="99"/>
    <w:unhideWhenUsed/>
    <w:rsid w:val="005C39F7"/>
    <w:pPr>
      <w:spacing w:before="0"/>
      <w:ind w:firstLine="0"/>
      <w:jc w:val="left"/>
    </w:pPr>
    <w:rPr>
      <w:rFonts w:asciiTheme="minorHAnsi" w:hAnsiTheme="minorHAnsi"/>
      <w:sz w:val="20"/>
      <w:szCs w:val="20"/>
    </w:rPr>
  </w:style>
  <w:style w:type="character" w:customStyle="1" w:styleId="TextonotapieCar">
    <w:name w:val="Texto nota pie Car"/>
    <w:basedOn w:val="Fuentedeprrafopredeter"/>
    <w:link w:val="Textonotapie1"/>
    <w:uiPriority w:val="99"/>
    <w:rsid w:val="005C39F7"/>
    <w:rPr>
      <w:sz w:val="20"/>
      <w:szCs w:val="20"/>
    </w:rPr>
  </w:style>
  <w:style w:type="character" w:customStyle="1" w:styleId="apple-converted-space">
    <w:name w:val="apple-converted-space"/>
    <w:basedOn w:val="Fuentedeprrafopredeter"/>
    <w:rsid w:val="005C39F7"/>
  </w:style>
  <w:style w:type="paragraph" w:customStyle="1" w:styleId="Normal1">
    <w:name w:val="Normal1"/>
    <w:basedOn w:val="Normal"/>
    <w:rsid w:val="005C39F7"/>
    <w:pPr>
      <w:spacing w:before="100" w:beforeAutospacing="1" w:after="100" w:afterAutospacing="1"/>
      <w:ind w:firstLine="0"/>
      <w:jc w:val="left"/>
    </w:pPr>
    <w:rPr>
      <w:rFonts w:ascii="Times New Roman" w:eastAsia="Times New Roman" w:hAnsi="Times New Roman" w:cs="Times New Roman"/>
      <w:szCs w:val="24"/>
      <w:lang w:eastAsia="es-ES"/>
    </w:rPr>
  </w:style>
  <w:style w:type="paragraph" w:customStyle="1" w:styleId="Default">
    <w:name w:val="Default"/>
    <w:rsid w:val="005C39F7"/>
    <w:pPr>
      <w:autoSpaceDE w:val="0"/>
      <w:autoSpaceDN w:val="0"/>
      <w:adjustRightInd w:val="0"/>
      <w:spacing w:after="0" w:line="240" w:lineRule="auto"/>
    </w:pPr>
    <w:rPr>
      <w:rFonts w:ascii="Arial Unicode MS" w:eastAsia="Arial Unicode MS" w:cs="Arial Unicode MS"/>
      <w:color w:val="000000"/>
      <w:sz w:val="24"/>
      <w:szCs w:val="24"/>
    </w:rPr>
  </w:style>
  <w:style w:type="paragraph" w:customStyle="1" w:styleId="parrafo">
    <w:name w:val="parrafo"/>
    <w:basedOn w:val="Normal"/>
    <w:rsid w:val="005C39F7"/>
    <w:pPr>
      <w:spacing w:before="100" w:beforeAutospacing="1" w:after="100" w:afterAutospacing="1"/>
      <w:ind w:firstLine="0"/>
      <w:jc w:val="left"/>
    </w:pPr>
    <w:rPr>
      <w:rFonts w:ascii="Times New Roman" w:eastAsia="Times New Roman" w:hAnsi="Times New Roman" w:cs="Times New Roman"/>
      <w:szCs w:val="24"/>
      <w:lang w:eastAsia="es-ES"/>
    </w:rPr>
  </w:style>
  <w:style w:type="paragraph" w:customStyle="1" w:styleId="parrafo2">
    <w:name w:val="parrafo_2"/>
    <w:basedOn w:val="Normal"/>
    <w:rsid w:val="005C39F7"/>
    <w:pPr>
      <w:spacing w:before="100" w:beforeAutospacing="1" w:after="100" w:afterAutospacing="1"/>
      <w:ind w:firstLine="0"/>
      <w:jc w:val="left"/>
    </w:pPr>
    <w:rPr>
      <w:rFonts w:ascii="Times New Roman" w:eastAsia="Times New Roman" w:hAnsi="Times New Roman" w:cs="Times New Roman"/>
      <w:szCs w:val="24"/>
      <w:lang w:eastAsia="es-ES"/>
    </w:rPr>
  </w:style>
  <w:style w:type="character" w:customStyle="1" w:styleId="negrita">
    <w:name w:val="negrita"/>
    <w:basedOn w:val="Fuentedeprrafopredeter"/>
    <w:rsid w:val="005C39F7"/>
  </w:style>
  <w:style w:type="paragraph" w:customStyle="1" w:styleId="titulonivel2">
    <w:name w:val="titulonivel2"/>
    <w:basedOn w:val="Normal"/>
    <w:rsid w:val="005C39F7"/>
    <w:pPr>
      <w:spacing w:before="100" w:beforeAutospacing="1" w:after="100" w:afterAutospacing="1"/>
      <w:ind w:firstLine="0"/>
      <w:jc w:val="left"/>
    </w:pPr>
    <w:rPr>
      <w:rFonts w:ascii="Times New Roman" w:eastAsia="Times New Roman" w:hAnsi="Times New Roman" w:cs="Times New Roman"/>
      <w:szCs w:val="24"/>
      <w:lang w:eastAsia="es-ES"/>
    </w:rPr>
  </w:style>
  <w:style w:type="character" w:customStyle="1" w:styleId="cursiva">
    <w:name w:val="cursiva"/>
    <w:basedOn w:val="Fuentedeprrafopredeter"/>
    <w:rsid w:val="005C39F7"/>
  </w:style>
  <w:style w:type="character" w:customStyle="1" w:styleId="iconos">
    <w:name w:val="iconos"/>
    <w:basedOn w:val="Fuentedeprrafopredeter"/>
    <w:rsid w:val="005C39F7"/>
  </w:style>
  <w:style w:type="character" w:customStyle="1" w:styleId="searchterm">
    <w:name w:val="searchterm"/>
    <w:basedOn w:val="Fuentedeprrafopredeter"/>
    <w:rsid w:val="005C39F7"/>
  </w:style>
  <w:style w:type="character" w:customStyle="1" w:styleId="destaca-aranzadi">
    <w:name w:val="destaca-aranzadi"/>
    <w:basedOn w:val="Fuentedeprrafopredeter"/>
    <w:rsid w:val="005C39F7"/>
  </w:style>
  <w:style w:type="character" w:customStyle="1" w:styleId="subrayado">
    <w:name w:val="subrayado"/>
    <w:basedOn w:val="Fuentedeprrafopredeter"/>
    <w:rsid w:val="005C39F7"/>
  </w:style>
  <w:style w:type="paragraph" w:styleId="Textonotapie">
    <w:name w:val="footnote text"/>
    <w:basedOn w:val="Normal"/>
    <w:link w:val="TextonotapieCar1"/>
    <w:uiPriority w:val="99"/>
    <w:semiHidden/>
    <w:unhideWhenUsed/>
    <w:qFormat/>
    <w:rsid w:val="005C39F7"/>
    <w:pPr>
      <w:spacing w:before="0"/>
    </w:pPr>
    <w:rPr>
      <w:sz w:val="20"/>
      <w:szCs w:val="20"/>
    </w:rPr>
  </w:style>
  <w:style w:type="character" w:customStyle="1" w:styleId="TextonotapieCar1">
    <w:name w:val="Texto nota pie Car1"/>
    <w:basedOn w:val="Fuentedeprrafopredeter"/>
    <w:link w:val="Textonotapie"/>
    <w:uiPriority w:val="99"/>
    <w:semiHidden/>
    <w:rsid w:val="005C39F7"/>
    <w:rPr>
      <w:rFonts w:ascii="Calibri" w:hAnsi="Calibri"/>
      <w:sz w:val="20"/>
      <w:szCs w:val="20"/>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e:docEvents>
    <wne:eventDocOpen/>
  </wne:docEvents>
  <wne:mcds>
    <wne:mcd wne:macroName="PLANTILLA_MONOGRAFIAS.THISDOCUMENT.VALIDATESTYLES" wne:name="Plantilla_monografias.ThisDocument.validateStyles" wne:bEncrypt="00" wne:cmg="56"/>
    <wne:mcd wne:macroName="PLANTILLA_MONOGRAFIAS.NEWMACROS.LOADCONFIG" wne:name="Plantilla_monografias.NewMacros.LoadConfig" wne:bEncrypt="00" wne:cmg="56"/>
    <wne:mcd wne:macroName="PLANTILLA_MONOGRAFIAS.THISDOCUMENT.SHOWSTYLES" wne:name="Plantilla_monografias.ThisDocument.ShowStyles" wne:bEncrypt="00" wne:cmg="56"/>
    <wne:mcd wne:macroName="PLANTILLA_MONOGRAFIAS.NEWMACROS.MOSTRARAYUDAS" wne:name="Plantilla_monografias.NewMacros.MostrarAyudas" wne:bEncrypt="00" wne:cmg="56"/>
    <wne:mcd wne:macroName="PLANTILLA_MONOGRAFIAS.NEWMACROS.SHOWSTYLES" wne:name="Plantilla_monografias.NewMacros.ShowStyles"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5881128">
      <w:bodyDiv w:val="1"/>
      <w:marLeft w:val="0"/>
      <w:marRight w:val="0"/>
      <w:marTop w:val="0"/>
      <w:marBottom w:val="0"/>
      <w:divBdr>
        <w:top w:val="none" w:sz="0" w:space="0" w:color="auto"/>
        <w:left w:val="none" w:sz="0" w:space="0" w:color="auto"/>
        <w:bottom w:val="none" w:sz="0" w:space="0" w:color="auto"/>
        <w:right w:val="none" w:sz="0" w:space="0" w:color="auto"/>
      </w:divBdr>
    </w:div>
    <w:div w:id="153496031">
      <w:bodyDiv w:val="1"/>
      <w:marLeft w:val="0"/>
      <w:marRight w:val="0"/>
      <w:marTop w:val="0"/>
      <w:marBottom w:val="0"/>
      <w:divBdr>
        <w:top w:val="none" w:sz="0" w:space="0" w:color="auto"/>
        <w:left w:val="none" w:sz="0" w:space="0" w:color="auto"/>
        <w:bottom w:val="none" w:sz="0" w:space="0" w:color="auto"/>
        <w:right w:val="none" w:sz="0" w:space="0" w:color="auto"/>
      </w:divBdr>
    </w:div>
    <w:div w:id="235671919">
      <w:bodyDiv w:val="1"/>
      <w:marLeft w:val="0"/>
      <w:marRight w:val="0"/>
      <w:marTop w:val="0"/>
      <w:marBottom w:val="0"/>
      <w:divBdr>
        <w:top w:val="none" w:sz="0" w:space="0" w:color="auto"/>
        <w:left w:val="none" w:sz="0" w:space="0" w:color="auto"/>
        <w:bottom w:val="none" w:sz="0" w:space="0" w:color="auto"/>
        <w:right w:val="none" w:sz="0" w:space="0" w:color="auto"/>
      </w:divBdr>
      <w:divsChild>
        <w:div w:id="391580516">
          <w:marLeft w:val="0"/>
          <w:marRight w:val="0"/>
          <w:marTop w:val="0"/>
          <w:marBottom w:val="0"/>
          <w:divBdr>
            <w:top w:val="none" w:sz="0" w:space="0" w:color="auto"/>
            <w:left w:val="none" w:sz="0" w:space="0" w:color="auto"/>
            <w:bottom w:val="none" w:sz="0" w:space="0" w:color="auto"/>
            <w:right w:val="none" w:sz="0" w:space="0" w:color="auto"/>
          </w:divBdr>
        </w:div>
        <w:div w:id="1672176981">
          <w:marLeft w:val="0"/>
          <w:marRight w:val="0"/>
          <w:marTop w:val="0"/>
          <w:marBottom w:val="0"/>
          <w:divBdr>
            <w:top w:val="none" w:sz="0" w:space="0" w:color="auto"/>
            <w:left w:val="none" w:sz="0" w:space="0" w:color="auto"/>
            <w:bottom w:val="none" w:sz="0" w:space="0" w:color="auto"/>
            <w:right w:val="none" w:sz="0" w:space="0" w:color="auto"/>
          </w:divBdr>
          <w:divsChild>
            <w:div w:id="392972494">
              <w:marLeft w:val="0"/>
              <w:marRight w:val="0"/>
              <w:marTop w:val="0"/>
              <w:marBottom w:val="0"/>
              <w:divBdr>
                <w:top w:val="none" w:sz="0" w:space="0" w:color="auto"/>
                <w:left w:val="none" w:sz="0" w:space="0" w:color="auto"/>
                <w:bottom w:val="none" w:sz="0" w:space="0" w:color="auto"/>
                <w:right w:val="none" w:sz="0" w:space="0" w:color="auto"/>
              </w:divBdr>
            </w:div>
            <w:div w:id="600070564">
              <w:marLeft w:val="0"/>
              <w:marRight w:val="0"/>
              <w:marTop w:val="0"/>
              <w:marBottom w:val="0"/>
              <w:divBdr>
                <w:top w:val="none" w:sz="0" w:space="0" w:color="auto"/>
                <w:left w:val="none" w:sz="0" w:space="0" w:color="auto"/>
                <w:bottom w:val="none" w:sz="0" w:space="0" w:color="auto"/>
                <w:right w:val="none" w:sz="0" w:space="0" w:color="auto"/>
              </w:divBdr>
            </w:div>
            <w:div w:id="200560150">
              <w:marLeft w:val="0"/>
              <w:marRight w:val="0"/>
              <w:marTop w:val="0"/>
              <w:marBottom w:val="0"/>
              <w:divBdr>
                <w:top w:val="none" w:sz="0" w:space="0" w:color="auto"/>
                <w:left w:val="none" w:sz="0" w:space="0" w:color="auto"/>
                <w:bottom w:val="none" w:sz="0" w:space="0" w:color="auto"/>
                <w:right w:val="none" w:sz="0" w:space="0" w:color="auto"/>
              </w:divBdr>
            </w:div>
            <w:div w:id="1216744351">
              <w:marLeft w:val="0"/>
              <w:marRight w:val="0"/>
              <w:marTop w:val="0"/>
              <w:marBottom w:val="0"/>
              <w:divBdr>
                <w:top w:val="none" w:sz="0" w:space="0" w:color="auto"/>
                <w:left w:val="none" w:sz="0" w:space="0" w:color="auto"/>
                <w:bottom w:val="none" w:sz="0" w:space="0" w:color="auto"/>
                <w:right w:val="none" w:sz="0" w:space="0" w:color="auto"/>
              </w:divBdr>
            </w:div>
            <w:div w:id="1651207683">
              <w:marLeft w:val="0"/>
              <w:marRight w:val="0"/>
              <w:marTop w:val="0"/>
              <w:marBottom w:val="0"/>
              <w:divBdr>
                <w:top w:val="none" w:sz="0" w:space="0" w:color="auto"/>
                <w:left w:val="none" w:sz="0" w:space="0" w:color="auto"/>
                <w:bottom w:val="none" w:sz="0" w:space="0" w:color="auto"/>
                <w:right w:val="none" w:sz="0" w:space="0" w:color="auto"/>
              </w:divBdr>
            </w:div>
            <w:div w:id="103310856">
              <w:marLeft w:val="0"/>
              <w:marRight w:val="0"/>
              <w:marTop w:val="0"/>
              <w:marBottom w:val="0"/>
              <w:divBdr>
                <w:top w:val="none" w:sz="0" w:space="0" w:color="auto"/>
                <w:left w:val="none" w:sz="0" w:space="0" w:color="auto"/>
                <w:bottom w:val="none" w:sz="0" w:space="0" w:color="auto"/>
                <w:right w:val="none" w:sz="0" w:space="0" w:color="auto"/>
              </w:divBdr>
            </w:div>
            <w:div w:id="1706757387">
              <w:marLeft w:val="0"/>
              <w:marRight w:val="0"/>
              <w:marTop w:val="0"/>
              <w:marBottom w:val="0"/>
              <w:divBdr>
                <w:top w:val="none" w:sz="0" w:space="0" w:color="auto"/>
                <w:left w:val="none" w:sz="0" w:space="0" w:color="auto"/>
                <w:bottom w:val="none" w:sz="0" w:space="0" w:color="auto"/>
                <w:right w:val="none" w:sz="0" w:space="0" w:color="auto"/>
              </w:divBdr>
            </w:div>
            <w:div w:id="1816215851">
              <w:marLeft w:val="0"/>
              <w:marRight w:val="0"/>
              <w:marTop w:val="0"/>
              <w:marBottom w:val="0"/>
              <w:divBdr>
                <w:top w:val="none" w:sz="0" w:space="0" w:color="auto"/>
                <w:left w:val="none" w:sz="0" w:space="0" w:color="auto"/>
                <w:bottom w:val="none" w:sz="0" w:space="0" w:color="auto"/>
                <w:right w:val="none" w:sz="0" w:space="0" w:color="auto"/>
              </w:divBdr>
            </w:div>
            <w:div w:id="683089550">
              <w:marLeft w:val="0"/>
              <w:marRight w:val="0"/>
              <w:marTop w:val="0"/>
              <w:marBottom w:val="0"/>
              <w:divBdr>
                <w:top w:val="none" w:sz="0" w:space="0" w:color="auto"/>
                <w:left w:val="none" w:sz="0" w:space="0" w:color="auto"/>
                <w:bottom w:val="none" w:sz="0" w:space="0" w:color="auto"/>
                <w:right w:val="none" w:sz="0" w:space="0" w:color="auto"/>
              </w:divBdr>
            </w:div>
            <w:div w:id="771898074">
              <w:marLeft w:val="0"/>
              <w:marRight w:val="0"/>
              <w:marTop w:val="0"/>
              <w:marBottom w:val="0"/>
              <w:divBdr>
                <w:top w:val="none" w:sz="0" w:space="0" w:color="auto"/>
                <w:left w:val="none" w:sz="0" w:space="0" w:color="auto"/>
                <w:bottom w:val="none" w:sz="0" w:space="0" w:color="auto"/>
                <w:right w:val="none" w:sz="0" w:space="0" w:color="auto"/>
              </w:divBdr>
            </w:div>
            <w:div w:id="1264806121">
              <w:marLeft w:val="0"/>
              <w:marRight w:val="0"/>
              <w:marTop w:val="0"/>
              <w:marBottom w:val="0"/>
              <w:divBdr>
                <w:top w:val="none" w:sz="0" w:space="0" w:color="auto"/>
                <w:left w:val="none" w:sz="0" w:space="0" w:color="auto"/>
                <w:bottom w:val="none" w:sz="0" w:space="0" w:color="auto"/>
                <w:right w:val="none" w:sz="0" w:space="0" w:color="auto"/>
              </w:divBdr>
            </w:div>
            <w:div w:id="1322583368">
              <w:marLeft w:val="0"/>
              <w:marRight w:val="0"/>
              <w:marTop w:val="0"/>
              <w:marBottom w:val="0"/>
              <w:divBdr>
                <w:top w:val="none" w:sz="0" w:space="0" w:color="auto"/>
                <w:left w:val="none" w:sz="0" w:space="0" w:color="auto"/>
                <w:bottom w:val="none" w:sz="0" w:space="0" w:color="auto"/>
                <w:right w:val="none" w:sz="0" w:space="0" w:color="auto"/>
              </w:divBdr>
            </w:div>
            <w:div w:id="433404499">
              <w:marLeft w:val="0"/>
              <w:marRight w:val="0"/>
              <w:marTop w:val="0"/>
              <w:marBottom w:val="0"/>
              <w:divBdr>
                <w:top w:val="none" w:sz="0" w:space="0" w:color="auto"/>
                <w:left w:val="none" w:sz="0" w:space="0" w:color="auto"/>
                <w:bottom w:val="none" w:sz="0" w:space="0" w:color="auto"/>
                <w:right w:val="none" w:sz="0" w:space="0" w:color="auto"/>
              </w:divBdr>
            </w:div>
            <w:div w:id="716978332">
              <w:marLeft w:val="0"/>
              <w:marRight w:val="0"/>
              <w:marTop w:val="0"/>
              <w:marBottom w:val="0"/>
              <w:divBdr>
                <w:top w:val="none" w:sz="0" w:space="0" w:color="auto"/>
                <w:left w:val="none" w:sz="0" w:space="0" w:color="auto"/>
                <w:bottom w:val="none" w:sz="0" w:space="0" w:color="auto"/>
                <w:right w:val="none" w:sz="0" w:space="0" w:color="auto"/>
              </w:divBdr>
            </w:div>
            <w:div w:id="1333023048">
              <w:marLeft w:val="0"/>
              <w:marRight w:val="0"/>
              <w:marTop w:val="0"/>
              <w:marBottom w:val="0"/>
              <w:divBdr>
                <w:top w:val="none" w:sz="0" w:space="0" w:color="auto"/>
                <w:left w:val="none" w:sz="0" w:space="0" w:color="auto"/>
                <w:bottom w:val="none" w:sz="0" w:space="0" w:color="auto"/>
                <w:right w:val="none" w:sz="0" w:space="0" w:color="auto"/>
              </w:divBdr>
            </w:div>
            <w:div w:id="1145585141">
              <w:marLeft w:val="0"/>
              <w:marRight w:val="0"/>
              <w:marTop w:val="0"/>
              <w:marBottom w:val="0"/>
              <w:divBdr>
                <w:top w:val="none" w:sz="0" w:space="0" w:color="auto"/>
                <w:left w:val="none" w:sz="0" w:space="0" w:color="auto"/>
                <w:bottom w:val="none" w:sz="0" w:space="0" w:color="auto"/>
                <w:right w:val="none" w:sz="0" w:space="0" w:color="auto"/>
              </w:divBdr>
            </w:div>
            <w:div w:id="1989044225">
              <w:marLeft w:val="0"/>
              <w:marRight w:val="0"/>
              <w:marTop w:val="0"/>
              <w:marBottom w:val="0"/>
              <w:divBdr>
                <w:top w:val="none" w:sz="0" w:space="0" w:color="auto"/>
                <w:left w:val="none" w:sz="0" w:space="0" w:color="auto"/>
                <w:bottom w:val="none" w:sz="0" w:space="0" w:color="auto"/>
                <w:right w:val="none" w:sz="0" w:space="0" w:color="auto"/>
              </w:divBdr>
            </w:div>
            <w:div w:id="600842962">
              <w:marLeft w:val="0"/>
              <w:marRight w:val="0"/>
              <w:marTop w:val="0"/>
              <w:marBottom w:val="0"/>
              <w:divBdr>
                <w:top w:val="none" w:sz="0" w:space="0" w:color="auto"/>
                <w:left w:val="none" w:sz="0" w:space="0" w:color="auto"/>
                <w:bottom w:val="none" w:sz="0" w:space="0" w:color="auto"/>
                <w:right w:val="none" w:sz="0" w:space="0" w:color="auto"/>
              </w:divBdr>
            </w:div>
            <w:div w:id="1617180970">
              <w:marLeft w:val="0"/>
              <w:marRight w:val="0"/>
              <w:marTop w:val="0"/>
              <w:marBottom w:val="0"/>
              <w:divBdr>
                <w:top w:val="none" w:sz="0" w:space="0" w:color="auto"/>
                <w:left w:val="none" w:sz="0" w:space="0" w:color="auto"/>
                <w:bottom w:val="none" w:sz="0" w:space="0" w:color="auto"/>
                <w:right w:val="none" w:sz="0" w:space="0" w:color="auto"/>
              </w:divBdr>
            </w:div>
            <w:div w:id="508133284">
              <w:marLeft w:val="0"/>
              <w:marRight w:val="0"/>
              <w:marTop w:val="0"/>
              <w:marBottom w:val="0"/>
              <w:divBdr>
                <w:top w:val="none" w:sz="0" w:space="0" w:color="auto"/>
                <w:left w:val="none" w:sz="0" w:space="0" w:color="auto"/>
                <w:bottom w:val="none" w:sz="0" w:space="0" w:color="auto"/>
                <w:right w:val="none" w:sz="0" w:space="0" w:color="auto"/>
              </w:divBdr>
            </w:div>
            <w:div w:id="1544097709">
              <w:marLeft w:val="0"/>
              <w:marRight w:val="0"/>
              <w:marTop w:val="0"/>
              <w:marBottom w:val="0"/>
              <w:divBdr>
                <w:top w:val="none" w:sz="0" w:space="0" w:color="auto"/>
                <w:left w:val="none" w:sz="0" w:space="0" w:color="auto"/>
                <w:bottom w:val="none" w:sz="0" w:space="0" w:color="auto"/>
                <w:right w:val="none" w:sz="0" w:space="0" w:color="auto"/>
              </w:divBdr>
            </w:div>
            <w:div w:id="1856578711">
              <w:marLeft w:val="0"/>
              <w:marRight w:val="0"/>
              <w:marTop w:val="0"/>
              <w:marBottom w:val="0"/>
              <w:divBdr>
                <w:top w:val="none" w:sz="0" w:space="0" w:color="auto"/>
                <w:left w:val="none" w:sz="0" w:space="0" w:color="auto"/>
                <w:bottom w:val="none" w:sz="0" w:space="0" w:color="auto"/>
                <w:right w:val="none" w:sz="0" w:space="0" w:color="auto"/>
              </w:divBdr>
            </w:div>
            <w:div w:id="1112286468">
              <w:marLeft w:val="0"/>
              <w:marRight w:val="0"/>
              <w:marTop w:val="0"/>
              <w:marBottom w:val="0"/>
              <w:divBdr>
                <w:top w:val="none" w:sz="0" w:space="0" w:color="auto"/>
                <w:left w:val="none" w:sz="0" w:space="0" w:color="auto"/>
                <w:bottom w:val="none" w:sz="0" w:space="0" w:color="auto"/>
                <w:right w:val="none" w:sz="0" w:space="0" w:color="auto"/>
              </w:divBdr>
            </w:div>
            <w:div w:id="619530667">
              <w:marLeft w:val="0"/>
              <w:marRight w:val="0"/>
              <w:marTop w:val="0"/>
              <w:marBottom w:val="0"/>
              <w:divBdr>
                <w:top w:val="none" w:sz="0" w:space="0" w:color="auto"/>
                <w:left w:val="none" w:sz="0" w:space="0" w:color="auto"/>
                <w:bottom w:val="none" w:sz="0" w:space="0" w:color="auto"/>
                <w:right w:val="none" w:sz="0" w:space="0" w:color="auto"/>
              </w:divBdr>
            </w:div>
            <w:div w:id="945965072">
              <w:marLeft w:val="0"/>
              <w:marRight w:val="0"/>
              <w:marTop w:val="0"/>
              <w:marBottom w:val="0"/>
              <w:divBdr>
                <w:top w:val="none" w:sz="0" w:space="0" w:color="auto"/>
                <w:left w:val="none" w:sz="0" w:space="0" w:color="auto"/>
                <w:bottom w:val="none" w:sz="0" w:space="0" w:color="auto"/>
                <w:right w:val="none" w:sz="0" w:space="0" w:color="auto"/>
              </w:divBdr>
            </w:div>
            <w:div w:id="726996084">
              <w:marLeft w:val="0"/>
              <w:marRight w:val="0"/>
              <w:marTop w:val="0"/>
              <w:marBottom w:val="0"/>
              <w:divBdr>
                <w:top w:val="none" w:sz="0" w:space="0" w:color="auto"/>
                <w:left w:val="none" w:sz="0" w:space="0" w:color="auto"/>
                <w:bottom w:val="none" w:sz="0" w:space="0" w:color="auto"/>
                <w:right w:val="none" w:sz="0" w:space="0" w:color="auto"/>
              </w:divBdr>
            </w:div>
            <w:div w:id="904220842">
              <w:marLeft w:val="0"/>
              <w:marRight w:val="0"/>
              <w:marTop w:val="0"/>
              <w:marBottom w:val="0"/>
              <w:divBdr>
                <w:top w:val="none" w:sz="0" w:space="0" w:color="auto"/>
                <w:left w:val="none" w:sz="0" w:space="0" w:color="auto"/>
                <w:bottom w:val="none" w:sz="0" w:space="0" w:color="auto"/>
                <w:right w:val="none" w:sz="0" w:space="0" w:color="auto"/>
              </w:divBdr>
            </w:div>
            <w:div w:id="1002123720">
              <w:marLeft w:val="0"/>
              <w:marRight w:val="0"/>
              <w:marTop w:val="0"/>
              <w:marBottom w:val="0"/>
              <w:divBdr>
                <w:top w:val="none" w:sz="0" w:space="0" w:color="auto"/>
                <w:left w:val="none" w:sz="0" w:space="0" w:color="auto"/>
                <w:bottom w:val="none" w:sz="0" w:space="0" w:color="auto"/>
                <w:right w:val="none" w:sz="0" w:space="0" w:color="auto"/>
              </w:divBdr>
            </w:div>
            <w:div w:id="1430542961">
              <w:marLeft w:val="0"/>
              <w:marRight w:val="0"/>
              <w:marTop w:val="0"/>
              <w:marBottom w:val="0"/>
              <w:divBdr>
                <w:top w:val="none" w:sz="0" w:space="0" w:color="auto"/>
                <w:left w:val="none" w:sz="0" w:space="0" w:color="auto"/>
                <w:bottom w:val="none" w:sz="0" w:space="0" w:color="auto"/>
                <w:right w:val="none" w:sz="0" w:space="0" w:color="auto"/>
              </w:divBdr>
            </w:div>
            <w:div w:id="1328551926">
              <w:marLeft w:val="0"/>
              <w:marRight w:val="0"/>
              <w:marTop w:val="0"/>
              <w:marBottom w:val="0"/>
              <w:divBdr>
                <w:top w:val="none" w:sz="0" w:space="0" w:color="auto"/>
                <w:left w:val="none" w:sz="0" w:space="0" w:color="auto"/>
                <w:bottom w:val="none" w:sz="0" w:space="0" w:color="auto"/>
                <w:right w:val="none" w:sz="0" w:space="0" w:color="auto"/>
              </w:divBdr>
            </w:div>
            <w:div w:id="1109083038">
              <w:marLeft w:val="0"/>
              <w:marRight w:val="0"/>
              <w:marTop w:val="0"/>
              <w:marBottom w:val="0"/>
              <w:divBdr>
                <w:top w:val="none" w:sz="0" w:space="0" w:color="auto"/>
                <w:left w:val="none" w:sz="0" w:space="0" w:color="auto"/>
                <w:bottom w:val="none" w:sz="0" w:space="0" w:color="auto"/>
                <w:right w:val="none" w:sz="0" w:space="0" w:color="auto"/>
              </w:divBdr>
            </w:div>
            <w:div w:id="309023009">
              <w:marLeft w:val="0"/>
              <w:marRight w:val="0"/>
              <w:marTop w:val="0"/>
              <w:marBottom w:val="0"/>
              <w:divBdr>
                <w:top w:val="none" w:sz="0" w:space="0" w:color="auto"/>
                <w:left w:val="none" w:sz="0" w:space="0" w:color="auto"/>
                <w:bottom w:val="none" w:sz="0" w:space="0" w:color="auto"/>
                <w:right w:val="none" w:sz="0" w:space="0" w:color="auto"/>
              </w:divBdr>
            </w:div>
            <w:div w:id="1853909548">
              <w:marLeft w:val="0"/>
              <w:marRight w:val="0"/>
              <w:marTop w:val="0"/>
              <w:marBottom w:val="0"/>
              <w:divBdr>
                <w:top w:val="none" w:sz="0" w:space="0" w:color="auto"/>
                <w:left w:val="none" w:sz="0" w:space="0" w:color="auto"/>
                <w:bottom w:val="none" w:sz="0" w:space="0" w:color="auto"/>
                <w:right w:val="none" w:sz="0" w:space="0" w:color="auto"/>
              </w:divBdr>
            </w:div>
            <w:div w:id="1395199783">
              <w:marLeft w:val="0"/>
              <w:marRight w:val="0"/>
              <w:marTop w:val="0"/>
              <w:marBottom w:val="0"/>
              <w:divBdr>
                <w:top w:val="none" w:sz="0" w:space="0" w:color="auto"/>
                <w:left w:val="none" w:sz="0" w:space="0" w:color="auto"/>
                <w:bottom w:val="none" w:sz="0" w:space="0" w:color="auto"/>
                <w:right w:val="none" w:sz="0" w:space="0" w:color="auto"/>
              </w:divBdr>
            </w:div>
            <w:div w:id="1668560157">
              <w:marLeft w:val="0"/>
              <w:marRight w:val="0"/>
              <w:marTop w:val="0"/>
              <w:marBottom w:val="0"/>
              <w:divBdr>
                <w:top w:val="none" w:sz="0" w:space="0" w:color="auto"/>
                <w:left w:val="none" w:sz="0" w:space="0" w:color="auto"/>
                <w:bottom w:val="none" w:sz="0" w:space="0" w:color="auto"/>
                <w:right w:val="none" w:sz="0" w:space="0" w:color="auto"/>
              </w:divBdr>
            </w:div>
            <w:div w:id="526141958">
              <w:marLeft w:val="0"/>
              <w:marRight w:val="0"/>
              <w:marTop w:val="0"/>
              <w:marBottom w:val="0"/>
              <w:divBdr>
                <w:top w:val="none" w:sz="0" w:space="0" w:color="auto"/>
                <w:left w:val="none" w:sz="0" w:space="0" w:color="auto"/>
                <w:bottom w:val="none" w:sz="0" w:space="0" w:color="auto"/>
                <w:right w:val="none" w:sz="0" w:space="0" w:color="auto"/>
              </w:divBdr>
            </w:div>
            <w:div w:id="1418284043">
              <w:marLeft w:val="0"/>
              <w:marRight w:val="0"/>
              <w:marTop w:val="0"/>
              <w:marBottom w:val="0"/>
              <w:divBdr>
                <w:top w:val="none" w:sz="0" w:space="0" w:color="auto"/>
                <w:left w:val="none" w:sz="0" w:space="0" w:color="auto"/>
                <w:bottom w:val="none" w:sz="0" w:space="0" w:color="auto"/>
                <w:right w:val="none" w:sz="0" w:space="0" w:color="auto"/>
              </w:divBdr>
            </w:div>
            <w:div w:id="1807166538">
              <w:marLeft w:val="0"/>
              <w:marRight w:val="0"/>
              <w:marTop w:val="0"/>
              <w:marBottom w:val="0"/>
              <w:divBdr>
                <w:top w:val="none" w:sz="0" w:space="0" w:color="auto"/>
                <w:left w:val="none" w:sz="0" w:space="0" w:color="auto"/>
                <w:bottom w:val="none" w:sz="0" w:space="0" w:color="auto"/>
                <w:right w:val="none" w:sz="0" w:space="0" w:color="auto"/>
              </w:divBdr>
            </w:div>
            <w:div w:id="360087213">
              <w:marLeft w:val="0"/>
              <w:marRight w:val="0"/>
              <w:marTop w:val="0"/>
              <w:marBottom w:val="0"/>
              <w:divBdr>
                <w:top w:val="none" w:sz="0" w:space="0" w:color="auto"/>
                <w:left w:val="none" w:sz="0" w:space="0" w:color="auto"/>
                <w:bottom w:val="none" w:sz="0" w:space="0" w:color="auto"/>
                <w:right w:val="none" w:sz="0" w:space="0" w:color="auto"/>
              </w:divBdr>
            </w:div>
            <w:div w:id="1683050898">
              <w:marLeft w:val="0"/>
              <w:marRight w:val="0"/>
              <w:marTop w:val="0"/>
              <w:marBottom w:val="0"/>
              <w:divBdr>
                <w:top w:val="none" w:sz="0" w:space="0" w:color="auto"/>
                <w:left w:val="none" w:sz="0" w:space="0" w:color="auto"/>
                <w:bottom w:val="none" w:sz="0" w:space="0" w:color="auto"/>
                <w:right w:val="none" w:sz="0" w:space="0" w:color="auto"/>
              </w:divBdr>
            </w:div>
            <w:div w:id="2108883852">
              <w:marLeft w:val="0"/>
              <w:marRight w:val="0"/>
              <w:marTop w:val="0"/>
              <w:marBottom w:val="0"/>
              <w:divBdr>
                <w:top w:val="none" w:sz="0" w:space="0" w:color="auto"/>
                <w:left w:val="none" w:sz="0" w:space="0" w:color="auto"/>
                <w:bottom w:val="none" w:sz="0" w:space="0" w:color="auto"/>
                <w:right w:val="none" w:sz="0" w:space="0" w:color="auto"/>
              </w:divBdr>
            </w:div>
            <w:div w:id="519128417">
              <w:marLeft w:val="0"/>
              <w:marRight w:val="0"/>
              <w:marTop w:val="0"/>
              <w:marBottom w:val="0"/>
              <w:divBdr>
                <w:top w:val="none" w:sz="0" w:space="0" w:color="auto"/>
                <w:left w:val="none" w:sz="0" w:space="0" w:color="auto"/>
                <w:bottom w:val="none" w:sz="0" w:space="0" w:color="auto"/>
                <w:right w:val="none" w:sz="0" w:space="0" w:color="auto"/>
              </w:divBdr>
            </w:div>
            <w:div w:id="911700488">
              <w:marLeft w:val="0"/>
              <w:marRight w:val="0"/>
              <w:marTop w:val="0"/>
              <w:marBottom w:val="0"/>
              <w:divBdr>
                <w:top w:val="none" w:sz="0" w:space="0" w:color="auto"/>
                <w:left w:val="none" w:sz="0" w:space="0" w:color="auto"/>
                <w:bottom w:val="none" w:sz="0" w:space="0" w:color="auto"/>
                <w:right w:val="none" w:sz="0" w:space="0" w:color="auto"/>
              </w:divBdr>
            </w:div>
            <w:div w:id="899292901">
              <w:marLeft w:val="0"/>
              <w:marRight w:val="0"/>
              <w:marTop w:val="0"/>
              <w:marBottom w:val="0"/>
              <w:divBdr>
                <w:top w:val="none" w:sz="0" w:space="0" w:color="auto"/>
                <w:left w:val="none" w:sz="0" w:space="0" w:color="auto"/>
                <w:bottom w:val="none" w:sz="0" w:space="0" w:color="auto"/>
                <w:right w:val="none" w:sz="0" w:space="0" w:color="auto"/>
              </w:divBdr>
            </w:div>
            <w:div w:id="1237126502">
              <w:marLeft w:val="0"/>
              <w:marRight w:val="0"/>
              <w:marTop w:val="0"/>
              <w:marBottom w:val="0"/>
              <w:divBdr>
                <w:top w:val="none" w:sz="0" w:space="0" w:color="auto"/>
                <w:left w:val="none" w:sz="0" w:space="0" w:color="auto"/>
                <w:bottom w:val="none" w:sz="0" w:space="0" w:color="auto"/>
                <w:right w:val="none" w:sz="0" w:space="0" w:color="auto"/>
              </w:divBdr>
            </w:div>
            <w:div w:id="185213037">
              <w:marLeft w:val="0"/>
              <w:marRight w:val="0"/>
              <w:marTop w:val="0"/>
              <w:marBottom w:val="0"/>
              <w:divBdr>
                <w:top w:val="none" w:sz="0" w:space="0" w:color="auto"/>
                <w:left w:val="none" w:sz="0" w:space="0" w:color="auto"/>
                <w:bottom w:val="none" w:sz="0" w:space="0" w:color="auto"/>
                <w:right w:val="none" w:sz="0" w:space="0" w:color="auto"/>
              </w:divBdr>
            </w:div>
            <w:div w:id="2048942405">
              <w:marLeft w:val="0"/>
              <w:marRight w:val="0"/>
              <w:marTop w:val="0"/>
              <w:marBottom w:val="0"/>
              <w:divBdr>
                <w:top w:val="none" w:sz="0" w:space="0" w:color="auto"/>
                <w:left w:val="none" w:sz="0" w:space="0" w:color="auto"/>
                <w:bottom w:val="none" w:sz="0" w:space="0" w:color="auto"/>
                <w:right w:val="none" w:sz="0" w:space="0" w:color="auto"/>
              </w:divBdr>
            </w:div>
            <w:div w:id="790788352">
              <w:marLeft w:val="0"/>
              <w:marRight w:val="0"/>
              <w:marTop w:val="0"/>
              <w:marBottom w:val="0"/>
              <w:divBdr>
                <w:top w:val="none" w:sz="0" w:space="0" w:color="auto"/>
                <w:left w:val="none" w:sz="0" w:space="0" w:color="auto"/>
                <w:bottom w:val="none" w:sz="0" w:space="0" w:color="auto"/>
                <w:right w:val="none" w:sz="0" w:space="0" w:color="auto"/>
              </w:divBdr>
            </w:div>
            <w:div w:id="386687804">
              <w:marLeft w:val="0"/>
              <w:marRight w:val="0"/>
              <w:marTop w:val="0"/>
              <w:marBottom w:val="0"/>
              <w:divBdr>
                <w:top w:val="none" w:sz="0" w:space="0" w:color="auto"/>
                <w:left w:val="none" w:sz="0" w:space="0" w:color="auto"/>
                <w:bottom w:val="none" w:sz="0" w:space="0" w:color="auto"/>
                <w:right w:val="none" w:sz="0" w:space="0" w:color="auto"/>
              </w:divBdr>
            </w:div>
            <w:div w:id="509637647">
              <w:marLeft w:val="0"/>
              <w:marRight w:val="0"/>
              <w:marTop w:val="0"/>
              <w:marBottom w:val="0"/>
              <w:divBdr>
                <w:top w:val="none" w:sz="0" w:space="0" w:color="auto"/>
                <w:left w:val="none" w:sz="0" w:space="0" w:color="auto"/>
                <w:bottom w:val="none" w:sz="0" w:space="0" w:color="auto"/>
                <w:right w:val="none" w:sz="0" w:space="0" w:color="auto"/>
              </w:divBdr>
            </w:div>
            <w:div w:id="319358127">
              <w:marLeft w:val="0"/>
              <w:marRight w:val="0"/>
              <w:marTop w:val="0"/>
              <w:marBottom w:val="0"/>
              <w:divBdr>
                <w:top w:val="none" w:sz="0" w:space="0" w:color="auto"/>
                <w:left w:val="none" w:sz="0" w:space="0" w:color="auto"/>
                <w:bottom w:val="none" w:sz="0" w:space="0" w:color="auto"/>
                <w:right w:val="none" w:sz="0" w:space="0" w:color="auto"/>
              </w:divBdr>
            </w:div>
            <w:div w:id="941381315">
              <w:marLeft w:val="0"/>
              <w:marRight w:val="0"/>
              <w:marTop w:val="0"/>
              <w:marBottom w:val="0"/>
              <w:divBdr>
                <w:top w:val="none" w:sz="0" w:space="0" w:color="auto"/>
                <w:left w:val="none" w:sz="0" w:space="0" w:color="auto"/>
                <w:bottom w:val="none" w:sz="0" w:space="0" w:color="auto"/>
                <w:right w:val="none" w:sz="0" w:space="0" w:color="auto"/>
              </w:divBdr>
            </w:div>
            <w:div w:id="311255922">
              <w:marLeft w:val="0"/>
              <w:marRight w:val="0"/>
              <w:marTop w:val="0"/>
              <w:marBottom w:val="0"/>
              <w:divBdr>
                <w:top w:val="none" w:sz="0" w:space="0" w:color="auto"/>
                <w:left w:val="none" w:sz="0" w:space="0" w:color="auto"/>
                <w:bottom w:val="none" w:sz="0" w:space="0" w:color="auto"/>
                <w:right w:val="none" w:sz="0" w:space="0" w:color="auto"/>
              </w:divBdr>
            </w:div>
            <w:div w:id="972369728">
              <w:marLeft w:val="0"/>
              <w:marRight w:val="0"/>
              <w:marTop w:val="0"/>
              <w:marBottom w:val="0"/>
              <w:divBdr>
                <w:top w:val="none" w:sz="0" w:space="0" w:color="auto"/>
                <w:left w:val="none" w:sz="0" w:space="0" w:color="auto"/>
                <w:bottom w:val="none" w:sz="0" w:space="0" w:color="auto"/>
                <w:right w:val="none" w:sz="0" w:space="0" w:color="auto"/>
              </w:divBdr>
            </w:div>
            <w:div w:id="884409142">
              <w:marLeft w:val="0"/>
              <w:marRight w:val="0"/>
              <w:marTop w:val="0"/>
              <w:marBottom w:val="0"/>
              <w:divBdr>
                <w:top w:val="none" w:sz="0" w:space="0" w:color="auto"/>
                <w:left w:val="none" w:sz="0" w:space="0" w:color="auto"/>
                <w:bottom w:val="none" w:sz="0" w:space="0" w:color="auto"/>
                <w:right w:val="none" w:sz="0" w:space="0" w:color="auto"/>
              </w:divBdr>
            </w:div>
            <w:div w:id="913244551">
              <w:marLeft w:val="0"/>
              <w:marRight w:val="0"/>
              <w:marTop w:val="0"/>
              <w:marBottom w:val="0"/>
              <w:divBdr>
                <w:top w:val="none" w:sz="0" w:space="0" w:color="auto"/>
                <w:left w:val="none" w:sz="0" w:space="0" w:color="auto"/>
                <w:bottom w:val="none" w:sz="0" w:space="0" w:color="auto"/>
                <w:right w:val="none" w:sz="0" w:space="0" w:color="auto"/>
              </w:divBdr>
            </w:div>
            <w:div w:id="742870172">
              <w:marLeft w:val="0"/>
              <w:marRight w:val="0"/>
              <w:marTop w:val="0"/>
              <w:marBottom w:val="0"/>
              <w:divBdr>
                <w:top w:val="none" w:sz="0" w:space="0" w:color="auto"/>
                <w:left w:val="none" w:sz="0" w:space="0" w:color="auto"/>
                <w:bottom w:val="none" w:sz="0" w:space="0" w:color="auto"/>
                <w:right w:val="none" w:sz="0" w:space="0" w:color="auto"/>
              </w:divBdr>
            </w:div>
            <w:div w:id="510875109">
              <w:marLeft w:val="0"/>
              <w:marRight w:val="0"/>
              <w:marTop w:val="0"/>
              <w:marBottom w:val="0"/>
              <w:divBdr>
                <w:top w:val="none" w:sz="0" w:space="0" w:color="auto"/>
                <w:left w:val="none" w:sz="0" w:space="0" w:color="auto"/>
                <w:bottom w:val="none" w:sz="0" w:space="0" w:color="auto"/>
                <w:right w:val="none" w:sz="0" w:space="0" w:color="auto"/>
              </w:divBdr>
            </w:div>
            <w:div w:id="1221096536">
              <w:marLeft w:val="0"/>
              <w:marRight w:val="0"/>
              <w:marTop w:val="0"/>
              <w:marBottom w:val="0"/>
              <w:divBdr>
                <w:top w:val="none" w:sz="0" w:space="0" w:color="auto"/>
                <w:left w:val="none" w:sz="0" w:space="0" w:color="auto"/>
                <w:bottom w:val="none" w:sz="0" w:space="0" w:color="auto"/>
                <w:right w:val="none" w:sz="0" w:space="0" w:color="auto"/>
              </w:divBdr>
            </w:div>
            <w:div w:id="134297870">
              <w:marLeft w:val="0"/>
              <w:marRight w:val="0"/>
              <w:marTop w:val="0"/>
              <w:marBottom w:val="0"/>
              <w:divBdr>
                <w:top w:val="none" w:sz="0" w:space="0" w:color="auto"/>
                <w:left w:val="none" w:sz="0" w:space="0" w:color="auto"/>
                <w:bottom w:val="none" w:sz="0" w:space="0" w:color="auto"/>
                <w:right w:val="none" w:sz="0" w:space="0" w:color="auto"/>
              </w:divBdr>
            </w:div>
            <w:div w:id="1566600587">
              <w:marLeft w:val="0"/>
              <w:marRight w:val="0"/>
              <w:marTop w:val="0"/>
              <w:marBottom w:val="0"/>
              <w:divBdr>
                <w:top w:val="none" w:sz="0" w:space="0" w:color="auto"/>
                <w:left w:val="none" w:sz="0" w:space="0" w:color="auto"/>
                <w:bottom w:val="none" w:sz="0" w:space="0" w:color="auto"/>
                <w:right w:val="none" w:sz="0" w:space="0" w:color="auto"/>
              </w:divBdr>
            </w:div>
            <w:div w:id="286471590">
              <w:marLeft w:val="0"/>
              <w:marRight w:val="0"/>
              <w:marTop w:val="0"/>
              <w:marBottom w:val="0"/>
              <w:divBdr>
                <w:top w:val="none" w:sz="0" w:space="0" w:color="auto"/>
                <w:left w:val="none" w:sz="0" w:space="0" w:color="auto"/>
                <w:bottom w:val="none" w:sz="0" w:space="0" w:color="auto"/>
                <w:right w:val="none" w:sz="0" w:space="0" w:color="auto"/>
              </w:divBdr>
            </w:div>
            <w:div w:id="986519981">
              <w:marLeft w:val="0"/>
              <w:marRight w:val="0"/>
              <w:marTop w:val="0"/>
              <w:marBottom w:val="0"/>
              <w:divBdr>
                <w:top w:val="none" w:sz="0" w:space="0" w:color="auto"/>
                <w:left w:val="none" w:sz="0" w:space="0" w:color="auto"/>
                <w:bottom w:val="none" w:sz="0" w:space="0" w:color="auto"/>
                <w:right w:val="none" w:sz="0" w:space="0" w:color="auto"/>
              </w:divBdr>
            </w:div>
            <w:div w:id="380328682">
              <w:marLeft w:val="0"/>
              <w:marRight w:val="0"/>
              <w:marTop w:val="0"/>
              <w:marBottom w:val="0"/>
              <w:divBdr>
                <w:top w:val="none" w:sz="0" w:space="0" w:color="auto"/>
                <w:left w:val="none" w:sz="0" w:space="0" w:color="auto"/>
                <w:bottom w:val="none" w:sz="0" w:space="0" w:color="auto"/>
                <w:right w:val="none" w:sz="0" w:space="0" w:color="auto"/>
              </w:divBdr>
            </w:div>
            <w:div w:id="1856187659">
              <w:marLeft w:val="0"/>
              <w:marRight w:val="0"/>
              <w:marTop w:val="0"/>
              <w:marBottom w:val="0"/>
              <w:divBdr>
                <w:top w:val="none" w:sz="0" w:space="0" w:color="auto"/>
                <w:left w:val="none" w:sz="0" w:space="0" w:color="auto"/>
                <w:bottom w:val="none" w:sz="0" w:space="0" w:color="auto"/>
                <w:right w:val="none" w:sz="0" w:space="0" w:color="auto"/>
              </w:divBdr>
            </w:div>
            <w:div w:id="121122187">
              <w:marLeft w:val="0"/>
              <w:marRight w:val="0"/>
              <w:marTop w:val="0"/>
              <w:marBottom w:val="0"/>
              <w:divBdr>
                <w:top w:val="none" w:sz="0" w:space="0" w:color="auto"/>
                <w:left w:val="none" w:sz="0" w:space="0" w:color="auto"/>
                <w:bottom w:val="none" w:sz="0" w:space="0" w:color="auto"/>
                <w:right w:val="none" w:sz="0" w:space="0" w:color="auto"/>
              </w:divBdr>
            </w:div>
            <w:div w:id="1267887800">
              <w:marLeft w:val="0"/>
              <w:marRight w:val="0"/>
              <w:marTop w:val="0"/>
              <w:marBottom w:val="0"/>
              <w:divBdr>
                <w:top w:val="none" w:sz="0" w:space="0" w:color="auto"/>
                <w:left w:val="none" w:sz="0" w:space="0" w:color="auto"/>
                <w:bottom w:val="none" w:sz="0" w:space="0" w:color="auto"/>
                <w:right w:val="none" w:sz="0" w:space="0" w:color="auto"/>
              </w:divBdr>
            </w:div>
            <w:div w:id="518350018">
              <w:marLeft w:val="0"/>
              <w:marRight w:val="0"/>
              <w:marTop w:val="0"/>
              <w:marBottom w:val="0"/>
              <w:divBdr>
                <w:top w:val="none" w:sz="0" w:space="0" w:color="auto"/>
                <w:left w:val="none" w:sz="0" w:space="0" w:color="auto"/>
                <w:bottom w:val="none" w:sz="0" w:space="0" w:color="auto"/>
                <w:right w:val="none" w:sz="0" w:space="0" w:color="auto"/>
              </w:divBdr>
            </w:div>
            <w:div w:id="221332389">
              <w:marLeft w:val="0"/>
              <w:marRight w:val="0"/>
              <w:marTop w:val="0"/>
              <w:marBottom w:val="0"/>
              <w:divBdr>
                <w:top w:val="none" w:sz="0" w:space="0" w:color="auto"/>
                <w:left w:val="none" w:sz="0" w:space="0" w:color="auto"/>
                <w:bottom w:val="none" w:sz="0" w:space="0" w:color="auto"/>
                <w:right w:val="none" w:sz="0" w:space="0" w:color="auto"/>
              </w:divBdr>
            </w:div>
            <w:div w:id="799420748">
              <w:marLeft w:val="0"/>
              <w:marRight w:val="0"/>
              <w:marTop w:val="0"/>
              <w:marBottom w:val="0"/>
              <w:divBdr>
                <w:top w:val="none" w:sz="0" w:space="0" w:color="auto"/>
                <w:left w:val="none" w:sz="0" w:space="0" w:color="auto"/>
                <w:bottom w:val="none" w:sz="0" w:space="0" w:color="auto"/>
                <w:right w:val="none" w:sz="0" w:space="0" w:color="auto"/>
              </w:divBdr>
            </w:div>
            <w:div w:id="1033926250">
              <w:marLeft w:val="0"/>
              <w:marRight w:val="0"/>
              <w:marTop w:val="0"/>
              <w:marBottom w:val="0"/>
              <w:divBdr>
                <w:top w:val="none" w:sz="0" w:space="0" w:color="auto"/>
                <w:left w:val="none" w:sz="0" w:space="0" w:color="auto"/>
                <w:bottom w:val="none" w:sz="0" w:space="0" w:color="auto"/>
                <w:right w:val="none" w:sz="0" w:space="0" w:color="auto"/>
              </w:divBdr>
            </w:div>
            <w:div w:id="1831291942">
              <w:marLeft w:val="0"/>
              <w:marRight w:val="0"/>
              <w:marTop w:val="0"/>
              <w:marBottom w:val="0"/>
              <w:divBdr>
                <w:top w:val="none" w:sz="0" w:space="0" w:color="auto"/>
                <w:left w:val="none" w:sz="0" w:space="0" w:color="auto"/>
                <w:bottom w:val="none" w:sz="0" w:space="0" w:color="auto"/>
                <w:right w:val="none" w:sz="0" w:space="0" w:color="auto"/>
              </w:divBdr>
            </w:div>
            <w:div w:id="2067531525">
              <w:marLeft w:val="0"/>
              <w:marRight w:val="0"/>
              <w:marTop w:val="0"/>
              <w:marBottom w:val="0"/>
              <w:divBdr>
                <w:top w:val="none" w:sz="0" w:space="0" w:color="auto"/>
                <w:left w:val="none" w:sz="0" w:space="0" w:color="auto"/>
                <w:bottom w:val="none" w:sz="0" w:space="0" w:color="auto"/>
                <w:right w:val="none" w:sz="0" w:space="0" w:color="auto"/>
              </w:divBdr>
            </w:div>
            <w:div w:id="1685015339">
              <w:marLeft w:val="0"/>
              <w:marRight w:val="0"/>
              <w:marTop w:val="0"/>
              <w:marBottom w:val="0"/>
              <w:divBdr>
                <w:top w:val="none" w:sz="0" w:space="0" w:color="auto"/>
                <w:left w:val="none" w:sz="0" w:space="0" w:color="auto"/>
                <w:bottom w:val="none" w:sz="0" w:space="0" w:color="auto"/>
                <w:right w:val="none" w:sz="0" w:space="0" w:color="auto"/>
              </w:divBdr>
            </w:div>
            <w:div w:id="1239285826">
              <w:marLeft w:val="0"/>
              <w:marRight w:val="0"/>
              <w:marTop w:val="0"/>
              <w:marBottom w:val="0"/>
              <w:divBdr>
                <w:top w:val="none" w:sz="0" w:space="0" w:color="auto"/>
                <w:left w:val="none" w:sz="0" w:space="0" w:color="auto"/>
                <w:bottom w:val="none" w:sz="0" w:space="0" w:color="auto"/>
                <w:right w:val="none" w:sz="0" w:space="0" w:color="auto"/>
              </w:divBdr>
            </w:div>
            <w:div w:id="1508713596">
              <w:marLeft w:val="0"/>
              <w:marRight w:val="0"/>
              <w:marTop w:val="0"/>
              <w:marBottom w:val="0"/>
              <w:divBdr>
                <w:top w:val="none" w:sz="0" w:space="0" w:color="auto"/>
                <w:left w:val="none" w:sz="0" w:space="0" w:color="auto"/>
                <w:bottom w:val="none" w:sz="0" w:space="0" w:color="auto"/>
                <w:right w:val="none" w:sz="0" w:space="0" w:color="auto"/>
              </w:divBdr>
            </w:div>
            <w:div w:id="1104958361">
              <w:marLeft w:val="0"/>
              <w:marRight w:val="0"/>
              <w:marTop w:val="0"/>
              <w:marBottom w:val="0"/>
              <w:divBdr>
                <w:top w:val="none" w:sz="0" w:space="0" w:color="auto"/>
                <w:left w:val="none" w:sz="0" w:space="0" w:color="auto"/>
                <w:bottom w:val="none" w:sz="0" w:space="0" w:color="auto"/>
                <w:right w:val="none" w:sz="0" w:space="0" w:color="auto"/>
              </w:divBdr>
            </w:div>
            <w:div w:id="641731857">
              <w:marLeft w:val="0"/>
              <w:marRight w:val="0"/>
              <w:marTop w:val="0"/>
              <w:marBottom w:val="0"/>
              <w:divBdr>
                <w:top w:val="none" w:sz="0" w:space="0" w:color="auto"/>
                <w:left w:val="none" w:sz="0" w:space="0" w:color="auto"/>
                <w:bottom w:val="none" w:sz="0" w:space="0" w:color="auto"/>
                <w:right w:val="none" w:sz="0" w:space="0" w:color="auto"/>
              </w:divBdr>
            </w:div>
            <w:div w:id="1214928321">
              <w:marLeft w:val="0"/>
              <w:marRight w:val="0"/>
              <w:marTop w:val="0"/>
              <w:marBottom w:val="0"/>
              <w:divBdr>
                <w:top w:val="none" w:sz="0" w:space="0" w:color="auto"/>
                <w:left w:val="none" w:sz="0" w:space="0" w:color="auto"/>
                <w:bottom w:val="none" w:sz="0" w:space="0" w:color="auto"/>
                <w:right w:val="none" w:sz="0" w:space="0" w:color="auto"/>
              </w:divBdr>
            </w:div>
            <w:div w:id="1980455387">
              <w:marLeft w:val="0"/>
              <w:marRight w:val="0"/>
              <w:marTop w:val="0"/>
              <w:marBottom w:val="0"/>
              <w:divBdr>
                <w:top w:val="none" w:sz="0" w:space="0" w:color="auto"/>
                <w:left w:val="none" w:sz="0" w:space="0" w:color="auto"/>
                <w:bottom w:val="none" w:sz="0" w:space="0" w:color="auto"/>
                <w:right w:val="none" w:sz="0" w:space="0" w:color="auto"/>
              </w:divBdr>
            </w:div>
            <w:div w:id="1426077143">
              <w:marLeft w:val="0"/>
              <w:marRight w:val="0"/>
              <w:marTop w:val="0"/>
              <w:marBottom w:val="0"/>
              <w:divBdr>
                <w:top w:val="none" w:sz="0" w:space="0" w:color="auto"/>
                <w:left w:val="none" w:sz="0" w:space="0" w:color="auto"/>
                <w:bottom w:val="none" w:sz="0" w:space="0" w:color="auto"/>
                <w:right w:val="none" w:sz="0" w:space="0" w:color="auto"/>
              </w:divBdr>
            </w:div>
            <w:div w:id="127170420">
              <w:marLeft w:val="0"/>
              <w:marRight w:val="0"/>
              <w:marTop w:val="0"/>
              <w:marBottom w:val="0"/>
              <w:divBdr>
                <w:top w:val="none" w:sz="0" w:space="0" w:color="auto"/>
                <w:left w:val="none" w:sz="0" w:space="0" w:color="auto"/>
                <w:bottom w:val="none" w:sz="0" w:space="0" w:color="auto"/>
                <w:right w:val="none" w:sz="0" w:space="0" w:color="auto"/>
              </w:divBdr>
            </w:div>
            <w:div w:id="919800152">
              <w:marLeft w:val="0"/>
              <w:marRight w:val="0"/>
              <w:marTop w:val="0"/>
              <w:marBottom w:val="0"/>
              <w:divBdr>
                <w:top w:val="none" w:sz="0" w:space="0" w:color="auto"/>
                <w:left w:val="none" w:sz="0" w:space="0" w:color="auto"/>
                <w:bottom w:val="none" w:sz="0" w:space="0" w:color="auto"/>
                <w:right w:val="none" w:sz="0" w:space="0" w:color="auto"/>
              </w:divBdr>
            </w:div>
            <w:div w:id="2080395240">
              <w:marLeft w:val="0"/>
              <w:marRight w:val="0"/>
              <w:marTop w:val="0"/>
              <w:marBottom w:val="0"/>
              <w:divBdr>
                <w:top w:val="none" w:sz="0" w:space="0" w:color="auto"/>
                <w:left w:val="none" w:sz="0" w:space="0" w:color="auto"/>
                <w:bottom w:val="none" w:sz="0" w:space="0" w:color="auto"/>
                <w:right w:val="none" w:sz="0" w:space="0" w:color="auto"/>
              </w:divBdr>
            </w:div>
            <w:div w:id="66729293">
              <w:marLeft w:val="0"/>
              <w:marRight w:val="0"/>
              <w:marTop w:val="0"/>
              <w:marBottom w:val="0"/>
              <w:divBdr>
                <w:top w:val="none" w:sz="0" w:space="0" w:color="auto"/>
                <w:left w:val="none" w:sz="0" w:space="0" w:color="auto"/>
                <w:bottom w:val="none" w:sz="0" w:space="0" w:color="auto"/>
                <w:right w:val="none" w:sz="0" w:space="0" w:color="auto"/>
              </w:divBdr>
            </w:div>
            <w:div w:id="1606379947">
              <w:marLeft w:val="0"/>
              <w:marRight w:val="0"/>
              <w:marTop w:val="0"/>
              <w:marBottom w:val="0"/>
              <w:divBdr>
                <w:top w:val="none" w:sz="0" w:space="0" w:color="auto"/>
                <w:left w:val="none" w:sz="0" w:space="0" w:color="auto"/>
                <w:bottom w:val="none" w:sz="0" w:space="0" w:color="auto"/>
                <w:right w:val="none" w:sz="0" w:space="0" w:color="auto"/>
              </w:divBdr>
            </w:div>
            <w:div w:id="2126540886">
              <w:marLeft w:val="0"/>
              <w:marRight w:val="0"/>
              <w:marTop w:val="0"/>
              <w:marBottom w:val="0"/>
              <w:divBdr>
                <w:top w:val="none" w:sz="0" w:space="0" w:color="auto"/>
                <w:left w:val="none" w:sz="0" w:space="0" w:color="auto"/>
                <w:bottom w:val="none" w:sz="0" w:space="0" w:color="auto"/>
                <w:right w:val="none" w:sz="0" w:space="0" w:color="auto"/>
              </w:divBdr>
            </w:div>
            <w:div w:id="1074664411">
              <w:marLeft w:val="0"/>
              <w:marRight w:val="0"/>
              <w:marTop w:val="0"/>
              <w:marBottom w:val="0"/>
              <w:divBdr>
                <w:top w:val="none" w:sz="0" w:space="0" w:color="auto"/>
                <w:left w:val="none" w:sz="0" w:space="0" w:color="auto"/>
                <w:bottom w:val="none" w:sz="0" w:space="0" w:color="auto"/>
                <w:right w:val="none" w:sz="0" w:space="0" w:color="auto"/>
              </w:divBdr>
            </w:div>
            <w:div w:id="1457674508">
              <w:marLeft w:val="0"/>
              <w:marRight w:val="0"/>
              <w:marTop w:val="0"/>
              <w:marBottom w:val="0"/>
              <w:divBdr>
                <w:top w:val="none" w:sz="0" w:space="0" w:color="auto"/>
                <w:left w:val="none" w:sz="0" w:space="0" w:color="auto"/>
                <w:bottom w:val="none" w:sz="0" w:space="0" w:color="auto"/>
                <w:right w:val="none" w:sz="0" w:space="0" w:color="auto"/>
              </w:divBdr>
            </w:div>
            <w:div w:id="903370049">
              <w:marLeft w:val="0"/>
              <w:marRight w:val="0"/>
              <w:marTop w:val="0"/>
              <w:marBottom w:val="0"/>
              <w:divBdr>
                <w:top w:val="none" w:sz="0" w:space="0" w:color="auto"/>
                <w:left w:val="none" w:sz="0" w:space="0" w:color="auto"/>
                <w:bottom w:val="none" w:sz="0" w:space="0" w:color="auto"/>
                <w:right w:val="none" w:sz="0" w:space="0" w:color="auto"/>
              </w:divBdr>
            </w:div>
            <w:div w:id="763569872">
              <w:marLeft w:val="0"/>
              <w:marRight w:val="0"/>
              <w:marTop w:val="0"/>
              <w:marBottom w:val="0"/>
              <w:divBdr>
                <w:top w:val="none" w:sz="0" w:space="0" w:color="auto"/>
                <w:left w:val="none" w:sz="0" w:space="0" w:color="auto"/>
                <w:bottom w:val="none" w:sz="0" w:space="0" w:color="auto"/>
                <w:right w:val="none" w:sz="0" w:space="0" w:color="auto"/>
              </w:divBdr>
            </w:div>
            <w:div w:id="369457275">
              <w:marLeft w:val="0"/>
              <w:marRight w:val="0"/>
              <w:marTop w:val="0"/>
              <w:marBottom w:val="0"/>
              <w:divBdr>
                <w:top w:val="none" w:sz="0" w:space="0" w:color="auto"/>
                <w:left w:val="none" w:sz="0" w:space="0" w:color="auto"/>
                <w:bottom w:val="none" w:sz="0" w:space="0" w:color="auto"/>
                <w:right w:val="none" w:sz="0" w:space="0" w:color="auto"/>
              </w:divBdr>
            </w:div>
            <w:div w:id="699286574">
              <w:marLeft w:val="0"/>
              <w:marRight w:val="0"/>
              <w:marTop w:val="0"/>
              <w:marBottom w:val="0"/>
              <w:divBdr>
                <w:top w:val="none" w:sz="0" w:space="0" w:color="auto"/>
                <w:left w:val="none" w:sz="0" w:space="0" w:color="auto"/>
                <w:bottom w:val="none" w:sz="0" w:space="0" w:color="auto"/>
                <w:right w:val="none" w:sz="0" w:space="0" w:color="auto"/>
              </w:divBdr>
            </w:div>
            <w:div w:id="780303023">
              <w:marLeft w:val="0"/>
              <w:marRight w:val="0"/>
              <w:marTop w:val="0"/>
              <w:marBottom w:val="0"/>
              <w:divBdr>
                <w:top w:val="none" w:sz="0" w:space="0" w:color="auto"/>
                <w:left w:val="none" w:sz="0" w:space="0" w:color="auto"/>
                <w:bottom w:val="none" w:sz="0" w:space="0" w:color="auto"/>
                <w:right w:val="none" w:sz="0" w:space="0" w:color="auto"/>
              </w:divBdr>
            </w:div>
            <w:div w:id="1042906803">
              <w:marLeft w:val="0"/>
              <w:marRight w:val="0"/>
              <w:marTop w:val="0"/>
              <w:marBottom w:val="0"/>
              <w:divBdr>
                <w:top w:val="none" w:sz="0" w:space="0" w:color="auto"/>
                <w:left w:val="none" w:sz="0" w:space="0" w:color="auto"/>
                <w:bottom w:val="none" w:sz="0" w:space="0" w:color="auto"/>
                <w:right w:val="none" w:sz="0" w:space="0" w:color="auto"/>
              </w:divBdr>
            </w:div>
            <w:div w:id="1074930719">
              <w:marLeft w:val="0"/>
              <w:marRight w:val="0"/>
              <w:marTop w:val="0"/>
              <w:marBottom w:val="0"/>
              <w:divBdr>
                <w:top w:val="none" w:sz="0" w:space="0" w:color="auto"/>
                <w:left w:val="none" w:sz="0" w:space="0" w:color="auto"/>
                <w:bottom w:val="none" w:sz="0" w:space="0" w:color="auto"/>
                <w:right w:val="none" w:sz="0" w:space="0" w:color="auto"/>
              </w:divBdr>
            </w:div>
            <w:div w:id="1362438088">
              <w:marLeft w:val="0"/>
              <w:marRight w:val="0"/>
              <w:marTop w:val="0"/>
              <w:marBottom w:val="0"/>
              <w:divBdr>
                <w:top w:val="none" w:sz="0" w:space="0" w:color="auto"/>
                <w:left w:val="none" w:sz="0" w:space="0" w:color="auto"/>
                <w:bottom w:val="none" w:sz="0" w:space="0" w:color="auto"/>
                <w:right w:val="none" w:sz="0" w:space="0" w:color="auto"/>
              </w:divBdr>
            </w:div>
            <w:div w:id="610013603">
              <w:marLeft w:val="0"/>
              <w:marRight w:val="0"/>
              <w:marTop w:val="0"/>
              <w:marBottom w:val="0"/>
              <w:divBdr>
                <w:top w:val="none" w:sz="0" w:space="0" w:color="auto"/>
                <w:left w:val="none" w:sz="0" w:space="0" w:color="auto"/>
                <w:bottom w:val="none" w:sz="0" w:space="0" w:color="auto"/>
                <w:right w:val="none" w:sz="0" w:space="0" w:color="auto"/>
              </w:divBdr>
            </w:div>
            <w:div w:id="696811350">
              <w:marLeft w:val="0"/>
              <w:marRight w:val="0"/>
              <w:marTop w:val="0"/>
              <w:marBottom w:val="0"/>
              <w:divBdr>
                <w:top w:val="none" w:sz="0" w:space="0" w:color="auto"/>
                <w:left w:val="none" w:sz="0" w:space="0" w:color="auto"/>
                <w:bottom w:val="none" w:sz="0" w:space="0" w:color="auto"/>
                <w:right w:val="none" w:sz="0" w:space="0" w:color="auto"/>
              </w:divBdr>
            </w:div>
            <w:div w:id="740954548">
              <w:marLeft w:val="0"/>
              <w:marRight w:val="0"/>
              <w:marTop w:val="0"/>
              <w:marBottom w:val="0"/>
              <w:divBdr>
                <w:top w:val="none" w:sz="0" w:space="0" w:color="auto"/>
                <w:left w:val="none" w:sz="0" w:space="0" w:color="auto"/>
                <w:bottom w:val="none" w:sz="0" w:space="0" w:color="auto"/>
                <w:right w:val="none" w:sz="0" w:space="0" w:color="auto"/>
              </w:divBdr>
            </w:div>
            <w:div w:id="1040326232">
              <w:marLeft w:val="0"/>
              <w:marRight w:val="0"/>
              <w:marTop w:val="0"/>
              <w:marBottom w:val="0"/>
              <w:divBdr>
                <w:top w:val="none" w:sz="0" w:space="0" w:color="auto"/>
                <w:left w:val="none" w:sz="0" w:space="0" w:color="auto"/>
                <w:bottom w:val="none" w:sz="0" w:space="0" w:color="auto"/>
                <w:right w:val="none" w:sz="0" w:space="0" w:color="auto"/>
              </w:divBdr>
            </w:div>
            <w:div w:id="952859177">
              <w:marLeft w:val="0"/>
              <w:marRight w:val="0"/>
              <w:marTop w:val="0"/>
              <w:marBottom w:val="0"/>
              <w:divBdr>
                <w:top w:val="none" w:sz="0" w:space="0" w:color="auto"/>
                <w:left w:val="none" w:sz="0" w:space="0" w:color="auto"/>
                <w:bottom w:val="none" w:sz="0" w:space="0" w:color="auto"/>
                <w:right w:val="none" w:sz="0" w:space="0" w:color="auto"/>
              </w:divBdr>
            </w:div>
            <w:div w:id="317881093">
              <w:marLeft w:val="0"/>
              <w:marRight w:val="0"/>
              <w:marTop w:val="0"/>
              <w:marBottom w:val="0"/>
              <w:divBdr>
                <w:top w:val="none" w:sz="0" w:space="0" w:color="auto"/>
                <w:left w:val="none" w:sz="0" w:space="0" w:color="auto"/>
                <w:bottom w:val="none" w:sz="0" w:space="0" w:color="auto"/>
                <w:right w:val="none" w:sz="0" w:space="0" w:color="auto"/>
              </w:divBdr>
            </w:div>
            <w:div w:id="211431177">
              <w:marLeft w:val="0"/>
              <w:marRight w:val="0"/>
              <w:marTop w:val="0"/>
              <w:marBottom w:val="0"/>
              <w:divBdr>
                <w:top w:val="none" w:sz="0" w:space="0" w:color="auto"/>
                <w:left w:val="none" w:sz="0" w:space="0" w:color="auto"/>
                <w:bottom w:val="none" w:sz="0" w:space="0" w:color="auto"/>
                <w:right w:val="none" w:sz="0" w:space="0" w:color="auto"/>
              </w:divBdr>
            </w:div>
            <w:div w:id="1897232161">
              <w:marLeft w:val="0"/>
              <w:marRight w:val="0"/>
              <w:marTop w:val="0"/>
              <w:marBottom w:val="0"/>
              <w:divBdr>
                <w:top w:val="none" w:sz="0" w:space="0" w:color="auto"/>
                <w:left w:val="none" w:sz="0" w:space="0" w:color="auto"/>
                <w:bottom w:val="none" w:sz="0" w:space="0" w:color="auto"/>
                <w:right w:val="none" w:sz="0" w:space="0" w:color="auto"/>
              </w:divBdr>
            </w:div>
            <w:div w:id="1185635951">
              <w:marLeft w:val="0"/>
              <w:marRight w:val="0"/>
              <w:marTop w:val="0"/>
              <w:marBottom w:val="0"/>
              <w:divBdr>
                <w:top w:val="none" w:sz="0" w:space="0" w:color="auto"/>
                <w:left w:val="none" w:sz="0" w:space="0" w:color="auto"/>
                <w:bottom w:val="none" w:sz="0" w:space="0" w:color="auto"/>
                <w:right w:val="none" w:sz="0" w:space="0" w:color="auto"/>
              </w:divBdr>
            </w:div>
            <w:div w:id="1532840659">
              <w:marLeft w:val="0"/>
              <w:marRight w:val="0"/>
              <w:marTop w:val="0"/>
              <w:marBottom w:val="0"/>
              <w:divBdr>
                <w:top w:val="none" w:sz="0" w:space="0" w:color="auto"/>
                <w:left w:val="none" w:sz="0" w:space="0" w:color="auto"/>
                <w:bottom w:val="none" w:sz="0" w:space="0" w:color="auto"/>
                <w:right w:val="none" w:sz="0" w:space="0" w:color="auto"/>
              </w:divBdr>
            </w:div>
            <w:div w:id="657996098">
              <w:marLeft w:val="0"/>
              <w:marRight w:val="0"/>
              <w:marTop w:val="0"/>
              <w:marBottom w:val="0"/>
              <w:divBdr>
                <w:top w:val="none" w:sz="0" w:space="0" w:color="auto"/>
                <w:left w:val="none" w:sz="0" w:space="0" w:color="auto"/>
                <w:bottom w:val="none" w:sz="0" w:space="0" w:color="auto"/>
                <w:right w:val="none" w:sz="0" w:space="0" w:color="auto"/>
              </w:divBdr>
            </w:div>
            <w:div w:id="1088387768">
              <w:marLeft w:val="0"/>
              <w:marRight w:val="0"/>
              <w:marTop w:val="0"/>
              <w:marBottom w:val="0"/>
              <w:divBdr>
                <w:top w:val="none" w:sz="0" w:space="0" w:color="auto"/>
                <w:left w:val="none" w:sz="0" w:space="0" w:color="auto"/>
                <w:bottom w:val="none" w:sz="0" w:space="0" w:color="auto"/>
                <w:right w:val="none" w:sz="0" w:space="0" w:color="auto"/>
              </w:divBdr>
            </w:div>
            <w:div w:id="349723244">
              <w:marLeft w:val="0"/>
              <w:marRight w:val="0"/>
              <w:marTop w:val="0"/>
              <w:marBottom w:val="0"/>
              <w:divBdr>
                <w:top w:val="none" w:sz="0" w:space="0" w:color="auto"/>
                <w:left w:val="none" w:sz="0" w:space="0" w:color="auto"/>
                <w:bottom w:val="none" w:sz="0" w:space="0" w:color="auto"/>
                <w:right w:val="none" w:sz="0" w:space="0" w:color="auto"/>
              </w:divBdr>
            </w:div>
            <w:div w:id="2036997339">
              <w:marLeft w:val="0"/>
              <w:marRight w:val="0"/>
              <w:marTop w:val="0"/>
              <w:marBottom w:val="0"/>
              <w:divBdr>
                <w:top w:val="none" w:sz="0" w:space="0" w:color="auto"/>
                <w:left w:val="none" w:sz="0" w:space="0" w:color="auto"/>
                <w:bottom w:val="none" w:sz="0" w:space="0" w:color="auto"/>
                <w:right w:val="none" w:sz="0" w:space="0" w:color="auto"/>
              </w:divBdr>
            </w:div>
            <w:div w:id="375199662">
              <w:marLeft w:val="0"/>
              <w:marRight w:val="0"/>
              <w:marTop w:val="0"/>
              <w:marBottom w:val="0"/>
              <w:divBdr>
                <w:top w:val="none" w:sz="0" w:space="0" w:color="auto"/>
                <w:left w:val="none" w:sz="0" w:space="0" w:color="auto"/>
                <w:bottom w:val="none" w:sz="0" w:space="0" w:color="auto"/>
                <w:right w:val="none" w:sz="0" w:space="0" w:color="auto"/>
              </w:divBdr>
            </w:div>
            <w:div w:id="2072652527">
              <w:marLeft w:val="0"/>
              <w:marRight w:val="0"/>
              <w:marTop w:val="0"/>
              <w:marBottom w:val="0"/>
              <w:divBdr>
                <w:top w:val="none" w:sz="0" w:space="0" w:color="auto"/>
                <w:left w:val="none" w:sz="0" w:space="0" w:color="auto"/>
                <w:bottom w:val="none" w:sz="0" w:space="0" w:color="auto"/>
                <w:right w:val="none" w:sz="0" w:space="0" w:color="auto"/>
              </w:divBdr>
            </w:div>
            <w:div w:id="609507880">
              <w:marLeft w:val="0"/>
              <w:marRight w:val="0"/>
              <w:marTop w:val="0"/>
              <w:marBottom w:val="0"/>
              <w:divBdr>
                <w:top w:val="none" w:sz="0" w:space="0" w:color="auto"/>
                <w:left w:val="none" w:sz="0" w:space="0" w:color="auto"/>
                <w:bottom w:val="none" w:sz="0" w:space="0" w:color="auto"/>
                <w:right w:val="none" w:sz="0" w:space="0" w:color="auto"/>
              </w:divBdr>
            </w:div>
            <w:div w:id="1602028662">
              <w:marLeft w:val="0"/>
              <w:marRight w:val="0"/>
              <w:marTop w:val="0"/>
              <w:marBottom w:val="0"/>
              <w:divBdr>
                <w:top w:val="none" w:sz="0" w:space="0" w:color="auto"/>
                <w:left w:val="none" w:sz="0" w:space="0" w:color="auto"/>
                <w:bottom w:val="none" w:sz="0" w:space="0" w:color="auto"/>
                <w:right w:val="none" w:sz="0" w:space="0" w:color="auto"/>
              </w:divBdr>
            </w:div>
            <w:div w:id="560098968">
              <w:marLeft w:val="0"/>
              <w:marRight w:val="0"/>
              <w:marTop w:val="0"/>
              <w:marBottom w:val="0"/>
              <w:divBdr>
                <w:top w:val="none" w:sz="0" w:space="0" w:color="auto"/>
                <w:left w:val="none" w:sz="0" w:space="0" w:color="auto"/>
                <w:bottom w:val="none" w:sz="0" w:space="0" w:color="auto"/>
                <w:right w:val="none" w:sz="0" w:space="0" w:color="auto"/>
              </w:divBdr>
            </w:div>
            <w:div w:id="1646009069">
              <w:marLeft w:val="0"/>
              <w:marRight w:val="0"/>
              <w:marTop w:val="0"/>
              <w:marBottom w:val="0"/>
              <w:divBdr>
                <w:top w:val="none" w:sz="0" w:space="0" w:color="auto"/>
                <w:left w:val="none" w:sz="0" w:space="0" w:color="auto"/>
                <w:bottom w:val="none" w:sz="0" w:space="0" w:color="auto"/>
                <w:right w:val="none" w:sz="0" w:space="0" w:color="auto"/>
              </w:divBdr>
            </w:div>
            <w:div w:id="1955558636">
              <w:marLeft w:val="0"/>
              <w:marRight w:val="0"/>
              <w:marTop w:val="0"/>
              <w:marBottom w:val="0"/>
              <w:divBdr>
                <w:top w:val="none" w:sz="0" w:space="0" w:color="auto"/>
                <w:left w:val="none" w:sz="0" w:space="0" w:color="auto"/>
                <w:bottom w:val="none" w:sz="0" w:space="0" w:color="auto"/>
                <w:right w:val="none" w:sz="0" w:space="0" w:color="auto"/>
              </w:divBdr>
            </w:div>
            <w:div w:id="1005285105">
              <w:marLeft w:val="0"/>
              <w:marRight w:val="0"/>
              <w:marTop w:val="0"/>
              <w:marBottom w:val="0"/>
              <w:divBdr>
                <w:top w:val="none" w:sz="0" w:space="0" w:color="auto"/>
                <w:left w:val="none" w:sz="0" w:space="0" w:color="auto"/>
                <w:bottom w:val="none" w:sz="0" w:space="0" w:color="auto"/>
                <w:right w:val="none" w:sz="0" w:space="0" w:color="auto"/>
              </w:divBdr>
            </w:div>
            <w:div w:id="706221097">
              <w:marLeft w:val="0"/>
              <w:marRight w:val="0"/>
              <w:marTop w:val="0"/>
              <w:marBottom w:val="0"/>
              <w:divBdr>
                <w:top w:val="none" w:sz="0" w:space="0" w:color="auto"/>
                <w:left w:val="none" w:sz="0" w:space="0" w:color="auto"/>
                <w:bottom w:val="none" w:sz="0" w:space="0" w:color="auto"/>
                <w:right w:val="none" w:sz="0" w:space="0" w:color="auto"/>
              </w:divBdr>
            </w:div>
            <w:div w:id="2001078962">
              <w:marLeft w:val="0"/>
              <w:marRight w:val="0"/>
              <w:marTop w:val="0"/>
              <w:marBottom w:val="0"/>
              <w:divBdr>
                <w:top w:val="none" w:sz="0" w:space="0" w:color="auto"/>
                <w:left w:val="none" w:sz="0" w:space="0" w:color="auto"/>
                <w:bottom w:val="none" w:sz="0" w:space="0" w:color="auto"/>
                <w:right w:val="none" w:sz="0" w:space="0" w:color="auto"/>
              </w:divBdr>
            </w:div>
            <w:div w:id="1376196449">
              <w:marLeft w:val="0"/>
              <w:marRight w:val="0"/>
              <w:marTop w:val="0"/>
              <w:marBottom w:val="0"/>
              <w:divBdr>
                <w:top w:val="none" w:sz="0" w:space="0" w:color="auto"/>
                <w:left w:val="none" w:sz="0" w:space="0" w:color="auto"/>
                <w:bottom w:val="none" w:sz="0" w:space="0" w:color="auto"/>
                <w:right w:val="none" w:sz="0" w:space="0" w:color="auto"/>
              </w:divBdr>
            </w:div>
            <w:div w:id="51464295">
              <w:marLeft w:val="0"/>
              <w:marRight w:val="0"/>
              <w:marTop w:val="0"/>
              <w:marBottom w:val="0"/>
              <w:divBdr>
                <w:top w:val="none" w:sz="0" w:space="0" w:color="auto"/>
                <w:left w:val="none" w:sz="0" w:space="0" w:color="auto"/>
                <w:bottom w:val="none" w:sz="0" w:space="0" w:color="auto"/>
                <w:right w:val="none" w:sz="0" w:space="0" w:color="auto"/>
              </w:divBdr>
            </w:div>
            <w:div w:id="600576366">
              <w:marLeft w:val="0"/>
              <w:marRight w:val="0"/>
              <w:marTop w:val="0"/>
              <w:marBottom w:val="0"/>
              <w:divBdr>
                <w:top w:val="none" w:sz="0" w:space="0" w:color="auto"/>
                <w:left w:val="none" w:sz="0" w:space="0" w:color="auto"/>
                <w:bottom w:val="none" w:sz="0" w:space="0" w:color="auto"/>
                <w:right w:val="none" w:sz="0" w:space="0" w:color="auto"/>
              </w:divBdr>
            </w:div>
            <w:div w:id="983004002">
              <w:marLeft w:val="0"/>
              <w:marRight w:val="0"/>
              <w:marTop w:val="0"/>
              <w:marBottom w:val="0"/>
              <w:divBdr>
                <w:top w:val="none" w:sz="0" w:space="0" w:color="auto"/>
                <w:left w:val="none" w:sz="0" w:space="0" w:color="auto"/>
                <w:bottom w:val="none" w:sz="0" w:space="0" w:color="auto"/>
                <w:right w:val="none" w:sz="0" w:space="0" w:color="auto"/>
              </w:divBdr>
            </w:div>
            <w:div w:id="394277868">
              <w:marLeft w:val="0"/>
              <w:marRight w:val="0"/>
              <w:marTop w:val="0"/>
              <w:marBottom w:val="0"/>
              <w:divBdr>
                <w:top w:val="none" w:sz="0" w:space="0" w:color="auto"/>
                <w:left w:val="none" w:sz="0" w:space="0" w:color="auto"/>
                <w:bottom w:val="none" w:sz="0" w:space="0" w:color="auto"/>
                <w:right w:val="none" w:sz="0" w:space="0" w:color="auto"/>
              </w:divBdr>
            </w:div>
            <w:div w:id="2131782392">
              <w:marLeft w:val="0"/>
              <w:marRight w:val="0"/>
              <w:marTop w:val="0"/>
              <w:marBottom w:val="0"/>
              <w:divBdr>
                <w:top w:val="none" w:sz="0" w:space="0" w:color="auto"/>
                <w:left w:val="none" w:sz="0" w:space="0" w:color="auto"/>
                <w:bottom w:val="none" w:sz="0" w:space="0" w:color="auto"/>
                <w:right w:val="none" w:sz="0" w:space="0" w:color="auto"/>
              </w:divBdr>
            </w:div>
            <w:div w:id="1417440382">
              <w:marLeft w:val="0"/>
              <w:marRight w:val="0"/>
              <w:marTop w:val="0"/>
              <w:marBottom w:val="0"/>
              <w:divBdr>
                <w:top w:val="none" w:sz="0" w:space="0" w:color="auto"/>
                <w:left w:val="none" w:sz="0" w:space="0" w:color="auto"/>
                <w:bottom w:val="none" w:sz="0" w:space="0" w:color="auto"/>
                <w:right w:val="none" w:sz="0" w:space="0" w:color="auto"/>
              </w:divBdr>
            </w:div>
            <w:div w:id="986710529">
              <w:marLeft w:val="0"/>
              <w:marRight w:val="0"/>
              <w:marTop w:val="0"/>
              <w:marBottom w:val="0"/>
              <w:divBdr>
                <w:top w:val="none" w:sz="0" w:space="0" w:color="auto"/>
                <w:left w:val="none" w:sz="0" w:space="0" w:color="auto"/>
                <w:bottom w:val="none" w:sz="0" w:space="0" w:color="auto"/>
                <w:right w:val="none" w:sz="0" w:space="0" w:color="auto"/>
              </w:divBdr>
            </w:div>
            <w:div w:id="1809276653">
              <w:marLeft w:val="0"/>
              <w:marRight w:val="0"/>
              <w:marTop w:val="0"/>
              <w:marBottom w:val="0"/>
              <w:divBdr>
                <w:top w:val="none" w:sz="0" w:space="0" w:color="auto"/>
                <w:left w:val="none" w:sz="0" w:space="0" w:color="auto"/>
                <w:bottom w:val="none" w:sz="0" w:space="0" w:color="auto"/>
                <w:right w:val="none" w:sz="0" w:space="0" w:color="auto"/>
              </w:divBdr>
            </w:div>
            <w:div w:id="1331905791">
              <w:marLeft w:val="0"/>
              <w:marRight w:val="0"/>
              <w:marTop w:val="0"/>
              <w:marBottom w:val="0"/>
              <w:divBdr>
                <w:top w:val="none" w:sz="0" w:space="0" w:color="auto"/>
                <w:left w:val="none" w:sz="0" w:space="0" w:color="auto"/>
                <w:bottom w:val="none" w:sz="0" w:space="0" w:color="auto"/>
                <w:right w:val="none" w:sz="0" w:space="0" w:color="auto"/>
              </w:divBdr>
            </w:div>
            <w:div w:id="2111121781">
              <w:marLeft w:val="0"/>
              <w:marRight w:val="0"/>
              <w:marTop w:val="0"/>
              <w:marBottom w:val="0"/>
              <w:divBdr>
                <w:top w:val="none" w:sz="0" w:space="0" w:color="auto"/>
                <w:left w:val="none" w:sz="0" w:space="0" w:color="auto"/>
                <w:bottom w:val="none" w:sz="0" w:space="0" w:color="auto"/>
                <w:right w:val="none" w:sz="0" w:space="0" w:color="auto"/>
              </w:divBdr>
            </w:div>
            <w:div w:id="290746154">
              <w:marLeft w:val="0"/>
              <w:marRight w:val="0"/>
              <w:marTop w:val="0"/>
              <w:marBottom w:val="0"/>
              <w:divBdr>
                <w:top w:val="none" w:sz="0" w:space="0" w:color="auto"/>
                <w:left w:val="none" w:sz="0" w:space="0" w:color="auto"/>
                <w:bottom w:val="none" w:sz="0" w:space="0" w:color="auto"/>
                <w:right w:val="none" w:sz="0" w:space="0" w:color="auto"/>
              </w:divBdr>
            </w:div>
            <w:div w:id="1142040559">
              <w:marLeft w:val="0"/>
              <w:marRight w:val="0"/>
              <w:marTop w:val="0"/>
              <w:marBottom w:val="0"/>
              <w:divBdr>
                <w:top w:val="none" w:sz="0" w:space="0" w:color="auto"/>
                <w:left w:val="none" w:sz="0" w:space="0" w:color="auto"/>
                <w:bottom w:val="none" w:sz="0" w:space="0" w:color="auto"/>
                <w:right w:val="none" w:sz="0" w:space="0" w:color="auto"/>
              </w:divBdr>
            </w:div>
            <w:div w:id="75516367">
              <w:marLeft w:val="0"/>
              <w:marRight w:val="0"/>
              <w:marTop w:val="0"/>
              <w:marBottom w:val="0"/>
              <w:divBdr>
                <w:top w:val="none" w:sz="0" w:space="0" w:color="auto"/>
                <w:left w:val="none" w:sz="0" w:space="0" w:color="auto"/>
                <w:bottom w:val="none" w:sz="0" w:space="0" w:color="auto"/>
                <w:right w:val="none" w:sz="0" w:space="0" w:color="auto"/>
              </w:divBdr>
            </w:div>
            <w:div w:id="636759127">
              <w:marLeft w:val="0"/>
              <w:marRight w:val="0"/>
              <w:marTop w:val="0"/>
              <w:marBottom w:val="0"/>
              <w:divBdr>
                <w:top w:val="none" w:sz="0" w:space="0" w:color="auto"/>
                <w:left w:val="none" w:sz="0" w:space="0" w:color="auto"/>
                <w:bottom w:val="none" w:sz="0" w:space="0" w:color="auto"/>
                <w:right w:val="none" w:sz="0" w:space="0" w:color="auto"/>
              </w:divBdr>
            </w:div>
            <w:div w:id="454367817">
              <w:marLeft w:val="0"/>
              <w:marRight w:val="0"/>
              <w:marTop w:val="0"/>
              <w:marBottom w:val="0"/>
              <w:divBdr>
                <w:top w:val="none" w:sz="0" w:space="0" w:color="auto"/>
                <w:left w:val="none" w:sz="0" w:space="0" w:color="auto"/>
                <w:bottom w:val="none" w:sz="0" w:space="0" w:color="auto"/>
                <w:right w:val="none" w:sz="0" w:space="0" w:color="auto"/>
              </w:divBdr>
            </w:div>
            <w:div w:id="1788809953">
              <w:marLeft w:val="0"/>
              <w:marRight w:val="0"/>
              <w:marTop w:val="0"/>
              <w:marBottom w:val="0"/>
              <w:divBdr>
                <w:top w:val="none" w:sz="0" w:space="0" w:color="auto"/>
                <w:left w:val="none" w:sz="0" w:space="0" w:color="auto"/>
                <w:bottom w:val="none" w:sz="0" w:space="0" w:color="auto"/>
                <w:right w:val="none" w:sz="0" w:space="0" w:color="auto"/>
              </w:divBdr>
            </w:div>
            <w:div w:id="1562135957">
              <w:marLeft w:val="0"/>
              <w:marRight w:val="0"/>
              <w:marTop w:val="0"/>
              <w:marBottom w:val="0"/>
              <w:divBdr>
                <w:top w:val="none" w:sz="0" w:space="0" w:color="auto"/>
                <w:left w:val="none" w:sz="0" w:space="0" w:color="auto"/>
                <w:bottom w:val="none" w:sz="0" w:space="0" w:color="auto"/>
                <w:right w:val="none" w:sz="0" w:space="0" w:color="auto"/>
              </w:divBdr>
            </w:div>
            <w:div w:id="2047438036">
              <w:marLeft w:val="0"/>
              <w:marRight w:val="0"/>
              <w:marTop w:val="0"/>
              <w:marBottom w:val="0"/>
              <w:divBdr>
                <w:top w:val="none" w:sz="0" w:space="0" w:color="auto"/>
                <w:left w:val="none" w:sz="0" w:space="0" w:color="auto"/>
                <w:bottom w:val="none" w:sz="0" w:space="0" w:color="auto"/>
                <w:right w:val="none" w:sz="0" w:space="0" w:color="auto"/>
              </w:divBdr>
            </w:div>
            <w:div w:id="458495250">
              <w:marLeft w:val="0"/>
              <w:marRight w:val="0"/>
              <w:marTop w:val="0"/>
              <w:marBottom w:val="0"/>
              <w:divBdr>
                <w:top w:val="none" w:sz="0" w:space="0" w:color="auto"/>
                <w:left w:val="none" w:sz="0" w:space="0" w:color="auto"/>
                <w:bottom w:val="none" w:sz="0" w:space="0" w:color="auto"/>
                <w:right w:val="none" w:sz="0" w:space="0" w:color="auto"/>
              </w:divBdr>
            </w:div>
            <w:div w:id="1954285521">
              <w:marLeft w:val="0"/>
              <w:marRight w:val="0"/>
              <w:marTop w:val="0"/>
              <w:marBottom w:val="0"/>
              <w:divBdr>
                <w:top w:val="none" w:sz="0" w:space="0" w:color="auto"/>
                <w:left w:val="none" w:sz="0" w:space="0" w:color="auto"/>
                <w:bottom w:val="none" w:sz="0" w:space="0" w:color="auto"/>
                <w:right w:val="none" w:sz="0" w:space="0" w:color="auto"/>
              </w:divBdr>
            </w:div>
            <w:div w:id="1455563358">
              <w:marLeft w:val="0"/>
              <w:marRight w:val="0"/>
              <w:marTop w:val="0"/>
              <w:marBottom w:val="0"/>
              <w:divBdr>
                <w:top w:val="none" w:sz="0" w:space="0" w:color="auto"/>
                <w:left w:val="none" w:sz="0" w:space="0" w:color="auto"/>
                <w:bottom w:val="none" w:sz="0" w:space="0" w:color="auto"/>
                <w:right w:val="none" w:sz="0" w:space="0" w:color="auto"/>
              </w:divBdr>
            </w:div>
            <w:div w:id="194125929">
              <w:marLeft w:val="0"/>
              <w:marRight w:val="0"/>
              <w:marTop w:val="0"/>
              <w:marBottom w:val="0"/>
              <w:divBdr>
                <w:top w:val="none" w:sz="0" w:space="0" w:color="auto"/>
                <w:left w:val="none" w:sz="0" w:space="0" w:color="auto"/>
                <w:bottom w:val="none" w:sz="0" w:space="0" w:color="auto"/>
                <w:right w:val="none" w:sz="0" w:space="0" w:color="auto"/>
              </w:divBdr>
            </w:div>
            <w:div w:id="1815830832">
              <w:marLeft w:val="0"/>
              <w:marRight w:val="0"/>
              <w:marTop w:val="0"/>
              <w:marBottom w:val="0"/>
              <w:divBdr>
                <w:top w:val="none" w:sz="0" w:space="0" w:color="auto"/>
                <w:left w:val="none" w:sz="0" w:space="0" w:color="auto"/>
                <w:bottom w:val="none" w:sz="0" w:space="0" w:color="auto"/>
                <w:right w:val="none" w:sz="0" w:space="0" w:color="auto"/>
              </w:divBdr>
            </w:div>
            <w:div w:id="609975476">
              <w:marLeft w:val="0"/>
              <w:marRight w:val="0"/>
              <w:marTop w:val="0"/>
              <w:marBottom w:val="0"/>
              <w:divBdr>
                <w:top w:val="none" w:sz="0" w:space="0" w:color="auto"/>
                <w:left w:val="none" w:sz="0" w:space="0" w:color="auto"/>
                <w:bottom w:val="none" w:sz="0" w:space="0" w:color="auto"/>
                <w:right w:val="none" w:sz="0" w:space="0" w:color="auto"/>
              </w:divBdr>
            </w:div>
            <w:div w:id="737821375">
              <w:marLeft w:val="0"/>
              <w:marRight w:val="0"/>
              <w:marTop w:val="0"/>
              <w:marBottom w:val="0"/>
              <w:divBdr>
                <w:top w:val="none" w:sz="0" w:space="0" w:color="auto"/>
                <w:left w:val="none" w:sz="0" w:space="0" w:color="auto"/>
                <w:bottom w:val="none" w:sz="0" w:space="0" w:color="auto"/>
                <w:right w:val="none" w:sz="0" w:space="0" w:color="auto"/>
              </w:divBdr>
            </w:div>
            <w:div w:id="683291136">
              <w:marLeft w:val="0"/>
              <w:marRight w:val="0"/>
              <w:marTop w:val="0"/>
              <w:marBottom w:val="0"/>
              <w:divBdr>
                <w:top w:val="none" w:sz="0" w:space="0" w:color="auto"/>
                <w:left w:val="none" w:sz="0" w:space="0" w:color="auto"/>
                <w:bottom w:val="none" w:sz="0" w:space="0" w:color="auto"/>
                <w:right w:val="none" w:sz="0" w:space="0" w:color="auto"/>
              </w:divBdr>
            </w:div>
            <w:div w:id="1087773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1441807">
      <w:bodyDiv w:val="1"/>
      <w:marLeft w:val="0"/>
      <w:marRight w:val="0"/>
      <w:marTop w:val="0"/>
      <w:marBottom w:val="0"/>
      <w:divBdr>
        <w:top w:val="none" w:sz="0" w:space="0" w:color="auto"/>
        <w:left w:val="none" w:sz="0" w:space="0" w:color="auto"/>
        <w:bottom w:val="none" w:sz="0" w:space="0" w:color="auto"/>
        <w:right w:val="none" w:sz="0" w:space="0" w:color="auto"/>
      </w:divBdr>
    </w:div>
    <w:div w:id="1104686398">
      <w:bodyDiv w:val="1"/>
      <w:marLeft w:val="0"/>
      <w:marRight w:val="0"/>
      <w:marTop w:val="0"/>
      <w:marBottom w:val="0"/>
      <w:divBdr>
        <w:top w:val="none" w:sz="0" w:space="0" w:color="auto"/>
        <w:left w:val="none" w:sz="0" w:space="0" w:color="auto"/>
        <w:bottom w:val="none" w:sz="0" w:space="0" w:color="auto"/>
        <w:right w:val="none" w:sz="0" w:space="0" w:color="auto"/>
      </w:divBdr>
      <w:divsChild>
        <w:div w:id="2102678640">
          <w:marLeft w:val="0"/>
          <w:marRight w:val="0"/>
          <w:marTop w:val="0"/>
          <w:marBottom w:val="0"/>
          <w:divBdr>
            <w:top w:val="none" w:sz="0" w:space="0" w:color="auto"/>
            <w:left w:val="none" w:sz="0" w:space="0" w:color="auto"/>
            <w:bottom w:val="none" w:sz="0" w:space="0" w:color="auto"/>
            <w:right w:val="none" w:sz="0" w:space="0" w:color="auto"/>
          </w:divBdr>
        </w:div>
        <w:div w:id="917403888">
          <w:marLeft w:val="0"/>
          <w:marRight w:val="0"/>
          <w:marTop w:val="0"/>
          <w:marBottom w:val="0"/>
          <w:divBdr>
            <w:top w:val="none" w:sz="0" w:space="0" w:color="auto"/>
            <w:left w:val="none" w:sz="0" w:space="0" w:color="auto"/>
            <w:bottom w:val="none" w:sz="0" w:space="0" w:color="auto"/>
            <w:right w:val="none" w:sz="0" w:space="0" w:color="auto"/>
          </w:divBdr>
          <w:divsChild>
            <w:div w:id="1847986440">
              <w:marLeft w:val="0"/>
              <w:marRight w:val="0"/>
              <w:marTop w:val="0"/>
              <w:marBottom w:val="0"/>
              <w:divBdr>
                <w:top w:val="none" w:sz="0" w:space="0" w:color="auto"/>
                <w:left w:val="none" w:sz="0" w:space="0" w:color="auto"/>
                <w:bottom w:val="none" w:sz="0" w:space="0" w:color="auto"/>
                <w:right w:val="none" w:sz="0" w:space="0" w:color="auto"/>
              </w:divBdr>
            </w:div>
            <w:div w:id="1884558098">
              <w:marLeft w:val="0"/>
              <w:marRight w:val="0"/>
              <w:marTop w:val="0"/>
              <w:marBottom w:val="0"/>
              <w:divBdr>
                <w:top w:val="none" w:sz="0" w:space="0" w:color="auto"/>
                <w:left w:val="none" w:sz="0" w:space="0" w:color="auto"/>
                <w:bottom w:val="none" w:sz="0" w:space="0" w:color="auto"/>
                <w:right w:val="none" w:sz="0" w:space="0" w:color="auto"/>
              </w:divBdr>
            </w:div>
            <w:div w:id="775558341">
              <w:marLeft w:val="0"/>
              <w:marRight w:val="0"/>
              <w:marTop w:val="0"/>
              <w:marBottom w:val="0"/>
              <w:divBdr>
                <w:top w:val="none" w:sz="0" w:space="0" w:color="auto"/>
                <w:left w:val="none" w:sz="0" w:space="0" w:color="auto"/>
                <w:bottom w:val="none" w:sz="0" w:space="0" w:color="auto"/>
                <w:right w:val="none" w:sz="0" w:space="0" w:color="auto"/>
              </w:divBdr>
            </w:div>
            <w:div w:id="1314916149">
              <w:marLeft w:val="0"/>
              <w:marRight w:val="0"/>
              <w:marTop w:val="0"/>
              <w:marBottom w:val="0"/>
              <w:divBdr>
                <w:top w:val="none" w:sz="0" w:space="0" w:color="auto"/>
                <w:left w:val="none" w:sz="0" w:space="0" w:color="auto"/>
                <w:bottom w:val="none" w:sz="0" w:space="0" w:color="auto"/>
                <w:right w:val="none" w:sz="0" w:space="0" w:color="auto"/>
              </w:divBdr>
            </w:div>
            <w:div w:id="309286000">
              <w:marLeft w:val="0"/>
              <w:marRight w:val="0"/>
              <w:marTop w:val="0"/>
              <w:marBottom w:val="0"/>
              <w:divBdr>
                <w:top w:val="none" w:sz="0" w:space="0" w:color="auto"/>
                <w:left w:val="none" w:sz="0" w:space="0" w:color="auto"/>
                <w:bottom w:val="none" w:sz="0" w:space="0" w:color="auto"/>
                <w:right w:val="none" w:sz="0" w:space="0" w:color="auto"/>
              </w:divBdr>
            </w:div>
            <w:div w:id="1638295958">
              <w:marLeft w:val="0"/>
              <w:marRight w:val="0"/>
              <w:marTop w:val="0"/>
              <w:marBottom w:val="0"/>
              <w:divBdr>
                <w:top w:val="none" w:sz="0" w:space="0" w:color="auto"/>
                <w:left w:val="none" w:sz="0" w:space="0" w:color="auto"/>
                <w:bottom w:val="none" w:sz="0" w:space="0" w:color="auto"/>
                <w:right w:val="none" w:sz="0" w:space="0" w:color="auto"/>
              </w:divBdr>
            </w:div>
            <w:div w:id="1287617247">
              <w:marLeft w:val="0"/>
              <w:marRight w:val="0"/>
              <w:marTop w:val="0"/>
              <w:marBottom w:val="0"/>
              <w:divBdr>
                <w:top w:val="none" w:sz="0" w:space="0" w:color="auto"/>
                <w:left w:val="none" w:sz="0" w:space="0" w:color="auto"/>
                <w:bottom w:val="none" w:sz="0" w:space="0" w:color="auto"/>
                <w:right w:val="none" w:sz="0" w:space="0" w:color="auto"/>
              </w:divBdr>
            </w:div>
            <w:div w:id="2015065603">
              <w:marLeft w:val="0"/>
              <w:marRight w:val="0"/>
              <w:marTop w:val="0"/>
              <w:marBottom w:val="0"/>
              <w:divBdr>
                <w:top w:val="none" w:sz="0" w:space="0" w:color="auto"/>
                <w:left w:val="none" w:sz="0" w:space="0" w:color="auto"/>
                <w:bottom w:val="none" w:sz="0" w:space="0" w:color="auto"/>
                <w:right w:val="none" w:sz="0" w:space="0" w:color="auto"/>
              </w:divBdr>
            </w:div>
            <w:div w:id="15739197">
              <w:marLeft w:val="0"/>
              <w:marRight w:val="0"/>
              <w:marTop w:val="0"/>
              <w:marBottom w:val="0"/>
              <w:divBdr>
                <w:top w:val="none" w:sz="0" w:space="0" w:color="auto"/>
                <w:left w:val="none" w:sz="0" w:space="0" w:color="auto"/>
                <w:bottom w:val="none" w:sz="0" w:space="0" w:color="auto"/>
                <w:right w:val="none" w:sz="0" w:space="0" w:color="auto"/>
              </w:divBdr>
            </w:div>
            <w:div w:id="690689854">
              <w:marLeft w:val="0"/>
              <w:marRight w:val="0"/>
              <w:marTop w:val="0"/>
              <w:marBottom w:val="0"/>
              <w:divBdr>
                <w:top w:val="none" w:sz="0" w:space="0" w:color="auto"/>
                <w:left w:val="none" w:sz="0" w:space="0" w:color="auto"/>
                <w:bottom w:val="none" w:sz="0" w:space="0" w:color="auto"/>
                <w:right w:val="none" w:sz="0" w:space="0" w:color="auto"/>
              </w:divBdr>
            </w:div>
            <w:div w:id="796607957">
              <w:marLeft w:val="0"/>
              <w:marRight w:val="0"/>
              <w:marTop w:val="0"/>
              <w:marBottom w:val="0"/>
              <w:divBdr>
                <w:top w:val="none" w:sz="0" w:space="0" w:color="auto"/>
                <w:left w:val="none" w:sz="0" w:space="0" w:color="auto"/>
                <w:bottom w:val="none" w:sz="0" w:space="0" w:color="auto"/>
                <w:right w:val="none" w:sz="0" w:space="0" w:color="auto"/>
              </w:divBdr>
            </w:div>
            <w:div w:id="654846446">
              <w:marLeft w:val="0"/>
              <w:marRight w:val="0"/>
              <w:marTop w:val="0"/>
              <w:marBottom w:val="0"/>
              <w:divBdr>
                <w:top w:val="none" w:sz="0" w:space="0" w:color="auto"/>
                <w:left w:val="none" w:sz="0" w:space="0" w:color="auto"/>
                <w:bottom w:val="none" w:sz="0" w:space="0" w:color="auto"/>
                <w:right w:val="none" w:sz="0" w:space="0" w:color="auto"/>
              </w:divBdr>
            </w:div>
            <w:div w:id="534078193">
              <w:marLeft w:val="0"/>
              <w:marRight w:val="0"/>
              <w:marTop w:val="0"/>
              <w:marBottom w:val="0"/>
              <w:divBdr>
                <w:top w:val="none" w:sz="0" w:space="0" w:color="auto"/>
                <w:left w:val="none" w:sz="0" w:space="0" w:color="auto"/>
                <w:bottom w:val="none" w:sz="0" w:space="0" w:color="auto"/>
                <w:right w:val="none" w:sz="0" w:space="0" w:color="auto"/>
              </w:divBdr>
            </w:div>
            <w:div w:id="1280382400">
              <w:marLeft w:val="0"/>
              <w:marRight w:val="0"/>
              <w:marTop w:val="0"/>
              <w:marBottom w:val="0"/>
              <w:divBdr>
                <w:top w:val="none" w:sz="0" w:space="0" w:color="auto"/>
                <w:left w:val="none" w:sz="0" w:space="0" w:color="auto"/>
                <w:bottom w:val="none" w:sz="0" w:space="0" w:color="auto"/>
                <w:right w:val="none" w:sz="0" w:space="0" w:color="auto"/>
              </w:divBdr>
            </w:div>
            <w:div w:id="1741711225">
              <w:marLeft w:val="0"/>
              <w:marRight w:val="0"/>
              <w:marTop w:val="0"/>
              <w:marBottom w:val="0"/>
              <w:divBdr>
                <w:top w:val="none" w:sz="0" w:space="0" w:color="auto"/>
                <w:left w:val="none" w:sz="0" w:space="0" w:color="auto"/>
                <w:bottom w:val="none" w:sz="0" w:space="0" w:color="auto"/>
                <w:right w:val="none" w:sz="0" w:space="0" w:color="auto"/>
              </w:divBdr>
            </w:div>
            <w:div w:id="823395904">
              <w:marLeft w:val="0"/>
              <w:marRight w:val="0"/>
              <w:marTop w:val="0"/>
              <w:marBottom w:val="0"/>
              <w:divBdr>
                <w:top w:val="none" w:sz="0" w:space="0" w:color="auto"/>
                <w:left w:val="none" w:sz="0" w:space="0" w:color="auto"/>
                <w:bottom w:val="none" w:sz="0" w:space="0" w:color="auto"/>
                <w:right w:val="none" w:sz="0" w:space="0" w:color="auto"/>
              </w:divBdr>
            </w:div>
            <w:div w:id="1107238017">
              <w:marLeft w:val="0"/>
              <w:marRight w:val="0"/>
              <w:marTop w:val="0"/>
              <w:marBottom w:val="0"/>
              <w:divBdr>
                <w:top w:val="none" w:sz="0" w:space="0" w:color="auto"/>
                <w:left w:val="none" w:sz="0" w:space="0" w:color="auto"/>
                <w:bottom w:val="none" w:sz="0" w:space="0" w:color="auto"/>
                <w:right w:val="none" w:sz="0" w:space="0" w:color="auto"/>
              </w:divBdr>
            </w:div>
            <w:div w:id="32777166">
              <w:marLeft w:val="0"/>
              <w:marRight w:val="0"/>
              <w:marTop w:val="0"/>
              <w:marBottom w:val="0"/>
              <w:divBdr>
                <w:top w:val="none" w:sz="0" w:space="0" w:color="auto"/>
                <w:left w:val="none" w:sz="0" w:space="0" w:color="auto"/>
                <w:bottom w:val="none" w:sz="0" w:space="0" w:color="auto"/>
                <w:right w:val="none" w:sz="0" w:space="0" w:color="auto"/>
              </w:divBdr>
            </w:div>
            <w:div w:id="567811603">
              <w:marLeft w:val="0"/>
              <w:marRight w:val="0"/>
              <w:marTop w:val="0"/>
              <w:marBottom w:val="0"/>
              <w:divBdr>
                <w:top w:val="none" w:sz="0" w:space="0" w:color="auto"/>
                <w:left w:val="none" w:sz="0" w:space="0" w:color="auto"/>
                <w:bottom w:val="none" w:sz="0" w:space="0" w:color="auto"/>
                <w:right w:val="none" w:sz="0" w:space="0" w:color="auto"/>
              </w:divBdr>
            </w:div>
            <w:div w:id="1336106426">
              <w:marLeft w:val="0"/>
              <w:marRight w:val="0"/>
              <w:marTop w:val="0"/>
              <w:marBottom w:val="0"/>
              <w:divBdr>
                <w:top w:val="none" w:sz="0" w:space="0" w:color="auto"/>
                <w:left w:val="none" w:sz="0" w:space="0" w:color="auto"/>
                <w:bottom w:val="none" w:sz="0" w:space="0" w:color="auto"/>
                <w:right w:val="none" w:sz="0" w:space="0" w:color="auto"/>
              </w:divBdr>
            </w:div>
            <w:div w:id="1321737893">
              <w:marLeft w:val="0"/>
              <w:marRight w:val="0"/>
              <w:marTop w:val="0"/>
              <w:marBottom w:val="0"/>
              <w:divBdr>
                <w:top w:val="none" w:sz="0" w:space="0" w:color="auto"/>
                <w:left w:val="none" w:sz="0" w:space="0" w:color="auto"/>
                <w:bottom w:val="none" w:sz="0" w:space="0" w:color="auto"/>
                <w:right w:val="none" w:sz="0" w:space="0" w:color="auto"/>
              </w:divBdr>
            </w:div>
            <w:div w:id="788595448">
              <w:marLeft w:val="0"/>
              <w:marRight w:val="0"/>
              <w:marTop w:val="0"/>
              <w:marBottom w:val="0"/>
              <w:divBdr>
                <w:top w:val="none" w:sz="0" w:space="0" w:color="auto"/>
                <w:left w:val="none" w:sz="0" w:space="0" w:color="auto"/>
                <w:bottom w:val="none" w:sz="0" w:space="0" w:color="auto"/>
                <w:right w:val="none" w:sz="0" w:space="0" w:color="auto"/>
              </w:divBdr>
            </w:div>
            <w:div w:id="2115635592">
              <w:marLeft w:val="0"/>
              <w:marRight w:val="0"/>
              <w:marTop w:val="0"/>
              <w:marBottom w:val="0"/>
              <w:divBdr>
                <w:top w:val="none" w:sz="0" w:space="0" w:color="auto"/>
                <w:left w:val="none" w:sz="0" w:space="0" w:color="auto"/>
                <w:bottom w:val="none" w:sz="0" w:space="0" w:color="auto"/>
                <w:right w:val="none" w:sz="0" w:space="0" w:color="auto"/>
              </w:divBdr>
            </w:div>
            <w:div w:id="816726236">
              <w:marLeft w:val="0"/>
              <w:marRight w:val="0"/>
              <w:marTop w:val="0"/>
              <w:marBottom w:val="0"/>
              <w:divBdr>
                <w:top w:val="none" w:sz="0" w:space="0" w:color="auto"/>
                <w:left w:val="none" w:sz="0" w:space="0" w:color="auto"/>
                <w:bottom w:val="none" w:sz="0" w:space="0" w:color="auto"/>
                <w:right w:val="none" w:sz="0" w:space="0" w:color="auto"/>
              </w:divBdr>
            </w:div>
            <w:div w:id="1202938738">
              <w:marLeft w:val="0"/>
              <w:marRight w:val="0"/>
              <w:marTop w:val="0"/>
              <w:marBottom w:val="0"/>
              <w:divBdr>
                <w:top w:val="none" w:sz="0" w:space="0" w:color="auto"/>
                <w:left w:val="none" w:sz="0" w:space="0" w:color="auto"/>
                <w:bottom w:val="none" w:sz="0" w:space="0" w:color="auto"/>
                <w:right w:val="none" w:sz="0" w:space="0" w:color="auto"/>
              </w:divBdr>
            </w:div>
            <w:div w:id="777411568">
              <w:marLeft w:val="0"/>
              <w:marRight w:val="0"/>
              <w:marTop w:val="0"/>
              <w:marBottom w:val="0"/>
              <w:divBdr>
                <w:top w:val="none" w:sz="0" w:space="0" w:color="auto"/>
                <w:left w:val="none" w:sz="0" w:space="0" w:color="auto"/>
                <w:bottom w:val="none" w:sz="0" w:space="0" w:color="auto"/>
                <w:right w:val="none" w:sz="0" w:space="0" w:color="auto"/>
              </w:divBdr>
            </w:div>
            <w:div w:id="431166557">
              <w:marLeft w:val="0"/>
              <w:marRight w:val="0"/>
              <w:marTop w:val="0"/>
              <w:marBottom w:val="0"/>
              <w:divBdr>
                <w:top w:val="none" w:sz="0" w:space="0" w:color="auto"/>
                <w:left w:val="none" w:sz="0" w:space="0" w:color="auto"/>
                <w:bottom w:val="none" w:sz="0" w:space="0" w:color="auto"/>
                <w:right w:val="none" w:sz="0" w:space="0" w:color="auto"/>
              </w:divBdr>
            </w:div>
            <w:div w:id="1165704312">
              <w:marLeft w:val="0"/>
              <w:marRight w:val="0"/>
              <w:marTop w:val="0"/>
              <w:marBottom w:val="0"/>
              <w:divBdr>
                <w:top w:val="none" w:sz="0" w:space="0" w:color="auto"/>
                <w:left w:val="none" w:sz="0" w:space="0" w:color="auto"/>
                <w:bottom w:val="none" w:sz="0" w:space="0" w:color="auto"/>
                <w:right w:val="none" w:sz="0" w:space="0" w:color="auto"/>
              </w:divBdr>
            </w:div>
            <w:div w:id="1882669043">
              <w:marLeft w:val="0"/>
              <w:marRight w:val="0"/>
              <w:marTop w:val="0"/>
              <w:marBottom w:val="0"/>
              <w:divBdr>
                <w:top w:val="none" w:sz="0" w:space="0" w:color="auto"/>
                <w:left w:val="none" w:sz="0" w:space="0" w:color="auto"/>
                <w:bottom w:val="none" w:sz="0" w:space="0" w:color="auto"/>
                <w:right w:val="none" w:sz="0" w:space="0" w:color="auto"/>
              </w:divBdr>
            </w:div>
            <w:div w:id="1933273250">
              <w:marLeft w:val="0"/>
              <w:marRight w:val="0"/>
              <w:marTop w:val="0"/>
              <w:marBottom w:val="0"/>
              <w:divBdr>
                <w:top w:val="none" w:sz="0" w:space="0" w:color="auto"/>
                <w:left w:val="none" w:sz="0" w:space="0" w:color="auto"/>
                <w:bottom w:val="none" w:sz="0" w:space="0" w:color="auto"/>
                <w:right w:val="none" w:sz="0" w:space="0" w:color="auto"/>
              </w:divBdr>
            </w:div>
            <w:div w:id="856581099">
              <w:marLeft w:val="0"/>
              <w:marRight w:val="0"/>
              <w:marTop w:val="0"/>
              <w:marBottom w:val="0"/>
              <w:divBdr>
                <w:top w:val="none" w:sz="0" w:space="0" w:color="auto"/>
                <w:left w:val="none" w:sz="0" w:space="0" w:color="auto"/>
                <w:bottom w:val="none" w:sz="0" w:space="0" w:color="auto"/>
                <w:right w:val="none" w:sz="0" w:space="0" w:color="auto"/>
              </w:divBdr>
            </w:div>
            <w:div w:id="1406219699">
              <w:marLeft w:val="0"/>
              <w:marRight w:val="0"/>
              <w:marTop w:val="0"/>
              <w:marBottom w:val="0"/>
              <w:divBdr>
                <w:top w:val="none" w:sz="0" w:space="0" w:color="auto"/>
                <w:left w:val="none" w:sz="0" w:space="0" w:color="auto"/>
                <w:bottom w:val="none" w:sz="0" w:space="0" w:color="auto"/>
                <w:right w:val="none" w:sz="0" w:space="0" w:color="auto"/>
              </w:divBdr>
            </w:div>
            <w:div w:id="450130911">
              <w:marLeft w:val="0"/>
              <w:marRight w:val="0"/>
              <w:marTop w:val="0"/>
              <w:marBottom w:val="0"/>
              <w:divBdr>
                <w:top w:val="none" w:sz="0" w:space="0" w:color="auto"/>
                <w:left w:val="none" w:sz="0" w:space="0" w:color="auto"/>
                <w:bottom w:val="none" w:sz="0" w:space="0" w:color="auto"/>
                <w:right w:val="none" w:sz="0" w:space="0" w:color="auto"/>
              </w:divBdr>
            </w:div>
            <w:div w:id="1712223723">
              <w:marLeft w:val="0"/>
              <w:marRight w:val="0"/>
              <w:marTop w:val="0"/>
              <w:marBottom w:val="0"/>
              <w:divBdr>
                <w:top w:val="none" w:sz="0" w:space="0" w:color="auto"/>
                <w:left w:val="none" w:sz="0" w:space="0" w:color="auto"/>
                <w:bottom w:val="none" w:sz="0" w:space="0" w:color="auto"/>
                <w:right w:val="none" w:sz="0" w:space="0" w:color="auto"/>
              </w:divBdr>
            </w:div>
            <w:div w:id="1473862719">
              <w:marLeft w:val="0"/>
              <w:marRight w:val="0"/>
              <w:marTop w:val="0"/>
              <w:marBottom w:val="0"/>
              <w:divBdr>
                <w:top w:val="none" w:sz="0" w:space="0" w:color="auto"/>
                <w:left w:val="none" w:sz="0" w:space="0" w:color="auto"/>
                <w:bottom w:val="none" w:sz="0" w:space="0" w:color="auto"/>
                <w:right w:val="none" w:sz="0" w:space="0" w:color="auto"/>
              </w:divBdr>
            </w:div>
            <w:div w:id="144124208">
              <w:marLeft w:val="0"/>
              <w:marRight w:val="0"/>
              <w:marTop w:val="0"/>
              <w:marBottom w:val="0"/>
              <w:divBdr>
                <w:top w:val="none" w:sz="0" w:space="0" w:color="auto"/>
                <w:left w:val="none" w:sz="0" w:space="0" w:color="auto"/>
                <w:bottom w:val="none" w:sz="0" w:space="0" w:color="auto"/>
                <w:right w:val="none" w:sz="0" w:space="0" w:color="auto"/>
              </w:divBdr>
            </w:div>
            <w:div w:id="883174537">
              <w:marLeft w:val="0"/>
              <w:marRight w:val="0"/>
              <w:marTop w:val="0"/>
              <w:marBottom w:val="0"/>
              <w:divBdr>
                <w:top w:val="none" w:sz="0" w:space="0" w:color="auto"/>
                <w:left w:val="none" w:sz="0" w:space="0" w:color="auto"/>
                <w:bottom w:val="none" w:sz="0" w:space="0" w:color="auto"/>
                <w:right w:val="none" w:sz="0" w:space="0" w:color="auto"/>
              </w:divBdr>
            </w:div>
            <w:div w:id="481117073">
              <w:marLeft w:val="0"/>
              <w:marRight w:val="0"/>
              <w:marTop w:val="0"/>
              <w:marBottom w:val="0"/>
              <w:divBdr>
                <w:top w:val="none" w:sz="0" w:space="0" w:color="auto"/>
                <w:left w:val="none" w:sz="0" w:space="0" w:color="auto"/>
                <w:bottom w:val="none" w:sz="0" w:space="0" w:color="auto"/>
                <w:right w:val="none" w:sz="0" w:space="0" w:color="auto"/>
              </w:divBdr>
            </w:div>
            <w:div w:id="495803254">
              <w:marLeft w:val="0"/>
              <w:marRight w:val="0"/>
              <w:marTop w:val="0"/>
              <w:marBottom w:val="0"/>
              <w:divBdr>
                <w:top w:val="none" w:sz="0" w:space="0" w:color="auto"/>
                <w:left w:val="none" w:sz="0" w:space="0" w:color="auto"/>
                <w:bottom w:val="none" w:sz="0" w:space="0" w:color="auto"/>
                <w:right w:val="none" w:sz="0" w:space="0" w:color="auto"/>
              </w:divBdr>
            </w:div>
            <w:div w:id="1479803899">
              <w:marLeft w:val="0"/>
              <w:marRight w:val="0"/>
              <w:marTop w:val="0"/>
              <w:marBottom w:val="0"/>
              <w:divBdr>
                <w:top w:val="none" w:sz="0" w:space="0" w:color="auto"/>
                <w:left w:val="none" w:sz="0" w:space="0" w:color="auto"/>
                <w:bottom w:val="none" w:sz="0" w:space="0" w:color="auto"/>
                <w:right w:val="none" w:sz="0" w:space="0" w:color="auto"/>
              </w:divBdr>
            </w:div>
            <w:div w:id="932663591">
              <w:marLeft w:val="0"/>
              <w:marRight w:val="0"/>
              <w:marTop w:val="0"/>
              <w:marBottom w:val="0"/>
              <w:divBdr>
                <w:top w:val="none" w:sz="0" w:space="0" w:color="auto"/>
                <w:left w:val="none" w:sz="0" w:space="0" w:color="auto"/>
                <w:bottom w:val="none" w:sz="0" w:space="0" w:color="auto"/>
                <w:right w:val="none" w:sz="0" w:space="0" w:color="auto"/>
              </w:divBdr>
            </w:div>
            <w:div w:id="1779375616">
              <w:marLeft w:val="0"/>
              <w:marRight w:val="0"/>
              <w:marTop w:val="0"/>
              <w:marBottom w:val="0"/>
              <w:divBdr>
                <w:top w:val="none" w:sz="0" w:space="0" w:color="auto"/>
                <w:left w:val="none" w:sz="0" w:space="0" w:color="auto"/>
                <w:bottom w:val="none" w:sz="0" w:space="0" w:color="auto"/>
                <w:right w:val="none" w:sz="0" w:space="0" w:color="auto"/>
              </w:divBdr>
            </w:div>
            <w:div w:id="23288770">
              <w:marLeft w:val="0"/>
              <w:marRight w:val="0"/>
              <w:marTop w:val="0"/>
              <w:marBottom w:val="0"/>
              <w:divBdr>
                <w:top w:val="none" w:sz="0" w:space="0" w:color="auto"/>
                <w:left w:val="none" w:sz="0" w:space="0" w:color="auto"/>
                <w:bottom w:val="none" w:sz="0" w:space="0" w:color="auto"/>
                <w:right w:val="none" w:sz="0" w:space="0" w:color="auto"/>
              </w:divBdr>
            </w:div>
            <w:div w:id="1294748467">
              <w:marLeft w:val="0"/>
              <w:marRight w:val="0"/>
              <w:marTop w:val="0"/>
              <w:marBottom w:val="0"/>
              <w:divBdr>
                <w:top w:val="none" w:sz="0" w:space="0" w:color="auto"/>
                <w:left w:val="none" w:sz="0" w:space="0" w:color="auto"/>
                <w:bottom w:val="none" w:sz="0" w:space="0" w:color="auto"/>
                <w:right w:val="none" w:sz="0" w:space="0" w:color="auto"/>
              </w:divBdr>
            </w:div>
            <w:div w:id="242879943">
              <w:marLeft w:val="0"/>
              <w:marRight w:val="0"/>
              <w:marTop w:val="0"/>
              <w:marBottom w:val="0"/>
              <w:divBdr>
                <w:top w:val="none" w:sz="0" w:space="0" w:color="auto"/>
                <w:left w:val="none" w:sz="0" w:space="0" w:color="auto"/>
                <w:bottom w:val="none" w:sz="0" w:space="0" w:color="auto"/>
                <w:right w:val="none" w:sz="0" w:space="0" w:color="auto"/>
              </w:divBdr>
            </w:div>
            <w:div w:id="414059709">
              <w:marLeft w:val="0"/>
              <w:marRight w:val="0"/>
              <w:marTop w:val="0"/>
              <w:marBottom w:val="0"/>
              <w:divBdr>
                <w:top w:val="none" w:sz="0" w:space="0" w:color="auto"/>
                <w:left w:val="none" w:sz="0" w:space="0" w:color="auto"/>
                <w:bottom w:val="none" w:sz="0" w:space="0" w:color="auto"/>
                <w:right w:val="none" w:sz="0" w:space="0" w:color="auto"/>
              </w:divBdr>
            </w:div>
            <w:div w:id="1180925693">
              <w:marLeft w:val="0"/>
              <w:marRight w:val="0"/>
              <w:marTop w:val="0"/>
              <w:marBottom w:val="0"/>
              <w:divBdr>
                <w:top w:val="none" w:sz="0" w:space="0" w:color="auto"/>
                <w:left w:val="none" w:sz="0" w:space="0" w:color="auto"/>
                <w:bottom w:val="none" w:sz="0" w:space="0" w:color="auto"/>
                <w:right w:val="none" w:sz="0" w:space="0" w:color="auto"/>
              </w:divBdr>
            </w:div>
            <w:div w:id="1416198538">
              <w:marLeft w:val="0"/>
              <w:marRight w:val="0"/>
              <w:marTop w:val="0"/>
              <w:marBottom w:val="0"/>
              <w:divBdr>
                <w:top w:val="none" w:sz="0" w:space="0" w:color="auto"/>
                <w:left w:val="none" w:sz="0" w:space="0" w:color="auto"/>
                <w:bottom w:val="none" w:sz="0" w:space="0" w:color="auto"/>
                <w:right w:val="none" w:sz="0" w:space="0" w:color="auto"/>
              </w:divBdr>
            </w:div>
            <w:div w:id="1085230326">
              <w:marLeft w:val="0"/>
              <w:marRight w:val="0"/>
              <w:marTop w:val="0"/>
              <w:marBottom w:val="0"/>
              <w:divBdr>
                <w:top w:val="none" w:sz="0" w:space="0" w:color="auto"/>
                <w:left w:val="none" w:sz="0" w:space="0" w:color="auto"/>
                <w:bottom w:val="none" w:sz="0" w:space="0" w:color="auto"/>
                <w:right w:val="none" w:sz="0" w:space="0" w:color="auto"/>
              </w:divBdr>
            </w:div>
            <w:div w:id="707333789">
              <w:marLeft w:val="0"/>
              <w:marRight w:val="0"/>
              <w:marTop w:val="0"/>
              <w:marBottom w:val="0"/>
              <w:divBdr>
                <w:top w:val="none" w:sz="0" w:space="0" w:color="auto"/>
                <w:left w:val="none" w:sz="0" w:space="0" w:color="auto"/>
                <w:bottom w:val="none" w:sz="0" w:space="0" w:color="auto"/>
                <w:right w:val="none" w:sz="0" w:space="0" w:color="auto"/>
              </w:divBdr>
            </w:div>
            <w:div w:id="798039105">
              <w:marLeft w:val="0"/>
              <w:marRight w:val="0"/>
              <w:marTop w:val="0"/>
              <w:marBottom w:val="0"/>
              <w:divBdr>
                <w:top w:val="none" w:sz="0" w:space="0" w:color="auto"/>
                <w:left w:val="none" w:sz="0" w:space="0" w:color="auto"/>
                <w:bottom w:val="none" w:sz="0" w:space="0" w:color="auto"/>
                <w:right w:val="none" w:sz="0" w:space="0" w:color="auto"/>
              </w:divBdr>
            </w:div>
            <w:div w:id="120343864">
              <w:marLeft w:val="0"/>
              <w:marRight w:val="0"/>
              <w:marTop w:val="0"/>
              <w:marBottom w:val="0"/>
              <w:divBdr>
                <w:top w:val="none" w:sz="0" w:space="0" w:color="auto"/>
                <w:left w:val="none" w:sz="0" w:space="0" w:color="auto"/>
                <w:bottom w:val="none" w:sz="0" w:space="0" w:color="auto"/>
                <w:right w:val="none" w:sz="0" w:space="0" w:color="auto"/>
              </w:divBdr>
            </w:div>
            <w:div w:id="1997830871">
              <w:marLeft w:val="0"/>
              <w:marRight w:val="0"/>
              <w:marTop w:val="0"/>
              <w:marBottom w:val="0"/>
              <w:divBdr>
                <w:top w:val="none" w:sz="0" w:space="0" w:color="auto"/>
                <w:left w:val="none" w:sz="0" w:space="0" w:color="auto"/>
                <w:bottom w:val="none" w:sz="0" w:space="0" w:color="auto"/>
                <w:right w:val="none" w:sz="0" w:space="0" w:color="auto"/>
              </w:divBdr>
            </w:div>
            <w:div w:id="919409758">
              <w:marLeft w:val="0"/>
              <w:marRight w:val="0"/>
              <w:marTop w:val="0"/>
              <w:marBottom w:val="0"/>
              <w:divBdr>
                <w:top w:val="none" w:sz="0" w:space="0" w:color="auto"/>
                <w:left w:val="none" w:sz="0" w:space="0" w:color="auto"/>
                <w:bottom w:val="none" w:sz="0" w:space="0" w:color="auto"/>
                <w:right w:val="none" w:sz="0" w:space="0" w:color="auto"/>
              </w:divBdr>
            </w:div>
            <w:div w:id="1467312052">
              <w:marLeft w:val="0"/>
              <w:marRight w:val="0"/>
              <w:marTop w:val="0"/>
              <w:marBottom w:val="0"/>
              <w:divBdr>
                <w:top w:val="none" w:sz="0" w:space="0" w:color="auto"/>
                <w:left w:val="none" w:sz="0" w:space="0" w:color="auto"/>
                <w:bottom w:val="none" w:sz="0" w:space="0" w:color="auto"/>
                <w:right w:val="none" w:sz="0" w:space="0" w:color="auto"/>
              </w:divBdr>
            </w:div>
            <w:div w:id="64572214">
              <w:marLeft w:val="0"/>
              <w:marRight w:val="0"/>
              <w:marTop w:val="0"/>
              <w:marBottom w:val="0"/>
              <w:divBdr>
                <w:top w:val="none" w:sz="0" w:space="0" w:color="auto"/>
                <w:left w:val="none" w:sz="0" w:space="0" w:color="auto"/>
                <w:bottom w:val="none" w:sz="0" w:space="0" w:color="auto"/>
                <w:right w:val="none" w:sz="0" w:space="0" w:color="auto"/>
              </w:divBdr>
            </w:div>
            <w:div w:id="2003854021">
              <w:marLeft w:val="0"/>
              <w:marRight w:val="0"/>
              <w:marTop w:val="0"/>
              <w:marBottom w:val="0"/>
              <w:divBdr>
                <w:top w:val="none" w:sz="0" w:space="0" w:color="auto"/>
                <w:left w:val="none" w:sz="0" w:space="0" w:color="auto"/>
                <w:bottom w:val="none" w:sz="0" w:space="0" w:color="auto"/>
                <w:right w:val="none" w:sz="0" w:space="0" w:color="auto"/>
              </w:divBdr>
            </w:div>
            <w:div w:id="1229193589">
              <w:marLeft w:val="0"/>
              <w:marRight w:val="0"/>
              <w:marTop w:val="0"/>
              <w:marBottom w:val="0"/>
              <w:divBdr>
                <w:top w:val="none" w:sz="0" w:space="0" w:color="auto"/>
                <w:left w:val="none" w:sz="0" w:space="0" w:color="auto"/>
                <w:bottom w:val="none" w:sz="0" w:space="0" w:color="auto"/>
                <w:right w:val="none" w:sz="0" w:space="0" w:color="auto"/>
              </w:divBdr>
            </w:div>
            <w:div w:id="1956717863">
              <w:marLeft w:val="0"/>
              <w:marRight w:val="0"/>
              <w:marTop w:val="0"/>
              <w:marBottom w:val="0"/>
              <w:divBdr>
                <w:top w:val="none" w:sz="0" w:space="0" w:color="auto"/>
                <w:left w:val="none" w:sz="0" w:space="0" w:color="auto"/>
                <w:bottom w:val="none" w:sz="0" w:space="0" w:color="auto"/>
                <w:right w:val="none" w:sz="0" w:space="0" w:color="auto"/>
              </w:divBdr>
            </w:div>
            <w:div w:id="1323966448">
              <w:marLeft w:val="0"/>
              <w:marRight w:val="0"/>
              <w:marTop w:val="0"/>
              <w:marBottom w:val="0"/>
              <w:divBdr>
                <w:top w:val="none" w:sz="0" w:space="0" w:color="auto"/>
                <w:left w:val="none" w:sz="0" w:space="0" w:color="auto"/>
                <w:bottom w:val="none" w:sz="0" w:space="0" w:color="auto"/>
                <w:right w:val="none" w:sz="0" w:space="0" w:color="auto"/>
              </w:divBdr>
            </w:div>
            <w:div w:id="1331566723">
              <w:marLeft w:val="0"/>
              <w:marRight w:val="0"/>
              <w:marTop w:val="0"/>
              <w:marBottom w:val="0"/>
              <w:divBdr>
                <w:top w:val="none" w:sz="0" w:space="0" w:color="auto"/>
                <w:left w:val="none" w:sz="0" w:space="0" w:color="auto"/>
                <w:bottom w:val="none" w:sz="0" w:space="0" w:color="auto"/>
                <w:right w:val="none" w:sz="0" w:space="0" w:color="auto"/>
              </w:divBdr>
            </w:div>
            <w:div w:id="2072844108">
              <w:marLeft w:val="0"/>
              <w:marRight w:val="0"/>
              <w:marTop w:val="0"/>
              <w:marBottom w:val="0"/>
              <w:divBdr>
                <w:top w:val="none" w:sz="0" w:space="0" w:color="auto"/>
                <w:left w:val="none" w:sz="0" w:space="0" w:color="auto"/>
                <w:bottom w:val="none" w:sz="0" w:space="0" w:color="auto"/>
                <w:right w:val="none" w:sz="0" w:space="0" w:color="auto"/>
              </w:divBdr>
            </w:div>
            <w:div w:id="1405448029">
              <w:marLeft w:val="0"/>
              <w:marRight w:val="0"/>
              <w:marTop w:val="0"/>
              <w:marBottom w:val="0"/>
              <w:divBdr>
                <w:top w:val="none" w:sz="0" w:space="0" w:color="auto"/>
                <w:left w:val="none" w:sz="0" w:space="0" w:color="auto"/>
                <w:bottom w:val="none" w:sz="0" w:space="0" w:color="auto"/>
                <w:right w:val="none" w:sz="0" w:space="0" w:color="auto"/>
              </w:divBdr>
            </w:div>
            <w:div w:id="1976831338">
              <w:marLeft w:val="0"/>
              <w:marRight w:val="0"/>
              <w:marTop w:val="0"/>
              <w:marBottom w:val="0"/>
              <w:divBdr>
                <w:top w:val="none" w:sz="0" w:space="0" w:color="auto"/>
                <w:left w:val="none" w:sz="0" w:space="0" w:color="auto"/>
                <w:bottom w:val="none" w:sz="0" w:space="0" w:color="auto"/>
                <w:right w:val="none" w:sz="0" w:space="0" w:color="auto"/>
              </w:divBdr>
            </w:div>
            <w:div w:id="467865260">
              <w:marLeft w:val="0"/>
              <w:marRight w:val="0"/>
              <w:marTop w:val="0"/>
              <w:marBottom w:val="0"/>
              <w:divBdr>
                <w:top w:val="none" w:sz="0" w:space="0" w:color="auto"/>
                <w:left w:val="none" w:sz="0" w:space="0" w:color="auto"/>
                <w:bottom w:val="none" w:sz="0" w:space="0" w:color="auto"/>
                <w:right w:val="none" w:sz="0" w:space="0" w:color="auto"/>
              </w:divBdr>
            </w:div>
            <w:div w:id="2013219085">
              <w:marLeft w:val="0"/>
              <w:marRight w:val="0"/>
              <w:marTop w:val="0"/>
              <w:marBottom w:val="0"/>
              <w:divBdr>
                <w:top w:val="none" w:sz="0" w:space="0" w:color="auto"/>
                <w:left w:val="none" w:sz="0" w:space="0" w:color="auto"/>
                <w:bottom w:val="none" w:sz="0" w:space="0" w:color="auto"/>
                <w:right w:val="none" w:sz="0" w:space="0" w:color="auto"/>
              </w:divBdr>
            </w:div>
            <w:div w:id="140968395">
              <w:marLeft w:val="0"/>
              <w:marRight w:val="0"/>
              <w:marTop w:val="0"/>
              <w:marBottom w:val="0"/>
              <w:divBdr>
                <w:top w:val="none" w:sz="0" w:space="0" w:color="auto"/>
                <w:left w:val="none" w:sz="0" w:space="0" w:color="auto"/>
                <w:bottom w:val="none" w:sz="0" w:space="0" w:color="auto"/>
                <w:right w:val="none" w:sz="0" w:space="0" w:color="auto"/>
              </w:divBdr>
            </w:div>
            <w:div w:id="1314527443">
              <w:marLeft w:val="0"/>
              <w:marRight w:val="0"/>
              <w:marTop w:val="0"/>
              <w:marBottom w:val="0"/>
              <w:divBdr>
                <w:top w:val="none" w:sz="0" w:space="0" w:color="auto"/>
                <w:left w:val="none" w:sz="0" w:space="0" w:color="auto"/>
                <w:bottom w:val="none" w:sz="0" w:space="0" w:color="auto"/>
                <w:right w:val="none" w:sz="0" w:space="0" w:color="auto"/>
              </w:divBdr>
            </w:div>
            <w:div w:id="1997030620">
              <w:marLeft w:val="0"/>
              <w:marRight w:val="0"/>
              <w:marTop w:val="0"/>
              <w:marBottom w:val="0"/>
              <w:divBdr>
                <w:top w:val="none" w:sz="0" w:space="0" w:color="auto"/>
                <w:left w:val="none" w:sz="0" w:space="0" w:color="auto"/>
                <w:bottom w:val="none" w:sz="0" w:space="0" w:color="auto"/>
                <w:right w:val="none" w:sz="0" w:space="0" w:color="auto"/>
              </w:divBdr>
            </w:div>
            <w:div w:id="1052463364">
              <w:marLeft w:val="0"/>
              <w:marRight w:val="0"/>
              <w:marTop w:val="0"/>
              <w:marBottom w:val="0"/>
              <w:divBdr>
                <w:top w:val="none" w:sz="0" w:space="0" w:color="auto"/>
                <w:left w:val="none" w:sz="0" w:space="0" w:color="auto"/>
                <w:bottom w:val="none" w:sz="0" w:space="0" w:color="auto"/>
                <w:right w:val="none" w:sz="0" w:space="0" w:color="auto"/>
              </w:divBdr>
            </w:div>
            <w:div w:id="769276664">
              <w:marLeft w:val="0"/>
              <w:marRight w:val="0"/>
              <w:marTop w:val="0"/>
              <w:marBottom w:val="0"/>
              <w:divBdr>
                <w:top w:val="none" w:sz="0" w:space="0" w:color="auto"/>
                <w:left w:val="none" w:sz="0" w:space="0" w:color="auto"/>
                <w:bottom w:val="none" w:sz="0" w:space="0" w:color="auto"/>
                <w:right w:val="none" w:sz="0" w:space="0" w:color="auto"/>
              </w:divBdr>
            </w:div>
            <w:div w:id="1458377031">
              <w:marLeft w:val="0"/>
              <w:marRight w:val="0"/>
              <w:marTop w:val="0"/>
              <w:marBottom w:val="0"/>
              <w:divBdr>
                <w:top w:val="none" w:sz="0" w:space="0" w:color="auto"/>
                <w:left w:val="none" w:sz="0" w:space="0" w:color="auto"/>
                <w:bottom w:val="none" w:sz="0" w:space="0" w:color="auto"/>
                <w:right w:val="none" w:sz="0" w:space="0" w:color="auto"/>
              </w:divBdr>
            </w:div>
            <w:div w:id="1277256410">
              <w:marLeft w:val="0"/>
              <w:marRight w:val="0"/>
              <w:marTop w:val="0"/>
              <w:marBottom w:val="0"/>
              <w:divBdr>
                <w:top w:val="none" w:sz="0" w:space="0" w:color="auto"/>
                <w:left w:val="none" w:sz="0" w:space="0" w:color="auto"/>
                <w:bottom w:val="none" w:sz="0" w:space="0" w:color="auto"/>
                <w:right w:val="none" w:sz="0" w:space="0" w:color="auto"/>
              </w:divBdr>
            </w:div>
            <w:div w:id="1851404087">
              <w:marLeft w:val="0"/>
              <w:marRight w:val="0"/>
              <w:marTop w:val="0"/>
              <w:marBottom w:val="0"/>
              <w:divBdr>
                <w:top w:val="none" w:sz="0" w:space="0" w:color="auto"/>
                <w:left w:val="none" w:sz="0" w:space="0" w:color="auto"/>
                <w:bottom w:val="none" w:sz="0" w:space="0" w:color="auto"/>
                <w:right w:val="none" w:sz="0" w:space="0" w:color="auto"/>
              </w:divBdr>
            </w:div>
            <w:div w:id="1997757330">
              <w:marLeft w:val="0"/>
              <w:marRight w:val="0"/>
              <w:marTop w:val="0"/>
              <w:marBottom w:val="0"/>
              <w:divBdr>
                <w:top w:val="none" w:sz="0" w:space="0" w:color="auto"/>
                <w:left w:val="none" w:sz="0" w:space="0" w:color="auto"/>
                <w:bottom w:val="none" w:sz="0" w:space="0" w:color="auto"/>
                <w:right w:val="none" w:sz="0" w:space="0" w:color="auto"/>
              </w:divBdr>
            </w:div>
            <w:div w:id="3754143">
              <w:marLeft w:val="0"/>
              <w:marRight w:val="0"/>
              <w:marTop w:val="0"/>
              <w:marBottom w:val="0"/>
              <w:divBdr>
                <w:top w:val="none" w:sz="0" w:space="0" w:color="auto"/>
                <w:left w:val="none" w:sz="0" w:space="0" w:color="auto"/>
                <w:bottom w:val="none" w:sz="0" w:space="0" w:color="auto"/>
                <w:right w:val="none" w:sz="0" w:space="0" w:color="auto"/>
              </w:divBdr>
            </w:div>
            <w:div w:id="230426022">
              <w:marLeft w:val="0"/>
              <w:marRight w:val="0"/>
              <w:marTop w:val="0"/>
              <w:marBottom w:val="0"/>
              <w:divBdr>
                <w:top w:val="none" w:sz="0" w:space="0" w:color="auto"/>
                <w:left w:val="none" w:sz="0" w:space="0" w:color="auto"/>
                <w:bottom w:val="none" w:sz="0" w:space="0" w:color="auto"/>
                <w:right w:val="none" w:sz="0" w:space="0" w:color="auto"/>
              </w:divBdr>
            </w:div>
            <w:div w:id="890846225">
              <w:marLeft w:val="0"/>
              <w:marRight w:val="0"/>
              <w:marTop w:val="0"/>
              <w:marBottom w:val="0"/>
              <w:divBdr>
                <w:top w:val="none" w:sz="0" w:space="0" w:color="auto"/>
                <w:left w:val="none" w:sz="0" w:space="0" w:color="auto"/>
                <w:bottom w:val="none" w:sz="0" w:space="0" w:color="auto"/>
                <w:right w:val="none" w:sz="0" w:space="0" w:color="auto"/>
              </w:divBdr>
            </w:div>
            <w:div w:id="2066488347">
              <w:marLeft w:val="0"/>
              <w:marRight w:val="0"/>
              <w:marTop w:val="0"/>
              <w:marBottom w:val="0"/>
              <w:divBdr>
                <w:top w:val="none" w:sz="0" w:space="0" w:color="auto"/>
                <w:left w:val="none" w:sz="0" w:space="0" w:color="auto"/>
                <w:bottom w:val="none" w:sz="0" w:space="0" w:color="auto"/>
                <w:right w:val="none" w:sz="0" w:space="0" w:color="auto"/>
              </w:divBdr>
            </w:div>
            <w:div w:id="1117136268">
              <w:marLeft w:val="0"/>
              <w:marRight w:val="0"/>
              <w:marTop w:val="0"/>
              <w:marBottom w:val="0"/>
              <w:divBdr>
                <w:top w:val="none" w:sz="0" w:space="0" w:color="auto"/>
                <w:left w:val="none" w:sz="0" w:space="0" w:color="auto"/>
                <w:bottom w:val="none" w:sz="0" w:space="0" w:color="auto"/>
                <w:right w:val="none" w:sz="0" w:space="0" w:color="auto"/>
              </w:divBdr>
            </w:div>
            <w:div w:id="192768166">
              <w:marLeft w:val="0"/>
              <w:marRight w:val="0"/>
              <w:marTop w:val="0"/>
              <w:marBottom w:val="0"/>
              <w:divBdr>
                <w:top w:val="none" w:sz="0" w:space="0" w:color="auto"/>
                <w:left w:val="none" w:sz="0" w:space="0" w:color="auto"/>
                <w:bottom w:val="none" w:sz="0" w:space="0" w:color="auto"/>
                <w:right w:val="none" w:sz="0" w:space="0" w:color="auto"/>
              </w:divBdr>
            </w:div>
            <w:div w:id="1537422899">
              <w:marLeft w:val="0"/>
              <w:marRight w:val="0"/>
              <w:marTop w:val="0"/>
              <w:marBottom w:val="0"/>
              <w:divBdr>
                <w:top w:val="none" w:sz="0" w:space="0" w:color="auto"/>
                <w:left w:val="none" w:sz="0" w:space="0" w:color="auto"/>
                <w:bottom w:val="none" w:sz="0" w:space="0" w:color="auto"/>
                <w:right w:val="none" w:sz="0" w:space="0" w:color="auto"/>
              </w:divBdr>
            </w:div>
            <w:div w:id="1527602630">
              <w:marLeft w:val="0"/>
              <w:marRight w:val="0"/>
              <w:marTop w:val="0"/>
              <w:marBottom w:val="0"/>
              <w:divBdr>
                <w:top w:val="none" w:sz="0" w:space="0" w:color="auto"/>
                <w:left w:val="none" w:sz="0" w:space="0" w:color="auto"/>
                <w:bottom w:val="none" w:sz="0" w:space="0" w:color="auto"/>
                <w:right w:val="none" w:sz="0" w:space="0" w:color="auto"/>
              </w:divBdr>
            </w:div>
            <w:div w:id="691149970">
              <w:marLeft w:val="0"/>
              <w:marRight w:val="0"/>
              <w:marTop w:val="0"/>
              <w:marBottom w:val="0"/>
              <w:divBdr>
                <w:top w:val="none" w:sz="0" w:space="0" w:color="auto"/>
                <w:left w:val="none" w:sz="0" w:space="0" w:color="auto"/>
                <w:bottom w:val="none" w:sz="0" w:space="0" w:color="auto"/>
                <w:right w:val="none" w:sz="0" w:space="0" w:color="auto"/>
              </w:divBdr>
            </w:div>
            <w:div w:id="638726999">
              <w:marLeft w:val="0"/>
              <w:marRight w:val="0"/>
              <w:marTop w:val="0"/>
              <w:marBottom w:val="0"/>
              <w:divBdr>
                <w:top w:val="none" w:sz="0" w:space="0" w:color="auto"/>
                <w:left w:val="none" w:sz="0" w:space="0" w:color="auto"/>
                <w:bottom w:val="none" w:sz="0" w:space="0" w:color="auto"/>
                <w:right w:val="none" w:sz="0" w:space="0" w:color="auto"/>
              </w:divBdr>
            </w:div>
            <w:div w:id="496845025">
              <w:marLeft w:val="0"/>
              <w:marRight w:val="0"/>
              <w:marTop w:val="0"/>
              <w:marBottom w:val="0"/>
              <w:divBdr>
                <w:top w:val="none" w:sz="0" w:space="0" w:color="auto"/>
                <w:left w:val="none" w:sz="0" w:space="0" w:color="auto"/>
                <w:bottom w:val="none" w:sz="0" w:space="0" w:color="auto"/>
                <w:right w:val="none" w:sz="0" w:space="0" w:color="auto"/>
              </w:divBdr>
            </w:div>
            <w:div w:id="370300327">
              <w:marLeft w:val="0"/>
              <w:marRight w:val="0"/>
              <w:marTop w:val="0"/>
              <w:marBottom w:val="0"/>
              <w:divBdr>
                <w:top w:val="none" w:sz="0" w:space="0" w:color="auto"/>
                <w:left w:val="none" w:sz="0" w:space="0" w:color="auto"/>
                <w:bottom w:val="none" w:sz="0" w:space="0" w:color="auto"/>
                <w:right w:val="none" w:sz="0" w:space="0" w:color="auto"/>
              </w:divBdr>
            </w:div>
            <w:div w:id="415052415">
              <w:marLeft w:val="0"/>
              <w:marRight w:val="0"/>
              <w:marTop w:val="0"/>
              <w:marBottom w:val="0"/>
              <w:divBdr>
                <w:top w:val="none" w:sz="0" w:space="0" w:color="auto"/>
                <w:left w:val="none" w:sz="0" w:space="0" w:color="auto"/>
                <w:bottom w:val="none" w:sz="0" w:space="0" w:color="auto"/>
                <w:right w:val="none" w:sz="0" w:space="0" w:color="auto"/>
              </w:divBdr>
            </w:div>
            <w:div w:id="1038892607">
              <w:marLeft w:val="0"/>
              <w:marRight w:val="0"/>
              <w:marTop w:val="0"/>
              <w:marBottom w:val="0"/>
              <w:divBdr>
                <w:top w:val="none" w:sz="0" w:space="0" w:color="auto"/>
                <w:left w:val="none" w:sz="0" w:space="0" w:color="auto"/>
                <w:bottom w:val="none" w:sz="0" w:space="0" w:color="auto"/>
                <w:right w:val="none" w:sz="0" w:space="0" w:color="auto"/>
              </w:divBdr>
            </w:div>
            <w:div w:id="475997881">
              <w:marLeft w:val="0"/>
              <w:marRight w:val="0"/>
              <w:marTop w:val="0"/>
              <w:marBottom w:val="0"/>
              <w:divBdr>
                <w:top w:val="none" w:sz="0" w:space="0" w:color="auto"/>
                <w:left w:val="none" w:sz="0" w:space="0" w:color="auto"/>
                <w:bottom w:val="none" w:sz="0" w:space="0" w:color="auto"/>
                <w:right w:val="none" w:sz="0" w:space="0" w:color="auto"/>
              </w:divBdr>
            </w:div>
            <w:div w:id="187060084">
              <w:marLeft w:val="0"/>
              <w:marRight w:val="0"/>
              <w:marTop w:val="0"/>
              <w:marBottom w:val="0"/>
              <w:divBdr>
                <w:top w:val="none" w:sz="0" w:space="0" w:color="auto"/>
                <w:left w:val="none" w:sz="0" w:space="0" w:color="auto"/>
                <w:bottom w:val="none" w:sz="0" w:space="0" w:color="auto"/>
                <w:right w:val="none" w:sz="0" w:space="0" w:color="auto"/>
              </w:divBdr>
            </w:div>
            <w:div w:id="608582438">
              <w:marLeft w:val="0"/>
              <w:marRight w:val="0"/>
              <w:marTop w:val="0"/>
              <w:marBottom w:val="0"/>
              <w:divBdr>
                <w:top w:val="none" w:sz="0" w:space="0" w:color="auto"/>
                <w:left w:val="none" w:sz="0" w:space="0" w:color="auto"/>
                <w:bottom w:val="none" w:sz="0" w:space="0" w:color="auto"/>
                <w:right w:val="none" w:sz="0" w:space="0" w:color="auto"/>
              </w:divBdr>
            </w:div>
            <w:div w:id="981426868">
              <w:marLeft w:val="0"/>
              <w:marRight w:val="0"/>
              <w:marTop w:val="0"/>
              <w:marBottom w:val="0"/>
              <w:divBdr>
                <w:top w:val="none" w:sz="0" w:space="0" w:color="auto"/>
                <w:left w:val="none" w:sz="0" w:space="0" w:color="auto"/>
                <w:bottom w:val="none" w:sz="0" w:space="0" w:color="auto"/>
                <w:right w:val="none" w:sz="0" w:space="0" w:color="auto"/>
              </w:divBdr>
            </w:div>
            <w:div w:id="754323829">
              <w:marLeft w:val="0"/>
              <w:marRight w:val="0"/>
              <w:marTop w:val="0"/>
              <w:marBottom w:val="0"/>
              <w:divBdr>
                <w:top w:val="none" w:sz="0" w:space="0" w:color="auto"/>
                <w:left w:val="none" w:sz="0" w:space="0" w:color="auto"/>
                <w:bottom w:val="none" w:sz="0" w:space="0" w:color="auto"/>
                <w:right w:val="none" w:sz="0" w:space="0" w:color="auto"/>
              </w:divBdr>
            </w:div>
            <w:div w:id="1324814833">
              <w:marLeft w:val="0"/>
              <w:marRight w:val="0"/>
              <w:marTop w:val="0"/>
              <w:marBottom w:val="0"/>
              <w:divBdr>
                <w:top w:val="none" w:sz="0" w:space="0" w:color="auto"/>
                <w:left w:val="none" w:sz="0" w:space="0" w:color="auto"/>
                <w:bottom w:val="none" w:sz="0" w:space="0" w:color="auto"/>
                <w:right w:val="none" w:sz="0" w:space="0" w:color="auto"/>
              </w:divBdr>
            </w:div>
            <w:div w:id="1724518443">
              <w:marLeft w:val="0"/>
              <w:marRight w:val="0"/>
              <w:marTop w:val="0"/>
              <w:marBottom w:val="0"/>
              <w:divBdr>
                <w:top w:val="none" w:sz="0" w:space="0" w:color="auto"/>
                <w:left w:val="none" w:sz="0" w:space="0" w:color="auto"/>
                <w:bottom w:val="none" w:sz="0" w:space="0" w:color="auto"/>
                <w:right w:val="none" w:sz="0" w:space="0" w:color="auto"/>
              </w:divBdr>
            </w:div>
            <w:div w:id="1163886391">
              <w:marLeft w:val="0"/>
              <w:marRight w:val="0"/>
              <w:marTop w:val="0"/>
              <w:marBottom w:val="0"/>
              <w:divBdr>
                <w:top w:val="none" w:sz="0" w:space="0" w:color="auto"/>
                <w:left w:val="none" w:sz="0" w:space="0" w:color="auto"/>
                <w:bottom w:val="none" w:sz="0" w:space="0" w:color="auto"/>
                <w:right w:val="none" w:sz="0" w:space="0" w:color="auto"/>
              </w:divBdr>
            </w:div>
            <w:div w:id="516307834">
              <w:marLeft w:val="0"/>
              <w:marRight w:val="0"/>
              <w:marTop w:val="0"/>
              <w:marBottom w:val="0"/>
              <w:divBdr>
                <w:top w:val="none" w:sz="0" w:space="0" w:color="auto"/>
                <w:left w:val="none" w:sz="0" w:space="0" w:color="auto"/>
                <w:bottom w:val="none" w:sz="0" w:space="0" w:color="auto"/>
                <w:right w:val="none" w:sz="0" w:space="0" w:color="auto"/>
              </w:divBdr>
            </w:div>
            <w:div w:id="1677002870">
              <w:marLeft w:val="0"/>
              <w:marRight w:val="0"/>
              <w:marTop w:val="0"/>
              <w:marBottom w:val="0"/>
              <w:divBdr>
                <w:top w:val="none" w:sz="0" w:space="0" w:color="auto"/>
                <w:left w:val="none" w:sz="0" w:space="0" w:color="auto"/>
                <w:bottom w:val="none" w:sz="0" w:space="0" w:color="auto"/>
                <w:right w:val="none" w:sz="0" w:space="0" w:color="auto"/>
              </w:divBdr>
            </w:div>
            <w:div w:id="808016282">
              <w:marLeft w:val="0"/>
              <w:marRight w:val="0"/>
              <w:marTop w:val="0"/>
              <w:marBottom w:val="0"/>
              <w:divBdr>
                <w:top w:val="none" w:sz="0" w:space="0" w:color="auto"/>
                <w:left w:val="none" w:sz="0" w:space="0" w:color="auto"/>
                <w:bottom w:val="none" w:sz="0" w:space="0" w:color="auto"/>
                <w:right w:val="none" w:sz="0" w:space="0" w:color="auto"/>
              </w:divBdr>
            </w:div>
            <w:div w:id="2093235425">
              <w:marLeft w:val="0"/>
              <w:marRight w:val="0"/>
              <w:marTop w:val="0"/>
              <w:marBottom w:val="0"/>
              <w:divBdr>
                <w:top w:val="none" w:sz="0" w:space="0" w:color="auto"/>
                <w:left w:val="none" w:sz="0" w:space="0" w:color="auto"/>
                <w:bottom w:val="none" w:sz="0" w:space="0" w:color="auto"/>
                <w:right w:val="none" w:sz="0" w:space="0" w:color="auto"/>
              </w:divBdr>
            </w:div>
            <w:div w:id="579364068">
              <w:marLeft w:val="0"/>
              <w:marRight w:val="0"/>
              <w:marTop w:val="0"/>
              <w:marBottom w:val="0"/>
              <w:divBdr>
                <w:top w:val="none" w:sz="0" w:space="0" w:color="auto"/>
                <w:left w:val="none" w:sz="0" w:space="0" w:color="auto"/>
                <w:bottom w:val="none" w:sz="0" w:space="0" w:color="auto"/>
                <w:right w:val="none" w:sz="0" w:space="0" w:color="auto"/>
              </w:divBdr>
            </w:div>
            <w:div w:id="569273259">
              <w:marLeft w:val="0"/>
              <w:marRight w:val="0"/>
              <w:marTop w:val="0"/>
              <w:marBottom w:val="0"/>
              <w:divBdr>
                <w:top w:val="none" w:sz="0" w:space="0" w:color="auto"/>
                <w:left w:val="none" w:sz="0" w:space="0" w:color="auto"/>
                <w:bottom w:val="none" w:sz="0" w:space="0" w:color="auto"/>
                <w:right w:val="none" w:sz="0" w:space="0" w:color="auto"/>
              </w:divBdr>
            </w:div>
            <w:div w:id="429353700">
              <w:marLeft w:val="0"/>
              <w:marRight w:val="0"/>
              <w:marTop w:val="0"/>
              <w:marBottom w:val="0"/>
              <w:divBdr>
                <w:top w:val="none" w:sz="0" w:space="0" w:color="auto"/>
                <w:left w:val="none" w:sz="0" w:space="0" w:color="auto"/>
                <w:bottom w:val="none" w:sz="0" w:space="0" w:color="auto"/>
                <w:right w:val="none" w:sz="0" w:space="0" w:color="auto"/>
              </w:divBdr>
            </w:div>
            <w:div w:id="1120537392">
              <w:marLeft w:val="0"/>
              <w:marRight w:val="0"/>
              <w:marTop w:val="0"/>
              <w:marBottom w:val="0"/>
              <w:divBdr>
                <w:top w:val="none" w:sz="0" w:space="0" w:color="auto"/>
                <w:left w:val="none" w:sz="0" w:space="0" w:color="auto"/>
                <w:bottom w:val="none" w:sz="0" w:space="0" w:color="auto"/>
                <w:right w:val="none" w:sz="0" w:space="0" w:color="auto"/>
              </w:divBdr>
            </w:div>
            <w:div w:id="1116026847">
              <w:marLeft w:val="0"/>
              <w:marRight w:val="0"/>
              <w:marTop w:val="0"/>
              <w:marBottom w:val="0"/>
              <w:divBdr>
                <w:top w:val="none" w:sz="0" w:space="0" w:color="auto"/>
                <w:left w:val="none" w:sz="0" w:space="0" w:color="auto"/>
                <w:bottom w:val="none" w:sz="0" w:space="0" w:color="auto"/>
                <w:right w:val="none" w:sz="0" w:space="0" w:color="auto"/>
              </w:divBdr>
            </w:div>
            <w:div w:id="185751671">
              <w:marLeft w:val="0"/>
              <w:marRight w:val="0"/>
              <w:marTop w:val="0"/>
              <w:marBottom w:val="0"/>
              <w:divBdr>
                <w:top w:val="none" w:sz="0" w:space="0" w:color="auto"/>
                <w:left w:val="none" w:sz="0" w:space="0" w:color="auto"/>
                <w:bottom w:val="none" w:sz="0" w:space="0" w:color="auto"/>
                <w:right w:val="none" w:sz="0" w:space="0" w:color="auto"/>
              </w:divBdr>
            </w:div>
            <w:div w:id="1719628069">
              <w:marLeft w:val="0"/>
              <w:marRight w:val="0"/>
              <w:marTop w:val="0"/>
              <w:marBottom w:val="0"/>
              <w:divBdr>
                <w:top w:val="none" w:sz="0" w:space="0" w:color="auto"/>
                <w:left w:val="none" w:sz="0" w:space="0" w:color="auto"/>
                <w:bottom w:val="none" w:sz="0" w:space="0" w:color="auto"/>
                <w:right w:val="none" w:sz="0" w:space="0" w:color="auto"/>
              </w:divBdr>
            </w:div>
            <w:div w:id="954101091">
              <w:marLeft w:val="0"/>
              <w:marRight w:val="0"/>
              <w:marTop w:val="0"/>
              <w:marBottom w:val="0"/>
              <w:divBdr>
                <w:top w:val="none" w:sz="0" w:space="0" w:color="auto"/>
                <w:left w:val="none" w:sz="0" w:space="0" w:color="auto"/>
                <w:bottom w:val="none" w:sz="0" w:space="0" w:color="auto"/>
                <w:right w:val="none" w:sz="0" w:space="0" w:color="auto"/>
              </w:divBdr>
            </w:div>
            <w:div w:id="555973850">
              <w:marLeft w:val="0"/>
              <w:marRight w:val="0"/>
              <w:marTop w:val="0"/>
              <w:marBottom w:val="0"/>
              <w:divBdr>
                <w:top w:val="none" w:sz="0" w:space="0" w:color="auto"/>
                <w:left w:val="none" w:sz="0" w:space="0" w:color="auto"/>
                <w:bottom w:val="none" w:sz="0" w:space="0" w:color="auto"/>
                <w:right w:val="none" w:sz="0" w:space="0" w:color="auto"/>
              </w:divBdr>
            </w:div>
            <w:div w:id="1932353721">
              <w:marLeft w:val="0"/>
              <w:marRight w:val="0"/>
              <w:marTop w:val="0"/>
              <w:marBottom w:val="0"/>
              <w:divBdr>
                <w:top w:val="none" w:sz="0" w:space="0" w:color="auto"/>
                <w:left w:val="none" w:sz="0" w:space="0" w:color="auto"/>
                <w:bottom w:val="none" w:sz="0" w:space="0" w:color="auto"/>
                <w:right w:val="none" w:sz="0" w:space="0" w:color="auto"/>
              </w:divBdr>
            </w:div>
            <w:div w:id="1007944926">
              <w:marLeft w:val="0"/>
              <w:marRight w:val="0"/>
              <w:marTop w:val="0"/>
              <w:marBottom w:val="0"/>
              <w:divBdr>
                <w:top w:val="none" w:sz="0" w:space="0" w:color="auto"/>
                <w:left w:val="none" w:sz="0" w:space="0" w:color="auto"/>
                <w:bottom w:val="none" w:sz="0" w:space="0" w:color="auto"/>
                <w:right w:val="none" w:sz="0" w:space="0" w:color="auto"/>
              </w:divBdr>
            </w:div>
            <w:div w:id="1272712864">
              <w:marLeft w:val="0"/>
              <w:marRight w:val="0"/>
              <w:marTop w:val="0"/>
              <w:marBottom w:val="0"/>
              <w:divBdr>
                <w:top w:val="none" w:sz="0" w:space="0" w:color="auto"/>
                <w:left w:val="none" w:sz="0" w:space="0" w:color="auto"/>
                <w:bottom w:val="none" w:sz="0" w:space="0" w:color="auto"/>
                <w:right w:val="none" w:sz="0" w:space="0" w:color="auto"/>
              </w:divBdr>
            </w:div>
            <w:div w:id="535584972">
              <w:marLeft w:val="0"/>
              <w:marRight w:val="0"/>
              <w:marTop w:val="0"/>
              <w:marBottom w:val="0"/>
              <w:divBdr>
                <w:top w:val="none" w:sz="0" w:space="0" w:color="auto"/>
                <w:left w:val="none" w:sz="0" w:space="0" w:color="auto"/>
                <w:bottom w:val="none" w:sz="0" w:space="0" w:color="auto"/>
                <w:right w:val="none" w:sz="0" w:space="0" w:color="auto"/>
              </w:divBdr>
            </w:div>
            <w:div w:id="246621487">
              <w:marLeft w:val="0"/>
              <w:marRight w:val="0"/>
              <w:marTop w:val="0"/>
              <w:marBottom w:val="0"/>
              <w:divBdr>
                <w:top w:val="none" w:sz="0" w:space="0" w:color="auto"/>
                <w:left w:val="none" w:sz="0" w:space="0" w:color="auto"/>
                <w:bottom w:val="none" w:sz="0" w:space="0" w:color="auto"/>
                <w:right w:val="none" w:sz="0" w:space="0" w:color="auto"/>
              </w:divBdr>
            </w:div>
            <w:div w:id="2105034217">
              <w:marLeft w:val="0"/>
              <w:marRight w:val="0"/>
              <w:marTop w:val="0"/>
              <w:marBottom w:val="0"/>
              <w:divBdr>
                <w:top w:val="none" w:sz="0" w:space="0" w:color="auto"/>
                <w:left w:val="none" w:sz="0" w:space="0" w:color="auto"/>
                <w:bottom w:val="none" w:sz="0" w:space="0" w:color="auto"/>
                <w:right w:val="none" w:sz="0" w:space="0" w:color="auto"/>
              </w:divBdr>
            </w:div>
            <w:div w:id="244844438">
              <w:marLeft w:val="0"/>
              <w:marRight w:val="0"/>
              <w:marTop w:val="0"/>
              <w:marBottom w:val="0"/>
              <w:divBdr>
                <w:top w:val="none" w:sz="0" w:space="0" w:color="auto"/>
                <w:left w:val="none" w:sz="0" w:space="0" w:color="auto"/>
                <w:bottom w:val="none" w:sz="0" w:space="0" w:color="auto"/>
                <w:right w:val="none" w:sz="0" w:space="0" w:color="auto"/>
              </w:divBdr>
            </w:div>
            <w:div w:id="2138719146">
              <w:marLeft w:val="0"/>
              <w:marRight w:val="0"/>
              <w:marTop w:val="0"/>
              <w:marBottom w:val="0"/>
              <w:divBdr>
                <w:top w:val="none" w:sz="0" w:space="0" w:color="auto"/>
                <w:left w:val="none" w:sz="0" w:space="0" w:color="auto"/>
                <w:bottom w:val="none" w:sz="0" w:space="0" w:color="auto"/>
                <w:right w:val="none" w:sz="0" w:space="0" w:color="auto"/>
              </w:divBdr>
            </w:div>
            <w:div w:id="1587036523">
              <w:marLeft w:val="0"/>
              <w:marRight w:val="0"/>
              <w:marTop w:val="0"/>
              <w:marBottom w:val="0"/>
              <w:divBdr>
                <w:top w:val="none" w:sz="0" w:space="0" w:color="auto"/>
                <w:left w:val="none" w:sz="0" w:space="0" w:color="auto"/>
                <w:bottom w:val="none" w:sz="0" w:space="0" w:color="auto"/>
                <w:right w:val="none" w:sz="0" w:space="0" w:color="auto"/>
              </w:divBdr>
            </w:div>
            <w:div w:id="1143155649">
              <w:marLeft w:val="0"/>
              <w:marRight w:val="0"/>
              <w:marTop w:val="0"/>
              <w:marBottom w:val="0"/>
              <w:divBdr>
                <w:top w:val="none" w:sz="0" w:space="0" w:color="auto"/>
                <w:left w:val="none" w:sz="0" w:space="0" w:color="auto"/>
                <w:bottom w:val="none" w:sz="0" w:space="0" w:color="auto"/>
                <w:right w:val="none" w:sz="0" w:space="0" w:color="auto"/>
              </w:divBdr>
            </w:div>
            <w:div w:id="331103184">
              <w:marLeft w:val="0"/>
              <w:marRight w:val="0"/>
              <w:marTop w:val="0"/>
              <w:marBottom w:val="0"/>
              <w:divBdr>
                <w:top w:val="none" w:sz="0" w:space="0" w:color="auto"/>
                <w:left w:val="none" w:sz="0" w:space="0" w:color="auto"/>
                <w:bottom w:val="none" w:sz="0" w:space="0" w:color="auto"/>
                <w:right w:val="none" w:sz="0" w:space="0" w:color="auto"/>
              </w:divBdr>
            </w:div>
            <w:div w:id="740519685">
              <w:marLeft w:val="0"/>
              <w:marRight w:val="0"/>
              <w:marTop w:val="0"/>
              <w:marBottom w:val="0"/>
              <w:divBdr>
                <w:top w:val="none" w:sz="0" w:space="0" w:color="auto"/>
                <w:left w:val="none" w:sz="0" w:space="0" w:color="auto"/>
                <w:bottom w:val="none" w:sz="0" w:space="0" w:color="auto"/>
                <w:right w:val="none" w:sz="0" w:space="0" w:color="auto"/>
              </w:divBdr>
            </w:div>
            <w:div w:id="763918755">
              <w:marLeft w:val="0"/>
              <w:marRight w:val="0"/>
              <w:marTop w:val="0"/>
              <w:marBottom w:val="0"/>
              <w:divBdr>
                <w:top w:val="none" w:sz="0" w:space="0" w:color="auto"/>
                <w:left w:val="none" w:sz="0" w:space="0" w:color="auto"/>
                <w:bottom w:val="none" w:sz="0" w:space="0" w:color="auto"/>
                <w:right w:val="none" w:sz="0" w:space="0" w:color="auto"/>
              </w:divBdr>
            </w:div>
            <w:div w:id="225066729">
              <w:marLeft w:val="0"/>
              <w:marRight w:val="0"/>
              <w:marTop w:val="0"/>
              <w:marBottom w:val="0"/>
              <w:divBdr>
                <w:top w:val="none" w:sz="0" w:space="0" w:color="auto"/>
                <w:left w:val="none" w:sz="0" w:space="0" w:color="auto"/>
                <w:bottom w:val="none" w:sz="0" w:space="0" w:color="auto"/>
                <w:right w:val="none" w:sz="0" w:space="0" w:color="auto"/>
              </w:divBdr>
            </w:div>
            <w:div w:id="259334335">
              <w:marLeft w:val="0"/>
              <w:marRight w:val="0"/>
              <w:marTop w:val="0"/>
              <w:marBottom w:val="0"/>
              <w:divBdr>
                <w:top w:val="none" w:sz="0" w:space="0" w:color="auto"/>
                <w:left w:val="none" w:sz="0" w:space="0" w:color="auto"/>
                <w:bottom w:val="none" w:sz="0" w:space="0" w:color="auto"/>
                <w:right w:val="none" w:sz="0" w:space="0" w:color="auto"/>
              </w:divBdr>
            </w:div>
            <w:div w:id="1289356017">
              <w:marLeft w:val="0"/>
              <w:marRight w:val="0"/>
              <w:marTop w:val="0"/>
              <w:marBottom w:val="0"/>
              <w:divBdr>
                <w:top w:val="none" w:sz="0" w:space="0" w:color="auto"/>
                <w:left w:val="none" w:sz="0" w:space="0" w:color="auto"/>
                <w:bottom w:val="none" w:sz="0" w:space="0" w:color="auto"/>
                <w:right w:val="none" w:sz="0" w:space="0" w:color="auto"/>
              </w:divBdr>
            </w:div>
            <w:div w:id="1619293855">
              <w:marLeft w:val="0"/>
              <w:marRight w:val="0"/>
              <w:marTop w:val="0"/>
              <w:marBottom w:val="0"/>
              <w:divBdr>
                <w:top w:val="none" w:sz="0" w:space="0" w:color="auto"/>
                <w:left w:val="none" w:sz="0" w:space="0" w:color="auto"/>
                <w:bottom w:val="none" w:sz="0" w:space="0" w:color="auto"/>
                <w:right w:val="none" w:sz="0" w:space="0" w:color="auto"/>
              </w:divBdr>
            </w:div>
            <w:div w:id="1786655047">
              <w:marLeft w:val="0"/>
              <w:marRight w:val="0"/>
              <w:marTop w:val="0"/>
              <w:marBottom w:val="0"/>
              <w:divBdr>
                <w:top w:val="none" w:sz="0" w:space="0" w:color="auto"/>
                <w:left w:val="none" w:sz="0" w:space="0" w:color="auto"/>
                <w:bottom w:val="none" w:sz="0" w:space="0" w:color="auto"/>
                <w:right w:val="none" w:sz="0" w:space="0" w:color="auto"/>
              </w:divBdr>
            </w:div>
            <w:div w:id="25520906">
              <w:marLeft w:val="0"/>
              <w:marRight w:val="0"/>
              <w:marTop w:val="0"/>
              <w:marBottom w:val="0"/>
              <w:divBdr>
                <w:top w:val="none" w:sz="0" w:space="0" w:color="auto"/>
                <w:left w:val="none" w:sz="0" w:space="0" w:color="auto"/>
                <w:bottom w:val="none" w:sz="0" w:space="0" w:color="auto"/>
                <w:right w:val="none" w:sz="0" w:space="0" w:color="auto"/>
              </w:divBdr>
            </w:div>
            <w:div w:id="430244437">
              <w:marLeft w:val="0"/>
              <w:marRight w:val="0"/>
              <w:marTop w:val="0"/>
              <w:marBottom w:val="0"/>
              <w:divBdr>
                <w:top w:val="none" w:sz="0" w:space="0" w:color="auto"/>
                <w:left w:val="none" w:sz="0" w:space="0" w:color="auto"/>
                <w:bottom w:val="none" w:sz="0" w:space="0" w:color="auto"/>
                <w:right w:val="none" w:sz="0" w:space="0" w:color="auto"/>
              </w:divBdr>
            </w:div>
            <w:div w:id="200555557">
              <w:marLeft w:val="0"/>
              <w:marRight w:val="0"/>
              <w:marTop w:val="0"/>
              <w:marBottom w:val="0"/>
              <w:divBdr>
                <w:top w:val="none" w:sz="0" w:space="0" w:color="auto"/>
                <w:left w:val="none" w:sz="0" w:space="0" w:color="auto"/>
                <w:bottom w:val="none" w:sz="0" w:space="0" w:color="auto"/>
                <w:right w:val="none" w:sz="0" w:space="0" w:color="auto"/>
              </w:divBdr>
            </w:div>
            <w:div w:id="1583292054">
              <w:marLeft w:val="0"/>
              <w:marRight w:val="0"/>
              <w:marTop w:val="0"/>
              <w:marBottom w:val="0"/>
              <w:divBdr>
                <w:top w:val="none" w:sz="0" w:space="0" w:color="auto"/>
                <w:left w:val="none" w:sz="0" w:space="0" w:color="auto"/>
                <w:bottom w:val="none" w:sz="0" w:space="0" w:color="auto"/>
                <w:right w:val="none" w:sz="0" w:space="0" w:color="auto"/>
              </w:divBdr>
            </w:div>
            <w:div w:id="1827816550">
              <w:marLeft w:val="0"/>
              <w:marRight w:val="0"/>
              <w:marTop w:val="0"/>
              <w:marBottom w:val="0"/>
              <w:divBdr>
                <w:top w:val="none" w:sz="0" w:space="0" w:color="auto"/>
                <w:left w:val="none" w:sz="0" w:space="0" w:color="auto"/>
                <w:bottom w:val="none" w:sz="0" w:space="0" w:color="auto"/>
                <w:right w:val="none" w:sz="0" w:space="0" w:color="auto"/>
              </w:divBdr>
            </w:div>
            <w:div w:id="593126852">
              <w:marLeft w:val="0"/>
              <w:marRight w:val="0"/>
              <w:marTop w:val="0"/>
              <w:marBottom w:val="0"/>
              <w:divBdr>
                <w:top w:val="none" w:sz="0" w:space="0" w:color="auto"/>
                <w:left w:val="none" w:sz="0" w:space="0" w:color="auto"/>
                <w:bottom w:val="none" w:sz="0" w:space="0" w:color="auto"/>
                <w:right w:val="none" w:sz="0" w:space="0" w:color="auto"/>
              </w:divBdr>
            </w:div>
            <w:div w:id="1006638298">
              <w:marLeft w:val="0"/>
              <w:marRight w:val="0"/>
              <w:marTop w:val="0"/>
              <w:marBottom w:val="0"/>
              <w:divBdr>
                <w:top w:val="none" w:sz="0" w:space="0" w:color="auto"/>
                <w:left w:val="none" w:sz="0" w:space="0" w:color="auto"/>
                <w:bottom w:val="none" w:sz="0" w:space="0" w:color="auto"/>
                <w:right w:val="none" w:sz="0" w:space="0" w:color="auto"/>
              </w:divBdr>
            </w:div>
            <w:div w:id="146364790">
              <w:marLeft w:val="0"/>
              <w:marRight w:val="0"/>
              <w:marTop w:val="0"/>
              <w:marBottom w:val="0"/>
              <w:divBdr>
                <w:top w:val="none" w:sz="0" w:space="0" w:color="auto"/>
                <w:left w:val="none" w:sz="0" w:space="0" w:color="auto"/>
                <w:bottom w:val="none" w:sz="0" w:space="0" w:color="auto"/>
                <w:right w:val="none" w:sz="0" w:space="0" w:color="auto"/>
              </w:divBdr>
            </w:div>
            <w:div w:id="478301693">
              <w:marLeft w:val="0"/>
              <w:marRight w:val="0"/>
              <w:marTop w:val="0"/>
              <w:marBottom w:val="0"/>
              <w:divBdr>
                <w:top w:val="none" w:sz="0" w:space="0" w:color="auto"/>
                <w:left w:val="none" w:sz="0" w:space="0" w:color="auto"/>
                <w:bottom w:val="none" w:sz="0" w:space="0" w:color="auto"/>
                <w:right w:val="none" w:sz="0" w:space="0" w:color="auto"/>
              </w:divBdr>
            </w:div>
            <w:div w:id="142817030">
              <w:marLeft w:val="0"/>
              <w:marRight w:val="0"/>
              <w:marTop w:val="0"/>
              <w:marBottom w:val="0"/>
              <w:divBdr>
                <w:top w:val="none" w:sz="0" w:space="0" w:color="auto"/>
                <w:left w:val="none" w:sz="0" w:space="0" w:color="auto"/>
                <w:bottom w:val="none" w:sz="0" w:space="0" w:color="auto"/>
                <w:right w:val="none" w:sz="0" w:space="0" w:color="auto"/>
              </w:divBdr>
            </w:div>
            <w:div w:id="2002083005">
              <w:marLeft w:val="0"/>
              <w:marRight w:val="0"/>
              <w:marTop w:val="0"/>
              <w:marBottom w:val="0"/>
              <w:divBdr>
                <w:top w:val="none" w:sz="0" w:space="0" w:color="auto"/>
                <w:left w:val="none" w:sz="0" w:space="0" w:color="auto"/>
                <w:bottom w:val="none" w:sz="0" w:space="0" w:color="auto"/>
                <w:right w:val="none" w:sz="0" w:space="0" w:color="auto"/>
              </w:divBdr>
            </w:div>
            <w:div w:id="1788354458">
              <w:marLeft w:val="0"/>
              <w:marRight w:val="0"/>
              <w:marTop w:val="0"/>
              <w:marBottom w:val="0"/>
              <w:divBdr>
                <w:top w:val="none" w:sz="0" w:space="0" w:color="auto"/>
                <w:left w:val="none" w:sz="0" w:space="0" w:color="auto"/>
                <w:bottom w:val="none" w:sz="0" w:space="0" w:color="auto"/>
                <w:right w:val="none" w:sz="0" w:space="0" w:color="auto"/>
              </w:divBdr>
            </w:div>
            <w:div w:id="1714111976">
              <w:marLeft w:val="0"/>
              <w:marRight w:val="0"/>
              <w:marTop w:val="0"/>
              <w:marBottom w:val="0"/>
              <w:divBdr>
                <w:top w:val="none" w:sz="0" w:space="0" w:color="auto"/>
                <w:left w:val="none" w:sz="0" w:space="0" w:color="auto"/>
                <w:bottom w:val="none" w:sz="0" w:space="0" w:color="auto"/>
                <w:right w:val="none" w:sz="0" w:space="0" w:color="auto"/>
              </w:divBdr>
            </w:div>
            <w:div w:id="2033534282">
              <w:marLeft w:val="0"/>
              <w:marRight w:val="0"/>
              <w:marTop w:val="0"/>
              <w:marBottom w:val="0"/>
              <w:divBdr>
                <w:top w:val="none" w:sz="0" w:space="0" w:color="auto"/>
                <w:left w:val="none" w:sz="0" w:space="0" w:color="auto"/>
                <w:bottom w:val="none" w:sz="0" w:space="0" w:color="auto"/>
                <w:right w:val="none" w:sz="0" w:space="0" w:color="auto"/>
              </w:divBdr>
            </w:div>
            <w:div w:id="1182665640">
              <w:marLeft w:val="0"/>
              <w:marRight w:val="0"/>
              <w:marTop w:val="0"/>
              <w:marBottom w:val="0"/>
              <w:divBdr>
                <w:top w:val="none" w:sz="0" w:space="0" w:color="auto"/>
                <w:left w:val="none" w:sz="0" w:space="0" w:color="auto"/>
                <w:bottom w:val="none" w:sz="0" w:space="0" w:color="auto"/>
                <w:right w:val="none" w:sz="0" w:space="0" w:color="auto"/>
              </w:divBdr>
            </w:div>
            <w:div w:id="712464889">
              <w:marLeft w:val="0"/>
              <w:marRight w:val="0"/>
              <w:marTop w:val="0"/>
              <w:marBottom w:val="0"/>
              <w:divBdr>
                <w:top w:val="none" w:sz="0" w:space="0" w:color="auto"/>
                <w:left w:val="none" w:sz="0" w:space="0" w:color="auto"/>
                <w:bottom w:val="none" w:sz="0" w:space="0" w:color="auto"/>
                <w:right w:val="none" w:sz="0" w:space="0" w:color="auto"/>
              </w:divBdr>
            </w:div>
            <w:div w:id="901257837">
              <w:marLeft w:val="0"/>
              <w:marRight w:val="0"/>
              <w:marTop w:val="0"/>
              <w:marBottom w:val="0"/>
              <w:divBdr>
                <w:top w:val="none" w:sz="0" w:space="0" w:color="auto"/>
                <w:left w:val="none" w:sz="0" w:space="0" w:color="auto"/>
                <w:bottom w:val="none" w:sz="0" w:space="0" w:color="auto"/>
                <w:right w:val="none" w:sz="0" w:space="0" w:color="auto"/>
              </w:divBdr>
            </w:div>
            <w:div w:id="1560703118">
              <w:marLeft w:val="0"/>
              <w:marRight w:val="0"/>
              <w:marTop w:val="0"/>
              <w:marBottom w:val="0"/>
              <w:divBdr>
                <w:top w:val="none" w:sz="0" w:space="0" w:color="auto"/>
                <w:left w:val="none" w:sz="0" w:space="0" w:color="auto"/>
                <w:bottom w:val="none" w:sz="0" w:space="0" w:color="auto"/>
                <w:right w:val="none" w:sz="0" w:space="0" w:color="auto"/>
              </w:divBdr>
            </w:div>
            <w:div w:id="358900605">
              <w:marLeft w:val="0"/>
              <w:marRight w:val="0"/>
              <w:marTop w:val="0"/>
              <w:marBottom w:val="0"/>
              <w:divBdr>
                <w:top w:val="none" w:sz="0" w:space="0" w:color="auto"/>
                <w:left w:val="none" w:sz="0" w:space="0" w:color="auto"/>
                <w:bottom w:val="none" w:sz="0" w:space="0" w:color="auto"/>
                <w:right w:val="none" w:sz="0" w:space="0" w:color="auto"/>
              </w:divBdr>
            </w:div>
            <w:div w:id="1522814957">
              <w:marLeft w:val="0"/>
              <w:marRight w:val="0"/>
              <w:marTop w:val="0"/>
              <w:marBottom w:val="0"/>
              <w:divBdr>
                <w:top w:val="none" w:sz="0" w:space="0" w:color="auto"/>
                <w:left w:val="none" w:sz="0" w:space="0" w:color="auto"/>
                <w:bottom w:val="none" w:sz="0" w:space="0" w:color="auto"/>
                <w:right w:val="none" w:sz="0" w:space="0" w:color="auto"/>
              </w:divBdr>
            </w:div>
            <w:div w:id="1309281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javascript:maf.doc.saveTrail('RCL+2003+2945',%20'RCL_2003_2945_A_35',%20'RCL+2003+2945*A.35',%20'',%20'APD.095');" TargetMode="External"/><Relationship Id="rId18" Type="http://schemas.openxmlformats.org/officeDocument/2006/relationships/header" Target="header1.xml"/><Relationship Id="rId3" Type="http://schemas.openxmlformats.org/officeDocument/2006/relationships/customXml" Target="../customXml/item1.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javascript:maf.doc.saveTrail('RCL+2014+1581',%20'RCL_2014_1581_A_7',%20'RCL+2014+1581*A.7',%20'',%20'APD.095');" TargetMode="External"/><Relationship Id="rId17" Type="http://schemas.openxmlformats.org/officeDocument/2006/relationships/hyperlink" Target="javascript:maf.doc.saveTrail('RCL+2006+2123',%20'RCL_2006_2123_A_25',%20'RCL+2006+2123*A.25',%20'i0ad82d9a0000015d03ec37efab5eb056',%20'APD.030');" TargetMode="External"/><Relationship Id="rId2" Type="http://schemas.microsoft.com/office/2006/relationships/keyMapCustomizations" Target="customizations.xml"/><Relationship Id="rId16" Type="http://schemas.openxmlformats.org/officeDocument/2006/relationships/hyperlink" Target="javascript:maf.doc.saveTrail('RCL+2006+2123',%20'RCL_2006_2123_A_99',%20'RCL+2006+2123*A.99',%20'i0ad82d9a0000015d03ec37efab5eb056',%20'APD.025');" TargetMode="External"/><Relationship Id="rId20" Type="http://schemas.openxmlformats.org/officeDocument/2006/relationships/fontTable" Target="fontTable.xml"/><Relationship Id="rId1" Type="http://schemas.microsoft.com/office/2006/relationships/vbaProject" Target="vbaProject.bin"/><Relationship Id="rId6" Type="http://schemas.openxmlformats.org/officeDocument/2006/relationships/settings" Target="settings.xml"/><Relationship Id="rId11" Type="http://schemas.openxmlformats.org/officeDocument/2006/relationships/hyperlink" Target="javascript:maf.doc.saveTrail('DOC+2003+450',%20'DOC_2003_450_APD_005',%20'DOC+2003+450*APD.005',%20'',%20'APD.095');" TargetMode="External"/><Relationship Id="rId5" Type="http://schemas.openxmlformats.org/officeDocument/2006/relationships/styles" Target="styles.xml"/><Relationship Id="rId15" Type="http://schemas.openxmlformats.org/officeDocument/2006/relationships/hyperlink" Target="javascript:maf.doc.saveTrail('RCL+2004+651',%20'RCL_2004_651-1_A_14',%20'RCL+2004+651-1*A.14',%20'',%20'APD.075');" TargetMode="External"/><Relationship Id="rId10" Type="http://schemas.openxmlformats.org/officeDocument/2006/relationships/hyperlink" Target="http://www.bolsamania.com/noticias/declaracion-renta/cuidado-con-los-dividendos-asi-es-la-factura-fiscal-con-hacienda--2356858.html" TargetMode="External"/><Relationship Id="rId19" Type="http://schemas.openxmlformats.org/officeDocument/2006/relationships/header" Target="head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javascript:maf.doc.saveTrail('RCL+2014+1581',%20'RCL_2014_1581_A_40',%20'RCL+2014+1581*A.40',%20'',%20'APD.120');"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experto.aranzadidigital.es/maf/app/document?docguid=Ic0a892f0759d11db9913010000000000&amp;srguid=i0ad82d9b0000015d03c3c30333b7b5a1" TargetMode="External"/><Relationship Id="rId7" Type="http://schemas.openxmlformats.org/officeDocument/2006/relationships/hyperlink" Target="http://www.agenciatributaria.es/AEAT.internet/Inicio/La_Agencia_Tributaria/Campanas/_Campanas_/Impuesto_sobre_la_Renta_de_las_Personas_Fisicas__IRPF_/_INFORMACION/Novedades/Publicadas_en_2017/Principales_novedades_tributarias_introducidas_por_el_Real_Decreto_Ley_1_2017__de_20_de_enero__de_medidas_urgentes_de_protecc__lausulas_suelo_.shtml" TargetMode="External"/><Relationship Id="rId2" Type="http://schemas.openxmlformats.org/officeDocument/2006/relationships/hyperlink" Target="http://experto.aranzadidigital.es/maf/app/document?docguid=Ic0a892f0759d11db9913010000000000&amp;srguid=i0ad82d9b0000015d03c3c30333b7b5a1" TargetMode="External"/><Relationship Id="rId1" Type="http://schemas.openxmlformats.org/officeDocument/2006/relationships/hyperlink" Target="http://www.bde.es/clientebanca/es/areas/Derechos_de_los_/El_BdE_y_los_der/" TargetMode="External"/><Relationship Id="rId6" Type="http://schemas.openxmlformats.org/officeDocument/2006/relationships/hyperlink" Target="javascript:maf.doc.saveTrail('RCL+2007+664',%20'RCL_2007_664-1_A_75',%20'RCL+2007+664-1*A.75',%20'i0ad82d9a0000015d03ec37efab5eb056',%20'APD.030');" TargetMode="External"/><Relationship Id="rId5" Type="http://schemas.openxmlformats.org/officeDocument/2006/relationships/hyperlink" Target="javascript:maf.doc.saveTrail('RCL+2007+664',%20'RCL_2007_664-1_A_75',%20'RCL+2007+664-1*A.75',%20'i0ad82d9a0000015d03ec37efab5eb056',%20'APD.025');" TargetMode="External"/><Relationship Id="rId4" Type="http://schemas.openxmlformats.org/officeDocument/2006/relationships/hyperlink" Target="javascript:maf.doc.saveTrail('RCL+2014+1581',%20'RCL_2014_1581_A_7',%20'RCL+2014+1581*A.7',%20'',%20'APD.095');" TargetMode="External"/></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535C3-0D16-4A43-A874-BAFEC66C52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25</Pages>
  <Words>8472</Words>
  <Characters>46598</Characters>
  <Application>Microsoft Office Word</Application>
  <DocSecurity>0</DocSecurity>
  <Lines>388</Lines>
  <Paragraphs>109</Paragraphs>
  <ScaleCrop>false</ScaleCrop>
  <HeadingPairs>
    <vt:vector size="2" baseType="variant">
      <vt:variant>
        <vt:lpstr>Título</vt:lpstr>
      </vt:variant>
      <vt:variant>
        <vt:i4>1</vt:i4>
      </vt:variant>
    </vt:vector>
  </HeadingPairs>
  <TitlesOfParts>
    <vt:vector size="1" baseType="lpstr">
      <vt:lpstr/>
    </vt:vector>
  </TitlesOfParts>
  <Company>ThomsonReuters - Aranzadi</Company>
  <LinksUpToDate>false</LinksUpToDate>
  <CharactersWithSpaces>54961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Eva María Gil Cruz</cp:lastModifiedBy>
  <cp:revision>2</cp:revision>
  <dcterms:created xsi:type="dcterms:W3CDTF">2020-06-05T09:35:00Z</dcterms:created>
  <dcterms:modified xsi:type="dcterms:W3CDTF">2020-06-05T09:35:00Z</dcterms:modified>
</cp:coreProperties>
</file>

<file path=userCustomization/customUI.xml><?xml version="1.0" encoding="utf-8"?>
<mso:customUI xmlns:doc="http://schemas.microsoft.com/office/2006/01/customui/currentDocument" xmlns:mso="http://schemas.microsoft.com/office/2006/01/customui">
  <mso:ribbon>
    <mso:qat>
      <mso:documentControls>
        <mso:button idQ="doc:MostrarAyudas_1" visible="true" label="MostrarAyudasAutor" onAction="MostrarAyudas" imageMso="CondolatoryEvent"/>
      </mso:documentControls>
    </mso:qat>
  </mso:ribbon>
</mso:customUI>
</file>