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02C" w:rsidRDefault="00CF702C" w:rsidP="00BE0230">
      <w:pPr>
        <w:shd w:val="clear" w:color="auto" w:fill="E3E3E3"/>
        <w:spacing w:after="0" w:line="165" w:lineRule="atLeast"/>
        <w:outlineLvl w:val="2"/>
        <w:rPr>
          <w:rFonts w:ascii="Arial" w:eastAsia="Times New Roman" w:hAnsi="Arial" w:cs="Arial"/>
          <w:b/>
          <w:bCs/>
          <w:color w:val="6D717D"/>
          <w:sz w:val="15"/>
          <w:szCs w:val="15"/>
          <w:lang w:eastAsia="es-ES"/>
        </w:rPr>
      </w:pPr>
      <w:r>
        <w:rPr>
          <w:noProof/>
          <w:lang w:eastAsia="es-ES"/>
        </w:rPr>
        <w:drawing>
          <wp:inline distT="0" distB="0" distL="0" distR="0">
            <wp:extent cx="5095875" cy="6943725"/>
            <wp:effectExtent l="0" t="0" r="9525" b="9525"/>
            <wp:docPr id="3" name="Imagen 3" descr="https://www.dykinson.com/static/img/portadas/9788413906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ykinson.com/static/img/portadas/978841390676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230" w:rsidRPr="00BE0230">
        <w:rPr>
          <w:rFonts w:ascii="Arial" w:eastAsia="Times New Roman" w:hAnsi="Symbol" w:cs="Arial"/>
          <w:b/>
          <w:bCs/>
          <w:color w:val="6D717D"/>
          <w:sz w:val="15"/>
          <w:szCs w:val="15"/>
          <w:lang w:eastAsia="es-ES"/>
        </w:rPr>
        <w:t></w:t>
      </w:r>
      <w:r w:rsidR="00BE0230" w:rsidRPr="00BE0230">
        <w:rPr>
          <w:rFonts w:ascii="Arial" w:eastAsia="Times New Roman" w:hAnsi="Arial" w:cs="Arial"/>
          <w:b/>
          <w:bCs/>
          <w:color w:val="6D717D"/>
          <w:sz w:val="15"/>
          <w:szCs w:val="15"/>
          <w:lang w:eastAsia="es-ES"/>
        </w:rPr>
        <w:t xml:space="preserve">  </w:t>
      </w:r>
    </w:p>
    <w:p w:rsidR="00CF702C" w:rsidRDefault="00CF702C" w:rsidP="00BE0230">
      <w:pPr>
        <w:shd w:val="clear" w:color="auto" w:fill="E3E3E3"/>
        <w:spacing w:after="0" w:line="165" w:lineRule="atLeast"/>
        <w:outlineLvl w:val="2"/>
        <w:rPr>
          <w:rFonts w:ascii="Arial" w:eastAsia="Times New Roman" w:hAnsi="Arial" w:cs="Arial"/>
          <w:b/>
          <w:bCs/>
          <w:color w:val="6D717D"/>
          <w:sz w:val="15"/>
          <w:szCs w:val="15"/>
          <w:lang w:eastAsia="es-ES"/>
        </w:rPr>
      </w:pPr>
    </w:p>
    <w:p w:rsidR="00CF702C" w:rsidRDefault="00CF702C" w:rsidP="00BE0230">
      <w:pPr>
        <w:shd w:val="clear" w:color="auto" w:fill="E3E3E3"/>
        <w:spacing w:after="0" w:line="165" w:lineRule="atLeast"/>
        <w:outlineLvl w:val="2"/>
        <w:rPr>
          <w:rFonts w:ascii="Arial" w:eastAsia="Times New Roman" w:hAnsi="Arial" w:cs="Arial"/>
          <w:b/>
          <w:bCs/>
          <w:color w:val="6D717D"/>
          <w:sz w:val="15"/>
          <w:szCs w:val="15"/>
          <w:lang w:eastAsia="es-ES"/>
        </w:rPr>
      </w:pPr>
    </w:p>
    <w:p w:rsidR="00CF702C" w:rsidRDefault="00CF702C" w:rsidP="00BE0230">
      <w:pPr>
        <w:shd w:val="clear" w:color="auto" w:fill="E3E3E3"/>
        <w:spacing w:after="0" w:line="165" w:lineRule="atLeast"/>
        <w:outlineLvl w:val="2"/>
        <w:rPr>
          <w:rFonts w:ascii="Arial" w:eastAsia="Times New Roman" w:hAnsi="Arial" w:cs="Arial"/>
          <w:b/>
          <w:bCs/>
          <w:color w:val="6D717D"/>
          <w:sz w:val="15"/>
          <w:szCs w:val="15"/>
          <w:lang w:eastAsia="es-ES"/>
        </w:rPr>
      </w:pPr>
    </w:p>
    <w:p w:rsidR="00CF702C" w:rsidRDefault="00CF702C" w:rsidP="00BE0230">
      <w:pPr>
        <w:shd w:val="clear" w:color="auto" w:fill="E3E3E3"/>
        <w:spacing w:after="0" w:line="165" w:lineRule="atLeast"/>
        <w:outlineLvl w:val="2"/>
        <w:rPr>
          <w:rFonts w:ascii="Arial" w:eastAsia="Times New Roman" w:hAnsi="Arial" w:cs="Arial"/>
          <w:b/>
          <w:bCs/>
          <w:color w:val="6D717D"/>
          <w:sz w:val="15"/>
          <w:szCs w:val="15"/>
          <w:lang w:eastAsia="es-ES"/>
        </w:rPr>
      </w:pPr>
    </w:p>
    <w:p w:rsidR="00CF702C" w:rsidRDefault="00CF702C" w:rsidP="00BE0230">
      <w:pPr>
        <w:shd w:val="clear" w:color="auto" w:fill="E3E3E3"/>
        <w:spacing w:after="0" w:line="165" w:lineRule="atLeast"/>
        <w:outlineLvl w:val="2"/>
        <w:rPr>
          <w:rFonts w:ascii="Arial" w:eastAsia="Times New Roman" w:hAnsi="Arial" w:cs="Arial"/>
          <w:b/>
          <w:bCs/>
          <w:color w:val="6D717D"/>
          <w:sz w:val="15"/>
          <w:szCs w:val="15"/>
          <w:lang w:eastAsia="es-ES"/>
        </w:rPr>
      </w:pPr>
    </w:p>
    <w:p w:rsidR="00CF702C" w:rsidRDefault="00CF702C" w:rsidP="00BE0230">
      <w:pPr>
        <w:shd w:val="clear" w:color="auto" w:fill="E3E3E3"/>
        <w:spacing w:after="0" w:line="165" w:lineRule="atLeast"/>
        <w:outlineLvl w:val="2"/>
        <w:rPr>
          <w:rFonts w:ascii="Arial" w:eastAsia="Times New Roman" w:hAnsi="Arial" w:cs="Arial"/>
          <w:b/>
          <w:bCs/>
          <w:color w:val="6D717D"/>
          <w:sz w:val="15"/>
          <w:szCs w:val="15"/>
          <w:lang w:eastAsia="es-ES"/>
        </w:rPr>
      </w:pPr>
    </w:p>
    <w:p w:rsidR="00CF702C" w:rsidRDefault="00CF702C" w:rsidP="00CF702C">
      <w:pPr>
        <w:pStyle w:val="Ttulo2"/>
        <w:shd w:val="clear" w:color="auto" w:fill="EDEBEB"/>
        <w:spacing w:before="0" w:beforeAutospacing="0" w:after="0" w:afterAutospacing="0" w:line="360" w:lineRule="atLeast"/>
        <w:rPr>
          <w:rFonts w:ascii="Arial" w:hAnsi="Arial" w:cs="Arial"/>
          <w:caps/>
          <w:color w:val="6C6A6A"/>
          <w:sz w:val="30"/>
          <w:szCs w:val="30"/>
        </w:rPr>
      </w:pPr>
      <w:r>
        <w:rPr>
          <w:rFonts w:ascii="Arial" w:hAnsi="Arial" w:cs="Arial"/>
          <w:caps/>
          <w:color w:val="6C6A6A"/>
          <w:sz w:val="30"/>
          <w:szCs w:val="30"/>
        </w:rPr>
        <w:t>ÍNDICE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CAPÍTULO 1.  PARTE GENERAL: SEGUROS CONTRA DAÑOS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1. Delimitación conceptual y tipología más extendida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2. Regulación específica de los seguros de daños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3. Valoración del daño y liquidación en los seguros contra daños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4. Los derechos de los terceros frente al asegurador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CAPÍTULO 2.  SEGUROS CONTRA DAÑOS: INCENDIO, ROBO TRANSPORTE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lastRenderedPageBreak/>
        <w:t>1. Seguros contra incendios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2. Segura contra el robo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3. Seguro de transporte terrestre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CAPÍTULO 3.  SEGUROS DE RESPONSABILIDAD CIVIL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1. Seguro de responsabilidad civil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2. Seguros que resultan obligatorios dentro del genérico de responsabilidad civil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3. Seguro obligatorio de embarcaciones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4. Seguros de edificación o de la construcción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5. Seguros PI en la industria de la construcción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6. seguro obligatorio de viajeros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7. seguros de responsabilidad civil para directores y administradores de sociedades de capital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8. seguro de responsabilidad civil de administradores concursales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9. seguro de Manifestaciones y garantías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10. seguro de responsabilidad civil de abogado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11. seguro de responsabilidad civil de jueces y magistrado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12. seguro de responsabilidad civil del cazador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13. seguro de responsabilidad civil propietarios de animales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14. seguros de responsabilidad medioambiental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CAPÍTULO 4.  SEGUROS CRÉDITOS, CAUCIÓN, LUCRO CESANTE, INTERRUPCIÓN DE ACTIVIDAD, SEGUROS PROFESIONALES, ETC.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1. Seguro y Administraciones Públicas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2. Seguro de crédito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3. Seguro de caución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4. Seguro de pérdidas pecuniarias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5. Seguro de protección de pagos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6. Seguro de lucro cesante.  Seguros de interrupción actividad empresarial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7. Seguro contra el daño de retraso de inicio de una actividad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8. Seguro de cambio de divisa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9. Seguro de defensa jurídica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10. El seguro de multas y sanciones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11. Seguro de asistencia en viajes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12. Seguros agrarios combinados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13. Seguros cibernéticos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14. Seguros para robots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15. Seguro y terrorismo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16. Seguros audiovisuales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17. Seguros de instrumentos musicales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18. Seguros responsabilidad civil familiar o de la vida privada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19. Seguros responsabilidad civil auditores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20. Seguro responsabilidad civil empresarial y por productos defectuosos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21. Seguros RC notarial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22. El seguro en atracciones y ferias itinerantes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23. El seguro en espectáculos públicos y actividades deportivas.  El seguro deportivo obligatorio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CAPÍTULO 5.  SEGUROS DE OBRAS DE ARTE, SEGUROS PANDÉMICOS, ETC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1. El seguro de obras de arte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2. Seguro y pandemia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BIBLIOGRAFÍA</w:t>
      </w:r>
    </w:p>
    <w:p w:rsidR="00CF702C" w:rsidRDefault="00CF702C" w:rsidP="00CF702C">
      <w:pPr>
        <w:pStyle w:val="Ttulo2"/>
        <w:shd w:val="clear" w:color="auto" w:fill="EDEBEB"/>
        <w:spacing w:before="0" w:beforeAutospacing="0" w:after="0" w:afterAutospacing="0" w:line="360" w:lineRule="atLeast"/>
        <w:rPr>
          <w:rFonts w:ascii="Arial" w:hAnsi="Arial" w:cs="Arial"/>
          <w:caps/>
          <w:color w:val="6C6A6A"/>
          <w:sz w:val="30"/>
          <w:szCs w:val="30"/>
        </w:rPr>
      </w:pPr>
      <w:r>
        <w:rPr>
          <w:rFonts w:ascii="Arial" w:hAnsi="Arial" w:cs="Arial"/>
          <w:caps/>
          <w:color w:val="6C6A6A"/>
          <w:sz w:val="30"/>
          <w:szCs w:val="30"/>
        </w:rPr>
        <w:t>RESUMEN DEL LIBRO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Esta octava edición supone una reestructuración completamente nueva de la obra, que a partir de este momento se completa a lo largo de 6 volúmenes y tres tomos.</w:t>
      </w:r>
      <w:r>
        <w:rPr>
          <w:rFonts w:ascii="Arial" w:hAnsi="Arial" w:cs="Arial"/>
          <w:color w:val="485059"/>
          <w:sz w:val="18"/>
          <w:szCs w:val="18"/>
        </w:rPr>
        <w:br/>
      </w:r>
      <w:r>
        <w:rPr>
          <w:rFonts w:ascii="Arial" w:hAnsi="Arial" w:cs="Arial"/>
          <w:color w:val="485059"/>
          <w:sz w:val="18"/>
          <w:szCs w:val="18"/>
        </w:rPr>
        <w:br/>
        <w:t>Este primer tomo se compone de dos volúmenes que abarcan en su totalidad la teoría general del contrato, el concepto y fundamento de seguro, los caracteres del contrato, los elementos esenciales (RIESGO, INTERÉS), la póliza, el condicionado y los deberes y obligaciones de las partes para concluir con la prescripción y la duración del contrato de seguro.</w:t>
      </w:r>
    </w:p>
    <w:p w:rsidR="00CF702C" w:rsidRDefault="00CF702C" w:rsidP="00CF702C">
      <w:pPr>
        <w:pStyle w:val="NormalWeb"/>
        <w:shd w:val="clear" w:color="auto" w:fill="EDEBEB"/>
        <w:spacing w:before="0" w:beforeAutospacing="0" w:after="0" w:afterAutospacing="0" w:line="240" w:lineRule="atLeast"/>
        <w:rPr>
          <w:rFonts w:ascii="Arial" w:hAnsi="Arial" w:cs="Arial"/>
          <w:color w:val="485059"/>
          <w:sz w:val="18"/>
          <w:szCs w:val="18"/>
        </w:rPr>
      </w:pPr>
      <w:r>
        <w:rPr>
          <w:rFonts w:ascii="Arial" w:hAnsi="Arial" w:cs="Arial"/>
          <w:color w:val="485059"/>
          <w:sz w:val="18"/>
          <w:szCs w:val="18"/>
        </w:rPr>
        <w:t>Sumamente actualizada y donde la jurisprudencia, tanto española como de los países más avanzados en el marco del seguro (Alemania, Francia, Italia, Reino Unido, Canadá y Estados Unidos) abren marcos de reflexión y comparación extraordinarios y que son imbricados en la obra.</w:t>
      </w:r>
    </w:p>
    <w:p w:rsidR="00C84EA9" w:rsidRDefault="00CF702C">
      <w:bookmarkStart w:id="0" w:name="_GoBack"/>
      <w:bookmarkEnd w:id="0"/>
    </w:p>
    <w:sectPr w:rsidR="00C84E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11823"/>
    <w:multiLevelType w:val="multilevel"/>
    <w:tmpl w:val="6DACD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133D5"/>
    <w:multiLevelType w:val="multilevel"/>
    <w:tmpl w:val="45380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C5390F"/>
    <w:multiLevelType w:val="multilevel"/>
    <w:tmpl w:val="56AEB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37125F"/>
    <w:multiLevelType w:val="multilevel"/>
    <w:tmpl w:val="044E5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230"/>
    <w:rsid w:val="00510A2D"/>
    <w:rsid w:val="00935DB8"/>
    <w:rsid w:val="00BE0230"/>
    <w:rsid w:val="00CF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5FEA0"/>
  <w15:chartTrackingRefBased/>
  <w15:docId w15:val="{4375114D-9162-49E4-A133-58ACBF3D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BE02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BE02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BE0230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BE0230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imageframe">
    <w:name w:val="imageframe"/>
    <w:basedOn w:val="Fuentedeprrafopredeter"/>
    <w:rsid w:val="00BE0230"/>
  </w:style>
  <w:style w:type="character" w:styleId="Hipervnculo">
    <w:name w:val="Hyperlink"/>
    <w:basedOn w:val="Fuentedeprrafopredeter"/>
    <w:uiPriority w:val="99"/>
    <w:semiHidden/>
    <w:unhideWhenUsed/>
    <w:rsid w:val="00BE0230"/>
    <w:rPr>
      <w:color w:val="0000FF"/>
      <w:u w:val="single"/>
    </w:rPr>
  </w:style>
  <w:style w:type="character" w:styleId="CitaHTML">
    <w:name w:val="HTML Cite"/>
    <w:basedOn w:val="Fuentedeprrafopredeter"/>
    <w:uiPriority w:val="99"/>
    <w:semiHidden/>
    <w:unhideWhenUsed/>
    <w:rsid w:val="00BE0230"/>
    <w:rPr>
      <w:i/>
      <w:iCs/>
    </w:rPr>
  </w:style>
  <w:style w:type="paragraph" w:customStyle="1" w:styleId="valoracion">
    <w:name w:val="valoracion"/>
    <w:basedOn w:val="Normal"/>
    <w:rsid w:val="00BE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vercomentarios">
    <w:name w:val="vercomentarios"/>
    <w:basedOn w:val="Fuentedeprrafopredeter"/>
    <w:rsid w:val="00BE0230"/>
  </w:style>
  <w:style w:type="character" w:styleId="Textoennegrita">
    <w:name w:val="Strong"/>
    <w:basedOn w:val="Fuentedeprrafopredeter"/>
    <w:uiPriority w:val="22"/>
    <w:qFormat/>
    <w:rsid w:val="00BE0230"/>
    <w:rPr>
      <w:b/>
      <w:bCs/>
    </w:rPr>
  </w:style>
  <w:style w:type="character" w:customStyle="1" w:styleId="slash">
    <w:name w:val="slash"/>
    <w:basedOn w:val="Fuentedeprrafopredeter"/>
    <w:rsid w:val="00BE0230"/>
  </w:style>
  <w:style w:type="paragraph" w:styleId="NormalWeb">
    <w:name w:val="Normal (Web)"/>
    <w:basedOn w:val="Normal"/>
    <w:uiPriority w:val="99"/>
    <w:semiHidden/>
    <w:unhideWhenUsed/>
    <w:rsid w:val="00BE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ntes">
    <w:name w:val="antes"/>
    <w:basedOn w:val="Fuentedeprrafopredeter"/>
    <w:rsid w:val="00BE0230"/>
  </w:style>
  <w:style w:type="paragraph" w:customStyle="1" w:styleId="estado">
    <w:name w:val="estado"/>
    <w:basedOn w:val="Normal"/>
    <w:rsid w:val="00BE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E023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E0230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E023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E0230"/>
    <w:rPr>
      <w:rFonts w:ascii="Arial" w:eastAsia="Times New Roman" w:hAnsi="Arial" w:cs="Arial"/>
      <w:vanish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84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1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4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14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93708">
                  <w:marLeft w:val="0"/>
                  <w:marRight w:val="0"/>
                  <w:marTop w:val="0"/>
                  <w:marBottom w:val="0"/>
                  <w:divBdr>
                    <w:top w:val="dotted" w:sz="6" w:space="4" w:color="939498"/>
                    <w:left w:val="none" w:sz="0" w:space="0" w:color="auto"/>
                    <w:bottom w:val="dotted" w:sz="6" w:space="2" w:color="939498"/>
                    <w:right w:val="none" w:sz="0" w:space="0" w:color="auto"/>
                  </w:divBdr>
                  <w:divsChild>
                    <w:div w:id="42850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8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9503253">
          <w:marLeft w:val="0"/>
          <w:marRight w:val="0"/>
          <w:marTop w:val="870"/>
          <w:marBottom w:val="0"/>
          <w:divBdr>
            <w:top w:val="single" w:sz="6" w:space="8" w:color="DCDCDC"/>
            <w:left w:val="single" w:sz="6" w:space="18" w:color="DCDCDC"/>
            <w:bottom w:val="single" w:sz="6" w:space="23" w:color="DCDCDC"/>
            <w:right w:val="single" w:sz="6" w:space="18" w:color="DCDCDC"/>
          </w:divBdr>
          <w:divsChild>
            <w:div w:id="96076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4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Benito Veiga Copo</dc:creator>
  <cp:keywords/>
  <dc:description/>
  <cp:lastModifiedBy>Marta Soto González</cp:lastModifiedBy>
  <cp:revision>3</cp:revision>
  <cp:lastPrinted>2023-05-11T07:01:00Z</cp:lastPrinted>
  <dcterms:created xsi:type="dcterms:W3CDTF">2023-02-21T11:04:00Z</dcterms:created>
  <dcterms:modified xsi:type="dcterms:W3CDTF">2023-05-11T07:01:00Z</dcterms:modified>
</cp:coreProperties>
</file>