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850" w:rsidRDefault="00234850" w:rsidP="00234850">
      <w:pPr>
        <w:shd w:val="clear" w:color="auto" w:fill="FFFFFF"/>
        <w:spacing w:after="0" w:line="390" w:lineRule="atLeast"/>
        <w:outlineLvl w:val="1"/>
        <w:rPr>
          <w:rFonts w:ascii="Arial" w:eastAsia="Times New Roman" w:hAnsi="Arial" w:cs="Arial"/>
          <w:b/>
          <w:bCs/>
          <w:caps/>
          <w:color w:val="626670"/>
          <w:spacing w:val="-15"/>
          <w:sz w:val="36"/>
          <w:szCs w:val="36"/>
          <w:lang w:eastAsia="es-ES"/>
        </w:rPr>
      </w:pPr>
      <w:r>
        <w:rPr>
          <w:rFonts w:ascii="Arial" w:eastAsia="Times New Roman" w:hAnsi="Arial" w:cs="Arial"/>
          <w:b/>
          <w:bCs/>
          <w:caps/>
          <w:color w:val="626670"/>
          <w:spacing w:val="-15"/>
          <w:sz w:val="36"/>
          <w:szCs w:val="36"/>
          <w:lang w:eastAsia="es-ES"/>
        </w:rPr>
        <w:fldChar w:fldCharType="begin"/>
      </w:r>
      <w:r>
        <w:rPr>
          <w:rFonts w:ascii="Arial" w:eastAsia="Times New Roman" w:hAnsi="Arial" w:cs="Arial"/>
          <w:b/>
          <w:bCs/>
          <w:caps/>
          <w:color w:val="626670"/>
          <w:spacing w:val="-15"/>
          <w:sz w:val="36"/>
          <w:szCs w:val="36"/>
          <w:lang w:eastAsia="es-ES"/>
        </w:rPr>
        <w:instrText xml:space="preserve"> HYPERLINK "</w:instrText>
      </w:r>
      <w:r w:rsidRPr="00234850">
        <w:rPr>
          <w:rFonts w:ascii="Arial" w:eastAsia="Times New Roman" w:hAnsi="Arial" w:cs="Arial"/>
          <w:b/>
          <w:bCs/>
          <w:caps/>
          <w:color w:val="626670"/>
          <w:spacing w:val="-15"/>
          <w:sz w:val="36"/>
          <w:szCs w:val="36"/>
          <w:lang w:eastAsia="es-ES"/>
        </w:rPr>
        <w:instrText>https://www.editorialreus.es/libros/consorcio-red-alastria/9788429022988/</w:instrText>
      </w:r>
      <w:r>
        <w:rPr>
          <w:rFonts w:ascii="Arial" w:eastAsia="Times New Roman" w:hAnsi="Arial" w:cs="Arial"/>
          <w:b/>
          <w:bCs/>
          <w:caps/>
          <w:color w:val="626670"/>
          <w:spacing w:val="-15"/>
          <w:sz w:val="36"/>
          <w:szCs w:val="36"/>
          <w:lang w:eastAsia="es-ES"/>
        </w:rPr>
        <w:instrText xml:space="preserve">" </w:instrText>
      </w:r>
      <w:r>
        <w:rPr>
          <w:rFonts w:ascii="Arial" w:eastAsia="Times New Roman" w:hAnsi="Arial" w:cs="Arial"/>
          <w:b/>
          <w:bCs/>
          <w:caps/>
          <w:color w:val="626670"/>
          <w:spacing w:val="-15"/>
          <w:sz w:val="36"/>
          <w:szCs w:val="36"/>
          <w:lang w:eastAsia="es-ES"/>
        </w:rPr>
        <w:fldChar w:fldCharType="separate"/>
      </w:r>
      <w:r w:rsidRPr="00032AA2">
        <w:rPr>
          <w:rStyle w:val="Hipervnculo"/>
          <w:rFonts w:ascii="Arial" w:eastAsia="Times New Roman" w:hAnsi="Arial" w:cs="Arial"/>
          <w:b/>
          <w:bCs/>
          <w:caps/>
          <w:spacing w:val="-15"/>
          <w:sz w:val="36"/>
          <w:szCs w:val="36"/>
          <w:lang w:eastAsia="es-ES"/>
        </w:rPr>
        <w:t>https://www.editorialreus.es/libros/consorcio-red-alastria/9788429022988/</w:t>
      </w:r>
      <w:r>
        <w:rPr>
          <w:rFonts w:ascii="Arial" w:eastAsia="Times New Roman" w:hAnsi="Arial" w:cs="Arial"/>
          <w:b/>
          <w:bCs/>
          <w:caps/>
          <w:color w:val="626670"/>
          <w:spacing w:val="-15"/>
          <w:sz w:val="36"/>
          <w:szCs w:val="36"/>
          <w:lang w:eastAsia="es-ES"/>
        </w:rPr>
        <w:fldChar w:fldCharType="end"/>
      </w:r>
    </w:p>
    <w:p w:rsidR="00234850" w:rsidRDefault="00234850" w:rsidP="00234850">
      <w:pPr>
        <w:shd w:val="clear" w:color="auto" w:fill="FFFFFF"/>
        <w:spacing w:after="0" w:line="390" w:lineRule="atLeast"/>
        <w:outlineLvl w:val="1"/>
        <w:rPr>
          <w:rFonts w:ascii="Arial" w:eastAsia="Times New Roman" w:hAnsi="Arial" w:cs="Arial"/>
          <w:b/>
          <w:bCs/>
          <w:caps/>
          <w:color w:val="626670"/>
          <w:spacing w:val="-15"/>
          <w:sz w:val="36"/>
          <w:szCs w:val="36"/>
          <w:lang w:eastAsia="es-ES"/>
        </w:rPr>
      </w:pPr>
      <w:bookmarkStart w:id="0" w:name="_GoBack"/>
      <w:bookmarkEnd w:id="0"/>
    </w:p>
    <w:p w:rsidR="00234850" w:rsidRDefault="00234850" w:rsidP="00234850">
      <w:pPr>
        <w:shd w:val="clear" w:color="auto" w:fill="FFFFFF"/>
        <w:spacing w:after="0" w:line="390" w:lineRule="atLeast"/>
        <w:outlineLvl w:val="1"/>
        <w:rPr>
          <w:rFonts w:ascii="Arial" w:eastAsia="Times New Roman" w:hAnsi="Arial" w:cs="Arial"/>
          <w:b/>
          <w:bCs/>
          <w:caps/>
          <w:color w:val="626670"/>
          <w:spacing w:val="-15"/>
          <w:sz w:val="36"/>
          <w:szCs w:val="36"/>
          <w:lang w:eastAsia="es-ES"/>
        </w:rPr>
      </w:pPr>
    </w:p>
    <w:p w:rsidR="00234850" w:rsidRDefault="00234850" w:rsidP="00234850">
      <w:pPr>
        <w:shd w:val="clear" w:color="auto" w:fill="FFFFFF"/>
        <w:spacing w:after="0" w:line="390" w:lineRule="atLeast"/>
        <w:outlineLvl w:val="1"/>
        <w:rPr>
          <w:rFonts w:ascii="Arial" w:eastAsia="Times New Roman" w:hAnsi="Arial" w:cs="Arial"/>
          <w:b/>
          <w:bCs/>
          <w:caps/>
          <w:color w:val="626670"/>
          <w:spacing w:val="-15"/>
          <w:sz w:val="36"/>
          <w:szCs w:val="36"/>
          <w:lang w:eastAsia="es-ES"/>
        </w:rPr>
      </w:pPr>
      <w:r>
        <w:rPr>
          <w:rFonts w:ascii="Arial" w:eastAsia="Times New Roman" w:hAnsi="Arial" w:cs="Arial"/>
          <w:b/>
          <w:bCs/>
          <w:caps/>
          <w:color w:val="626670"/>
          <w:spacing w:val="-15"/>
          <w:sz w:val="36"/>
          <w:szCs w:val="36"/>
          <w:lang w:eastAsia="es-ES"/>
        </w:rPr>
        <w:t xml:space="preserve">Ibáñez, J. (2020), </w:t>
      </w:r>
    </w:p>
    <w:p w:rsidR="00234850" w:rsidRPr="00234850" w:rsidRDefault="00234850" w:rsidP="00234850">
      <w:pPr>
        <w:shd w:val="clear" w:color="auto" w:fill="FFFFFF"/>
        <w:spacing w:after="75" w:line="240" w:lineRule="auto"/>
        <w:outlineLvl w:val="0"/>
        <w:rPr>
          <w:rFonts w:ascii="Times New Roman" w:eastAsia="Times New Roman" w:hAnsi="Times New Roman" w:cs="Times New Roman"/>
          <w:b/>
          <w:bCs/>
          <w:i/>
          <w:color w:val="AD1034"/>
          <w:spacing w:val="-15"/>
          <w:kern w:val="36"/>
          <w:sz w:val="48"/>
          <w:szCs w:val="48"/>
          <w:lang w:eastAsia="es-ES"/>
        </w:rPr>
      </w:pPr>
      <w:r w:rsidRPr="00234850">
        <w:rPr>
          <w:rFonts w:ascii="Times New Roman" w:eastAsia="Times New Roman" w:hAnsi="Times New Roman" w:cs="Times New Roman"/>
          <w:b/>
          <w:bCs/>
          <w:i/>
          <w:color w:val="AD1034"/>
          <w:spacing w:val="-15"/>
          <w:kern w:val="36"/>
          <w:sz w:val="48"/>
          <w:szCs w:val="48"/>
          <w:lang w:eastAsia="es-ES"/>
        </w:rPr>
        <w:t>Consorcio Red Alastria</w:t>
      </w:r>
    </w:p>
    <w:p w:rsidR="00234850" w:rsidRPr="00234850" w:rsidRDefault="00234850" w:rsidP="00234850">
      <w:pPr>
        <w:shd w:val="clear" w:color="auto" w:fill="FFFFFF"/>
        <w:spacing w:after="0" w:line="300" w:lineRule="atLeast"/>
        <w:outlineLvl w:val="1"/>
        <w:rPr>
          <w:rFonts w:ascii="Arial" w:eastAsia="Times New Roman" w:hAnsi="Arial" w:cs="Arial"/>
          <w:b/>
          <w:bCs/>
          <w:caps/>
          <w:color w:val="626670"/>
          <w:sz w:val="29"/>
          <w:szCs w:val="29"/>
          <w:lang w:eastAsia="es-ES"/>
        </w:rPr>
      </w:pPr>
      <w:r w:rsidRPr="00234850">
        <w:rPr>
          <w:rFonts w:ascii="Arial" w:eastAsia="Times New Roman" w:hAnsi="Arial" w:cs="Arial"/>
          <w:b/>
          <w:bCs/>
          <w:i/>
          <w:caps/>
          <w:color w:val="626670"/>
          <w:sz w:val="29"/>
          <w:szCs w:val="29"/>
          <w:lang w:eastAsia="es-ES"/>
        </w:rPr>
        <w:t>ORIGEN Y REFORMA DE LA PRIMERA BLOCKCHAIN DE ESPAÑA</w:t>
      </w:r>
      <w:r>
        <w:rPr>
          <w:rFonts w:ascii="Arial" w:eastAsia="Times New Roman" w:hAnsi="Arial" w:cs="Arial"/>
          <w:b/>
          <w:bCs/>
          <w:caps/>
          <w:color w:val="626670"/>
          <w:sz w:val="29"/>
          <w:szCs w:val="29"/>
          <w:lang w:eastAsia="es-ES"/>
        </w:rPr>
        <w:t>, Reus 2020, Madrid</w:t>
      </w:r>
    </w:p>
    <w:p w:rsidR="00234850" w:rsidRDefault="00234850" w:rsidP="00234850">
      <w:pPr>
        <w:shd w:val="clear" w:color="auto" w:fill="FFFFFF"/>
        <w:spacing w:after="0" w:line="390" w:lineRule="atLeast"/>
        <w:outlineLvl w:val="1"/>
        <w:rPr>
          <w:rFonts w:ascii="Arial" w:eastAsia="Times New Roman" w:hAnsi="Arial" w:cs="Arial"/>
          <w:b/>
          <w:bCs/>
          <w:caps/>
          <w:color w:val="626670"/>
          <w:spacing w:val="-15"/>
          <w:sz w:val="36"/>
          <w:szCs w:val="36"/>
          <w:lang w:eastAsia="es-ES"/>
        </w:rPr>
      </w:pPr>
    </w:p>
    <w:p w:rsidR="00234850" w:rsidRDefault="00234850" w:rsidP="00234850">
      <w:pPr>
        <w:shd w:val="clear" w:color="auto" w:fill="FFFFFF"/>
        <w:spacing w:after="0" w:line="390" w:lineRule="atLeast"/>
        <w:outlineLvl w:val="1"/>
        <w:rPr>
          <w:rFonts w:ascii="Arial" w:eastAsia="Times New Roman" w:hAnsi="Arial" w:cs="Arial"/>
          <w:b/>
          <w:bCs/>
          <w:caps/>
          <w:color w:val="626670"/>
          <w:spacing w:val="-15"/>
          <w:sz w:val="36"/>
          <w:szCs w:val="36"/>
          <w:lang w:eastAsia="es-ES"/>
        </w:rPr>
      </w:pPr>
    </w:p>
    <w:p w:rsidR="00234850" w:rsidRDefault="00234850" w:rsidP="00234850">
      <w:pPr>
        <w:shd w:val="clear" w:color="auto" w:fill="FFFFFF"/>
        <w:spacing w:after="0" w:line="390" w:lineRule="atLeast"/>
        <w:outlineLvl w:val="1"/>
        <w:rPr>
          <w:rFonts w:ascii="Arial" w:eastAsia="Times New Roman" w:hAnsi="Arial" w:cs="Arial"/>
          <w:b/>
          <w:bCs/>
          <w:caps/>
          <w:color w:val="626670"/>
          <w:spacing w:val="-15"/>
          <w:sz w:val="36"/>
          <w:szCs w:val="36"/>
          <w:lang w:eastAsia="es-ES"/>
        </w:rPr>
      </w:pPr>
    </w:p>
    <w:p w:rsidR="00234850" w:rsidRPr="00234850" w:rsidRDefault="00234850" w:rsidP="00234850">
      <w:pPr>
        <w:shd w:val="clear" w:color="auto" w:fill="FFFFFF"/>
        <w:spacing w:after="0" w:line="390" w:lineRule="atLeast"/>
        <w:outlineLvl w:val="1"/>
        <w:rPr>
          <w:rFonts w:ascii="Arial" w:eastAsia="Times New Roman" w:hAnsi="Arial" w:cs="Arial"/>
          <w:b/>
          <w:bCs/>
          <w:caps/>
          <w:color w:val="626670"/>
          <w:spacing w:val="-15"/>
          <w:sz w:val="36"/>
          <w:szCs w:val="36"/>
          <w:lang w:eastAsia="es-ES"/>
        </w:rPr>
      </w:pPr>
      <w:r w:rsidRPr="00234850">
        <w:rPr>
          <w:rFonts w:ascii="Arial" w:eastAsia="Times New Roman" w:hAnsi="Arial" w:cs="Arial"/>
          <w:b/>
          <w:bCs/>
          <w:caps/>
          <w:color w:val="626670"/>
          <w:spacing w:val="-15"/>
          <w:sz w:val="36"/>
          <w:szCs w:val="36"/>
          <w:lang w:eastAsia="es-ES"/>
        </w:rPr>
        <w:t>ÍNDICE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Proemio. Justificación del tema</w:t>
      </w:r>
    </w:p>
    <w:p w:rsidR="00234850" w:rsidRPr="00234850" w:rsidRDefault="00234850" w:rsidP="0023485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eastAsia="es-ES"/>
        </w:rPr>
      </w:pPr>
      <w:r w:rsidRPr="00234850">
        <w:rPr>
          <w:rFonts w:ascii="Arial" w:eastAsia="Times New Roman" w:hAnsi="Arial" w:cs="Arial"/>
          <w:b/>
          <w:bCs/>
          <w:color w:val="626670"/>
          <w:sz w:val="27"/>
          <w:szCs w:val="27"/>
          <w:lang w:eastAsia="es-ES"/>
        </w:rPr>
        <w:t>Capítulo I - Antecedentes y nacimiento del Consorcio-Asociación (2016-2017)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1. Factores estratégicos que condicionan el nacimiento de la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blockchain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 española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1.1. Primer factor: la voluntad de crear una comunidad nacional de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blockchain</w:t>
      </w:r>
      <w:proofErr w:type="spellEnd"/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1.2. Segundo factor: el carácter multidisciplinar del trabajo interno de la asociación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1.3. Tercer factor: la oportunidad de introducir un principio de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coopetición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 en la construcción de la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blockchain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permisionada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 nacional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1.4. Cuarto factor: el carácter multisectorial y universal de la red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2. Impacto social y normativo de la Asociación en el concierto europeo e internacional     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 </w:t>
      </w:r>
    </w:p>
    <w:p w:rsidR="00234850" w:rsidRPr="00234850" w:rsidRDefault="00234850" w:rsidP="0023485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eastAsia="es-ES"/>
        </w:rPr>
      </w:pPr>
      <w:r w:rsidRPr="00234850">
        <w:rPr>
          <w:rFonts w:ascii="Arial" w:eastAsia="Times New Roman" w:hAnsi="Arial" w:cs="Arial"/>
          <w:b/>
          <w:bCs/>
          <w:color w:val="626670"/>
          <w:sz w:val="27"/>
          <w:szCs w:val="27"/>
          <w:lang w:eastAsia="es-ES"/>
        </w:rPr>
        <w:t>Capítulo II - Desarrollos iniciales y necesidad de una reforma: el problema de la forma legal idónea y de los límites de la actividad desplegada sobre la Red (2018-2019)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1. Desarrollos de Alastria y problemáticas jurídicas y estructurales del Consorcio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2. Planteamiento jurídico de las principales cuestiones suscitadas en torno a una posible reforma de la Asociación y del control de las operaciones sobre la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blockchain</w:t>
      </w:r>
      <w:proofErr w:type="spellEnd"/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3. Propuestas de resolución de las cuestiones planteadas acerca de la actividad asociativa  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3.1. Sobre las actividades de la Asociación que son de factible y válida realización conforme al marco legal español vigente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3.2. Sujetos responsables en el ecosistema: delimitación y análisis particular de la responsabilidad de los miembros de la Junta Directiva de la Asociación Consorcio Red Alastria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3.3. Premisas para un análisis prospectivo y retrospectivo de diversos supuestos de responsabilidad civil subyacente a tipos habituales de actividad ordinaria de Alastria relativa a la participación en la red, considerando exclusivamente la forma asociativa estatutaria vigente (asociación de derecho privado)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3.4. Análisis particular de las actividades de la asociación correspondientes al decurso o transcurrir de software (Alastria-software run) y actividades preparatorias, conexas, complementarias o relacionadas, en particular el desarrollo de software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lastRenderedPageBreak/>
        <w:t>3.4.1. Empleo de software por el equipo nuclear técnico de Alastria, en la denominada red provisional o de prueba (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testnet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), no productiva o de uso para negocios empresariales, traslado y depósito de tal software a repositorios de lectura y disponibilidad universal, y operación de la red de prueba o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testnet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 (incluido el mantenimiento nodal)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3.4.2. Actividad de traslado y depósito de software y código abierto de Alastria a repositorios de lectura y disponibilidad universal, y publicación de software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3.4.3 Operación de la red de prueba o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testnet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, incluyendo las operaciones específicas de mantenimiento nodal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3.4.4. Desarrollo de software por el operador futuro de la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mainnet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: I+D de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blockchain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 software, su puesta a disposición pública en modalidad open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source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, y su mantenimiento, en diversos frentes o vertientes de producción y mantenimiento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3.4.5. Operación de una red de producción o en modo real para el mercado de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DApps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 (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mainnet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), asumiendo la responsabilidad de asegurar la disponibilidad, resiliencia y seguridad de la red de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blockchain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; en particular, considerando la opción de establecer acuerdos de servicio –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SLAs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- con terceros para participar como nodos validadores y, con carácter general, bajo el supuesto de uso en la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mainnet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 de software propio de la asociación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3.4.6. Referencia escueta a la recepción y canalización de ayudas públicas a empresas (comunidad) para que creen casos de uso, o para que implementen la red a través del investigación y desarrollo de software para el desenvolvimiento de plataforma, incluidos contratos inteligentes o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SCs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, y código de desarrollo de ID, entre otras modalidades otros.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3.4.7. Construcción, desarrollo y operación de las aplicaciones de ID, responsabilizándose de servir a socios de Alastria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3.5. Conclusiones parciales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4. Propuesta de resolución de las cuestiones planteadas acerca de un cambio estatutario y reglamentario, y acerca de la determinación de los vehículos óptimos para lograr la eficiencia de la actividad consorciada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4.1. Examen de la opción unitaria: el escenario de mantenimiento de la forma asociativa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4.1.1. Riesgos específicos derivados de mantener la forma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4.1.2. Mecanismos estatutarios y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extraestatutarios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 de control de riesgos bajo forma asociativa; selección y descripción de mecanismos óptimos y de su incidencia estatutaria y reglamentaria interna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4.1.3. Tratamiento especial de la cuestión referente a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a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 la insuficiencia relativa de los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disclaimers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 para descargar la responsabilidad civil de la Asociación y sus representantes legales derivada de daños originados por culpa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aquiliana</w:t>
      </w:r>
      <w:proofErr w:type="spellEnd"/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4.2. Opción unitaria por la constitución de una fundación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4.3. Opciones que propugnan la segmentación o la segregación o secesión de la actividad que originariamente reside en el consorcio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4.4. Examen especial de la opción por la transferencia de la actividad productiva general del consorcio a una sociedad cooperativa, en particular de servicios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4.5. Examen especial de la organización de la red productiva consorcial a través de acuerdos multilaterales de red, sin compromiso de gobierno por una persona jurídica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4.6. Alternativas de grupo y otras fórmulas de control conjunto o concertado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4.6.1. Grupo de sociedades y otras modalidades de gestión por miembros consorciados, constituyendo sociedades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4.6.2.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Joint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Ventures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 y otras fórmulas no societarias de carácter asociativo, allende un simple acuerdo plurilateral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4.6.3. Entes automatizados con personalidad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4.6.4. Apunte sobre el caso particular de gestión y operación de la red, total o parcialmente, por personas vinculadas contractual o funcionalmente a ella, sin participación de Alastria en el control de gestión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lastRenderedPageBreak/>
        <w:t>4.7. Conclusión breve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 </w:t>
      </w:r>
    </w:p>
    <w:p w:rsidR="00234850" w:rsidRPr="00234850" w:rsidRDefault="00234850" w:rsidP="0023485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eastAsia="es-ES"/>
        </w:rPr>
      </w:pPr>
      <w:r w:rsidRPr="00234850">
        <w:rPr>
          <w:rFonts w:ascii="Arial" w:eastAsia="Times New Roman" w:hAnsi="Arial" w:cs="Arial"/>
          <w:b/>
          <w:bCs/>
          <w:color w:val="626670"/>
          <w:sz w:val="27"/>
          <w:szCs w:val="27"/>
          <w:lang w:eastAsia="es-ES"/>
        </w:rPr>
        <w:t xml:space="preserve">CAPÍTULO III - Cuestiones con alcance normativo que plantea la evolución de la </w:t>
      </w:r>
      <w:proofErr w:type="spellStart"/>
      <w:r w:rsidRPr="00234850">
        <w:rPr>
          <w:rFonts w:ascii="Arial" w:eastAsia="Times New Roman" w:hAnsi="Arial" w:cs="Arial"/>
          <w:b/>
          <w:bCs/>
          <w:color w:val="626670"/>
          <w:sz w:val="27"/>
          <w:szCs w:val="27"/>
          <w:lang w:eastAsia="es-ES"/>
        </w:rPr>
        <w:t>blockchain</w:t>
      </w:r>
      <w:proofErr w:type="spellEnd"/>
      <w:r w:rsidRPr="00234850">
        <w:rPr>
          <w:rFonts w:ascii="Arial" w:eastAsia="Times New Roman" w:hAnsi="Arial" w:cs="Arial"/>
          <w:b/>
          <w:bCs/>
          <w:color w:val="626670"/>
          <w:sz w:val="27"/>
          <w:szCs w:val="27"/>
          <w:lang w:eastAsia="es-ES"/>
        </w:rPr>
        <w:t xml:space="preserve"> pública </w:t>
      </w:r>
      <w:proofErr w:type="spellStart"/>
      <w:r w:rsidRPr="00234850">
        <w:rPr>
          <w:rFonts w:ascii="Arial" w:eastAsia="Times New Roman" w:hAnsi="Arial" w:cs="Arial"/>
          <w:b/>
          <w:bCs/>
          <w:color w:val="626670"/>
          <w:sz w:val="27"/>
          <w:szCs w:val="27"/>
          <w:lang w:eastAsia="es-ES"/>
        </w:rPr>
        <w:t>permisionada</w:t>
      </w:r>
      <w:proofErr w:type="spellEnd"/>
      <w:r w:rsidRPr="00234850">
        <w:rPr>
          <w:rFonts w:ascii="Arial" w:eastAsia="Times New Roman" w:hAnsi="Arial" w:cs="Arial"/>
          <w:b/>
          <w:bCs/>
          <w:color w:val="626670"/>
          <w:sz w:val="27"/>
          <w:szCs w:val="27"/>
          <w:lang w:eastAsia="es-ES"/>
        </w:rPr>
        <w:t xml:space="preserve"> española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1. Gobernanza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permisionada</w:t>
      </w:r>
      <w:proofErr w:type="spellEnd"/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1.1. Conceptos previos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1.2. El problema de gobierno en una red pública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permisionada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 y sus consecuencias en el plano de la responsabilidad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1.3. Gobernanza y políticas operativas de red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2. Responsabilidad civil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2.1. La política estatutaria de responsabilidad de la asociación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2.2. Nota preliminar breve sobre la responsabilidad social asociativa y del consorcio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2.3. Responsabilidad de los miembros de la junta directiva por las actividades consorciadas, y en particular por el software propio creado y liberado por aquella desde su constitución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2.3.1. Responsabilidad actual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2.3.2. Responsabilidad potencial en diversos escenarios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2.4. Análisis de los riesgos surgidos de la actividad de una red pública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permisionada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 y su previsible impacto en la generación de responsabilidad civil en los gestores de la red y en los vehículos jurídicos en que se sustenta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2.5. Incidencia por niveles y tipos de riesgo sobre la responsabilidad civil contractual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3. Identidad digital y protección de datos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3.1. Identidad soberana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3.2. Protección de datos personales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4. Propiedad intelectual e industrial del consorcio y software libre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4.1. Estructura y régimen del software de Alastria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4.2. Incidencia de los riesgos mapeados en la responsabilidad extracontractual de la producción y enajenación de software de la asociación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4.2.1. Distribución del código ya creado y liberado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4.2.2. La generación y liberación de software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4.3. Examen breve del valor jurídico y limitaciones de los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disclaimers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 sobre la licencia originaria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4.4. Cumplimiento normativo en materia de propiedad industrial y régimen de responsabilidad por la creación de signos y activos de propiedad industrial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4.4.1. Nombre comercial y marcas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4.4.2. Patentes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4.4.3.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Know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how</w:t>
      </w:r>
      <w:proofErr w:type="spellEnd"/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5. Integración de socios y derecho de la competencia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5.1. Las actividades de Alastria como posibles prácticas anticompetitivas desde la óptica del Derecho de la competencia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5.2. Compensación de costes de red (“banco de gas”) y costes de registro de operadores de red en la CNMC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5.3. Abuso de posición dominante (102 TFUE / 2 LDC)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5.4. Nota sobre el régimen de control de concentraciones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5.5. Referencia a conductas en el consorcio que puedan reputarse desleales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6. Relaciones internacionales y estandarización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7. Conclusiones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Referencias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Glosario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Abreviaturas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 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lastRenderedPageBreak/>
        <w:t>ANEXOS</w:t>
      </w:r>
    </w:p>
    <w:p w:rsidR="00234850" w:rsidRPr="00234850" w:rsidRDefault="00234850" w:rsidP="0023485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eastAsia="es-ES"/>
        </w:rPr>
      </w:pPr>
      <w:r w:rsidRPr="00234850">
        <w:rPr>
          <w:rFonts w:ascii="Arial" w:eastAsia="Times New Roman" w:hAnsi="Arial" w:cs="Arial"/>
          <w:b/>
          <w:bCs/>
          <w:color w:val="626670"/>
          <w:sz w:val="27"/>
          <w:szCs w:val="27"/>
          <w:lang w:eastAsia="es-ES"/>
        </w:rPr>
        <w:t>ANEXO I - INFORME PREVIO SOBRE LA REFORMA DE LA ASOCIACIÓN Y LA ACTIVIDAD LEGAL DE CONSORCIO RED ALASTRIA Presentado por el Comité Legal a la Junta General en su sesión de 11 de abril de 2019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I. Resumen ejecutivo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II. Antecedentes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III. Objetivo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IV. Contenido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1. Materias que es preciso abordar ex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novo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 o replantear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1.1. Rol de Alastria como eventual prestador servicios, especialmente ID / SSI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1.2. Adaptación y publicación inmediata de avisos de asunción o exención de responsabilidad, advertencias o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disclaimers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 para usuarios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1.3. Régimen del cierre de red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1.4. Minimización del riesgo directivo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1.5. Reformas estatutarias y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autorregulatorias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 específicas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2. Soluciones sobre debates previos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2.1. Estructura jurídica idónea del consorcio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2.2. Su relación con otras entidades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2.3. Uso de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Telsius</w:t>
      </w:r>
      <w:proofErr w:type="spellEnd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 por asociados que pueda generar responsabilidad de Alastria o miembros de sus órganos</w:t>
      </w:r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 xml:space="preserve">2.4. Respecto a la responsabilidad por datos y operaciones sobre </w:t>
      </w:r>
      <w:proofErr w:type="spellStart"/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Arrakis</w:t>
      </w:r>
      <w:proofErr w:type="spellEnd"/>
    </w:p>
    <w:p w:rsidR="00234850" w:rsidRPr="00234850" w:rsidRDefault="00234850" w:rsidP="0023485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26670"/>
          <w:sz w:val="21"/>
          <w:szCs w:val="21"/>
          <w:lang w:eastAsia="es-ES"/>
        </w:rPr>
      </w:pPr>
      <w:r w:rsidRPr="00234850">
        <w:rPr>
          <w:rFonts w:ascii="Arial" w:eastAsia="Times New Roman" w:hAnsi="Arial" w:cs="Arial"/>
          <w:color w:val="626670"/>
          <w:sz w:val="21"/>
          <w:szCs w:val="21"/>
          <w:lang w:eastAsia="es-ES"/>
        </w:rPr>
        <w:t> </w:t>
      </w:r>
    </w:p>
    <w:p w:rsidR="00234850" w:rsidRPr="00234850" w:rsidRDefault="00234850" w:rsidP="0023485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eastAsia="es-ES"/>
        </w:rPr>
      </w:pPr>
      <w:r w:rsidRPr="00234850">
        <w:rPr>
          <w:rFonts w:ascii="Arial" w:eastAsia="Times New Roman" w:hAnsi="Arial" w:cs="Arial"/>
          <w:b/>
          <w:bCs/>
          <w:color w:val="626670"/>
          <w:sz w:val="27"/>
          <w:szCs w:val="27"/>
          <w:lang w:eastAsia="es-ES"/>
        </w:rPr>
        <w:t>ANEXO II - DAFO DE POSIBLES VEHÍCULOS ESPECIALES (</w:t>
      </w:r>
      <w:proofErr w:type="spellStart"/>
      <w:r w:rsidRPr="00234850">
        <w:rPr>
          <w:rFonts w:ascii="Arial" w:eastAsia="Times New Roman" w:hAnsi="Arial" w:cs="Arial"/>
          <w:b/>
          <w:bCs/>
          <w:color w:val="626670"/>
          <w:sz w:val="27"/>
          <w:szCs w:val="27"/>
          <w:lang w:eastAsia="es-ES"/>
        </w:rPr>
        <w:t>SPVs</w:t>
      </w:r>
      <w:proofErr w:type="spellEnd"/>
      <w:r w:rsidRPr="00234850">
        <w:rPr>
          <w:rFonts w:ascii="Arial" w:eastAsia="Times New Roman" w:hAnsi="Arial" w:cs="Arial"/>
          <w:b/>
          <w:bCs/>
          <w:color w:val="626670"/>
          <w:sz w:val="27"/>
          <w:szCs w:val="27"/>
          <w:lang w:eastAsia="es-ES"/>
        </w:rPr>
        <w:t>) PARA DESENVOLVER LA PRODUCCIÓN DE RED</w:t>
      </w:r>
    </w:p>
    <w:p w:rsidR="00234850" w:rsidRPr="00234850" w:rsidRDefault="00234850" w:rsidP="00234850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626670"/>
          <w:sz w:val="27"/>
          <w:szCs w:val="27"/>
          <w:lang w:eastAsia="es-ES"/>
        </w:rPr>
      </w:pPr>
      <w:r w:rsidRPr="00234850">
        <w:rPr>
          <w:rFonts w:ascii="Arial" w:eastAsia="Times New Roman" w:hAnsi="Arial" w:cs="Arial"/>
          <w:b/>
          <w:bCs/>
          <w:color w:val="626670"/>
          <w:sz w:val="27"/>
          <w:szCs w:val="27"/>
          <w:lang w:eastAsia="es-ES"/>
        </w:rPr>
        <w:t> </w:t>
      </w:r>
    </w:p>
    <w:p w:rsidR="0037685C" w:rsidRDefault="00234850"/>
    <w:sectPr w:rsidR="003768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850"/>
    <w:rsid w:val="00234850"/>
    <w:rsid w:val="0034394F"/>
    <w:rsid w:val="0096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8CE30"/>
  <w15:chartTrackingRefBased/>
  <w15:docId w15:val="{B2F94B4B-5BE8-4EB0-BD36-4DAFB8BD9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348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1459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Wenceslao Ibanez Jimenez</dc:creator>
  <cp:keywords/>
  <dc:description/>
  <cp:lastModifiedBy>Javier Wenceslao Ibanez Jimenez</cp:lastModifiedBy>
  <cp:revision>1</cp:revision>
  <dcterms:created xsi:type="dcterms:W3CDTF">2021-02-23T09:51:00Z</dcterms:created>
  <dcterms:modified xsi:type="dcterms:W3CDTF">2021-02-23T09:53:00Z</dcterms:modified>
</cp:coreProperties>
</file>