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ECE" w:rsidRPr="004B3ECE" w:rsidRDefault="004B3ECE" w:rsidP="004B3ECE">
      <w:pPr>
        <w:spacing w:before="100" w:beforeAutospacing="1" w:after="100" w:afterAutospacing="1"/>
        <w:rPr>
          <w:rFonts w:ascii="Times" w:hAnsi="Times" w:cs="Times New Roman"/>
          <w:sz w:val="20"/>
          <w:szCs w:val="20"/>
        </w:rPr>
      </w:pPr>
      <w:r w:rsidRPr="004B3ECE">
        <w:rPr>
          <w:rFonts w:ascii="Calibri" w:hAnsi="Calibri" w:cs="Times New Roman"/>
          <w:b/>
          <w:bCs/>
          <w:color w:val="FFFFFF"/>
          <w:sz w:val="22"/>
          <w:szCs w:val="22"/>
        </w:rPr>
        <w:t xml:space="preserve">RA OP </w:t>
      </w:r>
    </w:p>
    <w:p w:rsidR="004B3ECE" w:rsidRPr="004B3ECE" w:rsidRDefault="004B3ECE" w:rsidP="004B3ECE">
      <w:pPr>
        <w:spacing w:before="100" w:beforeAutospacing="1" w:after="100" w:afterAutospacing="1"/>
        <w:rPr>
          <w:rFonts w:ascii="Times" w:hAnsi="Times" w:cs="Times New Roman"/>
          <w:sz w:val="20"/>
          <w:szCs w:val="20"/>
        </w:rPr>
      </w:pPr>
      <w:r w:rsidRPr="004B3ECE">
        <w:rPr>
          <w:rFonts w:ascii="Calibri" w:hAnsi="Calibri" w:cs="Times New Roman"/>
          <w:sz w:val="20"/>
          <w:szCs w:val="20"/>
        </w:rPr>
        <w:t xml:space="preserve">Cinco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años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después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de la anterior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edición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de esta obra, ve la luz ahora, una nueva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edición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que es el reflejo de los avatares y a la vez socaires de la norma concursal y del realismo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práctico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de una insolvencia que ha desbordado los diques y continentes de la ley de 2003. Lo ha hecho de tal modo que se han sucedido a lo largo de estos catorce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años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desde la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promulgación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, y trece de vigencia, no pocas, inconexas y mal coordinadas reformas a la ley. Reformas que han manado del fragor y la extraordinaria crisis, por su dureza y sus efectos,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económica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que ha desolado y asolado el paisaje. Al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número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de concursos de acreedores, no muy alto, todo hay que decirlo, ha seguido un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número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altísimo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de disoluciones y liquidaciones de sociedades mercantiles y empresas individuales que no han resistido los embates vividos, pero que, de un modo u otra, por unas u otras razones, no han desembocado en un procedimiento concursal. La irreversibilidad de la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situación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, el deterioro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económico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y el desierto de bienes y activo, ha preferido claudicar en la pasividad y la nada antes que abrir procesos que no arrumbaban hacia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ningún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lugar. Hoy como ayer se siguen cuestionando principios, dogmas, realidades y futilidades. Y en el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ámbito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que nos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atañe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, el de la masa pasiva, se cuestiona por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enésima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vez el privilegio, la preferencia en definitiva. Queda claro que para el legislador, los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exposicionandos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de motivos son lugar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idóneo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para el desahogo y la queja,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lástima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que no se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acompañe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acto seguido de esa misma firmeza cuando el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bisturi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́ debe diseccionar. La jurisprudencia ha matizado, completado, criticado, ampliado, cercenado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prácticamente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todos y cada uno de los limites que los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créditos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, reales o virtualmente que no mentalmente, han tenido y tienen entre doctrina y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prácticos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del derechos. Se ha corregido, se ha reinterpretado, e, incluso, rescrito asimismo.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Insólito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pero cierto. La masa pasiva sigue gozando de la centralidad e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hilazón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nervial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de un procedimiento concursal que sigue basculando lejos del convenio y la </w:t>
      </w:r>
      <w:proofErr w:type="spellStart"/>
      <w:r w:rsidRPr="004B3ECE">
        <w:rPr>
          <w:rFonts w:ascii="Calibri" w:hAnsi="Calibri" w:cs="Times New Roman"/>
          <w:sz w:val="20"/>
          <w:szCs w:val="20"/>
        </w:rPr>
        <w:t>solución</w:t>
      </w:r>
      <w:proofErr w:type="spellEnd"/>
      <w:r w:rsidRPr="004B3ECE">
        <w:rPr>
          <w:rFonts w:ascii="Calibri" w:hAnsi="Calibri" w:cs="Times New Roman"/>
          <w:sz w:val="20"/>
          <w:szCs w:val="20"/>
        </w:rPr>
        <w:t xml:space="preserve"> de continuidad de la actividad empresarial por antonomasia.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30"/>
        <w:gridCol w:w="461"/>
      </w:tblGrid>
      <w:tr w:rsidR="004B3ECE" w:rsidRPr="004B3ECE" w:rsidTr="004B3ECE">
        <w:tc>
          <w:tcPr>
            <w:tcW w:w="0" w:type="auto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4B3ECE" w:rsidRPr="004B3ECE" w:rsidRDefault="004B3ECE" w:rsidP="004B3ECE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 w:rsidRPr="004B3ECE">
              <w:rPr>
                <w:rFonts w:ascii="Calibri" w:hAnsi="Calibri" w:cs="Times New Roman"/>
                <w:b/>
                <w:bCs/>
                <w:color w:val="00AF4F"/>
              </w:rPr>
              <w:t xml:space="preserve">LA MASA PASIVA DEL CONCURSO DE ACREEDORES (DÚO) </w:t>
            </w:r>
          </w:p>
          <w:p w:rsidR="004B3ECE" w:rsidRPr="004B3ECE" w:rsidRDefault="004B3ECE" w:rsidP="004B3ECE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 w:rsidRPr="004B3ECE">
              <w:rPr>
                <w:rFonts w:ascii="Calibri" w:hAnsi="Calibri" w:cs="Times New Roman"/>
                <w:sz w:val="20"/>
                <w:szCs w:val="20"/>
              </w:rPr>
              <w:t xml:space="preserve">3a </w:t>
            </w:r>
            <w:proofErr w:type="spellStart"/>
            <w:r w:rsidRPr="004B3ECE">
              <w:rPr>
                <w:rFonts w:ascii="Calibri" w:hAnsi="Calibri" w:cs="Times New Roman"/>
                <w:sz w:val="20"/>
                <w:szCs w:val="20"/>
              </w:rPr>
              <w:t>edición</w:t>
            </w:r>
            <w:proofErr w:type="spellEnd"/>
            <w:r w:rsidRPr="004B3ECE">
              <w:rPr>
                <w:rFonts w:ascii="Calibri" w:hAnsi="Calibri" w:cs="Times New Roman"/>
                <w:sz w:val="20"/>
                <w:szCs w:val="20"/>
              </w:rPr>
              <w:br/>
            </w:r>
            <w:r w:rsidRPr="004B3ECE">
              <w:rPr>
                <w:rFonts w:ascii="Calibri" w:hAnsi="Calibri" w:cs="Times New Roman"/>
                <w:b/>
                <w:bCs/>
                <w:sz w:val="20"/>
                <w:szCs w:val="20"/>
              </w:rPr>
              <w:t xml:space="preserve">AUTOR/ES: 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t>Abel B. Veiga Copo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br/>
            </w:r>
            <w:r w:rsidRPr="004B3ECE">
              <w:rPr>
                <w:rFonts w:ascii="Calibri" w:hAnsi="Calibri" w:cs="Times New Roman"/>
                <w:b/>
                <w:bCs/>
                <w:sz w:val="20"/>
                <w:szCs w:val="20"/>
              </w:rPr>
              <w:t xml:space="preserve">MARCA: </w:t>
            </w:r>
            <w:proofErr w:type="spellStart"/>
            <w:r w:rsidRPr="004B3ECE">
              <w:rPr>
                <w:rFonts w:ascii="Calibri" w:hAnsi="Calibri" w:cs="Times New Roman"/>
                <w:sz w:val="20"/>
                <w:szCs w:val="20"/>
              </w:rPr>
              <w:t>Cívitas</w:t>
            </w:r>
            <w:proofErr w:type="spellEnd"/>
            <w:r w:rsidRPr="004B3ECE">
              <w:rPr>
                <w:rFonts w:ascii="Calibri" w:hAnsi="Calibri" w:cs="Times New Roman"/>
                <w:sz w:val="20"/>
                <w:szCs w:val="20"/>
              </w:rPr>
              <w:br/>
            </w:r>
            <w:r w:rsidRPr="004B3ECE">
              <w:rPr>
                <w:rFonts w:ascii="Calibri" w:hAnsi="Calibri" w:cs="Times New Roman"/>
                <w:b/>
                <w:bCs/>
                <w:sz w:val="20"/>
                <w:szCs w:val="20"/>
              </w:rPr>
              <w:t xml:space="preserve">COLECCIÓN: 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t xml:space="preserve">Estudios y comentarios </w:t>
            </w:r>
            <w:proofErr w:type="spellStart"/>
            <w:r w:rsidRPr="004B3ECE">
              <w:rPr>
                <w:rFonts w:ascii="Calibri" w:hAnsi="Calibri" w:cs="Times New Roman"/>
                <w:sz w:val="20"/>
                <w:szCs w:val="20"/>
              </w:rPr>
              <w:t>Legislación</w:t>
            </w:r>
            <w:proofErr w:type="spellEnd"/>
            <w:r w:rsidRPr="004B3ECE">
              <w:rPr>
                <w:rFonts w:ascii="Calibri" w:hAnsi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FFFFF"/>
            <w:vAlign w:val="center"/>
            <w:hideMark/>
          </w:tcPr>
          <w:p w:rsidR="004B3ECE" w:rsidRPr="004B3ECE" w:rsidRDefault="004B3ECE" w:rsidP="004B3ECE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 w:rsidRPr="004B3ECE">
              <w:rPr>
                <w:rFonts w:ascii="Calibri" w:hAnsi="Calibri" w:cs="Times New Roman"/>
                <w:b/>
                <w:bCs/>
                <w:color w:val="FFFFFF"/>
                <w:sz w:val="22"/>
                <w:szCs w:val="22"/>
              </w:rPr>
              <w:t xml:space="preserve">OB T </w:t>
            </w:r>
          </w:p>
        </w:tc>
      </w:tr>
      <w:tr w:rsidR="004B3ECE" w:rsidRPr="004B3ECE" w:rsidTr="004B3ECE">
        <w:tc>
          <w:tcPr>
            <w:tcW w:w="0" w:type="auto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  <w:hideMark/>
          </w:tcPr>
          <w:p w:rsidR="004B3ECE" w:rsidRPr="004B3ECE" w:rsidRDefault="004B3ECE" w:rsidP="004B3ECE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</w:rPr>
            </w:pPr>
            <w:r w:rsidRPr="004B3ECE">
              <w:rPr>
                <w:rFonts w:ascii="Calibri" w:hAnsi="Calibri" w:cs="Times New Roman"/>
                <w:b/>
                <w:bCs/>
                <w:sz w:val="20"/>
                <w:szCs w:val="20"/>
              </w:rPr>
              <w:t xml:space="preserve">PÁGINAS: 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t>1900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br/>
            </w:r>
            <w:r w:rsidRPr="004B3ECE">
              <w:rPr>
                <w:rFonts w:ascii="Calibri" w:hAnsi="Calibri" w:cs="Times New Roman"/>
                <w:b/>
                <w:bCs/>
                <w:sz w:val="20"/>
                <w:szCs w:val="20"/>
              </w:rPr>
              <w:t xml:space="preserve">ENCUADERNACIÓN: 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t>Tapa Dura/</w:t>
            </w:r>
            <w:proofErr w:type="spellStart"/>
            <w:r w:rsidRPr="004B3ECE">
              <w:rPr>
                <w:rFonts w:ascii="Calibri" w:hAnsi="Calibri" w:cs="Times New Roman"/>
                <w:sz w:val="20"/>
                <w:szCs w:val="20"/>
              </w:rPr>
              <w:t>Cartone</w:t>
            </w:r>
            <w:proofErr w:type="spellEnd"/>
            <w:r w:rsidRPr="004B3ECE">
              <w:rPr>
                <w:rFonts w:ascii="Calibri" w:hAnsi="Calibri" w:cs="Times New Roman"/>
                <w:sz w:val="20"/>
                <w:szCs w:val="20"/>
              </w:rPr>
              <w:t>́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br/>
            </w:r>
            <w:r w:rsidRPr="004B3ECE">
              <w:rPr>
                <w:rFonts w:ascii="Calibri" w:hAnsi="Calibri" w:cs="Times New Roman"/>
                <w:b/>
                <w:bCs/>
                <w:sz w:val="20"/>
                <w:szCs w:val="20"/>
              </w:rPr>
              <w:t xml:space="preserve">CM: 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t xml:space="preserve">10010095 </w:t>
            </w:r>
            <w:r w:rsidRPr="004B3ECE">
              <w:rPr>
                <w:rFonts w:ascii="Calibri" w:hAnsi="Calibri" w:cs="Times New Roman"/>
                <w:b/>
                <w:bCs/>
                <w:sz w:val="20"/>
                <w:szCs w:val="20"/>
              </w:rPr>
              <w:t xml:space="preserve">ISBN: 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t>978-84-9152-669-8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br/>
            </w:r>
            <w:r w:rsidRPr="004B3ECE">
              <w:rPr>
                <w:rFonts w:ascii="Calibri" w:hAnsi="Calibri" w:cs="Times New Roman"/>
                <w:b/>
                <w:bCs/>
                <w:color w:val="007F00"/>
                <w:sz w:val="20"/>
                <w:szCs w:val="20"/>
              </w:rPr>
              <w:t xml:space="preserve">PVP DÚO S/IVA: 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t xml:space="preserve">235,58 € </w:t>
            </w:r>
            <w:r w:rsidRPr="004B3ECE">
              <w:rPr>
                <w:rFonts w:ascii="Calibri" w:hAnsi="Calibri" w:cs="Times New Roman"/>
                <w:b/>
                <w:bCs/>
                <w:color w:val="007F00"/>
                <w:sz w:val="20"/>
                <w:szCs w:val="20"/>
              </w:rPr>
              <w:t xml:space="preserve">PVP DÚO C/IVA: 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t>245,00 €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br/>
            </w:r>
            <w:r w:rsidRPr="004B3ECE">
              <w:rPr>
                <w:rFonts w:ascii="Calibri" w:hAnsi="Calibri" w:cs="Times New Roman"/>
                <w:b/>
                <w:bCs/>
                <w:color w:val="FFA300"/>
                <w:sz w:val="20"/>
                <w:szCs w:val="20"/>
              </w:rPr>
              <w:t xml:space="preserve">PVP PROVIEW S/IVA: 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t xml:space="preserve">78,50 € </w:t>
            </w:r>
            <w:r w:rsidRPr="004B3ECE">
              <w:rPr>
                <w:rFonts w:ascii="Calibri" w:hAnsi="Calibri" w:cs="Times New Roman"/>
                <w:b/>
                <w:bCs/>
                <w:color w:val="FFA300"/>
                <w:sz w:val="20"/>
                <w:szCs w:val="20"/>
              </w:rPr>
              <w:t xml:space="preserve">PVP PROVIEW C/IVA: </w:t>
            </w:r>
            <w:r w:rsidRPr="004B3ECE">
              <w:rPr>
                <w:rFonts w:ascii="Calibri" w:hAnsi="Calibri" w:cs="Times New Roman"/>
                <w:sz w:val="20"/>
                <w:szCs w:val="20"/>
              </w:rPr>
              <w:t xml:space="preserve">94,99 € 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4B3ECE" w:rsidRPr="004B3ECE" w:rsidRDefault="004B3ECE" w:rsidP="004B3ECE">
            <w:pPr>
              <w:rPr>
                <w:rFonts w:ascii="Times" w:hAnsi="Times" w:cs="Times New Roman"/>
                <w:sz w:val="20"/>
                <w:szCs w:val="20"/>
              </w:rPr>
            </w:pPr>
          </w:p>
        </w:tc>
      </w:tr>
      <w:tr w:rsidR="004B3ECE" w:rsidRPr="004B3ECE" w:rsidTr="004B3ECE">
        <w:tc>
          <w:tcPr>
            <w:tcW w:w="0" w:type="auto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auto"/>
              <w:right w:val="single" w:sz="12" w:space="0" w:color="000000"/>
            </w:tcBorders>
            <w:shd w:val="clear" w:color="auto" w:fill="7F7F7F"/>
            <w:vAlign w:val="center"/>
            <w:hideMark/>
          </w:tcPr>
          <w:p w:rsidR="004B3ECE" w:rsidRPr="004B3ECE" w:rsidRDefault="004B3ECE" w:rsidP="004B3ECE">
            <w:pPr>
              <w:rPr>
                <w:rFonts w:ascii="Times" w:eastAsia="Times New Roman" w:hAnsi="Times" w:cs="Times New Roman"/>
                <w:sz w:val="20"/>
                <w:szCs w:val="20"/>
              </w:rPr>
            </w:pPr>
          </w:p>
        </w:tc>
      </w:tr>
    </w:tbl>
    <w:p w:rsidR="00454119" w:rsidRDefault="00454119">
      <w:bookmarkStart w:id="0" w:name="_GoBack"/>
      <w:bookmarkEnd w:id="0"/>
    </w:p>
    <w:sectPr w:rsidR="00454119" w:rsidSect="00454119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8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ECE"/>
    <w:rsid w:val="00454119"/>
    <w:rsid w:val="004B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26946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3EC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B3ECE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8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49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68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46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8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1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44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22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79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66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5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033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424</Words>
  <Characters>2061</Characters>
  <Application>Microsoft Macintosh Word</Application>
  <DocSecurity>0</DocSecurity>
  <Lines>32</Lines>
  <Paragraphs>5</Paragraphs>
  <ScaleCrop>false</ScaleCrop>
  <Company/>
  <LinksUpToDate>false</LinksUpToDate>
  <CharactersWithSpaces>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  Veiga Copo</dc:creator>
  <cp:keywords/>
  <dc:description/>
  <cp:lastModifiedBy>Abel  Veiga Copo</cp:lastModifiedBy>
  <cp:revision>1</cp:revision>
  <dcterms:created xsi:type="dcterms:W3CDTF">2017-07-10T17:05:00Z</dcterms:created>
  <dcterms:modified xsi:type="dcterms:W3CDTF">2017-07-10T17:06:00Z</dcterms:modified>
</cp:coreProperties>
</file>