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Elisa Pérez-Laorga Arribas</w:t>
      </w:r>
    </w:p>
    <w:p w:rsidR="00000000" w:rsidDel="00000000" w:rsidP="00000000" w:rsidRDefault="00000000" w:rsidRPr="00000000" w14:paraId="000000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5º Criminología y Trabajo Social</w:t>
      </w:r>
    </w:p>
    <w:p w:rsidR="00000000" w:rsidDel="00000000" w:rsidP="00000000" w:rsidRDefault="00000000" w:rsidRPr="00000000" w14:paraId="00000003">
      <w:pPr>
        <w:jc w:val="right"/>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“Implicaciones sociales y criminológicas del diagnóstico en personas con patología dual: La prisión como espacio de diagnóstico tardío”</w:t>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INTRODUCCIÓN</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España, una parte significativa de la población presenta simultáneamente un trastorno por consumo de sustancias (TCS) y otro trastorno mental (OTM), situación denominada como patología dual. En muchos de estos casos, el consumo de drogas puede actuar como desencadenante o factor agravante de la enfermedad mental. Sin embargo, hasta fechas recientes no se disponía de datos globales que </w:t>
      </w:r>
      <w:r w:rsidDel="00000000" w:rsidR="00000000" w:rsidRPr="00000000">
        <w:rPr>
          <w:rFonts w:ascii="Times New Roman" w:cs="Times New Roman" w:eastAsia="Times New Roman" w:hAnsi="Times New Roman"/>
          <w:sz w:val="24"/>
          <w:szCs w:val="24"/>
          <w:rtl w:val="0"/>
        </w:rPr>
        <w:t xml:space="preserve">cuantificaran</w:t>
      </w:r>
      <w:r w:rsidDel="00000000" w:rsidR="00000000" w:rsidRPr="00000000">
        <w:rPr>
          <w:rFonts w:ascii="Times New Roman" w:cs="Times New Roman" w:eastAsia="Times New Roman" w:hAnsi="Times New Roman"/>
          <w:sz w:val="24"/>
          <w:szCs w:val="24"/>
          <w:rtl w:val="0"/>
        </w:rPr>
        <w:t xml:space="preserve"> la magnitud de esta asociación. Diversas investigaciones han puesto el foco en la necesidad de abordar ambos trastornos de manera conjunta, y no únicamente desde redes asistenciales separadas, salud mental y adicciones. Según Fernández-Miranda et al. (2024), el 71 % de los pacientes en tratamiento por trastorno por consumo de sustancias presentan también otro trastorno mental, mientras que en la red de tratamiento de salud mental se observó que el 68,9 % de los pacientes tenían además un trastorno por consumo de sustancias.</w:t>
      </w:r>
    </w:p>
    <w:p w:rsidR="00000000" w:rsidDel="00000000" w:rsidP="00000000" w:rsidRDefault="00000000" w:rsidRPr="00000000" w14:paraId="000000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personas sufren considerables dificultades para integrarse en la sociedad debido a múltiples barreras, e incluso su patología actúa como un factor de riesgo criminológico al influir en la comisión de delitos, en la reincidencia y en las dificultades para la reinserción. Ante esta realidad, cabe preguntarse si un diagnóstico temprano de la patología dual podría favorecer un tratamiento adecuado que fomente la integración social y prevenga conductas delictivas. </w:t>
      </w:r>
    </w:p>
    <w:p w:rsidR="00000000" w:rsidDel="00000000" w:rsidP="00000000" w:rsidRDefault="00000000" w:rsidRPr="00000000" w14:paraId="000000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tanto, el presente trabajo titulado “</w:t>
      </w:r>
      <w:r w:rsidDel="00000000" w:rsidR="00000000" w:rsidRPr="00000000">
        <w:rPr>
          <w:rFonts w:ascii="Times New Roman" w:cs="Times New Roman" w:eastAsia="Times New Roman" w:hAnsi="Times New Roman"/>
          <w:i w:val="1"/>
          <w:sz w:val="24"/>
          <w:szCs w:val="24"/>
          <w:rtl w:val="0"/>
        </w:rPr>
        <w:t xml:space="preserve">Implicaciones sociales y criminológicas del diagnóstico en personas con patología dual: La prisión como espacio de diagnóstico tardío”,</w:t>
      </w:r>
      <w:r w:rsidDel="00000000" w:rsidR="00000000" w:rsidRPr="00000000">
        <w:rPr>
          <w:rFonts w:ascii="Times New Roman" w:cs="Times New Roman" w:eastAsia="Times New Roman" w:hAnsi="Times New Roman"/>
          <w:sz w:val="24"/>
          <w:szCs w:val="24"/>
          <w:rtl w:val="0"/>
        </w:rPr>
        <w:t xml:space="preserve"> se desarrollará en tres ejes principales: en primer lugar, tratará de identificar los principales factores de riesgo en las personas con diagnóstico dual, con especial atención a la falta de un detección temprana; en segundo lugar, se quiere analizar la importancia de este diagnóstico en relación a la valoración de la responsabilidad penal; y finalmente, se investigará el papel de los centros penitenciarios como espacio de tratamiento e intervención con personas con patología dual.  </w:t>
      </w:r>
    </w:p>
    <w:p w:rsidR="00000000" w:rsidDel="00000000" w:rsidP="00000000" w:rsidRDefault="00000000" w:rsidRPr="00000000" w14:paraId="0000000B">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 elección de este tema para mi Trabajo de Fin de Grado surge principalmente del interés que despertó en mí la experiencia durante las prácticas realizadas en un centro penitenciario de la Comunidad de Madrid. Allí trabajé directamente con internos con problemas de adicciones con interés en superarlas. Fue entonces cuando pude observar que la mayoría de ellos padecían también un trastorno mental, y del mismo modo, que muchos de los internos atendidos por su trastorno mental sufrían además una adicción. Sin embargo, en ninguno de los dos casos se abordaban ambos problemas de manera conjunta, sino que se intervenía de forma separada o incluso se dejaba una de las dos patologías sin tratar. Sabiendo la influencia que ambas patologías tienen sobre la otra, se despertó en mí la motivación de poner en valor un diagnóstico adecuado de la patología dual, como base para implementar intervenciones de prevención y tratamiento más eficaces. </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OBJETIVOS E HIPÓTESIS</w:t>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 general:</w:t>
      </w:r>
      <w:r w:rsidDel="00000000" w:rsidR="00000000" w:rsidRPr="00000000">
        <w:rPr>
          <w:rFonts w:ascii="Times New Roman" w:cs="Times New Roman" w:eastAsia="Times New Roman" w:hAnsi="Times New Roman"/>
          <w:sz w:val="24"/>
          <w:szCs w:val="24"/>
          <w:rtl w:val="0"/>
        </w:rPr>
        <w:t xml:space="preserve"> Estudiar la relevancia del diagnóstico de patología dual en </w:t>
      </w:r>
      <w:r w:rsidDel="00000000" w:rsidR="00000000" w:rsidRPr="00000000">
        <w:rPr>
          <w:rFonts w:ascii="Times New Roman" w:cs="Times New Roman" w:eastAsia="Times New Roman" w:hAnsi="Times New Roman"/>
          <w:sz w:val="24"/>
          <w:szCs w:val="24"/>
          <w:rtl w:val="0"/>
        </w:rPr>
        <w:t xml:space="preserve">sus implicaciones criminológicas y sociales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Objetivo específico 1: </w:t>
      </w:r>
      <w:r w:rsidDel="00000000" w:rsidR="00000000" w:rsidRPr="00000000">
        <w:rPr>
          <w:rFonts w:ascii="Times New Roman" w:cs="Times New Roman" w:eastAsia="Times New Roman" w:hAnsi="Times New Roman"/>
          <w:sz w:val="24"/>
          <w:szCs w:val="24"/>
          <w:rtl w:val="0"/>
        </w:rPr>
        <w:t xml:space="preserve">Identificar los factores de riesgo criminológicos entre las personas con diagnóstico de patología dual.  </w:t>
      </w:r>
    </w:p>
    <w:p w:rsidR="00000000" w:rsidDel="00000000" w:rsidP="00000000" w:rsidRDefault="00000000" w:rsidRPr="00000000" w14:paraId="0000002D">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Hipótesis 1:</w:t>
      </w:r>
      <w:r w:rsidDel="00000000" w:rsidR="00000000" w:rsidRPr="00000000">
        <w:rPr>
          <w:rFonts w:ascii="Times New Roman" w:cs="Times New Roman" w:eastAsia="Times New Roman" w:hAnsi="Times New Roman"/>
          <w:sz w:val="24"/>
          <w:szCs w:val="24"/>
          <w:rtl w:val="0"/>
        </w:rPr>
        <w:t xml:space="preserve"> Las personas con diagnóstico de patología dual tienen unas motivaciones específicas para cometer delitos. </w:t>
      </w:r>
    </w:p>
    <w:p w:rsidR="00000000" w:rsidDel="00000000" w:rsidP="00000000" w:rsidRDefault="00000000" w:rsidRPr="00000000" w14:paraId="0000002E">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4"/>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Objetivo específico 2:</w:t>
      </w:r>
      <w:r w:rsidDel="00000000" w:rsidR="00000000" w:rsidRPr="00000000">
        <w:rPr>
          <w:rFonts w:ascii="Times New Roman" w:cs="Times New Roman" w:eastAsia="Times New Roman" w:hAnsi="Times New Roman"/>
          <w:sz w:val="24"/>
          <w:szCs w:val="24"/>
          <w:rtl w:val="0"/>
        </w:rPr>
        <w:t xml:space="preserve"> Analizar la importancia del diagnóstico de patología dual en la valoración de la responsabilidad penal. </w:t>
      </w:r>
    </w:p>
    <w:p w:rsidR="00000000" w:rsidDel="00000000" w:rsidP="00000000" w:rsidRDefault="00000000" w:rsidRPr="00000000" w14:paraId="00000030">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Hipótesis 2:</w:t>
      </w:r>
      <w:r w:rsidDel="00000000" w:rsidR="00000000" w:rsidRPr="00000000">
        <w:rPr>
          <w:rFonts w:ascii="Times New Roman" w:cs="Times New Roman" w:eastAsia="Times New Roman" w:hAnsi="Times New Roman"/>
          <w:sz w:val="24"/>
          <w:szCs w:val="24"/>
          <w:rtl w:val="0"/>
        </w:rPr>
        <w:t xml:space="preserve"> La ausencia de una detección temprana de patología dual dificulta el ingreso en establecimientos especiales penitenciarios.  </w:t>
      </w:r>
    </w:p>
    <w:p w:rsidR="00000000" w:rsidDel="00000000" w:rsidP="00000000" w:rsidRDefault="00000000" w:rsidRPr="00000000" w14:paraId="00000031">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5"/>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Objetivo específico 3:</w:t>
      </w:r>
      <w:r w:rsidDel="00000000" w:rsidR="00000000" w:rsidRPr="00000000">
        <w:rPr>
          <w:rFonts w:ascii="Times New Roman" w:cs="Times New Roman" w:eastAsia="Times New Roman" w:hAnsi="Times New Roman"/>
          <w:sz w:val="24"/>
          <w:szCs w:val="24"/>
          <w:rtl w:val="0"/>
        </w:rPr>
        <w:t xml:space="preserve"> Investigar la importancia del tratamiento penitenciario en internos con patología dual.</w:t>
      </w:r>
    </w:p>
    <w:p w:rsidR="00000000" w:rsidDel="00000000" w:rsidP="00000000" w:rsidRDefault="00000000" w:rsidRPr="00000000" w14:paraId="00000033">
      <w:pPr>
        <w:numPr>
          <w:ilvl w:val="0"/>
          <w:numId w:val="6"/>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Hipótesis 3:</w:t>
      </w:r>
      <w:r w:rsidDel="00000000" w:rsidR="00000000" w:rsidRPr="00000000">
        <w:rPr>
          <w:rFonts w:ascii="Times New Roman" w:cs="Times New Roman" w:eastAsia="Times New Roman" w:hAnsi="Times New Roman"/>
          <w:sz w:val="24"/>
          <w:szCs w:val="24"/>
          <w:rtl w:val="0"/>
        </w:rPr>
        <w:t xml:space="preserve"> Adquiere una gran relevancia el tratamiento en prisión con personas con diagnóstico de patología dual para reducir los factores de riesgo criminológicos y favorecer la reinserción social. </w:t>
      </w:r>
      <w:r w:rsidDel="00000000" w:rsidR="00000000" w:rsidRPr="00000000">
        <w:rPr>
          <w:rtl w:val="0"/>
        </w:rPr>
      </w:r>
    </w:p>
    <w:p w:rsidR="00000000" w:rsidDel="00000000" w:rsidP="00000000" w:rsidRDefault="00000000" w:rsidRPr="00000000" w14:paraId="00000034">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METODOLOGÍA</w:t>
      </w:r>
    </w:p>
    <w:p w:rsidR="00000000" w:rsidDel="00000000" w:rsidP="00000000" w:rsidRDefault="00000000" w:rsidRPr="00000000" w14:paraId="0000003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siguiente investigación se enmarca en un enfoque cualitativo, entendido como aquel que, según Vera (2015), estudia la calidad de las actividades, relaciones, asuntos, medios, materiales o instrumentos en una determinada situación o problema, además de buscar una descripción holística. Este enfoque es necesario para hacer un análisis exploratorio y exhaustivo de una muestra no muy amplia y flexible, y poder extrapolar conclusiones que ofrecen una visión más profunda. </w:t>
      </w:r>
    </w:p>
    <w:p w:rsidR="00000000" w:rsidDel="00000000" w:rsidP="00000000" w:rsidRDefault="00000000" w:rsidRPr="00000000" w14:paraId="0000003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este enfoque de investigación, la principal técnica de recogida de información que se ha llevado a cabo es la entrevista individual, ya que esta nos permite recoger la información necesaria desde el campo de actuación en el que se encuentra el tema investigado. Los entrevistados nos darán una perspectiva desde su experiencia personal, que junto a la necesaria revisión bibliográfica para complementar la información recogida, nos permitirá reconstruir la realidad observada. </w:t>
      </w:r>
    </w:p>
    <w:p w:rsidR="00000000" w:rsidDel="00000000" w:rsidP="00000000" w:rsidRDefault="00000000" w:rsidRPr="00000000" w14:paraId="0000004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revisión bibliográfica, ha sido enmarcada en un marco teórico para contextualizar y comprender de manera integral y detallada el objeto de investigación. El análisis de diversas fuentes bibliográficas ha querido acercar al interesado a conocer los trastornos por consumo de sustancias y los trastornos mentales, su abordaje social y comunitario, y su vinculación con lo judicial y penitenciario.</w:t>
      </w:r>
    </w:p>
    <w:p w:rsidR="00000000" w:rsidDel="00000000" w:rsidP="00000000" w:rsidRDefault="00000000" w:rsidRPr="00000000" w14:paraId="0000004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las entrevistas han sido previamente estructuradas y adaptadas según el perfil del individuo que se ha querido entrevistar. Esto ha permitido recoger información con la mayor eficacia y facilidad al identificar de antemano lo que se ha querido conseguir con cada entrevista teniendo en cuenta el participante. Las personas han sido seleccionadas estratégicamente con el objetivo de recoger el mayor número de enfoques posibles: Profesionales y entidades que trabajan en ambas redes asistenciales, personas con uno o ambos trastornos, profesionales y entidades que trabajen en prisión y en recursos de reinserción social, y finalmente con personas privadas de libertad o anteriormente privada de libertad. Todas las entrevistas han llevado consigo su respectivo consentimiento informado, así como confidencialidad y anonimato de quien lo ha manifestado.  </w:t>
      </w:r>
    </w:p>
    <w:p w:rsidR="00000000" w:rsidDel="00000000" w:rsidP="00000000" w:rsidRDefault="00000000" w:rsidRPr="00000000" w14:paraId="0000004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principal dificultad de este trabajo ha sido la complejidad de acceder a los centros penitenciarios, así como su población y trabajadores para ser entrevistados, debido a la necesaria seguridad que este campo requiere. Esto condiciona la representatividad de la muestra y refuerza el carácter exploratorio del trabajo en los centros penitenciarios. </w:t>
      </w:r>
    </w:p>
    <w:p w:rsidR="00000000" w:rsidDel="00000000" w:rsidP="00000000" w:rsidRDefault="00000000" w:rsidRPr="00000000" w14:paraId="00000043">
      <w:pPr>
        <w:spacing w:after="280" w:before="280" w:line="360" w:lineRule="auto"/>
        <w:jc w:val="both"/>
        <w:rPr/>
      </w:pPr>
      <w:r w:rsidDel="00000000" w:rsidR="00000000" w:rsidRPr="00000000">
        <w:rPr>
          <w:rFonts w:ascii="Times New Roman" w:cs="Times New Roman" w:eastAsia="Times New Roman" w:hAnsi="Times New Roman"/>
          <w:sz w:val="24"/>
          <w:szCs w:val="24"/>
          <w:rtl w:val="0"/>
        </w:rPr>
        <w:t xml:space="preserve">Tras la recogida de información, se ha hecho un análisis de la misma para elaborar las conclusiones como parte esencial de la investigación. Los hallazgos han sido interpretados en relación al objetivo general y sus específicos, para resolver las hipótesis planteadas. Además, el apartado de conclusiones plasma la relevancia práctica de la investigación, así como las posibles aplicaciones y contribuciones al campo de actuación de la patología dual.</w:t>
      </w:r>
      <w:r w:rsidDel="00000000" w:rsidR="00000000" w:rsidRPr="00000000">
        <w:rPr>
          <w:rtl w:val="0"/>
        </w:rPr>
      </w:r>
    </w:p>
    <w:p w:rsidR="00000000" w:rsidDel="00000000" w:rsidP="00000000" w:rsidRDefault="00000000" w:rsidRPr="00000000" w14:paraId="00000044">
      <w:pPr>
        <w:spacing w:after="280" w:before="280" w:lineRule="auto"/>
        <w:jc w:val="both"/>
        <w:rPr/>
      </w:pPr>
      <w:r w:rsidDel="00000000" w:rsidR="00000000" w:rsidRPr="00000000">
        <w:rPr>
          <w:rtl w:val="0"/>
        </w:rPr>
      </w:r>
    </w:p>
    <w:p w:rsidR="00000000" w:rsidDel="00000000" w:rsidP="00000000" w:rsidRDefault="00000000" w:rsidRPr="00000000" w14:paraId="00000045">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46">
      <w:pPr>
        <w:spacing w:after="280" w:before="28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Fernández-Miranda JJ, Fontoba-Díaz J, Díaz-Fernández S, Pascual-Pastor F. Co-occurrence of substance use disorders and other mental disorders in people undergoing specific treatment for any of them in Spain. Adicciones. 2024 Mar 29;36(1):31-40. English, Spanish. doi: 10.20882/adicciones.1692. PMID: 34882244. </w:t>
      </w:r>
    </w:p>
    <w:p w:rsidR="00000000" w:rsidDel="00000000" w:rsidP="00000000" w:rsidRDefault="00000000" w:rsidRPr="00000000" w14:paraId="00000047">
      <w:pPr>
        <w:spacing w:after="280" w:before="280" w:lineRule="auto"/>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https://pubmed.ncbi.nlm.nih.gov/34882244/</w:t>
        </w:r>
      </w:hyperlink>
      <w:r w:rsidDel="00000000" w:rsidR="00000000" w:rsidRPr="00000000">
        <w:rPr>
          <w:rtl w:val="0"/>
        </w:rPr>
      </w:r>
    </w:p>
    <w:p w:rsidR="00000000" w:rsidDel="00000000" w:rsidP="00000000" w:rsidRDefault="00000000" w:rsidRPr="00000000" w14:paraId="0000004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Vera, L. (2015). </w:t>
      </w:r>
      <w:r w:rsidDel="00000000" w:rsidR="00000000" w:rsidRPr="00000000">
        <w:rPr>
          <w:rFonts w:ascii="Times New Roman" w:cs="Times New Roman" w:eastAsia="Times New Roman" w:hAnsi="Times New Roman"/>
          <w:i w:val="1"/>
          <w:sz w:val="24"/>
          <w:szCs w:val="24"/>
          <w:rtl w:val="0"/>
        </w:rPr>
        <w:t xml:space="preserve">La investigación cualitativa</w:t>
      </w:r>
      <w:r w:rsidDel="00000000" w:rsidR="00000000" w:rsidRPr="00000000">
        <w:rPr>
          <w:rFonts w:ascii="Times New Roman" w:cs="Times New Roman" w:eastAsia="Times New Roman" w:hAnsi="Times New Roman"/>
          <w:sz w:val="24"/>
          <w:szCs w:val="24"/>
          <w:rtl w:val="0"/>
        </w:rPr>
        <w:t xml:space="preserve">. Universidad Interamericana de Puerto Rico, Recinto de Ponce. </w:t>
      </w:r>
      <w:hyperlink r:id="rId7">
        <w:r w:rsidDel="00000000" w:rsidR="00000000" w:rsidRPr="00000000">
          <w:rPr>
            <w:rFonts w:ascii="Times New Roman" w:cs="Times New Roman" w:eastAsia="Times New Roman" w:hAnsi="Times New Roman"/>
            <w:color w:val="1155cc"/>
            <w:sz w:val="24"/>
            <w:szCs w:val="24"/>
            <w:u w:val="single"/>
            <w:rtl w:val="0"/>
          </w:rPr>
          <w:t xml:space="preserve">https://dialnet.unirioja.es/descarga/articulo/7390995.pdf</w:t>
        </w:r>
      </w:hyperlink>
      <w:r w:rsidDel="00000000" w:rsidR="00000000" w:rsidRPr="00000000">
        <w:rPr>
          <w:rtl w:val="0"/>
        </w:rPr>
      </w:r>
    </w:p>
    <w:p w:rsidR="00000000" w:rsidDel="00000000" w:rsidP="00000000" w:rsidRDefault="00000000" w:rsidRPr="00000000" w14:paraId="00000049">
      <w:pPr>
        <w:spacing w:after="280" w:before="280" w:lineRule="auto"/>
        <w:jc w:val="both"/>
        <w:rPr/>
      </w:pPr>
      <w:r w:rsidDel="00000000" w:rsidR="00000000" w:rsidRPr="00000000">
        <w:rPr>
          <w:rtl w:val="0"/>
        </w:rPr>
      </w:r>
    </w:p>
    <w:sectPr>
      <w:footerReference r:id="rId8"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bmed.ncbi.nlm.nih.gov/34882244/" TargetMode="External"/><Relationship Id="rId7" Type="http://schemas.openxmlformats.org/officeDocument/2006/relationships/hyperlink" Target="https://dialnet.unirioja.es/descarga/articulo/7390995.pdf?utm_source=chatgpt.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