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11380" w14:textId="77777777" w:rsidR="00647E00" w:rsidRDefault="009A7BAE">
      <w:pPr>
        <w:pStyle w:val="paragraph"/>
        <w:spacing w:before="0" w:after="0"/>
        <w:jc w:val="center"/>
        <w:textAlignment w:val="baseline"/>
      </w:pPr>
      <w:r>
        <w:rPr>
          <w:rFonts w:ascii="Calibri" w:eastAsia="Calibri" w:hAnsi="Calibri"/>
          <w:noProof/>
          <w:sz w:val="22"/>
          <w:szCs w:val="22"/>
        </w:rPr>
        <w:drawing>
          <wp:inline distT="0" distB="0" distL="0" distR="0" wp14:anchorId="00137E6D" wp14:editId="06E5C1F7">
            <wp:extent cx="4131945" cy="2920995"/>
            <wp:effectExtent l="0" t="0" r="1905" b="0"/>
            <wp:docPr id="1" name="Imagen 2"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4131945" cy="2920995"/>
                    </a:xfrm>
                    <a:prstGeom prst="rect">
                      <a:avLst/>
                    </a:prstGeom>
                    <a:noFill/>
                    <a:ln>
                      <a:noFill/>
                      <a:prstDash/>
                    </a:ln>
                  </pic:spPr>
                </pic:pic>
              </a:graphicData>
            </a:graphic>
          </wp:inline>
        </w:drawing>
      </w:r>
      <w:r>
        <w:rPr>
          <w:rStyle w:val="eop"/>
        </w:rPr>
        <w:t> </w:t>
      </w:r>
    </w:p>
    <w:p w14:paraId="3D75CC6C" w14:textId="77777777" w:rsidR="00647E00" w:rsidRDefault="009A7BAE">
      <w:pPr>
        <w:pStyle w:val="paragraph"/>
        <w:spacing w:before="0" w:after="0"/>
        <w:jc w:val="center"/>
        <w:textAlignment w:val="baseline"/>
      </w:pPr>
      <w:r>
        <w:rPr>
          <w:rStyle w:val="eop"/>
        </w:rPr>
        <w:t> </w:t>
      </w:r>
    </w:p>
    <w:p w14:paraId="6B302A8A" w14:textId="77777777" w:rsidR="00647E00" w:rsidRDefault="009A7BAE">
      <w:pPr>
        <w:pStyle w:val="paragraph"/>
        <w:spacing w:before="0" w:after="0"/>
        <w:jc w:val="center"/>
        <w:textAlignment w:val="baseline"/>
      </w:pPr>
      <w:r>
        <w:rPr>
          <w:rStyle w:val="eop"/>
        </w:rPr>
        <w:t> </w:t>
      </w:r>
    </w:p>
    <w:p w14:paraId="31DCF222" w14:textId="77777777" w:rsidR="00647E00" w:rsidRDefault="009A7BAE">
      <w:pPr>
        <w:pStyle w:val="paragraph"/>
        <w:spacing w:before="0" w:after="0"/>
        <w:jc w:val="center"/>
        <w:textAlignment w:val="baseline"/>
      </w:pPr>
      <w:r>
        <w:rPr>
          <w:rStyle w:val="eop"/>
          <w:sz w:val="44"/>
          <w:szCs w:val="44"/>
        </w:rPr>
        <w:t> </w:t>
      </w:r>
    </w:p>
    <w:p w14:paraId="0441E1E4" w14:textId="77777777" w:rsidR="00647E00" w:rsidRDefault="009A7BAE">
      <w:pPr>
        <w:pStyle w:val="paragraph"/>
        <w:spacing w:before="0" w:after="0"/>
        <w:jc w:val="center"/>
        <w:textAlignment w:val="baseline"/>
      </w:pPr>
      <w:r>
        <w:rPr>
          <w:rStyle w:val="eop"/>
          <w:sz w:val="44"/>
          <w:szCs w:val="44"/>
        </w:rPr>
        <w:t> </w:t>
      </w:r>
    </w:p>
    <w:p w14:paraId="6E838BA4" w14:textId="77777777" w:rsidR="00647E00" w:rsidRDefault="009A7BAE">
      <w:pPr>
        <w:pStyle w:val="paragraph"/>
        <w:spacing w:before="0" w:after="0"/>
        <w:jc w:val="center"/>
        <w:textAlignment w:val="baseline"/>
      </w:pPr>
      <w:r>
        <w:rPr>
          <w:rStyle w:val="eop"/>
          <w:sz w:val="44"/>
          <w:szCs w:val="44"/>
        </w:rPr>
        <w:t> </w:t>
      </w:r>
    </w:p>
    <w:p w14:paraId="47910C09" w14:textId="77777777" w:rsidR="00647E00" w:rsidRDefault="009A7BAE">
      <w:pPr>
        <w:pStyle w:val="paragraph"/>
        <w:spacing w:before="0" w:after="0"/>
        <w:jc w:val="center"/>
        <w:textAlignment w:val="baseline"/>
      </w:pPr>
      <w:r>
        <w:rPr>
          <w:rStyle w:val="eop"/>
          <w:sz w:val="44"/>
          <w:szCs w:val="44"/>
        </w:rPr>
        <w:t> </w:t>
      </w:r>
    </w:p>
    <w:p w14:paraId="2287A00B" w14:textId="77777777" w:rsidR="00647E00" w:rsidRDefault="009A7BAE">
      <w:pPr>
        <w:pStyle w:val="paragraph"/>
        <w:spacing w:before="0" w:after="0"/>
        <w:jc w:val="center"/>
        <w:textAlignment w:val="baseline"/>
      </w:pPr>
      <w:r>
        <w:rPr>
          <w:rStyle w:val="eop"/>
          <w:sz w:val="44"/>
          <w:szCs w:val="44"/>
        </w:rPr>
        <w:t> </w:t>
      </w:r>
    </w:p>
    <w:p w14:paraId="4813999E" w14:textId="77777777" w:rsidR="00647E00" w:rsidRDefault="009A7BAE">
      <w:pPr>
        <w:pStyle w:val="paragraph"/>
        <w:spacing w:before="0" w:after="0"/>
        <w:jc w:val="center"/>
        <w:textAlignment w:val="baseline"/>
      </w:pPr>
      <w:r>
        <w:rPr>
          <w:rStyle w:val="normaltextrun"/>
          <w:sz w:val="44"/>
          <w:szCs w:val="44"/>
        </w:rPr>
        <w:t>FACULTAD DE CIENCIAS HUMANAS Y SOCIALES</w:t>
      </w:r>
      <w:r>
        <w:rPr>
          <w:rStyle w:val="eop"/>
          <w:sz w:val="44"/>
          <w:szCs w:val="44"/>
        </w:rPr>
        <w:t> </w:t>
      </w:r>
    </w:p>
    <w:p w14:paraId="32F91126" w14:textId="77777777" w:rsidR="00647E00" w:rsidRDefault="009A7BAE">
      <w:pPr>
        <w:pStyle w:val="paragraph"/>
        <w:spacing w:before="0" w:after="0"/>
        <w:jc w:val="center"/>
        <w:textAlignment w:val="baseline"/>
      </w:pPr>
      <w:r>
        <w:rPr>
          <w:rStyle w:val="eop"/>
          <w:sz w:val="44"/>
          <w:szCs w:val="44"/>
        </w:rPr>
        <w:t> </w:t>
      </w:r>
    </w:p>
    <w:p w14:paraId="1813B4FA" w14:textId="77777777" w:rsidR="00647E00" w:rsidRPr="00D26AB5" w:rsidRDefault="009A7BAE">
      <w:pPr>
        <w:pStyle w:val="paragraph"/>
        <w:spacing w:before="0" w:after="0"/>
        <w:jc w:val="center"/>
        <w:textAlignment w:val="baseline"/>
        <w:rPr>
          <w:b/>
          <w:bCs/>
        </w:rPr>
      </w:pPr>
      <w:r w:rsidRPr="00D26AB5">
        <w:rPr>
          <w:rStyle w:val="normaltextrun"/>
          <w:b/>
          <w:bCs/>
          <w:sz w:val="44"/>
          <w:szCs w:val="44"/>
        </w:rPr>
        <w:t xml:space="preserve">Revictimización femenina en casos de violencia sexual y </w:t>
      </w:r>
      <w:r w:rsidR="00E21AB1" w:rsidRPr="00D26AB5">
        <w:rPr>
          <w:rStyle w:val="normaltextrun"/>
          <w:b/>
          <w:bCs/>
          <w:sz w:val="44"/>
          <w:szCs w:val="44"/>
        </w:rPr>
        <w:t>criminología mediática desde la</w:t>
      </w:r>
      <w:r w:rsidRPr="00D26AB5">
        <w:rPr>
          <w:rStyle w:val="normaltextrun"/>
          <w:b/>
          <w:bCs/>
          <w:sz w:val="44"/>
          <w:szCs w:val="44"/>
        </w:rPr>
        <w:t xml:space="preserve"> perspectiva digital</w:t>
      </w:r>
      <w:r w:rsidRPr="00D26AB5">
        <w:rPr>
          <w:rStyle w:val="eop"/>
          <w:b/>
          <w:bCs/>
          <w:sz w:val="44"/>
          <w:szCs w:val="44"/>
        </w:rPr>
        <w:t> </w:t>
      </w:r>
    </w:p>
    <w:p w14:paraId="471289F3" w14:textId="77777777" w:rsidR="00647E00" w:rsidRDefault="009A7BAE">
      <w:pPr>
        <w:pStyle w:val="paragraph"/>
        <w:spacing w:before="0" w:after="0"/>
        <w:jc w:val="center"/>
        <w:textAlignment w:val="baseline"/>
      </w:pPr>
      <w:r>
        <w:rPr>
          <w:rStyle w:val="eop"/>
          <w:sz w:val="36"/>
          <w:szCs w:val="36"/>
        </w:rPr>
        <w:t> </w:t>
      </w:r>
    </w:p>
    <w:p w14:paraId="2D4312C9" w14:textId="77777777" w:rsidR="00647E00" w:rsidRDefault="009A7BAE">
      <w:pPr>
        <w:pStyle w:val="paragraph"/>
        <w:spacing w:before="0" w:after="0"/>
        <w:jc w:val="center"/>
        <w:textAlignment w:val="baseline"/>
      </w:pPr>
      <w:r>
        <w:rPr>
          <w:rStyle w:val="normaltextrun"/>
          <w:sz w:val="36"/>
          <w:szCs w:val="36"/>
        </w:rPr>
        <w:t>Autora: Ana Campos de Palacios</w:t>
      </w:r>
      <w:r>
        <w:rPr>
          <w:rStyle w:val="eop"/>
          <w:sz w:val="36"/>
          <w:szCs w:val="36"/>
        </w:rPr>
        <w:t> </w:t>
      </w:r>
    </w:p>
    <w:p w14:paraId="013464E4" w14:textId="77777777" w:rsidR="00647E00" w:rsidRDefault="009A7BAE">
      <w:pPr>
        <w:pStyle w:val="paragraph"/>
        <w:spacing w:before="0" w:after="0"/>
        <w:jc w:val="center"/>
        <w:textAlignment w:val="baseline"/>
      </w:pPr>
      <w:r>
        <w:rPr>
          <w:rStyle w:val="normaltextrun"/>
          <w:sz w:val="36"/>
          <w:szCs w:val="36"/>
        </w:rPr>
        <w:t>Directora: </w:t>
      </w:r>
      <w:r>
        <w:rPr>
          <w:rStyle w:val="eop"/>
          <w:sz w:val="36"/>
          <w:szCs w:val="36"/>
        </w:rPr>
        <w:t> </w:t>
      </w:r>
    </w:p>
    <w:p w14:paraId="520F3753" w14:textId="77777777" w:rsidR="00647E00" w:rsidRDefault="009A7BAE">
      <w:pPr>
        <w:pStyle w:val="paragraph"/>
        <w:spacing w:before="0" w:after="0"/>
        <w:jc w:val="center"/>
        <w:textAlignment w:val="baseline"/>
      </w:pPr>
      <w:r>
        <w:rPr>
          <w:rStyle w:val="eop"/>
          <w:sz w:val="36"/>
          <w:szCs w:val="36"/>
        </w:rPr>
        <w:t> </w:t>
      </w:r>
    </w:p>
    <w:p w14:paraId="2CCA4358" w14:textId="77777777" w:rsidR="00647E00" w:rsidRDefault="009A7BAE">
      <w:pPr>
        <w:pStyle w:val="paragraph"/>
        <w:spacing w:before="0" w:after="0"/>
        <w:jc w:val="center"/>
        <w:textAlignment w:val="baseline"/>
      </w:pPr>
      <w:r>
        <w:rPr>
          <w:rStyle w:val="normaltextrun"/>
          <w:sz w:val="36"/>
          <w:szCs w:val="36"/>
        </w:rPr>
        <w:t>Madrid</w:t>
      </w:r>
      <w:r>
        <w:rPr>
          <w:rStyle w:val="eop"/>
          <w:sz w:val="36"/>
          <w:szCs w:val="36"/>
        </w:rPr>
        <w:t> </w:t>
      </w:r>
    </w:p>
    <w:p w14:paraId="66866441" w14:textId="77777777" w:rsidR="00647E00" w:rsidRDefault="009A7BAE">
      <w:pPr>
        <w:pStyle w:val="paragraph"/>
        <w:spacing w:before="0" w:after="0"/>
        <w:jc w:val="center"/>
        <w:textAlignment w:val="baseline"/>
      </w:pPr>
      <w:r>
        <w:rPr>
          <w:rStyle w:val="normaltextrun"/>
          <w:sz w:val="36"/>
          <w:szCs w:val="36"/>
        </w:rPr>
        <w:t>2025/2026</w:t>
      </w:r>
      <w:r>
        <w:rPr>
          <w:rStyle w:val="eop"/>
          <w:sz w:val="36"/>
          <w:szCs w:val="36"/>
        </w:rPr>
        <w:t> </w:t>
      </w:r>
    </w:p>
    <w:p w14:paraId="4CC0F0EC" w14:textId="77777777" w:rsidR="00647E00" w:rsidRDefault="009A7BAE">
      <w:pPr>
        <w:spacing w:after="100" w:line="360" w:lineRule="auto"/>
        <w:ind w:firstLine="340"/>
        <w:jc w:val="both"/>
        <w:textAlignment w:val="baseline"/>
      </w:pPr>
      <w:r>
        <w:rPr>
          <w:rFonts w:ascii="Times New Roman" w:eastAsia="Times New Roman" w:hAnsi="Times New Roman"/>
          <w:sz w:val="36"/>
          <w:szCs w:val="36"/>
          <w:lang w:eastAsia="es-ES"/>
        </w:rPr>
        <w:t> </w:t>
      </w:r>
    </w:p>
    <w:sdt>
      <w:sdtPr>
        <w:rPr>
          <w:rFonts w:ascii="Calibri" w:eastAsia="Calibri" w:hAnsi="Calibri" w:cs="Times New Roman"/>
          <w:color w:val="000000" w:themeColor="text1"/>
          <w:sz w:val="22"/>
          <w:szCs w:val="22"/>
          <w:lang w:eastAsia="en-US"/>
        </w:rPr>
        <w:id w:val="-1715644140"/>
        <w:docPartObj>
          <w:docPartGallery w:val="Table of Contents"/>
          <w:docPartUnique/>
        </w:docPartObj>
      </w:sdtPr>
      <w:sdtEndPr>
        <w:rPr>
          <w:b/>
          <w:bCs/>
          <w:color w:val="auto"/>
        </w:rPr>
      </w:sdtEndPr>
      <w:sdtContent>
        <w:p w14:paraId="5234C982" w14:textId="21AACD98" w:rsidR="00466491" w:rsidRPr="00345A2E" w:rsidRDefault="003747BC">
          <w:pPr>
            <w:pStyle w:val="TtuloTDC"/>
            <w:rPr>
              <w:rFonts w:asciiTheme="minorHAnsi" w:hAnsiTheme="minorHAnsi" w:cstheme="minorHAnsi"/>
              <w:b/>
              <w:bCs/>
              <w:color w:val="000000" w:themeColor="text1"/>
              <w:sz w:val="24"/>
              <w:szCs w:val="24"/>
            </w:rPr>
          </w:pPr>
          <w:r w:rsidRPr="00345A2E">
            <w:rPr>
              <w:rFonts w:asciiTheme="minorHAnsi" w:hAnsiTheme="minorHAnsi" w:cstheme="minorHAnsi"/>
              <w:b/>
              <w:bCs/>
              <w:color w:val="000000" w:themeColor="text1"/>
              <w:sz w:val="24"/>
              <w:szCs w:val="24"/>
            </w:rPr>
            <w:t>Índice</w:t>
          </w:r>
        </w:p>
        <w:p w14:paraId="4E2C40AA" w14:textId="60041A7A" w:rsidR="007D2467" w:rsidRPr="00DC1116" w:rsidRDefault="00466491">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r w:rsidRPr="00DC1116">
            <w:rPr>
              <w:sz w:val="24"/>
              <w:szCs w:val="24"/>
            </w:rPr>
            <w:fldChar w:fldCharType="begin"/>
          </w:r>
          <w:r w:rsidRPr="00DC1116">
            <w:rPr>
              <w:sz w:val="24"/>
              <w:szCs w:val="24"/>
            </w:rPr>
            <w:instrText xml:space="preserve"> TOC \o "1-3" \h \z \u </w:instrText>
          </w:r>
          <w:r w:rsidRPr="00DC1116">
            <w:rPr>
              <w:sz w:val="24"/>
              <w:szCs w:val="24"/>
            </w:rPr>
            <w:fldChar w:fldCharType="separate"/>
          </w:r>
          <w:hyperlink w:anchor="_Toc224333128" w:history="1">
            <w:r w:rsidR="007D2467" w:rsidRPr="00DC1116">
              <w:rPr>
                <w:rStyle w:val="Hipervnculo"/>
                <w:rFonts w:eastAsia="Times New Roman" w:cs="Calibri"/>
                <w:noProof/>
                <w:sz w:val="24"/>
                <w:szCs w:val="24"/>
                <w:lang w:eastAsia="es-ES"/>
              </w:rPr>
              <w:t>Resumen</w:t>
            </w:r>
            <w:r w:rsidR="007D2467" w:rsidRPr="00DC1116">
              <w:rPr>
                <w:noProof/>
                <w:webHidden/>
                <w:sz w:val="24"/>
                <w:szCs w:val="24"/>
              </w:rPr>
              <w:tab/>
            </w:r>
            <w:r w:rsidR="007D2467" w:rsidRPr="00DC1116">
              <w:rPr>
                <w:noProof/>
                <w:webHidden/>
                <w:sz w:val="24"/>
                <w:szCs w:val="24"/>
              </w:rPr>
              <w:fldChar w:fldCharType="begin"/>
            </w:r>
            <w:r w:rsidR="007D2467" w:rsidRPr="00DC1116">
              <w:rPr>
                <w:noProof/>
                <w:webHidden/>
                <w:sz w:val="24"/>
                <w:szCs w:val="24"/>
              </w:rPr>
              <w:instrText xml:space="preserve"> PAGEREF _Toc224333128 \h </w:instrText>
            </w:r>
            <w:r w:rsidR="007D2467" w:rsidRPr="00DC1116">
              <w:rPr>
                <w:noProof/>
                <w:webHidden/>
                <w:sz w:val="24"/>
                <w:szCs w:val="24"/>
              </w:rPr>
            </w:r>
            <w:r w:rsidR="007D2467" w:rsidRPr="00DC1116">
              <w:rPr>
                <w:noProof/>
                <w:webHidden/>
                <w:sz w:val="24"/>
                <w:szCs w:val="24"/>
              </w:rPr>
              <w:fldChar w:fldCharType="separate"/>
            </w:r>
            <w:r w:rsidR="007D2467" w:rsidRPr="00DC1116">
              <w:rPr>
                <w:noProof/>
                <w:webHidden/>
                <w:sz w:val="24"/>
                <w:szCs w:val="24"/>
              </w:rPr>
              <w:t>4</w:t>
            </w:r>
            <w:r w:rsidR="007D2467" w:rsidRPr="00DC1116">
              <w:rPr>
                <w:noProof/>
                <w:webHidden/>
                <w:sz w:val="24"/>
                <w:szCs w:val="24"/>
              </w:rPr>
              <w:fldChar w:fldCharType="end"/>
            </w:r>
          </w:hyperlink>
        </w:p>
        <w:p w14:paraId="12B99912" w14:textId="696D85CD"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29" w:history="1">
            <w:r w:rsidRPr="00DC1116">
              <w:rPr>
                <w:rStyle w:val="Hipervnculo"/>
                <w:rFonts w:eastAsia="Times New Roman"/>
                <w:noProof/>
                <w:sz w:val="24"/>
                <w:szCs w:val="24"/>
                <w:lang w:val="en-US" w:eastAsia="es-ES"/>
              </w:rPr>
              <w:t>Abstract</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_Toc224333129 \h </w:instrText>
            </w:r>
            <w:r w:rsidRPr="00DC1116">
              <w:rPr>
                <w:noProof/>
                <w:webHidden/>
                <w:sz w:val="24"/>
                <w:szCs w:val="24"/>
              </w:rPr>
            </w:r>
            <w:r w:rsidRPr="00DC1116">
              <w:rPr>
                <w:noProof/>
                <w:webHidden/>
                <w:sz w:val="24"/>
                <w:szCs w:val="24"/>
              </w:rPr>
              <w:fldChar w:fldCharType="separate"/>
            </w:r>
            <w:r w:rsidRPr="00DC1116">
              <w:rPr>
                <w:noProof/>
                <w:webHidden/>
                <w:sz w:val="24"/>
                <w:szCs w:val="24"/>
              </w:rPr>
              <w:t>5</w:t>
            </w:r>
            <w:r w:rsidRPr="00DC1116">
              <w:rPr>
                <w:noProof/>
                <w:webHidden/>
                <w:sz w:val="24"/>
                <w:szCs w:val="24"/>
              </w:rPr>
              <w:fldChar w:fldCharType="end"/>
            </w:r>
          </w:hyperlink>
        </w:p>
        <w:p w14:paraId="7531FCCF" w14:textId="4FB2FB21" w:rsidR="007D2467" w:rsidRPr="00DC1116" w:rsidRDefault="007D2467">
          <w:pPr>
            <w:pStyle w:val="TDC1"/>
            <w:tabs>
              <w:tab w:val="left" w:pos="480"/>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30" w:history="1">
            <w:r w:rsidRPr="00DC1116">
              <w:rPr>
                <w:rStyle w:val="Hipervnculo"/>
                <w:rFonts w:eastAsia="Times New Roman"/>
                <w:noProof/>
                <w:sz w:val="24"/>
                <w:szCs w:val="24"/>
              </w:rPr>
              <w:t>1.</w:t>
            </w:r>
            <w:r w:rsidRPr="00DC1116">
              <w:rPr>
                <w:rFonts w:asciiTheme="minorHAnsi" w:eastAsiaTheme="minorEastAsia" w:hAnsiTheme="minorHAnsi" w:cstheme="minorBidi"/>
                <w:noProof/>
                <w:kern w:val="2"/>
                <w:sz w:val="24"/>
                <w:szCs w:val="24"/>
                <w:lang w:eastAsia="es-ES"/>
                <w14:ligatures w14:val="standardContextual"/>
              </w:rPr>
              <w:tab/>
            </w:r>
            <w:r w:rsidRPr="00DC1116">
              <w:rPr>
                <w:rStyle w:val="Hipervnculo"/>
                <w:rFonts w:eastAsia="Times New Roman"/>
                <w:noProof/>
                <w:sz w:val="24"/>
                <w:szCs w:val="24"/>
                <w:lang w:eastAsia="es-ES"/>
              </w:rPr>
              <w:t>Introducción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_Toc224333130 \h </w:instrText>
            </w:r>
            <w:r w:rsidRPr="00DC1116">
              <w:rPr>
                <w:noProof/>
                <w:webHidden/>
                <w:sz w:val="24"/>
                <w:szCs w:val="24"/>
              </w:rPr>
            </w:r>
            <w:r w:rsidRPr="00DC1116">
              <w:rPr>
                <w:noProof/>
                <w:webHidden/>
                <w:sz w:val="24"/>
                <w:szCs w:val="24"/>
              </w:rPr>
              <w:fldChar w:fldCharType="separate"/>
            </w:r>
            <w:r w:rsidRPr="00DC1116">
              <w:rPr>
                <w:noProof/>
                <w:webHidden/>
                <w:sz w:val="24"/>
                <w:szCs w:val="24"/>
              </w:rPr>
              <w:t>6</w:t>
            </w:r>
            <w:r w:rsidRPr="00DC1116">
              <w:rPr>
                <w:noProof/>
                <w:webHidden/>
                <w:sz w:val="24"/>
                <w:szCs w:val="24"/>
              </w:rPr>
              <w:fldChar w:fldCharType="end"/>
            </w:r>
          </w:hyperlink>
        </w:p>
        <w:p w14:paraId="19BC9706" w14:textId="11A3DCCB"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31" w:history="1">
            <w:r w:rsidRPr="00DC1116">
              <w:rPr>
                <w:rStyle w:val="Hipervnculo"/>
                <w:rFonts w:eastAsia="Times New Roman"/>
                <w:noProof/>
                <w:sz w:val="24"/>
                <w:szCs w:val="24"/>
                <w:lang w:eastAsia="es-ES"/>
              </w:rPr>
              <w:t>2.  Metodología</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_Toc224333131 \h </w:instrText>
            </w:r>
            <w:r w:rsidRPr="00DC1116">
              <w:rPr>
                <w:noProof/>
                <w:webHidden/>
                <w:sz w:val="24"/>
                <w:szCs w:val="24"/>
              </w:rPr>
            </w:r>
            <w:r w:rsidRPr="00DC1116">
              <w:rPr>
                <w:noProof/>
                <w:webHidden/>
                <w:sz w:val="24"/>
                <w:szCs w:val="24"/>
              </w:rPr>
              <w:fldChar w:fldCharType="separate"/>
            </w:r>
            <w:r w:rsidRPr="00DC1116">
              <w:rPr>
                <w:noProof/>
                <w:webHidden/>
                <w:sz w:val="24"/>
                <w:szCs w:val="24"/>
              </w:rPr>
              <w:t>10</w:t>
            </w:r>
            <w:r w:rsidRPr="00DC1116">
              <w:rPr>
                <w:noProof/>
                <w:webHidden/>
                <w:sz w:val="24"/>
                <w:szCs w:val="24"/>
              </w:rPr>
              <w:fldChar w:fldCharType="end"/>
            </w:r>
          </w:hyperlink>
        </w:p>
        <w:p w14:paraId="72FA848A" w14:textId="58089465" w:rsidR="007D2467" w:rsidRPr="00DC1116" w:rsidRDefault="007D2467">
          <w:pPr>
            <w:pStyle w:val="TDC2"/>
            <w:tabs>
              <w:tab w:val="right" w:leader="dot" w:pos="8494"/>
            </w:tabs>
            <w:rPr>
              <w:noProof/>
              <w:sz w:val="24"/>
              <w:szCs w:val="24"/>
            </w:rPr>
          </w:pPr>
          <w:hyperlink w:anchor="_Toc224333132" w:history="1">
            <w:r w:rsidRPr="00DC1116">
              <w:rPr>
                <w:rStyle w:val="Hipervnculo"/>
                <w:rFonts w:eastAsia="Times New Roman"/>
                <w:noProof/>
                <w:sz w:val="24"/>
                <w:szCs w:val="24"/>
                <w:lang w:eastAsia="es-ES"/>
              </w:rPr>
              <w:t>2.1 Tipo de investigación.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_Toc224333132 \h </w:instrText>
            </w:r>
            <w:r w:rsidRPr="00DC1116">
              <w:rPr>
                <w:noProof/>
                <w:webHidden/>
                <w:sz w:val="24"/>
                <w:szCs w:val="24"/>
              </w:rPr>
            </w:r>
            <w:r w:rsidRPr="00DC1116">
              <w:rPr>
                <w:noProof/>
                <w:webHidden/>
                <w:sz w:val="24"/>
                <w:szCs w:val="24"/>
              </w:rPr>
              <w:fldChar w:fldCharType="separate"/>
            </w:r>
            <w:r w:rsidRPr="00DC1116">
              <w:rPr>
                <w:noProof/>
                <w:webHidden/>
                <w:sz w:val="24"/>
                <w:szCs w:val="24"/>
              </w:rPr>
              <w:t>10</w:t>
            </w:r>
            <w:r w:rsidRPr="00DC1116">
              <w:rPr>
                <w:noProof/>
                <w:webHidden/>
                <w:sz w:val="24"/>
                <w:szCs w:val="24"/>
              </w:rPr>
              <w:fldChar w:fldCharType="end"/>
            </w:r>
          </w:hyperlink>
        </w:p>
        <w:p w14:paraId="0FBB874A" w14:textId="7CC7E6A9" w:rsidR="007D2467" w:rsidRPr="00DC1116" w:rsidRDefault="007D2467">
          <w:pPr>
            <w:pStyle w:val="TDC2"/>
            <w:tabs>
              <w:tab w:val="right" w:leader="dot" w:pos="8494"/>
            </w:tabs>
            <w:rPr>
              <w:noProof/>
              <w:sz w:val="24"/>
              <w:szCs w:val="24"/>
            </w:rPr>
          </w:pPr>
          <w:hyperlink w:anchor="_Toc224333133" w:history="1">
            <w:r w:rsidRPr="00DC1116">
              <w:rPr>
                <w:rStyle w:val="Hipervnculo"/>
                <w:rFonts w:eastAsia="Times New Roman"/>
                <w:noProof/>
                <w:sz w:val="24"/>
                <w:szCs w:val="24"/>
                <w:lang w:eastAsia="es-ES"/>
              </w:rPr>
              <w:t>2.2 Planteamiento del problema</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_Toc224333133 \h </w:instrText>
            </w:r>
            <w:r w:rsidRPr="00DC1116">
              <w:rPr>
                <w:noProof/>
                <w:webHidden/>
                <w:sz w:val="24"/>
                <w:szCs w:val="24"/>
              </w:rPr>
            </w:r>
            <w:r w:rsidRPr="00DC1116">
              <w:rPr>
                <w:noProof/>
                <w:webHidden/>
                <w:sz w:val="24"/>
                <w:szCs w:val="24"/>
              </w:rPr>
              <w:fldChar w:fldCharType="separate"/>
            </w:r>
            <w:r w:rsidRPr="00DC1116">
              <w:rPr>
                <w:noProof/>
                <w:webHidden/>
                <w:sz w:val="24"/>
                <w:szCs w:val="24"/>
              </w:rPr>
              <w:t>11</w:t>
            </w:r>
            <w:r w:rsidRPr="00DC1116">
              <w:rPr>
                <w:noProof/>
                <w:webHidden/>
                <w:sz w:val="24"/>
                <w:szCs w:val="24"/>
              </w:rPr>
              <w:fldChar w:fldCharType="end"/>
            </w:r>
          </w:hyperlink>
        </w:p>
        <w:p w14:paraId="2841DDC1" w14:textId="4E4651CC" w:rsidR="007D2467" w:rsidRPr="00DC1116" w:rsidRDefault="007D2467">
          <w:pPr>
            <w:pStyle w:val="TDC2"/>
            <w:tabs>
              <w:tab w:val="right" w:leader="dot" w:pos="8494"/>
            </w:tabs>
            <w:rPr>
              <w:noProof/>
              <w:sz w:val="24"/>
              <w:szCs w:val="24"/>
            </w:rPr>
          </w:pPr>
          <w:hyperlink w:anchor="_Toc224333134" w:history="1">
            <w:r w:rsidRPr="00DC1116">
              <w:rPr>
                <w:rStyle w:val="Hipervnculo"/>
                <w:rFonts w:eastAsia="Times New Roman"/>
                <w:noProof/>
                <w:sz w:val="24"/>
                <w:szCs w:val="24"/>
                <w:lang w:eastAsia="es-ES"/>
              </w:rPr>
              <w:t>2.3 Justificación de la investigación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_Toc224333134 \h </w:instrText>
            </w:r>
            <w:r w:rsidRPr="00DC1116">
              <w:rPr>
                <w:noProof/>
                <w:webHidden/>
                <w:sz w:val="24"/>
                <w:szCs w:val="24"/>
              </w:rPr>
            </w:r>
            <w:r w:rsidRPr="00DC1116">
              <w:rPr>
                <w:noProof/>
                <w:webHidden/>
                <w:sz w:val="24"/>
                <w:szCs w:val="24"/>
              </w:rPr>
              <w:fldChar w:fldCharType="separate"/>
            </w:r>
            <w:r w:rsidRPr="00DC1116">
              <w:rPr>
                <w:noProof/>
                <w:webHidden/>
                <w:sz w:val="24"/>
                <w:szCs w:val="24"/>
              </w:rPr>
              <w:t>13</w:t>
            </w:r>
            <w:r w:rsidRPr="00DC1116">
              <w:rPr>
                <w:noProof/>
                <w:webHidden/>
                <w:sz w:val="24"/>
                <w:szCs w:val="24"/>
              </w:rPr>
              <w:fldChar w:fldCharType="end"/>
            </w:r>
          </w:hyperlink>
        </w:p>
        <w:p w14:paraId="01E4ED9D" w14:textId="39DE93D2" w:rsidR="007D2467" w:rsidRPr="00DC1116" w:rsidRDefault="007D2467">
          <w:pPr>
            <w:pStyle w:val="TDC2"/>
            <w:tabs>
              <w:tab w:val="right" w:leader="dot" w:pos="8494"/>
            </w:tabs>
            <w:rPr>
              <w:noProof/>
              <w:sz w:val="24"/>
              <w:szCs w:val="24"/>
            </w:rPr>
          </w:pPr>
          <w:hyperlink w:anchor="_Toc224333135" w:history="1">
            <w:r w:rsidRPr="00DC1116">
              <w:rPr>
                <w:rStyle w:val="Hipervnculo"/>
                <w:rFonts w:eastAsia="Times New Roman"/>
                <w:noProof/>
                <w:sz w:val="24"/>
                <w:szCs w:val="24"/>
                <w:lang w:eastAsia="es-ES"/>
              </w:rPr>
              <w:t>2.4 Objetivos de investigación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_Toc224333135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467C51DD" w14:textId="7CF3806B" w:rsidR="007D2467" w:rsidRPr="00DC1116" w:rsidRDefault="007D2467">
          <w:pPr>
            <w:pStyle w:val="TDC3"/>
            <w:tabs>
              <w:tab w:val="right" w:leader="dot" w:pos="8494"/>
            </w:tabs>
            <w:rPr>
              <w:noProof/>
              <w:sz w:val="24"/>
              <w:szCs w:val="24"/>
            </w:rPr>
          </w:pPr>
          <w:hyperlink w:anchor="_Toc224333136" w:history="1">
            <w:r w:rsidRPr="00DC1116">
              <w:rPr>
                <w:rStyle w:val="Hipervnculo"/>
                <w:rFonts w:eastAsia="Times New Roman"/>
                <w:noProof/>
                <w:sz w:val="24"/>
                <w:szCs w:val="24"/>
                <w:lang w:eastAsia="es-ES"/>
              </w:rPr>
              <w:t>2.4.1 Objetivo general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_Toc224333136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2A5D5D1C" w14:textId="215FD528" w:rsidR="007D2467" w:rsidRPr="00DC1116" w:rsidRDefault="007D2467">
          <w:pPr>
            <w:pStyle w:val="TDC3"/>
            <w:tabs>
              <w:tab w:val="right" w:leader="dot" w:pos="8494"/>
            </w:tabs>
            <w:rPr>
              <w:noProof/>
              <w:sz w:val="24"/>
              <w:szCs w:val="24"/>
            </w:rPr>
          </w:pPr>
          <w:hyperlink w:anchor="_Toc224333137" w:history="1">
            <w:r w:rsidRPr="00DC1116">
              <w:rPr>
                <w:rStyle w:val="Hipervnculo"/>
                <w:rFonts w:eastAsia="Times New Roman"/>
                <w:noProof/>
                <w:sz w:val="24"/>
                <w:szCs w:val="24"/>
                <w:lang w:eastAsia="es-ES"/>
              </w:rPr>
              <w:t>2.4.2 Objetivos específicos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_Toc224333137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5AC9D323" w14:textId="189D5010"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38" w:history="1">
            <w:r w:rsidRPr="00DC1116">
              <w:rPr>
                <w:rStyle w:val="Hipervnculo"/>
                <w:rFonts w:eastAsia="Times New Roman"/>
                <w:noProof/>
                <w:sz w:val="24"/>
                <w:szCs w:val="24"/>
                <w:lang w:eastAsia="es-ES"/>
              </w:rPr>
              <w:t>3. Marco teórico</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_Toc224333138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0BB5C900" w14:textId="5664BBF7" w:rsidR="007D2467" w:rsidRPr="00DC1116" w:rsidRDefault="007D2467">
          <w:pPr>
            <w:pStyle w:val="TDC2"/>
            <w:tabs>
              <w:tab w:val="right" w:leader="dot" w:pos="8494"/>
            </w:tabs>
            <w:rPr>
              <w:noProof/>
              <w:sz w:val="24"/>
              <w:szCs w:val="24"/>
            </w:rPr>
          </w:pPr>
          <w:hyperlink w:anchor="_Toc224333139" w:history="1">
            <w:r w:rsidRPr="00DC1116">
              <w:rPr>
                <w:rStyle w:val="Hipervnculo"/>
                <w:rFonts w:eastAsia="Times New Roman"/>
                <w:noProof/>
                <w:sz w:val="24"/>
                <w:szCs w:val="24"/>
                <w:lang w:eastAsia="es-ES"/>
              </w:rPr>
              <w:t>3.1 Revictimización femenina en el contexto de la violencia sexual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_Toc224333139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57ECABF6" w14:textId="1D6175A0" w:rsidR="007D2467" w:rsidRPr="00DC1116" w:rsidRDefault="007D2467">
          <w:pPr>
            <w:pStyle w:val="TDC3"/>
            <w:tabs>
              <w:tab w:val="right" w:leader="dot" w:pos="8494"/>
            </w:tabs>
            <w:rPr>
              <w:noProof/>
              <w:sz w:val="24"/>
              <w:szCs w:val="24"/>
            </w:rPr>
          </w:pPr>
          <w:hyperlink w:anchor="_Toc224333140" w:history="1">
            <w:r w:rsidRPr="00DC1116">
              <w:rPr>
                <w:rStyle w:val="Hipervnculo"/>
                <w:rFonts w:eastAsia="Times New Roman"/>
                <w:noProof/>
                <w:sz w:val="24"/>
                <w:szCs w:val="24"/>
                <w:lang w:eastAsia="es-ES"/>
              </w:rPr>
              <w:t>3.1.1 Definición de revictimización y tipos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_Toc224333140 \h </w:instrText>
            </w:r>
            <w:r w:rsidRPr="00DC1116">
              <w:rPr>
                <w:noProof/>
                <w:webHidden/>
                <w:sz w:val="24"/>
                <w:szCs w:val="24"/>
              </w:rPr>
            </w:r>
            <w:r w:rsidRPr="00DC1116">
              <w:rPr>
                <w:noProof/>
                <w:webHidden/>
                <w:sz w:val="24"/>
                <w:szCs w:val="24"/>
              </w:rPr>
              <w:fldChar w:fldCharType="separate"/>
            </w:r>
            <w:r w:rsidRPr="00DC1116">
              <w:rPr>
                <w:noProof/>
                <w:webHidden/>
                <w:sz w:val="24"/>
                <w:szCs w:val="24"/>
              </w:rPr>
              <w:t>14</w:t>
            </w:r>
            <w:r w:rsidRPr="00DC1116">
              <w:rPr>
                <w:noProof/>
                <w:webHidden/>
                <w:sz w:val="24"/>
                <w:szCs w:val="24"/>
              </w:rPr>
              <w:fldChar w:fldCharType="end"/>
            </w:r>
          </w:hyperlink>
        </w:p>
        <w:p w14:paraId="2D8DE797" w14:textId="39E511CA" w:rsidR="007D2467" w:rsidRPr="00DC1116" w:rsidRDefault="007D2467">
          <w:pPr>
            <w:pStyle w:val="TDC3"/>
            <w:tabs>
              <w:tab w:val="right" w:leader="dot" w:pos="8494"/>
            </w:tabs>
            <w:rPr>
              <w:noProof/>
              <w:sz w:val="24"/>
              <w:szCs w:val="24"/>
            </w:rPr>
          </w:pPr>
          <w:hyperlink w:anchor="_Toc224333141" w:history="1">
            <w:r w:rsidRPr="00DC1116">
              <w:rPr>
                <w:rStyle w:val="Hipervnculo"/>
                <w:rFonts w:eastAsia="Times New Roman"/>
                <w:noProof/>
                <w:sz w:val="24"/>
                <w:szCs w:val="24"/>
                <w:lang w:eastAsia="es-ES"/>
              </w:rPr>
              <w:t>3.1.2 Perspectiva de género en criminología</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_Toc224333141 \h </w:instrText>
            </w:r>
            <w:r w:rsidRPr="00DC1116">
              <w:rPr>
                <w:noProof/>
                <w:webHidden/>
                <w:sz w:val="24"/>
                <w:szCs w:val="24"/>
              </w:rPr>
            </w:r>
            <w:r w:rsidRPr="00DC1116">
              <w:rPr>
                <w:noProof/>
                <w:webHidden/>
                <w:sz w:val="24"/>
                <w:szCs w:val="24"/>
              </w:rPr>
              <w:fldChar w:fldCharType="separate"/>
            </w:r>
            <w:r w:rsidRPr="00DC1116">
              <w:rPr>
                <w:noProof/>
                <w:webHidden/>
                <w:sz w:val="24"/>
                <w:szCs w:val="24"/>
              </w:rPr>
              <w:t>16</w:t>
            </w:r>
            <w:r w:rsidRPr="00DC1116">
              <w:rPr>
                <w:noProof/>
                <w:webHidden/>
                <w:sz w:val="24"/>
                <w:szCs w:val="24"/>
              </w:rPr>
              <w:fldChar w:fldCharType="end"/>
            </w:r>
          </w:hyperlink>
        </w:p>
        <w:p w14:paraId="37FA62EC" w14:textId="20BE4405" w:rsidR="007D2467" w:rsidRPr="00DC1116" w:rsidRDefault="007D2467">
          <w:pPr>
            <w:pStyle w:val="TDC3"/>
            <w:tabs>
              <w:tab w:val="right" w:leader="dot" w:pos="8494"/>
            </w:tabs>
            <w:rPr>
              <w:noProof/>
              <w:sz w:val="24"/>
              <w:szCs w:val="24"/>
            </w:rPr>
          </w:pPr>
          <w:hyperlink w:anchor="_Toc224333142" w:history="1">
            <w:r w:rsidRPr="00DC1116">
              <w:rPr>
                <w:rStyle w:val="Hipervnculo"/>
                <w:rFonts w:eastAsia="Times New Roman"/>
                <w:noProof/>
                <w:sz w:val="24"/>
                <w:szCs w:val="24"/>
                <w:lang w:eastAsia="es-ES"/>
              </w:rPr>
              <w:t>3.1.3 Definición de violencia sexual.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_Toc224333142 \h </w:instrText>
            </w:r>
            <w:r w:rsidRPr="00DC1116">
              <w:rPr>
                <w:noProof/>
                <w:webHidden/>
                <w:sz w:val="24"/>
                <w:szCs w:val="24"/>
              </w:rPr>
            </w:r>
            <w:r w:rsidRPr="00DC1116">
              <w:rPr>
                <w:noProof/>
                <w:webHidden/>
                <w:sz w:val="24"/>
                <w:szCs w:val="24"/>
              </w:rPr>
              <w:fldChar w:fldCharType="separate"/>
            </w:r>
            <w:r w:rsidRPr="00DC1116">
              <w:rPr>
                <w:noProof/>
                <w:webHidden/>
                <w:sz w:val="24"/>
                <w:szCs w:val="24"/>
              </w:rPr>
              <w:t>17</w:t>
            </w:r>
            <w:r w:rsidRPr="00DC1116">
              <w:rPr>
                <w:noProof/>
                <w:webHidden/>
                <w:sz w:val="24"/>
                <w:szCs w:val="24"/>
              </w:rPr>
              <w:fldChar w:fldCharType="end"/>
            </w:r>
          </w:hyperlink>
        </w:p>
        <w:p w14:paraId="1BB1D420" w14:textId="5B6A0E77" w:rsidR="007D2467" w:rsidRPr="00DC1116" w:rsidRDefault="007D2467">
          <w:pPr>
            <w:pStyle w:val="TDC3"/>
            <w:tabs>
              <w:tab w:val="right" w:leader="dot" w:pos="8494"/>
            </w:tabs>
            <w:rPr>
              <w:noProof/>
              <w:sz w:val="24"/>
              <w:szCs w:val="24"/>
            </w:rPr>
          </w:pPr>
          <w:hyperlink w:anchor="_Toc224333143" w:history="1">
            <w:r w:rsidRPr="00DC1116">
              <w:rPr>
                <w:rStyle w:val="Hipervnculo"/>
                <w:rFonts w:eastAsia="Times New Roman"/>
                <w:noProof/>
                <w:sz w:val="24"/>
                <w:szCs w:val="24"/>
                <w:lang w:eastAsia="es-ES"/>
              </w:rPr>
              <w:t>3.1.4 Procesos de revictimización.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_Toc224333143 \h </w:instrText>
            </w:r>
            <w:r w:rsidRPr="00DC1116">
              <w:rPr>
                <w:noProof/>
                <w:webHidden/>
                <w:sz w:val="24"/>
                <w:szCs w:val="24"/>
              </w:rPr>
            </w:r>
            <w:r w:rsidRPr="00DC1116">
              <w:rPr>
                <w:noProof/>
                <w:webHidden/>
                <w:sz w:val="24"/>
                <w:szCs w:val="24"/>
              </w:rPr>
              <w:fldChar w:fldCharType="separate"/>
            </w:r>
            <w:r w:rsidRPr="00DC1116">
              <w:rPr>
                <w:noProof/>
                <w:webHidden/>
                <w:sz w:val="24"/>
                <w:szCs w:val="24"/>
              </w:rPr>
              <w:t>20</w:t>
            </w:r>
            <w:r w:rsidRPr="00DC1116">
              <w:rPr>
                <w:noProof/>
                <w:webHidden/>
                <w:sz w:val="24"/>
                <w:szCs w:val="24"/>
              </w:rPr>
              <w:fldChar w:fldCharType="end"/>
            </w:r>
          </w:hyperlink>
        </w:p>
        <w:p w14:paraId="102381AE" w14:textId="072EDC33" w:rsidR="007D2467" w:rsidRPr="00DC1116" w:rsidRDefault="007D2467">
          <w:pPr>
            <w:pStyle w:val="TDC3"/>
            <w:tabs>
              <w:tab w:val="right" w:leader="dot" w:pos="8494"/>
            </w:tabs>
            <w:rPr>
              <w:noProof/>
              <w:sz w:val="24"/>
              <w:szCs w:val="24"/>
            </w:rPr>
          </w:pPr>
          <w:hyperlink w:anchor="_Toc224333144" w:history="1">
            <w:r w:rsidRPr="00DC1116">
              <w:rPr>
                <w:rStyle w:val="Hipervnculo"/>
                <w:rFonts w:eastAsia="Times New Roman"/>
                <w:noProof/>
                <w:sz w:val="24"/>
                <w:szCs w:val="24"/>
                <w:lang w:eastAsia="es-ES"/>
              </w:rPr>
              <w:t>3.1.5 Estudios previos sobre revictimización en el sistema judicial y medios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_Toc224333144 \h </w:instrText>
            </w:r>
            <w:r w:rsidRPr="00DC1116">
              <w:rPr>
                <w:noProof/>
                <w:webHidden/>
                <w:sz w:val="24"/>
                <w:szCs w:val="24"/>
              </w:rPr>
            </w:r>
            <w:r w:rsidRPr="00DC1116">
              <w:rPr>
                <w:noProof/>
                <w:webHidden/>
                <w:sz w:val="24"/>
                <w:szCs w:val="24"/>
              </w:rPr>
              <w:fldChar w:fldCharType="separate"/>
            </w:r>
            <w:r w:rsidRPr="00DC1116">
              <w:rPr>
                <w:noProof/>
                <w:webHidden/>
                <w:sz w:val="24"/>
                <w:szCs w:val="24"/>
              </w:rPr>
              <w:t>21</w:t>
            </w:r>
            <w:r w:rsidRPr="00DC1116">
              <w:rPr>
                <w:noProof/>
                <w:webHidden/>
                <w:sz w:val="24"/>
                <w:szCs w:val="24"/>
              </w:rPr>
              <w:fldChar w:fldCharType="end"/>
            </w:r>
          </w:hyperlink>
        </w:p>
        <w:p w14:paraId="3D32B093" w14:textId="55813A00" w:rsidR="007D2467" w:rsidRPr="00DC1116" w:rsidRDefault="007D2467">
          <w:pPr>
            <w:pStyle w:val="TDC3"/>
            <w:tabs>
              <w:tab w:val="right" w:leader="dot" w:pos="8494"/>
            </w:tabs>
            <w:rPr>
              <w:noProof/>
              <w:sz w:val="24"/>
              <w:szCs w:val="24"/>
            </w:rPr>
          </w:pPr>
          <w:hyperlink w:anchor="_Toc224333145" w:history="1">
            <w:r w:rsidRPr="00DC1116">
              <w:rPr>
                <w:rStyle w:val="Hipervnculo"/>
                <w:noProof/>
                <w:sz w:val="24"/>
                <w:szCs w:val="24"/>
              </w:rPr>
              <w:t>3.1.6 Teorías criminológicas sobre la victimización y revictimización en delitos de</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_Toc224333145 \h </w:instrText>
            </w:r>
            <w:r w:rsidRPr="00DC1116">
              <w:rPr>
                <w:noProof/>
                <w:webHidden/>
                <w:sz w:val="24"/>
                <w:szCs w:val="24"/>
              </w:rPr>
            </w:r>
            <w:r w:rsidRPr="00DC1116">
              <w:rPr>
                <w:noProof/>
                <w:webHidden/>
                <w:sz w:val="24"/>
                <w:szCs w:val="24"/>
              </w:rPr>
              <w:fldChar w:fldCharType="separate"/>
            </w:r>
            <w:r w:rsidRPr="00DC1116">
              <w:rPr>
                <w:noProof/>
                <w:webHidden/>
                <w:sz w:val="24"/>
                <w:szCs w:val="24"/>
              </w:rPr>
              <w:t>23</w:t>
            </w:r>
            <w:r w:rsidRPr="00DC1116">
              <w:rPr>
                <w:noProof/>
                <w:webHidden/>
                <w:sz w:val="24"/>
                <w:szCs w:val="24"/>
              </w:rPr>
              <w:fldChar w:fldCharType="end"/>
            </w:r>
          </w:hyperlink>
        </w:p>
        <w:p w14:paraId="5CACD25D" w14:textId="2ABA81B9" w:rsidR="007D2467" w:rsidRPr="00DC1116" w:rsidRDefault="007D2467">
          <w:pPr>
            <w:pStyle w:val="TDC2"/>
            <w:tabs>
              <w:tab w:val="right" w:leader="dot" w:pos="8494"/>
            </w:tabs>
            <w:rPr>
              <w:noProof/>
              <w:sz w:val="24"/>
              <w:szCs w:val="24"/>
            </w:rPr>
          </w:pPr>
          <w:hyperlink w:anchor="_Toc224333146" w:history="1">
            <w:r w:rsidRPr="00DC1116">
              <w:rPr>
                <w:rStyle w:val="Hipervnculo"/>
                <w:noProof/>
                <w:sz w:val="24"/>
                <w:szCs w:val="24"/>
              </w:rPr>
              <w:t>3.2 Medios digitales en la construcción de narrativas criminológicas sobre las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_Toc224333146 \h </w:instrText>
            </w:r>
            <w:r w:rsidRPr="00DC1116">
              <w:rPr>
                <w:noProof/>
                <w:webHidden/>
                <w:sz w:val="24"/>
                <w:szCs w:val="24"/>
              </w:rPr>
            </w:r>
            <w:r w:rsidRPr="00DC1116">
              <w:rPr>
                <w:noProof/>
                <w:webHidden/>
                <w:sz w:val="24"/>
                <w:szCs w:val="24"/>
              </w:rPr>
              <w:fldChar w:fldCharType="separate"/>
            </w:r>
            <w:r w:rsidRPr="00DC1116">
              <w:rPr>
                <w:noProof/>
                <w:webHidden/>
                <w:sz w:val="24"/>
                <w:szCs w:val="24"/>
              </w:rPr>
              <w:t>24</w:t>
            </w:r>
            <w:r w:rsidRPr="00DC1116">
              <w:rPr>
                <w:noProof/>
                <w:webHidden/>
                <w:sz w:val="24"/>
                <w:szCs w:val="24"/>
              </w:rPr>
              <w:fldChar w:fldCharType="end"/>
            </w:r>
          </w:hyperlink>
        </w:p>
        <w:p w14:paraId="6D0F2741" w14:textId="78AF6C08" w:rsidR="007D2467" w:rsidRPr="00DC1116" w:rsidRDefault="007D2467">
          <w:pPr>
            <w:pStyle w:val="TDC3"/>
            <w:tabs>
              <w:tab w:val="right" w:leader="dot" w:pos="8494"/>
            </w:tabs>
            <w:rPr>
              <w:noProof/>
              <w:sz w:val="24"/>
              <w:szCs w:val="24"/>
            </w:rPr>
          </w:pPr>
          <w:hyperlink w:anchor="_Toc224333147" w:history="1">
            <w:r w:rsidRPr="00DC1116">
              <w:rPr>
                <w:rStyle w:val="Hipervnculo"/>
                <w:rFonts w:eastAsia="Times New Roman"/>
                <w:noProof/>
                <w:sz w:val="24"/>
                <w:szCs w:val="24"/>
                <w:lang w:eastAsia="es-ES"/>
              </w:rPr>
              <w:t>3.2.1 Criminología mediática: concepto</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_Toc224333147 \h </w:instrText>
            </w:r>
            <w:r w:rsidRPr="00DC1116">
              <w:rPr>
                <w:noProof/>
                <w:webHidden/>
                <w:sz w:val="24"/>
                <w:szCs w:val="24"/>
              </w:rPr>
            </w:r>
            <w:r w:rsidRPr="00DC1116">
              <w:rPr>
                <w:noProof/>
                <w:webHidden/>
                <w:sz w:val="24"/>
                <w:szCs w:val="24"/>
              </w:rPr>
              <w:fldChar w:fldCharType="separate"/>
            </w:r>
            <w:r w:rsidRPr="00DC1116">
              <w:rPr>
                <w:noProof/>
                <w:webHidden/>
                <w:sz w:val="24"/>
                <w:szCs w:val="24"/>
              </w:rPr>
              <w:t>24</w:t>
            </w:r>
            <w:r w:rsidRPr="00DC1116">
              <w:rPr>
                <w:noProof/>
                <w:webHidden/>
                <w:sz w:val="24"/>
                <w:szCs w:val="24"/>
              </w:rPr>
              <w:fldChar w:fldCharType="end"/>
            </w:r>
          </w:hyperlink>
        </w:p>
        <w:p w14:paraId="7961D0E9" w14:textId="62BF1CDE" w:rsidR="007D2467" w:rsidRPr="00DC1116" w:rsidRDefault="007D2467">
          <w:pPr>
            <w:pStyle w:val="TDC3"/>
            <w:tabs>
              <w:tab w:val="right" w:leader="dot" w:pos="8494"/>
            </w:tabs>
            <w:rPr>
              <w:noProof/>
              <w:sz w:val="24"/>
              <w:szCs w:val="24"/>
            </w:rPr>
          </w:pPr>
          <w:hyperlink w:anchor="_Toc224333148" w:history="1">
            <w:r w:rsidRPr="00DC1116">
              <w:rPr>
                <w:rStyle w:val="Hipervnculo"/>
                <w:rFonts w:eastAsia="Times New Roman"/>
                <w:noProof/>
                <w:sz w:val="24"/>
                <w:szCs w:val="24"/>
                <w:lang w:eastAsia="es-ES"/>
              </w:rPr>
              <w:t>3.2.2 Medios digitales como agentes de construcción simbólica.</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_Toc224333148 \h </w:instrText>
            </w:r>
            <w:r w:rsidRPr="00DC1116">
              <w:rPr>
                <w:noProof/>
                <w:webHidden/>
                <w:sz w:val="24"/>
                <w:szCs w:val="24"/>
              </w:rPr>
            </w:r>
            <w:r w:rsidRPr="00DC1116">
              <w:rPr>
                <w:noProof/>
                <w:webHidden/>
                <w:sz w:val="24"/>
                <w:szCs w:val="24"/>
              </w:rPr>
              <w:fldChar w:fldCharType="separate"/>
            </w:r>
            <w:r w:rsidRPr="00DC1116">
              <w:rPr>
                <w:noProof/>
                <w:webHidden/>
                <w:sz w:val="24"/>
                <w:szCs w:val="24"/>
              </w:rPr>
              <w:t>25</w:t>
            </w:r>
            <w:r w:rsidRPr="00DC1116">
              <w:rPr>
                <w:noProof/>
                <w:webHidden/>
                <w:sz w:val="24"/>
                <w:szCs w:val="24"/>
              </w:rPr>
              <w:fldChar w:fldCharType="end"/>
            </w:r>
          </w:hyperlink>
        </w:p>
        <w:p w14:paraId="389874DA" w14:textId="57B42794" w:rsidR="007D2467" w:rsidRPr="00DC1116" w:rsidRDefault="007D2467">
          <w:pPr>
            <w:pStyle w:val="TDC3"/>
            <w:tabs>
              <w:tab w:val="right" w:leader="dot" w:pos="8494"/>
            </w:tabs>
            <w:rPr>
              <w:noProof/>
              <w:sz w:val="24"/>
              <w:szCs w:val="24"/>
            </w:rPr>
          </w:pPr>
          <w:hyperlink w:anchor="_Toc224333149" w:history="1">
            <w:r w:rsidRPr="00DC1116">
              <w:rPr>
                <w:rStyle w:val="Hipervnculo"/>
                <w:rFonts w:eastAsia="Times New Roman"/>
                <w:bCs/>
                <w:noProof/>
                <w:sz w:val="24"/>
                <w:szCs w:val="24"/>
                <w:lang w:eastAsia="es-ES"/>
              </w:rPr>
              <w:t xml:space="preserve">3.2.4 </w:t>
            </w:r>
            <w:r w:rsidRPr="00DC1116">
              <w:rPr>
                <w:rStyle w:val="Hipervnculo"/>
                <w:rFonts w:eastAsia="Times New Roman"/>
                <w:noProof/>
                <w:sz w:val="24"/>
                <w:szCs w:val="24"/>
                <w:lang w:eastAsia="es-ES"/>
              </w:rPr>
              <w:t>Victimización secundaria en casos de agresión sexual en entornos digitales.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_Toc224333149 \h </w:instrText>
            </w:r>
            <w:r w:rsidRPr="00DC1116">
              <w:rPr>
                <w:noProof/>
                <w:webHidden/>
                <w:sz w:val="24"/>
                <w:szCs w:val="24"/>
              </w:rPr>
            </w:r>
            <w:r w:rsidRPr="00DC1116">
              <w:rPr>
                <w:noProof/>
                <w:webHidden/>
                <w:sz w:val="24"/>
                <w:szCs w:val="24"/>
              </w:rPr>
              <w:fldChar w:fldCharType="separate"/>
            </w:r>
            <w:r w:rsidRPr="00DC1116">
              <w:rPr>
                <w:noProof/>
                <w:webHidden/>
                <w:sz w:val="24"/>
                <w:szCs w:val="24"/>
              </w:rPr>
              <w:t>27</w:t>
            </w:r>
            <w:r w:rsidRPr="00DC1116">
              <w:rPr>
                <w:noProof/>
                <w:webHidden/>
                <w:sz w:val="24"/>
                <w:szCs w:val="24"/>
              </w:rPr>
              <w:fldChar w:fldCharType="end"/>
            </w:r>
          </w:hyperlink>
        </w:p>
        <w:p w14:paraId="4BC7B2ED" w14:textId="248083CE" w:rsidR="007D2467" w:rsidRPr="00DC1116" w:rsidRDefault="007D2467">
          <w:pPr>
            <w:pStyle w:val="TDC2"/>
            <w:tabs>
              <w:tab w:val="right" w:leader="dot" w:pos="8494"/>
            </w:tabs>
            <w:rPr>
              <w:noProof/>
              <w:sz w:val="24"/>
              <w:szCs w:val="24"/>
            </w:rPr>
          </w:pPr>
          <w:hyperlink w:anchor="_Toc224333150" w:history="1">
            <w:r w:rsidRPr="00DC1116">
              <w:rPr>
                <w:rStyle w:val="Hipervnculo"/>
                <w:rFonts w:eastAsia="Times New Roman"/>
                <w:noProof/>
                <w:sz w:val="24"/>
                <w:szCs w:val="24"/>
                <w:lang w:eastAsia="es-ES"/>
              </w:rPr>
              <w:t>3.3 Tratamiento mediático que contribuyen a la revictimización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_Toc224333150 \h </w:instrText>
            </w:r>
            <w:r w:rsidRPr="00DC1116">
              <w:rPr>
                <w:noProof/>
                <w:webHidden/>
                <w:sz w:val="24"/>
                <w:szCs w:val="24"/>
              </w:rPr>
            </w:r>
            <w:r w:rsidRPr="00DC1116">
              <w:rPr>
                <w:noProof/>
                <w:webHidden/>
                <w:sz w:val="24"/>
                <w:szCs w:val="24"/>
              </w:rPr>
              <w:fldChar w:fldCharType="separate"/>
            </w:r>
            <w:r w:rsidRPr="00DC1116">
              <w:rPr>
                <w:noProof/>
                <w:webHidden/>
                <w:sz w:val="24"/>
                <w:szCs w:val="24"/>
              </w:rPr>
              <w:t>28</w:t>
            </w:r>
            <w:r w:rsidRPr="00DC1116">
              <w:rPr>
                <w:noProof/>
                <w:webHidden/>
                <w:sz w:val="24"/>
                <w:szCs w:val="24"/>
              </w:rPr>
              <w:fldChar w:fldCharType="end"/>
            </w:r>
          </w:hyperlink>
        </w:p>
        <w:p w14:paraId="4727FEDF" w14:textId="39FCDF4D" w:rsidR="007D2467" w:rsidRPr="00DC1116" w:rsidRDefault="007D2467">
          <w:pPr>
            <w:pStyle w:val="TDC3"/>
            <w:tabs>
              <w:tab w:val="right" w:leader="dot" w:pos="8494"/>
            </w:tabs>
            <w:rPr>
              <w:noProof/>
              <w:sz w:val="24"/>
              <w:szCs w:val="24"/>
            </w:rPr>
          </w:pPr>
          <w:hyperlink w:anchor="_Toc224333151" w:history="1">
            <w:r w:rsidRPr="00DC1116">
              <w:rPr>
                <w:rStyle w:val="Hipervnculo"/>
                <w:rFonts w:eastAsia="Times New Roman"/>
                <w:noProof/>
                <w:sz w:val="24"/>
                <w:szCs w:val="24"/>
                <w:lang w:eastAsia="es-ES"/>
              </w:rPr>
              <w:t>3.3.1 Análisis del discurso mediático.</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_Toc224333151 \h </w:instrText>
            </w:r>
            <w:r w:rsidRPr="00DC1116">
              <w:rPr>
                <w:noProof/>
                <w:webHidden/>
                <w:sz w:val="24"/>
                <w:szCs w:val="24"/>
              </w:rPr>
            </w:r>
            <w:r w:rsidRPr="00DC1116">
              <w:rPr>
                <w:noProof/>
                <w:webHidden/>
                <w:sz w:val="24"/>
                <w:szCs w:val="24"/>
              </w:rPr>
              <w:fldChar w:fldCharType="separate"/>
            </w:r>
            <w:r w:rsidRPr="00DC1116">
              <w:rPr>
                <w:noProof/>
                <w:webHidden/>
                <w:sz w:val="24"/>
                <w:szCs w:val="24"/>
              </w:rPr>
              <w:t>28</w:t>
            </w:r>
            <w:r w:rsidRPr="00DC1116">
              <w:rPr>
                <w:noProof/>
                <w:webHidden/>
                <w:sz w:val="24"/>
                <w:szCs w:val="24"/>
              </w:rPr>
              <w:fldChar w:fldCharType="end"/>
            </w:r>
          </w:hyperlink>
        </w:p>
        <w:p w14:paraId="64698382" w14:textId="2AFF0A34" w:rsidR="007D2467" w:rsidRPr="00DC1116" w:rsidRDefault="007D2467">
          <w:pPr>
            <w:pStyle w:val="TDC3"/>
            <w:tabs>
              <w:tab w:val="right" w:leader="dot" w:pos="8494"/>
            </w:tabs>
            <w:rPr>
              <w:noProof/>
              <w:sz w:val="24"/>
              <w:szCs w:val="24"/>
            </w:rPr>
          </w:pPr>
          <w:hyperlink w:anchor="_Toc224333152" w:history="1">
            <w:r w:rsidRPr="00DC1116">
              <w:rPr>
                <w:rStyle w:val="Hipervnculo"/>
                <w:rFonts w:eastAsia="Times New Roman"/>
                <w:noProof/>
                <w:sz w:val="24"/>
                <w:szCs w:val="24"/>
                <w:lang w:eastAsia="es-ES"/>
              </w:rPr>
              <w:t>3.3.2 Características de la comunicación digital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_Toc224333152 \h </w:instrText>
            </w:r>
            <w:r w:rsidRPr="00DC1116">
              <w:rPr>
                <w:noProof/>
                <w:webHidden/>
                <w:sz w:val="24"/>
                <w:szCs w:val="24"/>
              </w:rPr>
            </w:r>
            <w:r w:rsidRPr="00DC1116">
              <w:rPr>
                <w:noProof/>
                <w:webHidden/>
                <w:sz w:val="24"/>
                <w:szCs w:val="24"/>
              </w:rPr>
              <w:fldChar w:fldCharType="separate"/>
            </w:r>
            <w:r w:rsidRPr="00DC1116">
              <w:rPr>
                <w:noProof/>
                <w:webHidden/>
                <w:sz w:val="24"/>
                <w:szCs w:val="24"/>
              </w:rPr>
              <w:t>31</w:t>
            </w:r>
            <w:r w:rsidRPr="00DC1116">
              <w:rPr>
                <w:noProof/>
                <w:webHidden/>
                <w:sz w:val="24"/>
                <w:szCs w:val="24"/>
              </w:rPr>
              <w:fldChar w:fldCharType="end"/>
            </w:r>
          </w:hyperlink>
        </w:p>
        <w:p w14:paraId="3EE6EB8B" w14:textId="7F9F3F48" w:rsidR="007D2467" w:rsidRPr="00DC1116" w:rsidRDefault="007D2467">
          <w:pPr>
            <w:pStyle w:val="TDC3"/>
            <w:tabs>
              <w:tab w:val="right" w:leader="dot" w:pos="8494"/>
            </w:tabs>
            <w:rPr>
              <w:noProof/>
              <w:sz w:val="24"/>
              <w:szCs w:val="24"/>
            </w:rPr>
          </w:pPr>
          <w:hyperlink w:anchor="_Toc224333153" w:history="1">
            <w:r w:rsidRPr="00DC1116">
              <w:rPr>
                <w:rStyle w:val="Hipervnculo"/>
                <w:rFonts w:eastAsia="Times New Roman"/>
                <w:noProof/>
                <w:sz w:val="24"/>
                <w:szCs w:val="24"/>
                <w:lang w:eastAsia="es-ES"/>
              </w:rPr>
              <w:t>3.3.3 Estereotipos y sesgos en la representación de víctimas.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_Toc224333153 \h </w:instrText>
            </w:r>
            <w:r w:rsidRPr="00DC1116">
              <w:rPr>
                <w:noProof/>
                <w:webHidden/>
                <w:sz w:val="24"/>
                <w:szCs w:val="24"/>
              </w:rPr>
            </w:r>
            <w:r w:rsidRPr="00DC1116">
              <w:rPr>
                <w:noProof/>
                <w:webHidden/>
                <w:sz w:val="24"/>
                <w:szCs w:val="24"/>
              </w:rPr>
              <w:fldChar w:fldCharType="separate"/>
            </w:r>
            <w:r w:rsidRPr="00DC1116">
              <w:rPr>
                <w:noProof/>
                <w:webHidden/>
                <w:sz w:val="24"/>
                <w:szCs w:val="24"/>
              </w:rPr>
              <w:t>33</w:t>
            </w:r>
            <w:r w:rsidRPr="00DC1116">
              <w:rPr>
                <w:noProof/>
                <w:webHidden/>
                <w:sz w:val="24"/>
                <w:szCs w:val="24"/>
              </w:rPr>
              <w:fldChar w:fldCharType="end"/>
            </w:r>
          </w:hyperlink>
        </w:p>
        <w:p w14:paraId="3BE6FAC1" w14:textId="40B0FAE5" w:rsidR="007D2467" w:rsidRPr="00DC1116" w:rsidRDefault="007D2467">
          <w:pPr>
            <w:pStyle w:val="TDC2"/>
            <w:tabs>
              <w:tab w:val="right" w:leader="dot" w:pos="8494"/>
            </w:tabs>
            <w:rPr>
              <w:noProof/>
              <w:sz w:val="24"/>
              <w:szCs w:val="24"/>
            </w:rPr>
          </w:pPr>
          <w:hyperlink w:anchor="_Toc224333154" w:history="1">
            <w:r w:rsidRPr="00DC1116">
              <w:rPr>
                <w:rStyle w:val="Hipervnculo"/>
                <w:noProof/>
                <w:sz w:val="24"/>
                <w:szCs w:val="24"/>
              </w:rPr>
              <w:t>3.4   Impacto social y psicológico de la criminología mediática en las víctimas de</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_Toc224333154 \h </w:instrText>
            </w:r>
            <w:r w:rsidRPr="00DC1116">
              <w:rPr>
                <w:noProof/>
                <w:webHidden/>
                <w:sz w:val="24"/>
                <w:szCs w:val="24"/>
              </w:rPr>
            </w:r>
            <w:r w:rsidRPr="00DC1116">
              <w:rPr>
                <w:noProof/>
                <w:webHidden/>
                <w:sz w:val="24"/>
                <w:szCs w:val="24"/>
              </w:rPr>
              <w:fldChar w:fldCharType="separate"/>
            </w:r>
            <w:r w:rsidRPr="00DC1116">
              <w:rPr>
                <w:noProof/>
                <w:webHidden/>
                <w:sz w:val="24"/>
                <w:szCs w:val="24"/>
              </w:rPr>
              <w:t>35</w:t>
            </w:r>
            <w:r w:rsidRPr="00DC1116">
              <w:rPr>
                <w:noProof/>
                <w:webHidden/>
                <w:sz w:val="24"/>
                <w:szCs w:val="24"/>
              </w:rPr>
              <w:fldChar w:fldCharType="end"/>
            </w:r>
          </w:hyperlink>
        </w:p>
        <w:p w14:paraId="272E8DFD" w14:textId="73B19DBE" w:rsidR="007D2467" w:rsidRPr="00DC1116" w:rsidRDefault="007D2467">
          <w:pPr>
            <w:pStyle w:val="TDC3"/>
            <w:tabs>
              <w:tab w:val="right" w:leader="dot" w:pos="8494"/>
            </w:tabs>
            <w:rPr>
              <w:noProof/>
              <w:sz w:val="24"/>
              <w:szCs w:val="24"/>
            </w:rPr>
          </w:pPr>
          <w:hyperlink w:anchor="_Toc224333155" w:history="1">
            <w:r w:rsidRPr="00DC1116">
              <w:rPr>
                <w:rStyle w:val="Hipervnculo"/>
                <w:rFonts w:eastAsia="Times New Roman"/>
                <w:noProof/>
                <w:sz w:val="24"/>
                <w:szCs w:val="24"/>
                <w:lang w:val="es-ES_tradnl" w:eastAsia="es-ES"/>
              </w:rPr>
              <w:t xml:space="preserve">3.4.1 </w:t>
            </w:r>
            <w:r w:rsidRPr="00DC1116">
              <w:rPr>
                <w:rStyle w:val="Hipervnculo"/>
                <w:rFonts w:eastAsia="Times New Roman"/>
                <w:noProof/>
                <w:sz w:val="24"/>
                <w:szCs w:val="24"/>
                <w:lang w:eastAsia="es-ES"/>
              </w:rPr>
              <w:t>Consecuencias de la exposición mediática en víctimas.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_Toc224333155 \h </w:instrText>
            </w:r>
            <w:r w:rsidRPr="00DC1116">
              <w:rPr>
                <w:noProof/>
                <w:webHidden/>
                <w:sz w:val="24"/>
                <w:szCs w:val="24"/>
              </w:rPr>
            </w:r>
            <w:r w:rsidRPr="00DC1116">
              <w:rPr>
                <w:noProof/>
                <w:webHidden/>
                <w:sz w:val="24"/>
                <w:szCs w:val="24"/>
              </w:rPr>
              <w:fldChar w:fldCharType="separate"/>
            </w:r>
            <w:r w:rsidRPr="00DC1116">
              <w:rPr>
                <w:noProof/>
                <w:webHidden/>
                <w:sz w:val="24"/>
                <w:szCs w:val="24"/>
              </w:rPr>
              <w:t>35</w:t>
            </w:r>
            <w:r w:rsidRPr="00DC1116">
              <w:rPr>
                <w:noProof/>
                <w:webHidden/>
                <w:sz w:val="24"/>
                <w:szCs w:val="24"/>
              </w:rPr>
              <w:fldChar w:fldCharType="end"/>
            </w:r>
          </w:hyperlink>
        </w:p>
        <w:p w14:paraId="4009EE83" w14:textId="381E4369" w:rsidR="007D2467" w:rsidRPr="00DC1116" w:rsidRDefault="007D2467">
          <w:pPr>
            <w:pStyle w:val="TDC3"/>
            <w:tabs>
              <w:tab w:val="right" w:leader="dot" w:pos="8494"/>
            </w:tabs>
            <w:rPr>
              <w:noProof/>
              <w:sz w:val="24"/>
              <w:szCs w:val="24"/>
            </w:rPr>
          </w:pPr>
          <w:hyperlink w:anchor="_Toc224333156" w:history="1">
            <w:r w:rsidRPr="00DC1116">
              <w:rPr>
                <w:rStyle w:val="Hipervnculo"/>
                <w:rFonts w:eastAsia="Times New Roman"/>
                <w:noProof/>
                <w:sz w:val="24"/>
                <w:szCs w:val="24"/>
                <w:lang w:eastAsia="es-ES"/>
              </w:rPr>
              <w:t>3.4.2 Reacciones sociales ante la revictimización en el mundo digital.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_Toc224333156 \h </w:instrText>
            </w:r>
            <w:r w:rsidRPr="00DC1116">
              <w:rPr>
                <w:noProof/>
                <w:webHidden/>
                <w:sz w:val="24"/>
                <w:szCs w:val="24"/>
              </w:rPr>
            </w:r>
            <w:r w:rsidRPr="00DC1116">
              <w:rPr>
                <w:noProof/>
                <w:webHidden/>
                <w:sz w:val="24"/>
                <w:szCs w:val="24"/>
              </w:rPr>
              <w:fldChar w:fldCharType="separate"/>
            </w:r>
            <w:r w:rsidRPr="00DC1116">
              <w:rPr>
                <w:noProof/>
                <w:webHidden/>
                <w:sz w:val="24"/>
                <w:szCs w:val="24"/>
              </w:rPr>
              <w:t>36</w:t>
            </w:r>
            <w:r w:rsidRPr="00DC1116">
              <w:rPr>
                <w:noProof/>
                <w:webHidden/>
                <w:sz w:val="24"/>
                <w:szCs w:val="24"/>
              </w:rPr>
              <w:fldChar w:fldCharType="end"/>
            </w:r>
          </w:hyperlink>
        </w:p>
        <w:p w14:paraId="580FFBFE" w14:textId="178D49FB" w:rsidR="007D2467" w:rsidRPr="00DC1116" w:rsidRDefault="007D2467">
          <w:pPr>
            <w:pStyle w:val="TDC2"/>
            <w:tabs>
              <w:tab w:val="right" w:leader="dot" w:pos="8494"/>
            </w:tabs>
            <w:rPr>
              <w:noProof/>
              <w:sz w:val="24"/>
              <w:szCs w:val="24"/>
            </w:rPr>
          </w:pPr>
          <w:hyperlink w:anchor="_Toc224333157" w:history="1">
            <w:r w:rsidRPr="00DC1116">
              <w:rPr>
                <w:rStyle w:val="Hipervnculo"/>
                <w:rFonts w:eastAsia="Times New Roman"/>
                <w:noProof/>
                <w:sz w:val="24"/>
                <w:szCs w:val="24"/>
                <w:lang w:eastAsia="es-ES"/>
              </w:rPr>
              <w:t>3.5 Políticas públicas sobre el tratamiento mediático de la violencia sexual</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_Toc224333157 \h </w:instrText>
            </w:r>
            <w:r w:rsidRPr="00DC1116">
              <w:rPr>
                <w:noProof/>
                <w:webHidden/>
                <w:sz w:val="24"/>
                <w:szCs w:val="24"/>
              </w:rPr>
            </w:r>
            <w:r w:rsidRPr="00DC1116">
              <w:rPr>
                <w:noProof/>
                <w:webHidden/>
                <w:sz w:val="24"/>
                <w:szCs w:val="24"/>
              </w:rPr>
              <w:fldChar w:fldCharType="separate"/>
            </w:r>
            <w:r w:rsidRPr="00DC1116">
              <w:rPr>
                <w:noProof/>
                <w:webHidden/>
                <w:sz w:val="24"/>
                <w:szCs w:val="24"/>
              </w:rPr>
              <w:t>38</w:t>
            </w:r>
            <w:r w:rsidRPr="00DC1116">
              <w:rPr>
                <w:noProof/>
                <w:webHidden/>
                <w:sz w:val="24"/>
                <w:szCs w:val="24"/>
              </w:rPr>
              <w:fldChar w:fldCharType="end"/>
            </w:r>
          </w:hyperlink>
        </w:p>
        <w:p w14:paraId="78432865" w14:textId="37FE079E" w:rsidR="007D2467" w:rsidRPr="00DC1116" w:rsidRDefault="007D2467">
          <w:pPr>
            <w:pStyle w:val="TDC3"/>
            <w:tabs>
              <w:tab w:val="right" w:leader="dot" w:pos="8494"/>
            </w:tabs>
            <w:rPr>
              <w:noProof/>
              <w:sz w:val="24"/>
              <w:szCs w:val="24"/>
            </w:rPr>
          </w:pPr>
          <w:hyperlink w:anchor="_Toc224333158" w:history="1">
            <w:r w:rsidRPr="00DC1116">
              <w:rPr>
                <w:rStyle w:val="Hipervnculo"/>
                <w:rFonts w:eastAsia="Times New Roman"/>
                <w:noProof/>
                <w:sz w:val="24"/>
                <w:szCs w:val="24"/>
                <w:lang w:eastAsia="es-ES"/>
              </w:rPr>
              <w:t>3.5.1 Legislación sobre violencia de género y protección de víctimas.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_Toc224333158 \h </w:instrText>
            </w:r>
            <w:r w:rsidRPr="00DC1116">
              <w:rPr>
                <w:noProof/>
                <w:webHidden/>
                <w:sz w:val="24"/>
                <w:szCs w:val="24"/>
              </w:rPr>
            </w:r>
            <w:r w:rsidRPr="00DC1116">
              <w:rPr>
                <w:noProof/>
                <w:webHidden/>
                <w:sz w:val="24"/>
                <w:szCs w:val="24"/>
              </w:rPr>
              <w:fldChar w:fldCharType="separate"/>
            </w:r>
            <w:r w:rsidRPr="00DC1116">
              <w:rPr>
                <w:noProof/>
                <w:webHidden/>
                <w:sz w:val="24"/>
                <w:szCs w:val="24"/>
              </w:rPr>
              <w:t>38</w:t>
            </w:r>
            <w:r w:rsidRPr="00DC1116">
              <w:rPr>
                <w:noProof/>
                <w:webHidden/>
                <w:sz w:val="24"/>
                <w:szCs w:val="24"/>
              </w:rPr>
              <w:fldChar w:fldCharType="end"/>
            </w:r>
          </w:hyperlink>
        </w:p>
        <w:p w14:paraId="4371A4D3" w14:textId="1F9BAD78" w:rsidR="007D2467" w:rsidRPr="00DC1116" w:rsidRDefault="007D2467">
          <w:pPr>
            <w:pStyle w:val="TDC3"/>
            <w:tabs>
              <w:tab w:val="right" w:leader="dot" w:pos="8494"/>
            </w:tabs>
            <w:rPr>
              <w:noProof/>
              <w:sz w:val="24"/>
              <w:szCs w:val="24"/>
            </w:rPr>
          </w:pPr>
          <w:hyperlink w:anchor="_Toc224333159" w:history="1">
            <w:r w:rsidRPr="00DC1116">
              <w:rPr>
                <w:rStyle w:val="Hipervnculo"/>
                <w:noProof/>
                <w:sz w:val="24"/>
                <w:szCs w:val="24"/>
              </w:rPr>
              <w:t>3.5.2 Protocolos de actuación para medios de comunicación.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_Toc224333159 \h </w:instrText>
            </w:r>
            <w:r w:rsidRPr="00DC1116">
              <w:rPr>
                <w:noProof/>
                <w:webHidden/>
                <w:sz w:val="24"/>
                <w:szCs w:val="24"/>
              </w:rPr>
            </w:r>
            <w:r w:rsidRPr="00DC1116">
              <w:rPr>
                <w:noProof/>
                <w:webHidden/>
                <w:sz w:val="24"/>
                <w:szCs w:val="24"/>
              </w:rPr>
              <w:fldChar w:fldCharType="separate"/>
            </w:r>
            <w:r w:rsidRPr="00DC1116">
              <w:rPr>
                <w:noProof/>
                <w:webHidden/>
                <w:sz w:val="24"/>
                <w:szCs w:val="24"/>
              </w:rPr>
              <w:t>39</w:t>
            </w:r>
            <w:r w:rsidRPr="00DC1116">
              <w:rPr>
                <w:noProof/>
                <w:webHidden/>
                <w:sz w:val="24"/>
                <w:szCs w:val="24"/>
              </w:rPr>
              <w:fldChar w:fldCharType="end"/>
            </w:r>
          </w:hyperlink>
        </w:p>
        <w:p w14:paraId="79CD0F7C" w14:textId="5A5BBB95" w:rsidR="007D2467" w:rsidRPr="00DC1116" w:rsidRDefault="007D2467">
          <w:pPr>
            <w:pStyle w:val="TDC3"/>
            <w:tabs>
              <w:tab w:val="right" w:leader="dot" w:pos="8494"/>
            </w:tabs>
            <w:rPr>
              <w:noProof/>
              <w:sz w:val="24"/>
              <w:szCs w:val="24"/>
            </w:rPr>
          </w:pPr>
          <w:hyperlink w:anchor="_Toc224333160" w:history="1">
            <w:r w:rsidRPr="00DC1116">
              <w:rPr>
                <w:rStyle w:val="Hipervnculo"/>
                <w:noProof/>
                <w:sz w:val="24"/>
                <w:szCs w:val="24"/>
              </w:rPr>
              <w:t>3.5.4 Políticas de prevención y protocolos de actuación contra la revictimización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_Toc224333160 \h </w:instrText>
            </w:r>
            <w:r w:rsidRPr="00DC1116">
              <w:rPr>
                <w:noProof/>
                <w:webHidden/>
                <w:sz w:val="24"/>
                <w:szCs w:val="24"/>
              </w:rPr>
            </w:r>
            <w:r w:rsidRPr="00DC1116">
              <w:rPr>
                <w:noProof/>
                <w:webHidden/>
                <w:sz w:val="24"/>
                <w:szCs w:val="24"/>
              </w:rPr>
              <w:fldChar w:fldCharType="separate"/>
            </w:r>
            <w:r w:rsidRPr="00DC1116">
              <w:rPr>
                <w:noProof/>
                <w:webHidden/>
                <w:sz w:val="24"/>
                <w:szCs w:val="24"/>
              </w:rPr>
              <w:t>40</w:t>
            </w:r>
            <w:r w:rsidRPr="00DC1116">
              <w:rPr>
                <w:noProof/>
                <w:webHidden/>
                <w:sz w:val="24"/>
                <w:szCs w:val="24"/>
              </w:rPr>
              <w:fldChar w:fldCharType="end"/>
            </w:r>
          </w:hyperlink>
        </w:p>
        <w:p w14:paraId="4AD80A46" w14:textId="632BC031"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61" w:history="1">
            <w:r w:rsidRPr="00DC1116">
              <w:rPr>
                <w:rStyle w:val="Hipervnculo"/>
                <w:rFonts w:eastAsia="Times New Roman"/>
                <w:noProof/>
                <w:sz w:val="24"/>
                <w:szCs w:val="24"/>
                <w:lang w:eastAsia="es-ES"/>
              </w:rPr>
              <w:t>4. Discusión</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_Toc224333161 \h </w:instrText>
            </w:r>
            <w:r w:rsidRPr="00DC1116">
              <w:rPr>
                <w:noProof/>
                <w:webHidden/>
                <w:sz w:val="24"/>
                <w:szCs w:val="24"/>
              </w:rPr>
            </w:r>
            <w:r w:rsidRPr="00DC1116">
              <w:rPr>
                <w:noProof/>
                <w:webHidden/>
                <w:sz w:val="24"/>
                <w:szCs w:val="24"/>
              </w:rPr>
              <w:fldChar w:fldCharType="separate"/>
            </w:r>
            <w:r w:rsidRPr="00DC1116">
              <w:rPr>
                <w:noProof/>
                <w:webHidden/>
                <w:sz w:val="24"/>
                <w:szCs w:val="24"/>
              </w:rPr>
              <w:t>42</w:t>
            </w:r>
            <w:r w:rsidRPr="00DC1116">
              <w:rPr>
                <w:noProof/>
                <w:webHidden/>
                <w:sz w:val="24"/>
                <w:szCs w:val="24"/>
              </w:rPr>
              <w:fldChar w:fldCharType="end"/>
            </w:r>
          </w:hyperlink>
        </w:p>
        <w:p w14:paraId="5D0EED94" w14:textId="5B876A7D"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62" w:history="1">
            <w:r w:rsidRPr="00DC1116">
              <w:rPr>
                <w:rStyle w:val="Hipervnculo"/>
                <w:noProof/>
                <w:sz w:val="24"/>
                <w:szCs w:val="24"/>
              </w:rPr>
              <w:t>5. Conclusiones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_Toc224333162 \h </w:instrText>
            </w:r>
            <w:r w:rsidRPr="00DC1116">
              <w:rPr>
                <w:noProof/>
                <w:webHidden/>
                <w:sz w:val="24"/>
                <w:szCs w:val="24"/>
              </w:rPr>
            </w:r>
            <w:r w:rsidRPr="00DC1116">
              <w:rPr>
                <w:noProof/>
                <w:webHidden/>
                <w:sz w:val="24"/>
                <w:szCs w:val="24"/>
              </w:rPr>
              <w:fldChar w:fldCharType="separate"/>
            </w:r>
            <w:r w:rsidRPr="00DC1116">
              <w:rPr>
                <w:noProof/>
                <w:webHidden/>
                <w:sz w:val="24"/>
                <w:szCs w:val="24"/>
              </w:rPr>
              <w:t>44</w:t>
            </w:r>
            <w:r w:rsidRPr="00DC1116">
              <w:rPr>
                <w:noProof/>
                <w:webHidden/>
                <w:sz w:val="24"/>
                <w:szCs w:val="24"/>
              </w:rPr>
              <w:fldChar w:fldCharType="end"/>
            </w:r>
          </w:hyperlink>
        </w:p>
        <w:p w14:paraId="20BD31EA" w14:textId="1560DFF9" w:rsidR="007D2467" w:rsidRPr="00DC1116" w:rsidRDefault="007D2467">
          <w:pPr>
            <w:pStyle w:val="TDC1"/>
            <w:tabs>
              <w:tab w:val="right" w:leader="dot" w:pos="8494"/>
            </w:tabs>
            <w:rPr>
              <w:rFonts w:asciiTheme="minorHAnsi" w:eastAsiaTheme="minorEastAsia" w:hAnsiTheme="minorHAnsi" w:cstheme="minorBidi"/>
              <w:noProof/>
              <w:kern w:val="2"/>
              <w:sz w:val="24"/>
              <w:szCs w:val="24"/>
              <w:lang w:eastAsia="es-ES"/>
              <w14:ligatures w14:val="standardContextual"/>
            </w:rPr>
          </w:pPr>
          <w:hyperlink w:anchor="_Toc224333163" w:history="1">
            <w:r w:rsidRPr="00DC1116">
              <w:rPr>
                <w:rStyle w:val="Hipervnculo"/>
                <w:noProof/>
                <w:sz w:val="24"/>
                <w:szCs w:val="24"/>
              </w:rPr>
              <w:t>6. Referencias Bibliográficas</w:t>
            </w:r>
            <w:r w:rsidRPr="00DC1116">
              <w:rPr>
                <w:noProof/>
                <w:webHidden/>
                <w:sz w:val="24"/>
                <w:szCs w:val="24"/>
              </w:rPr>
              <w:tab/>
            </w:r>
            <w:r w:rsidRPr="00DC1116">
              <w:rPr>
                <w:noProof/>
                <w:webHidden/>
                <w:sz w:val="24"/>
                <w:szCs w:val="24"/>
              </w:rPr>
              <w:fldChar w:fldCharType="begin"/>
            </w:r>
            <w:r w:rsidRPr="00DC1116">
              <w:rPr>
                <w:noProof/>
                <w:webHidden/>
                <w:sz w:val="24"/>
                <w:szCs w:val="24"/>
              </w:rPr>
              <w:instrText xml:space="preserve"> PAGEREF _Toc224333163 \h </w:instrText>
            </w:r>
            <w:r w:rsidRPr="00DC1116">
              <w:rPr>
                <w:noProof/>
                <w:webHidden/>
                <w:sz w:val="24"/>
                <w:szCs w:val="24"/>
              </w:rPr>
            </w:r>
            <w:r w:rsidRPr="00DC1116">
              <w:rPr>
                <w:noProof/>
                <w:webHidden/>
                <w:sz w:val="24"/>
                <w:szCs w:val="24"/>
              </w:rPr>
              <w:fldChar w:fldCharType="separate"/>
            </w:r>
            <w:r w:rsidRPr="00DC1116">
              <w:rPr>
                <w:noProof/>
                <w:webHidden/>
                <w:sz w:val="24"/>
                <w:szCs w:val="24"/>
              </w:rPr>
              <w:t>45</w:t>
            </w:r>
            <w:r w:rsidRPr="00DC1116">
              <w:rPr>
                <w:noProof/>
                <w:webHidden/>
                <w:sz w:val="24"/>
                <w:szCs w:val="24"/>
              </w:rPr>
              <w:fldChar w:fldCharType="end"/>
            </w:r>
          </w:hyperlink>
        </w:p>
        <w:p w14:paraId="4DC1F2E3" w14:textId="671AC778" w:rsidR="00647E00" w:rsidRPr="001F106C" w:rsidRDefault="00466491" w:rsidP="001F106C">
          <w:r w:rsidRPr="00DC1116">
            <w:rPr>
              <w:b/>
              <w:bCs/>
              <w:sz w:val="24"/>
              <w:szCs w:val="24"/>
            </w:rPr>
            <w:fldChar w:fldCharType="end"/>
          </w:r>
        </w:p>
      </w:sdtContent>
    </w:sdt>
    <w:p w14:paraId="3F8BDE32" w14:textId="77777777" w:rsidR="001F106C" w:rsidRDefault="001F106C">
      <w:pPr>
        <w:suppressAutoHyphens w:val="0"/>
        <w:rPr>
          <w:rFonts w:eastAsia="Times New Roman" w:cs="Calibri"/>
          <w:color w:val="2E74B5" w:themeColor="accent1" w:themeShade="BF"/>
          <w:sz w:val="28"/>
          <w:szCs w:val="28"/>
          <w:lang w:eastAsia="es-ES"/>
        </w:rPr>
      </w:pPr>
      <w:bookmarkStart w:id="0" w:name="_Toc224333128"/>
      <w:r>
        <w:rPr>
          <w:rFonts w:eastAsia="Times New Roman" w:cs="Calibri"/>
          <w:sz w:val="28"/>
          <w:szCs w:val="28"/>
          <w:lang w:eastAsia="es-ES"/>
        </w:rPr>
        <w:br w:type="page"/>
      </w:r>
    </w:p>
    <w:p w14:paraId="395ABD26" w14:textId="09633F9B" w:rsidR="00647E00" w:rsidRPr="00345A2E" w:rsidRDefault="009A7BAE" w:rsidP="00EA1571">
      <w:pPr>
        <w:pStyle w:val="Ttulo1"/>
        <w:spacing w:line="360" w:lineRule="auto"/>
        <w:jc w:val="both"/>
        <w:rPr>
          <w:b/>
          <w:bCs/>
          <w:color w:val="000000" w:themeColor="text1"/>
          <w:sz w:val="24"/>
          <w:szCs w:val="24"/>
        </w:rPr>
      </w:pPr>
      <w:r w:rsidRPr="00345A2E">
        <w:rPr>
          <w:rFonts w:ascii="Calibri" w:eastAsia="Times New Roman" w:hAnsi="Calibri" w:cs="Calibri"/>
          <w:b/>
          <w:bCs/>
          <w:color w:val="000000" w:themeColor="text1"/>
          <w:sz w:val="24"/>
          <w:szCs w:val="24"/>
          <w:lang w:eastAsia="es-ES"/>
        </w:rPr>
        <w:lastRenderedPageBreak/>
        <w:t>Resumen</w:t>
      </w:r>
      <w:bookmarkEnd w:id="0"/>
      <w:r w:rsidRPr="00345A2E">
        <w:rPr>
          <w:rFonts w:eastAsia="Times New Roman"/>
          <w:b/>
          <w:bCs/>
          <w:color w:val="000000" w:themeColor="text1"/>
          <w:sz w:val="24"/>
          <w:szCs w:val="24"/>
          <w:lang w:eastAsia="es-ES"/>
        </w:rPr>
        <w:t> </w:t>
      </w:r>
    </w:p>
    <w:p w14:paraId="0F99A9D5" w14:textId="42D2934F" w:rsidR="00080DFE" w:rsidRPr="00080DFE" w:rsidRDefault="00080DFE" w:rsidP="00EA1571">
      <w:pPr>
        <w:spacing w:after="100" w:line="360" w:lineRule="auto"/>
        <w:ind w:firstLine="340"/>
        <w:jc w:val="both"/>
        <w:textAlignment w:val="baseline"/>
        <w:rPr>
          <w:rFonts w:eastAsia="Times New Roman" w:cs="Calibri"/>
          <w:color w:val="000000"/>
          <w:sz w:val="24"/>
          <w:szCs w:val="24"/>
          <w:lang w:eastAsia="es-ES"/>
        </w:rPr>
      </w:pPr>
      <w:r w:rsidRPr="00080DFE">
        <w:rPr>
          <w:rFonts w:eastAsia="Times New Roman" w:cs="Calibri"/>
          <w:color w:val="000000"/>
          <w:sz w:val="24"/>
          <w:szCs w:val="24"/>
          <w:lang w:eastAsia="es-ES"/>
        </w:rPr>
        <w:t>La violencia sexual contra las mujeres constituyó uno de los problemas estructurales más graves y persistentes a escala global. En las últimas décadas, la digitalización de los medios de comunicación y la expansión de las redes sociales configuraron un nuevo escenario en el que este fenómeno adquirió nuevas dimensiones. El entorno digital se convirtió en un espacio donde la victimización de las mujeres que habían sufrido agresiones sexuales podía reproducirse, amplificarse e incluso normalizarse a través de dinámicas como la viralización de contenidos, el anonimato</w:t>
      </w:r>
      <w:r w:rsidR="00345A2E">
        <w:rPr>
          <w:rFonts w:eastAsia="Times New Roman" w:cs="Calibri"/>
          <w:color w:val="000000"/>
          <w:sz w:val="24"/>
          <w:szCs w:val="24"/>
          <w:lang w:eastAsia="es-ES"/>
        </w:rPr>
        <w:t xml:space="preserve"> </w:t>
      </w:r>
      <w:r w:rsidRPr="00080DFE">
        <w:rPr>
          <w:rFonts w:eastAsia="Times New Roman" w:cs="Calibri"/>
          <w:color w:val="000000"/>
          <w:sz w:val="24"/>
          <w:szCs w:val="24"/>
          <w:lang w:eastAsia="es-ES"/>
        </w:rPr>
        <w:t>o la denominada desinhibición tóxica propia de la interacción online.</w:t>
      </w:r>
    </w:p>
    <w:p w14:paraId="15150103" w14:textId="77777777" w:rsidR="00080DFE" w:rsidRPr="00080DFE" w:rsidRDefault="00080DFE" w:rsidP="00080DFE">
      <w:pPr>
        <w:spacing w:after="100" w:line="360" w:lineRule="auto"/>
        <w:ind w:firstLine="340"/>
        <w:jc w:val="both"/>
        <w:textAlignment w:val="baseline"/>
        <w:rPr>
          <w:rFonts w:eastAsia="Times New Roman" w:cs="Calibri"/>
          <w:color w:val="000000"/>
          <w:sz w:val="24"/>
          <w:szCs w:val="24"/>
          <w:lang w:eastAsia="es-ES"/>
        </w:rPr>
      </w:pPr>
      <w:r w:rsidRPr="00080DFE">
        <w:rPr>
          <w:rFonts w:eastAsia="Times New Roman" w:cs="Calibri"/>
          <w:color w:val="000000"/>
          <w:sz w:val="24"/>
          <w:szCs w:val="24"/>
          <w:lang w:eastAsia="es-ES"/>
        </w:rPr>
        <w:t xml:space="preserve">El presente trabajo tuvo como objetivo principal analizar la relación entre la revictimización femenina en casos de violencia sexual y la criminología mediática desde una perspectiva digital. Para ello, se llevó a cabo una revisión documental de literatura científica y especializada publicada a partir de 2015, consultando bases de datos académicas como Google Scholar, PubMed y </w:t>
      </w:r>
      <w:proofErr w:type="spellStart"/>
      <w:r w:rsidRPr="00080DFE">
        <w:rPr>
          <w:rFonts w:eastAsia="Times New Roman" w:cs="Calibri"/>
          <w:color w:val="000000"/>
          <w:sz w:val="24"/>
          <w:szCs w:val="24"/>
          <w:lang w:eastAsia="es-ES"/>
        </w:rPr>
        <w:t>PsycINFO</w:t>
      </w:r>
      <w:proofErr w:type="spellEnd"/>
      <w:r w:rsidRPr="00080DFE">
        <w:rPr>
          <w:rFonts w:eastAsia="Times New Roman" w:cs="Calibri"/>
          <w:color w:val="000000"/>
          <w:sz w:val="24"/>
          <w:szCs w:val="24"/>
          <w:lang w:eastAsia="es-ES"/>
        </w:rPr>
        <w:t xml:space="preserve">. Asimismo, se tomaron como referencia seis casos de gran repercusión mediática: el caso de La Manada, Gisèle Pelicot, </w:t>
      </w:r>
      <w:proofErr w:type="spellStart"/>
      <w:r w:rsidRPr="00080DFE">
        <w:rPr>
          <w:rFonts w:eastAsia="Times New Roman" w:cs="Calibri"/>
          <w:color w:val="000000"/>
          <w:sz w:val="24"/>
          <w:szCs w:val="24"/>
          <w:lang w:eastAsia="es-ES"/>
        </w:rPr>
        <w:t>Nirbhaya</w:t>
      </w:r>
      <w:proofErr w:type="spellEnd"/>
      <w:r w:rsidRPr="00080DFE">
        <w:rPr>
          <w:rFonts w:eastAsia="Times New Roman" w:cs="Calibri"/>
          <w:color w:val="000000"/>
          <w:sz w:val="24"/>
          <w:szCs w:val="24"/>
          <w:lang w:eastAsia="es-ES"/>
        </w:rPr>
        <w:t>, una agresión sexual ocurrida en Lima, el caso de Dani Alves y el caso de Martha.</w:t>
      </w:r>
    </w:p>
    <w:p w14:paraId="61D47F25" w14:textId="77777777" w:rsidR="00080DFE" w:rsidRPr="00080DFE" w:rsidRDefault="00080DFE" w:rsidP="00080DFE">
      <w:pPr>
        <w:spacing w:after="100" w:line="360" w:lineRule="auto"/>
        <w:ind w:firstLine="340"/>
        <w:jc w:val="both"/>
        <w:textAlignment w:val="baseline"/>
        <w:rPr>
          <w:rFonts w:eastAsia="Times New Roman" w:cs="Calibri"/>
          <w:color w:val="000000"/>
          <w:sz w:val="24"/>
          <w:szCs w:val="24"/>
          <w:lang w:eastAsia="es-ES"/>
        </w:rPr>
      </w:pPr>
      <w:r w:rsidRPr="00080DFE">
        <w:rPr>
          <w:rFonts w:eastAsia="Times New Roman" w:cs="Calibri"/>
          <w:color w:val="000000"/>
          <w:sz w:val="24"/>
          <w:szCs w:val="24"/>
          <w:lang w:eastAsia="es-ES"/>
        </w:rPr>
        <w:t xml:space="preserve">Los resultados evidenciaron que los medios digitales tendieron a construir narrativas que desplazaban el foco del agresor hacia la víctima, reproduciendo estereotipos de género y patrones de culpabilización mediante recursos como el </w:t>
      </w:r>
      <w:proofErr w:type="spellStart"/>
      <w:r w:rsidRPr="00080DFE">
        <w:rPr>
          <w:rFonts w:eastAsia="Times New Roman" w:cs="Calibri"/>
          <w:color w:val="000000"/>
          <w:sz w:val="24"/>
          <w:szCs w:val="24"/>
          <w:lang w:eastAsia="es-ES"/>
        </w:rPr>
        <w:t>framing</w:t>
      </w:r>
      <w:proofErr w:type="spellEnd"/>
      <w:r w:rsidRPr="00080DFE">
        <w:rPr>
          <w:rFonts w:eastAsia="Times New Roman" w:cs="Calibri"/>
          <w:color w:val="000000"/>
          <w:sz w:val="24"/>
          <w:szCs w:val="24"/>
          <w:lang w:eastAsia="es-ES"/>
        </w:rPr>
        <w:t xml:space="preserve">, el </w:t>
      </w:r>
      <w:proofErr w:type="spellStart"/>
      <w:r w:rsidRPr="00080DFE">
        <w:rPr>
          <w:rFonts w:eastAsia="Times New Roman" w:cs="Calibri"/>
          <w:color w:val="000000"/>
          <w:sz w:val="24"/>
          <w:szCs w:val="24"/>
          <w:lang w:eastAsia="es-ES"/>
        </w:rPr>
        <w:t>clickbait</w:t>
      </w:r>
      <w:proofErr w:type="spellEnd"/>
      <w:r w:rsidRPr="00080DFE">
        <w:rPr>
          <w:rFonts w:eastAsia="Times New Roman" w:cs="Calibri"/>
          <w:color w:val="000000"/>
          <w:sz w:val="24"/>
          <w:szCs w:val="24"/>
          <w:lang w:eastAsia="es-ES"/>
        </w:rPr>
        <w:t xml:space="preserve"> o el sensacionalismo. Las redes sociales amplificaron estas dinámicas a través de fenómenos de acoso colectivo y de la difusión masiva de contenidos íntimos.</w:t>
      </w:r>
    </w:p>
    <w:p w14:paraId="41F2EA1F" w14:textId="73C8416A" w:rsidR="00080DFE" w:rsidRDefault="00080DFE" w:rsidP="00345A2E">
      <w:pPr>
        <w:spacing w:after="100" w:line="360" w:lineRule="auto"/>
        <w:ind w:firstLine="340"/>
        <w:jc w:val="both"/>
        <w:textAlignment w:val="baseline"/>
        <w:rPr>
          <w:rFonts w:eastAsia="Times New Roman" w:cs="Calibri"/>
          <w:color w:val="000000"/>
          <w:sz w:val="24"/>
          <w:szCs w:val="24"/>
          <w:lang w:eastAsia="es-ES"/>
        </w:rPr>
      </w:pPr>
      <w:r w:rsidRPr="00080DFE">
        <w:rPr>
          <w:rFonts w:eastAsia="Times New Roman" w:cs="Calibri"/>
          <w:color w:val="000000"/>
          <w:sz w:val="24"/>
          <w:szCs w:val="24"/>
          <w:lang w:eastAsia="es-ES"/>
        </w:rPr>
        <w:t>Se concluyó que el entorno digital no solo prolonga el sufrimiento de las víctimas más allá del hecho delictivo inicial, sino que actúa como un mecanismo estructural de revictimización secundaria, ante el cual el marco normativo español, pese a los avances representados por la Ley Orgánica 10/2022, sigue presentando importantes carencias en materia sancionadora.</w:t>
      </w:r>
    </w:p>
    <w:p w14:paraId="0C1EEE52" w14:textId="738F87A6" w:rsidR="00193585" w:rsidRPr="00080DFE" w:rsidRDefault="00193585" w:rsidP="00345A2E">
      <w:pPr>
        <w:spacing w:after="100" w:line="360" w:lineRule="auto"/>
        <w:ind w:firstLine="340"/>
        <w:jc w:val="both"/>
        <w:textAlignment w:val="baseline"/>
        <w:rPr>
          <w:rFonts w:eastAsia="Times New Roman" w:cs="Calibri"/>
          <w:color w:val="000000"/>
          <w:sz w:val="24"/>
          <w:szCs w:val="24"/>
          <w:lang w:eastAsia="es-ES"/>
        </w:rPr>
      </w:pPr>
      <w:r w:rsidRPr="00EA1571">
        <w:rPr>
          <w:rFonts w:eastAsia="Times New Roman" w:cs="Calibri"/>
          <w:b/>
          <w:bCs/>
          <w:color w:val="000000"/>
          <w:sz w:val="24"/>
          <w:szCs w:val="24"/>
          <w:lang w:eastAsia="es-ES"/>
        </w:rPr>
        <w:t>Palabras clave:</w:t>
      </w:r>
      <w:r>
        <w:rPr>
          <w:rFonts w:eastAsia="Times New Roman" w:cs="Calibri"/>
          <w:color w:val="000000"/>
          <w:sz w:val="24"/>
          <w:szCs w:val="24"/>
          <w:lang w:eastAsia="es-ES"/>
        </w:rPr>
        <w:t xml:space="preserve"> violencia sexual, revictimización, criminología mediática, redes sociales </w:t>
      </w:r>
      <w:r w:rsidR="00EA1571">
        <w:rPr>
          <w:rFonts w:eastAsia="Times New Roman" w:cs="Calibri"/>
          <w:color w:val="000000"/>
          <w:sz w:val="24"/>
          <w:szCs w:val="24"/>
          <w:lang w:eastAsia="es-ES"/>
        </w:rPr>
        <w:t>y medios digitales.</w:t>
      </w:r>
    </w:p>
    <w:p w14:paraId="6576FF0F" w14:textId="77777777" w:rsidR="00647E00" w:rsidRPr="00CF5412" w:rsidRDefault="009A7BAE" w:rsidP="00466491">
      <w:pPr>
        <w:pStyle w:val="Ttulo1"/>
        <w:rPr>
          <w:rFonts w:asciiTheme="minorHAnsi" w:eastAsia="Times New Roman" w:hAnsiTheme="minorHAnsi" w:cstheme="minorHAnsi"/>
          <w:b/>
          <w:bCs/>
          <w:color w:val="auto"/>
          <w:sz w:val="24"/>
          <w:szCs w:val="24"/>
          <w:lang w:val="en-US" w:eastAsia="es-ES"/>
        </w:rPr>
      </w:pPr>
      <w:bookmarkStart w:id="1" w:name="_Toc224333129"/>
      <w:r w:rsidRPr="00CF5412">
        <w:rPr>
          <w:rFonts w:asciiTheme="minorHAnsi" w:eastAsia="Times New Roman" w:hAnsiTheme="minorHAnsi" w:cstheme="minorHAnsi"/>
          <w:b/>
          <w:bCs/>
          <w:color w:val="auto"/>
          <w:sz w:val="24"/>
          <w:szCs w:val="24"/>
          <w:lang w:val="en-US" w:eastAsia="es-ES"/>
        </w:rPr>
        <w:lastRenderedPageBreak/>
        <w:t>Abstract</w:t>
      </w:r>
      <w:bookmarkEnd w:id="1"/>
      <w:r w:rsidRPr="00CF5412">
        <w:rPr>
          <w:rFonts w:asciiTheme="minorHAnsi" w:eastAsia="Times New Roman" w:hAnsiTheme="minorHAnsi" w:cstheme="minorHAnsi"/>
          <w:b/>
          <w:bCs/>
          <w:color w:val="auto"/>
          <w:sz w:val="24"/>
          <w:szCs w:val="24"/>
          <w:lang w:val="en-US" w:eastAsia="es-ES"/>
        </w:rPr>
        <w:t>  </w:t>
      </w:r>
    </w:p>
    <w:p w14:paraId="5262B9AD" w14:textId="77777777" w:rsidR="0021447D" w:rsidRPr="0021447D" w:rsidRDefault="0021447D" w:rsidP="0021447D">
      <w:pPr>
        <w:spacing w:after="100" w:line="360" w:lineRule="auto"/>
        <w:ind w:firstLine="340"/>
        <w:jc w:val="both"/>
        <w:textAlignment w:val="baseline"/>
        <w:rPr>
          <w:rFonts w:cs="Calibri"/>
          <w:sz w:val="24"/>
          <w:szCs w:val="24"/>
          <w:lang w:val="en-US"/>
        </w:rPr>
      </w:pPr>
      <w:r w:rsidRPr="0021447D">
        <w:rPr>
          <w:rFonts w:cs="Calibri"/>
          <w:sz w:val="24"/>
          <w:szCs w:val="24"/>
          <w:lang w:val="en-US"/>
        </w:rPr>
        <w:t xml:space="preserve">Sexual violence against women has constituted one of the most serious and persistent structural problems at a global level. In recent decades, the digitalization of communication and the expansion of social media have created a new context in which this phenomenon has acquired new dimensions. The digital environment has become a space where the victimization of women who have suffered sexual assault can be reproduced, amplified and even normalized through mechanisms such as the </w:t>
      </w:r>
      <w:proofErr w:type="spellStart"/>
      <w:r w:rsidRPr="0021447D">
        <w:rPr>
          <w:rFonts w:cs="Calibri"/>
          <w:sz w:val="24"/>
          <w:szCs w:val="24"/>
          <w:lang w:val="en-US"/>
        </w:rPr>
        <w:t>viralization</w:t>
      </w:r>
      <w:proofErr w:type="spellEnd"/>
      <w:r w:rsidRPr="0021447D">
        <w:rPr>
          <w:rFonts w:cs="Calibri"/>
          <w:sz w:val="24"/>
          <w:szCs w:val="24"/>
          <w:lang w:val="en-US"/>
        </w:rPr>
        <w:t xml:space="preserve"> of content, anonymity and the so-called toxic disinhibition associated with online interaction.</w:t>
      </w:r>
    </w:p>
    <w:p w14:paraId="307A0B7F" w14:textId="77777777" w:rsidR="0021447D" w:rsidRPr="0021447D" w:rsidRDefault="0021447D" w:rsidP="0021447D">
      <w:pPr>
        <w:spacing w:after="100" w:line="360" w:lineRule="auto"/>
        <w:ind w:firstLine="340"/>
        <w:jc w:val="both"/>
        <w:textAlignment w:val="baseline"/>
        <w:rPr>
          <w:rFonts w:cs="Calibri"/>
          <w:sz w:val="24"/>
          <w:szCs w:val="24"/>
          <w:lang w:val="en-US"/>
        </w:rPr>
      </w:pPr>
      <w:r w:rsidRPr="0021447D">
        <w:rPr>
          <w:rFonts w:cs="Calibri"/>
          <w:sz w:val="24"/>
          <w:szCs w:val="24"/>
          <w:lang w:val="en-US"/>
        </w:rPr>
        <w:t xml:space="preserve">The main objective of this study was to analyze the relationship between the revictimization of women in cases of sexual violence and media criminology from a digital perspective. To achieve this, a documentary review of scientific and specialized literature published since 2015 was conducted using academic databases such as Google Scholar, PubMed and PsycINFO. In addition, six highly </w:t>
      </w:r>
      <w:proofErr w:type="spellStart"/>
      <w:r w:rsidRPr="0021447D">
        <w:rPr>
          <w:rFonts w:cs="Calibri"/>
          <w:sz w:val="24"/>
          <w:szCs w:val="24"/>
          <w:lang w:val="en-US"/>
        </w:rPr>
        <w:t>mediatised</w:t>
      </w:r>
      <w:proofErr w:type="spellEnd"/>
      <w:r w:rsidRPr="0021447D">
        <w:rPr>
          <w:rFonts w:cs="Calibri"/>
          <w:sz w:val="24"/>
          <w:szCs w:val="24"/>
          <w:lang w:val="en-US"/>
        </w:rPr>
        <w:t xml:space="preserve"> cases were examined: the cases of La Manada, Gisèle Pelicot, Nirbhaya, a sexual assault in Lima, the Dani Alves case and the Martha case.</w:t>
      </w:r>
    </w:p>
    <w:p w14:paraId="5517E552" w14:textId="77777777" w:rsidR="0021447D" w:rsidRPr="0021447D" w:rsidRDefault="0021447D" w:rsidP="0021447D">
      <w:pPr>
        <w:spacing w:after="100" w:line="360" w:lineRule="auto"/>
        <w:ind w:firstLine="340"/>
        <w:jc w:val="both"/>
        <w:textAlignment w:val="baseline"/>
        <w:rPr>
          <w:rFonts w:cs="Calibri"/>
          <w:sz w:val="24"/>
          <w:szCs w:val="24"/>
          <w:lang w:val="en-US"/>
        </w:rPr>
      </w:pPr>
      <w:r w:rsidRPr="0021447D">
        <w:rPr>
          <w:rFonts w:cs="Calibri"/>
          <w:sz w:val="24"/>
          <w:szCs w:val="24"/>
          <w:lang w:val="en-US"/>
        </w:rPr>
        <w:t>The results showed that digital media often constructed narratives that shifted the focus from the perpetrator to the victim, reproducing gender stereotypes and patterns of victim-blaming through techniques such as framing, clickbait and sensationalism. Social media further amplified these dynamics through collective harassment and the widespread dissemination of intimate content.</w:t>
      </w:r>
    </w:p>
    <w:p w14:paraId="10C560FF" w14:textId="77777777" w:rsidR="0021447D" w:rsidRPr="0021447D" w:rsidRDefault="0021447D" w:rsidP="0021447D">
      <w:pPr>
        <w:spacing w:after="100" w:line="360" w:lineRule="auto"/>
        <w:ind w:firstLine="340"/>
        <w:jc w:val="both"/>
        <w:textAlignment w:val="baseline"/>
        <w:rPr>
          <w:rFonts w:cs="Calibri"/>
          <w:sz w:val="24"/>
          <w:szCs w:val="24"/>
          <w:lang w:val="en-US"/>
        </w:rPr>
      </w:pPr>
      <w:r w:rsidRPr="0021447D">
        <w:rPr>
          <w:rFonts w:cs="Calibri"/>
          <w:sz w:val="24"/>
          <w:szCs w:val="24"/>
          <w:lang w:val="en-US"/>
        </w:rPr>
        <w:t xml:space="preserve">It was concluded that the digital environment not only prolongs the suffering of victims beyond the initial criminal </w:t>
      </w:r>
      <w:proofErr w:type="gramStart"/>
      <w:r w:rsidRPr="0021447D">
        <w:rPr>
          <w:rFonts w:cs="Calibri"/>
          <w:sz w:val="24"/>
          <w:szCs w:val="24"/>
          <w:lang w:val="en-US"/>
        </w:rPr>
        <w:t>act, but</w:t>
      </w:r>
      <w:proofErr w:type="gramEnd"/>
      <w:r w:rsidRPr="0021447D">
        <w:rPr>
          <w:rFonts w:cs="Calibri"/>
          <w:sz w:val="24"/>
          <w:szCs w:val="24"/>
          <w:lang w:val="en-US"/>
        </w:rPr>
        <w:t xml:space="preserve"> also acts as a structural mechanism of secondary revictimization, in relation to which the Spanish legal framework, despite the advances represented by the Ley </w:t>
      </w:r>
      <w:proofErr w:type="spellStart"/>
      <w:r w:rsidRPr="0021447D">
        <w:rPr>
          <w:rFonts w:cs="Calibri"/>
          <w:sz w:val="24"/>
          <w:szCs w:val="24"/>
          <w:lang w:val="en-US"/>
        </w:rPr>
        <w:t>Orgánica</w:t>
      </w:r>
      <w:proofErr w:type="spellEnd"/>
      <w:r w:rsidRPr="0021447D">
        <w:rPr>
          <w:rFonts w:cs="Calibri"/>
          <w:sz w:val="24"/>
          <w:szCs w:val="24"/>
          <w:lang w:val="en-US"/>
        </w:rPr>
        <w:t xml:space="preserve"> 10/2022, still presents significant shortcomings in terms of sanctions.</w:t>
      </w:r>
    </w:p>
    <w:p w14:paraId="7F26C0D1" w14:textId="77777777" w:rsidR="0021447D" w:rsidRPr="0021447D" w:rsidRDefault="0021447D" w:rsidP="0021447D">
      <w:pPr>
        <w:spacing w:after="100" w:line="360" w:lineRule="auto"/>
        <w:ind w:firstLine="340"/>
        <w:jc w:val="both"/>
        <w:textAlignment w:val="baseline"/>
        <w:rPr>
          <w:rFonts w:cs="Calibri"/>
          <w:sz w:val="24"/>
          <w:szCs w:val="24"/>
        </w:rPr>
      </w:pPr>
      <w:proofErr w:type="spellStart"/>
      <w:r w:rsidRPr="0021447D">
        <w:rPr>
          <w:rFonts w:cs="Calibri"/>
          <w:b/>
          <w:bCs/>
          <w:sz w:val="24"/>
          <w:szCs w:val="24"/>
        </w:rPr>
        <w:t>Keywords</w:t>
      </w:r>
      <w:proofErr w:type="spellEnd"/>
      <w:r w:rsidRPr="0021447D">
        <w:rPr>
          <w:rFonts w:cs="Calibri"/>
          <w:b/>
          <w:bCs/>
          <w:sz w:val="24"/>
          <w:szCs w:val="24"/>
        </w:rPr>
        <w:t>:</w:t>
      </w:r>
      <w:r w:rsidRPr="0021447D">
        <w:rPr>
          <w:rFonts w:cs="Calibri"/>
          <w:sz w:val="24"/>
          <w:szCs w:val="24"/>
        </w:rPr>
        <w:t xml:space="preserve"> sexual </w:t>
      </w:r>
      <w:proofErr w:type="spellStart"/>
      <w:r w:rsidRPr="0021447D">
        <w:rPr>
          <w:rFonts w:cs="Calibri"/>
          <w:sz w:val="24"/>
          <w:szCs w:val="24"/>
        </w:rPr>
        <w:t>violence</w:t>
      </w:r>
      <w:proofErr w:type="spellEnd"/>
      <w:r w:rsidRPr="0021447D">
        <w:rPr>
          <w:rFonts w:cs="Calibri"/>
          <w:sz w:val="24"/>
          <w:szCs w:val="24"/>
        </w:rPr>
        <w:t xml:space="preserve">, </w:t>
      </w:r>
      <w:proofErr w:type="spellStart"/>
      <w:r w:rsidRPr="0021447D">
        <w:rPr>
          <w:rFonts w:cs="Calibri"/>
          <w:sz w:val="24"/>
          <w:szCs w:val="24"/>
        </w:rPr>
        <w:t>revictimization</w:t>
      </w:r>
      <w:proofErr w:type="spellEnd"/>
      <w:r w:rsidRPr="0021447D">
        <w:rPr>
          <w:rFonts w:cs="Calibri"/>
          <w:sz w:val="24"/>
          <w:szCs w:val="24"/>
        </w:rPr>
        <w:t xml:space="preserve">, media </w:t>
      </w:r>
      <w:proofErr w:type="spellStart"/>
      <w:r w:rsidRPr="0021447D">
        <w:rPr>
          <w:rFonts w:cs="Calibri"/>
          <w:sz w:val="24"/>
          <w:szCs w:val="24"/>
        </w:rPr>
        <w:t>criminology</w:t>
      </w:r>
      <w:proofErr w:type="spellEnd"/>
      <w:r w:rsidRPr="0021447D">
        <w:rPr>
          <w:rFonts w:cs="Calibri"/>
          <w:sz w:val="24"/>
          <w:szCs w:val="24"/>
        </w:rPr>
        <w:t xml:space="preserve">, social media, digital </w:t>
      </w:r>
      <w:proofErr w:type="spellStart"/>
      <w:r w:rsidRPr="0021447D">
        <w:rPr>
          <w:rFonts w:cs="Calibri"/>
          <w:sz w:val="24"/>
          <w:szCs w:val="24"/>
        </w:rPr>
        <w:t>environment</w:t>
      </w:r>
      <w:proofErr w:type="spellEnd"/>
      <w:r w:rsidRPr="0021447D">
        <w:rPr>
          <w:rFonts w:cs="Calibri"/>
          <w:sz w:val="24"/>
          <w:szCs w:val="24"/>
        </w:rPr>
        <w:t>.</w:t>
      </w:r>
    </w:p>
    <w:p w14:paraId="27070397" w14:textId="77777777" w:rsidR="00647E00" w:rsidRDefault="00647E00" w:rsidP="000E6594">
      <w:pPr>
        <w:spacing w:after="100" w:line="360" w:lineRule="auto"/>
        <w:jc w:val="both"/>
        <w:textAlignment w:val="baseline"/>
        <w:rPr>
          <w:rFonts w:eastAsia="Times New Roman" w:cs="Calibri"/>
          <w:color w:val="000000"/>
          <w:sz w:val="18"/>
          <w:szCs w:val="18"/>
          <w:lang w:eastAsia="es-ES"/>
        </w:rPr>
      </w:pPr>
    </w:p>
    <w:p w14:paraId="03412229" w14:textId="77777777" w:rsidR="00DB6C6B" w:rsidRDefault="00DB6C6B" w:rsidP="000E6594">
      <w:pPr>
        <w:spacing w:after="100" w:line="360" w:lineRule="auto"/>
        <w:jc w:val="both"/>
        <w:textAlignment w:val="baseline"/>
        <w:rPr>
          <w:rFonts w:eastAsia="Times New Roman" w:cs="Calibri"/>
          <w:color w:val="000000"/>
          <w:sz w:val="18"/>
          <w:szCs w:val="18"/>
          <w:lang w:eastAsia="es-ES"/>
        </w:rPr>
      </w:pPr>
    </w:p>
    <w:p w14:paraId="4758CB3B" w14:textId="77777777" w:rsidR="00DB6C6B" w:rsidRPr="000E6594" w:rsidRDefault="00DB6C6B" w:rsidP="000E6594">
      <w:pPr>
        <w:spacing w:after="100" w:line="360" w:lineRule="auto"/>
        <w:jc w:val="both"/>
        <w:textAlignment w:val="baseline"/>
        <w:rPr>
          <w:rFonts w:eastAsia="Times New Roman" w:cs="Calibri"/>
          <w:color w:val="000000"/>
          <w:sz w:val="18"/>
          <w:szCs w:val="18"/>
          <w:lang w:eastAsia="es-ES"/>
        </w:rPr>
      </w:pPr>
    </w:p>
    <w:p w14:paraId="49BCACE3" w14:textId="118A14CE" w:rsidR="00647E00" w:rsidRPr="00CF5412" w:rsidRDefault="009A7BAE" w:rsidP="00DB6C6B">
      <w:pPr>
        <w:pStyle w:val="Ttulo1"/>
        <w:numPr>
          <w:ilvl w:val="0"/>
          <w:numId w:val="9"/>
        </w:numPr>
        <w:spacing w:line="360" w:lineRule="auto"/>
        <w:rPr>
          <w:rFonts w:ascii="Calibri" w:hAnsi="Calibri" w:cs="Calibri"/>
          <w:b/>
          <w:bCs/>
          <w:color w:val="000000" w:themeColor="text1"/>
          <w:sz w:val="24"/>
          <w:szCs w:val="24"/>
        </w:rPr>
      </w:pPr>
      <w:bookmarkStart w:id="2" w:name="_Toc224333130"/>
      <w:r w:rsidRPr="00CF5412">
        <w:rPr>
          <w:rFonts w:ascii="Calibri" w:eastAsia="Times New Roman" w:hAnsi="Calibri" w:cs="Calibri"/>
          <w:b/>
          <w:bCs/>
          <w:color w:val="000000" w:themeColor="text1"/>
          <w:sz w:val="24"/>
          <w:szCs w:val="24"/>
          <w:lang w:eastAsia="es-ES"/>
        </w:rPr>
        <w:lastRenderedPageBreak/>
        <w:t>Introducción</w:t>
      </w:r>
      <w:bookmarkEnd w:id="2"/>
      <w:r w:rsidRPr="00CF5412">
        <w:rPr>
          <w:rFonts w:ascii="Calibri" w:eastAsia="Times New Roman" w:hAnsi="Calibri" w:cs="Calibri"/>
          <w:b/>
          <w:bCs/>
          <w:color w:val="000000" w:themeColor="text1"/>
          <w:sz w:val="24"/>
          <w:szCs w:val="24"/>
          <w:lang w:eastAsia="es-ES"/>
        </w:rPr>
        <w:t>  </w:t>
      </w:r>
    </w:p>
    <w:p w14:paraId="664164F1" w14:textId="77777777" w:rsidR="00647E00" w:rsidRPr="000E6594" w:rsidRDefault="009A7BAE" w:rsidP="00DB6C6B">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La violencia sexual contra las mujeres es probablemente uno de los problemas sociales más graves y persistentes a nivel global. En el contexto actual en el que vivimos, caracterizado por cambios repentinos constantes y la necesidad de adaptarse a los mismos, el crecimiento de las tecnologías ha llevado la digitalización de los medios de comunicación y a la expansión de las redes sociales. Como consecuencia, el mundo virtual se ha establecido como un nuevo espacio donde se reproduce la revictimización de las mujeres víctimas de esta problemática.</w:t>
      </w:r>
      <w:r w:rsidRPr="000E6594">
        <w:rPr>
          <w:rFonts w:eastAsia="Times New Roman" w:cs="Calibri"/>
          <w:color w:val="000000"/>
          <w:lang w:eastAsia="es-ES"/>
        </w:rPr>
        <w:t>  </w:t>
      </w:r>
    </w:p>
    <w:p w14:paraId="75CA61A4" w14:textId="08F4969A"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Esta violencia sexual es definida según</w:t>
      </w:r>
      <w:r w:rsidR="00DB6C6B">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la Organización Mundial de la Salud (OMS, citado por Ministerio del Interior, 2024),</w:t>
      </w:r>
      <w:r w:rsidR="00771623">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como cualquier acto sexual (incluyendo la violación o agresión sexual), el intento</w:t>
      </w:r>
      <w:r w:rsidR="00771623">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de llevarlo a cabo, las insinuaciones o comentarios sexuales no deseados, así como cualquier acción que implique la explotación de la sexualidad de una persona mediante coacción, independientemente del vínculo existente con la víctima. Según datos de la OMS (2021), aproximadamente una de cada tres mujeres ha sufrido violencia física y/o sexual, ya sea por parte de una pareja íntima o de otra persona. Estas cifras evidencian la persistencia y el alcance de un fenómeno estructural que trasciende lo individual, revelando un problema profundamente arraigado en nuestras sociedades.  </w:t>
      </w:r>
    </w:p>
    <w:p w14:paraId="7010C696" w14:textId="2E28BE43"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Ahora bien, la revictimización, también conocida como victimización secundaria, hace referencia a las consecuencias negativas de carácter psicológico, jurídico, económico y/o social que experimentan las víctimas como resultado de las intervenciones de diversas instituciones implicadas en el abordaje del hecho, tales como los servicios socio-sanitarios, los medios de comunicación o el sistema legal (Gutiérrez De Piñeres Botero </w:t>
      </w:r>
      <w:r w:rsidRPr="000E6594">
        <w:rPr>
          <w:rFonts w:eastAsia="Times New Roman" w:cs="Calibri"/>
          <w:i/>
          <w:iCs/>
          <w:color w:val="000000"/>
          <w:sz w:val="24"/>
          <w:szCs w:val="24"/>
          <w:lang w:eastAsia="es-ES"/>
        </w:rPr>
        <w:t>et al.,</w:t>
      </w:r>
      <w:r w:rsidRPr="000E6594">
        <w:rPr>
          <w:rFonts w:eastAsia="Times New Roman" w:cs="Calibri"/>
          <w:color w:val="000000"/>
          <w:sz w:val="24"/>
          <w:szCs w:val="24"/>
          <w:lang w:eastAsia="es-ES"/>
        </w:rPr>
        <w:t> 2009; Daza, 2016; Marco, 2018</w:t>
      </w:r>
      <w:r w:rsidR="00A553BA" w:rsidRPr="000E6594">
        <w:rPr>
          <w:rFonts w:eastAsia="Times New Roman" w:cs="Calibri"/>
          <w:color w:val="000000"/>
          <w:sz w:val="24"/>
          <w:szCs w:val="24"/>
          <w:lang w:eastAsia="es-ES"/>
        </w:rPr>
        <w:t>, citados en Córdoba, 2022</w:t>
      </w:r>
      <w:r w:rsidRPr="000E6594">
        <w:rPr>
          <w:rFonts w:eastAsia="Times New Roman" w:cs="Calibri"/>
          <w:color w:val="000000"/>
          <w:sz w:val="24"/>
          <w:szCs w:val="24"/>
          <w:lang w:eastAsia="es-ES"/>
        </w:rPr>
        <w:t>).  </w:t>
      </w:r>
    </w:p>
    <w:p w14:paraId="4E9F6BFE" w14:textId="748A677C"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De acuerdo con Córdoba (2022), los medios digitales desempeñan un papel relevante en este fenómeno, ya que las noticias suelen ofrecer una imagen distorsionada de la criminalidad, los agresores y las víctimas, elaborando contenidos sensacionalistas o centrados en la vida privada de estas últimas. Este tratamiento mediático refuerza estereotipos de género, cuestiona la credibilidad de las víctimas y desplaza el foco del agresor hacia ellas. Asimismo, las redes sociales contribuyen a perpetuar esta dinámica mediante la difusión de opiniones, burlas, acoso o juicios que </w:t>
      </w:r>
      <w:r w:rsidRPr="000E6594">
        <w:rPr>
          <w:rFonts w:eastAsia="Times New Roman" w:cs="Calibri"/>
          <w:color w:val="000000"/>
          <w:sz w:val="24"/>
          <w:szCs w:val="24"/>
          <w:lang w:eastAsia="es-ES"/>
        </w:rPr>
        <w:lastRenderedPageBreak/>
        <w:t>intensifican el estigma social. En consecuencia, tanto la prensa digital como las plataformas sociales prolongan el</w:t>
      </w:r>
      <w:r w:rsidR="003B4559">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sufrimiento de las víctimas, extendiendo</w:t>
      </w:r>
      <w:r w:rsidR="003B4559">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su victimización más allá del hecho delictivo inicial.  </w:t>
      </w:r>
    </w:p>
    <w:p w14:paraId="54FEC0B8"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tanto, los medios de comunicación son instrumentos a través de los cuales se transmite información, mensajes o contenidos a un público amplio. Su función principal es informar, educar, entretener y contribuir a la formación de la opinión pública. Están clasificados en dos categorías: los medios tradicionales, como la televisión (telediarios), la </w:t>
      </w:r>
      <w:proofErr w:type="gramStart"/>
      <w:r w:rsidRPr="000E6594">
        <w:rPr>
          <w:rFonts w:eastAsia="Times New Roman" w:cs="Calibri"/>
          <w:color w:val="000000"/>
          <w:sz w:val="24"/>
          <w:szCs w:val="24"/>
          <w:lang w:eastAsia="es-ES"/>
        </w:rPr>
        <w:t>prensa escrita</w:t>
      </w:r>
      <w:proofErr w:type="gramEnd"/>
      <w:r w:rsidRPr="000E6594">
        <w:rPr>
          <w:rFonts w:eastAsia="Times New Roman" w:cs="Calibri"/>
          <w:color w:val="000000"/>
          <w:sz w:val="24"/>
          <w:szCs w:val="24"/>
          <w:lang w:eastAsia="es-ES"/>
        </w:rPr>
        <w:t> (periódicos y revistas) y la radio, y los medios digitales. Estos últimos operan mediante tecnologías digitales, especialmente a través de internet, y permiten la creación, distribución, intercambio y consumo de contenidos informativos, educativos, culturales o de entretenimiento. Dentro de esta categoría se incluyen tanto las redes sociales como los medios de comunicación digitales, que forman el principal foco de análisis del presente trabajo.   </w:t>
      </w:r>
    </w:p>
    <w:p w14:paraId="4C343DB1"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impacto de los medios va más allá de la simp</w:t>
      </w:r>
      <w:r w:rsidR="00F31BD7" w:rsidRPr="000E6594">
        <w:rPr>
          <w:rFonts w:eastAsia="Times New Roman" w:cs="Calibri"/>
          <w:color w:val="000000"/>
          <w:sz w:val="24"/>
          <w:szCs w:val="24"/>
          <w:lang w:eastAsia="es-ES"/>
        </w:rPr>
        <w:t xml:space="preserve">le transmisión de información, </w:t>
      </w:r>
      <w:r w:rsidRPr="000E6594">
        <w:rPr>
          <w:rFonts w:eastAsia="Times New Roman" w:cs="Calibri"/>
          <w:color w:val="000000"/>
          <w:sz w:val="24"/>
          <w:szCs w:val="24"/>
          <w:lang w:eastAsia="es-ES"/>
        </w:rPr>
        <w:t>producen y difunden conocimientos, generan certezas, moldean hábitos y opiniones. En este sentido, se convierten en actores clave en la construcción de la imagen social sobre la seguridad, la delincuencia y la justicia. Actúan como filtros que ofrecen una visión parcial de la realidad, y cuanto más sistemática sea esta representación, mayores son las probabilidades de que se convierta en una versión distorsionada de la misma (Sassone, 2022). Debido al alcance de su influencia, los medios son considerados el “cuarto poder”, ya que configuran la agenda pública y las formas en que la sociedad interpreta los acontecimientos, pudiendo ejercer una influencia exponencial tanto positiva como negativa.  </w:t>
      </w:r>
    </w:p>
    <w:p w14:paraId="0B2F89E5" w14:textId="3E476503"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este contexto, la criminología mediática, se entiende como “la creación de la realidad a través de información, </w:t>
      </w:r>
      <w:proofErr w:type="spellStart"/>
      <w:r w:rsidRPr="000E6594">
        <w:rPr>
          <w:rFonts w:eastAsia="Times New Roman" w:cs="Calibri"/>
          <w:color w:val="000000"/>
          <w:sz w:val="24"/>
          <w:szCs w:val="24"/>
          <w:lang w:eastAsia="es-ES"/>
        </w:rPr>
        <w:t>subinformación</w:t>
      </w:r>
      <w:proofErr w:type="spellEnd"/>
      <w:r w:rsidRPr="000E6594">
        <w:rPr>
          <w:rFonts w:eastAsia="Times New Roman" w:cs="Calibri"/>
          <w:color w:val="000000"/>
          <w:sz w:val="24"/>
          <w:szCs w:val="24"/>
          <w:lang w:eastAsia="es-ES"/>
        </w:rPr>
        <w:t> y desinformación mediática en convergencia con prejuicios y creencias, que se basa en una etiología criminal simplista asentada en la causalidad mágica” (Zaffaroni y Bailone, 2014, 127</w:t>
      </w:r>
      <w:r w:rsidR="00A32DCE" w:rsidRPr="000E6594">
        <w:rPr>
          <w:rFonts w:eastAsia="Times New Roman" w:cs="Calibri"/>
          <w:color w:val="000000"/>
          <w:sz w:val="24"/>
          <w:szCs w:val="24"/>
          <w:lang w:eastAsia="es-ES"/>
        </w:rPr>
        <w:t xml:space="preserve">,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A32DCE" w:rsidRPr="000E6594">
        <w:rPr>
          <w:rFonts w:eastAsia="Times New Roman" w:cs="Calibri"/>
          <w:color w:val="000000"/>
          <w:sz w:val="24"/>
          <w:szCs w:val="24"/>
          <w:lang w:eastAsia="es-ES"/>
        </w:rPr>
        <w:t>Sassone, 2022</w:t>
      </w:r>
      <w:r w:rsidRPr="000E6594">
        <w:rPr>
          <w:rFonts w:eastAsia="Times New Roman" w:cs="Calibri"/>
          <w:color w:val="000000"/>
          <w:sz w:val="24"/>
          <w:szCs w:val="24"/>
          <w:lang w:eastAsia="es-ES"/>
        </w:rPr>
        <w:t xml:space="preserve">). Esta perspectiva no solo se limita a describir los hechos delictivos, sino que construye una representación distorsionada de la realidad, afectando la percepción social del crimen, de los delincuentes y de las víctimas. La criminología mediática influye </w:t>
      </w:r>
      <w:r w:rsidRPr="000E6594">
        <w:rPr>
          <w:rFonts w:eastAsia="Times New Roman" w:cs="Calibri"/>
          <w:color w:val="000000"/>
          <w:sz w:val="24"/>
          <w:szCs w:val="24"/>
          <w:lang w:eastAsia="es-ES"/>
        </w:rPr>
        <w:lastRenderedPageBreak/>
        <w:t>directamente en la opinión pública, contribuye a la legitimación de determinadas respuestas punitivas y refuerza el miedo y la sensación de inseguridad en la sociedad.  </w:t>
      </w:r>
    </w:p>
    <w:p w14:paraId="39C9BA75" w14:textId="3DC88FC0"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Asimismo, la criminología mediática</w:t>
      </w:r>
      <w:r w:rsidR="001226D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adquiere relevancia significativa tanto para la criminología como para la victimología. Desde esta última, se observa cómo los discursos mediáticos generan una forma de victimización secundaria al reproducir estereotipos y prejuicios sobre la víctima, emplear narrativas sensacionalistas, culpabilizarlas </w:t>
      </w:r>
      <w:r w:rsidRPr="000E6594">
        <w:rPr>
          <w:rFonts w:eastAsia="Times New Roman" w:cs="Calibri"/>
          <w:i/>
          <w:iCs/>
          <w:color w:val="000000"/>
          <w:sz w:val="24"/>
          <w:szCs w:val="24"/>
          <w:lang w:eastAsia="es-ES"/>
        </w:rPr>
        <w:t>(</w:t>
      </w:r>
      <w:proofErr w:type="spellStart"/>
      <w:r w:rsidRPr="000E6594">
        <w:rPr>
          <w:rFonts w:eastAsia="Times New Roman" w:cs="Calibri"/>
          <w:i/>
          <w:iCs/>
          <w:color w:val="000000"/>
          <w:sz w:val="24"/>
          <w:szCs w:val="24"/>
          <w:lang w:eastAsia="es-ES"/>
        </w:rPr>
        <w:t>victim</w:t>
      </w:r>
      <w:proofErr w:type="spellEnd"/>
      <w:r w:rsidRPr="000E6594">
        <w:rPr>
          <w:rFonts w:eastAsia="Times New Roman" w:cs="Calibri"/>
          <w:i/>
          <w:iCs/>
          <w:color w:val="000000"/>
          <w:sz w:val="24"/>
          <w:szCs w:val="24"/>
          <w:lang w:eastAsia="es-ES"/>
        </w:rPr>
        <w:t> </w:t>
      </w:r>
      <w:proofErr w:type="spellStart"/>
      <w:r w:rsidRPr="000E6594">
        <w:rPr>
          <w:rFonts w:eastAsia="Times New Roman" w:cs="Calibri"/>
          <w:i/>
          <w:iCs/>
          <w:color w:val="000000"/>
          <w:sz w:val="24"/>
          <w:szCs w:val="24"/>
          <w:lang w:eastAsia="es-ES"/>
        </w:rPr>
        <w:t>blaming</w:t>
      </w:r>
      <w:proofErr w:type="spellEnd"/>
      <w:r w:rsidRPr="000E6594">
        <w:rPr>
          <w:rFonts w:eastAsia="Times New Roman" w:cs="Calibri"/>
          <w:i/>
          <w:iCs/>
          <w:color w:val="000000"/>
          <w:sz w:val="24"/>
          <w:szCs w:val="24"/>
          <w:lang w:eastAsia="es-ES"/>
        </w:rPr>
        <w:t>) </w:t>
      </w:r>
      <w:r w:rsidRPr="000E6594">
        <w:rPr>
          <w:rFonts w:eastAsia="Times New Roman" w:cs="Calibri"/>
          <w:color w:val="000000"/>
          <w:sz w:val="24"/>
          <w:szCs w:val="24"/>
          <w:lang w:eastAsia="es-ES"/>
        </w:rPr>
        <w:t>o difundir detalles íntimos que vulneran su privacidad. Por su parte, desde la perspectiva criminológica, el interés se centra en cómo estos relatos influyen en las reacciones sociales frente al delito, afectando la percepción colectiva sobre la delincuencia, la justicia y las propias víctimas. En este sentido, Sassone (2022) lo explica señalando que la criminología mediática manufactura una realidad que se introyecta en la sociedad y se transforma en opinión pública.  </w:t>
      </w:r>
    </w:p>
    <w:p w14:paraId="0B02F10D"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el marco de la criminología mediática, existen casos en España que ejemplifican de manera precisa la participación de los medios de comunicación y las redes sociales en la construcción de una percepción sesgada respecto a los delitos sexuales, con un impacto directo sobre las víctimas. Un caso representativo es el de La Manada, donde la víctima de una agresión sexual grupal fue sometida a una exposición por parte de los medios y las redes sociales.  </w:t>
      </w:r>
    </w:p>
    <w:p w14:paraId="0AE62B56" w14:textId="6A624D5F"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este orden de ideas, </w:t>
      </w:r>
      <w:r w:rsidR="001A1E6C" w:rsidRPr="000E6594">
        <w:rPr>
          <w:rFonts w:eastAsia="Times New Roman" w:cs="Calibri"/>
          <w:color w:val="000000"/>
          <w:sz w:val="24"/>
          <w:szCs w:val="24"/>
          <w:lang w:eastAsia="es-ES"/>
        </w:rPr>
        <w:t xml:space="preserve">Palma Meza </w:t>
      </w:r>
      <w:r w:rsidRPr="000E6594">
        <w:rPr>
          <w:rFonts w:eastAsia="Times New Roman" w:cs="Calibri"/>
          <w:color w:val="000000"/>
          <w:sz w:val="24"/>
          <w:szCs w:val="24"/>
          <w:lang w:eastAsia="es-ES"/>
        </w:rPr>
        <w:t>(2022) realizó un análisis de cinco piezas periodísticas sobre el caso, identificando resultados de mala praxis como culpabilización de la víctima, estereotipos o prejuicios sobre ella, vulneración de sus derechos, tratamiento del suceso, y el más característico, presente en todos ellos, la construcción de un relato sensacionalista. La cobertura mediática vulneró su derecho a la intimidad al poner el foco en la vida privada de la víctima, y a la dignidad, al excederse en la narración sobre su agresión sexual.  </w:t>
      </w:r>
    </w:p>
    <w:p w14:paraId="3B192AC7" w14:textId="29507F43" w:rsidR="00647E00" w:rsidRPr="000E6594" w:rsidRDefault="009A7BAE" w:rsidP="000E6594">
      <w:pPr>
        <w:spacing w:after="100" w:line="360" w:lineRule="auto"/>
        <w:ind w:firstLine="340"/>
        <w:jc w:val="both"/>
        <w:textAlignment w:val="baseline"/>
        <w:rPr>
          <w:rFonts w:cs="Calibri"/>
          <w:b/>
          <w:bCs/>
        </w:rPr>
      </w:pPr>
      <w:r w:rsidRPr="000E6594">
        <w:rPr>
          <w:rFonts w:eastAsia="Times New Roman" w:cs="Calibri"/>
          <w:color w:val="000000"/>
          <w:sz w:val="24"/>
          <w:szCs w:val="24"/>
          <w:lang w:eastAsia="es-ES"/>
        </w:rPr>
        <w:t>Este abordaje informativo y la viralización del caso</w:t>
      </w:r>
      <w:r w:rsidR="003B4559">
        <w:rPr>
          <w:rFonts w:eastAsia="Times New Roman" w:cs="Calibri"/>
          <w:color w:val="000000"/>
          <w:sz w:val="24"/>
          <w:szCs w:val="24"/>
          <w:lang w:eastAsia="es-ES"/>
        </w:rPr>
        <w:t xml:space="preserve"> en</w:t>
      </w:r>
      <w:r w:rsidRPr="000E6594">
        <w:rPr>
          <w:rFonts w:eastAsia="Times New Roman" w:cs="Calibri"/>
          <w:color w:val="000000"/>
          <w:sz w:val="24"/>
          <w:szCs w:val="24"/>
          <w:lang w:eastAsia="es-ES"/>
        </w:rPr>
        <w:t xml:space="preserve"> redes </w:t>
      </w:r>
      <w:r w:rsidR="003B4559" w:rsidRPr="000E6594">
        <w:rPr>
          <w:rFonts w:eastAsia="Times New Roman" w:cs="Calibri"/>
          <w:color w:val="000000"/>
          <w:sz w:val="24"/>
          <w:szCs w:val="24"/>
          <w:lang w:eastAsia="es-ES"/>
        </w:rPr>
        <w:t>sociales</w:t>
      </w:r>
      <w:r w:rsidRPr="000E6594">
        <w:rPr>
          <w:rFonts w:eastAsia="Times New Roman" w:cs="Calibri"/>
          <w:color w:val="000000"/>
          <w:sz w:val="24"/>
          <w:szCs w:val="24"/>
          <w:lang w:eastAsia="es-ES"/>
        </w:rPr>
        <w:t xml:space="preserve"> </w:t>
      </w:r>
      <w:r w:rsidR="00062B17">
        <w:rPr>
          <w:rFonts w:eastAsia="Times New Roman" w:cs="Calibri"/>
          <w:color w:val="000000"/>
          <w:sz w:val="24"/>
          <w:szCs w:val="24"/>
          <w:lang w:eastAsia="es-ES"/>
        </w:rPr>
        <w:t>provocaron</w:t>
      </w:r>
      <w:r w:rsidRPr="000E6594">
        <w:rPr>
          <w:rFonts w:eastAsia="Times New Roman" w:cs="Calibri"/>
          <w:color w:val="000000"/>
          <w:sz w:val="24"/>
          <w:szCs w:val="24"/>
          <w:lang w:eastAsia="es-ES"/>
        </w:rPr>
        <w:t xml:space="preserve"> su revictimización y la sometió de forma paralela a su juicio legal, a un “juicio público” que puso en duda tanto su credibilidad como la gravedad de la agresión. Esto demuestra cómo la criminología mediática analiza la manera en la que los medios exceden sus funciones al interpretar el delito, simplificarlo y darle significados que responden a prejuicios sociales, resultando en una narrativa que influye en la opinión pública y en </w:t>
      </w:r>
      <w:r w:rsidRPr="000E6594">
        <w:rPr>
          <w:rFonts w:eastAsia="Times New Roman" w:cs="Calibri"/>
          <w:color w:val="000000"/>
          <w:sz w:val="24"/>
          <w:szCs w:val="24"/>
          <w:lang w:eastAsia="es-ES"/>
        </w:rPr>
        <w:lastRenderedPageBreak/>
        <w:t>las respuestas institucionales (Zaffaroni y Bailone, 2014</w:t>
      </w:r>
      <w:r w:rsidR="0037600D" w:rsidRPr="000E6594">
        <w:rPr>
          <w:rFonts w:eastAsia="Times New Roman" w:cs="Calibri"/>
          <w:color w:val="000000"/>
          <w:sz w:val="24"/>
          <w:szCs w:val="24"/>
          <w:lang w:eastAsia="es-ES"/>
        </w:rPr>
        <w:t xml:space="preserve">,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Sassone, 2022).</w:t>
      </w:r>
      <w:r w:rsidRPr="000E6594">
        <w:rPr>
          <w:rFonts w:eastAsia="Times New Roman" w:cs="Calibri"/>
          <w:b/>
          <w:bCs/>
          <w:color w:val="000000"/>
          <w:lang w:eastAsia="es-ES"/>
        </w:rPr>
        <w:t>  </w:t>
      </w:r>
    </w:p>
    <w:p w14:paraId="5A76F1B1" w14:textId="53EB121B" w:rsidR="00771E36"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Por tanto, el objetivo principal de este estudio será analizar la relación entre la revictimización femenina en casos de violencia sexual y la criminología mediática a través de medios digitales.</w:t>
      </w:r>
      <w:r w:rsidR="00A73119" w:rsidRPr="000E6594">
        <w:rPr>
          <w:rFonts w:eastAsia="Times New Roman" w:cs="Calibri"/>
          <w:color w:val="000000"/>
          <w:sz w:val="24"/>
          <w:szCs w:val="24"/>
          <w:lang w:eastAsia="es-ES"/>
        </w:rPr>
        <w:t xml:space="preserve"> El análisis se apoya en </w:t>
      </w:r>
      <w:r w:rsidR="00C57EB4" w:rsidRPr="000E6594">
        <w:rPr>
          <w:rFonts w:eastAsia="Times New Roman" w:cs="Calibri"/>
          <w:color w:val="000000"/>
          <w:sz w:val="24"/>
          <w:szCs w:val="24"/>
          <w:lang w:eastAsia="es-ES"/>
        </w:rPr>
        <w:t>seis</w:t>
      </w:r>
      <w:r w:rsidR="00A73119" w:rsidRPr="000E6594">
        <w:rPr>
          <w:rFonts w:eastAsia="Times New Roman" w:cs="Calibri"/>
          <w:color w:val="000000"/>
          <w:sz w:val="24"/>
          <w:szCs w:val="24"/>
          <w:lang w:eastAsia="es-ES"/>
        </w:rPr>
        <w:t xml:space="preserve"> casos de especial relevancia mediática: el caso de La Manada, </w:t>
      </w:r>
      <w:r w:rsidR="00C57EB4" w:rsidRPr="000E6594">
        <w:rPr>
          <w:rFonts w:eastAsia="Times New Roman" w:cs="Calibri"/>
          <w:color w:val="000000"/>
          <w:sz w:val="24"/>
          <w:szCs w:val="24"/>
          <w:lang w:eastAsia="es-ES"/>
        </w:rPr>
        <w:t xml:space="preserve">una violación grupal ocurrida en los Sanfermines; </w:t>
      </w:r>
      <w:r w:rsidR="00A73119" w:rsidRPr="000E6594">
        <w:rPr>
          <w:rFonts w:eastAsia="Times New Roman" w:cs="Calibri"/>
          <w:color w:val="000000"/>
          <w:sz w:val="24"/>
          <w:szCs w:val="24"/>
          <w:lang w:eastAsia="es-ES"/>
        </w:rPr>
        <w:t xml:space="preserve">el caso Gisèle Pelicot, </w:t>
      </w:r>
      <w:r w:rsidR="000D4F2F" w:rsidRPr="000E6594">
        <w:rPr>
          <w:rFonts w:eastAsia="Times New Roman" w:cs="Calibri"/>
          <w:color w:val="000000"/>
          <w:sz w:val="24"/>
          <w:szCs w:val="24"/>
          <w:lang w:eastAsia="es-ES"/>
        </w:rPr>
        <w:t>quien</w:t>
      </w:r>
      <w:r w:rsidR="00A73119" w:rsidRPr="000E6594">
        <w:rPr>
          <w:rFonts w:eastAsia="Times New Roman" w:cs="Calibri"/>
          <w:color w:val="000000"/>
          <w:sz w:val="24"/>
          <w:szCs w:val="24"/>
          <w:lang w:eastAsia="es-ES"/>
        </w:rPr>
        <w:t xml:space="preserve"> sufrió violaciones bajo sumisión químic</w:t>
      </w:r>
      <w:r w:rsidR="000D4F2F" w:rsidRPr="000E6594">
        <w:rPr>
          <w:rFonts w:eastAsia="Times New Roman" w:cs="Calibri"/>
          <w:color w:val="000000"/>
          <w:sz w:val="24"/>
          <w:szCs w:val="24"/>
          <w:lang w:eastAsia="es-ES"/>
        </w:rPr>
        <w:t>a;</w:t>
      </w:r>
      <w:r w:rsidR="00A73119" w:rsidRPr="000E6594">
        <w:rPr>
          <w:rFonts w:eastAsia="Times New Roman" w:cs="Calibri"/>
          <w:color w:val="000000"/>
          <w:sz w:val="24"/>
          <w:szCs w:val="24"/>
          <w:lang w:eastAsia="es-ES"/>
        </w:rPr>
        <w:t xml:space="preserve"> la violación y asesinato de </w:t>
      </w:r>
      <w:proofErr w:type="spellStart"/>
      <w:r w:rsidR="00A73119" w:rsidRPr="000E6594">
        <w:rPr>
          <w:rFonts w:eastAsia="Times New Roman" w:cs="Calibri"/>
          <w:color w:val="000000"/>
          <w:sz w:val="24"/>
          <w:szCs w:val="24"/>
          <w:lang w:eastAsia="es-ES"/>
        </w:rPr>
        <w:t>Nirbhaya</w:t>
      </w:r>
      <w:proofErr w:type="spellEnd"/>
      <w:r w:rsidR="00A73119" w:rsidRPr="000E6594">
        <w:rPr>
          <w:rFonts w:eastAsia="Times New Roman" w:cs="Calibri"/>
          <w:color w:val="000000"/>
          <w:sz w:val="24"/>
          <w:szCs w:val="24"/>
          <w:lang w:eastAsia="es-ES"/>
        </w:rPr>
        <w:t xml:space="preserve"> </w:t>
      </w:r>
      <w:r w:rsidR="000D4F2F" w:rsidRPr="000E6594">
        <w:rPr>
          <w:rFonts w:eastAsia="Times New Roman" w:cs="Calibri"/>
          <w:color w:val="000000"/>
          <w:sz w:val="24"/>
          <w:szCs w:val="24"/>
          <w:lang w:eastAsia="es-ES"/>
        </w:rPr>
        <w:t>ocurrido en</w:t>
      </w:r>
      <w:r w:rsidR="00A73119" w:rsidRPr="000E6594">
        <w:rPr>
          <w:rFonts w:eastAsia="Times New Roman" w:cs="Calibri"/>
          <w:color w:val="000000"/>
          <w:sz w:val="24"/>
          <w:szCs w:val="24"/>
          <w:lang w:eastAsia="es-ES"/>
        </w:rPr>
        <w:t xml:space="preserve"> India</w:t>
      </w:r>
      <w:r w:rsidR="000D4F2F" w:rsidRPr="000E6594">
        <w:rPr>
          <w:rFonts w:eastAsia="Times New Roman" w:cs="Calibri"/>
          <w:color w:val="000000"/>
          <w:sz w:val="24"/>
          <w:szCs w:val="24"/>
          <w:lang w:eastAsia="es-ES"/>
        </w:rPr>
        <w:t xml:space="preserve">; </w:t>
      </w:r>
      <w:r w:rsidR="00A73119" w:rsidRPr="000E6594">
        <w:rPr>
          <w:rFonts w:eastAsia="Times New Roman" w:cs="Calibri"/>
          <w:color w:val="000000"/>
          <w:sz w:val="24"/>
          <w:szCs w:val="24"/>
          <w:lang w:eastAsia="es-ES"/>
        </w:rPr>
        <w:t xml:space="preserve">una </w:t>
      </w:r>
      <w:r w:rsidR="000D4F2F" w:rsidRPr="000E6594">
        <w:rPr>
          <w:rFonts w:eastAsia="Times New Roman" w:cs="Calibri"/>
          <w:color w:val="000000"/>
          <w:sz w:val="24"/>
          <w:szCs w:val="24"/>
          <w:lang w:eastAsia="es-ES"/>
        </w:rPr>
        <w:t>agresión</w:t>
      </w:r>
      <w:r w:rsidR="00A73119" w:rsidRPr="000E6594">
        <w:rPr>
          <w:rFonts w:eastAsia="Times New Roman" w:cs="Calibri"/>
          <w:color w:val="000000"/>
          <w:sz w:val="24"/>
          <w:szCs w:val="24"/>
          <w:lang w:eastAsia="es-ES"/>
        </w:rPr>
        <w:t xml:space="preserve"> sexual ocurrida en una discoteca de Lima</w:t>
      </w:r>
      <w:r w:rsidR="000D4F2F" w:rsidRPr="000E6594">
        <w:rPr>
          <w:rFonts w:eastAsia="Times New Roman" w:cs="Calibri"/>
          <w:color w:val="000000"/>
          <w:sz w:val="24"/>
          <w:szCs w:val="24"/>
          <w:lang w:eastAsia="es-ES"/>
        </w:rPr>
        <w:t>;</w:t>
      </w:r>
      <w:r w:rsidR="00A73119" w:rsidRPr="000E6594">
        <w:rPr>
          <w:rFonts w:eastAsia="Times New Roman" w:cs="Calibri"/>
          <w:color w:val="000000"/>
          <w:sz w:val="24"/>
          <w:szCs w:val="24"/>
          <w:lang w:eastAsia="es-ES"/>
        </w:rPr>
        <w:t xml:space="preserve"> </w:t>
      </w:r>
      <w:r w:rsidR="00C57EB4" w:rsidRPr="000E6594">
        <w:rPr>
          <w:rFonts w:eastAsia="Times New Roman" w:cs="Calibri"/>
          <w:color w:val="000000"/>
          <w:sz w:val="24"/>
          <w:szCs w:val="24"/>
          <w:lang w:eastAsia="es-ES"/>
        </w:rPr>
        <w:t>la agresión sexual cometida por el futbolista Dani Alves</w:t>
      </w:r>
      <w:r w:rsidR="000D4F2F" w:rsidRPr="000E6594">
        <w:rPr>
          <w:rFonts w:eastAsia="Times New Roman" w:cs="Calibri"/>
          <w:color w:val="000000"/>
          <w:sz w:val="24"/>
          <w:szCs w:val="24"/>
          <w:lang w:eastAsia="es-ES"/>
        </w:rPr>
        <w:t>;</w:t>
      </w:r>
      <w:r w:rsidR="00C57EB4" w:rsidRPr="000E6594">
        <w:rPr>
          <w:rFonts w:eastAsia="Times New Roman" w:cs="Calibri"/>
          <w:color w:val="000000"/>
          <w:sz w:val="24"/>
          <w:szCs w:val="24"/>
          <w:lang w:eastAsia="es-ES"/>
        </w:rPr>
        <w:t xml:space="preserve"> y</w:t>
      </w:r>
      <w:r w:rsidR="00A73119" w:rsidRPr="000E6594">
        <w:rPr>
          <w:rFonts w:eastAsia="Times New Roman" w:cs="Calibri"/>
          <w:color w:val="000000"/>
          <w:sz w:val="24"/>
          <w:szCs w:val="24"/>
          <w:lang w:eastAsia="es-ES"/>
        </w:rPr>
        <w:t xml:space="preserve"> el caso de Martha, víctima de violación grupal en un bar-restaurante.</w:t>
      </w:r>
    </w:p>
    <w:p w14:paraId="4F8AF866" w14:textId="2022FD2D"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b/>
          <w:bCs/>
          <w:color w:val="000000"/>
          <w:sz w:val="24"/>
          <w:szCs w:val="24"/>
          <w:lang w:eastAsia="es-ES"/>
        </w:rPr>
        <w:t xml:space="preserve"> </w:t>
      </w:r>
      <w:r w:rsidRPr="000E6594">
        <w:rPr>
          <w:rFonts w:eastAsia="Times New Roman" w:cs="Calibri"/>
          <w:color w:val="000000"/>
          <w:sz w:val="24"/>
          <w:szCs w:val="24"/>
          <w:lang w:eastAsia="es-ES"/>
        </w:rPr>
        <w:t xml:space="preserve">El presente trabajo dará respuesta a cuestiones clave </w:t>
      </w:r>
      <w:r w:rsidR="00F31BD7" w:rsidRPr="000E6594">
        <w:rPr>
          <w:rFonts w:eastAsia="Times New Roman" w:cs="Calibri"/>
          <w:color w:val="000000"/>
          <w:sz w:val="24"/>
          <w:szCs w:val="24"/>
          <w:lang w:eastAsia="es-ES"/>
        </w:rPr>
        <w:t xml:space="preserve">como el </w:t>
      </w:r>
      <w:r w:rsidRPr="000E6594">
        <w:rPr>
          <w:rFonts w:eastAsia="Times New Roman" w:cs="Calibri"/>
          <w:color w:val="000000"/>
          <w:sz w:val="24"/>
          <w:szCs w:val="24"/>
          <w:lang w:eastAsia="es-ES"/>
        </w:rPr>
        <w:t xml:space="preserve">papel </w:t>
      </w:r>
      <w:r w:rsidR="00F31BD7" w:rsidRPr="000E6594">
        <w:rPr>
          <w:rFonts w:eastAsia="Times New Roman" w:cs="Calibri"/>
          <w:color w:val="000000"/>
          <w:sz w:val="24"/>
          <w:szCs w:val="24"/>
          <w:lang w:eastAsia="es-ES"/>
        </w:rPr>
        <w:t xml:space="preserve">que </w:t>
      </w:r>
      <w:r w:rsidRPr="000E6594">
        <w:rPr>
          <w:rFonts w:eastAsia="Times New Roman" w:cs="Calibri"/>
          <w:color w:val="000000"/>
          <w:sz w:val="24"/>
          <w:szCs w:val="24"/>
          <w:lang w:eastAsia="es-ES"/>
        </w:rPr>
        <w:t>juegan los medios digitales en la construcción de la imagen pública de las víctimas</w:t>
      </w:r>
      <w:r w:rsidR="00F31BD7" w:rsidRPr="000E6594">
        <w:rPr>
          <w:rFonts w:eastAsia="Times New Roman" w:cs="Calibri"/>
          <w:color w:val="000000"/>
          <w:sz w:val="24"/>
          <w:szCs w:val="24"/>
          <w:lang w:eastAsia="es-ES"/>
        </w:rPr>
        <w:t xml:space="preserve">, identificar </w:t>
      </w:r>
      <w:r w:rsidRPr="000E6594">
        <w:rPr>
          <w:rFonts w:eastAsia="Times New Roman" w:cs="Calibri"/>
          <w:color w:val="000000"/>
          <w:sz w:val="24"/>
          <w:szCs w:val="24"/>
          <w:lang w:eastAsia="es-ES"/>
        </w:rPr>
        <w:t>patrones comunes en la revictimización mediática</w:t>
      </w:r>
      <w:r w:rsidR="00F31BD7" w:rsidRPr="000E6594">
        <w:rPr>
          <w:rFonts w:eastAsia="Times New Roman" w:cs="Calibri"/>
          <w:color w:val="000000"/>
          <w:sz w:val="24"/>
          <w:szCs w:val="24"/>
          <w:lang w:eastAsia="es-ES"/>
        </w:rPr>
        <w:t xml:space="preserve">, la participación de las redes sociales en </w:t>
      </w:r>
      <w:r w:rsidRPr="000E6594">
        <w:rPr>
          <w:rFonts w:eastAsia="Times New Roman" w:cs="Calibri"/>
          <w:color w:val="000000"/>
          <w:sz w:val="24"/>
          <w:szCs w:val="24"/>
          <w:lang w:eastAsia="es-ES"/>
        </w:rPr>
        <w:t>la amplificación del estigma social</w:t>
      </w:r>
      <w:r w:rsidR="00F31BD7" w:rsidRPr="000E6594">
        <w:rPr>
          <w:rFonts w:eastAsia="Times New Roman" w:cs="Calibri"/>
          <w:color w:val="000000"/>
          <w:sz w:val="24"/>
          <w:szCs w:val="24"/>
          <w:lang w:eastAsia="es-ES"/>
        </w:rPr>
        <w:t xml:space="preserve">, o sobre las </w:t>
      </w:r>
      <w:r w:rsidRPr="000E6594">
        <w:rPr>
          <w:rFonts w:eastAsia="Times New Roman" w:cs="Calibri"/>
          <w:color w:val="000000"/>
          <w:sz w:val="24"/>
          <w:szCs w:val="24"/>
          <w:lang w:eastAsia="es-ES"/>
        </w:rPr>
        <w:t xml:space="preserve">dinámicas comunicativas en redes </w:t>
      </w:r>
      <w:r w:rsidR="00F31BD7" w:rsidRPr="000E6594">
        <w:rPr>
          <w:rFonts w:eastAsia="Times New Roman" w:cs="Calibri"/>
          <w:color w:val="000000"/>
          <w:sz w:val="24"/>
          <w:szCs w:val="24"/>
          <w:lang w:eastAsia="es-ES"/>
        </w:rPr>
        <w:t xml:space="preserve">sobre </w:t>
      </w:r>
      <w:r w:rsidRPr="000E6594">
        <w:rPr>
          <w:rFonts w:eastAsia="Times New Roman" w:cs="Calibri"/>
          <w:color w:val="000000"/>
          <w:sz w:val="24"/>
          <w:szCs w:val="24"/>
          <w:lang w:eastAsia="es-ES"/>
        </w:rPr>
        <w:t> revic</w:t>
      </w:r>
      <w:r w:rsidR="00F31BD7" w:rsidRPr="000E6594">
        <w:rPr>
          <w:rFonts w:eastAsia="Times New Roman" w:cs="Calibri"/>
          <w:color w:val="000000"/>
          <w:sz w:val="24"/>
          <w:szCs w:val="24"/>
          <w:lang w:eastAsia="es-ES"/>
        </w:rPr>
        <w:t>timización</w:t>
      </w:r>
      <w:r w:rsidRPr="000E6594">
        <w:rPr>
          <w:rFonts w:eastAsia="Times New Roman" w:cs="Calibri"/>
          <w:color w:val="000000"/>
          <w:sz w:val="24"/>
          <w:szCs w:val="24"/>
          <w:lang w:eastAsia="es-ES"/>
        </w:rPr>
        <w:t>. Se trata de una investigación de carácter cualitativo que utiliza las referencias teóricas e investigaciones sobre criminología mediática como marco de análisis para dar respuesta al propósito del estudio.</w:t>
      </w:r>
      <w:r w:rsidRPr="000E6594">
        <w:rPr>
          <w:rFonts w:eastAsia="Times New Roman" w:cs="Calibri"/>
          <w:color w:val="000000"/>
          <w:lang w:eastAsia="es-ES"/>
        </w:rPr>
        <w:t>  </w:t>
      </w:r>
    </w:p>
    <w:p w14:paraId="6D5C33E7" w14:textId="77777777" w:rsidR="00A32825" w:rsidRPr="000E6594" w:rsidRDefault="009A7BAE" w:rsidP="000E6594">
      <w:pPr>
        <w:spacing w:after="100" w:line="360" w:lineRule="auto"/>
        <w:ind w:firstLine="340"/>
        <w:jc w:val="both"/>
        <w:textAlignment w:val="baseline"/>
        <w:rPr>
          <w:rFonts w:cs="Calibri"/>
          <w:color w:val="000000" w:themeColor="text1"/>
        </w:rPr>
      </w:pPr>
      <w:r w:rsidRPr="000E6594">
        <w:rPr>
          <w:rFonts w:eastAsia="Times New Roman" w:cs="Calibri"/>
          <w:color w:val="000000" w:themeColor="text1"/>
          <w:sz w:val="24"/>
          <w:szCs w:val="24"/>
          <w:lang w:eastAsia="es-ES"/>
        </w:rPr>
        <w:t>Finalmente, el trabajo se estructura de manera que la introducción contextualiza sobre los elementos importantes del tema, el objetivo principal y la relevancia del estudio. Le sigue la metodología, que describe el enfoque cualitativo y el método documental empleado, así como el planteamiento del problema, justificación del tema y los objetivos. A continuación, el capítulo de contenido desarrolla los fundamentos teóricos y estudios previos desde la perspectiva de las criminologías mediática, crítica y feminista siguiendo el orden de los objetivos propuestos.  Después, la discusión contrasta la información obtenida en el apartado anterior con los objetivos propuestos, y, por último, las conclusiones recogen las respuestas a cada objetivo y recomendaciones.   </w:t>
      </w:r>
    </w:p>
    <w:p w14:paraId="7FBBF9D2" w14:textId="77777777" w:rsidR="00511DD0" w:rsidRPr="000E6594" w:rsidRDefault="00511DD0" w:rsidP="000E6594">
      <w:pPr>
        <w:spacing w:after="100" w:line="360" w:lineRule="auto"/>
        <w:ind w:firstLine="340"/>
        <w:jc w:val="both"/>
        <w:textAlignment w:val="baseline"/>
        <w:rPr>
          <w:rFonts w:eastAsia="Times New Roman" w:cs="Calibri"/>
          <w:color w:val="000000"/>
          <w:sz w:val="24"/>
          <w:szCs w:val="24"/>
          <w:lang w:eastAsia="es-ES"/>
        </w:rPr>
      </w:pPr>
    </w:p>
    <w:p w14:paraId="0FCB5E0C" w14:textId="55E47FCA" w:rsidR="00647E00" w:rsidRPr="00CF5412" w:rsidRDefault="009A7BAE" w:rsidP="00742554">
      <w:pPr>
        <w:pStyle w:val="Ttulo1"/>
        <w:spacing w:line="360" w:lineRule="auto"/>
        <w:rPr>
          <w:rFonts w:asciiTheme="minorHAnsi" w:hAnsiTheme="minorHAnsi" w:cstheme="minorHAnsi"/>
          <w:b/>
          <w:bCs/>
          <w:color w:val="000000" w:themeColor="text1"/>
          <w:sz w:val="24"/>
          <w:szCs w:val="24"/>
        </w:rPr>
      </w:pPr>
      <w:bookmarkStart w:id="3" w:name="_Toc224333131"/>
      <w:r w:rsidRPr="00CF5412">
        <w:rPr>
          <w:rFonts w:asciiTheme="minorHAnsi" w:eastAsia="Times New Roman" w:hAnsiTheme="minorHAnsi" w:cstheme="minorHAnsi"/>
          <w:b/>
          <w:bCs/>
          <w:color w:val="000000" w:themeColor="text1"/>
          <w:sz w:val="24"/>
          <w:szCs w:val="24"/>
          <w:lang w:eastAsia="es-ES"/>
        </w:rPr>
        <w:lastRenderedPageBreak/>
        <w:t>2.  Metodología</w:t>
      </w:r>
      <w:bookmarkEnd w:id="3"/>
    </w:p>
    <w:p w14:paraId="7A1F36F6" w14:textId="77777777" w:rsidR="00FE30A9" w:rsidRPr="00CF5412" w:rsidRDefault="009A7BAE" w:rsidP="00742554">
      <w:pPr>
        <w:pStyle w:val="Ttulo2"/>
        <w:spacing w:line="360" w:lineRule="auto"/>
        <w:rPr>
          <w:rFonts w:asciiTheme="minorHAnsi" w:eastAsia="Times New Roman" w:hAnsiTheme="minorHAnsi" w:cstheme="minorHAnsi"/>
          <w:b/>
          <w:bCs/>
          <w:color w:val="000000" w:themeColor="text1"/>
          <w:sz w:val="24"/>
          <w:szCs w:val="24"/>
          <w:lang w:eastAsia="es-ES"/>
        </w:rPr>
      </w:pPr>
      <w:bookmarkStart w:id="4" w:name="_Toc224333132"/>
      <w:r w:rsidRPr="00CF5412">
        <w:rPr>
          <w:rFonts w:asciiTheme="minorHAnsi" w:eastAsia="Times New Roman" w:hAnsiTheme="minorHAnsi" w:cstheme="minorHAnsi"/>
          <w:b/>
          <w:bCs/>
          <w:color w:val="000000" w:themeColor="text1"/>
          <w:sz w:val="24"/>
          <w:szCs w:val="24"/>
          <w:lang w:eastAsia="es-ES"/>
        </w:rPr>
        <w:t>2.1 Tipo de investigación.</w:t>
      </w:r>
      <w:bookmarkEnd w:id="4"/>
    </w:p>
    <w:p w14:paraId="3671A297" w14:textId="36580E2B" w:rsidR="00FE30A9" w:rsidRPr="00FE30A9" w:rsidRDefault="00FE30A9" w:rsidP="00742554">
      <w:pPr>
        <w:spacing w:after="100" w:line="360" w:lineRule="auto"/>
        <w:ind w:firstLine="340"/>
        <w:jc w:val="both"/>
        <w:textAlignment w:val="baseline"/>
        <w:rPr>
          <w:rFonts w:eastAsia="Times New Roman" w:cs="Calibri"/>
          <w:color w:val="000000"/>
          <w:sz w:val="24"/>
          <w:szCs w:val="24"/>
          <w:lang w:eastAsia="es-ES"/>
        </w:rPr>
      </w:pPr>
      <w:r w:rsidRPr="00FE30A9">
        <w:rPr>
          <w:rFonts w:eastAsia="Times New Roman" w:cs="Calibri"/>
          <w:color w:val="000000"/>
          <w:sz w:val="24"/>
          <w:szCs w:val="24"/>
          <w:lang w:eastAsia="es-ES"/>
        </w:rPr>
        <w:t xml:space="preserve">El presente Trabajo de Fin de Grado </w:t>
      </w:r>
      <w:r w:rsidR="0087775F" w:rsidRPr="000E6594">
        <w:rPr>
          <w:rFonts w:eastAsia="Times New Roman" w:cs="Calibri"/>
          <w:color w:val="000000"/>
          <w:sz w:val="24"/>
          <w:szCs w:val="24"/>
          <w:lang w:eastAsia="es-ES"/>
        </w:rPr>
        <w:t>es</w:t>
      </w:r>
      <w:r w:rsidRPr="00FE30A9">
        <w:rPr>
          <w:rFonts w:eastAsia="Times New Roman" w:cs="Calibri"/>
          <w:color w:val="000000"/>
          <w:sz w:val="24"/>
          <w:szCs w:val="24"/>
          <w:lang w:eastAsia="es-ES"/>
        </w:rPr>
        <w:t xml:space="preserve"> una revisión documental de la literatura científica y especializada disponible sobre el tema objeto de estudio. </w:t>
      </w:r>
    </w:p>
    <w:p w14:paraId="407756CB" w14:textId="5CDE77E6" w:rsidR="00FE30A9" w:rsidRPr="00FE30A9" w:rsidRDefault="00FE30A9" w:rsidP="000E6594">
      <w:pPr>
        <w:spacing w:after="100" w:line="360" w:lineRule="auto"/>
        <w:ind w:firstLine="340"/>
        <w:jc w:val="both"/>
        <w:textAlignment w:val="baseline"/>
        <w:rPr>
          <w:rFonts w:eastAsia="Times New Roman" w:cs="Calibri"/>
          <w:color w:val="000000"/>
          <w:sz w:val="24"/>
          <w:szCs w:val="24"/>
          <w:lang w:eastAsia="es-ES"/>
        </w:rPr>
      </w:pPr>
      <w:r w:rsidRPr="00FE30A9">
        <w:rPr>
          <w:rFonts w:eastAsia="Times New Roman" w:cs="Calibri"/>
          <w:color w:val="000000"/>
          <w:sz w:val="24"/>
          <w:szCs w:val="24"/>
          <w:lang w:eastAsia="es-ES"/>
        </w:rPr>
        <w:t>Para la búsqueda bibliográfica se recurrió a las bases de datos</w:t>
      </w:r>
      <w:r w:rsidR="0087775F" w:rsidRPr="000E6594">
        <w:rPr>
          <w:rFonts w:eastAsia="Times New Roman" w:cs="Calibri"/>
          <w:color w:val="000000"/>
          <w:sz w:val="24"/>
          <w:szCs w:val="24"/>
          <w:lang w:eastAsia="es-ES"/>
        </w:rPr>
        <w:t xml:space="preserve"> tales como</w:t>
      </w:r>
      <w:r w:rsidRPr="00FE30A9">
        <w:rPr>
          <w:rFonts w:eastAsia="Times New Roman" w:cs="Calibri"/>
          <w:color w:val="000000"/>
          <w:sz w:val="24"/>
          <w:szCs w:val="24"/>
          <w:lang w:eastAsia="es-ES"/>
        </w:rPr>
        <w:t xml:space="preserve"> Google Scholar, PubMed y </w:t>
      </w:r>
      <w:proofErr w:type="spellStart"/>
      <w:r w:rsidRPr="00FE30A9">
        <w:rPr>
          <w:rFonts w:eastAsia="Times New Roman" w:cs="Calibri"/>
          <w:color w:val="000000"/>
          <w:sz w:val="24"/>
          <w:szCs w:val="24"/>
          <w:lang w:eastAsia="es-ES"/>
        </w:rPr>
        <w:t>PsycINFO</w:t>
      </w:r>
      <w:proofErr w:type="spellEnd"/>
      <w:r w:rsidRPr="00FE30A9">
        <w:rPr>
          <w:rFonts w:eastAsia="Times New Roman" w:cs="Calibri"/>
          <w:color w:val="000000"/>
          <w:sz w:val="24"/>
          <w:szCs w:val="24"/>
          <w:lang w:eastAsia="es-ES"/>
        </w:rPr>
        <w:t>, complementándose con la consulta de artículos periodísticos y páginas web de carácter especializado. En cuanto a la autoría, se priorizaron trabajos elaborados por profesionales de la psicología, la criminología, la sociología, el derecho y el periodismo especializado, con el fin de garantizar el rigor y la solidez de las fuentes empleadas.</w:t>
      </w:r>
      <w:r w:rsidR="002871A0">
        <w:rPr>
          <w:rFonts w:eastAsia="Times New Roman" w:cs="Calibri"/>
          <w:color w:val="000000"/>
          <w:sz w:val="24"/>
          <w:szCs w:val="24"/>
          <w:lang w:eastAsia="es-ES"/>
        </w:rPr>
        <w:t xml:space="preserve"> Asimismo, se tomaron </w:t>
      </w:r>
      <w:r w:rsidR="002871A0" w:rsidRPr="002871A0">
        <w:rPr>
          <w:rFonts w:eastAsia="Times New Roman" w:cs="Calibri"/>
          <w:color w:val="000000"/>
          <w:sz w:val="24"/>
          <w:szCs w:val="24"/>
          <w:lang w:eastAsia="es-ES"/>
        </w:rPr>
        <w:t xml:space="preserve">como referencia seis casos de alta repercusión mediática: La Manada, Gisèle Pelicot, </w:t>
      </w:r>
      <w:proofErr w:type="spellStart"/>
      <w:r w:rsidR="002871A0" w:rsidRPr="002871A0">
        <w:rPr>
          <w:rFonts w:eastAsia="Times New Roman" w:cs="Calibri"/>
          <w:color w:val="000000"/>
          <w:sz w:val="24"/>
          <w:szCs w:val="24"/>
          <w:lang w:eastAsia="es-ES"/>
        </w:rPr>
        <w:t>Nirbhaya</w:t>
      </w:r>
      <w:proofErr w:type="spellEnd"/>
      <w:r w:rsidR="002871A0" w:rsidRPr="002871A0">
        <w:rPr>
          <w:rFonts w:eastAsia="Times New Roman" w:cs="Calibri"/>
          <w:color w:val="000000"/>
          <w:sz w:val="24"/>
          <w:szCs w:val="24"/>
          <w:lang w:eastAsia="es-ES"/>
        </w:rPr>
        <w:t>, una agresión sexual en Lima, el caso Dani Alves y el caso de Martha.</w:t>
      </w:r>
    </w:p>
    <w:p w14:paraId="3D497EB7" w14:textId="3950E1EF" w:rsidR="00FE30A9" w:rsidRPr="00FE30A9" w:rsidRDefault="00FE30A9" w:rsidP="002871A0">
      <w:pPr>
        <w:spacing w:after="100" w:line="360" w:lineRule="auto"/>
        <w:ind w:firstLine="340"/>
        <w:jc w:val="both"/>
        <w:textAlignment w:val="baseline"/>
        <w:rPr>
          <w:rFonts w:eastAsia="Times New Roman" w:cs="Calibri"/>
          <w:color w:val="000000"/>
          <w:sz w:val="24"/>
          <w:szCs w:val="24"/>
          <w:lang w:eastAsia="es-ES"/>
        </w:rPr>
      </w:pPr>
      <w:r w:rsidRPr="00FE30A9">
        <w:rPr>
          <w:rFonts w:eastAsia="Times New Roman" w:cs="Calibri"/>
          <w:color w:val="000000"/>
          <w:sz w:val="24"/>
          <w:szCs w:val="24"/>
          <w:lang w:eastAsia="es-ES"/>
        </w:rPr>
        <w:t xml:space="preserve">Respecto a los criterios temporales, se incluyeron publicaciones a partir de 2015, asegurando así la actualidad y pertinencia de la información recogida. En cuanto al idioma, no se estableció ninguna restricción al </w:t>
      </w:r>
      <w:r w:rsidR="004419EB" w:rsidRPr="000E6594">
        <w:rPr>
          <w:rFonts w:eastAsia="Times New Roman" w:cs="Calibri"/>
          <w:color w:val="000000"/>
          <w:sz w:val="24"/>
          <w:szCs w:val="24"/>
          <w:lang w:eastAsia="es-ES"/>
        </w:rPr>
        <w:t>respecto,</w:t>
      </w:r>
      <w:r w:rsidR="00B0398A" w:rsidRPr="000E6594">
        <w:rPr>
          <w:rFonts w:eastAsia="Times New Roman" w:cs="Calibri"/>
          <w:color w:val="000000"/>
          <w:sz w:val="24"/>
          <w:szCs w:val="24"/>
          <w:lang w:eastAsia="es-ES"/>
        </w:rPr>
        <w:t xml:space="preserve"> aunque </w:t>
      </w:r>
      <w:r w:rsidR="004419EB" w:rsidRPr="000E6594">
        <w:rPr>
          <w:rFonts w:eastAsia="Times New Roman" w:cs="Calibri"/>
          <w:color w:val="000000"/>
          <w:sz w:val="24"/>
          <w:szCs w:val="24"/>
          <w:lang w:eastAsia="es-ES"/>
        </w:rPr>
        <w:t>de</w:t>
      </w:r>
      <w:r w:rsidRPr="00FE30A9">
        <w:rPr>
          <w:rFonts w:eastAsia="Times New Roman" w:cs="Calibri"/>
          <w:color w:val="000000"/>
          <w:sz w:val="24"/>
          <w:szCs w:val="24"/>
          <w:lang w:eastAsia="es-ES"/>
        </w:rPr>
        <w:t xml:space="preserve"> forma predominante se utilizaron fuentes en lengua española</w:t>
      </w:r>
      <w:r w:rsidR="00280AE5" w:rsidRPr="000E6594">
        <w:rPr>
          <w:rFonts w:eastAsia="Times New Roman" w:cs="Calibri"/>
          <w:color w:val="000000"/>
          <w:sz w:val="24"/>
          <w:szCs w:val="24"/>
          <w:lang w:eastAsia="es-ES"/>
        </w:rPr>
        <w:t xml:space="preserve">. Sin embargo, </w:t>
      </w:r>
      <w:r w:rsidRPr="00FE30A9">
        <w:rPr>
          <w:rFonts w:eastAsia="Times New Roman" w:cs="Calibri"/>
          <w:color w:val="000000"/>
          <w:sz w:val="24"/>
          <w:szCs w:val="24"/>
          <w:lang w:eastAsia="es-ES"/>
        </w:rPr>
        <w:t>también</w:t>
      </w:r>
      <w:r w:rsidR="00E32621" w:rsidRPr="000E6594">
        <w:rPr>
          <w:rFonts w:eastAsia="Times New Roman" w:cs="Calibri"/>
          <w:color w:val="000000"/>
          <w:sz w:val="24"/>
          <w:szCs w:val="24"/>
          <w:lang w:eastAsia="es-ES"/>
        </w:rPr>
        <w:t xml:space="preserve"> se incorporaron</w:t>
      </w:r>
      <w:r w:rsidRPr="00FE30A9">
        <w:rPr>
          <w:rFonts w:eastAsia="Times New Roman" w:cs="Calibri"/>
          <w:color w:val="000000"/>
          <w:sz w:val="24"/>
          <w:szCs w:val="24"/>
          <w:lang w:eastAsia="es-ES"/>
        </w:rPr>
        <w:t xml:space="preserve"> algunos documentos en inglés cuando su contenido resultó de especial interés para el desarrollo del trabajo.</w:t>
      </w:r>
      <w:r w:rsidR="002871A0">
        <w:rPr>
          <w:rFonts w:eastAsia="Times New Roman" w:cs="Calibri"/>
          <w:color w:val="000000"/>
          <w:sz w:val="24"/>
          <w:szCs w:val="24"/>
          <w:lang w:eastAsia="es-ES"/>
        </w:rPr>
        <w:t xml:space="preserve"> </w:t>
      </w:r>
    </w:p>
    <w:p w14:paraId="7FA4BEB9" w14:textId="66409319" w:rsidR="00042945" w:rsidRPr="000E6594" w:rsidRDefault="00EF4B49" w:rsidP="000E6594">
      <w:pPr>
        <w:spacing w:after="100" w:line="360" w:lineRule="auto"/>
        <w:ind w:firstLine="340"/>
        <w:jc w:val="both"/>
        <w:textAlignment w:val="baseline"/>
        <w:rPr>
          <w:rFonts w:eastAsia="Times New Roman" w:cs="Calibri"/>
          <w:color w:val="000000"/>
          <w:sz w:val="24"/>
          <w:szCs w:val="24"/>
          <w:lang w:eastAsia="es-ES"/>
        </w:rPr>
      </w:pPr>
      <w:r w:rsidRPr="00EF4B49">
        <w:rPr>
          <w:rFonts w:eastAsia="Times New Roman" w:cs="Calibri"/>
          <w:color w:val="000000"/>
          <w:sz w:val="24"/>
          <w:szCs w:val="24"/>
          <w:lang w:eastAsia="es-ES"/>
        </w:rPr>
        <w:t>En total, se consultaron y revisaron 74 artículos y documentos incorporados al trabajo. Quedaron excluidos aquellos textos que no cumplían con los criterios de inclusión establecidos: los Trabajos de Fin de Grado, los documentos elaborados por personas sin formación o experiencia acreditada en la materia, las publicaciones anteriores a 2015 —a excepción de tres fuentes consideradas pertinentes por la relevancia de su contenido— y aquellos trabajos cuyo tema no guardaba relación directa con el objeto de estudio.</w:t>
      </w:r>
    </w:p>
    <w:p w14:paraId="6E35BEA8" w14:textId="77777777" w:rsidR="00042945" w:rsidRPr="000E6594" w:rsidRDefault="00042945" w:rsidP="000E6594">
      <w:pPr>
        <w:spacing w:after="100" w:line="360" w:lineRule="auto"/>
        <w:ind w:firstLine="340"/>
        <w:jc w:val="both"/>
        <w:textAlignment w:val="baseline"/>
        <w:rPr>
          <w:rFonts w:cs="Calibri"/>
        </w:rPr>
      </w:pPr>
    </w:p>
    <w:p w14:paraId="1EE03230" w14:textId="77777777" w:rsidR="00042945" w:rsidRPr="00742554" w:rsidRDefault="009A7BAE" w:rsidP="00742554">
      <w:pPr>
        <w:pStyle w:val="Ttulo2"/>
        <w:spacing w:line="360" w:lineRule="auto"/>
        <w:rPr>
          <w:rFonts w:ascii="Calibri" w:eastAsia="Times New Roman" w:hAnsi="Calibri" w:cs="Calibri"/>
          <w:b/>
          <w:bCs/>
          <w:color w:val="000000" w:themeColor="text1"/>
          <w:sz w:val="24"/>
          <w:szCs w:val="24"/>
          <w:lang w:eastAsia="es-ES"/>
        </w:rPr>
      </w:pPr>
      <w:bookmarkStart w:id="5" w:name="_Toc224333133"/>
      <w:r w:rsidRPr="00742554">
        <w:rPr>
          <w:rFonts w:ascii="Calibri" w:eastAsia="Times New Roman" w:hAnsi="Calibri" w:cs="Calibri"/>
          <w:b/>
          <w:bCs/>
          <w:color w:val="000000" w:themeColor="text1"/>
          <w:sz w:val="24"/>
          <w:szCs w:val="24"/>
          <w:lang w:eastAsia="es-ES"/>
        </w:rPr>
        <w:t>2.2 Planteamiento del problema</w:t>
      </w:r>
      <w:bookmarkEnd w:id="5"/>
      <w:r w:rsidRPr="00742554">
        <w:rPr>
          <w:rFonts w:ascii="Calibri" w:eastAsia="Times New Roman" w:hAnsi="Calibri" w:cs="Calibri"/>
          <w:b/>
          <w:bCs/>
          <w:color w:val="000000" w:themeColor="text1"/>
          <w:sz w:val="24"/>
          <w:szCs w:val="24"/>
          <w:lang w:eastAsia="es-ES"/>
        </w:rPr>
        <w:t> </w:t>
      </w:r>
    </w:p>
    <w:p w14:paraId="19F2185B" w14:textId="6FD6AEDA" w:rsidR="00647E00" w:rsidRPr="000E6594" w:rsidRDefault="009A7BAE" w:rsidP="0074255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En el contexto del Estado español, existen leyes destinadas a la prevención y concientización de un tratamiento mediático que proteja a las víctimas de violencia sexual de ser revictimizadas. Por ejemplo, </w:t>
      </w:r>
      <w:r w:rsidR="003919E1">
        <w:rPr>
          <w:rFonts w:eastAsia="Times New Roman" w:cs="Calibri"/>
          <w:color w:val="000000"/>
          <w:sz w:val="24"/>
          <w:szCs w:val="24"/>
          <w:lang w:eastAsia="es-ES"/>
        </w:rPr>
        <w:t>l</w:t>
      </w:r>
      <w:r w:rsidRPr="000E6594">
        <w:rPr>
          <w:rFonts w:eastAsia="Times New Roman" w:cs="Calibri"/>
          <w:color w:val="000000"/>
          <w:sz w:val="24"/>
          <w:szCs w:val="24"/>
          <w:lang w:eastAsia="es-ES"/>
        </w:rPr>
        <w:t xml:space="preserve">eyes como la 4/2015, de 27 de abril, del Estatuto de la víctima del delito y la L.O. 10/2022, de 6 de septiembre, de Garantía </w:t>
      </w:r>
      <w:r w:rsidRPr="000E6594">
        <w:rPr>
          <w:rFonts w:eastAsia="Times New Roman" w:cs="Calibri"/>
          <w:color w:val="000000"/>
          <w:sz w:val="24"/>
          <w:szCs w:val="24"/>
          <w:lang w:eastAsia="es-ES"/>
        </w:rPr>
        <w:lastRenderedPageBreak/>
        <w:t>Integral de la Libertad Sexual, establecen cómo deben actuar los medios para tratar a las víctimas ética y respetuosamente y prevenir más daños. Esta última Ley, recoge en su artículo 10, medidas de prevención específicamente en el ámbito digital y de la comunicación, indicando: </w:t>
      </w:r>
    </w:p>
    <w:p w14:paraId="779D2862" w14:textId="73E2832B" w:rsidR="00647E00" w:rsidRPr="000E6594" w:rsidRDefault="009A7BAE" w:rsidP="000E6594">
      <w:pPr>
        <w:pStyle w:val="Prrafodelista"/>
        <w:numPr>
          <w:ilvl w:val="0"/>
          <w:numId w:val="8"/>
        </w:numPr>
        <w:spacing w:after="100" w:line="360" w:lineRule="auto"/>
        <w:jc w:val="both"/>
        <w:textAlignment w:val="baseline"/>
        <w:rPr>
          <w:rFonts w:cs="Calibri"/>
        </w:rPr>
      </w:pPr>
      <w:r w:rsidRPr="000E6594">
        <w:rPr>
          <w:rFonts w:eastAsia="Times New Roman" w:cs="Calibri"/>
          <w:color w:val="000000"/>
          <w:sz w:val="24"/>
          <w:szCs w:val="24"/>
          <w:lang w:eastAsia="es-ES"/>
        </w:rPr>
        <w:t>Formación del personal de los medios de comunicación con el fin de capacitarlo para informar sobre las violencias sexuales con objetividad, sin estereotipos de género, con pleno respeto a la dignidad de las víctimas y su derecho a la libertad, el honor, la intimidad, la propia imagen y la protección de datos. </w:t>
      </w:r>
    </w:p>
    <w:p w14:paraId="632322D2" w14:textId="5DF3B78C"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Sin embargo, no hay procedimientos sancionadores específicos que penalicen el tratamiento mediático inadecuado de la violencia sexual. Por lo tanto, queda a cargo de la formación profesional y en la ética individual la responsabilidad de asegurar un enfoque rig</w:t>
      </w:r>
      <w:r w:rsidR="003919E1">
        <w:rPr>
          <w:rFonts w:eastAsia="Times New Roman" w:cs="Calibri"/>
          <w:color w:val="000000"/>
          <w:sz w:val="24"/>
          <w:szCs w:val="24"/>
          <w:lang w:eastAsia="es-ES"/>
        </w:rPr>
        <w:t>u</w:t>
      </w:r>
      <w:r w:rsidRPr="000E6594">
        <w:rPr>
          <w:rFonts w:eastAsia="Times New Roman" w:cs="Calibri"/>
          <w:color w:val="000000"/>
          <w:sz w:val="24"/>
          <w:szCs w:val="24"/>
          <w:lang w:eastAsia="es-ES"/>
        </w:rPr>
        <w:t>roso, respetuoso y sensible.  </w:t>
      </w:r>
    </w:p>
    <w:p w14:paraId="55FBCFCB" w14:textId="69D56D4B"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En este </w:t>
      </w:r>
      <w:r w:rsidR="000F4F4D" w:rsidRPr="000E6594">
        <w:rPr>
          <w:rFonts w:eastAsia="Times New Roman" w:cs="Calibri"/>
          <w:color w:val="000000"/>
          <w:sz w:val="24"/>
          <w:szCs w:val="24"/>
          <w:lang w:eastAsia="es-ES"/>
        </w:rPr>
        <w:t xml:space="preserve">sentido, Sánchez-Ramos y Zurbano-Berenguer (2025) </w:t>
      </w:r>
      <w:r w:rsidR="000D4F2F" w:rsidRPr="000E6594">
        <w:rPr>
          <w:rFonts w:eastAsia="Times New Roman" w:cs="Calibri"/>
          <w:color w:val="000000"/>
          <w:sz w:val="24"/>
          <w:szCs w:val="24"/>
          <w:lang w:eastAsia="es-ES"/>
        </w:rPr>
        <w:t>hicieron</w:t>
      </w:r>
      <w:r w:rsidRPr="000E6594">
        <w:rPr>
          <w:rFonts w:eastAsia="Times New Roman" w:cs="Calibri"/>
          <w:color w:val="000000"/>
          <w:sz w:val="24"/>
          <w:szCs w:val="24"/>
          <w:lang w:eastAsia="es-ES"/>
        </w:rPr>
        <w:t xml:space="preserve"> un análisis de 49 documentos deontológicos existentes en el Estado</w:t>
      </w:r>
      <w:r w:rsidR="00AD0567"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español específicos de esta problemática y corrobora</w:t>
      </w:r>
      <w:r w:rsidR="000D4F2F" w:rsidRPr="000E6594">
        <w:rPr>
          <w:rFonts w:eastAsia="Times New Roman" w:cs="Calibri"/>
          <w:color w:val="000000"/>
          <w:sz w:val="24"/>
          <w:szCs w:val="24"/>
          <w:lang w:eastAsia="es-ES"/>
        </w:rPr>
        <w:t>n</w:t>
      </w:r>
      <w:r w:rsidRPr="000E6594">
        <w:rPr>
          <w:rFonts w:eastAsia="Times New Roman" w:cs="Calibri"/>
          <w:color w:val="000000"/>
          <w:sz w:val="24"/>
          <w:szCs w:val="24"/>
          <w:lang w:eastAsia="es-ES"/>
        </w:rPr>
        <w:t xml:space="preserve"> la ausencia de directrices deontológicas </w:t>
      </w:r>
      <w:r w:rsidR="00AD0567" w:rsidRPr="000E6594">
        <w:rPr>
          <w:rFonts w:eastAsia="Times New Roman" w:cs="Calibri"/>
          <w:color w:val="000000"/>
          <w:sz w:val="24"/>
          <w:szCs w:val="24"/>
          <w:lang w:eastAsia="es-ES"/>
        </w:rPr>
        <w:t>propias</w:t>
      </w:r>
      <w:r w:rsidRPr="000E6594">
        <w:rPr>
          <w:rFonts w:eastAsia="Times New Roman" w:cs="Calibri"/>
          <w:color w:val="000000"/>
          <w:sz w:val="24"/>
          <w:szCs w:val="24"/>
          <w:lang w:eastAsia="es-ES"/>
        </w:rPr>
        <w:t xml:space="preserve"> para el tratamiento periodístico de la violencia sexual. También </w:t>
      </w:r>
      <w:r w:rsidR="000D4F2F" w:rsidRPr="000E6594">
        <w:rPr>
          <w:rFonts w:eastAsia="Times New Roman" w:cs="Calibri"/>
          <w:color w:val="000000"/>
          <w:sz w:val="24"/>
          <w:szCs w:val="24"/>
          <w:lang w:eastAsia="es-ES"/>
        </w:rPr>
        <w:t>señalaron</w:t>
      </w:r>
      <w:r w:rsidRPr="000E6594">
        <w:rPr>
          <w:rFonts w:eastAsia="Times New Roman" w:cs="Calibri"/>
          <w:color w:val="000000"/>
          <w:sz w:val="24"/>
          <w:szCs w:val="24"/>
          <w:lang w:eastAsia="es-ES"/>
        </w:rPr>
        <w:t xml:space="preserve"> que hay acuerdos firmes sobre el tratamiento de determinados temas, tales como la forma en la que debe abordarse la figura del agresor, de la víctima y cómo debe presentarse la in</w:t>
      </w:r>
      <w:r w:rsidR="00042945" w:rsidRPr="000E6594">
        <w:rPr>
          <w:rFonts w:eastAsia="Times New Roman" w:cs="Calibri"/>
          <w:color w:val="000000"/>
          <w:sz w:val="24"/>
          <w:szCs w:val="24"/>
          <w:lang w:eastAsia="es-ES"/>
        </w:rPr>
        <w:t xml:space="preserve">formación. Consecuentemente, </w:t>
      </w:r>
      <w:r w:rsidRPr="000E6594">
        <w:rPr>
          <w:rFonts w:eastAsia="Times New Roman" w:cs="Calibri"/>
          <w:color w:val="000000"/>
          <w:sz w:val="24"/>
          <w:szCs w:val="24"/>
          <w:lang w:eastAsia="es-ES"/>
        </w:rPr>
        <w:t>concluye</w:t>
      </w:r>
      <w:r w:rsidR="000D4F2F" w:rsidRPr="000E6594">
        <w:rPr>
          <w:rFonts w:eastAsia="Times New Roman" w:cs="Calibri"/>
          <w:color w:val="000000"/>
          <w:sz w:val="24"/>
          <w:szCs w:val="24"/>
          <w:lang w:eastAsia="es-ES"/>
        </w:rPr>
        <w:t>n</w:t>
      </w:r>
      <w:r w:rsidRPr="000E6594">
        <w:rPr>
          <w:rFonts w:eastAsia="Times New Roman" w:cs="Calibri"/>
          <w:color w:val="000000"/>
          <w:sz w:val="24"/>
          <w:szCs w:val="24"/>
          <w:lang w:eastAsia="es-ES"/>
        </w:rPr>
        <w:t xml:space="preserve"> que en la actualidad existe un escenario favorable para la incorporación de herramientas formativas y éticas en las universidades y en los medios de comunicación.  </w:t>
      </w:r>
    </w:p>
    <w:p w14:paraId="385F821A" w14:textId="07FC3EE4"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Por citar un caso tipo sobre este tipo </w:t>
      </w:r>
      <w:r w:rsidR="00F8587A">
        <w:rPr>
          <w:rFonts w:eastAsia="Times New Roman" w:cs="Calibri"/>
          <w:color w:val="000000"/>
          <w:sz w:val="24"/>
          <w:szCs w:val="24"/>
          <w:lang w:eastAsia="es-ES"/>
        </w:rPr>
        <w:t xml:space="preserve">de </w:t>
      </w:r>
      <w:r w:rsidRPr="000E6594">
        <w:rPr>
          <w:rFonts w:eastAsia="Times New Roman" w:cs="Calibri"/>
          <w:color w:val="000000"/>
          <w:sz w:val="24"/>
          <w:szCs w:val="24"/>
          <w:lang w:eastAsia="es-ES"/>
        </w:rPr>
        <w:t>problemática, referimos sobre el análisis del discurso mediático de la agresión sexual cometida por el futbolista Dani Alves. Barba Arteaga (2023), analiza dos diarios españoles El Mundo y El País, y concluye que las noticias publicadas otorgan estrategias de credibilidad tanto al autor como a la víctima y contribuyen a la perpetuación de estereotipos de género y la cultura de la violación a través de patrones narrativos específicos.  </w:t>
      </w:r>
    </w:p>
    <w:p w14:paraId="430EF3BD" w14:textId="4A33472D"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Específicamente, en el diario El Mundo, se desplaza el foco informativo de la víctima hacia la figura del futbolista, indagando en su carrera profesional, en su vida privada y en las consecuencias derivadas de la denuncia e incluso resaltando sus virtudes y apoyos. Asimismo, observa el uso de una narrativa que refuerza el concepto </w:t>
      </w:r>
      <w:r w:rsidRPr="000E6594">
        <w:rPr>
          <w:rFonts w:eastAsia="Times New Roman" w:cs="Calibri"/>
          <w:color w:val="000000"/>
          <w:sz w:val="24"/>
          <w:szCs w:val="24"/>
          <w:lang w:eastAsia="es-ES"/>
        </w:rPr>
        <w:lastRenderedPageBreak/>
        <w:t xml:space="preserve">socialmente extendido de "la víctima ideal”, definido como una categoría de personas a las cuales se les concede de forma completa y legítima el estatus de víctima tras haber sido agredidas </w:t>
      </w:r>
      <w:r w:rsidR="00771E36" w:rsidRPr="000E6594">
        <w:rPr>
          <w:rFonts w:eastAsia="Times New Roman" w:cs="Calibri"/>
          <w:color w:val="000000"/>
          <w:sz w:val="24"/>
          <w:szCs w:val="24"/>
          <w:lang w:eastAsia="es-ES"/>
        </w:rPr>
        <w:t>(Sánchez Rubio, 2022).  </w:t>
      </w:r>
      <w:r w:rsidRPr="000E6594">
        <w:rPr>
          <w:rFonts w:eastAsia="Times New Roman" w:cs="Calibri"/>
          <w:color w:val="000000"/>
          <w:sz w:val="24"/>
          <w:szCs w:val="24"/>
          <w:lang w:eastAsia="es-ES"/>
        </w:rPr>
        <w:t>En la redacción periodística, este fenómeno se ve reflejado a través del énfasis el sufrimiento de la víctima tras la agresión, su renuncia a la compensación económica y la violencia ejercida en el delito como elementos que legitiman su credibilidad.   </w:t>
      </w:r>
    </w:p>
    <w:p w14:paraId="2FA980C3"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lo tanto, las narraciones periodísticas analizadas muestran un tratamiento mediático caracterizado por la falta de neutralidad, que resulta en la revictimización de la denunciante y en la necesidad de encajar en la percepción social de cómo debe ser la agresión sexual y la víctima de esta para evitar la culpabilización.</w:t>
      </w:r>
      <w:r w:rsidRPr="000E6594">
        <w:rPr>
          <w:rFonts w:eastAsia="Times New Roman" w:cs="Calibri"/>
          <w:color w:val="000000"/>
          <w:lang w:eastAsia="es-ES"/>
        </w:rPr>
        <w:t>  </w:t>
      </w:r>
    </w:p>
    <w:p w14:paraId="14BD9049" w14:textId="77777777" w:rsidR="00647E00" w:rsidRPr="000E6594" w:rsidRDefault="00042945"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lo tanto, e</w:t>
      </w:r>
      <w:r w:rsidR="009A7BAE" w:rsidRPr="000E6594">
        <w:rPr>
          <w:rFonts w:eastAsia="Times New Roman" w:cs="Calibri"/>
          <w:color w:val="000000"/>
          <w:sz w:val="24"/>
          <w:szCs w:val="24"/>
          <w:lang w:eastAsia="es-ES"/>
        </w:rPr>
        <w:t>sta problemática se debe de abordar</w:t>
      </w:r>
      <w:r w:rsidRPr="000E6594">
        <w:rPr>
          <w:rFonts w:eastAsia="Times New Roman" w:cs="Calibri"/>
          <w:color w:val="000000"/>
          <w:sz w:val="24"/>
          <w:szCs w:val="24"/>
          <w:lang w:eastAsia="es-ES"/>
        </w:rPr>
        <w:t xml:space="preserve">, ya que </w:t>
      </w:r>
      <w:r w:rsidR="009A7BAE" w:rsidRPr="000E6594">
        <w:rPr>
          <w:rFonts w:eastAsia="Times New Roman" w:cs="Calibri"/>
          <w:color w:val="000000"/>
          <w:sz w:val="24"/>
          <w:szCs w:val="24"/>
          <w:lang w:eastAsia="es-ES"/>
        </w:rPr>
        <w:t>en la actualidad nos encontramos casos de mujeres que son víctimas tanto de su agresor como de la carencia de reglamento firme y el consenso de un código deontológico específico para las víctimas de violencia sexual.    </w:t>
      </w:r>
    </w:p>
    <w:p w14:paraId="4754F305" w14:textId="77777777" w:rsidR="00C967A6" w:rsidRPr="00B03ACC" w:rsidRDefault="00C967A6" w:rsidP="000E6594">
      <w:pPr>
        <w:spacing w:after="100" w:line="360" w:lineRule="auto"/>
        <w:ind w:firstLine="340"/>
        <w:jc w:val="both"/>
        <w:textAlignment w:val="baseline"/>
        <w:rPr>
          <w:rFonts w:eastAsia="Times New Roman" w:cs="Calibri"/>
          <w:b/>
          <w:bCs/>
          <w:color w:val="000000"/>
          <w:sz w:val="24"/>
          <w:szCs w:val="24"/>
          <w:lang w:eastAsia="es-ES"/>
        </w:rPr>
      </w:pPr>
    </w:p>
    <w:p w14:paraId="20FBF0FE" w14:textId="77777777" w:rsidR="00647E00" w:rsidRPr="00424443" w:rsidRDefault="00C967A6" w:rsidP="00B03ACC">
      <w:pPr>
        <w:pStyle w:val="Ttulo2"/>
        <w:spacing w:line="360" w:lineRule="auto"/>
        <w:rPr>
          <w:rFonts w:ascii="Calibri" w:hAnsi="Calibri" w:cs="Calibri"/>
          <w:b/>
          <w:bCs/>
          <w:color w:val="000000" w:themeColor="text1"/>
          <w:sz w:val="24"/>
          <w:szCs w:val="24"/>
        </w:rPr>
      </w:pPr>
      <w:bookmarkStart w:id="6" w:name="_Toc224333134"/>
      <w:r w:rsidRPr="00424443">
        <w:rPr>
          <w:rFonts w:ascii="Calibri" w:eastAsia="Times New Roman" w:hAnsi="Calibri" w:cs="Calibri"/>
          <w:b/>
          <w:bCs/>
          <w:color w:val="000000" w:themeColor="text1"/>
          <w:sz w:val="24"/>
          <w:szCs w:val="24"/>
          <w:lang w:eastAsia="es-ES"/>
        </w:rPr>
        <w:t>2.3 Justificación de la investigación</w:t>
      </w:r>
      <w:bookmarkEnd w:id="6"/>
      <w:r w:rsidR="009A7BAE" w:rsidRPr="00424443">
        <w:rPr>
          <w:rFonts w:ascii="Calibri" w:eastAsia="Times New Roman" w:hAnsi="Calibri" w:cs="Calibri"/>
          <w:b/>
          <w:bCs/>
          <w:color w:val="000000" w:themeColor="text1"/>
          <w:sz w:val="24"/>
          <w:szCs w:val="24"/>
          <w:lang w:eastAsia="es-ES"/>
        </w:rPr>
        <w:t> </w:t>
      </w:r>
    </w:p>
    <w:p w14:paraId="7C590282" w14:textId="77777777" w:rsidR="00647E00" w:rsidRPr="000E6594" w:rsidRDefault="009A7BAE" w:rsidP="00B03ACC">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presente trabajo es relevante para la criminología porque analiza la manera en la que los medios digitales no se limitan a la labor informativa, sino adicionalmente generan narrativas que moldean la percepción social de la violencia sexual e influyen en la imagen pública de víctimas y agresores. La criminología mediática evidencia que los medios construyen la realidad, actúan como filtros y generan discursos que se integran en la conciencia colectiva, moldeando las respuestas sociales y promoviendo procesos de revictimización en entornos digitales (Sassone, 2022). </w:t>
      </w:r>
      <w:r w:rsidRPr="000E6594">
        <w:rPr>
          <w:rFonts w:eastAsia="Times New Roman" w:cs="Calibri"/>
          <w:color w:val="000000"/>
          <w:lang w:eastAsia="es-ES"/>
        </w:rPr>
        <w:t>  </w:t>
      </w:r>
    </w:p>
    <w:p w14:paraId="7DC224F1"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Asimismo, la importancia de este estudio para la victimología reside en su análisis de uno de los fenómenos más persistentes en los delitos sexuales, la victimización secundaria, que se define como el sufrimiento adicional que experimentan las víctimas como resultado de las reacciones institucionales, mediáticas y sociales (Córdoba, 2022).  </w:t>
      </w:r>
    </w:p>
    <w:p w14:paraId="5E65C198" w14:textId="77777777" w:rsidR="000D4F2F" w:rsidRPr="000E6594" w:rsidRDefault="00C967A6" w:rsidP="000E6594">
      <w:pPr>
        <w:spacing w:after="100" w:line="360" w:lineRule="auto"/>
        <w:ind w:firstLine="340"/>
        <w:jc w:val="both"/>
        <w:textAlignment w:val="baseline"/>
        <w:rPr>
          <w:rFonts w:eastAsia="Times New Roman" w:cs="Calibri"/>
          <w:b/>
          <w:bCs/>
          <w:color w:val="000000"/>
          <w:sz w:val="24"/>
          <w:szCs w:val="24"/>
          <w:lang w:eastAsia="es-ES"/>
        </w:rPr>
      </w:pPr>
      <w:r w:rsidRPr="000E6594">
        <w:rPr>
          <w:rFonts w:eastAsia="Times New Roman" w:cs="Calibri"/>
          <w:color w:val="000000"/>
          <w:sz w:val="24"/>
          <w:szCs w:val="24"/>
          <w:lang w:eastAsia="es-ES"/>
        </w:rPr>
        <w:t>En este sentido, l</w:t>
      </w:r>
      <w:r w:rsidR="009A7BAE" w:rsidRPr="000E6594">
        <w:rPr>
          <w:rFonts w:eastAsia="Times New Roman" w:cs="Calibri"/>
          <w:color w:val="000000"/>
          <w:sz w:val="24"/>
          <w:szCs w:val="24"/>
          <w:lang w:eastAsia="es-ES"/>
        </w:rPr>
        <w:t>a revictimización</w:t>
      </w:r>
      <w:r w:rsidRPr="000E6594">
        <w:rPr>
          <w:rFonts w:eastAsia="Times New Roman" w:cs="Calibri"/>
          <w:color w:val="000000"/>
          <w:sz w:val="24"/>
          <w:szCs w:val="24"/>
          <w:lang w:eastAsia="es-ES"/>
        </w:rPr>
        <w:t>,</w:t>
      </w:r>
      <w:r w:rsidR="009A7BAE" w:rsidRPr="000E6594">
        <w:rPr>
          <w:rFonts w:eastAsia="Times New Roman" w:cs="Calibri"/>
          <w:color w:val="000000"/>
          <w:sz w:val="24"/>
          <w:szCs w:val="24"/>
          <w:lang w:eastAsia="es-ES"/>
        </w:rPr>
        <w:t xml:space="preserve"> puede agravar significativamente las consecuencias psicológicas, sociales y legales de la violencia sexual, especialmente </w:t>
      </w:r>
      <w:r w:rsidR="009A7BAE" w:rsidRPr="000E6594">
        <w:rPr>
          <w:rFonts w:eastAsia="Times New Roman" w:cs="Calibri"/>
          <w:color w:val="000000"/>
          <w:sz w:val="24"/>
          <w:szCs w:val="24"/>
          <w:lang w:eastAsia="es-ES"/>
        </w:rPr>
        <w:lastRenderedPageBreak/>
        <w:t xml:space="preserve">cuando se trata de estereotipos de género y narrativas mediáticas que cuestionan la credibilidad, el comportamiento o la privacidad de las mujeres </w:t>
      </w:r>
      <w:r w:rsidR="000D4F2F" w:rsidRPr="000E6594">
        <w:rPr>
          <w:rFonts w:eastAsia="Times New Roman" w:cs="Calibri"/>
          <w:color w:val="000000"/>
          <w:sz w:val="24"/>
          <w:szCs w:val="24"/>
          <w:lang w:eastAsia="es-ES"/>
        </w:rPr>
        <w:t>(Echeburúa y De Corral, 2006; Marco, 2018, como se citó en Córdoba, 2022)</w:t>
      </w:r>
    </w:p>
    <w:p w14:paraId="09738866" w14:textId="6724C8E3" w:rsidR="00821023" w:rsidRDefault="009A7BAE" w:rsidP="0082102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Finalmente</w:t>
      </w:r>
      <w:r w:rsidR="00334B5D">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desde una perspectiva digital, el análisis de la criminología mediática, que incluye las redes sociales, es necesario, ya que estas dinámicas acentúan la estigmatización, la culpabilización y el trauma psicológico, lo que puede derivar en consecuencias extremas como el aislamiento social o el suicidio (Córdoba, 2022). Por lo tanto, este estudio contribuye a la victimología al identificar los mecanismos actuales de revictimización en el entorno digital y ofrecer perspectivas para el desarrollo de medidas y protocolos que protejan de la revictimización a las mujeres víctimas de violencia sexual.  </w:t>
      </w:r>
    </w:p>
    <w:p w14:paraId="5002FD50" w14:textId="77777777" w:rsidR="00821023" w:rsidRPr="000E6594" w:rsidRDefault="00821023" w:rsidP="00821023">
      <w:pPr>
        <w:spacing w:after="100" w:line="360" w:lineRule="auto"/>
        <w:ind w:firstLine="340"/>
        <w:jc w:val="both"/>
        <w:textAlignment w:val="baseline"/>
        <w:rPr>
          <w:rFonts w:eastAsia="Times New Roman" w:cs="Calibri"/>
          <w:color w:val="000000"/>
          <w:sz w:val="24"/>
          <w:szCs w:val="24"/>
          <w:lang w:eastAsia="es-ES"/>
        </w:rPr>
      </w:pPr>
    </w:p>
    <w:p w14:paraId="2CD0A38D" w14:textId="3A0C1169" w:rsidR="00D667BC" w:rsidRPr="00821023" w:rsidRDefault="00D667BC" w:rsidP="00821023">
      <w:pPr>
        <w:pStyle w:val="Ttulo2"/>
        <w:spacing w:line="360" w:lineRule="auto"/>
        <w:rPr>
          <w:rFonts w:asciiTheme="minorHAnsi" w:eastAsia="Times New Roman" w:hAnsiTheme="minorHAnsi" w:cstheme="minorHAnsi"/>
          <w:b/>
          <w:bCs/>
          <w:color w:val="auto"/>
          <w:sz w:val="24"/>
          <w:szCs w:val="24"/>
          <w:lang w:eastAsia="es-ES"/>
        </w:rPr>
      </w:pPr>
      <w:bookmarkStart w:id="7" w:name="_Toc224333135"/>
      <w:r w:rsidRPr="00821023">
        <w:rPr>
          <w:rFonts w:asciiTheme="minorHAnsi" w:eastAsia="Times New Roman" w:hAnsiTheme="minorHAnsi" w:cstheme="minorHAnsi"/>
          <w:b/>
          <w:bCs/>
          <w:color w:val="auto"/>
          <w:sz w:val="24"/>
          <w:szCs w:val="24"/>
          <w:lang w:eastAsia="es-ES"/>
        </w:rPr>
        <w:t>2.4 Objetivos de investigación</w:t>
      </w:r>
      <w:bookmarkEnd w:id="7"/>
    </w:p>
    <w:p w14:paraId="7C04AA1B" w14:textId="5E02F996" w:rsidR="00D667BC" w:rsidRPr="00821023" w:rsidRDefault="00D667BC" w:rsidP="00821023">
      <w:pPr>
        <w:pStyle w:val="Ttulo3"/>
        <w:spacing w:line="360" w:lineRule="auto"/>
        <w:rPr>
          <w:rFonts w:asciiTheme="minorHAnsi" w:hAnsiTheme="minorHAnsi" w:cstheme="minorHAnsi"/>
          <w:b/>
          <w:bCs/>
          <w:color w:val="auto"/>
        </w:rPr>
      </w:pPr>
      <w:bookmarkStart w:id="8" w:name="_Toc224333136"/>
      <w:r w:rsidRPr="00821023">
        <w:rPr>
          <w:rFonts w:asciiTheme="minorHAnsi" w:eastAsia="Times New Roman" w:hAnsiTheme="minorHAnsi" w:cstheme="minorHAnsi"/>
          <w:b/>
          <w:bCs/>
          <w:color w:val="auto"/>
          <w:lang w:eastAsia="es-ES"/>
        </w:rPr>
        <w:t>2.4.1 Objetivo general</w:t>
      </w:r>
      <w:bookmarkEnd w:id="8"/>
    </w:p>
    <w:p w14:paraId="7A33DBFE" w14:textId="24E95F68" w:rsidR="00647E00" w:rsidRPr="000E6594" w:rsidRDefault="009A7BAE" w:rsidP="0082102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Analizar la revictimización de mujeres en casos de violencia sexual y </w:t>
      </w:r>
      <w:r w:rsidR="00652264" w:rsidRPr="000E6594">
        <w:rPr>
          <w:rFonts w:eastAsia="Times New Roman" w:cs="Calibri"/>
          <w:color w:val="000000"/>
          <w:sz w:val="24"/>
          <w:szCs w:val="24"/>
          <w:lang w:eastAsia="es-ES"/>
        </w:rPr>
        <w:t>criminología mediática desde la</w:t>
      </w:r>
      <w:r w:rsidRPr="000E6594">
        <w:rPr>
          <w:rFonts w:eastAsia="Times New Roman" w:cs="Calibri"/>
          <w:color w:val="000000"/>
          <w:sz w:val="24"/>
          <w:szCs w:val="24"/>
          <w:lang w:eastAsia="es-ES"/>
        </w:rPr>
        <w:t> perspectiva digital.</w:t>
      </w:r>
    </w:p>
    <w:p w14:paraId="01493442" w14:textId="16B17ADF" w:rsidR="00D667BC" w:rsidRPr="00821023" w:rsidRDefault="00D667BC" w:rsidP="00821023">
      <w:pPr>
        <w:pStyle w:val="Ttulo3"/>
        <w:spacing w:line="360" w:lineRule="auto"/>
        <w:rPr>
          <w:rFonts w:asciiTheme="minorHAnsi" w:hAnsiTheme="minorHAnsi" w:cstheme="minorHAnsi"/>
          <w:b/>
          <w:bCs/>
        </w:rPr>
      </w:pPr>
      <w:bookmarkStart w:id="9" w:name="_Toc224333137"/>
      <w:r w:rsidRPr="00821023">
        <w:rPr>
          <w:rFonts w:asciiTheme="minorHAnsi" w:eastAsia="Times New Roman" w:hAnsiTheme="minorHAnsi" w:cstheme="minorHAnsi"/>
          <w:b/>
          <w:bCs/>
          <w:color w:val="auto"/>
          <w:lang w:eastAsia="es-ES"/>
        </w:rPr>
        <w:t>2.4.2 Objetivos específicos</w:t>
      </w:r>
      <w:bookmarkEnd w:id="9"/>
    </w:p>
    <w:p w14:paraId="305DE97C" w14:textId="77777777" w:rsidR="00647E00" w:rsidRPr="000E6594" w:rsidRDefault="009A7BAE" w:rsidP="00821023">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Analizar el concepto de revictimización femenina en el contexto de la violencia sexual. </w:t>
      </w:r>
    </w:p>
    <w:p w14:paraId="1DD30008" w14:textId="77777777" w:rsidR="00647E00" w:rsidRPr="000E6594" w:rsidRDefault="009A7BAE" w:rsidP="00821023">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Examinar el papel de los medios digitales en la construcción de narrativas criminológicas sobre las víctimas </w:t>
      </w:r>
    </w:p>
    <w:p w14:paraId="42B4FF68"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Identificar patrones de tratamiento mediático que contribuyen a la revictimización </w:t>
      </w:r>
    </w:p>
    <w:p w14:paraId="34B72414"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Señalar el impacto social y psicológico de la criminología mediática en las víctimas de violencia sexual </w:t>
      </w:r>
    </w:p>
    <w:p w14:paraId="70EFF14C"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Revisar las políticas públicas sobre el tratamiento mediático de la violencia sexual y proponer mejoras para evitar la revictimización </w:t>
      </w:r>
    </w:p>
    <w:p w14:paraId="5F98DD4C" w14:textId="77777777" w:rsidR="00652264" w:rsidRPr="000E6594" w:rsidRDefault="00652264" w:rsidP="000E6594">
      <w:pPr>
        <w:spacing w:after="100" w:line="360" w:lineRule="auto"/>
        <w:ind w:firstLine="340"/>
        <w:jc w:val="both"/>
        <w:textAlignment w:val="baseline"/>
        <w:rPr>
          <w:rFonts w:eastAsia="Times New Roman" w:cs="Calibri"/>
          <w:b/>
          <w:color w:val="000000"/>
          <w:sz w:val="28"/>
          <w:szCs w:val="28"/>
          <w:lang w:eastAsia="es-ES"/>
        </w:rPr>
      </w:pPr>
    </w:p>
    <w:p w14:paraId="4008EF3D" w14:textId="3BEF1F84" w:rsidR="00647E00" w:rsidRPr="00821023" w:rsidRDefault="009A7BAE" w:rsidP="00821023">
      <w:pPr>
        <w:pStyle w:val="Ttulo1"/>
        <w:spacing w:line="360" w:lineRule="auto"/>
        <w:rPr>
          <w:rFonts w:asciiTheme="minorHAnsi" w:hAnsiTheme="minorHAnsi" w:cstheme="minorHAnsi"/>
          <w:b/>
          <w:bCs/>
          <w:color w:val="auto"/>
          <w:sz w:val="24"/>
          <w:szCs w:val="24"/>
        </w:rPr>
      </w:pPr>
      <w:r w:rsidRPr="00821023">
        <w:rPr>
          <w:rFonts w:asciiTheme="minorHAnsi" w:eastAsia="Times New Roman" w:hAnsiTheme="minorHAnsi" w:cstheme="minorHAnsi"/>
          <w:b/>
          <w:bCs/>
          <w:color w:val="auto"/>
          <w:sz w:val="24"/>
          <w:szCs w:val="24"/>
          <w:lang w:eastAsia="es-ES"/>
        </w:rPr>
        <w:lastRenderedPageBreak/>
        <w:t> </w:t>
      </w:r>
      <w:bookmarkStart w:id="10" w:name="_Toc224333138"/>
      <w:r w:rsidR="00652264" w:rsidRPr="00821023">
        <w:rPr>
          <w:rFonts w:asciiTheme="minorHAnsi" w:eastAsia="Times New Roman" w:hAnsiTheme="minorHAnsi" w:cstheme="minorHAnsi"/>
          <w:b/>
          <w:bCs/>
          <w:color w:val="auto"/>
          <w:sz w:val="24"/>
          <w:szCs w:val="24"/>
          <w:lang w:eastAsia="es-ES"/>
        </w:rPr>
        <w:t>3. Marco teórico</w:t>
      </w:r>
      <w:bookmarkEnd w:id="10"/>
    </w:p>
    <w:p w14:paraId="7DEB8E2A" w14:textId="77777777" w:rsidR="00647E00" w:rsidRPr="00821023" w:rsidRDefault="009A7BAE" w:rsidP="00821023">
      <w:pPr>
        <w:pStyle w:val="Ttulo2"/>
        <w:spacing w:line="360" w:lineRule="auto"/>
        <w:rPr>
          <w:rFonts w:asciiTheme="minorHAnsi" w:hAnsiTheme="minorHAnsi" w:cstheme="minorHAnsi"/>
          <w:b/>
          <w:bCs/>
          <w:color w:val="auto"/>
          <w:sz w:val="24"/>
          <w:szCs w:val="24"/>
        </w:rPr>
      </w:pPr>
      <w:bookmarkStart w:id="11" w:name="_Toc224333139"/>
      <w:r w:rsidRPr="00821023">
        <w:rPr>
          <w:rFonts w:asciiTheme="minorHAnsi" w:eastAsia="Times New Roman" w:hAnsiTheme="minorHAnsi" w:cstheme="minorHAnsi"/>
          <w:b/>
          <w:bCs/>
          <w:color w:val="auto"/>
          <w:sz w:val="24"/>
          <w:szCs w:val="24"/>
          <w:lang w:eastAsia="es-ES"/>
        </w:rPr>
        <w:t>3.1 Revictimización femenina en el contexto de la violencia sexual</w:t>
      </w:r>
      <w:bookmarkEnd w:id="11"/>
      <w:r w:rsidRPr="00821023">
        <w:rPr>
          <w:rFonts w:asciiTheme="minorHAnsi" w:eastAsia="Times New Roman" w:hAnsiTheme="minorHAnsi" w:cstheme="minorHAnsi"/>
          <w:b/>
          <w:bCs/>
          <w:color w:val="auto"/>
          <w:sz w:val="24"/>
          <w:szCs w:val="24"/>
          <w:lang w:eastAsia="es-ES"/>
        </w:rPr>
        <w:t>  </w:t>
      </w:r>
    </w:p>
    <w:p w14:paraId="73887C95" w14:textId="77777777" w:rsidR="00DE0569" w:rsidRPr="00821023" w:rsidRDefault="009A7BAE" w:rsidP="00821023">
      <w:pPr>
        <w:pStyle w:val="Ttulo3"/>
        <w:spacing w:line="360" w:lineRule="auto"/>
        <w:rPr>
          <w:rFonts w:asciiTheme="minorHAnsi" w:eastAsia="Times New Roman" w:hAnsiTheme="minorHAnsi" w:cstheme="minorHAnsi"/>
          <w:b/>
          <w:bCs/>
          <w:color w:val="auto"/>
          <w:lang w:eastAsia="es-ES"/>
        </w:rPr>
      </w:pPr>
      <w:r w:rsidRPr="00821023">
        <w:rPr>
          <w:rFonts w:asciiTheme="minorHAnsi" w:eastAsia="Times New Roman" w:hAnsiTheme="minorHAnsi" w:cstheme="minorHAnsi"/>
          <w:b/>
          <w:bCs/>
          <w:color w:val="auto"/>
          <w:lang w:eastAsia="es-ES"/>
        </w:rPr>
        <w:t>  </w:t>
      </w:r>
      <w:bookmarkStart w:id="12" w:name="_Toc224333140"/>
      <w:r w:rsidRPr="00821023">
        <w:rPr>
          <w:rFonts w:asciiTheme="minorHAnsi" w:eastAsia="Times New Roman" w:hAnsiTheme="minorHAnsi" w:cstheme="minorHAnsi"/>
          <w:b/>
          <w:bCs/>
          <w:color w:val="auto"/>
          <w:lang w:eastAsia="es-ES"/>
        </w:rPr>
        <w:t>3.1.1 Definición de revictimización y tipos</w:t>
      </w:r>
      <w:bookmarkEnd w:id="12"/>
      <w:r w:rsidRPr="00821023">
        <w:rPr>
          <w:rFonts w:asciiTheme="minorHAnsi" w:eastAsia="Times New Roman" w:hAnsiTheme="minorHAnsi" w:cstheme="minorHAnsi"/>
          <w:b/>
          <w:bCs/>
          <w:color w:val="auto"/>
          <w:lang w:eastAsia="es-ES"/>
        </w:rPr>
        <w:t>  </w:t>
      </w:r>
    </w:p>
    <w:p w14:paraId="563365DB" w14:textId="40C04CCC" w:rsidR="00DE0569" w:rsidRPr="000E6594" w:rsidRDefault="00DE0569" w:rsidP="0082102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Cuando una persona </w:t>
      </w:r>
      <w:r w:rsidR="00DD53FD" w:rsidRPr="000E6594">
        <w:rPr>
          <w:rFonts w:eastAsia="Times New Roman" w:cs="Calibri"/>
          <w:color w:val="000000"/>
          <w:sz w:val="24"/>
          <w:szCs w:val="24"/>
          <w:lang w:eastAsia="es-ES"/>
        </w:rPr>
        <w:t>es víctima de un delito</w:t>
      </w:r>
      <w:r w:rsidRPr="000E6594">
        <w:rPr>
          <w:rFonts w:eastAsia="Times New Roman" w:cs="Calibri"/>
          <w:color w:val="000000"/>
          <w:sz w:val="24"/>
          <w:szCs w:val="24"/>
          <w:lang w:eastAsia="es-ES"/>
        </w:rPr>
        <w:t xml:space="preserve">, </w:t>
      </w:r>
      <w:r w:rsidR="00DD53FD" w:rsidRPr="000E6594">
        <w:rPr>
          <w:rFonts w:eastAsia="Times New Roman" w:cs="Calibri"/>
          <w:color w:val="000000"/>
          <w:sz w:val="24"/>
          <w:szCs w:val="24"/>
          <w:lang w:eastAsia="es-ES"/>
        </w:rPr>
        <w:t xml:space="preserve">el daño y las consecuencias no </w:t>
      </w:r>
      <w:r w:rsidR="003958FD" w:rsidRPr="000E6594">
        <w:rPr>
          <w:rFonts w:eastAsia="Times New Roman" w:cs="Calibri"/>
          <w:color w:val="000000"/>
          <w:sz w:val="24"/>
          <w:szCs w:val="24"/>
          <w:lang w:eastAsia="es-ES"/>
        </w:rPr>
        <w:t>se limitan al hecho</w:t>
      </w:r>
      <w:r w:rsidR="00DD53FD"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Existe una forma de daño posterior</w:t>
      </w:r>
      <w:r w:rsidR="00DD53FD" w:rsidRPr="000E6594">
        <w:rPr>
          <w:rFonts w:eastAsia="Times New Roman" w:cs="Calibri"/>
          <w:color w:val="000000"/>
          <w:sz w:val="24"/>
          <w:szCs w:val="24"/>
          <w:lang w:eastAsia="es-ES"/>
        </w:rPr>
        <w:t>, menos reconocida pero igualmente perjudicial, protagonizada por el</w:t>
      </w:r>
      <w:r w:rsidRPr="000E6594">
        <w:rPr>
          <w:rFonts w:eastAsia="Times New Roman" w:cs="Calibri"/>
          <w:color w:val="000000"/>
          <w:sz w:val="24"/>
          <w:szCs w:val="24"/>
          <w:lang w:eastAsia="es-ES"/>
        </w:rPr>
        <w:t xml:space="preserve"> propio sistema encargado de proteger a la víctima. </w:t>
      </w:r>
      <w:r w:rsidR="00DD53FD" w:rsidRPr="000E6594">
        <w:rPr>
          <w:rFonts w:eastAsia="Times New Roman" w:cs="Calibri"/>
          <w:color w:val="000000"/>
          <w:sz w:val="24"/>
          <w:szCs w:val="24"/>
          <w:lang w:eastAsia="es-ES"/>
        </w:rPr>
        <w:t>Este fenómeno es denominado</w:t>
      </w:r>
      <w:r w:rsidRPr="000E6594">
        <w:rPr>
          <w:rFonts w:eastAsia="Times New Roman" w:cs="Calibri"/>
          <w:color w:val="000000"/>
          <w:sz w:val="24"/>
          <w:szCs w:val="24"/>
          <w:lang w:eastAsia="es-ES"/>
        </w:rPr>
        <w:t xml:space="preserve"> victimización secundaria</w:t>
      </w:r>
      <w:r w:rsidR="00DD53FD" w:rsidRPr="000E6594">
        <w:rPr>
          <w:rFonts w:eastAsia="Times New Roman" w:cs="Calibri"/>
          <w:color w:val="000000"/>
          <w:sz w:val="24"/>
          <w:szCs w:val="24"/>
          <w:lang w:eastAsia="es-ES"/>
        </w:rPr>
        <w:t xml:space="preserve"> o revictimización,</w:t>
      </w:r>
      <w:r w:rsidRPr="000E6594">
        <w:rPr>
          <w:rFonts w:eastAsia="Times New Roman" w:cs="Calibri"/>
          <w:color w:val="000000"/>
          <w:sz w:val="24"/>
          <w:szCs w:val="24"/>
          <w:lang w:eastAsia="es-ES"/>
        </w:rPr>
        <w:t xml:space="preserve"> y </w:t>
      </w:r>
      <w:r w:rsidR="00DD53FD" w:rsidRPr="000E6594">
        <w:rPr>
          <w:rFonts w:eastAsia="Times New Roman" w:cs="Calibri"/>
          <w:color w:val="000000"/>
          <w:sz w:val="24"/>
          <w:szCs w:val="24"/>
          <w:lang w:eastAsia="es-ES"/>
        </w:rPr>
        <w:t>se refiere</w:t>
      </w:r>
      <w:r w:rsidRPr="000E6594">
        <w:rPr>
          <w:rFonts w:eastAsia="Times New Roman" w:cs="Calibri"/>
          <w:color w:val="000000"/>
          <w:sz w:val="24"/>
          <w:szCs w:val="24"/>
          <w:lang w:eastAsia="es-ES"/>
        </w:rPr>
        <w:t xml:space="preserve"> al trato </w:t>
      </w:r>
      <w:r w:rsidR="00740185" w:rsidRPr="000E6594">
        <w:rPr>
          <w:rFonts w:eastAsia="Times New Roman" w:cs="Calibri"/>
          <w:color w:val="000000"/>
          <w:sz w:val="24"/>
          <w:szCs w:val="24"/>
          <w:lang w:eastAsia="es-ES"/>
        </w:rPr>
        <w:t xml:space="preserve">negligente e insensible </w:t>
      </w:r>
      <w:r w:rsidRPr="000E6594">
        <w:rPr>
          <w:rFonts w:eastAsia="Times New Roman" w:cs="Calibri"/>
          <w:color w:val="000000"/>
          <w:sz w:val="24"/>
          <w:szCs w:val="24"/>
          <w:lang w:eastAsia="es-ES"/>
        </w:rPr>
        <w:t xml:space="preserve">que las instituciones sociales y judiciales </w:t>
      </w:r>
      <w:r w:rsidR="00740185" w:rsidRPr="000E6594">
        <w:rPr>
          <w:rFonts w:eastAsia="Times New Roman" w:cs="Calibri"/>
          <w:color w:val="000000"/>
          <w:sz w:val="24"/>
          <w:szCs w:val="24"/>
          <w:lang w:eastAsia="es-ES"/>
        </w:rPr>
        <w:t>mantienen hacia</w:t>
      </w:r>
      <w:r w:rsidRPr="000E6594">
        <w:rPr>
          <w:rFonts w:eastAsia="Times New Roman" w:cs="Calibri"/>
          <w:color w:val="000000"/>
          <w:sz w:val="24"/>
          <w:szCs w:val="24"/>
          <w:lang w:eastAsia="es-ES"/>
        </w:rPr>
        <w:t xml:space="preserve"> </w:t>
      </w:r>
      <w:r w:rsidR="00740185" w:rsidRPr="000E6594">
        <w:rPr>
          <w:rFonts w:eastAsia="Times New Roman" w:cs="Calibri"/>
          <w:color w:val="000000"/>
          <w:sz w:val="24"/>
          <w:szCs w:val="24"/>
          <w:lang w:eastAsia="es-ES"/>
        </w:rPr>
        <w:t>l</w:t>
      </w:r>
      <w:r w:rsidRPr="000E6594">
        <w:rPr>
          <w:rFonts w:eastAsia="Times New Roman" w:cs="Calibri"/>
          <w:color w:val="000000"/>
          <w:sz w:val="24"/>
          <w:szCs w:val="24"/>
          <w:lang w:eastAsia="es-ES"/>
        </w:rPr>
        <w:t>a</w:t>
      </w:r>
      <w:r w:rsidR="00740185" w:rsidRPr="000E6594">
        <w:rPr>
          <w:rFonts w:eastAsia="Times New Roman" w:cs="Calibri"/>
          <w:color w:val="000000"/>
          <w:sz w:val="24"/>
          <w:szCs w:val="24"/>
          <w:lang w:eastAsia="es-ES"/>
        </w:rPr>
        <w:t>s</w:t>
      </w:r>
      <w:r w:rsidRPr="000E6594">
        <w:rPr>
          <w:rFonts w:eastAsia="Times New Roman" w:cs="Calibri"/>
          <w:color w:val="000000"/>
          <w:sz w:val="24"/>
          <w:szCs w:val="24"/>
          <w:lang w:eastAsia="es-ES"/>
        </w:rPr>
        <w:t xml:space="preserve"> víctimas a lo largo del procedimiento judicial, perpetuando y agravando las consecuencias del delito original (Morrillas et al., 2011, </w:t>
      </w:r>
      <w:r w:rsidR="00740185" w:rsidRPr="000E6594">
        <w:rPr>
          <w:rFonts w:eastAsia="Times New Roman" w:cs="Calibri"/>
          <w:color w:val="000000"/>
          <w:sz w:val="24"/>
          <w:szCs w:val="24"/>
          <w:lang w:eastAsia="es-ES"/>
        </w:rPr>
        <w:t>como se citó</w:t>
      </w:r>
      <w:r w:rsidRPr="000E6594">
        <w:rPr>
          <w:rFonts w:eastAsia="Times New Roman" w:cs="Calibri"/>
          <w:color w:val="000000"/>
          <w:sz w:val="24"/>
          <w:szCs w:val="24"/>
          <w:lang w:eastAsia="es-ES"/>
        </w:rPr>
        <w:t xml:space="preserve"> en Iborra-Marmolejo et al., 2024). </w:t>
      </w:r>
    </w:p>
    <w:p w14:paraId="2266F5F2" w14:textId="77777777" w:rsidR="009E310E" w:rsidRPr="000E6594" w:rsidRDefault="00DE0569"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Esta forma de victimización se </w:t>
      </w:r>
      <w:r w:rsidR="004955E4" w:rsidRPr="000E6594">
        <w:rPr>
          <w:rFonts w:eastAsia="Times New Roman" w:cs="Calibri"/>
          <w:color w:val="000000"/>
          <w:sz w:val="24"/>
          <w:szCs w:val="24"/>
          <w:lang w:eastAsia="es-ES"/>
        </w:rPr>
        <w:t xml:space="preserve">evidencia </w:t>
      </w:r>
      <w:r w:rsidRPr="000E6594">
        <w:rPr>
          <w:rFonts w:eastAsia="Times New Roman" w:cs="Calibri"/>
          <w:color w:val="000000"/>
          <w:sz w:val="24"/>
          <w:szCs w:val="24"/>
          <w:lang w:eastAsia="es-ES"/>
        </w:rPr>
        <w:t xml:space="preserve">cuando la víctima no recibe una atención </w:t>
      </w:r>
      <w:r w:rsidR="00740185" w:rsidRPr="000E6594">
        <w:rPr>
          <w:rFonts w:eastAsia="Times New Roman" w:cs="Calibri"/>
          <w:color w:val="000000"/>
          <w:sz w:val="24"/>
          <w:szCs w:val="24"/>
          <w:lang w:eastAsia="es-ES"/>
        </w:rPr>
        <w:t>digna</w:t>
      </w:r>
      <w:r w:rsidRPr="000E6594">
        <w:rPr>
          <w:rFonts w:eastAsia="Times New Roman" w:cs="Calibri"/>
          <w:color w:val="000000"/>
          <w:sz w:val="24"/>
          <w:szCs w:val="24"/>
          <w:lang w:eastAsia="es-ES"/>
        </w:rPr>
        <w:t xml:space="preserve"> por parte de los organismos públicos, cuando </w:t>
      </w:r>
      <w:r w:rsidR="00740185" w:rsidRPr="000E6594">
        <w:rPr>
          <w:rFonts w:eastAsia="Times New Roman" w:cs="Calibri"/>
          <w:color w:val="000000"/>
          <w:sz w:val="24"/>
          <w:szCs w:val="24"/>
          <w:lang w:eastAsia="es-ES"/>
        </w:rPr>
        <w:t>s</w:t>
      </w:r>
      <w:r w:rsidR="004955E4" w:rsidRPr="000E6594">
        <w:rPr>
          <w:rFonts w:eastAsia="Times New Roman" w:cs="Calibri"/>
          <w:color w:val="000000"/>
          <w:sz w:val="24"/>
          <w:szCs w:val="24"/>
          <w:lang w:eastAsia="es-ES"/>
        </w:rPr>
        <w:t xml:space="preserve">u testimonio es cuestionado </w:t>
      </w:r>
      <w:r w:rsidRPr="000E6594">
        <w:rPr>
          <w:rFonts w:eastAsia="Times New Roman" w:cs="Calibri"/>
          <w:color w:val="000000"/>
          <w:sz w:val="24"/>
          <w:szCs w:val="24"/>
          <w:lang w:eastAsia="es-ES"/>
        </w:rPr>
        <w:t xml:space="preserve">o cuando el impacto del delito </w:t>
      </w:r>
      <w:r w:rsidR="00740185" w:rsidRPr="000E6594">
        <w:rPr>
          <w:rFonts w:eastAsia="Times New Roman" w:cs="Calibri"/>
          <w:color w:val="000000"/>
          <w:sz w:val="24"/>
          <w:szCs w:val="24"/>
          <w:lang w:eastAsia="es-ES"/>
        </w:rPr>
        <w:t>que ha sufrido</w:t>
      </w:r>
      <w:r w:rsidRPr="000E6594">
        <w:rPr>
          <w:rFonts w:eastAsia="Times New Roman" w:cs="Calibri"/>
          <w:color w:val="000000"/>
          <w:sz w:val="24"/>
          <w:szCs w:val="24"/>
          <w:lang w:eastAsia="es-ES"/>
        </w:rPr>
        <w:t xml:space="preserve"> es minimizado o ignorado</w:t>
      </w:r>
      <w:r w:rsidR="00740185" w:rsidRPr="000E6594">
        <w:rPr>
          <w:rFonts w:eastAsia="Times New Roman" w:cs="Calibri"/>
          <w:color w:val="000000"/>
          <w:sz w:val="24"/>
          <w:szCs w:val="24"/>
          <w:lang w:eastAsia="es-ES"/>
        </w:rPr>
        <w:t>, entre otras situaciones</w:t>
      </w:r>
      <w:r w:rsidRPr="000E6594">
        <w:rPr>
          <w:rFonts w:eastAsia="Times New Roman" w:cs="Calibri"/>
          <w:color w:val="000000"/>
          <w:sz w:val="24"/>
          <w:szCs w:val="24"/>
          <w:lang w:eastAsia="es-ES"/>
        </w:rPr>
        <w:t xml:space="preserve"> (Kreuter, 2006, </w:t>
      </w:r>
      <w:r w:rsidR="00740185" w:rsidRPr="000E6594">
        <w:rPr>
          <w:rFonts w:eastAsia="Times New Roman" w:cs="Calibri"/>
          <w:color w:val="000000"/>
          <w:sz w:val="24"/>
          <w:szCs w:val="24"/>
          <w:lang w:eastAsia="es-ES"/>
        </w:rPr>
        <w:t>como se citó</w:t>
      </w:r>
      <w:r w:rsidRPr="000E6594">
        <w:rPr>
          <w:rFonts w:eastAsia="Times New Roman" w:cs="Calibri"/>
          <w:color w:val="000000"/>
          <w:sz w:val="24"/>
          <w:szCs w:val="24"/>
          <w:lang w:eastAsia="es-ES"/>
        </w:rPr>
        <w:t xml:space="preserve"> en Iborra-Marmolejo et al., 2024). </w:t>
      </w:r>
      <w:r w:rsidR="000D3BA6" w:rsidRPr="000E6594">
        <w:rPr>
          <w:rFonts w:eastAsia="Times New Roman" w:cs="Calibri"/>
          <w:color w:val="000000"/>
          <w:sz w:val="24"/>
          <w:szCs w:val="24"/>
          <w:lang w:eastAsia="es-ES"/>
        </w:rPr>
        <w:t>Y es que, en</w:t>
      </w:r>
      <w:r w:rsidR="00F51A4C" w:rsidRPr="000E6594">
        <w:rPr>
          <w:rFonts w:eastAsia="Times New Roman" w:cs="Calibri"/>
          <w:color w:val="000000"/>
          <w:sz w:val="24"/>
          <w:szCs w:val="24"/>
          <w:lang w:eastAsia="es-ES"/>
        </w:rPr>
        <w:t xml:space="preserve"> el fondo</w:t>
      </w:r>
      <w:r w:rsidR="000D3BA6"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w:t>
      </w:r>
      <w:r w:rsidR="00740185" w:rsidRPr="000E6594">
        <w:rPr>
          <w:rFonts w:eastAsia="Times New Roman" w:cs="Calibri"/>
          <w:color w:val="000000"/>
          <w:sz w:val="24"/>
          <w:szCs w:val="24"/>
          <w:lang w:eastAsia="es-ES"/>
        </w:rPr>
        <w:t xml:space="preserve">este fenómeno refleja una clara distancia </w:t>
      </w:r>
      <w:r w:rsidRPr="000E6594">
        <w:rPr>
          <w:rFonts w:eastAsia="Times New Roman" w:cs="Calibri"/>
          <w:color w:val="000000"/>
          <w:sz w:val="24"/>
          <w:szCs w:val="24"/>
          <w:lang w:eastAsia="es-ES"/>
        </w:rPr>
        <w:t xml:space="preserve">entre lo que la víctima espera del sistema y lo que el sistema espera de ella (Montero, 2019; Sangrador, 1986, </w:t>
      </w:r>
      <w:r w:rsidR="00740185" w:rsidRPr="000E6594">
        <w:rPr>
          <w:rFonts w:eastAsia="Times New Roman" w:cs="Calibri"/>
          <w:color w:val="000000"/>
          <w:sz w:val="24"/>
          <w:szCs w:val="24"/>
          <w:lang w:eastAsia="es-ES"/>
        </w:rPr>
        <w:t>como se citó</w:t>
      </w:r>
      <w:r w:rsidRPr="000E6594">
        <w:rPr>
          <w:rFonts w:eastAsia="Times New Roman" w:cs="Calibri"/>
          <w:color w:val="000000"/>
          <w:sz w:val="24"/>
          <w:szCs w:val="24"/>
          <w:lang w:eastAsia="es-ES"/>
        </w:rPr>
        <w:t xml:space="preserve"> en Iborra-Marmolejo et al., 2024). </w:t>
      </w:r>
    </w:p>
    <w:p w14:paraId="415614CF" w14:textId="1725DB9E" w:rsidR="00DE0569" w:rsidRPr="000E6594" w:rsidRDefault="00F51A4C"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Este</w:t>
      </w:r>
      <w:r w:rsidR="00DE0569" w:rsidRPr="000E6594">
        <w:rPr>
          <w:rFonts w:eastAsia="Times New Roman" w:cs="Calibri"/>
          <w:color w:val="000000"/>
          <w:sz w:val="24"/>
          <w:szCs w:val="24"/>
          <w:lang w:eastAsia="es-ES"/>
        </w:rPr>
        <w:t xml:space="preserve"> </w:t>
      </w:r>
      <w:r w:rsidR="004955E4" w:rsidRPr="000E6594">
        <w:rPr>
          <w:rFonts w:eastAsia="Times New Roman" w:cs="Calibri"/>
          <w:color w:val="000000"/>
          <w:sz w:val="24"/>
          <w:szCs w:val="24"/>
          <w:lang w:eastAsia="es-ES"/>
        </w:rPr>
        <w:t xml:space="preserve">trato </w:t>
      </w:r>
      <w:proofErr w:type="spellStart"/>
      <w:r w:rsidR="004955E4" w:rsidRPr="000E6594">
        <w:rPr>
          <w:rFonts w:eastAsia="Times New Roman" w:cs="Calibri"/>
          <w:color w:val="000000"/>
          <w:sz w:val="24"/>
          <w:szCs w:val="24"/>
          <w:lang w:eastAsia="es-ES"/>
        </w:rPr>
        <w:t>revictimizante</w:t>
      </w:r>
      <w:proofErr w:type="spellEnd"/>
      <w:r w:rsidR="004955E4" w:rsidRPr="000E6594">
        <w:rPr>
          <w:rFonts w:eastAsia="Times New Roman" w:cs="Calibri"/>
          <w:color w:val="000000"/>
          <w:sz w:val="24"/>
          <w:szCs w:val="24"/>
          <w:lang w:eastAsia="es-ES"/>
        </w:rPr>
        <w:t xml:space="preserve"> por parte de</w:t>
      </w:r>
      <w:r w:rsidR="00DE0569" w:rsidRPr="000E6594">
        <w:rPr>
          <w:rFonts w:eastAsia="Times New Roman" w:cs="Calibri"/>
          <w:color w:val="000000"/>
          <w:sz w:val="24"/>
          <w:szCs w:val="24"/>
          <w:lang w:eastAsia="es-ES"/>
        </w:rPr>
        <w:t xml:space="preserve"> agentes policiales, operadores jurídicos y trabajadores sociales, </w:t>
      </w:r>
      <w:r w:rsidR="0093663E" w:rsidRPr="000E6594">
        <w:rPr>
          <w:rFonts w:eastAsia="Times New Roman" w:cs="Calibri"/>
          <w:color w:val="000000"/>
          <w:sz w:val="24"/>
          <w:szCs w:val="24"/>
          <w:lang w:eastAsia="es-ES"/>
        </w:rPr>
        <w:t>junto con el</w:t>
      </w:r>
      <w:r w:rsidR="00DE0569" w:rsidRPr="000E6594">
        <w:rPr>
          <w:rFonts w:eastAsia="Times New Roman" w:cs="Calibri"/>
          <w:color w:val="000000"/>
          <w:sz w:val="24"/>
          <w:szCs w:val="24"/>
          <w:lang w:eastAsia="es-ES"/>
        </w:rPr>
        <w:t xml:space="preserve"> funcionamiento general del sistema judicial, puede </w:t>
      </w:r>
      <w:r w:rsidR="003958FD" w:rsidRPr="000E6594">
        <w:rPr>
          <w:rFonts w:eastAsia="Times New Roman" w:cs="Calibri"/>
          <w:color w:val="000000"/>
          <w:sz w:val="24"/>
          <w:szCs w:val="24"/>
          <w:lang w:eastAsia="es-ES"/>
        </w:rPr>
        <w:t>provocar en la víctima un deterioro</w:t>
      </w:r>
      <w:r w:rsidR="00DE0569" w:rsidRPr="000E6594">
        <w:rPr>
          <w:rFonts w:eastAsia="Times New Roman" w:cs="Calibri"/>
          <w:color w:val="000000"/>
          <w:sz w:val="24"/>
          <w:szCs w:val="24"/>
          <w:lang w:eastAsia="es-ES"/>
        </w:rPr>
        <w:t xml:space="preserve"> </w:t>
      </w:r>
      <w:r w:rsidR="003958FD" w:rsidRPr="000E6594">
        <w:rPr>
          <w:rFonts w:eastAsia="Times New Roman" w:cs="Calibri"/>
          <w:color w:val="000000"/>
          <w:sz w:val="24"/>
          <w:szCs w:val="24"/>
          <w:lang w:eastAsia="es-ES"/>
        </w:rPr>
        <w:t>que afecta distintos ámbitos:</w:t>
      </w:r>
      <w:r w:rsidR="00DE0569" w:rsidRPr="000E6594">
        <w:rPr>
          <w:rFonts w:eastAsia="Times New Roman" w:cs="Calibri"/>
          <w:color w:val="000000"/>
          <w:sz w:val="24"/>
          <w:szCs w:val="24"/>
          <w:lang w:eastAsia="es-ES"/>
        </w:rPr>
        <w:t xml:space="preserve"> psicológico, social, jurídico y económico</w:t>
      </w:r>
      <w:r w:rsidR="0093663E" w:rsidRPr="000E6594">
        <w:rPr>
          <w:rFonts w:eastAsia="Times New Roman" w:cs="Calibri"/>
          <w:color w:val="000000"/>
          <w:sz w:val="24"/>
          <w:szCs w:val="24"/>
          <w:lang w:eastAsia="es-ES"/>
        </w:rPr>
        <w:t>. Tanto es así, que Iborra-Marmolejo et al. (2024) afirman que esta segunda experiencia de victimización puede</w:t>
      </w:r>
      <w:r w:rsidR="004955E4" w:rsidRPr="000E6594">
        <w:rPr>
          <w:rFonts w:eastAsia="Times New Roman" w:cs="Calibri"/>
          <w:color w:val="000000"/>
          <w:sz w:val="24"/>
          <w:szCs w:val="24"/>
          <w:lang w:eastAsia="es-ES"/>
        </w:rPr>
        <w:t xml:space="preserve"> incluso </w:t>
      </w:r>
      <w:r w:rsidR="0093663E" w:rsidRPr="000E6594">
        <w:rPr>
          <w:rFonts w:eastAsia="Times New Roman" w:cs="Calibri"/>
          <w:color w:val="000000"/>
          <w:sz w:val="24"/>
          <w:szCs w:val="24"/>
          <w:lang w:eastAsia="es-ES"/>
        </w:rPr>
        <w:t>superar</w:t>
      </w:r>
      <w:r w:rsidR="004955E4" w:rsidRPr="000E6594">
        <w:rPr>
          <w:rFonts w:eastAsia="Times New Roman" w:cs="Calibri"/>
          <w:color w:val="000000"/>
          <w:sz w:val="24"/>
          <w:szCs w:val="24"/>
          <w:lang w:eastAsia="es-ES"/>
        </w:rPr>
        <w:t xml:space="preserve"> la gravedad del daño causado por el delito inicial</w:t>
      </w:r>
      <w:r w:rsidR="00932B02" w:rsidRPr="000E6594">
        <w:rPr>
          <w:rFonts w:eastAsia="Times New Roman" w:cs="Calibri"/>
          <w:color w:val="000000"/>
          <w:sz w:val="24"/>
          <w:szCs w:val="24"/>
          <w:lang w:eastAsia="es-ES"/>
        </w:rPr>
        <w:t>.</w:t>
      </w:r>
    </w:p>
    <w:p w14:paraId="126696F2" w14:textId="6DF296AE" w:rsidR="00932B02" w:rsidRPr="000E6594" w:rsidRDefault="00932B02"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Sin embargo, la victimización secundaria no abarca exclusivamente el ámbito institucional. Núñez et al. (2021, como se citó en Castro Mata, 2024) definen revictimización como cualquier acción que provoca que una persona reviva una situación traumática y vuelva a asumir el rol de víctima</w:t>
      </w:r>
      <w:r w:rsidR="00381DCC" w:rsidRPr="000E6594">
        <w:rPr>
          <w:rFonts w:eastAsia="Times New Roman" w:cs="Calibri"/>
          <w:color w:val="000000"/>
          <w:sz w:val="24"/>
          <w:szCs w:val="24"/>
          <w:lang w:eastAsia="es-ES"/>
        </w:rPr>
        <w:t xml:space="preserve">. </w:t>
      </w:r>
      <w:r w:rsidR="000D3BA6" w:rsidRPr="000E6594">
        <w:rPr>
          <w:rFonts w:eastAsia="Times New Roman" w:cs="Calibri"/>
          <w:color w:val="000000"/>
          <w:sz w:val="24"/>
          <w:szCs w:val="24"/>
          <w:lang w:eastAsia="es-ES"/>
        </w:rPr>
        <w:t>Pero el daño no viene solo de las instituciones. L</w:t>
      </w:r>
      <w:r w:rsidRPr="000E6594">
        <w:rPr>
          <w:rFonts w:eastAsia="Times New Roman" w:cs="Calibri"/>
          <w:color w:val="000000"/>
          <w:sz w:val="24"/>
          <w:szCs w:val="24"/>
          <w:lang w:eastAsia="es-ES"/>
        </w:rPr>
        <w:t xml:space="preserve">os medios de comunicación, tanto tradicionales como digitales, y especialmente las redes sociales, se han convertido en uno de los principales escenarios donde este fenómeno puede ocurrir. </w:t>
      </w:r>
    </w:p>
    <w:p w14:paraId="31E80FE7" w14:textId="0F3C7944" w:rsidR="004421F9" w:rsidRPr="000E6594" w:rsidRDefault="00DE0569"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 xml:space="preserve">El alcance global de las plataformas digitales ha transformado la manera en que se difunden los casos de violencia. </w:t>
      </w:r>
      <w:r w:rsidR="004421F9" w:rsidRPr="000E6594">
        <w:rPr>
          <w:rFonts w:eastAsia="Times New Roman" w:cs="Calibri"/>
          <w:color w:val="000000"/>
          <w:sz w:val="24"/>
          <w:szCs w:val="24"/>
          <w:lang w:eastAsia="es-ES"/>
        </w:rPr>
        <w:t>Estos</w:t>
      </w:r>
      <w:r w:rsidR="00932B02" w:rsidRPr="000E6594">
        <w:rPr>
          <w:rFonts w:eastAsia="Times New Roman" w:cs="Calibri"/>
          <w:color w:val="000000"/>
          <w:sz w:val="24"/>
          <w:szCs w:val="24"/>
          <w:lang w:eastAsia="es-ES"/>
        </w:rPr>
        <w:t xml:space="preserve"> </w:t>
      </w:r>
      <w:r w:rsidR="000E312A" w:rsidRPr="000E6594">
        <w:rPr>
          <w:rFonts w:eastAsia="Times New Roman" w:cs="Calibri"/>
          <w:color w:val="000000"/>
          <w:sz w:val="24"/>
          <w:szCs w:val="24"/>
          <w:lang w:eastAsia="es-ES"/>
        </w:rPr>
        <w:t>se viralizan</w:t>
      </w:r>
      <w:r w:rsidRPr="000E6594">
        <w:rPr>
          <w:rFonts w:eastAsia="Times New Roman" w:cs="Calibri"/>
          <w:color w:val="000000"/>
          <w:sz w:val="24"/>
          <w:szCs w:val="24"/>
          <w:lang w:eastAsia="es-ES"/>
        </w:rPr>
        <w:t xml:space="preserve"> a través de historias, fotografías, vídeos o archivos compartidos por millones de usuarios, quienes opinan, juzgan y redistribuyen el contenido sin considerar las consecuencias para las personas afectadas</w:t>
      </w:r>
      <w:r w:rsidR="004421F9" w:rsidRPr="000E6594">
        <w:rPr>
          <w:rFonts w:eastAsia="Times New Roman" w:cs="Calibri"/>
          <w:color w:val="000000"/>
          <w:sz w:val="24"/>
          <w:szCs w:val="24"/>
          <w:lang w:eastAsia="es-ES"/>
        </w:rPr>
        <w:t xml:space="preserve">. </w:t>
      </w:r>
      <w:r w:rsidR="00381DCC" w:rsidRPr="000E6594">
        <w:rPr>
          <w:rFonts w:eastAsia="Times New Roman" w:cs="Calibri"/>
          <w:color w:val="000000"/>
          <w:sz w:val="24"/>
          <w:szCs w:val="24"/>
          <w:lang w:eastAsia="es-ES"/>
        </w:rPr>
        <w:t xml:space="preserve">La intención de las personas que difunden estos contenidos es obtener información directamente de las víctimas o aumentar su visibilidad en la red, sin considerar que con ello se perpetúa el daño psicológico de quienes ya han sufrido una vulneración de sus derechos (Castro Mata, 2024). </w:t>
      </w:r>
      <w:r w:rsidRPr="000E6594">
        <w:rPr>
          <w:rFonts w:eastAsia="Times New Roman" w:cs="Calibri"/>
          <w:color w:val="000000"/>
          <w:sz w:val="24"/>
          <w:szCs w:val="24"/>
          <w:lang w:eastAsia="es-ES"/>
        </w:rPr>
        <w:t xml:space="preserve">Esta exposición masiva implica que la víctima revive repetidamente el hecho traumático, sometida al escrutinio público de una audiencia </w:t>
      </w:r>
      <w:r w:rsidR="00E838D2" w:rsidRPr="000E6594">
        <w:rPr>
          <w:rFonts w:eastAsia="Times New Roman" w:cs="Calibri"/>
          <w:color w:val="000000"/>
          <w:sz w:val="24"/>
          <w:szCs w:val="24"/>
          <w:lang w:eastAsia="es-ES"/>
        </w:rPr>
        <w:t>que</w:t>
      </w:r>
      <w:r w:rsidRPr="000E6594">
        <w:rPr>
          <w:rFonts w:eastAsia="Times New Roman" w:cs="Calibri"/>
          <w:color w:val="000000"/>
          <w:sz w:val="24"/>
          <w:szCs w:val="24"/>
          <w:lang w:eastAsia="es-ES"/>
        </w:rPr>
        <w:t xml:space="preserve"> reproduce prejuicios, estereotipos y estigmas sociales</w:t>
      </w:r>
      <w:r w:rsidR="000D3BA6" w:rsidRPr="000E6594">
        <w:rPr>
          <w:rFonts w:eastAsia="Times New Roman" w:cs="Calibri"/>
          <w:color w:val="000000"/>
          <w:sz w:val="24"/>
          <w:szCs w:val="24"/>
          <w:lang w:eastAsia="es-ES"/>
        </w:rPr>
        <w:t>, interpretando los sucesos desde un enfoque perjudicial que constituye una forma de exclusión y vulneración de sus derechos.</w:t>
      </w:r>
      <w:r w:rsidRPr="000E6594">
        <w:rPr>
          <w:rFonts w:eastAsia="Times New Roman" w:cs="Calibri"/>
          <w:color w:val="000000"/>
          <w:sz w:val="24"/>
          <w:szCs w:val="24"/>
          <w:lang w:eastAsia="es-ES"/>
        </w:rPr>
        <w:t xml:space="preserve"> </w:t>
      </w:r>
      <w:r w:rsidR="004421F9" w:rsidRPr="000E6594">
        <w:rPr>
          <w:rFonts w:eastAsia="Times New Roman" w:cs="Calibri"/>
          <w:color w:val="000000"/>
          <w:sz w:val="24"/>
          <w:szCs w:val="24"/>
          <w:lang w:eastAsia="es-ES"/>
        </w:rPr>
        <w:t xml:space="preserve"> </w:t>
      </w:r>
    </w:p>
    <w:p w14:paraId="4DC27BE8" w14:textId="3602E126" w:rsidR="004421F9" w:rsidRPr="000E6594" w:rsidRDefault="00DD53FD" w:rsidP="0042444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Lo señalado evidencia que </w:t>
      </w:r>
      <w:r w:rsidR="004421F9" w:rsidRPr="000E6594">
        <w:rPr>
          <w:rFonts w:eastAsia="Times New Roman" w:cs="Calibri"/>
          <w:color w:val="000000"/>
          <w:sz w:val="24"/>
          <w:szCs w:val="24"/>
          <w:lang w:eastAsia="es-ES"/>
        </w:rPr>
        <w:t xml:space="preserve">tanto </w:t>
      </w:r>
      <w:r w:rsidRPr="000E6594">
        <w:rPr>
          <w:rFonts w:eastAsia="Times New Roman" w:cs="Calibri"/>
          <w:color w:val="000000"/>
          <w:sz w:val="24"/>
          <w:szCs w:val="24"/>
          <w:lang w:eastAsia="es-ES"/>
        </w:rPr>
        <w:t>la</w:t>
      </w:r>
      <w:r w:rsidR="00DE0569" w:rsidRPr="000E6594">
        <w:rPr>
          <w:rFonts w:eastAsia="Times New Roman" w:cs="Calibri"/>
          <w:color w:val="000000"/>
          <w:sz w:val="24"/>
          <w:szCs w:val="24"/>
          <w:lang w:eastAsia="es-ES"/>
        </w:rPr>
        <w:t xml:space="preserve"> victimización secundaria institucional como la revictimización mediática y social comparten un denominador común: la víctima vuelve a ser dañada, </w:t>
      </w:r>
      <w:r w:rsidR="004421F9" w:rsidRPr="000E6594">
        <w:rPr>
          <w:rFonts w:eastAsia="Times New Roman" w:cs="Calibri"/>
          <w:color w:val="000000"/>
          <w:sz w:val="24"/>
          <w:szCs w:val="24"/>
          <w:lang w:eastAsia="es-ES"/>
        </w:rPr>
        <w:t xml:space="preserve">aunque </w:t>
      </w:r>
      <w:r w:rsidR="00DE0569" w:rsidRPr="000E6594">
        <w:rPr>
          <w:rFonts w:eastAsia="Times New Roman" w:cs="Calibri"/>
          <w:color w:val="000000"/>
          <w:sz w:val="24"/>
          <w:szCs w:val="24"/>
          <w:lang w:eastAsia="es-ES"/>
        </w:rPr>
        <w:t xml:space="preserve">esta vez no por el </w:t>
      </w:r>
      <w:r w:rsidR="004421F9" w:rsidRPr="000E6594">
        <w:rPr>
          <w:rFonts w:eastAsia="Times New Roman" w:cs="Calibri"/>
          <w:color w:val="000000"/>
          <w:sz w:val="24"/>
          <w:szCs w:val="24"/>
          <w:lang w:eastAsia="es-ES"/>
        </w:rPr>
        <w:t>autor del delito</w:t>
      </w:r>
      <w:r w:rsidR="00DE0569" w:rsidRPr="000E6594">
        <w:rPr>
          <w:rFonts w:eastAsia="Times New Roman" w:cs="Calibri"/>
          <w:color w:val="000000"/>
          <w:sz w:val="24"/>
          <w:szCs w:val="24"/>
          <w:lang w:eastAsia="es-ES"/>
        </w:rPr>
        <w:t xml:space="preserve">, sino por el entorno que debería protegerla. </w:t>
      </w:r>
    </w:p>
    <w:p w14:paraId="64535F80" w14:textId="77777777" w:rsidR="000D3BA6" w:rsidRPr="005F3702" w:rsidRDefault="009A7BAE" w:rsidP="005F3702">
      <w:pPr>
        <w:pStyle w:val="Ttulo3"/>
        <w:spacing w:line="360" w:lineRule="auto"/>
        <w:rPr>
          <w:rFonts w:asciiTheme="minorHAnsi" w:eastAsia="Times New Roman" w:hAnsiTheme="minorHAnsi" w:cstheme="minorHAnsi"/>
          <w:b/>
          <w:bCs/>
          <w:color w:val="auto"/>
          <w:lang w:eastAsia="es-ES"/>
        </w:rPr>
      </w:pPr>
      <w:r w:rsidRPr="005F3702">
        <w:rPr>
          <w:rFonts w:asciiTheme="minorHAnsi" w:eastAsia="Times New Roman" w:hAnsiTheme="minorHAnsi" w:cstheme="minorHAnsi"/>
          <w:b/>
          <w:bCs/>
          <w:color w:val="auto"/>
          <w:lang w:eastAsia="es-ES"/>
        </w:rPr>
        <w:t>  </w:t>
      </w:r>
      <w:bookmarkStart w:id="13" w:name="_Toc224333141"/>
      <w:r w:rsidRPr="005F3702">
        <w:rPr>
          <w:rFonts w:asciiTheme="minorHAnsi" w:eastAsia="Times New Roman" w:hAnsiTheme="minorHAnsi" w:cstheme="minorHAnsi"/>
          <w:b/>
          <w:bCs/>
          <w:color w:val="auto"/>
          <w:lang w:eastAsia="es-ES"/>
        </w:rPr>
        <w:t>3.1.2 Perspectiva de género en criminología</w:t>
      </w:r>
      <w:bookmarkEnd w:id="13"/>
      <w:r w:rsidRPr="005F3702">
        <w:rPr>
          <w:rFonts w:asciiTheme="minorHAnsi" w:eastAsia="Times New Roman" w:hAnsiTheme="minorHAnsi" w:cstheme="minorHAnsi"/>
          <w:b/>
          <w:bCs/>
          <w:color w:val="auto"/>
          <w:lang w:eastAsia="es-ES"/>
        </w:rPr>
        <w:t>  </w:t>
      </w:r>
      <w:r w:rsidR="009B0B19" w:rsidRPr="005F3702">
        <w:rPr>
          <w:rFonts w:asciiTheme="minorHAnsi" w:eastAsia="Times New Roman" w:hAnsiTheme="minorHAnsi" w:cstheme="minorHAnsi"/>
          <w:b/>
          <w:bCs/>
          <w:color w:val="auto"/>
          <w:lang w:eastAsia="es-ES"/>
        </w:rPr>
        <w:t xml:space="preserve"> </w:t>
      </w:r>
    </w:p>
    <w:p w14:paraId="0D69FEBD" w14:textId="25D23442" w:rsidR="002A5A63" w:rsidRPr="000E6594" w:rsidRDefault="002A5A63" w:rsidP="005F3702">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La perspectiva de género en criminología no concibe el género como una variable más entre tantas otras. Lo entiende como un sistema jerárquico de poder construido sobre la base del sexo, generando y alimentándose a la vez de desigualdades (Bartolomé y Rodríguez, 2022). Y es gracias a este enfoque que comprendemos cómo dicho sistema influye en la delincuencia, en la victimización, en la reacción social y en el funcionamiento de las instituciones penales (Bartolomé y Rodríguez, 2022). De esta forma, el sexo —entendido como diferenciación biológica— y el género —la construcción cultural de lo que significa ser hombre o mujer— han sido incorporados en los desarrollos teóricos y en la investigación empírica de la criminología (Belknap, 2001;</w:t>
      </w:r>
      <w:r w:rsidR="003356D6" w:rsidRPr="003356D6">
        <w:t xml:space="preserve"> </w:t>
      </w:r>
      <w:r w:rsidR="003356D6" w:rsidRPr="003356D6">
        <w:rPr>
          <w:rFonts w:eastAsia="Times New Roman" w:cs="Calibri"/>
          <w:color w:val="000000"/>
          <w:sz w:val="24"/>
          <w:szCs w:val="24"/>
          <w:lang w:eastAsia="es-ES"/>
        </w:rPr>
        <w:t>Bloom et al. (2005, como se citó en Cámara Arroyo, 2020)</w:t>
      </w:r>
      <w:r w:rsidRPr="000E6594">
        <w:rPr>
          <w:rFonts w:eastAsia="Times New Roman" w:cs="Calibri"/>
          <w:color w:val="000000"/>
          <w:sz w:val="24"/>
          <w:szCs w:val="24"/>
          <w:lang w:eastAsia="es-ES"/>
        </w:rPr>
        <w:t xml:space="preserve"> </w:t>
      </w:r>
    </w:p>
    <w:p w14:paraId="041F7161" w14:textId="77777777" w:rsidR="002A5A63" w:rsidRPr="000E6594" w:rsidRDefault="002A5A63"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Uno de los aportes más relevantes de la criminología feminista fue demostrar que los factores económicos, políticos y culturales afectan de manera diferenciada a hombres y mujeres, y que la violencia contra ellas no constituye únicamente una forma de control masculino individual, sino un mecanismo estructural de opresión y control </w:t>
      </w:r>
      <w:r w:rsidRPr="000E6594">
        <w:rPr>
          <w:rFonts w:eastAsia="Times New Roman" w:cs="Calibri"/>
          <w:color w:val="000000"/>
          <w:sz w:val="24"/>
          <w:szCs w:val="24"/>
          <w:lang w:eastAsia="es-ES"/>
        </w:rPr>
        <w:lastRenderedPageBreak/>
        <w:t>social (García Crespo, 2022). En esta línea, cuando la subordinación por razón de género converge con otras desigualdades como la clase social, la etnia, el estatus migratorio o la religión, el riesgo de sufrir violencia se incrementa de forma considerable (García Crespo, 2022).</w:t>
      </w:r>
    </w:p>
    <w:p w14:paraId="407F29C0" w14:textId="2D8703A7" w:rsidR="002A5A63" w:rsidRPr="000E6594" w:rsidRDefault="002A5A63"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Otro aporte relevante de esta perspectiva ha sido el análisis del control social informal como conjunto de respuestas que sancionan las conductas que no se ajustan a las expectativas de género (Larrauri, 2008). La infancia, el hogar y la escuela funcionan como espacios privilegiados de ese control, donde las normas son sistemáticamente más estrictas para las mujeres. </w:t>
      </w:r>
      <w:r w:rsidR="00B3281F" w:rsidRPr="000E6594">
        <w:rPr>
          <w:rFonts w:eastAsia="Times New Roman" w:cs="Calibri"/>
          <w:color w:val="000000"/>
          <w:sz w:val="24"/>
          <w:szCs w:val="24"/>
          <w:lang w:eastAsia="es-ES"/>
        </w:rPr>
        <w:t>Gradualmente, esta</w:t>
      </w:r>
      <w:r w:rsidRPr="000E6594">
        <w:rPr>
          <w:rFonts w:eastAsia="Times New Roman" w:cs="Calibri"/>
          <w:color w:val="000000"/>
          <w:sz w:val="24"/>
          <w:szCs w:val="24"/>
          <w:lang w:eastAsia="es-ES"/>
        </w:rPr>
        <w:t xml:space="preserve"> desigualdad acaba interiorizándose de tal forma que la feminidad queda asociada a la vulnerabilidad, mientras la masculinidad dominante legitima la violencia como mecanismo de reafirmación (Afanador Contreras y Caballero Badillo, 2012</w:t>
      </w:r>
      <w:r w:rsidR="00B3281F" w:rsidRPr="000E6594">
        <w:rPr>
          <w:rFonts w:eastAsia="Times New Roman" w:cs="Calibri"/>
          <w:color w:val="000000"/>
          <w:sz w:val="24"/>
          <w:szCs w:val="24"/>
          <w:lang w:eastAsia="es-ES"/>
        </w:rPr>
        <w:t>).</w:t>
      </w:r>
      <w:r w:rsidRPr="000E6594">
        <w:rPr>
          <w:rFonts w:cs="Calibri"/>
        </w:rPr>
        <w:t xml:space="preserve"> </w:t>
      </w:r>
      <w:r w:rsidR="00FC5AF7" w:rsidRPr="000E6594">
        <w:rPr>
          <w:rFonts w:cs="Calibri"/>
        </w:rPr>
        <w:t>Como resultado, se genera un contexto</w:t>
      </w:r>
      <w:r w:rsidRPr="000E6594">
        <w:rPr>
          <w:rFonts w:eastAsia="Times New Roman" w:cs="Calibri"/>
          <w:color w:val="000000"/>
          <w:sz w:val="24"/>
          <w:szCs w:val="24"/>
          <w:lang w:eastAsia="es-ES"/>
        </w:rPr>
        <w:t xml:space="preserve"> en el que la violencia sexual trasciende lo individual para convertirse en una norma construida históricamente desde la cultura, el derecho y la sociedad, que ha </w:t>
      </w:r>
      <w:r w:rsidR="00FC5AF7" w:rsidRPr="000E6594">
        <w:rPr>
          <w:rFonts w:eastAsia="Times New Roman" w:cs="Calibri"/>
          <w:color w:val="000000"/>
          <w:sz w:val="24"/>
          <w:szCs w:val="24"/>
          <w:lang w:eastAsia="es-ES"/>
        </w:rPr>
        <w:t>funcionado</w:t>
      </w:r>
      <w:r w:rsidRPr="000E6594">
        <w:rPr>
          <w:rFonts w:eastAsia="Times New Roman" w:cs="Calibri"/>
          <w:color w:val="000000"/>
          <w:sz w:val="24"/>
          <w:szCs w:val="24"/>
          <w:lang w:eastAsia="es-ES"/>
        </w:rPr>
        <w:t xml:space="preserve"> durante siglos como herramienta de poder y dominación masculina (Engle, 2010).</w:t>
      </w:r>
    </w:p>
    <w:p w14:paraId="32E30DDC" w14:textId="67CCEFBE" w:rsidR="00647E00" w:rsidRPr="00424443" w:rsidRDefault="00B3281F" w:rsidP="0042444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Finalmente, r</w:t>
      </w:r>
      <w:r w:rsidR="002A5A63" w:rsidRPr="000E6594">
        <w:rPr>
          <w:rFonts w:eastAsia="Times New Roman" w:cs="Calibri"/>
          <w:color w:val="000000"/>
          <w:sz w:val="24"/>
          <w:szCs w:val="24"/>
          <w:lang w:eastAsia="es-ES"/>
        </w:rPr>
        <w:t xml:space="preserve">especto a la revictimización femenina en los casos de violencia sexual, la criminología feminista ha puesto de manifiesto que esta se presenta como una realidad estructural y normalizada, en la que la víctima es cuestionada por las instituciones y la sociedad. </w:t>
      </w:r>
      <w:r w:rsidRPr="000E6594">
        <w:rPr>
          <w:rFonts w:eastAsia="Times New Roman" w:cs="Calibri"/>
          <w:color w:val="000000"/>
          <w:sz w:val="24"/>
          <w:szCs w:val="24"/>
          <w:lang w:eastAsia="es-ES"/>
        </w:rPr>
        <w:t>En parte, e</w:t>
      </w:r>
      <w:r w:rsidR="002A5A63" w:rsidRPr="000E6594">
        <w:rPr>
          <w:rFonts w:eastAsia="Times New Roman" w:cs="Calibri"/>
          <w:color w:val="000000"/>
          <w:sz w:val="24"/>
          <w:szCs w:val="24"/>
          <w:lang w:eastAsia="es-ES"/>
        </w:rPr>
        <w:t>sta dinámica se asienta sobre una cultura de la sospecha que asume de forma implícita que las acusaciones por agresión sexual son frecuentemente falsas, atribuyendo a las mujeres una intención maliciosa o vengativa; una presunción que la criminología feminista lleva décadas desmontando (Ballesteros Doncel y Cazorla González, 2024).</w:t>
      </w:r>
    </w:p>
    <w:p w14:paraId="4B978C2F" w14:textId="4892890F" w:rsidR="00647E00" w:rsidRPr="005726B7" w:rsidRDefault="009A7BAE" w:rsidP="005726B7">
      <w:pPr>
        <w:pStyle w:val="Ttulo3"/>
        <w:spacing w:line="360" w:lineRule="auto"/>
        <w:rPr>
          <w:rFonts w:asciiTheme="minorHAnsi" w:eastAsia="Times New Roman" w:hAnsiTheme="minorHAnsi" w:cstheme="minorHAnsi"/>
          <w:b/>
          <w:bCs/>
          <w:color w:val="auto"/>
          <w:lang w:eastAsia="es-ES"/>
        </w:rPr>
      </w:pPr>
      <w:bookmarkStart w:id="14" w:name="_Toc224333142"/>
      <w:r w:rsidRPr="005726B7">
        <w:rPr>
          <w:rFonts w:asciiTheme="minorHAnsi" w:eastAsia="Times New Roman" w:hAnsiTheme="minorHAnsi" w:cstheme="minorHAnsi"/>
          <w:b/>
          <w:bCs/>
          <w:color w:val="auto"/>
          <w:lang w:eastAsia="es-ES"/>
        </w:rPr>
        <w:t>3.1.3 Definición de violenci</w:t>
      </w:r>
      <w:r w:rsidR="00B07F2D" w:rsidRPr="005726B7">
        <w:rPr>
          <w:rFonts w:asciiTheme="minorHAnsi" w:eastAsia="Times New Roman" w:hAnsiTheme="minorHAnsi" w:cstheme="minorHAnsi"/>
          <w:b/>
          <w:bCs/>
          <w:color w:val="auto"/>
          <w:lang w:eastAsia="es-ES"/>
        </w:rPr>
        <w:t>a sexual.</w:t>
      </w:r>
      <w:bookmarkEnd w:id="14"/>
    </w:p>
    <w:p w14:paraId="092B5828" w14:textId="2EC8485D" w:rsidR="007925DC" w:rsidRPr="000E6594" w:rsidRDefault="00F1194E" w:rsidP="005726B7">
      <w:pPr>
        <w:spacing w:after="100" w:line="360" w:lineRule="auto"/>
        <w:ind w:firstLine="340"/>
        <w:jc w:val="both"/>
        <w:textAlignment w:val="baseline"/>
        <w:rPr>
          <w:rFonts w:eastAsia="Times New Roman" w:cs="Calibri"/>
          <w:color w:val="000000"/>
          <w:sz w:val="24"/>
          <w:szCs w:val="24"/>
          <w:lang w:eastAsia="es-ES"/>
        </w:rPr>
      </w:pPr>
      <w:r w:rsidRPr="005F3702">
        <w:rPr>
          <w:rFonts w:asciiTheme="minorHAnsi" w:eastAsia="Times New Roman" w:hAnsiTheme="minorHAnsi" w:cstheme="minorHAnsi"/>
          <w:sz w:val="24"/>
          <w:szCs w:val="24"/>
          <w:lang w:eastAsia="es-ES"/>
        </w:rPr>
        <w:t xml:space="preserve">Resulta necesario analizar </w:t>
      </w:r>
      <w:r w:rsidR="0085127A" w:rsidRPr="005F3702">
        <w:rPr>
          <w:rFonts w:asciiTheme="minorHAnsi" w:eastAsia="Times New Roman" w:hAnsiTheme="minorHAnsi" w:cstheme="minorHAnsi"/>
          <w:sz w:val="24"/>
          <w:szCs w:val="24"/>
          <w:lang w:eastAsia="es-ES"/>
        </w:rPr>
        <w:t xml:space="preserve">las distintas formas </w:t>
      </w:r>
      <w:r w:rsidR="00E61D85" w:rsidRPr="005F3702">
        <w:rPr>
          <w:rFonts w:asciiTheme="minorHAnsi" w:eastAsia="Times New Roman" w:hAnsiTheme="minorHAnsi" w:cstheme="minorHAnsi"/>
          <w:sz w:val="24"/>
          <w:szCs w:val="24"/>
          <w:lang w:eastAsia="es-ES"/>
        </w:rPr>
        <w:t>que puede adoptar la</w:t>
      </w:r>
      <w:r w:rsidR="0085127A" w:rsidRPr="005F3702">
        <w:rPr>
          <w:rFonts w:asciiTheme="minorHAnsi" w:eastAsia="Times New Roman" w:hAnsiTheme="minorHAnsi" w:cstheme="minorHAnsi"/>
          <w:sz w:val="24"/>
          <w:szCs w:val="24"/>
          <w:lang w:eastAsia="es-ES"/>
        </w:rPr>
        <w:t xml:space="preserve"> violencia sexual para </w:t>
      </w:r>
      <w:r w:rsidR="00004C76" w:rsidRPr="005F3702">
        <w:rPr>
          <w:rFonts w:asciiTheme="minorHAnsi" w:eastAsia="Times New Roman" w:hAnsiTheme="minorHAnsi" w:cstheme="minorHAnsi"/>
          <w:sz w:val="24"/>
          <w:szCs w:val="24"/>
          <w:lang w:eastAsia="es-ES"/>
        </w:rPr>
        <w:t>comprender</w:t>
      </w:r>
      <w:r w:rsidR="0085127A" w:rsidRPr="005F3702">
        <w:rPr>
          <w:rFonts w:asciiTheme="minorHAnsi" w:eastAsia="Times New Roman" w:hAnsiTheme="minorHAnsi" w:cstheme="minorHAnsi"/>
          <w:sz w:val="24"/>
          <w:szCs w:val="24"/>
          <w:lang w:eastAsia="es-ES"/>
        </w:rPr>
        <w:t xml:space="preserve"> su verdadero alcance. </w:t>
      </w:r>
      <w:r w:rsidR="00293830" w:rsidRPr="005F3702">
        <w:rPr>
          <w:rFonts w:asciiTheme="minorHAnsi" w:eastAsia="Times New Roman" w:hAnsiTheme="minorHAnsi" w:cstheme="minorHAnsi"/>
          <w:sz w:val="24"/>
          <w:szCs w:val="24"/>
          <w:lang w:eastAsia="es-ES"/>
        </w:rPr>
        <w:t>Feminicidio.net (2023) y el Observatorio de Violencia Sexual (s.f.) señalan</w:t>
      </w:r>
      <w:r w:rsidR="00E61D85" w:rsidRPr="005F3702">
        <w:rPr>
          <w:rFonts w:eastAsia="Times New Roman" w:cs="Calibri"/>
          <w:sz w:val="24"/>
          <w:szCs w:val="24"/>
          <w:lang w:eastAsia="es-ES"/>
        </w:rPr>
        <w:t xml:space="preserve"> </w:t>
      </w:r>
      <w:r w:rsidR="00E61D85" w:rsidRPr="000E6594">
        <w:rPr>
          <w:rFonts w:eastAsia="Times New Roman" w:cs="Calibri"/>
          <w:color w:val="000000"/>
          <w:sz w:val="24"/>
          <w:szCs w:val="24"/>
          <w:lang w:eastAsia="es-ES"/>
        </w:rPr>
        <w:t>algunos de</w:t>
      </w:r>
      <w:r w:rsidR="00293830" w:rsidRPr="000E6594">
        <w:rPr>
          <w:rFonts w:eastAsia="Times New Roman" w:cs="Calibri"/>
          <w:color w:val="000000"/>
          <w:sz w:val="24"/>
          <w:szCs w:val="24"/>
          <w:lang w:eastAsia="es-ES"/>
        </w:rPr>
        <w:t xml:space="preserve"> l</w:t>
      </w:r>
      <w:r w:rsidR="00E61D85" w:rsidRPr="000E6594">
        <w:rPr>
          <w:rFonts w:eastAsia="Times New Roman" w:cs="Calibri"/>
          <w:color w:val="000000"/>
          <w:sz w:val="24"/>
          <w:szCs w:val="24"/>
          <w:lang w:eastAsia="es-ES"/>
        </w:rPr>
        <w:t>os principales tipos que</w:t>
      </w:r>
      <w:r w:rsidR="00293830" w:rsidRPr="000E6594">
        <w:rPr>
          <w:rFonts w:eastAsia="Times New Roman" w:cs="Calibri"/>
          <w:color w:val="000000"/>
          <w:sz w:val="24"/>
          <w:szCs w:val="24"/>
          <w:lang w:eastAsia="es-ES"/>
        </w:rPr>
        <w:t xml:space="preserve"> la literatura especializada ha </w:t>
      </w:r>
      <w:r w:rsidR="00E61D85" w:rsidRPr="000E6594">
        <w:rPr>
          <w:rFonts w:eastAsia="Times New Roman" w:cs="Calibri"/>
          <w:color w:val="000000"/>
          <w:sz w:val="24"/>
          <w:szCs w:val="24"/>
          <w:lang w:eastAsia="es-ES"/>
        </w:rPr>
        <w:t>identificado</w:t>
      </w:r>
      <w:r w:rsidR="00293830" w:rsidRPr="000E6594">
        <w:rPr>
          <w:rFonts w:eastAsia="Times New Roman" w:cs="Calibri"/>
          <w:color w:val="000000"/>
          <w:sz w:val="24"/>
          <w:szCs w:val="24"/>
          <w:lang w:eastAsia="es-ES"/>
        </w:rPr>
        <w:t xml:space="preserve"> hasta </w:t>
      </w:r>
      <w:r w:rsidR="00E61D85" w:rsidRPr="000E6594">
        <w:rPr>
          <w:rFonts w:eastAsia="Times New Roman" w:cs="Calibri"/>
          <w:color w:val="000000"/>
          <w:sz w:val="24"/>
          <w:szCs w:val="24"/>
          <w:lang w:eastAsia="es-ES"/>
        </w:rPr>
        <w:t>el momento</w:t>
      </w:r>
      <w:r w:rsidR="00293830" w:rsidRPr="000E6594">
        <w:rPr>
          <w:rFonts w:eastAsia="Times New Roman" w:cs="Calibri"/>
          <w:color w:val="000000"/>
          <w:sz w:val="24"/>
          <w:szCs w:val="24"/>
          <w:lang w:eastAsia="es-ES"/>
        </w:rPr>
        <w:t>.</w:t>
      </w:r>
    </w:p>
    <w:p w14:paraId="15C35D27" w14:textId="0BCE701A" w:rsidR="00DF1CB3" w:rsidRPr="000E6594" w:rsidRDefault="00E61D85" w:rsidP="000E6594">
      <w:pPr>
        <w:spacing w:after="100" w:line="360" w:lineRule="auto"/>
        <w:ind w:firstLine="340"/>
        <w:jc w:val="both"/>
        <w:textAlignment w:val="baseline"/>
        <w:rPr>
          <w:rFonts w:eastAsia="Times New Roman" w:cs="Calibri"/>
          <w:b/>
          <w:bCs/>
          <w:color w:val="000000"/>
          <w:sz w:val="24"/>
          <w:szCs w:val="24"/>
          <w:lang w:eastAsia="es-ES"/>
        </w:rPr>
      </w:pPr>
      <w:r w:rsidRPr="000E6594">
        <w:rPr>
          <w:rFonts w:eastAsia="Times New Roman" w:cs="Calibri"/>
          <w:color w:val="000000"/>
          <w:sz w:val="24"/>
          <w:szCs w:val="24"/>
          <w:lang w:eastAsia="es-ES"/>
        </w:rPr>
        <w:t>Entre las</w:t>
      </w:r>
      <w:r w:rsidR="00F74A59" w:rsidRPr="000E6594">
        <w:rPr>
          <w:rFonts w:eastAsia="Times New Roman" w:cs="Calibri"/>
          <w:color w:val="000000"/>
          <w:sz w:val="24"/>
          <w:szCs w:val="24"/>
          <w:lang w:eastAsia="es-ES"/>
        </w:rPr>
        <w:t xml:space="preserve"> manifestaciones más visibles y reconocidas </w:t>
      </w:r>
      <w:r w:rsidRPr="000E6594">
        <w:rPr>
          <w:rFonts w:eastAsia="Times New Roman" w:cs="Calibri"/>
          <w:color w:val="000000"/>
          <w:sz w:val="24"/>
          <w:szCs w:val="24"/>
          <w:lang w:eastAsia="es-ES"/>
        </w:rPr>
        <w:t>se encuentra</w:t>
      </w:r>
      <w:r w:rsidR="00004C76" w:rsidRPr="000E6594">
        <w:rPr>
          <w:rFonts w:eastAsia="Times New Roman" w:cs="Calibri"/>
          <w:color w:val="000000"/>
          <w:sz w:val="24"/>
          <w:szCs w:val="24"/>
          <w:lang w:eastAsia="es-ES"/>
        </w:rPr>
        <w:t>n</w:t>
      </w:r>
      <w:r w:rsidRPr="000E6594">
        <w:rPr>
          <w:rFonts w:eastAsia="Times New Roman" w:cs="Calibri"/>
          <w:color w:val="000000"/>
          <w:sz w:val="24"/>
          <w:szCs w:val="24"/>
          <w:lang w:eastAsia="es-ES"/>
        </w:rPr>
        <w:t xml:space="preserve"> el</w:t>
      </w:r>
      <w:r w:rsidR="00DF1CB3" w:rsidRPr="000E6594">
        <w:rPr>
          <w:rFonts w:eastAsia="Times New Roman" w:cs="Calibri"/>
          <w:color w:val="000000"/>
          <w:sz w:val="24"/>
          <w:szCs w:val="24"/>
          <w:lang w:eastAsia="es-ES"/>
        </w:rPr>
        <w:t xml:space="preserve"> acoso sexual</w:t>
      </w:r>
      <w:r w:rsidRPr="000E6594">
        <w:rPr>
          <w:rFonts w:eastAsia="Times New Roman" w:cs="Calibri"/>
          <w:color w:val="000000"/>
          <w:sz w:val="24"/>
          <w:szCs w:val="24"/>
          <w:lang w:eastAsia="es-ES"/>
        </w:rPr>
        <w:t xml:space="preserve"> que</w:t>
      </w:r>
      <w:r w:rsidR="00DF1CB3" w:rsidRPr="000E6594">
        <w:rPr>
          <w:rFonts w:eastAsia="Times New Roman" w:cs="Calibri"/>
          <w:color w:val="000000"/>
          <w:sz w:val="24"/>
          <w:szCs w:val="24"/>
          <w:lang w:eastAsia="es-ES"/>
        </w:rPr>
        <w:t xml:space="preserve"> incluye conductas verbales, no verbales o físicas de carácter sexual </w:t>
      </w:r>
      <w:r w:rsidR="00C66BCC" w:rsidRPr="000E6594">
        <w:rPr>
          <w:rFonts w:eastAsia="Times New Roman" w:cs="Calibri"/>
          <w:color w:val="000000"/>
          <w:sz w:val="24"/>
          <w:szCs w:val="24"/>
          <w:lang w:eastAsia="es-ES"/>
        </w:rPr>
        <w:t xml:space="preserve">realizadas </w:t>
      </w:r>
      <w:r w:rsidR="00DF1CB3" w:rsidRPr="000E6594">
        <w:rPr>
          <w:rFonts w:eastAsia="Times New Roman" w:cs="Calibri"/>
          <w:color w:val="000000"/>
          <w:sz w:val="24"/>
          <w:szCs w:val="24"/>
          <w:lang w:eastAsia="es-ES"/>
        </w:rPr>
        <w:t xml:space="preserve">sin el consentimiento del otro </w:t>
      </w:r>
      <w:r w:rsidR="00C66BCC" w:rsidRPr="000E6594">
        <w:rPr>
          <w:rFonts w:eastAsia="Times New Roman" w:cs="Calibri"/>
          <w:color w:val="000000"/>
          <w:sz w:val="24"/>
          <w:szCs w:val="24"/>
          <w:lang w:eastAsia="es-ES"/>
        </w:rPr>
        <w:t>y que provocan</w:t>
      </w:r>
      <w:r w:rsidR="00DF1CB3" w:rsidRPr="000E6594">
        <w:rPr>
          <w:rFonts w:eastAsia="Times New Roman" w:cs="Calibri"/>
          <w:color w:val="000000"/>
          <w:sz w:val="24"/>
          <w:szCs w:val="24"/>
          <w:lang w:eastAsia="es-ES"/>
        </w:rPr>
        <w:t xml:space="preserve"> entornos hostiles o intimidantes</w:t>
      </w:r>
      <w:r w:rsidRPr="000E6594">
        <w:rPr>
          <w:rFonts w:eastAsia="Times New Roman" w:cs="Calibri"/>
          <w:color w:val="000000"/>
          <w:sz w:val="24"/>
          <w:szCs w:val="24"/>
          <w:lang w:eastAsia="es-ES"/>
        </w:rPr>
        <w:t>; e</w:t>
      </w:r>
      <w:r w:rsidR="00DF1CB3" w:rsidRPr="000E6594">
        <w:rPr>
          <w:rFonts w:eastAsia="Times New Roman" w:cs="Calibri"/>
          <w:color w:val="000000"/>
          <w:sz w:val="24"/>
          <w:szCs w:val="24"/>
          <w:lang w:eastAsia="es-ES"/>
        </w:rPr>
        <w:t xml:space="preserve">l </w:t>
      </w:r>
      <w:r w:rsidR="00DF1CB3" w:rsidRPr="000E6594">
        <w:rPr>
          <w:rFonts w:eastAsia="Times New Roman" w:cs="Calibri"/>
          <w:color w:val="000000"/>
          <w:sz w:val="24"/>
          <w:szCs w:val="24"/>
          <w:lang w:eastAsia="es-ES"/>
        </w:rPr>
        <w:lastRenderedPageBreak/>
        <w:t>exhibicionismo</w:t>
      </w:r>
      <w:r w:rsidR="00C66BCC" w:rsidRPr="000E6594">
        <w:rPr>
          <w:rFonts w:eastAsia="Times New Roman" w:cs="Calibri"/>
          <w:color w:val="000000"/>
          <w:sz w:val="24"/>
          <w:szCs w:val="24"/>
          <w:lang w:eastAsia="es-ES"/>
        </w:rPr>
        <w:t xml:space="preserve">, </w:t>
      </w:r>
      <w:r w:rsidR="00004C76" w:rsidRPr="000E6594">
        <w:rPr>
          <w:rFonts w:eastAsia="Times New Roman" w:cs="Calibri"/>
          <w:color w:val="000000"/>
          <w:sz w:val="24"/>
          <w:szCs w:val="24"/>
          <w:lang w:eastAsia="es-ES"/>
        </w:rPr>
        <w:t>entendido como</w:t>
      </w:r>
      <w:r w:rsidR="004C7F9A" w:rsidRPr="000E6594">
        <w:rPr>
          <w:rFonts w:cs="Calibri"/>
        </w:rPr>
        <w:t xml:space="preserve"> </w:t>
      </w:r>
      <w:r w:rsidR="004C7F9A" w:rsidRPr="000E6594">
        <w:rPr>
          <w:rFonts w:eastAsia="Times New Roman" w:cs="Calibri"/>
          <w:color w:val="000000"/>
          <w:sz w:val="24"/>
          <w:szCs w:val="24"/>
          <w:lang w:eastAsia="es-ES"/>
        </w:rPr>
        <w:t>la conducta de mostrar los genitales a otras personas sin su consentimiento con el objetivo de obtener excitación sexual</w:t>
      </w:r>
      <w:r w:rsidRPr="000E6594">
        <w:rPr>
          <w:rFonts w:eastAsia="Times New Roman" w:cs="Calibri"/>
          <w:color w:val="000000"/>
          <w:sz w:val="24"/>
          <w:szCs w:val="24"/>
          <w:lang w:eastAsia="es-ES"/>
        </w:rPr>
        <w:t xml:space="preserve">; y la </w:t>
      </w:r>
      <w:r w:rsidR="00DF1CB3" w:rsidRPr="000E6594">
        <w:rPr>
          <w:rFonts w:eastAsia="Times New Roman" w:cs="Calibri"/>
          <w:color w:val="000000"/>
          <w:sz w:val="24"/>
          <w:szCs w:val="24"/>
          <w:lang w:eastAsia="es-ES"/>
        </w:rPr>
        <w:t>presión sexual</w:t>
      </w:r>
      <w:r w:rsidR="00C66BCC" w:rsidRPr="000E6594">
        <w:rPr>
          <w:rFonts w:eastAsia="Times New Roman" w:cs="Calibri"/>
          <w:color w:val="000000"/>
          <w:sz w:val="24"/>
          <w:szCs w:val="24"/>
          <w:lang w:eastAsia="es-ES"/>
        </w:rPr>
        <w:t>, que</w:t>
      </w:r>
      <w:r w:rsidR="00DF1CB3" w:rsidRPr="000E6594">
        <w:rPr>
          <w:rFonts w:eastAsia="Times New Roman" w:cs="Calibri"/>
          <w:color w:val="000000"/>
          <w:sz w:val="24"/>
          <w:szCs w:val="24"/>
          <w:lang w:eastAsia="es-ES"/>
        </w:rPr>
        <w:t> </w:t>
      </w:r>
      <w:r w:rsidR="00C66BCC" w:rsidRPr="000E6594">
        <w:rPr>
          <w:rFonts w:eastAsia="Times New Roman" w:cs="Calibri"/>
          <w:color w:val="000000"/>
          <w:sz w:val="24"/>
          <w:szCs w:val="24"/>
          <w:lang w:eastAsia="es-ES"/>
        </w:rPr>
        <w:t>implica</w:t>
      </w:r>
      <w:r w:rsidR="00DF1CB3" w:rsidRPr="000E6594">
        <w:rPr>
          <w:rFonts w:eastAsia="Times New Roman" w:cs="Calibri"/>
          <w:color w:val="000000"/>
          <w:sz w:val="24"/>
          <w:szCs w:val="24"/>
          <w:lang w:eastAsia="es-ES"/>
        </w:rPr>
        <w:t xml:space="preserve"> emplear coerción o manipulación emocional para conseguir que otra persona realice actos sexuales.</w:t>
      </w:r>
    </w:p>
    <w:p w14:paraId="6989A5CF" w14:textId="0D739870" w:rsidR="00F74A59" w:rsidRPr="000E6594" w:rsidRDefault="00E61D8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Otra dimensión</w:t>
      </w:r>
      <w:r w:rsidR="00C66BCC" w:rsidRPr="000E6594">
        <w:rPr>
          <w:rFonts w:eastAsia="Times New Roman" w:cs="Calibri"/>
          <w:color w:val="000000"/>
          <w:sz w:val="24"/>
          <w:szCs w:val="24"/>
          <w:lang w:eastAsia="es-ES"/>
        </w:rPr>
        <w:t xml:space="preserve"> de este tipo de violencia</w:t>
      </w:r>
      <w:r w:rsidRPr="000E6594">
        <w:rPr>
          <w:rFonts w:eastAsia="Times New Roman" w:cs="Calibri"/>
          <w:color w:val="000000"/>
          <w:sz w:val="24"/>
          <w:szCs w:val="24"/>
          <w:lang w:eastAsia="es-ES"/>
        </w:rPr>
        <w:t xml:space="preserve"> se relaciona con la explotación sexual</w:t>
      </w:r>
      <w:r w:rsidR="00C66BCC" w:rsidRPr="000E6594">
        <w:rPr>
          <w:rFonts w:eastAsia="Times New Roman" w:cs="Calibri"/>
          <w:color w:val="000000"/>
          <w:sz w:val="24"/>
          <w:szCs w:val="24"/>
          <w:lang w:eastAsia="es-ES"/>
        </w:rPr>
        <w:t>. Esta abarca</w:t>
      </w:r>
      <w:r w:rsidRPr="000E6594">
        <w:rPr>
          <w:rFonts w:eastAsia="Times New Roman" w:cs="Calibri"/>
          <w:color w:val="000000"/>
          <w:sz w:val="24"/>
          <w:szCs w:val="24"/>
          <w:lang w:eastAsia="es-ES"/>
        </w:rPr>
        <w:t xml:space="preserve"> l</w:t>
      </w:r>
      <w:r w:rsidR="007925DC" w:rsidRPr="000E6594">
        <w:rPr>
          <w:rFonts w:eastAsia="Times New Roman" w:cs="Calibri"/>
          <w:color w:val="000000"/>
          <w:sz w:val="24"/>
          <w:szCs w:val="24"/>
          <w:lang w:eastAsia="es-ES"/>
        </w:rPr>
        <w:t>a prostitución y la trata con fines de explotación sexual</w:t>
      </w:r>
      <w:r w:rsidR="00C66BCC" w:rsidRPr="000E6594">
        <w:rPr>
          <w:rFonts w:eastAsia="Times New Roman" w:cs="Calibri"/>
          <w:color w:val="000000"/>
          <w:sz w:val="24"/>
          <w:szCs w:val="24"/>
          <w:lang w:eastAsia="es-ES"/>
        </w:rPr>
        <w:t>, que</w:t>
      </w:r>
      <w:r w:rsidR="007925DC" w:rsidRPr="000E6594">
        <w:rPr>
          <w:rFonts w:eastAsia="Times New Roman" w:cs="Calibri"/>
          <w:color w:val="000000"/>
          <w:sz w:val="24"/>
          <w:szCs w:val="24"/>
          <w:lang w:eastAsia="es-ES"/>
        </w:rPr>
        <w:t xml:space="preserve"> suponen atraer, transportar o acoger a individuos por medio de amenazas, abuso de poder, engaños u otras formas de coacción para explotarlos sexualmente</w:t>
      </w:r>
      <w:r w:rsidR="00C66BCC" w:rsidRPr="000E6594">
        <w:rPr>
          <w:rFonts w:eastAsia="Times New Roman" w:cs="Calibri"/>
          <w:color w:val="000000"/>
          <w:sz w:val="24"/>
          <w:szCs w:val="24"/>
          <w:lang w:eastAsia="es-ES"/>
        </w:rPr>
        <w:t xml:space="preserve">. </w:t>
      </w:r>
      <w:r w:rsidR="004C7F9A" w:rsidRPr="000E6594">
        <w:rPr>
          <w:rFonts w:eastAsia="Times New Roman" w:cs="Calibri"/>
          <w:color w:val="000000"/>
          <w:sz w:val="24"/>
          <w:szCs w:val="24"/>
          <w:lang w:eastAsia="es-ES"/>
        </w:rPr>
        <w:t>En este mismo ámbito también se encuentra</w:t>
      </w:r>
      <w:r w:rsidR="00C66BCC" w:rsidRPr="000E6594">
        <w:rPr>
          <w:rFonts w:eastAsia="Times New Roman" w:cs="Calibri"/>
          <w:color w:val="000000"/>
          <w:sz w:val="24"/>
          <w:szCs w:val="24"/>
          <w:lang w:eastAsia="es-ES"/>
        </w:rPr>
        <w:t xml:space="preserve">  la pornografía</w:t>
      </w:r>
      <w:r w:rsidR="007925DC" w:rsidRPr="000E6594">
        <w:rPr>
          <w:rFonts w:eastAsia="Times New Roman" w:cs="Calibri"/>
          <w:color w:val="000000"/>
          <w:sz w:val="24"/>
          <w:szCs w:val="24"/>
          <w:lang w:eastAsia="es-ES"/>
        </w:rPr>
        <w:t xml:space="preserve">, </w:t>
      </w:r>
      <w:r w:rsidR="00C66BCC" w:rsidRPr="000E6594">
        <w:rPr>
          <w:rFonts w:eastAsia="Times New Roman" w:cs="Calibri"/>
          <w:color w:val="000000"/>
          <w:sz w:val="24"/>
          <w:szCs w:val="24"/>
          <w:lang w:eastAsia="es-ES"/>
        </w:rPr>
        <w:t xml:space="preserve">que </w:t>
      </w:r>
      <w:r w:rsidR="001D0E4D" w:rsidRPr="000E6594">
        <w:rPr>
          <w:rFonts w:eastAsia="Times New Roman" w:cs="Calibri"/>
          <w:color w:val="000000"/>
          <w:sz w:val="24"/>
          <w:szCs w:val="24"/>
          <w:lang w:eastAsia="es-ES"/>
        </w:rPr>
        <w:t>ignora el deseo y la voluntad de las mujeres y normaliza y erotiza la violencia contra ellas</w:t>
      </w:r>
      <w:r w:rsidR="00C66BCC" w:rsidRPr="000E6594">
        <w:rPr>
          <w:rFonts w:eastAsia="Times New Roman" w:cs="Calibri"/>
          <w:color w:val="000000"/>
          <w:sz w:val="24"/>
          <w:szCs w:val="24"/>
          <w:lang w:eastAsia="es-ES"/>
        </w:rPr>
        <w:t>. Por último, se identifican los</w:t>
      </w:r>
      <w:r w:rsidR="00F74A59" w:rsidRPr="000E6594">
        <w:rPr>
          <w:rFonts w:eastAsia="Times New Roman" w:cs="Calibri"/>
          <w:color w:val="000000"/>
          <w:sz w:val="24"/>
          <w:szCs w:val="24"/>
          <w:lang w:eastAsia="es-ES"/>
        </w:rPr>
        <w:t xml:space="preserve"> matrimonios concertados, forzados y a temprana edad</w:t>
      </w:r>
      <w:r w:rsidR="00C66BCC" w:rsidRPr="000E6594">
        <w:rPr>
          <w:rFonts w:eastAsia="Times New Roman" w:cs="Calibri"/>
          <w:color w:val="000000"/>
          <w:sz w:val="24"/>
          <w:szCs w:val="24"/>
          <w:lang w:eastAsia="es-ES"/>
        </w:rPr>
        <w:t xml:space="preserve">, que consisten en </w:t>
      </w:r>
      <w:r w:rsidR="00F74A59" w:rsidRPr="000E6594">
        <w:rPr>
          <w:rFonts w:eastAsia="Times New Roman" w:cs="Calibri"/>
          <w:color w:val="000000"/>
          <w:sz w:val="24"/>
          <w:szCs w:val="24"/>
          <w:lang w:eastAsia="es-ES"/>
        </w:rPr>
        <w:t xml:space="preserve">obligar a una niña o adolescente a casarse </w:t>
      </w:r>
      <w:r w:rsidR="00C66BCC" w:rsidRPr="000E6594">
        <w:rPr>
          <w:rFonts w:eastAsia="Times New Roman" w:cs="Calibri"/>
          <w:color w:val="000000"/>
          <w:sz w:val="24"/>
          <w:szCs w:val="24"/>
          <w:lang w:eastAsia="es-ES"/>
        </w:rPr>
        <w:t>sin su</w:t>
      </w:r>
      <w:r w:rsidR="00F74A59" w:rsidRPr="000E6594">
        <w:rPr>
          <w:rFonts w:eastAsia="Times New Roman" w:cs="Calibri"/>
          <w:color w:val="000000"/>
          <w:sz w:val="24"/>
          <w:szCs w:val="24"/>
          <w:lang w:eastAsia="es-ES"/>
        </w:rPr>
        <w:t xml:space="preserve"> consentimiento</w:t>
      </w:r>
      <w:r w:rsidR="00C66BCC" w:rsidRPr="000E6594">
        <w:rPr>
          <w:rFonts w:eastAsia="Times New Roman" w:cs="Calibri"/>
          <w:color w:val="000000"/>
          <w:sz w:val="24"/>
          <w:szCs w:val="24"/>
          <w:lang w:eastAsia="es-ES"/>
        </w:rPr>
        <w:t>.</w:t>
      </w:r>
    </w:p>
    <w:p w14:paraId="02C373B3" w14:textId="167E10FC" w:rsidR="00F74A59" w:rsidRPr="000E6594" w:rsidRDefault="00E61D8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Existen también prácticas que afectan directamente a los derechos sexuales y reproductivos de las mujeres. </w:t>
      </w:r>
      <w:r w:rsidR="00004C76" w:rsidRPr="000E6594">
        <w:rPr>
          <w:rFonts w:eastAsia="Times New Roman" w:cs="Calibri"/>
          <w:color w:val="000000"/>
          <w:sz w:val="24"/>
          <w:szCs w:val="24"/>
          <w:lang w:eastAsia="es-ES"/>
        </w:rPr>
        <w:t>En este sentido, la</w:t>
      </w:r>
      <w:r w:rsidR="007925DC" w:rsidRPr="000E6594">
        <w:rPr>
          <w:rFonts w:eastAsia="Times New Roman" w:cs="Calibri"/>
          <w:color w:val="000000"/>
          <w:sz w:val="24"/>
          <w:szCs w:val="24"/>
          <w:lang w:eastAsia="es-ES"/>
        </w:rPr>
        <w:t xml:space="preserve"> violencia contra los derechos sexuales y reproductivos engloba la esterilización forzada, la negación del acceso al aborto o la vulneración de la autodeterminación reproductiva.  </w:t>
      </w:r>
      <w:r w:rsidR="00004C76" w:rsidRPr="000E6594">
        <w:rPr>
          <w:rFonts w:eastAsia="Times New Roman" w:cs="Calibri"/>
          <w:color w:val="000000"/>
          <w:sz w:val="24"/>
          <w:szCs w:val="24"/>
          <w:lang w:eastAsia="es-ES"/>
        </w:rPr>
        <w:t>Otra de las prácticas es</w:t>
      </w:r>
      <w:r w:rsidRPr="000E6594">
        <w:rPr>
          <w:rFonts w:eastAsia="Times New Roman" w:cs="Calibri"/>
          <w:color w:val="000000"/>
          <w:sz w:val="24"/>
          <w:szCs w:val="24"/>
          <w:lang w:eastAsia="es-ES"/>
        </w:rPr>
        <w:t xml:space="preserve"> la</w:t>
      </w:r>
      <w:r w:rsidR="00F55F3B" w:rsidRPr="000E6594">
        <w:rPr>
          <w:rFonts w:eastAsia="Times New Roman" w:cs="Calibri"/>
          <w:color w:val="000000"/>
          <w:sz w:val="24"/>
          <w:szCs w:val="24"/>
          <w:lang w:eastAsia="es-ES"/>
        </w:rPr>
        <w:t xml:space="preserve"> mutilación genital femenina</w:t>
      </w:r>
      <w:r w:rsidR="00004C76" w:rsidRPr="000E6594">
        <w:rPr>
          <w:rFonts w:eastAsia="Times New Roman" w:cs="Calibri"/>
          <w:color w:val="000000"/>
          <w:sz w:val="24"/>
          <w:szCs w:val="24"/>
          <w:lang w:eastAsia="es-ES"/>
        </w:rPr>
        <w:t xml:space="preserve">, que </w:t>
      </w:r>
      <w:r w:rsidR="00F55F3B" w:rsidRPr="000E6594">
        <w:rPr>
          <w:rFonts w:eastAsia="Times New Roman" w:cs="Calibri"/>
          <w:color w:val="000000"/>
          <w:sz w:val="24"/>
          <w:szCs w:val="24"/>
          <w:lang w:eastAsia="es-ES"/>
        </w:rPr>
        <w:t xml:space="preserve">comprende cualquier tipo de intervención sobre los genitales externos de las mujeres que suponga su eliminación parcial o completa, además de cualquier otra lesión a los órganos genitales, sin que haya una base médica que lo justifique. </w:t>
      </w:r>
    </w:p>
    <w:p w14:paraId="36C48AEC" w14:textId="41B067D4" w:rsidR="00063054" w:rsidRPr="000E6594" w:rsidRDefault="00E61D8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Finalmente, la violencia sexual también puede manifestarse en contextos donde existen fuertes relaciones de poder. Por ejemplo,</w:t>
      </w:r>
      <w:r w:rsidR="00F55F3B" w:rsidRPr="000E6594">
        <w:rPr>
          <w:rFonts w:eastAsia="Times New Roman" w:cs="Calibri"/>
          <w:color w:val="000000"/>
          <w:sz w:val="24"/>
          <w:szCs w:val="24"/>
          <w:lang w:eastAsia="es-ES"/>
        </w:rPr>
        <w:t xml:space="preserve"> la</w:t>
      </w:r>
      <w:r w:rsidRPr="000E6594">
        <w:rPr>
          <w:rFonts w:eastAsia="Times New Roman" w:cs="Calibri"/>
          <w:color w:val="000000"/>
          <w:sz w:val="24"/>
          <w:szCs w:val="24"/>
          <w:lang w:eastAsia="es-ES"/>
        </w:rPr>
        <w:t xml:space="preserve"> </w:t>
      </w:r>
      <w:r w:rsidR="00F55F3B" w:rsidRPr="000E6594">
        <w:rPr>
          <w:rFonts w:eastAsia="Times New Roman" w:cs="Calibri"/>
          <w:color w:val="000000"/>
          <w:sz w:val="24"/>
          <w:szCs w:val="24"/>
          <w:lang w:eastAsia="es-ES"/>
        </w:rPr>
        <w:t xml:space="preserve">violación se </w:t>
      </w:r>
      <w:r w:rsidR="00C66BCC" w:rsidRPr="000E6594">
        <w:rPr>
          <w:rFonts w:eastAsia="Times New Roman" w:cs="Calibri"/>
          <w:color w:val="000000"/>
          <w:sz w:val="24"/>
          <w:szCs w:val="24"/>
          <w:lang w:eastAsia="es-ES"/>
        </w:rPr>
        <w:t>usa como</w:t>
      </w:r>
      <w:r w:rsidR="00F55F3B" w:rsidRPr="000E6594">
        <w:rPr>
          <w:rFonts w:eastAsia="Times New Roman" w:cs="Calibri"/>
          <w:color w:val="000000"/>
          <w:sz w:val="24"/>
          <w:szCs w:val="24"/>
          <w:lang w:eastAsia="es-ES"/>
        </w:rPr>
        <w:t xml:space="preserve"> instrumento de guerra</w:t>
      </w:r>
      <w:r w:rsidRPr="000E6594">
        <w:rPr>
          <w:rFonts w:eastAsia="Times New Roman" w:cs="Calibri"/>
          <w:color w:val="000000"/>
          <w:sz w:val="24"/>
          <w:szCs w:val="24"/>
          <w:lang w:eastAsia="es-ES"/>
        </w:rPr>
        <w:t xml:space="preserve"> en los conflictos bélicos</w:t>
      </w:r>
      <w:r w:rsidR="00F55F3B" w:rsidRPr="000E6594">
        <w:rPr>
          <w:rFonts w:eastAsia="Times New Roman" w:cs="Calibri"/>
          <w:color w:val="000000"/>
          <w:sz w:val="24"/>
          <w:szCs w:val="24"/>
          <w:lang w:eastAsia="es-ES"/>
        </w:rPr>
        <w:t xml:space="preserve">. </w:t>
      </w:r>
      <w:r w:rsidR="00C66BCC" w:rsidRPr="000E6594">
        <w:rPr>
          <w:rFonts w:eastAsia="Times New Roman" w:cs="Calibri"/>
          <w:color w:val="000000"/>
          <w:sz w:val="24"/>
          <w:szCs w:val="24"/>
          <w:lang w:eastAsia="es-ES"/>
        </w:rPr>
        <w:t>Asimismo,</w:t>
      </w:r>
      <w:r w:rsidRPr="000E6594">
        <w:rPr>
          <w:rFonts w:eastAsia="Times New Roman" w:cs="Calibri"/>
          <w:color w:val="000000"/>
          <w:sz w:val="24"/>
          <w:szCs w:val="24"/>
          <w:lang w:eastAsia="es-ES"/>
        </w:rPr>
        <w:t xml:space="preserve"> las instituciones, incluyendo </w:t>
      </w:r>
      <w:r w:rsidR="00F55F3B" w:rsidRPr="000E6594">
        <w:rPr>
          <w:rFonts w:eastAsia="Times New Roman" w:cs="Calibri"/>
          <w:color w:val="000000"/>
          <w:sz w:val="24"/>
          <w:szCs w:val="24"/>
          <w:lang w:eastAsia="es-ES"/>
        </w:rPr>
        <w:t>el Estado o sus representantes</w:t>
      </w:r>
      <w:r w:rsidRPr="000E6594">
        <w:rPr>
          <w:rFonts w:eastAsia="Times New Roman" w:cs="Calibri"/>
          <w:color w:val="000000"/>
          <w:sz w:val="24"/>
          <w:szCs w:val="24"/>
          <w:lang w:eastAsia="es-ES"/>
        </w:rPr>
        <w:t>,</w:t>
      </w:r>
      <w:r w:rsidR="00F55F3B" w:rsidRPr="000E6594">
        <w:rPr>
          <w:rFonts w:eastAsia="Times New Roman" w:cs="Calibri"/>
          <w:color w:val="000000"/>
          <w:sz w:val="24"/>
          <w:szCs w:val="24"/>
          <w:lang w:eastAsia="es-ES"/>
        </w:rPr>
        <w:t xml:space="preserve"> cometen actos de este tipo o no </w:t>
      </w:r>
      <w:r w:rsidRPr="000E6594">
        <w:rPr>
          <w:rFonts w:eastAsia="Times New Roman" w:cs="Calibri"/>
          <w:color w:val="000000"/>
          <w:sz w:val="24"/>
          <w:szCs w:val="24"/>
          <w:lang w:eastAsia="es-ES"/>
        </w:rPr>
        <w:t>los</w:t>
      </w:r>
      <w:r w:rsidR="00F55F3B" w:rsidRPr="000E6594">
        <w:rPr>
          <w:rFonts w:eastAsia="Times New Roman" w:cs="Calibri"/>
          <w:color w:val="000000"/>
          <w:sz w:val="24"/>
          <w:szCs w:val="24"/>
          <w:lang w:eastAsia="es-ES"/>
        </w:rPr>
        <w:t xml:space="preserve"> previenen</w:t>
      </w:r>
      <w:r w:rsidR="00063054" w:rsidRPr="000E6594">
        <w:rPr>
          <w:rFonts w:eastAsia="Times New Roman" w:cs="Calibri"/>
          <w:color w:val="000000"/>
          <w:sz w:val="24"/>
          <w:szCs w:val="24"/>
          <w:lang w:eastAsia="es-ES"/>
        </w:rPr>
        <w:t xml:space="preserve"> (Feminicidio.net, 2023</w:t>
      </w:r>
      <w:r w:rsidR="00535616" w:rsidRPr="000E6594">
        <w:rPr>
          <w:rFonts w:eastAsia="Times New Roman" w:cs="Calibri"/>
          <w:color w:val="000000"/>
          <w:sz w:val="24"/>
          <w:szCs w:val="24"/>
          <w:lang w:eastAsia="es-ES"/>
        </w:rPr>
        <w:t>; Observatorio de Violencia Sexual, s.f.)</w:t>
      </w:r>
      <w:r w:rsidR="00063054" w:rsidRPr="000E6594">
        <w:rPr>
          <w:rFonts w:eastAsia="Times New Roman" w:cs="Calibri"/>
          <w:color w:val="000000"/>
          <w:sz w:val="24"/>
          <w:szCs w:val="24"/>
          <w:lang w:eastAsia="es-ES"/>
        </w:rPr>
        <w:t>.</w:t>
      </w:r>
      <w:r w:rsidR="00DF1CB3" w:rsidRPr="000E6594">
        <w:rPr>
          <w:rFonts w:eastAsia="Times New Roman" w:cs="Calibri"/>
          <w:color w:val="000000"/>
          <w:sz w:val="24"/>
          <w:szCs w:val="24"/>
          <w:lang w:eastAsia="es-ES"/>
        </w:rPr>
        <w:t xml:space="preserve"> </w:t>
      </w:r>
      <w:r w:rsidR="00004C76" w:rsidRPr="000E6594">
        <w:rPr>
          <w:rFonts w:eastAsia="Times New Roman" w:cs="Calibri"/>
          <w:color w:val="000000"/>
          <w:sz w:val="24"/>
          <w:szCs w:val="24"/>
          <w:lang w:eastAsia="es-ES"/>
        </w:rPr>
        <w:t>Para concluir, su</w:t>
      </w:r>
      <w:r w:rsidR="00F74A59" w:rsidRPr="000E6594">
        <w:rPr>
          <w:rFonts w:eastAsia="Times New Roman" w:cs="Calibri"/>
          <w:color w:val="000000"/>
          <w:sz w:val="24"/>
          <w:szCs w:val="24"/>
          <w:lang w:eastAsia="es-ES"/>
        </w:rPr>
        <w:t xml:space="preserve"> forma más extrema es el</w:t>
      </w:r>
      <w:r w:rsidR="00DF1CB3" w:rsidRPr="000E6594">
        <w:rPr>
          <w:rFonts w:eastAsia="Times New Roman" w:cs="Calibri"/>
          <w:color w:val="000000"/>
          <w:sz w:val="24"/>
          <w:szCs w:val="24"/>
          <w:lang w:eastAsia="es-ES"/>
        </w:rPr>
        <w:t xml:space="preserve"> feminicidio con componente sexual</w:t>
      </w:r>
      <w:r w:rsidR="00F74A59" w:rsidRPr="000E6594">
        <w:rPr>
          <w:rFonts w:eastAsia="Times New Roman" w:cs="Calibri"/>
          <w:color w:val="000000"/>
          <w:sz w:val="24"/>
          <w:szCs w:val="24"/>
          <w:lang w:eastAsia="es-ES"/>
        </w:rPr>
        <w:t xml:space="preserve">: el </w:t>
      </w:r>
      <w:r w:rsidR="00DF1CB3" w:rsidRPr="000E6594">
        <w:rPr>
          <w:rFonts w:eastAsia="Times New Roman" w:cs="Calibri"/>
          <w:color w:val="000000"/>
          <w:sz w:val="24"/>
          <w:szCs w:val="24"/>
          <w:lang w:eastAsia="es-ES"/>
        </w:rPr>
        <w:t>asesinato de mujeres o niñas en la que la violencia sexual constituye el factor principal y desencadenante, lo que incluye el feminicidio sexual, el serial y el asociado al sistema de prostitución.</w:t>
      </w:r>
    </w:p>
    <w:p w14:paraId="10810D5B" w14:textId="64BC0770" w:rsidR="00467AC5" w:rsidRPr="000E6594" w:rsidRDefault="00467AC5" w:rsidP="000E6594">
      <w:pPr>
        <w:spacing w:after="100" w:line="360" w:lineRule="auto"/>
        <w:ind w:firstLine="340"/>
        <w:jc w:val="both"/>
        <w:textAlignment w:val="baseline"/>
        <w:rPr>
          <w:rFonts w:cs="Calibri"/>
          <w:sz w:val="24"/>
          <w:szCs w:val="24"/>
        </w:rPr>
      </w:pPr>
      <w:r w:rsidRPr="000E6594">
        <w:rPr>
          <w:rFonts w:cs="Calibri"/>
          <w:sz w:val="24"/>
          <w:szCs w:val="24"/>
        </w:rPr>
        <w:t xml:space="preserve">Dada la amplitud de esta tipología, el presente trabajo centra su análisis en </w:t>
      </w:r>
      <w:r w:rsidR="006D4532" w:rsidRPr="000E6594">
        <w:rPr>
          <w:rFonts w:cs="Calibri"/>
          <w:sz w:val="24"/>
          <w:szCs w:val="24"/>
        </w:rPr>
        <w:t xml:space="preserve">otras dos </w:t>
      </w:r>
      <w:r w:rsidRPr="000E6594">
        <w:rPr>
          <w:rFonts w:cs="Calibri"/>
          <w:sz w:val="24"/>
          <w:szCs w:val="24"/>
        </w:rPr>
        <w:t>manifestaciones especialmente relevante</w:t>
      </w:r>
      <w:r w:rsidR="004C7F9A" w:rsidRPr="000E6594">
        <w:rPr>
          <w:rFonts w:cs="Calibri"/>
          <w:sz w:val="24"/>
          <w:szCs w:val="24"/>
        </w:rPr>
        <w:t>s</w:t>
      </w:r>
      <w:r w:rsidRPr="000E6594">
        <w:rPr>
          <w:rFonts w:cs="Calibri"/>
          <w:sz w:val="24"/>
          <w:szCs w:val="24"/>
        </w:rPr>
        <w:t xml:space="preserve"> para los objetivos planteados: la </w:t>
      </w:r>
      <w:r w:rsidR="005726B7" w:rsidRPr="000E6594">
        <w:rPr>
          <w:rFonts w:cs="Calibri"/>
          <w:sz w:val="24"/>
          <w:szCs w:val="24"/>
        </w:rPr>
        <w:t>agresión y la cibercriminalidad sexuales</w:t>
      </w:r>
      <w:r w:rsidRPr="000E6594">
        <w:rPr>
          <w:rFonts w:cs="Calibri"/>
          <w:sz w:val="24"/>
          <w:szCs w:val="24"/>
        </w:rPr>
        <w:t>.</w:t>
      </w:r>
    </w:p>
    <w:p w14:paraId="0C7837D6" w14:textId="313B852F" w:rsidR="00D33AA6" w:rsidRPr="000E6594" w:rsidRDefault="00D33AA6" w:rsidP="000E6594">
      <w:pPr>
        <w:spacing w:after="100" w:line="360" w:lineRule="auto"/>
        <w:ind w:right="-1"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La Oficina Nacional contra las Violencias Sexuales advierte que,</w:t>
      </w:r>
      <w:r w:rsidR="004C7F9A"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 xml:space="preserve">a estas manifestaciones tradicionales, la expansión de las tecnologías de la información ha dado lugar </w:t>
      </w:r>
      <w:r w:rsidR="004C7F9A" w:rsidRPr="000E6594">
        <w:rPr>
          <w:rFonts w:eastAsia="Times New Roman" w:cs="Calibri"/>
          <w:color w:val="000000"/>
          <w:sz w:val="24"/>
          <w:szCs w:val="24"/>
          <w:lang w:eastAsia="es-ES"/>
        </w:rPr>
        <w:t xml:space="preserve">a </w:t>
      </w:r>
      <w:r w:rsidR="006D4532" w:rsidRPr="000E6594">
        <w:rPr>
          <w:rFonts w:eastAsia="Times New Roman" w:cs="Calibri"/>
          <w:color w:val="000000"/>
          <w:sz w:val="24"/>
          <w:szCs w:val="24"/>
          <w:lang w:eastAsia="es-ES"/>
        </w:rPr>
        <w:t>la</w:t>
      </w:r>
      <w:r w:rsidRPr="000E6594">
        <w:rPr>
          <w:rFonts w:eastAsia="Times New Roman" w:cs="Calibri"/>
          <w:color w:val="000000"/>
          <w:sz w:val="24"/>
          <w:szCs w:val="24"/>
          <w:lang w:eastAsia="es-ES"/>
        </w:rPr>
        <w:t xml:space="preserve"> </w:t>
      </w:r>
      <w:r w:rsidRPr="000E6594">
        <w:rPr>
          <w:rFonts w:eastAsia="Times New Roman" w:cs="Calibri"/>
          <w:sz w:val="24"/>
          <w:szCs w:val="24"/>
          <w:lang w:eastAsia="es-ES"/>
        </w:rPr>
        <w:t>denominada </w:t>
      </w:r>
      <w:proofErr w:type="spellStart"/>
      <w:r w:rsidRPr="000E6594">
        <w:rPr>
          <w:rFonts w:eastAsia="Times New Roman" w:cs="Calibri"/>
          <w:i/>
          <w:iCs/>
          <w:sz w:val="24"/>
          <w:szCs w:val="24"/>
          <w:lang w:eastAsia="es-ES"/>
        </w:rPr>
        <w:t>ciberviolencia</w:t>
      </w:r>
      <w:proofErr w:type="spellEnd"/>
      <w:r w:rsidRPr="000E6594">
        <w:rPr>
          <w:rFonts w:eastAsia="Times New Roman" w:cs="Calibri"/>
          <w:i/>
          <w:iCs/>
          <w:sz w:val="24"/>
          <w:szCs w:val="24"/>
          <w:lang w:eastAsia="es-ES"/>
        </w:rPr>
        <w:t> sexual</w:t>
      </w:r>
      <w:r w:rsidRPr="000E6594">
        <w:rPr>
          <w:rFonts w:eastAsia="Times New Roman" w:cs="Calibri"/>
          <w:sz w:val="24"/>
          <w:szCs w:val="24"/>
          <w:lang w:eastAsia="es-ES"/>
        </w:rPr>
        <w:t>, que engloba todas las manifestaciones de violencia sexual que, empleando como instrumento los medios digitales, vulneran los derechos fundamentales de las víctimas. Entre ellas se encuentra el </w:t>
      </w:r>
      <w:r w:rsidRPr="000E6594">
        <w:rPr>
          <w:rFonts w:eastAsia="Times New Roman" w:cs="Calibri"/>
          <w:i/>
          <w:iCs/>
          <w:sz w:val="24"/>
          <w:szCs w:val="24"/>
          <w:lang w:eastAsia="es-ES"/>
        </w:rPr>
        <w:t>grooming</w:t>
      </w:r>
      <w:r w:rsidRPr="000E6594">
        <w:rPr>
          <w:rFonts w:eastAsia="Times New Roman" w:cs="Calibri"/>
          <w:sz w:val="24"/>
          <w:szCs w:val="24"/>
          <w:lang w:eastAsia="es-ES"/>
        </w:rPr>
        <w:t xml:space="preserve"> (ganar la confianza de menores con fines sexuales) y el ciberacoso sexual (mensajes sexuales no deseados repetidos). Asimismo, el reciente surgimiento de la IA ha añadido una nueva tipología </w:t>
      </w:r>
      <w:r w:rsidR="004C7F9A" w:rsidRPr="000E6594">
        <w:rPr>
          <w:rFonts w:eastAsia="Times New Roman" w:cs="Calibri"/>
          <w:sz w:val="24"/>
          <w:szCs w:val="24"/>
          <w:lang w:eastAsia="es-ES"/>
        </w:rPr>
        <w:t>de violencia sexual</w:t>
      </w:r>
      <w:r w:rsidRPr="000E6594">
        <w:rPr>
          <w:rFonts w:eastAsia="Times New Roman" w:cs="Calibri"/>
          <w:sz w:val="24"/>
          <w:szCs w:val="24"/>
          <w:lang w:eastAsia="es-ES"/>
        </w:rPr>
        <w:t>, las </w:t>
      </w:r>
      <w:proofErr w:type="spellStart"/>
      <w:r w:rsidRPr="000E6594">
        <w:rPr>
          <w:rFonts w:eastAsia="Times New Roman" w:cs="Calibri"/>
          <w:i/>
          <w:iCs/>
          <w:sz w:val="24"/>
          <w:szCs w:val="24"/>
          <w:lang w:eastAsia="es-ES"/>
        </w:rPr>
        <w:t>deepfakes</w:t>
      </w:r>
      <w:proofErr w:type="spellEnd"/>
      <w:r w:rsidRPr="000E6594">
        <w:rPr>
          <w:rFonts w:eastAsia="Times New Roman" w:cs="Calibri"/>
          <w:i/>
          <w:iCs/>
          <w:sz w:val="24"/>
          <w:szCs w:val="24"/>
          <w:lang w:eastAsia="es-ES"/>
        </w:rPr>
        <w:t> </w:t>
      </w:r>
      <w:r w:rsidRPr="000E6594">
        <w:rPr>
          <w:rFonts w:eastAsia="Times New Roman" w:cs="Calibri"/>
          <w:sz w:val="24"/>
          <w:szCs w:val="24"/>
          <w:lang w:eastAsia="es-ES"/>
        </w:rPr>
        <w:t>sexuales, definidas como la creación de contenido sexual falso mediante IA (ONVIOS, s. f.).  </w:t>
      </w:r>
    </w:p>
    <w:p w14:paraId="0FE9CA0F" w14:textId="3A2FD16F" w:rsidR="00647E00" w:rsidRPr="000E6594" w:rsidRDefault="006D4532" w:rsidP="000E6594">
      <w:pPr>
        <w:shd w:val="clear" w:color="auto" w:fill="FFFFFF"/>
        <w:spacing w:after="100" w:line="360" w:lineRule="auto"/>
        <w:ind w:firstLine="340"/>
        <w:jc w:val="both"/>
        <w:textAlignment w:val="baseline"/>
        <w:rPr>
          <w:rFonts w:cs="Calibri"/>
        </w:rPr>
      </w:pPr>
      <w:r w:rsidRPr="000E6594">
        <w:rPr>
          <w:rFonts w:eastAsia="Times New Roman" w:cs="Calibri"/>
          <w:color w:val="0A0A0A"/>
          <w:sz w:val="24"/>
          <w:szCs w:val="24"/>
          <w:lang w:eastAsia="es-ES"/>
        </w:rPr>
        <w:t>Ahora bien, para definir la agresión sexual es necesario recurrir a cómo está tipificada en el Código Penal.</w:t>
      </w:r>
      <w:r w:rsidR="009A7BAE" w:rsidRPr="000E6594">
        <w:rPr>
          <w:rFonts w:eastAsia="Times New Roman" w:cs="Calibri"/>
          <w:color w:val="0A0A0A"/>
          <w:sz w:val="24"/>
          <w:szCs w:val="24"/>
          <w:lang w:eastAsia="es-ES"/>
        </w:rPr>
        <w:t xml:space="preserve"> </w:t>
      </w:r>
      <w:r w:rsidRPr="000E6594">
        <w:rPr>
          <w:rFonts w:eastAsia="Times New Roman" w:cs="Calibri"/>
          <w:color w:val="0A0A0A"/>
          <w:sz w:val="24"/>
          <w:szCs w:val="24"/>
          <w:lang w:eastAsia="es-ES"/>
        </w:rPr>
        <w:t>En el</w:t>
      </w:r>
      <w:r w:rsidR="009A7BAE" w:rsidRPr="000E6594">
        <w:rPr>
          <w:rFonts w:eastAsia="Times New Roman" w:cs="Calibri"/>
          <w:color w:val="0A0A0A"/>
          <w:sz w:val="24"/>
          <w:szCs w:val="24"/>
          <w:lang w:eastAsia="es-ES"/>
        </w:rPr>
        <w:t xml:space="preserve"> Código Penal</w:t>
      </w:r>
      <w:r w:rsidR="0090223C" w:rsidRPr="000E6594">
        <w:rPr>
          <w:rFonts w:eastAsia="Times New Roman" w:cs="Calibri"/>
          <w:color w:val="0A0A0A"/>
          <w:sz w:val="24"/>
          <w:szCs w:val="24"/>
          <w:lang w:eastAsia="es-ES"/>
        </w:rPr>
        <w:t xml:space="preserve"> de 1995, actualmente</w:t>
      </w:r>
      <w:r w:rsidR="009A7BAE" w:rsidRPr="000E6594">
        <w:rPr>
          <w:rFonts w:eastAsia="Times New Roman" w:cs="Calibri"/>
          <w:color w:val="0A0A0A"/>
          <w:sz w:val="24"/>
          <w:szCs w:val="24"/>
          <w:lang w:eastAsia="es-ES"/>
        </w:rPr>
        <w:t xml:space="preserve"> vigente, la violencia sexual se articula principalmente a través del delito de agresión sexual, tras la reforma integral introducida por la Ley Orgánica 10/2022 (conocida como la "Ley del solo sí es sí"), impulsada por el controvertido caso de La Manada</w:t>
      </w:r>
      <w:r w:rsidR="00062E91" w:rsidRPr="000E6594">
        <w:rPr>
          <w:rFonts w:eastAsia="Times New Roman" w:cs="Calibri"/>
          <w:color w:val="0A0A0A"/>
          <w:sz w:val="24"/>
          <w:szCs w:val="24"/>
          <w:lang w:eastAsia="es-ES"/>
        </w:rPr>
        <w:t xml:space="preserve"> (Pamplona, 2016)</w:t>
      </w:r>
      <w:r w:rsidR="009A7BAE" w:rsidRPr="000E6594">
        <w:rPr>
          <w:rFonts w:eastAsia="Times New Roman" w:cs="Calibri"/>
          <w:color w:val="0A0A0A"/>
          <w:sz w:val="24"/>
          <w:szCs w:val="24"/>
          <w:lang w:eastAsia="es-ES"/>
        </w:rPr>
        <w:t>. </w:t>
      </w:r>
      <w:r w:rsidR="009A7BAE" w:rsidRPr="000E6594">
        <w:rPr>
          <w:rFonts w:eastAsia="Times New Roman" w:cs="Calibri"/>
          <w:color w:val="000000"/>
          <w:sz w:val="24"/>
          <w:szCs w:val="24"/>
          <w:lang w:eastAsia="es-ES"/>
        </w:rPr>
        <w:t>Dicho caso provocó una gran indignación pública y un amplio debate legal tras la sentencia inicial de 2018, poniendo de relieve cómo la ausencia de violencia o intimidación explícitas impedía que estos actos se clasificaran como violación. Esto impulsó reformas destinadas a convertir el consentimiento de la víctima en un elemento central de los delitos sexuales, adhiriendo al principio de “solo sí es sí” (Ribas y Faraldo Cabana, 2020).  </w:t>
      </w:r>
    </w:p>
    <w:p w14:paraId="16F952E8" w14:textId="77777777"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Por un lado, se considera que existe agresión sexual cuando se realiza cualquier acto que atente contra la libertad sexual de otra persona sin su consentimiento, puntualizándose que:  </w:t>
      </w:r>
    </w:p>
    <w:p w14:paraId="75EE3D42" w14:textId="0C69BF15"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 “Se entenderá que hay consentimiento cuando se haya manifestado libremente mediante actos que, en atención a las circunstancias del caso, expresen de manera clara la voluntad de la p</w:t>
      </w:r>
      <w:r w:rsidR="00B90A5F" w:rsidRPr="000E6594">
        <w:rPr>
          <w:rFonts w:eastAsia="Times New Roman" w:cs="Calibri"/>
          <w:color w:val="000000"/>
          <w:sz w:val="24"/>
          <w:szCs w:val="24"/>
          <w:lang w:eastAsia="es-ES"/>
        </w:rPr>
        <w:t>ersona” (Código Penal 1995, art. 178;</w:t>
      </w:r>
      <w:r w:rsidRPr="000E6594">
        <w:rPr>
          <w:rFonts w:eastAsia="Times New Roman" w:cs="Calibri"/>
          <w:color w:val="000000"/>
          <w:sz w:val="24"/>
          <w:szCs w:val="24"/>
          <w:lang w:eastAsia="es-ES"/>
        </w:rPr>
        <w:t xml:space="preserve"> Ley Orgánica 10/2022).   </w:t>
      </w:r>
    </w:p>
    <w:p w14:paraId="4FB108E8" w14:textId="44DD345E"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Por otro lado, </w:t>
      </w:r>
      <w:r w:rsidR="00B90A5F" w:rsidRPr="000E6594">
        <w:rPr>
          <w:rFonts w:eastAsia="Times New Roman" w:cs="Calibri"/>
          <w:color w:val="000000"/>
          <w:sz w:val="24"/>
          <w:szCs w:val="24"/>
          <w:lang w:eastAsia="es-ES"/>
        </w:rPr>
        <w:t xml:space="preserve">con las modificaciones </w:t>
      </w:r>
      <w:r w:rsidR="0090223C" w:rsidRPr="000E6594">
        <w:rPr>
          <w:rFonts w:eastAsia="Times New Roman" w:cs="Calibri"/>
          <w:color w:val="000000"/>
          <w:sz w:val="24"/>
          <w:szCs w:val="24"/>
          <w:lang w:eastAsia="es-ES"/>
        </w:rPr>
        <w:t>introducidas por la Ley Orgánica 10/2022 al artículo 178 y siguientes del Título VIII del Código Penal</w:t>
      </w:r>
      <w:r w:rsidR="00B90A5F"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desapareció la distinción previa entre abuso y agresión sexual basada en la presencia de violencia o intimidación, y ambos se categorizaron uniformemente como agresión sexual.  </w:t>
      </w:r>
    </w:p>
    <w:p w14:paraId="6299EAAC" w14:textId="74BAFA21" w:rsidR="00B90A5F" w:rsidRPr="000E6594" w:rsidRDefault="009A7BAE" w:rsidP="000E6594">
      <w:pPr>
        <w:shd w:val="clear" w:color="auto" w:fill="FFFFFF"/>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Otra de las definici</w:t>
      </w:r>
      <w:r w:rsidR="00B90A5F" w:rsidRPr="000E6594">
        <w:rPr>
          <w:rFonts w:eastAsia="Times New Roman" w:cs="Calibri"/>
          <w:color w:val="000000"/>
          <w:sz w:val="24"/>
          <w:szCs w:val="24"/>
          <w:lang w:eastAsia="es-ES"/>
        </w:rPr>
        <w:t xml:space="preserve">ones más completas del término </w:t>
      </w:r>
      <w:r w:rsidRPr="000E6594">
        <w:rPr>
          <w:rFonts w:eastAsia="Times New Roman" w:cs="Calibri"/>
          <w:color w:val="000000"/>
          <w:sz w:val="24"/>
          <w:szCs w:val="24"/>
          <w:lang w:eastAsia="es-ES"/>
        </w:rPr>
        <w:t>violencia sexual es la expuesta por la Or</w:t>
      </w:r>
      <w:r w:rsidR="00B90A5F" w:rsidRPr="000E6594">
        <w:rPr>
          <w:rFonts w:eastAsia="Times New Roman" w:cs="Calibri"/>
          <w:color w:val="000000"/>
          <w:sz w:val="24"/>
          <w:szCs w:val="24"/>
          <w:lang w:eastAsia="es-ES"/>
        </w:rPr>
        <w:t>ganización Mundial de la Salud (OMS, 2013)</w:t>
      </w:r>
      <w:r w:rsidR="009B2F61" w:rsidRPr="000E6594">
        <w:rPr>
          <w:rFonts w:eastAsia="Times New Roman" w:cs="Calibri"/>
          <w:color w:val="000000"/>
          <w:sz w:val="24"/>
          <w:szCs w:val="24"/>
          <w:lang w:eastAsia="es-ES"/>
        </w:rPr>
        <w:t>: “</w:t>
      </w:r>
      <w:r w:rsidRPr="000E6594">
        <w:rPr>
          <w:rFonts w:eastAsia="Times New Roman" w:cs="Calibri"/>
          <w:color w:val="000000"/>
          <w:sz w:val="24"/>
          <w:szCs w:val="24"/>
          <w:lang w:eastAsia="es-ES"/>
        </w:rPr>
        <w:t>todo acto sexual, la tentativa de consumar un acto sexual, los comentarios o insinuaciones sexuales no deseados, o las acciones para comercializar o utilizar de cualquier otro modo la sexualidad de una persona mediante coacción por otra persona, independientemente de la relación de esta con la víctima, en cualquier ámbito, incluidos el hogar y el</w:t>
      </w:r>
      <w:r w:rsidR="00B90A5F" w:rsidRPr="000E6594">
        <w:rPr>
          <w:rFonts w:eastAsia="Times New Roman" w:cs="Calibri"/>
          <w:color w:val="000000"/>
          <w:sz w:val="24"/>
          <w:szCs w:val="24"/>
          <w:lang w:eastAsia="es-ES"/>
        </w:rPr>
        <w:t xml:space="preserve"> lugar de trabajo, a</w:t>
      </w:r>
      <w:r w:rsidRPr="000E6594">
        <w:rPr>
          <w:rFonts w:eastAsia="Times New Roman" w:cs="Calibri"/>
          <w:color w:val="000000"/>
          <w:sz w:val="24"/>
          <w:szCs w:val="24"/>
          <w:lang w:eastAsia="es-ES"/>
        </w:rPr>
        <w:t>barcando actos desde el acoso verbal hasta la penetración forzada.</w:t>
      </w:r>
      <w:r w:rsidR="009B2F61" w:rsidRPr="000E6594">
        <w:rPr>
          <w:rFonts w:eastAsia="Times New Roman" w:cs="Calibri"/>
          <w:color w:val="000000"/>
          <w:sz w:val="24"/>
          <w:szCs w:val="24"/>
          <w:lang w:eastAsia="es-ES"/>
        </w:rPr>
        <w:t>”</w:t>
      </w:r>
    </w:p>
    <w:p w14:paraId="4EABEF30" w14:textId="24D40A3B" w:rsidR="00063054" w:rsidRPr="000E6594" w:rsidRDefault="00B90A5F" w:rsidP="005726B7">
      <w:pPr>
        <w:shd w:val="clear" w:color="auto" w:fill="FFFFFF"/>
        <w:spacing w:after="100" w:line="360" w:lineRule="auto"/>
        <w:ind w:right="-1"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T</w:t>
      </w:r>
      <w:r w:rsidR="009A7BAE" w:rsidRPr="000E6594">
        <w:rPr>
          <w:rFonts w:eastAsia="Times New Roman" w:cs="Calibri"/>
          <w:color w:val="000000"/>
          <w:sz w:val="24"/>
          <w:szCs w:val="24"/>
          <w:lang w:eastAsia="es-ES"/>
        </w:rPr>
        <w:t>odas estas manifestaciones tienen un elemento común: la ausencia de consentimiento real de la víctima, lo que convierte cualquier acto de carácter sexual en una forma de violencia.  </w:t>
      </w:r>
    </w:p>
    <w:p w14:paraId="620571E0" w14:textId="37BC523E" w:rsidR="00B07F2D" w:rsidRPr="005726B7" w:rsidRDefault="00B07F2D" w:rsidP="005726B7">
      <w:pPr>
        <w:pStyle w:val="Ttulo4"/>
        <w:spacing w:line="360" w:lineRule="auto"/>
        <w:rPr>
          <w:rFonts w:asciiTheme="minorHAnsi" w:eastAsia="Times New Roman" w:hAnsiTheme="minorHAnsi" w:cstheme="minorHAnsi"/>
          <w:b/>
          <w:bCs/>
          <w:i w:val="0"/>
          <w:iCs w:val="0"/>
          <w:color w:val="auto"/>
          <w:sz w:val="24"/>
          <w:szCs w:val="24"/>
          <w:lang w:eastAsia="es-ES"/>
        </w:rPr>
      </w:pPr>
      <w:r w:rsidRPr="005726B7">
        <w:rPr>
          <w:rFonts w:asciiTheme="minorHAnsi" w:eastAsia="Times New Roman" w:hAnsiTheme="minorHAnsi" w:cstheme="minorHAnsi"/>
          <w:b/>
          <w:bCs/>
          <w:i w:val="0"/>
          <w:iCs w:val="0"/>
          <w:color w:val="auto"/>
          <w:sz w:val="24"/>
          <w:szCs w:val="24"/>
          <w:lang w:eastAsia="es-ES"/>
        </w:rPr>
        <w:t>Consecuencias</w:t>
      </w:r>
    </w:p>
    <w:p w14:paraId="7598AFA8" w14:textId="6D662AF2" w:rsidR="00764E02" w:rsidRPr="000E6594" w:rsidRDefault="00764E02" w:rsidP="005726B7">
      <w:pPr>
        <w:shd w:val="clear" w:color="auto" w:fill="FFFFFF"/>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Las consecuencias de la violencia sexual sobre la salud de las víctimas son </w:t>
      </w:r>
      <w:r w:rsidR="005853BD" w:rsidRPr="000E6594">
        <w:rPr>
          <w:rFonts w:eastAsia="Times New Roman" w:cs="Calibri"/>
          <w:color w:val="000000"/>
          <w:sz w:val="24"/>
          <w:szCs w:val="24"/>
          <w:lang w:eastAsia="es-ES"/>
        </w:rPr>
        <w:t>numerosas</w:t>
      </w:r>
      <w:r w:rsidRPr="000E6594">
        <w:rPr>
          <w:rFonts w:eastAsia="Times New Roman" w:cs="Calibri"/>
          <w:color w:val="000000"/>
          <w:sz w:val="24"/>
          <w:szCs w:val="24"/>
          <w:lang w:eastAsia="es-ES"/>
        </w:rPr>
        <w:t xml:space="preserve"> y se manifiestan en múltiples dimensiones. Salvador Sánchez et al. (2024) señalan que sus efectos abarcan la esfera física, mental, social, sexual y reproductiva, con distintos grados de afectación según sus circunstancias personales y el tipo de agresión sufrida.</w:t>
      </w:r>
    </w:p>
    <w:p w14:paraId="7D97A3FB" w14:textId="77777777" w:rsidR="00764E02" w:rsidRPr="000E6594" w:rsidRDefault="00764E02" w:rsidP="000E6594">
      <w:pPr>
        <w:shd w:val="clear" w:color="auto" w:fill="FFFFFF"/>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En el plano psicológico inmediato, las víctimas pueden experimentar emociones intensas como culpa, vergüenza, miedo, ira o desesperanza, así como estados de shock, crisis de ansiedad, hipervigilancia y dificultades para la toma de decisiones (Salvador Sánchez et al., 2024). A medio y largo plazo, estas reacciones pueden </w:t>
      </w:r>
      <w:proofErr w:type="spellStart"/>
      <w:r w:rsidRPr="000E6594">
        <w:rPr>
          <w:rFonts w:eastAsia="Times New Roman" w:cs="Calibri"/>
          <w:color w:val="000000"/>
          <w:sz w:val="24"/>
          <w:szCs w:val="24"/>
          <w:lang w:eastAsia="es-ES"/>
        </w:rPr>
        <w:t>cronificarse</w:t>
      </w:r>
      <w:proofErr w:type="spellEnd"/>
      <w:r w:rsidRPr="000E6594">
        <w:rPr>
          <w:rFonts w:eastAsia="Times New Roman" w:cs="Calibri"/>
          <w:color w:val="000000"/>
          <w:sz w:val="24"/>
          <w:szCs w:val="24"/>
          <w:lang w:eastAsia="es-ES"/>
        </w:rPr>
        <w:t xml:space="preserve"> en forma de trastornos depresivos y ansiosos, fobias, alteraciones del sueño y la concentración, y en los casos más graves, conductas autolesivas e ideación suicida (Salvador Sánchez et al., 2024; </w:t>
      </w:r>
      <w:proofErr w:type="spellStart"/>
      <w:r w:rsidRPr="000E6594">
        <w:rPr>
          <w:rFonts w:eastAsia="Times New Roman" w:cs="Calibri"/>
          <w:color w:val="000000"/>
          <w:sz w:val="24"/>
          <w:szCs w:val="24"/>
          <w:lang w:eastAsia="es-ES"/>
        </w:rPr>
        <w:t>Rodriguez</w:t>
      </w:r>
      <w:proofErr w:type="spellEnd"/>
      <w:r w:rsidRPr="000E6594">
        <w:rPr>
          <w:rFonts w:eastAsia="Times New Roman" w:cs="Calibri"/>
          <w:color w:val="000000"/>
          <w:sz w:val="24"/>
          <w:szCs w:val="24"/>
          <w:lang w:eastAsia="es-ES"/>
        </w:rPr>
        <w:t xml:space="preserve"> Narvaez, 2022). El trastorno de estrés postraumático (TEPT) es una de las secuelas más frecuentes, especialmente entre las víctimas más jóvenes, y puede extenderse durante años si no recibe atención especializada (</w:t>
      </w:r>
      <w:proofErr w:type="spellStart"/>
      <w:r w:rsidRPr="000E6594">
        <w:rPr>
          <w:rFonts w:eastAsia="Times New Roman" w:cs="Calibri"/>
          <w:color w:val="000000"/>
          <w:sz w:val="24"/>
          <w:szCs w:val="24"/>
          <w:lang w:eastAsia="es-ES"/>
        </w:rPr>
        <w:t>Rodriguez</w:t>
      </w:r>
      <w:proofErr w:type="spellEnd"/>
      <w:r w:rsidRPr="000E6594">
        <w:rPr>
          <w:rFonts w:eastAsia="Times New Roman" w:cs="Calibri"/>
          <w:color w:val="000000"/>
          <w:sz w:val="24"/>
          <w:szCs w:val="24"/>
          <w:lang w:eastAsia="es-ES"/>
        </w:rPr>
        <w:t xml:space="preserve"> Narvaez, 2022).</w:t>
      </w:r>
    </w:p>
    <w:p w14:paraId="78A9033E" w14:textId="1687F97A" w:rsidR="00F05B4F" w:rsidRPr="00424443" w:rsidRDefault="00764E02" w:rsidP="00424443">
      <w:pPr>
        <w:shd w:val="clear" w:color="auto" w:fill="FFFFFF"/>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A estas consecuencias se suman efectos sobre la salud sexual y reproductiva, como disfunciones sexuales, infecciones de transmisión sexual o embarazos no deseados, y sobre la salud física en general, con dolores crónicos y un mayor riesgo de morbilidad ginecológica (Salvador Sánchez et al., 2024). En el ámbito social, las víctimas pueden enfrentarse a la estigmatización, el rechazo y el aislamiento, con repercusiones directas sobre su vida laboral y su participación en espacios públicos (Salvador Sánchez et al., </w:t>
      </w:r>
      <w:r w:rsidRPr="000E6594">
        <w:rPr>
          <w:rFonts w:eastAsia="Times New Roman" w:cs="Calibri"/>
          <w:color w:val="000000"/>
          <w:sz w:val="24"/>
          <w:szCs w:val="24"/>
          <w:lang w:eastAsia="es-ES"/>
        </w:rPr>
        <w:lastRenderedPageBreak/>
        <w:t xml:space="preserve">2024). </w:t>
      </w:r>
      <w:r w:rsidR="00FC5AF7" w:rsidRPr="000E6594">
        <w:rPr>
          <w:rFonts w:eastAsia="Times New Roman" w:cs="Calibri"/>
          <w:color w:val="000000"/>
          <w:sz w:val="24"/>
          <w:szCs w:val="24"/>
          <w:lang w:eastAsia="es-ES"/>
        </w:rPr>
        <w:t xml:space="preserve">Para concluir, </w:t>
      </w:r>
      <w:proofErr w:type="spellStart"/>
      <w:r w:rsidR="00FC5AF7" w:rsidRPr="000E6594">
        <w:rPr>
          <w:rFonts w:eastAsia="Times New Roman" w:cs="Calibri"/>
          <w:color w:val="000000"/>
          <w:sz w:val="24"/>
          <w:szCs w:val="24"/>
          <w:lang w:eastAsia="es-ES"/>
        </w:rPr>
        <w:t>R</w:t>
      </w:r>
      <w:r w:rsidRPr="000E6594">
        <w:rPr>
          <w:rFonts w:eastAsia="Times New Roman" w:cs="Calibri"/>
          <w:color w:val="000000"/>
          <w:sz w:val="24"/>
          <w:szCs w:val="24"/>
          <w:lang w:eastAsia="es-ES"/>
        </w:rPr>
        <w:t>odriguez</w:t>
      </w:r>
      <w:proofErr w:type="spellEnd"/>
      <w:r w:rsidRPr="000E6594">
        <w:rPr>
          <w:rFonts w:eastAsia="Times New Roman" w:cs="Calibri"/>
          <w:color w:val="000000"/>
          <w:sz w:val="24"/>
          <w:szCs w:val="24"/>
          <w:lang w:eastAsia="es-ES"/>
        </w:rPr>
        <w:t xml:space="preserve"> Narvaez (2022) añade que este impacto trasciende lo individual y alcanza a la comunidad en su conjunto, erosionando el tejido social y generando un elevado coste para los sistemas de salud y justicia. </w:t>
      </w:r>
    </w:p>
    <w:p w14:paraId="52DFEE4B" w14:textId="73DC9FFA" w:rsidR="00B07F2D" w:rsidRPr="005726B7" w:rsidRDefault="009A7BAE" w:rsidP="005726B7">
      <w:pPr>
        <w:pStyle w:val="Ttulo3"/>
        <w:spacing w:line="360" w:lineRule="auto"/>
        <w:rPr>
          <w:rFonts w:asciiTheme="minorHAnsi" w:eastAsia="Times New Roman" w:hAnsiTheme="minorHAnsi" w:cstheme="minorHAnsi"/>
          <w:b/>
          <w:bCs/>
          <w:color w:val="auto"/>
          <w:lang w:eastAsia="es-ES"/>
        </w:rPr>
      </w:pPr>
      <w:bookmarkStart w:id="15" w:name="_Toc224333143"/>
      <w:r w:rsidRPr="005726B7">
        <w:rPr>
          <w:rFonts w:asciiTheme="minorHAnsi" w:eastAsia="Times New Roman" w:hAnsiTheme="minorHAnsi" w:cstheme="minorHAnsi"/>
          <w:b/>
          <w:bCs/>
          <w:color w:val="auto"/>
          <w:lang w:eastAsia="es-ES"/>
        </w:rPr>
        <w:t>3.1.</w:t>
      </w:r>
      <w:r w:rsidR="00B07F2D" w:rsidRPr="005726B7">
        <w:rPr>
          <w:rFonts w:asciiTheme="minorHAnsi" w:eastAsia="Times New Roman" w:hAnsiTheme="minorHAnsi" w:cstheme="minorHAnsi"/>
          <w:b/>
          <w:bCs/>
          <w:color w:val="auto"/>
          <w:lang w:eastAsia="es-ES"/>
        </w:rPr>
        <w:t>4 Procesos de revictimización.</w:t>
      </w:r>
      <w:bookmarkEnd w:id="15"/>
      <w:r w:rsidRPr="005726B7">
        <w:rPr>
          <w:rFonts w:asciiTheme="minorHAnsi" w:eastAsia="Times New Roman" w:hAnsiTheme="minorHAnsi" w:cstheme="minorHAnsi"/>
          <w:b/>
          <w:bCs/>
          <w:color w:val="auto"/>
          <w:lang w:eastAsia="es-ES"/>
        </w:rPr>
        <w:t> </w:t>
      </w:r>
    </w:p>
    <w:p w14:paraId="3FF10DCD" w14:textId="6E14DB49" w:rsidR="00647E00" w:rsidRPr="000E6594" w:rsidRDefault="009A7BAE" w:rsidP="005726B7">
      <w:pPr>
        <w:shd w:val="clear" w:color="auto" w:fill="FFFFFF"/>
        <w:spacing w:after="100" w:line="360" w:lineRule="auto"/>
        <w:ind w:firstLine="340"/>
        <w:jc w:val="both"/>
        <w:textAlignment w:val="baseline"/>
        <w:rPr>
          <w:rFonts w:cs="Calibri"/>
        </w:rPr>
      </w:pPr>
      <w:r w:rsidRPr="005726B7">
        <w:rPr>
          <w:rFonts w:asciiTheme="minorHAnsi" w:eastAsia="Times New Roman" w:hAnsiTheme="minorHAnsi" w:cstheme="minorHAnsi"/>
          <w:sz w:val="24"/>
          <w:szCs w:val="24"/>
          <w:lang w:eastAsia="es-ES"/>
        </w:rPr>
        <w:t>La revictimización por parte del sistema judicial tiene lugar durante todo el proceso penal. En una investigación realizada por </w:t>
      </w:r>
      <w:r w:rsidR="000F6F7C" w:rsidRPr="005726B7">
        <w:rPr>
          <w:rFonts w:asciiTheme="minorHAnsi" w:eastAsia="Times New Roman" w:hAnsiTheme="minorHAnsi" w:cstheme="minorHAnsi"/>
          <w:sz w:val="24"/>
          <w:szCs w:val="24"/>
          <w:lang w:eastAsia="es-ES"/>
        </w:rPr>
        <w:t xml:space="preserve">Orth (2002, como se citó en Córdoba, 2022) </w:t>
      </w:r>
      <w:r w:rsidRPr="005726B7">
        <w:rPr>
          <w:rFonts w:asciiTheme="minorHAnsi" w:eastAsia="Times New Roman" w:hAnsiTheme="minorHAnsi" w:cstheme="minorHAnsi"/>
          <w:sz w:val="24"/>
          <w:szCs w:val="24"/>
          <w:lang w:eastAsia="es-ES"/>
        </w:rPr>
        <w:t>señala que</w:t>
      </w:r>
      <w:r w:rsidRPr="005726B7">
        <w:rPr>
          <w:rFonts w:eastAsia="Times New Roman" w:cs="Calibri"/>
          <w:sz w:val="24"/>
          <w:szCs w:val="24"/>
          <w:lang w:eastAsia="es-ES"/>
        </w:rPr>
        <w:t xml:space="preserve"> </w:t>
      </w:r>
      <w:r w:rsidRPr="000E6594">
        <w:rPr>
          <w:rFonts w:eastAsia="Times New Roman" w:cs="Calibri"/>
          <w:color w:val="000000"/>
          <w:sz w:val="24"/>
          <w:szCs w:val="24"/>
          <w:lang w:eastAsia="es-ES"/>
        </w:rPr>
        <w:t>uno de los principales efectos de esta es la pérdida de confianza en el sistema legal.  </w:t>
      </w:r>
    </w:p>
    <w:p w14:paraId="1DAB3882" w14:textId="330D29C4"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Factores como la larga duración del proceso, las reiteradas comparecencias judiciales para testificar, reviviendo así repetidamente el evento traumático, el resultado de la sentencia y las constantes apelaciones presentadas antes de la sentencia definitiva</w:t>
      </w:r>
      <w:r w:rsidR="005853BD"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pueden tener un grave impacto psicológico y emocional en la víctima.  </w:t>
      </w:r>
    </w:p>
    <w:p w14:paraId="4CA38E32" w14:textId="734EB7F0"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este contexto, la credibilidad del testimonio de la víctima reviste especial importancia, no solo en el ámbito judicial, sino también en la percepción social de la víctima y el delito. Esta valoración está condicionada por el estereotipo de “víctima ideal”, que ha hecho todo lo posible por evitar el daño y se han comportado impecablemente antes y después del ataque</w:t>
      </w:r>
      <w:r w:rsidR="000F6F7C" w:rsidRPr="000E6594">
        <w:rPr>
          <w:rFonts w:eastAsia="Times New Roman" w:cs="Calibri"/>
          <w:color w:val="000000"/>
          <w:sz w:val="24"/>
          <w:szCs w:val="24"/>
          <w:lang w:eastAsia="es-ES"/>
        </w:rPr>
        <w:t xml:space="preserve"> (Tamarit, 2006; Marco, 2018, como se citó en Córdoba, 2022).</w:t>
      </w:r>
      <w:r w:rsidRPr="000E6594">
        <w:rPr>
          <w:rFonts w:eastAsia="Times New Roman" w:cs="Calibri"/>
          <w:color w:val="000000"/>
          <w:sz w:val="24"/>
          <w:szCs w:val="24"/>
          <w:lang w:eastAsia="es-ES"/>
        </w:rPr>
        <w:t>   </w:t>
      </w:r>
    </w:p>
    <w:p w14:paraId="3992EC21" w14:textId="5060DABD"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No obstante, en los delitos de violencia sexual las reacciones de las víctimas son heterogéneas y no siguen un patrón único. Aun así, determinadas respuestas, como la pasividad, la inmovilidad y la ausencia de resistencia física, son percibidas socialmente como indicadores de consentimiento. Esta creencia errónea generalizada ignora que estas conductas están relacionadas a respuestas neuropsicológicas al trauma, tales como el estado de shock o mecanismos de supervivencia para minimizar el daño</w:t>
      </w:r>
      <w:r w:rsidR="000F6F7C" w:rsidRPr="000E6594">
        <w:rPr>
          <w:rFonts w:eastAsia="Times New Roman" w:cs="Calibri"/>
          <w:color w:val="000000"/>
          <w:sz w:val="24"/>
          <w:szCs w:val="24"/>
          <w:lang w:eastAsia="es-ES"/>
        </w:rPr>
        <w:t xml:space="preserve"> (Campbell y Raja, 1999; Correia y Vala, 2003; Echeburúa y Corral, 2006; Marco, 2018, como se citó en Córdoba, 2022.</w:t>
      </w:r>
    </w:p>
    <w:p w14:paraId="26C556E6" w14:textId="1AA3D89E" w:rsidR="005853BD" w:rsidRPr="000E6594" w:rsidRDefault="009A7BAE" w:rsidP="00424443">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Por otro lado, las reacciones sociales influyen considerablemente en las víctimas, pudiendo diferenciarse en negativas y positivas. Las reacciones sociales negativas agravan la revictimización secundaria y el sufrimiento; por el contrario, las reacciones sociales positivas reducen la revictimización y tienen un efecto restaurador. En lo que concierne al entorno cercano de la víctima, lo ideal es una red de soporte para las </w:t>
      </w:r>
      <w:r w:rsidRPr="000E6594">
        <w:rPr>
          <w:rFonts w:eastAsia="Times New Roman" w:cs="Calibri"/>
          <w:color w:val="000000"/>
          <w:sz w:val="24"/>
          <w:szCs w:val="24"/>
          <w:lang w:eastAsia="es-ES"/>
        </w:rPr>
        <w:lastRenderedPageBreak/>
        <w:t>víctimas que les ayude a restablecer su vida diaria en todos los niveles. Sin embargo, pueden presentarse actitudes que obstaculicen la recuperación, tales como la </w:t>
      </w:r>
      <w:proofErr w:type="spellStart"/>
      <w:r w:rsidRPr="000E6594">
        <w:rPr>
          <w:rFonts w:eastAsia="Times New Roman" w:cs="Calibri"/>
          <w:color w:val="000000"/>
          <w:sz w:val="24"/>
          <w:szCs w:val="24"/>
          <w:lang w:eastAsia="es-ES"/>
        </w:rPr>
        <w:t>hiperprotección</w:t>
      </w:r>
      <w:proofErr w:type="spellEnd"/>
      <w:r w:rsidRPr="000E6594">
        <w:rPr>
          <w:rFonts w:eastAsia="Times New Roman" w:cs="Calibri"/>
          <w:color w:val="000000"/>
          <w:sz w:val="24"/>
          <w:szCs w:val="24"/>
          <w:lang w:eastAsia="es-ES"/>
        </w:rPr>
        <w:t xml:space="preserve">, la culpabilización de la victimización sufrida e incluso la negación del impacto del delito en la víctima </w:t>
      </w:r>
      <w:r w:rsidR="000F6F7C" w:rsidRPr="000E6594">
        <w:rPr>
          <w:rFonts w:eastAsia="Times New Roman" w:cs="Calibri"/>
          <w:color w:val="000000"/>
          <w:sz w:val="24"/>
          <w:szCs w:val="24"/>
          <w:lang w:eastAsia="es-ES"/>
        </w:rPr>
        <w:t>(Echeburúa y Corral, 2006; Piqué, 2017, como se citó en Córdoba, 2022).</w:t>
      </w:r>
    </w:p>
    <w:p w14:paraId="4BC03DE2" w14:textId="77777777" w:rsidR="005853BD" w:rsidRPr="005726B7" w:rsidRDefault="00183F67" w:rsidP="005726B7">
      <w:pPr>
        <w:pStyle w:val="Ttulo3"/>
        <w:spacing w:line="360" w:lineRule="auto"/>
        <w:rPr>
          <w:rFonts w:asciiTheme="minorHAnsi" w:hAnsiTheme="minorHAnsi" w:cstheme="minorHAnsi"/>
          <w:b/>
          <w:bCs/>
          <w:color w:val="auto"/>
        </w:rPr>
      </w:pPr>
      <w:bookmarkStart w:id="16" w:name="_Toc224333144"/>
      <w:r w:rsidRPr="005726B7">
        <w:rPr>
          <w:rFonts w:asciiTheme="minorHAnsi" w:eastAsia="Times New Roman" w:hAnsiTheme="minorHAnsi" w:cstheme="minorHAnsi"/>
          <w:b/>
          <w:bCs/>
          <w:color w:val="auto"/>
          <w:lang w:eastAsia="es-ES"/>
        </w:rPr>
        <w:t>3.1.5 Estudios previos sobre revictimización en el sistema judicial y medios</w:t>
      </w:r>
      <w:bookmarkEnd w:id="16"/>
      <w:r w:rsidRPr="005726B7">
        <w:rPr>
          <w:rFonts w:asciiTheme="minorHAnsi" w:eastAsia="Times New Roman" w:hAnsiTheme="minorHAnsi" w:cstheme="minorHAnsi"/>
          <w:b/>
          <w:bCs/>
          <w:color w:val="auto"/>
          <w:lang w:eastAsia="es-ES"/>
        </w:rPr>
        <w:t>  </w:t>
      </w:r>
    </w:p>
    <w:p w14:paraId="6ADB2D87" w14:textId="27054553" w:rsidR="00183F67" w:rsidRPr="000E6594" w:rsidRDefault="00FC5AF7" w:rsidP="005726B7">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La revictimización femenina en casos de violencia sexual es un fenómeno ampliamente estudiado. A modo de ejemplo,</w:t>
      </w:r>
      <w:r w:rsidR="00183F67" w:rsidRPr="000E6594">
        <w:rPr>
          <w:rFonts w:eastAsia="Times New Roman" w:cs="Calibri"/>
          <w:color w:val="000000"/>
          <w:sz w:val="24"/>
          <w:szCs w:val="24"/>
          <w:lang w:eastAsia="es-ES"/>
        </w:rPr>
        <w:t xml:space="preserve"> Grado Alonso (2024) analizó la revictimización judicial que sufrió Giselle Pelicot, enfrentándose a un juicio contra su exmarido, Dominique Pelicot, acusado de drogarla y violarla junto a los 51 hombres que reclutó para que abusaran de ella bajo sumisión química.  </w:t>
      </w:r>
    </w:p>
    <w:p w14:paraId="756E7E23" w14:textId="77777777" w:rsidR="00183F67" w:rsidRPr="000E6594" w:rsidRDefault="00183F67"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Señaló que la violencia institucional se reflejó en las preguntas de la defensa que insinuaban que ella había dado su consentimiento o la forma de referirse a las violaciones como "actos sexuales" (de Grado Alonso, 2024). Esta última es una estrategia llamada </w:t>
      </w:r>
      <w:proofErr w:type="spellStart"/>
      <w:r w:rsidRPr="000E6594">
        <w:rPr>
          <w:rFonts w:eastAsia="Times New Roman" w:cs="Calibri"/>
          <w:color w:val="000000"/>
          <w:sz w:val="24"/>
          <w:szCs w:val="24"/>
          <w:lang w:eastAsia="es-ES"/>
        </w:rPr>
        <w:t>eufemización</w:t>
      </w:r>
      <w:proofErr w:type="spellEnd"/>
      <w:r w:rsidRPr="000E6594">
        <w:rPr>
          <w:rFonts w:eastAsia="Times New Roman" w:cs="Calibri"/>
          <w:color w:val="000000"/>
          <w:sz w:val="24"/>
          <w:szCs w:val="24"/>
          <w:lang w:eastAsia="es-ES"/>
        </w:rPr>
        <w:t> de la violencia, basada en la sustitución del término "violaciones" por “actos sexuales” o “relaciones” para minimizar el carácter violento y coercitivo de los hechos (De Grado Alonso y Baena Garrido, 2025). </w:t>
      </w:r>
    </w:p>
    <w:p w14:paraId="2AEA0CB6" w14:textId="21958C90" w:rsidR="00183F67" w:rsidRPr="000E6594" w:rsidRDefault="00183F67"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otro lado, abogados defensores de la víctima declararon que hubo preguntas a Giselle, tales como si era exhibicionista, que simbolizan la estrategia de atacar la credibilidad de la víctima mediante </w:t>
      </w:r>
      <w:r w:rsidR="00796815"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interrogatorios sobre aspectos de su vida privada, rasgos de personalidad o conductas ajenas a los hechos procesados (</w:t>
      </w:r>
      <w:proofErr w:type="spellStart"/>
      <w:r w:rsidRPr="000E6594">
        <w:rPr>
          <w:rFonts w:eastAsia="Times New Roman" w:cs="Calibri"/>
          <w:color w:val="000000"/>
          <w:sz w:val="24"/>
          <w:szCs w:val="24"/>
          <w:lang w:eastAsia="es-ES"/>
        </w:rPr>
        <w:t>Efeminista</w:t>
      </w:r>
      <w:proofErr w:type="spellEnd"/>
      <w:r w:rsidRPr="000E6594">
        <w:rPr>
          <w:rFonts w:eastAsia="Times New Roman" w:cs="Calibri"/>
          <w:color w:val="000000"/>
          <w:sz w:val="24"/>
          <w:szCs w:val="24"/>
          <w:lang w:eastAsia="es-ES"/>
        </w:rPr>
        <w:t>, 2024)  </w:t>
      </w:r>
    </w:p>
    <w:p w14:paraId="6FF66FAA" w14:textId="77777777" w:rsidR="00183F67" w:rsidRPr="000E6594" w:rsidRDefault="00183F67"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Asimismo, concluyó que el juicio fue una prueba de la persistencia de la cultura de la violación, manifestada en las justificaciones de los acusados, como negar que se trataba de violación porque el marido lo permitía, lo que invisibiliza la violencia al recurrir al mito de que la agresión sexual no existe dentro de la pareja (</w:t>
      </w:r>
      <w:proofErr w:type="spellStart"/>
      <w:r w:rsidRPr="000E6594">
        <w:rPr>
          <w:rFonts w:eastAsia="Times New Roman" w:cs="Calibri"/>
          <w:color w:val="000000"/>
          <w:sz w:val="24"/>
          <w:szCs w:val="24"/>
          <w:lang w:eastAsia="es-ES"/>
        </w:rPr>
        <w:t>Efeminista</w:t>
      </w:r>
      <w:proofErr w:type="spellEnd"/>
      <w:r w:rsidRPr="000E6594">
        <w:rPr>
          <w:rFonts w:eastAsia="Times New Roman" w:cs="Calibri"/>
          <w:color w:val="000000"/>
          <w:sz w:val="24"/>
          <w:szCs w:val="24"/>
          <w:lang w:eastAsia="es-ES"/>
        </w:rPr>
        <w:t>, 2024; Abogacía Española, 2025).  </w:t>
      </w:r>
    </w:p>
    <w:p w14:paraId="5C26CCE2" w14:textId="77777777" w:rsidR="00183F67" w:rsidRPr="000E6594" w:rsidRDefault="00183F67"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Estos actos buscan quebrantar la resistencia de la víctima para que su voz no llegue hasta el final del juicio. Esto se ha evidenciado en el caso de Giselle, quien declaró haberse sentido insultada, humillada y culpabilizada llegando al extremo de responder a una de las preguntas de los abogados defensores que tenía la sensación de que la </w:t>
      </w:r>
      <w:r w:rsidRPr="000E6594">
        <w:rPr>
          <w:rFonts w:eastAsia="Times New Roman" w:cs="Calibri"/>
          <w:color w:val="000000"/>
          <w:sz w:val="24"/>
          <w:szCs w:val="24"/>
          <w:lang w:eastAsia="es-ES"/>
        </w:rPr>
        <w:lastRenderedPageBreak/>
        <w:t>culpable era ella y que los 51 acusados detrás suyo eran las víctimas (De Grado Alonso, 2024). </w:t>
      </w:r>
    </w:p>
    <w:p w14:paraId="1EDB72BF" w14:textId="47B6CADC" w:rsidR="00183F67" w:rsidRPr="00424443" w:rsidRDefault="00183F67" w:rsidP="00424443">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Respecto a la influencia de los medios de comunicación y las redes sociales, la violación y asesinato de </w:t>
      </w:r>
      <w:proofErr w:type="spellStart"/>
      <w:r w:rsidRPr="000E6594">
        <w:rPr>
          <w:rFonts w:eastAsia="Times New Roman" w:cs="Calibri"/>
          <w:color w:val="000000"/>
          <w:sz w:val="24"/>
          <w:szCs w:val="24"/>
          <w:lang w:eastAsia="es-ES"/>
        </w:rPr>
        <w:t>Nirbhaya</w:t>
      </w:r>
      <w:proofErr w:type="spellEnd"/>
      <w:r w:rsidRPr="000E6594">
        <w:rPr>
          <w:rFonts w:eastAsia="Times New Roman" w:cs="Calibri"/>
          <w:color w:val="000000"/>
          <w:sz w:val="24"/>
          <w:szCs w:val="24"/>
          <w:lang w:eastAsia="es-ES"/>
        </w:rPr>
        <w:t>, ocurrido en 2012 en Delhi, India, es un ejemplo de cómo pueden amplificar la revictimización. Tras la mediatización del caso, las redes sociales como Facebook y Twitter se llenaron de comentarios, imágenes y detalles gráficos del caso. Por un lado, había expresiones de solidaridad y exigencias de justicia, pero también propagaron información falsa, imágenes no autorizadas y comentarios insensibles y morbosos. Dichos comentarios se escondieron tras el anonimato en las redes sociales, causando una carencia de empatía por la víctima y su familia a través de la difusión de contenido ofensivo y desinformación. Asimismo, el sensacionalismo y el uso de titulares provocativos por parte de algunos periodistas fomentaron el morbo y la invasión de la privacidad de la víctima, lo que contribuyó a su revictimización (Mina Mendoza, 2024)</w:t>
      </w:r>
    </w:p>
    <w:p w14:paraId="2EECA6FF" w14:textId="77777777" w:rsidR="00FC5AF7" w:rsidRPr="005726B7" w:rsidRDefault="009A7BAE" w:rsidP="000E6594">
      <w:pPr>
        <w:spacing w:after="100" w:line="360" w:lineRule="auto"/>
        <w:ind w:firstLine="340"/>
        <w:jc w:val="both"/>
        <w:textAlignment w:val="baseline"/>
        <w:rPr>
          <w:rStyle w:val="Ttulo3Car"/>
          <w:rFonts w:asciiTheme="minorHAnsi" w:hAnsiTheme="minorHAnsi" w:cstheme="minorHAnsi"/>
          <w:b/>
          <w:bCs/>
          <w:color w:val="auto"/>
        </w:rPr>
      </w:pPr>
      <w:bookmarkStart w:id="17" w:name="_Toc224333145"/>
      <w:r w:rsidRPr="005726B7">
        <w:rPr>
          <w:rStyle w:val="Ttulo3Car"/>
          <w:rFonts w:asciiTheme="minorHAnsi" w:hAnsiTheme="minorHAnsi" w:cstheme="minorHAnsi"/>
          <w:b/>
          <w:bCs/>
          <w:color w:val="auto"/>
        </w:rPr>
        <w:t>3.1.</w:t>
      </w:r>
      <w:r w:rsidR="00183F67" w:rsidRPr="005726B7">
        <w:rPr>
          <w:rStyle w:val="Ttulo3Car"/>
          <w:rFonts w:asciiTheme="minorHAnsi" w:hAnsiTheme="minorHAnsi" w:cstheme="minorHAnsi"/>
          <w:b/>
          <w:bCs/>
          <w:color w:val="auto"/>
        </w:rPr>
        <w:t>6</w:t>
      </w:r>
      <w:r w:rsidRPr="005726B7">
        <w:rPr>
          <w:rStyle w:val="Ttulo3Car"/>
          <w:rFonts w:asciiTheme="minorHAnsi" w:hAnsiTheme="minorHAnsi" w:cstheme="minorHAnsi"/>
          <w:b/>
          <w:bCs/>
          <w:color w:val="auto"/>
        </w:rPr>
        <w:t xml:space="preserve"> Teorías criminológicas sobre la victimización y revictimización en delitos de</w:t>
      </w:r>
      <w:bookmarkEnd w:id="17"/>
      <w:r w:rsidRPr="005726B7">
        <w:rPr>
          <w:rFonts w:asciiTheme="minorHAnsi" w:eastAsia="Times New Roman" w:hAnsiTheme="minorHAnsi" w:cstheme="minorHAnsi"/>
          <w:b/>
          <w:bCs/>
          <w:sz w:val="24"/>
          <w:szCs w:val="24"/>
          <w:lang w:eastAsia="es-ES"/>
        </w:rPr>
        <w:t xml:space="preserve"> </w:t>
      </w:r>
      <w:r w:rsidRPr="005726B7">
        <w:rPr>
          <w:rStyle w:val="Ttulo3Car"/>
          <w:rFonts w:asciiTheme="minorHAnsi" w:hAnsiTheme="minorHAnsi" w:cstheme="minorHAnsi"/>
          <w:b/>
          <w:bCs/>
          <w:color w:val="auto"/>
        </w:rPr>
        <w:t>violencia sexual </w:t>
      </w:r>
    </w:p>
    <w:p w14:paraId="77C2D6DE" w14:textId="5131EFC3" w:rsidR="00365517" w:rsidRPr="000E6594" w:rsidRDefault="00FC5AF7" w:rsidP="000E6594">
      <w:pPr>
        <w:spacing w:after="100" w:line="360" w:lineRule="auto"/>
        <w:ind w:firstLine="340"/>
        <w:jc w:val="both"/>
        <w:textAlignment w:val="baseline"/>
        <w:rPr>
          <w:rFonts w:cs="Calibri"/>
        </w:rPr>
      </w:pPr>
      <w:r w:rsidRPr="000E6594">
        <w:rPr>
          <w:rFonts w:cs="Calibri"/>
          <w:sz w:val="24"/>
          <w:szCs w:val="24"/>
        </w:rPr>
        <w:t>Existen diferentes teorías que persiguen encontrar el origen y la causa que desencadena y perpet</w:t>
      </w:r>
      <w:r w:rsidR="009326BC">
        <w:rPr>
          <w:rFonts w:cs="Calibri"/>
          <w:sz w:val="24"/>
          <w:szCs w:val="24"/>
        </w:rPr>
        <w:t>ú</w:t>
      </w:r>
      <w:r w:rsidRPr="000E6594">
        <w:rPr>
          <w:rFonts w:cs="Calibri"/>
          <w:sz w:val="24"/>
          <w:szCs w:val="24"/>
        </w:rPr>
        <w:t xml:space="preserve">a la victimización y revictimización hacia mujeres víctimas de violencia sexual. </w:t>
      </w:r>
      <w:r w:rsidR="009A7BAE" w:rsidRPr="000E6594">
        <w:rPr>
          <w:rFonts w:eastAsia="Times New Roman" w:cs="Calibri"/>
          <w:color w:val="000000"/>
          <w:sz w:val="24"/>
          <w:szCs w:val="24"/>
          <w:lang w:eastAsia="es-ES"/>
        </w:rPr>
        <w:t>Según Sánchez Rubio (2022), desde la perspectiva criminológica la victimización puede explicarse por la presencia de ciertos factores de riesgo victímales. Estos factores se entienden como circunstancias que aumentan la probabilidad delictiva, pero que corren el riesgo de ser interpretados como el comportamiento imprudente y provocador de la víctima. Fattah (2010)</w:t>
      </w:r>
      <w:r w:rsidR="00961B64" w:rsidRPr="000E6594">
        <w:rPr>
          <w:rFonts w:eastAsia="Times New Roman" w:cs="Calibri"/>
          <w:color w:val="000000"/>
          <w:sz w:val="24"/>
          <w:szCs w:val="24"/>
          <w:lang w:eastAsia="es-ES"/>
        </w:rPr>
        <w:t xml:space="preserve">,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961B64" w:rsidRPr="000E6594">
        <w:rPr>
          <w:rFonts w:eastAsia="Times New Roman" w:cs="Calibri"/>
          <w:color w:val="000000"/>
          <w:sz w:val="24"/>
          <w:szCs w:val="24"/>
          <w:lang w:eastAsia="es-ES"/>
        </w:rPr>
        <w:t>Sánchez Rubio (2022)</w:t>
      </w:r>
      <w:r w:rsidR="009A7BAE" w:rsidRPr="000E6594">
        <w:rPr>
          <w:rFonts w:eastAsia="Times New Roman" w:cs="Calibri"/>
          <w:color w:val="000000"/>
          <w:sz w:val="24"/>
          <w:szCs w:val="24"/>
          <w:lang w:eastAsia="es-ES"/>
        </w:rPr>
        <w:t xml:space="preserve"> señala que la victimización no es un fenómeno aleatorio, sino que se distribuye en función de riesgos específicos. Esta perspectiva se relaciona con </w:t>
      </w:r>
      <w:r w:rsidR="009A7BAE" w:rsidRPr="000E6594">
        <w:rPr>
          <w:rFonts w:eastAsia="Times New Roman" w:cs="Calibri"/>
          <w:i/>
          <w:iCs/>
          <w:color w:val="000000"/>
          <w:sz w:val="24"/>
          <w:szCs w:val="24"/>
          <w:lang w:eastAsia="es-ES"/>
        </w:rPr>
        <w:t>la</w:t>
      </w:r>
      <w:r w:rsidR="009A7BAE" w:rsidRPr="000E6594">
        <w:rPr>
          <w:rFonts w:eastAsia="Times New Roman" w:cs="Calibri"/>
          <w:color w:val="000000"/>
          <w:sz w:val="24"/>
          <w:szCs w:val="24"/>
          <w:lang w:eastAsia="es-ES"/>
        </w:rPr>
        <w:t xml:space="preserve"> </w:t>
      </w:r>
      <w:r w:rsidR="009A7BAE" w:rsidRPr="000E6594">
        <w:rPr>
          <w:rFonts w:eastAsia="Times New Roman" w:cs="Calibri"/>
          <w:i/>
          <w:iCs/>
          <w:color w:val="000000"/>
          <w:sz w:val="24"/>
          <w:szCs w:val="24"/>
          <w:lang w:eastAsia="es-ES"/>
        </w:rPr>
        <w:t>teoría de las actividades cotidianas,</w:t>
      </w:r>
      <w:r w:rsidR="009A7BAE" w:rsidRPr="000E6594">
        <w:rPr>
          <w:rFonts w:eastAsia="Times New Roman" w:cs="Calibri"/>
          <w:color w:val="000000"/>
          <w:sz w:val="24"/>
          <w:szCs w:val="24"/>
          <w:lang w:eastAsia="es-ES"/>
        </w:rPr>
        <w:t xml:space="preserve"> que </w:t>
      </w:r>
      <w:r w:rsidR="00365517" w:rsidRPr="000E6594">
        <w:rPr>
          <w:rFonts w:eastAsia="Times New Roman" w:cs="Calibri"/>
          <w:color w:val="000000"/>
          <w:sz w:val="24"/>
          <w:szCs w:val="24"/>
          <w:lang w:eastAsia="es-ES"/>
        </w:rPr>
        <w:t>propone</w:t>
      </w:r>
      <w:r w:rsidR="009A7BAE" w:rsidRPr="000E6594">
        <w:rPr>
          <w:rFonts w:eastAsia="Times New Roman" w:cs="Calibri"/>
          <w:color w:val="000000"/>
          <w:sz w:val="24"/>
          <w:szCs w:val="24"/>
          <w:lang w:eastAsia="es-ES"/>
        </w:rPr>
        <w:t xml:space="preserve"> que la probabilidad de delito depende de la convergencia temporal y espacial de tres factores: un agresor motivado, un objetivo adecuado y la falta de mecanismos de control o vigilancia. </w:t>
      </w:r>
    </w:p>
    <w:p w14:paraId="04DC7F46" w14:textId="425CA8C1"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En relación con los delitos de violencia sexual, diversas investigaciones han puesto de manifiesto que, en la mayoría de los casos, la víctima y el agresor se conocen o han tenido contacto previo, la agresión tiene lugar en espacios privados o de proximidad </w:t>
      </w:r>
      <w:r w:rsidRPr="000E6594">
        <w:rPr>
          <w:rFonts w:eastAsia="Times New Roman" w:cs="Calibri"/>
          <w:color w:val="000000"/>
          <w:sz w:val="24"/>
          <w:szCs w:val="24"/>
          <w:lang w:eastAsia="es-ES"/>
        </w:rPr>
        <w:lastRenderedPageBreak/>
        <w:t>relacional y no existen características específicas que conviertan a una mujer en objetivo de una violación más allá de su condición de mujer. Asimismo, la mayor incidencia de estos delitos en ciertos contextos sociales y temporales, como los meses más cálidos o los locales de ocio nocturno, se ha utilizado para reforzar narrativas que interpretan ciertos comportamientos femeninos como provocativos (Sánchez Rubio, 2022). </w:t>
      </w:r>
    </w:p>
    <w:p w14:paraId="1A0B528F" w14:textId="77F17897" w:rsidR="00647E00"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Sin embargo, la relación entre los factores de riesgo y la victimización ha contribuido, de forma paradójica, a la exacerbación de la culpabilización de las víctimas al confundir el aumento de la oportunidad delictiva con sus causas subyacentes.</w:t>
      </w:r>
      <w:r w:rsidR="00F04371"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Estas interpretaciones se basan, en gran medida, en distorsiones cognitivas y creencias sociales que legitiman las acciones del agresor y minimizan la gravedad de la violencia sexual. Como consecuencia, muchas mujeres tienen dificultades para reconocer y denunciar la agresión sexual, internalizando la responsabilidad, y pasando a formar parte de la denominada cifra negra de la criminalidad (Sánchez Rubio, 2022).  </w:t>
      </w:r>
    </w:p>
    <w:p w14:paraId="3F6AFF48" w14:textId="1D091EB4" w:rsidR="00647E00" w:rsidRPr="000E6594" w:rsidRDefault="00183F67"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último</w:t>
      </w:r>
      <w:r w:rsidR="0051468B" w:rsidRPr="000E6594">
        <w:rPr>
          <w:rFonts w:eastAsia="Times New Roman" w:cs="Calibri"/>
          <w:color w:val="000000"/>
          <w:sz w:val="24"/>
          <w:szCs w:val="24"/>
          <w:lang w:eastAsia="es-ES"/>
        </w:rPr>
        <w:t xml:space="preserve">, </w:t>
      </w:r>
      <w:r w:rsidR="009A7BAE" w:rsidRPr="000E6594">
        <w:rPr>
          <w:rFonts w:eastAsia="Times New Roman" w:cs="Calibri"/>
          <w:color w:val="000000"/>
          <w:sz w:val="24"/>
          <w:szCs w:val="24"/>
          <w:lang w:eastAsia="es-ES"/>
        </w:rPr>
        <w:t xml:space="preserve">Aguiar, Correira y Vala (2007),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6C7451" w:rsidRPr="000E6594">
        <w:rPr>
          <w:rFonts w:eastAsia="Times New Roman" w:cs="Calibri"/>
          <w:color w:val="000000"/>
          <w:sz w:val="24"/>
          <w:szCs w:val="24"/>
          <w:lang w:eastAsia="es-ES"/>
        </w:rPr>
        <w:t xml:space="preserve">AAU (2022) </w:t>
      </w:r>
      <w:r w:rsidR="009A7BAE" w:rsidRPr="000E6594">
        <w:rPr>
          <w:rFonts w:eastAsia="Times New Roman" w:cs="Calibri"/>
          <w:color w:val="000000"/>
          <w:sz w:val="24"/>
          <w:szCs w:val="24"/>
          <w:lang w:eastAsia="es-ES"/>
        </w:rPr>
        <w:t>encontraron que la percepción de inocencia de la víctima es un factor influyente significativo en la revictimización. Según estudios revisados por estos autores, las víctimas percibidas como inocentes tienen mayor probabilidad de recibir compasión y apoyo que aquellas juzgadas como "no inocentes". Su inocencia depende de si el resultado de un evento escapa a su control o previsión; por el contrario, se las clasifica como "no inocentes". </w:t>
      </w:r>
    </w:p>
    <w:p w14:paraId="1FED1433" w14:textId="700C73E5" w:rsidR="00647E00" w:rsidRPr="000E6594" w:rsidRDefault="00647E00" w:rsidP="000E6594">
      <w:pPr>
        <w:spacing w:after="100" w:line="360" w:lineRule="auto"/>
        <w:jc w:val="both"/>
        <w:textAlignment w:val="baseline"/>
        <w:rPr>
          <w:rFonts w:cs="Calibri"/>
        </w:rPr>
      </w:pPr>
    </w:p>
    <w:p w14:paraId="652CA4FE" w14:textId="77777777" w:rsidR="00647E00" w:rsidRPr="005726B7" w:rsidRDefault="009A7BAE" w:rsidP="005726B7">
      <w:pPr>
        <w:spacing w:after="100" w:line="360" w:lineRule="auto"/>
        <w:ind w:firstLine="340"/>
        <w:jc w:val="both"/>
        <w:textAlignment w:val="baseline"/>
        <w:rPr>
          <w:rStyle w:val="Ttulo2Car"/>
          <w:rFonts w:asciiTheme="minorHAnsi" w:hAnsiTheme="minorHAnsi" w:cstheme="minorHAnsi"/>
          <w:b/>
          <w:bCs/>
          <w:color w:val="auto"/>
          <w:sz w:val="24"/>
          <w:szCs w:val="24"/>
        </w:rPr>
      </w:pPr>
      <w:bookmarkStart w:id="18" w:name="_Toc224333146"/>
      <w:r w:rsidRPr="005726B7">
        <w:rPr>
          <w:rStyle w:val="Ttulo2Car"/>
          <w:rFonts w:asciiTheme="minorHAnsi" w:hAnsiTheme="minorHAnsi" w:cstheme="minorHAnsi"/>
          <w:b/>
          <w:bCs/>
          <w:color w:val="auto"/>
          <w:sz w:val="24"/>
          <w:szCs w:val="24"/>
        </w:rPr>
        <w:t>3.2 Medios digitales en la construcción de narrativas criminológicas sobre las</w:t>
      </w:r>
      <w:bookmarkEnd w:id="18"/>
      <w:r w:rsidRPr="005726B7">
        <w:rPr>
          <w:rFonts w:asciiTheme="minorHAnsi" w:eastAsia="Times New Roman" w:hAnsiTheme="minorHAnsi" w:cstheme="minorHAnsi"/>
          <w:b/>
          <w:bCs/>
          <w:sz w:val="24"/>
          <w:szCs w:val="24"/>
          <w:lang w:eastAsia="es-ES"/>
        </w:rPr>
        <w:t xml:space="preserve"> </w:t>
      </w:r>
      <w:r w:rsidRPr="005726B7">
        <w:rPr>
          <w:rStyle w:val="Ttulo2Car"/>
          <w:rFonts w:asciiTheme="minorHAnsi" w:hAnsiTheme="minorHAnsi" w:cstheme="minorHAnsi"/>
          <w:b/>
          <w:bCs/>
          <w:color w:val="auto"/>
          <w:sz w:val="24"/>
          <w:szCs w:val="24"/>
        </w:rPr>
        <w:t>víctimas  </w:t>
      </w:r>
    </w:p>
    <w:p w14:paraId="4FC8698A" w14:textId="10900741" w:rsidR="00647E00" w:rsidRPr="005726B7" w:rsidRDefault="009A7BAE" w:rsidP="005726B7">
      <w:pPr>
        <w:pStyle w:val="Ttulo3"/>
        <w:spacing w:line="360" w:lineRule="auto"/>
        <w:rPr>
          <w:rFonts w:asciiTheme="minorHAnsi" w:hAnsiTheme="minorHAnsi" w:cstheme="minorHAnsi"/>
          <w:b/>
          <w:bCs/>
          <w:color w:val="auto"/>
        </w:rPr>
      </w:pPr>
      <w:r w:rsidRPr="005726B7">
        <w:rPr>
          <w:rFonts w:asciiTheme="minorHAnsi" w:eastAsia="Times New Roman" w:hAnsiTheme="minorHAnsi" w:cstheme="minorHAnsi"/>
          <w:b/>
          <w:bCs/>
          <w:color w:val="auto"/>
          <w:lang w:eastAsia="es-ES"/>
        </w:rPr>
        <w:t>  </w:t>
      </w:r>
      <w:bookmarkStart w:id="19" w:name="_Toc224333147"/>
      <w:r w:rsidRPr="005726B7">
        <w:rPr>
          <w:rFonts w:asciiTheme="minorHAnsi" w:eastAsia="Times New Roman" w:hAnsiTheme="minorHAnsi" w:cstheme="minorHAnsi"/>
          <w:b/>
          <w:bCs/>
          <w:color w:val="auto"/>
          <w:lang w:eastAsia="es-ES"/>
        </w:rPr>
        <w:t>3.2.1 Criminología mediática: concepto</w:t>
      </w:r>
      <w:bookmarkEnd w:id="19"/>
      <w:r w:rsidRPr="005726B7">
        <w:rPr>
          <w:rFonts w:asciiTheme="minorHAnsi" w:eastAsia="Times New Roman" w:hAnsiTheme="minorHAnsi" w:cstheme="minorHAnsi"/>
          <w:b/>
          <w:bCs/>
          <w:color w:val="auto"/>
          <w:lang w:eastAsia="es-ES"/>
        </w:rPr>
        <w:t> </w:t>
      </w:r>
      <w:r w:rsidR="00436522" w:rsidRPr="005726B7">
        <w:rPr>
          <w:rFonts w:asciiTheme="minorHAnsi" w:eastAsia="Times New Roman" w:hAnsiTheme="minorHAnsi" w:cstheme="minorHAnsi"/>
          <w:b/>
          <w:bCs/>
          <w:color w:val="auto"/>
          <w:lang w:eastAsia="es-ES"/>
        </w:rPr>
        <w:tab/>
        <w:t xml:space="preserve"> </w:t>
      </w:r>
    </w:p>
    <w:p w14:paraId="6FEDD304" w14:textId="6DC8B601" w:rsidR="00FA07EC" w:rsidRPr="000E6594" w:rsidRDefault="00426E03" w:rsidP="005726B7">
      <w:pPr>
        <w:spacing w:after="100" w:line="360" w:lineRule="auto"/>
        <w:ind w:firstLine="340"/>
        <w:jc w:val="both"/>
        <w:textAlignment w:val="baseline"/>
        <w:rPr>
          <w:rFonts w:eastAsia="Times New Roman" w:cs="Calibri"/>
          <w:color w:val="000000"/>
          <w:sz w:val="24"/>
          <w:szCs w:val="24"/>
          <w:lang w:eastAsia="es-ES"/>
        </w:rPr>
      </w:pPr>
      <w:r w:rsidRPr="005726B7">
        <w:rPr>
          <w:rFonts w:asciiTheme="minorHAnsi" w:eastAsia="Times New Roman" w:hAnsiTheme="minorHAnsi" w:cstheme="minorHAnsi"/>
          <w:sz w:val="24"/>
          <w:szCs w:val="24"/>
          <w:lang w:eastAsia="es-ES"/>
        </w:rPr>
        <w:t xml:space="preserve">Acosta </w:t>
      </w:r>
      <w:r w:rsidR="009A7BAE" w:rsidRPr="005726B7">
        <w:rPr>
          <w:rFonts w:asciiTheme="minorHAnsi" w:eastAsia="Times New Roman" w:hAnsiTheme="minorHAnsi" w:cstheme="minorHAnsi"/>
          <w:sz w:val="24"/>
          <w:szCs w:val="24"/>
          <w:lang w:eastAsia="es-ES"/>
        </w:rPr>
        <w:t>(2017)</w:t>
      </w:r>
      <w:r w:rsidRPr="005726B7">
        <w:rPr>
          <w:rFonts w:asciiTheme="minorHAnsi" w:eastAsia="Times New Roman" w:hAnsiTheme="minorHAnsi" w:cstheme="minorHAnsi"/>
          <w:sz w:val="24"/>
          <w:szCs w:val="24"/>
          <w:lang w:eastAsia="es-ES"/>
        </w:rPr>
        <w:t>,</w:t>
      </w:r>
      <w:r w:rsidR="009A7BAE" w:rsidRPr="005726B7">
        <w:rPr>
          <w:rFonts w:asciiTheme="minorHAnsi" w:eastAsia="Times New Roman" w:hAnsiTheme="minorHAnsi" w:cstheme="minorHAnsi"/>
          <w:sz w:val="24"/>
          <w:szCs w:val="24"/>
          <w:lang w:eastAsia="es-ES"/>
        </w:rPr>
        <w:t xml:space="preserve"> define la criminología</w:t>
      </w:r>
      <w:r w:rsidR="009A7BAE" w:rsidRPr="005726B7">
        <w:rPr>
          <w:rFonts w:eastAsia="Times New Roman" w:cs="Calibri"/>
          <w:sz w:val="24"/>
          <w:szCs w:val="24"/>
          <w:lang w:eastAsia="es-ES"/>
        </w:rPr>
        <w:t xml:space="preserve"> </w:t>
      </w:r>
      <w:r w:rsidR="009A7BAE" w:rsidRPr="000E6594">
        <w:rPr>
          <w:rFonts w:eastAsia="Times New Roman" w:cs="Calibri"/>
          <w:color w:val="000000"/>
          <w:sz w:val="24"/>
          <w:szCs w:val="24"/>
          <w:lang w:eastAsia="es-ES"/>
        </w:rPr>
        <w:t>mediática como la creación de una realidad sobre el crimen mediante información, </w:t>
      </w:r>
      <w:proofErr w:type="spellStart"/>
      <w:r w:rsidR="009A7BAE" w:rsidRPr="000E6594">
        <w:rPr>
          <w:rFonts w:eastAsia="Times New Roman" w:cs="Calibri"/>
          <w:color w:val="000000"/>
          <w:sz w:val="24"/>
          <w:szCs w:val="24"/>
          <w:lang w:eastAsia="es-ES"/>
        </w:rPr>
        <w:t>subinformación</w:t>
      </w:r>
      <w:proofErr w:type="spellEnd"/>
      <w:r w:rsidR="009A7BAE" w:rsidRPr="000E6594">
        <w:rPr>
          <w:rFonts w:eastAsia="Times New Roman" w:cs="Calibri"/>
          <w:color w:val="000000"/>
          <w:sz w:val="24"/>
          <w:szCs w:val="24"/>
          <w:lang w:eastAsia="es-ES"/>
        </w:rPr>
        <w:t> y desinformación, apoyada en prejuicios y explicaciones simplistas (etiología “mágica”) que señalan a ciertos grupos como chivos expiatorios. Asimismo, delimita el objeto de estudio de la criminología mediática cómo la forma en la que los medios</w:t>
      </w:r>
      <w:r w:rsidRPr="000E6594">
        <w:rPr>
          <w:rFonts w:eastAsia="Times New Roman" w:cs="Calibri"/>
          <w:color w:val="000000"/>
          <w:sz w:val="24"/>
          <w:szCs w:val="24"/>
          <w:lang w:eastAsia="es-ES"/>
        </w:rPr>
        <w:t xml:space="preserve"> de comunicación construyen la “realidad del delito” </w:t>
      </w:r>
      <w:r w:rsidR="009A7BAE" w:rsidRPr="000E6594">
        <w:rPr>
          <w:rFonts w:eastAsia="Times New Roman" w:cs="Calibri"/>
          <w:color w:val="000000"/>
          <w:sz w:val="24"/>
          <w:szCs w:val="24"/>
          <w:lang w:eastAsia="es-ES"/>
        </w:rPr>
        <w:t xml:space="preserve">y cómo esta influye en la opinión pública, la política criminal y los derechos fundamentales. Es una forma de manipulación ejercida por los medios que refuerza </w:t>
      </w:r>
      <w:r w:rsidR="009A7BAE" w:rsidRPr="000E6594">
        <w:rPr>
          <w:rFonts w:eastAsia="Times New Roman" w:cs="Calibri"/>
          <w:color w:val="000000"/>
          <w:sz w:val="24"/>
          <w:szCs w:val="24"/>
          <w:lang w:eastAsia="es-ES"/>
        </w:rPr>
        <w:lastRenderedPageBreak/>
        <w:t>estereotipos, estigmatiza a determinados sectores sociales (pobres, jóvenes, minorías) y legítima tratos más duros h</w:t>
      </w:r>
      <w:r w:rsidRPr="000E6594">
        <w:rPr>
          <w:rFonts w:eastAsia="Times New Roman" w:cs="Calibri"/>
          <w:color w:val="000000"/>
          <w:sz w:val="24"/>
          <w:szCs w:val="24"/>
          <w:lang w:eastAsia="es-ES"/>
        </w:rPr>
        <w:t>acia ellos. (De Oliveira Souto</w:t>
      </w:r>
      <w:r w:rsidR="00934D0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y  D</w:t>
      </w:r>
      <w:r w:rsidR="009A7BAE" w:rsidRPr="000E6594">
        <w:rPr>
          <w:rFonts w:eastAsia="Times New Roman" w:cs="Calibri"/>
          <w:color w:val="000000"/>
          <w:sz w:val="24"/>
          <w:szCs w:val="24"/>
          <w:lang w:eastAsia="es-ES"/>
        </w:rPr>
        <w:t>e Brito Pereira</w:t>
      </w:r>
      <w:r w:rsidRPr="000E6594">
        <w:rPr>
          <w:rFonts w:eastAsia="Times New Roman" w:cs="Calibri"/>
          <w:color w:val="000000"/>
          <w:sz w:val="24"/>
          <w:szCs w:val="24"/>
          <w:lang w:eastAsia="es-ES"/>
        </w:rPr>
        <w:t>,</w:t>
      </w:r>
      <w:r w:rsidR="009A7BAE" w:rsidRPr="000E6594">
        <w:rPr>
          <w:rFonts w:eastAsia="Times New Roman" w:cs="Calibri"/>
          <w:color w:val="000000"/>
          <w:sz w:val="24"/>
          <w:szCs w:val="24"/>
          <w:lang w:eastAsia="es-ES"/>
        </w:rPr>
        <w:t xml:space="preserve"> 2021).  </w:t>
      </w:r>
    </w:p>
    <w:p w14:paraId="02B6C12D" w14:textId="3915A6F1" w:rsidR="00FA07EC" w:rsidRPr="000E6594" w:rsidRDefault="00B30E0D"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Los medios de comunicación, al ser responsables de informar lo que sucede a diario, se convierten en agentes de control social que identifican y definen los problemas sociales. Especialmente, comunican sobre el fenómeno criminal y al trasmitir los hechos delictivos, individualizan los hechos narrándolos con un alto grado de dramatismo y emocionalidad (Bustos Ramírez, 1983; </w:t>
      </w:r>
      <w:proofErr w:type="spellStart"/>
      <w:r w:rsidRPr="000E6594">
        <w:rPr>
          <w:rFonts w:eastAsia="Times New Roman" w:cs="Calibri"/>
          <w:color w:val="000000"/>
          <w:sz w:val="24"/>
          <w:szCs w:val="24"/>
          <w:lang w:eastAsia="es-ES"/>
        </w:rPr>
        <w:t>Cerbino</w:t>
      </w:r>
      <w:proofErr w:type="spellEnd"/>
      <w:r w:rsidRPr="000E6594">
        <w:rPr>
          <w:rFonts w:eastAsia="Times New Roman" w:cs="Calibri"/>
          <w:color w:val="000000"/>
          <w:sz w:val="24"/>
          <w:szCs w:val="24"/>
          <w:lang w:eastAsia="es-ES"/>
        </w:rPr>
        <w:t xml:space="preserve">, 2005; Fuentes Osorio, 2005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Alderete Ortega (2022).</w:t>
      </w:r>
    </w:p>
    <w:p w14:paraId="26AC6147" w14:textId="1B78AA09" w:rsidR="00FA07EC" w:rsidRPr="000E6594" w:rsidRDefault="00FA07EC"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Asimismo, proporcionan información incompleta porque seleccionan cuáles noticias transmitir y cuáles no, con el objetivo de atraer la atención de la población; por último, desinforman porque en ocasiones alteran un hecho delictivo al ampliarlo o reducirlo, como lo afirma Zaffaroni E. (2011)</w:t>
      </w:r>
      <w:r w:rsidR="00B30E0D" w:rsidRPr="000E6594">
        <w:rPr>
          <w:rFonts w:eastAsia="Times New Roman" w:cs="Calibri"/>
          <w:color w:val="000000"/>
          <w:sz w:val="24"/>
          <w:szCs w:val="24"/>
          <w:lang w:eastAsia="es-ES"/>
        </w:rPr>
        <w:t xml:space="preserve">,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B30E0D" w:rsidRPr="000E6594">
        <w:rPr>
          <w:rFonts w:eastAsia="Times New Roman" w:cs="Calibri"/>
          <w:color w:val="000000"/>
          <w:sz w:val="24"/>
          <w:szCs w:val="24"/>
          <w:lang w:eastAsia="es-ES"/>
        </w:rPr>
        <w:t>Alderete Ortega (2022)</w:t>
      </w:r>
      <w:r w:rsidRPr="000E6594">
        <w:rPr>
          <w:rFonts w:eastAsia="Times New Roman" w:cs="Calibri"/>
          <w:color w:val="000000"/>
          <w:sz w:val="24"/>
          <w:szCs w:val="24"/>
          <w:lang w:eastAsia="es-ES"/>
        </w:rPr>
        <w:t>.</w:t>
      </w:r>
    </w:p>
    <w:p w14:paraId="5637FC91" w14:textId="3D48C515" w:rsidR="006F2798" w:rsidRPr="000E6594" w:rsidRDefault="006F2798"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Por otro lado,</w:t>
      </w:r>
      <w:r w:rsidR="00B30E0D"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 xml:space="preserve">Sassone (2022) añade que </w:t>
      </w:r>
      <w:r w:rsidR="00B30E0D" w:rsidRPr="000E6594">
        <w:rPr>
          <w:rFonts w:eastAsia="Times New Roman" w:cs="Calibri"/>
          <w:color w:val="000000"/>
          <w:sz w:val="24"/>
          <w:szCs w:val="24"/>
          <w:lang w:eastAsia="es-ES"/>
        </w:rPr>
        <w:t xml:space="preserve">los medios </w:t>
      </w:r>
      <w:r w:rsidRPr="000E6594">
        <w:rPr>
          <w:rFonts w:eastAsia="Times New Roman" w:cs="Calibri"/>
          <w:color w:val="000000"/>
          <w:sz w:val="24"/>
          <w:szCs w:val="24"/>
          <w:lang w:eastAsia="es-ES"/>
        </w:rPr>
        <w:t>funcionan</w:t>
      </w:r>
      <w:r w:rsidR="00B30E0D" w:rsidRPr="000E6594">
        <w:rPr>
          <w:rFonts w:eastAsia="Times New Roman" w:cs="Calibri"/>
          <w:color w:val="000000"/>
          <w:sz w:val="24"/>
          <w:szCs w:val="24"/>
          <w:lang w:eastAsia="es-ES"/>
        </w:rPr>
        <w:t xml:space="preserve"> como un "segundo poder" </w:t>
      </w:r>
      <w:r w:rsidRPr="000E6594">
        <w:rPr>
          <w:rFonts w:eastAsia="Times New Roman" w:cs="Calibri"/>
          <w:color w:val="000000"/>
          <w:sz w:val="24"/>
          <w:szCs w:val="24"/>
          <w:lang w:eastAsia="es-ES"/>
        </w:rPr>
        <w:t>cuyo objetivo es desmantelar</w:t>
      </w:r>
      <w:r w:rsidR="00B30E0D" w:rsidRPr="000E6594">
        <w:rPr>
          <w:rFonts w:eastAsia="Times New Roman" w:cs="Calibri"/>
          <w:color w:val="000000"/>
          <w:sz w:val="24"/>
          <w:szCs w:val="24"/>
          <w:lang w:eastAsia="es-ES"/>
        </w:rPr>
        <w:t xml:space="preserve"> el estado de </w:t>
      </w:r>
      <w:r w:rsidRPr="000E6594">
        <w:rPr>
          <w:rFonts w:eastAsia="Times New Roman" w:cs="Calibri"/>
          <w:color w:val="000000"/>
          <w:sz w:val="24"/>
          <w:szCs w:val="24"/>
          <w:lang w:eastAsia="es-ES"/>
        </w:rPr>
        <w:t>favorecer</w:t>
      </w:r>
      <w:r w:rsidR="00B30E0D" w:rsidRPr="000E6594">
        <w:rPr>
          <w:rFonts w:eastAsia="Times New Roman" w:cs="Calibri"/>
          <w:color w:val="000000"/>
          <w:sz w:val="24"/>
          <w:szCs w:val="24"/>
          <w:lang w:eastAsia="es-ES"/>
        </w:rPr>
        <w:t xml:space="preserve"> a las grandes corporaciones, </w:t>
      </w:r>
      <w:r w:rsidRPr="000E6594">
        <w:rPr>
          <w:rFonts w:eastAsia="Times New Roman" w:cs="Calibri"/>
          <w:color w:val="000000"/>
          <w:sz w:val="24"/>
          <w:szCs w:val="24"/>
          <w:lang w:eastAsia="es-ES"/>
        </w:rPr>
        <w:t>utilizando el</w:t>
      </w:r>
      <w:r w:rsidR="00B30E0D" w:rsidRPr="000E6594">
        <w:rPr>
          <w:rFonts w:eastAsia="Times New Roman" w:cs="Calibri"/>
          <w:color w:val="000000"/>
          <w:sz w:val="24"/>
          <w:szCs w:val="24"/>
          <w:lang w:eastAsia="es-ES"/>
        </w:rPr>
        <w:t xml:space="preserve"> discurso de "mano dura" para </w:t>
      </w:r>
      <w:r w:rsidRPr="000E6594">
        <w:rPr>
          <w:rFonts w:eastAsia="Times New Roman" w:cs="Calibri"/>
          <w:color w:val="000000"/>
          <w:sz w:val="24"/>
          <w:szCs w:val="24"/>
          <w:lang w:eastAsia="es-ES"/>
        </w:rPr>
        <w:t>perpetuar</w:t>
      </w:r>
      <w:r w:rsidR="00B30E0D" w:rsidRPr="000E6594">
        <w:rPr>
          <w:rFonts w:eastAsia="Times New Roman" w:cs="Calibri"/>
          <w:color w:val="000000"/>
          <w:sz w:val="24"/>
          <w:szCs w:val="24"/>
          <w:lang w:eastAsia="es-ES"/>
        </w:rPr>
        <w:t xml:space="preserve"> la exclusión social</w:t>
      </w:r>
      <w:r w:rsidRPr="000E6594">
        <w:rPr>
          <w:rFonts w:eastAsia="Times New Roman" w:cs="Calibri"/>
          <w:color w:val="000000"/>
          <w:sz w:val="24"/>
          <w:szCs w:val="24"/>
          <w:lang w:eastAsia="es-ES"/>
        </w:rPr>
        <w:t>.</w:t>
      </w:r>
    </w:p>
    <w:p w14:paraId="6FD00686" w14:textId="7C7A356F" w:rsidR="00426E03" w:rsidRPr="000E6594" w:rsidRDefault="00946119"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Además</w:t>
      </w:r>
      <w:r w:rsidR="003145D9" w:rsidRPr="000E6594">
        <w:rPr>
          <w:rFonts w:eastAsia="Times New Roman" w:cs="Calibri"/>
          <w:color w:val="000000"/>
          <w:sz w:val="24"/>
          <w:szCs w:val="24"/>
          <w:lang w:eastAsia="es-ES"/>
        </w:rPr>
        <w:t xml:space="preserve">, </w:t>
      </w:r>
      <w:r w:rsidR="006F2798" w:rsidRPr="000E6594">
        <w:rPr>
          <w:rFonts w:eastAsia="Times New Roman" w:cs="Calibri"/>
          <w:color w:val="000000"/>
          <w:sz w:val="24"/>
          <w:szCs w:val="24"/>
          <w:lang w:eastAsia="es-ES"/>
        </w:rPr>
        <w:t>defiende</w:t>
      </w:r>
      <w:r w:rsidR="003145D9" w:rsidRPr="000E6594">
        <w:rPr>
          <w:rFonts w:eastAsia="Times New Roman" w:cs="Calibri"/>
          <w:color w:val="000000"/>
          <w:sz w:val="24"/>
          <w:szCs w:val="24"/>
          <w:lang w:eastAsia="es-ES"/>
        </w:rPr>
        <w:t xml:space="preserve"> que la realidad mediática se </w:t>
      </w:r>
      <w:r w:rsidR="006F2798" w:rsidRPr="000E6594">
        <w:rPr>
          <w:rFonts w:eastAsia="Times New Roman" w:cs="Calibri"/>
          <w:color w:val="000000"/>
          <w:sz w:val="24"/>
          <w:szCs w:val="24"/>
          <w:lang w:eastAsia="es-ES"/>
        </w:rPr>
        <w:t>crea</w:t>
      </w:r>
      <w:r w:rsidR="003145D9" w:rsidRPr="000E6594">
        <w:rPr>
          <w:rFonts w:eastAsia="Times New Roman" w:cs="Calibri"/>
          <w:color w:val="000000"/>
          <w:sz w:val="24"/>
          <w:szCs w:val="24"/>
          <w:lang w:eastAsia="es-ES"/>
        </w:rPr>
        <w:t xml:space="preserve"> </w:t>
      </w:r>
      <w:r w:rsidR="006F2798" w:rsidRPr="000E6594">
        <w:rPr>
          <w:rFonts w:eastAsia="Times New Roman" w:cs="Calibri"/>
          <w:color w:val="000000"/>
          <w:sz w:val="24"/>
          <w:szCs w:val="24"/>
          <w:lang w:eastAsia="es-ES"/>
        </w:rPr>
        <w:t>por medio de la repetición,</w:t>
      </w:r>
      <w:r w:rsidR="003145D9" w:rsidRPr="000E6594">
        <w:rPr>
          <w:rFonts w:eastAsia="Times New Roman" w:cs="Calibri"/>
          <w:color w:val="000000"/>
          <w:sz w:val="24"/>
          <w:szCs w:val="24"/>
          <w:lang w:eastAsia="es-ES"/>
        </w:rPr>
        <w:t xml:space="preserve"> el bombardeo de imágenes</w:t>
      </w:r>
      <w:r w:rsidR="00E80407">
        <w:rPr>
          <w:rFonts w:eastAsia="Times New Roman" w:cs="Calibri"/>
          <w:color w:val="000000"/>
          <w:sz w:val="24"/>
          <w:szCs w:val="24"/>
          <w:lang w:eastAsia="es-ES"/>
        </w:rPr>
        <w:t xml:space="preserve"> </w:t>
      </w:r>
      <w:r w:rsidR="003145D9" w:rsidRPr="000E6594">
        <w:rPr>
          <w:rFonts w:eastAsia="Times New Roman" w:cs="Calibri"/>
          <w:color w:val="000000"/>
          <w:sz w:val="24"/>
          <w:szCs w:val="24"/>
          <w:lang w:eastAsia="es-ES"/>
        </w:rPr>
        <w:t xml:space="preserve">y el dramatismo, </w:t>
      </w:r>
      <w:r w:rsidR="006F2798" w:rsidRPr="000E6594">
        <w:rPr>
          <w:rFonts w:eastAsia="Times New Roman" w:cs="Calibri"/>
          <w:color w:val="000000"/>
          <w:sz w:val="24"/>
          <w:szCs w:val="24"/>
          <w:lang w:eastAsia="es-ES"/>
        </w:rPr>
        <w:t>transformando</w:t>
      </w:r>
      <w:r w:rsidR="003145D9" w:rsidRPr="000E6594">
        <w:rPr>
          <w:rFonts w:eastAsia="Times New Roman" w:cs="Calibri"/>
          <w:color w:val="000000"/>
          <w:sz w:val="24"/>
          <w:szCs w:val="24"/>
          <w:lang w:eastAsia="es-ES"/>
        </w:rPr>
        <w:t xml:space="preserve"> el crimen en un espectáculo </w:t>
      </w:r>
      <w:r w:rsidR="006F2798" w:rsidRPr="000E6594">
        <w:rPr>
          <w:rFonts w:eastAsia="Times New Roman" w:cs="Calibri"/>
          <w:color w:val="000000"/>
          <w:sz w:val="24"/>
          <w:szCs w:val="24"/>
          <w:lang w:eastAsia="es-ES"/>
        </w:rPr>
        <w:t>parecido</w:t>
      </w:r>
      <w:r w:rsidR="003145D9" w:rsidRPr="000E6594">
        <w:rPr>
          <w:rFonts w:eastAsia="Times New Roman" w:cs="Calibri"/>
          <w:color w:val="000000"/>
          <w:sz w:val="24"/>
          <w:szCs w:val="24"/>
          <w:lang w:eastAsia="es-ES"/>
        </w:rPr>
        <w:t xml:space="preserve"> a una ficción o </w:t>
      </w:r>
      <w:proofErr w:type="spellStart"/>
      <w:proofErr w:type="gramStart"/>
      <w:r w:rsidR="003145D9" w:rsidRPr="000E6594">
        <w:rPr>
          <w:rFonts w:eastAsia="Times New Roman" w:cs="Calibri"/>
          <w:i/>
          <w:iCs/>
          <w:color w:val="000000"/>
          <w:sz w:val="24"/>
          <w:szCs w:val="24"/>
          <w:lang w:eastAsia="es-ES"/>
        </w:rPr>
        <w:t>reality</w:t>
      </w:r>
      <w:proofErr w:type="spellEnd"/>
      <w:r w:rsidR="003145D9" w:rsidRPr="000E6594">
        <w:rPr>
          <w:rFonts w:eastAsia="Times New Roman" w:cs="Calibri"/>
          <w:i/>
          <w:iCs/>
          <w:color w:val="000000"/>
          <w:sz w:val="24"/>
          <w:szCs w:val="24"/>
          <w:lang w:eastAsia="es-ES"/>
        </w:rPr>
        <w:t xml:space="preserve"> show</w:t>
      </w:r>
      <w:proofErr w:type="gramEnd"/>
      <w:r w:rsidR="003145D9" w:rsidRPr="000E6594">
        <w:rPr>
          <w:rFonts w:eastAsia="Times New Roman" w:cs="Calibri"/>
          <w:i/>
          <w:iCs/>
          <w:color w:val="000000"/>
          <w:sz w:val="24"/>
          <w:szCs w:val="24"/>
          <w:lang w:eastAsia="es-ES"/>
        </w:rPr>
        <w:t xml:space="preserve">. </w:t>
      </w:r>
      <w:r w:rsidR="003145D9" w:rsidRPr="000E6594">
        <w:rPr>
          <w:rFonts w:eastAsia="Times New Roman" w:cs="Calibri"/>
          <w:color w:val="000000"/>
          <w:sz w:val="24"/>
          <w:szCs w:val="24"/>
          <w:lang w:eastAsia="es-ES"/>
        </w:rPr>
        <w:t xml:space="preserve">Esto </w:t>
      </w:r>
      <w:r w:rsidR="006F2798" w:rsidRPr="000E6594">
        <w:rPr>
          <w:rFonts w:eastAsia="Times New Roman" w:cs="Calibri"/>
          <w:color w:val="000000"/>
          <w:sz w:val="24"/>
          <w:szCs w:val="24"/>
          <w:lang w:eastAsia="es-ES"/>
        </w:rPr>
        <w:t>provoca</w:t>
      </w:r>
      <w:r w:rsidR="003145D9" w:rsidRPr="000E6594">
        <w:rPr>
          <w:rFonts w:eastAsia="Times New Roman" w:cs="Calibri"/>
          <w:color w:val="000000"/>
          <w:sz w:val="24"/>
          <w:szCs w:val="24"/>
          <w:lang w:eastAsia="es-ES"/>
        </w:rPr>
        <w:t xml:space="preserve"> un proceso de sensibilización</w:t>
      </w:r>
      <w:r w:rsidR="006F2798" w:rsidRPr="000E6594">
        <w:rPr>
          <w:rFonts w:eastAsia="Times New Roman" w:cs="Calibri"/>
          <w:color w:val="000000"/>
          <w:sz w:val="24"/>
          <w:szCs w:val="24"/>
          <w:lang w:eastAsia="es-ES"/>
        </w:rPr>
        <w:t xml:space="preserve"> en el que </w:t>
      </w:r>
      <w:r w:rsidR="003145D9" w:rsidRPr="000E6594">
        <w:rPr>
          <w:rFonts w:eastAsia="Times New Roman" w:cs="Calibri"/>
          <w:color w:val="000000"/>
          <w:sz w:val="24"/>
          <w:szCs w:val="24"/>
          <w:lang w:eastAsia="es-ES"/>
        </w:rPr>
        <w:t xml:space="preserve">la audiencia </w:t>
      </w:r>
      <w:r w:rsidR="006F2798" w:rsidRPr="000E6594">
        <w:rPr>
          <w:rFonts w:eastAsia="Times New Roman" w:cs="Calibri"/>
          <w:color w:val="000000"/>
          <w:sz w:val="24"/>
          <w:szCs w:val="24"/>
          <w:lang w:eastAsia="es-ES"/>
        </w:rPr>
        <w:t xml:space="preserve">empieza </w:t>
      </w:r>
      <w:r w:rsidR="003145D9" w:rsidRPr="000E6594">
        <w:rPr>
          <w:rFonts w:eastAsia="Times New Roman" w:cs="Calibri"/>
          <w:color w:val="000000"/>
          <w:sz w:val="24"/>
          <w:szCs w:val="24"/>
          <w:lang w:eastAsia="es-ES"/>
        </w:rPr>
        <w:t xml:space="preserve"> a interpretar estímulos neutros como amenazas globales, </w:t>
      </w:r>
      <w:r w:rsidR="006F2798" w:rsidRPr="000E6594">
        <w:rPr>
          <w:rFonts w:eastAsia="Times New Roman" w:cs="Calibri"/>
          <w:color w:val="000000"/>
          <w:sz w:val="24"/>
          <w:szCs w:val="24"/>
          <w:lang w:eastAsia="es-ES"/>
        </w:rPr>
        <w:t>lo cual incrementa desmesuradamente</w:t>
      </w:r>
      <w:r w:rsidR="003145D9" w:rsidRPr="000E6594">
        <w:rPr>
          <w:rFonts w:eastAsia="Times New Roman" w:cs="Calibri"/>
          <w:color w:val="000000"/>
          <w:sz w:val="24"/>
          <w:szCs w:val="24"/>
          <w:lang w:eastAsia="es-ES"/>
        </w:rPr>
        <w:t xml:space="preserve"> la sensación de inseguridad. Sassone </w:t>
      </w:r>
      <w:r w:rsidR="006F2798" w:rsidRPr="000E6594">
        <w:rPr>
          <w:rFonts w:eastAsia="Times New Roman" w:cs="Calibri"/>
          <w:color w:val="000000"/>
          <w:sz w:val="24"/>
          <w:szCs w:val="24"/>
          <w:lang w:eastAsia="es-ES"/>
        </w:rPr>
        <w:t xml:space="preserve">(2022) llega a la conclusión de </w:t>
      </w:r>
      <w:r w:rsidR="003145D9" w:rsidRPr="000E6594">
        <w:rPr>
          <w:rFonts w:eastAsia="Times New Roman" w:cs="Calibri"/>
          <w:color w:val="000000"/>
          <w:sz w:val="24"/>
          <w:szCs w:val="24"/>
          <w:lang w:eastAsia="es-ES"/>
        </w:rPr>
        <w:t xml:space="preserve"> que la criminología mediática crea una ficción cotidiana que dificulta la percepción objetiva de la realidad.</w:t>
      </w:r>
    </w:p>
    <w:p w14:paraId="721CE497" w14:textId="2AF1CC55" w:rsidR="00647E00" w:rsidRPr="000E6594" w:rsidRDefault="009A7BAE" w:rsidP="00742980">
      <w:pPr>
        <w:pStyle w:val="Ttulo3"/>
        <w:rPr>
          <w:rFonts w:eastAsia="Times New Roman"/>
          <w:lang w:eastAsia="es-ES"/>
        </w:rPr>
      </w:pPr>
      <w:bookmarkStart w:id="20" w:name="_Toc224333148"/>
      <w:r w:rsidRPr="000E6594">
        <w:rPr>
          <w:rFonts w:eastAsia="Times New Roman"/>
          <w:lang w:eastAsia="es-ES"/>
        </w:rPr>
        <w:t>3.2.2 Medios digitales como agentes de construcción simbólica.</w:t>
      </w:r>
      <w:bookmarkEnd w:id="20"/>
      <w:r w:rsidRPr="000E6594">
        <w:rPr>
          <w:rFonts w:eastAsia="Times New Roman"/>
          <w:lang w:eastAsia="es-ES"/>
        </w:rPr>
        <w:t xml:space="preserve"> </w:t>
      </w:r>
    </w:p>
    <w:p w14:paraId="0A624683" w14:textId="2E435DDC" w:rsidR="00783368" w:rsidRPr="000E6594" w:rsidRDefault="0027639B"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Para</w:t>
      </w:r>
      <w:r w:rsidR="00481709" w:rsidRPr="000E6594">
        <w:rPr>
          <w:rFonts w:eastAsia="Times New Roman" w:cs="Calibri"/>
          <w:color w:val="000000"/>
          <w:sz w:val="24"/>
          <w:szCs w:val="24"/>
          <w:lang w:eastAsia="es-ES"/>
        </w:rPr>
        <w:t xml:space="preserve"> analizar el </w:t>
      </w:r>
      <w:r w:rsidR="00140A57" w:rsidRPr="000E6594">
        <w:rPr>
          <w:rFonts w:eastAsia="Times New Roman" w:cs="Calibri"/>
          <w:color w:val="000000"/>
          <w:sz w:val="24"/>
          <w:szCs w:val="24"/>
          <w:lang w:eastAsia="es-ES"/>
        </w:rPr>
        <w:t>rol</w:t>
      </w:r>
      <w:r w:rsidR="00481709" w:rsidRPr="000E6594">
        <w:rPr>
          <w:rFonts w:eastAsia="Times New Roman" w:cs="Calibri"/>
          <w:color w:val="000000"/>
          <w:sz w:val="24"/>
          <w:szCs w:val="24"/>
          <w:lang w:eastAsia="es-ES"/>
        </w:rPr>
        <w:t xml:space="preserve"> de los medios digitales en la construcción simbólica de la violencia sexual</w:t>
      </w:r>
      <w:r w:rsidR="00140A57" w:rsidRPr="000E6594">
        <w:rPr>
          <w:rFonts w:eastAsia="Times New Roman" w:cs="Calibri"/>
          <w:color w:val="000000"/>
          <w:sz w:val="24"/>
          <w:szCs w:val="24"/>
          <w:lang w:eastAsia="es-ES"/>
        </w:rPr>
        <w:t xml:space="preserve"> es necesario </w:t>
      </w:r>
      <w:r w:rsidR="00783368" w:rsidRPr="000E6594">
        <w:rPr>
          <w:rFonts w:eastAsia="Times New Roman" w:cs="Calibri"/>
          <w:color w:val="000000"/>
          <w:sz w:val="24"/>
          <w:szCs w:val="24"/>
          <w:lang w:eastAsia="es-ES"/>
        </w:rPr>
        <w:t>partir de una definición del propio concepto y clarificar qué engloba</w:t>
      </w:r>
      <w:r w:rsidR="00481709" w:rsidRPr="000E6594">
        <w:rPr>
          <w:rFonts w:eastAsia="Times New Roman" w:cs="Calibri"/>
          <w:color w:val="000000"/>
          <w:sz w:val="24"/>
          <w:szCs w:val="24"/>
          <w:lang w:eastAsia="es-ES"/>
        </w:rPr>
        <w:t xml:space="preserve">. </w:t>
      </w:r>
    </w:p>
    <w:p w14:paraId="75871975" w14:textId="48B73A6C" w:rsidR="005C26EB" w:rsidRPr="000E6594" w:rsidRDefault="00783368"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Los</w:t>
      </w:r>
      <w:r w:rsidR="00481709" w:rsidRPr="000E6594">
        <w:rPr>
          <w:rFonts w:eastAsia="Times New Roman" w:cs="Calibri"/>
          <w:color w:val="000000"/>
          <w:sz w:val="24"/>
          <w:szCs w:val="24"/>
          <w:lang w:eastAsia="es-ES"/>
        </w:rPr>
        <w:t xml:space="preserve"> medios digitales </w:t>
      </w:r>
      <w:r w:rsidR="00140A57" w:rsidRPr="000E6594">
        <w:rPr>
          <w:rFonts w:eastAsia="Times New Roman" w:cs="Calibri"/>
          <w:color w:val="000000"/>
          <w:sz w:val="24"/>
          <w:szCs w:val="24"/>
          <w:lang w:eastAsia="es-ES"/>
        </w:rPr>
        <w:t>comprenden</w:t>
      </w:r>
      <w:r w:rsidR="00481709" w:rsidRPr="000E6594">
        <w:rPr>
          <w:rFonts w:eastAsia="Times New Roman" w:cs="Calibri"/>
          <w:color w:val="000000"/>
          <w:sz w:val="24"/>
          <w:szCs w:val="24"/>
          <w:lang w:eastAsia="es-ES"/>
        </w:rPr>
        <w:t xml:space="preserve"> todas </w:t>
      </w:r>
      <w:r w:rsidR="00140A57" w:rsidRPr="000E6594">
        <w:rPr>
          <w:rFonts w:eastAsia="Times New Roman" w:cs="Calibri"/>
          <w:color w:val="000000"/>
          <w:sz w:val="24"/>
          <w:szCs w:val="24"/>
          <w:lang w:eastAsia="es-ES"/>
        </w:rPr>
        <w:t xml:space="preserve">las </w:t>
      </w:r>
      <w:r w:rsidR="00481709" w:rsidRPr="000E6594">
        <w:rPr>
          <w:rFonts w:eastAsia="Times New Roman" w:cs="Calibri"/>
          <w:color w:val="000000"/>
          <w:sz w:val="24"/>
          <w:szCs w:val="24"/>
          <w:lang w:eastAsia="es-ES"/>
        </w:rPr>
        <w:t xml:space="preserve">plataformas y canales de comunicación que operan </w:t>
      </w:r>
      <w:r w:rsidR="00140A57" w:rsidRPr="000E6594">
        <w:rPr>
          <w:rFonts w:eastAsia="Times New Roman" w:cs="Calibri"/>
          <w:color w:val="000000"/>
          <w:sz w:val="24"/>
          <w:szCs w:val="24"/>
          <w:lang w:eastAsia="es-ES"/>
        </w:rPr>
        <w:t>mediante</w:t>
      </w:r>
      <w:r w:rsidR="00481709" w:rsidRPr="000E6594">
        <w:rPr>
          <w:rFonts w:eastAsia="Times New Roman" w:cs="Calibri"/>
          <w:color w:val="000000"/>
          <w:sz w:val="24"/>
          <w:szCs w:val="24"/>
          <w:lang w:eastAsia="es-ES"/>
        </w:rPr>
        <w:t xml:space="preserve"> tecnologías digitales e internet</w:t>
      </w:r>
      <w:r w:rsidR="005F6763" w:rsidRPr="000E6594">
        <w:rPr>
          <w:rFonts w:eastAsia="Times New Roman" w:cs="Calibri"/>
          <w:color w:val="000000"/>
          <w:sz w:val="24"/>
          <w:szCs w:val="24"/>
          <w:lang w:eastAsia="es-ES"/>
        </w:rPr>
        <w:t>,</w:t>
      </w:r>
      <w:r w:rsidR="005C26EB" w:rsidRPr="000E6594">
        <w:rPr>
          <w:rFonts w:eastAsia="Times New Roman" w:cs="Calibri"/>
          <w:color w:val="000000"/>
          <w:sz w:val="24"/>
          <w:szCs w:val="24"/>
          <w:lang w:eastAsia="es-ES"/>
        </w:rPr>
        <w:t xml:space="preserve"> incluyendo</w:t>
      </w:r>
      <w:r w:rsidR="00140A57" w:rsidRPr="000E6594">
        <w:rPr>
          <w:rFonts w:eastAsia="Times New Roman" w:cs="Calibri"/>
          <w:color w:val="000000"/>
          <w:sz w:val="24"/>
          <w:szCs w:val="24"/>
          <w:lang w:eastAsia="es-ES"/>
        </w:rPr>
        <w:t xml:space="preserve"> </w:t>
      </w:r>
      <w:r w:rsidR="00481709" w:rsidRPr="000E6594">
        <w:rPr>
          <w:rFonts w:eastAsia="Times New Roman" w:cs="Calibri"/>
          <w:color w:val="000000"/>
          <w:sz w:val="24"/>
          <w:szCs w:val="24"/>
          <w:lang w:eastAsia="es-ES"/>
        </w:rPr>
        <w:t xml:space="preserve">los </w:t>
      </w:r>
      <w:r w:rsidR="00AF4A89" w:rsidRPr="000E6594">
        <w:rPr>
          <w:rFonts w:eastAsia="Times New Roman" w:cs="Calibri"/>
          <w:color w:val="000000"/>
          <w:sz w:val="24"/>
          <w:szCs w:val="24"/>
          <w:lang w:eastAsia="es-ES"/>
        </w:rPr>
        <w:t xml:space="preserve">sitios web y </w:t>
      </w:r>
      <w:r w:rsidR="00481709" w:rsidRPr="000E6594">
        <w:rPr>
          <w:rFonts w:eastAsia="Times New Roman" w:cs="Calibri"/>
          <w:color w:val="000000"/>
          <w:sz w:val="24"/>
          <w:szCs w:val="24"/>
          <w:lang w:eastAsia="es-ES"/>
        </w:rPr>
        <w:t>portales de noticias en línea, los servicios de mensajería instantánea</w:t>
      </w:r>
      <w:r w:rsidR="00140A57" w:rsidRPr="000E6594">
        <w:rPr>
          <w:rFonts w:eastAsia="Times New Roman" w:cs="Calibri"/>
          <w:color w:val="000000"/>
          <w:sz w:val="24"/>
          <w:szCs w:val="24"/>
          <w:lang w:eastAsia="es-ES"/>
        </w:rPr>
        <w:t>,</w:t>
      </w:r>
      <w:r w:rsidR="00AF4A89" w:rsidRPr="000E6594">
        <w:rPr>
          <w:rFonts w:eastAsia="Times New Roman" w:cs="Calibri"/>
          <w:color w:val="000000"/>
          <w:sz w:val="24"/>
          <w:szCs w:val="24"/>
          <w:lang w:eastAsia="es-ES"/>
        </w:rPr>
        <w:t xml:space="preserve"> las aplicaciones móviles, la publicidad en línea, los videojuegos y entornos virtuales,</w:t>
      </w:r>
      <w:r w:rsidR="00140A57" w:rsidRPr="000E6594">
        <w:rPr>
          <w:rFonts w:eastAsia="Times New Roman" w:cs="Calibri"/>
          <w:color w:val="000000"/>
          <w:sz w:val="24"/>
          <w:szCs w:val="24"/>
          <w:lang w:eastAsia="es-ES"/>
        </w:rPr>
        <w:t xml:space="preserve"> los podcasts</w:t>
      </w:r>
      <w:r w:rsidR="005C26EB" w:rsidRPr="000E6594">
        <w:rPr>
          <w:rFonts w:eastAsia="Times New Roman" w:cs="Calibri"/>
          <w:color w:val="000000"/>
          <w:sz w:val="24"/>
          <w:szCs w:val="24"/>
          <w:lang w:eastAsia="es-ES"/>
        </w:rPr>
        <w:t xml:space="preserve"> y</w:t>
      </w:r>
      <w:r w:rsidR="00140A57" w:rsidRPr="000E6594">
        <w:rPr>
          <w:rFonts w:eastAsia="Times New Roman" w:cs="Calibri"/>
          <w:color w:val="000000"/>
          <w:sz w:val="24"/>
          <w:szCs w:val="24"/>
          <w:lang w:eastAsia="es-ES"/>
        </w:rPr>
        <w:t xml:space="preserve"> </w:t>
      </w:r>
      <w:r w:rsidR="00481709" w:rsidRPr="000E6594">
        <w:rPr>
          <w:rFonts w:eastAsia="Times New Roman" w:cs="Calibri"/>
          <w:color w:val="000000"/>
          <w:sz w:val="24"/>
          <w:szCs w:val="24"/>
          <w:lang w:eastAsia="es-ES"/>
        </w:rPr>
        <w:t>las plataformas de contenido audiovisual</w:t>
      </w:r>
      <w:r w:rsidR="00140A57" w:rsidRPr="000E6594">
        <w:rPr>
          <w:rFonts w:eastAsia="Times New Roman" w:cs="Calibri"/>
          <w:color w:val="000000"/>
          <w:sz w:val="24"/>
          <w:szCs w:val="24"/>
          <w:lang w:eastAsia="es-ES"/>
        </w:rPr>
        <w:t xml:space="preserve">. </w:t>
      </w:r>
      <w:r w:rsidR="005F6763" w:rsidRPr="000E6594">
        <w:rPr>
          <w:rFonts w:eastAsia="Times New Roman" w:cs="Calibri"/>
          <w:color w:val="000000"/>
          <w:sz w:val="24"/>
          <w:szCs w:val="24"/>
          <w:lang w:eastAsia="es-ES"/>
        </w:rPr>
        <w:t>De</w:t>
      </w:r>
      <w:r w:rsidRPr="000E6594">
        <w:rPr>
          <w:rFonts w:eastAsia="Times New Roman" w:cs="Calibri"/>
          <w:color w:val="000000"/>
          <w:sz w:val="24"/>
          <w:szCs w:val="24"/>
          <w:lang w:eastAsia="es-ES"/>
        </w:rPr>
        <w:t xml:space="preserve"> entre</w:t>
      </w:r>
      <w:r w:rsidR="005F6763" w:rsidRPr="000E6594">
        <w:rPr>
          <w:rFonts w:eastAsia="Times New Roman" w:cs="Calibri"/>
          <w:color w:val="000000"/>
          <w:sz w:val="24"/>
          <w:szCs w:val="24"/>
          <w:lang w:eastAsia="es-ES"/>
        </w:rPr>
        <w:t xml:space="preserve"> todos ellos</w:t>
      </w:r>
      <w:r w:rsidR="00140A57" w:rsidRPr="000E6594">
        <w:rPr>
          <w:rFonts w:eastAsia="Times New Roman" w:cs="Calibri"/>
          <w:color w:val="000000"/>
          <w:sz w:val="24"/>
          <w:szCs w:val="24"/>
          <w:lang w:eastAsia="es-ES"/>
        </w:rPr>
        <w:t xml:space="preserve">, las redes sociales </w:t>
      </w:r>
      <w:r w:rsidRPr="000E6594">
        <w:rPr>
          <w:rFonts w:eastAsia="Times New Roman" w:cs="Calibri"/>
          <w:color w:val="000000"/>
          <w:sz w:val="24"/>
          <w:szCs w:val="24"/>
          <w:lang w:eastAsia="es-ES"/>
        </w:rPr>
        <w:t xml:space="preserve">tienen un </w:t>
      </w:r>
      <w:r w:rsidRPr="000E6594">
        <w:rPr>
          <w:rFonts w:eastAsia="Times New Roman" w:cs="Calibri"/>
          <w:color w:val="000000"/>
          <w:sz w:val="24"/>
          <w:szCs w:val="24"/>
          <w:lang w:eastAsia="es-ES"/>
        </w:rPr>
        <w:lastRenderedPageBreak/>
        <w:t>mayor protagonismo</w:t>
      </w:r>
      <w:r w:rsidR="00140A57" w:rsidRPr="000E6594">
        <w:rPr>
          <w:rFonts w:eastAsia="Times New Roman" w:cs="Calibri"/>
          <w:color w:val="000000"/>
          <w:sz w:val="24"/>
          <w:szCs w:val="24"/>
          <w:lang w:eastAsia="es-ES"/>
        </w:rPr>
        <w:t>, siendo TikTok, Instagram y Facebook las plataformas con mayor presencia e influencia social en la actualidad</w:t>
      </w:r>
      <w:r w:rsidR="009D2D40" w:rsidRPr="000E6594">
        <w:rPr>
          <w:rFonts w:eastAsia="Times New Roman" w:cs="Calibri"/>
          <w:color w:val="000000"/>
          <w:sz w:val="24"/>
          <w:szCs w:val="24"/>
          <w:lang w:eastAsia="es-ES"/>
        </w:rPr>
        <w:t xml:space="preserve"> (CNMC, 2025)</w:t>
      </w:r>
      <w:r w:rsidR="00140A57" w:rsidRPr="000E6594">
        <w:rPr>
          <w:rFonts w:eastAsia="Times New Roman" w:cs="Calibri"/>
          <w:color w:val="000000"/>
          <w:sz w:val="24"/>
          <w:szCs w:val="24"/>
          <w:lang w:eastAsia="es-ES"/>
        </w:rPr>
        <w:t>.</w:t>
      </w:r>
      <w:r w:rsidR="00481709" w:rsidRPr="000E6594">
        <w:rPr>
          <w:rFonts w:eastAsia="Times New Roman" w:cs="Calibri"/>
          <w:color w:val="000000"/>
          <w:sz w:val="24"/>
          <w:szCs w:val="24"/>
          <w:lang w:eastAsia="es-ES"/>
        </w:rPr>
        <w:t xml:space="preserve"> </w:t>
      </w:r>
    </w:p>
    <w:p w14:paraId="25E0789A" w14:textId="121EF635" w:rsidR="00481709" w:rsidRPr="000E6594" w:rsidRDefault="005F6763" w:rsidP="000E6594">
      <w:pPr>
        <w:spacing w:after="100" w:line="360" w:lineRule="auto"/>
        <w:ind w:firstLine="340"/>
        <w:jc w:val="both"/>
        <w:textAlignment w:val="baseline"/>
        <w:rPr>
          <w:rFonts w:eastAsia="Times New Roman" w:cs="Calibri"/>
          <w:b/>
          <w:bCs/>
          <w:color w:val="000000"/>
          <w:sz w:val="24"/>
          <w:szCs w:val="24"/>
          <w:lang w:eastAsia="es-ES"/>
        </w:rPr>
      </w:pPr>
      <w:r w:rsidRPr="000E6594">
        <w:rPr>
          <w:rFonts w:eastAsia="Times New Roman" w:cs="Calibri"/>
          <w:color w:val="000000"/>
          <w:sz w:val="24"/>
          <w:szCs w:val="24"/>
          <w:lang w:eastAsia="es-ES"/>
        </w:rPr>
        <w:t>Lo</w:t>
      </w:r>
      <w:r w:rsidR="005C26EB" w:rsidRPr="000E6594">
        <w:rPr>
          <w:rFonts w:eastAsia="Times New Roman" w:cs="Calibri"/>
          <w:color w:val="000000"/>
          <w:sz w:val="24"/>
          <w:szCs w:val="24"/>
          <w:lang w:eastAsia="es-ES"/>
        </w:rPr>
        <w:t xml:space="preserve"> que distingue a los</w:t>
      </w:r>
      <w:r w:rsidRPr="000E6594">
        <w:rPr>
          <w:rFonts w:eastAsia="Times New Roman" w:cs="Calibri"/>
          <w:color w:val="000000"/>
          <w:sz w:val="24"/>
          <w:szCs w:val="24"/>
          <w:lang w:eastAsia="es-ES"/>
        </w:rPr>
        <w:t xml:space="preserve"> medios digitales </w:t>
      </w:r>
      <w:r w:rsidR="00481709" w:rsidRPr="000E6594">
        <w:rPr>
          <w:rFonts w:eastAsia="Times New Roman" w:cs="Calibri"/>
          <w:color w:val="000000"/>
          <w:sz w:val="24"/>
          <w:szCs w:val="24"/>
          <w:lang w:eastAsia="es-ES"/>
        </w:rPr>
        <w:t>de los medios de comunicación tradicionales</w:t>
      </w:r>
      <w:r w:rsidRPr="000E6594">
        <w:rPr>
          <w:rFonts w:eastAsia="Times New Roman" w:cs="Calibri"/>
          <w:color w:val="000000"/>
          <w:sz w:val="24"/>
          <w:szCs w:val="24"/>
          <w:lang w:eastAsia="es-ES"/>
        </w:rPr>
        <w:t xml:space="preserve"> </w:t>
      </w:r>
      <w:r w:rsidR="005C26EB" w:rsidRPr="000E6594">
        <w:rPr>
          <w:rFonts w:eastAsia="Times New Roman" w:cs="Calibri"/>
          <w:color w:val="000000"/>
          <w:sz w:val="24"/>
          <w:szCs w:val="24"/>
          <w:lang w:eastAsia="es-ES"/>
        </w:rPr>
        <w:t xml:space="preserve">es la </w:t>
      </w:r>
      <w:r w:rsidR="00AF4A89" w:rsidRPr="000E6594">
        <w:rPr>
          <w:rFonts w:eastAsia="Times New Roman" w:cs="Calibri"/>
          <w:color w:val="000000"/>
          <w:sz w:val="24"/>
          <w:szCs w:val="24"/>
          <w:lang w:eastAsia="es-ES"/>
        </w:rPr>
        <w:t>participación</w:t>
      </w:r>
      <w:r w:rsidR="00481709" w:rsidRPr="000E6594">
        <w:rPr>
          <w:rFonts w:eastAsia="Times New Roman" w:cs="Calibri"/>
          <w:color w:val="000000"/>
          <w:sz w:val="24"/>
          <w:szCs w:val="24"/>
          <w:lang w:eastAsia="es-ES"/>
        </w:rPr>
        <w:t xml:space="preserve"> bidireccional de los usuarios, quienes </w:t>
      </w:r>
      <w:r w:rsidR="005C26EB" w:rsidRPr="000E6594">
        <w:rPr>
          <w:rFonts w:eastAsia="Times New Roman" w:cs="Calibri"/>
          <w:color w:val="000000"/>
          <w:sz w:val="24"/>
          <w:szCs w:val="24"/>
          <w:lang w:eastAsia="es-ES"/>
        </w:rPr>
        <w:t xml:space="preserve">no se limitan a </w:t>
      </w:r>
      <w:r w:rsidR="00481709" w:rsidRPr="000E6594">
        <w:rPr>
          <w:rFonts w:eastAsia="Times New Roman" w:cs="Calibri"/>
          <w:color w:val="000000"/>
          <w:sz w:val="24"/>
          <w:szCs w:val="24"/>
          <w:lang w:eastAsia="es-ES"/>
        </w:rPr>
        <w:t>consu</w:t>
      </w:r>
      <w:r w:rsidR="005C26EB" w:rsidRPr="000E6594">
        <w:rPr>
          <w:rFonts w:eastAsia="Times New Roman" w:cs="Calibri"/>
          <w:color w:val="000000"/>
          <w:sz w:val="24"/>
          <w:szCs w:val="24"/>
          <w:lang w:eastAsia="es-ES"/>
        </w:rPr>
        <w:t>mir</w:t>
      </w:r>
      <w:r w:rsidR="00481709" w:rsidRPr="000E6594">
        <w:rPr>
          <w:rFonts w:eastAsia="Times New Roman" w:cs="Calibri"/>
          <w:color w:val="000000"/>
          <w:sz w:val="24"/>
          <w:szCs w:val="24"/>
          <w:lang w:eastAsia="es-ES"/>
        </w:rPr>
        <w:t xml:space="preserve"> </w:t>
      </w:r>
      <w:r w:rsidR="005C26EB" w:rsidRPr="000E6594">
        <w:rPr>
          <w:rFonts w:eastAsia="Times New Roman" w:cs="Calibri"/>
          <w:color w:val="000000"/>
          <w:sz w:val="24"/>
          <w:szCs w:val="24"/>
          <w:lang w:eastAsia="es-ES"/>
        </w:rPr>
        <w:t xml:space="preserve">información, sino también </w:t>
      </w:r>
      <w:r w:rsidR="00481709" w:rsidRPr="000E6594">
        <w:rPr>
          <w:rFonts w:eastAsia="Times New Roman" w:cs="Calibri"/>
          <w:color w:val="000000"/>
          <w:sz w:val="24"/>
          <w:szCs w:val="24"/>
          <w:lang w:eastAsia="es-ES"/>
        </w:rPr>
        <w:t>lo generan y distribuyen</w:t>
      </w:r>
      <w:r w:rsidRPr="000E6594">
        <w:rPr>
          <w:rFonts w:eastAsia="Times New Roman" w:cs="Calibri"/>
          <w:color w:val="000000"/>
          <w:sz w:val="24"/>
          <w:szCs w:val="24"/>
          <w:lang w:eastAsia="es-ES"/>
        </w:rPr>
        <w:t>. De esta manera, se</w:t>
      </w:r>
      <w:r w:rsidR="00481709"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 xml:space="preserve">producen cambios significativos </w:t>
      </w:r>
      <w:r w:rsidR="005C26EB" w:rsidRPr="000E6594">
        <w:rPr>
          <w:rFonts w:eastAsia="Times New Roman" w:cs="Calibri"/>
          <w:color w:val="000000"/>
          <w:sz w:val="24"/>
          <w:szCs w:val="24"/>
          <w:lang w:eastAsia="es-ES"/>
        </w:rPr>
        <w:t>en la forma en la que la sociedad contemporánea elabora y comparte significados</w:t>
      </w:r>
      <w:r w:rsidR="00481709" w:rsidRPr="000E6594">
        <w:rPr>
          <w:rFonts w:eastAsia="Times New Roman" w:cs="Calibri"/>
          <w:color w:val="000000"/>
          <w:sz w:val="24"/>
          <w:szCs w:val="24"/>
          <w:lang w:eastAsia="es-ES"/>
        </w:rPr>
        <w:t xml:space="preserve"> (Palazuelos Rojo, 2022).</w:t>
      </w:r>
    </w:p>
    <w:p w14:paraId="2F7F7EAB" w14:textId="5D7F3DB5" w:rsidR="00481709" w:rsidRPr="000E6594" w:rsidRDefault="003E4BF0"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Los</w:t>
      </w:r>
      <w:r w:rsidR="00481709" w:rsidRPr="000E6594">
        <w:rPr>
          <w:rFonts w:eastAsia="Times New Roman" w:cs="Calibri"/>
          <w:color w:val="000000"/>
          <w:sz w:val="24"/>
          <w:szCs w:val="24"/>
          <w:lang w:eastAsia="es-ES"/>
        </w:rPr>
        <w:t xml:space="preserve"> medios </w:t>
      </w:r>
      <w:r w:rsidRPr="000E6594">
        <w:rPr>
          <w:rFonts w:eastAsia="Times New Roman" w:cs="Calibri"/>
          <w:color w:val="000000"/>
          <w:sz w:val="24"/>
          <w:szCs w:val="24"/>
          <w:lang w:eastAsia="es-ES"/>
        </w:rPr>
        <w:t xml:space="preserve">participan </w:t>
      </w:r>
      <w:r w:rsidR="00481709" w:rsidRPr="000E6594">
        <w:rPr>
          <w:rFonts w:eastAsia="Times New Roman" w:cs="Calibri"/>
          <w:color w:val="000000"/>
          <w:sz w:val="24"/>
          <w:szCs w:val="24"/>
          <w:lang w:eastAsia="es-ES"/>
        </w:rPr>
        <w:t>en la construcción de significados sociales</w:t>
      </w:r>
      <w:r w:rsidRPr="000E6594">
        <w:rPr>
          <w:rFonts w:eastAsia="Times New Roman" w:cs="Calibri"/>
          <w:color w:val="000000"/>
          <w:sz w:val="24"/>
          <w:szCs w:val="24"/>
          <w:lang w:eastAsia="es-ES"/>
        </w:rPr>
        <w:t xml:space="preserve"> a través</w:t>
      </w:r>
      <w:r w:rsidR="00481709"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d</w:t>
      </w:r>
      <w:r w:rsidR="00481709" w:rsidRPr="000E6594">
        <w:rPr>
          <w:rFonts w:eastAsia="Times New Roman" w:cs="Calibri"/>
          <w:color w:val="000000"/>
          <w:sz w:val="24"/>
          <w:szCs w:val="24"/>
          <w:lang w:eastAsia="es-ES"/>
        </w:rPr>
        <w:t xml:space="preserve">el interaccionismo. Esta corriente microsociológica, desarrollada principalmente desde la Escuela de Chicago y consolidada por autores como George Herbert Mead, Herbert Blumer y Erving Goffman, sostiene que las personas actúan sobre su entorno y se relacionan con otras a partir de los significados que atribuyen a los objetos, las situaciones y las personas (Gadea, 2018). Dichos significados no son innatos ni fijos, sino que </w:t>
      </w:r>
      <w:r w:rsidR="00704510" w:rsidRPr="000E6594">
        <w:rPr>
          <w:rFonts w:eastAsia="Times New Roman" w:cs="Calibri"/>
          <w:color w:val="000000"/>
          <w:sz w:val="24"/>
          <w:szCs w:val="24"/>
          <w:lang w:eastAsia="es-ES"/>
        </w:rPr>
        <w:t>nacen</w:t>
      </w:r>
      <w:r w:rsidR="00481709" w:rsidRPr="000E6594">
        <w:rPr>
          <w:rFonts w:eastAsia="Times New Roman" w:cs="Calibri"/>
          <w:color w:val="000000"/>
          <w:sz w:val="24"/>
          <w:szCs w:val="24"/>
          <w:lang w:eastAsia="es-ES"/>
        </w:rPr>
        <w:t xml:space="preserve"> y </w:t>
      </w:r>
      <w:r w:rsidR="00704510" w:rsidRPr="000E6594">
        <w:rPr>
          <w:rFonts w:eastAsia="Times New Roman" w:cs="Calibri"/>
          <w:color w:val="000000"/>
          <w:sz w:val="24"/>
          <w:szCs w:val="24"/>
          <w:lang w:eastAsia="es-ES"/>
        </w:rPr>
        <w:t xml:space="preserve">evolucionan </w:t>
      </w:r>
      <w:r w:rsidR="00481709" w:rsidRPr="000E6594">
        <w:rPr>
          <w:rFonts w:eastAsia="Times New Roman" w:cs="Calibri"/>
          <w:color w:val="000000"/>
          <w:sz w:val="24"/>
          <w:szCs w:val="24"/>
          <w:lang w:eastAsia="es-ES"/>
        </w:rPr>
        <w:t xml:space="preserve">en el curso de la interacción social. Blumer, </w:t>
      </w:r>
      <w:r w:rsidR="00704510" w:rsidRPr="000E6594">
        <w:rPr>
          <w:rFonts w:eastAsia="Times New Roman" w:cs="Calibri"/>
          <w:color w:val="000000"/>
          <w:sz w:val="24"/>
          <w:szCs w:val="24"/>
          <w:lang w:eastAsia="es-ES"/>
        </w:rPr>
        <w:t xml:space="preserve">quien introdujo el concepto en </w:t>
      </w:r>
      <w:r w:rsidR="00481709" w:rsidRPr="000E6594">
        <w:rPr>
          <w:rFonts w:eastAsia="Times New Roman" w:cs="Calibri"/>
          <w:color w:val="000000"/>
          <w:sz w:val="24"/>
          <w:szCs w:val="24"/>
          <w:lang w:eastAsia="es-ES"/>
        </w:rPr>
        <w:t xml:space="preserve">1938, </w:t>
      </w:r>
      <w:r w:rsidR="00704510" w:rsidRPr="000E6594">
        <w:rPr>
          <w:rFonts w:eastAsia="Times New Roman" w:cs="Calibri"/>
          <w:color w:val="000000"/>
          <w:sz w:val="24"/>
          <w:szCs w:val="24"/>
          <w:lang w:eastAsia="es-ES"/>
        </w:rPr>
        <w:t>formuló las</w:t>
      </w:r>
      <w:r w:rsidR="00481709" w:rsidRPr="000E6594">
        <w:rPr>
          <w:rFonts w:eastAsia="Times New Roman" w:cs="Calibri"/>
          <w:color w:val="000000"/>
          <w:sz w:val="24"/>
          <w:szCs w:val="24"/>
          <w:lang w:eastAsia="es-ES"/>
        </w:rPr>
        <w:t xml:space="preserve"> tres premisas fundamentales de esta perspectiva: que las personas actúan en función de los significados que las cosas tienen para ellas, que estos significados son producto de la interacción social, y que son constantemente reinterpretados y modificados a través de los procesos de comunicación (Gadea, 2018).</w:t>
      </w:r>
    </w:p>
    <w:p w14:paraId="492B2DFA" w14:textId="44010ED3" w:rsidR="00481709" w:rsidRPr="000E6594" w:rsidRDefault="00704510"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Dentro de este marco teórico, la construcción simbólica hace referencia </w:t>
      </w:r>
      <w:r w:rsidR="00481709" w:rsidRPr="000E6594">
        <w:rPr>
          <w:rFonts w:eastAsia="Times New Roman" w:cs="Calibri"/>
          <w:color w:val="000000"/>
          <w:sz w:val="24"/>
          <w:szCs w:val="24"/>
          <w:lang w:eastAsia="es-ES"/>
        </w:rPr>
        <w:t xml:space="preserve">al proceso mediante el cual los individuos y los grupos sociales producen, comparten e interiorizan representaciones y significados sobre la realidad. </w:t>
      </w:r>
      <w:r w:rsidR="00AF4A89" w:rsidRPr="000E6594">
        <w:rPr>
          <w:rFonts w:eastAsia="Times New Roman" w:cs="Calibri"/>
          <w:color w:val="000000"/>
          <w:sz w:val="24"/>
          <w:szCs w:val="24"/>
          <w:lang w:eastAsia="es-ES"/>
        </w:rPr>
        <w:t xml:space="preserve">Se trata </w:t>
      </w:r>
      <w:r w:rsidR="00481709" w:rsidRPr="000E6594">
        <w:rPr>
          <w:rFonts w:eastAsia="Times New Roman" w:cs="Calibri"/>
          <w:color w:val="000000"/>
          <w:sz w:val="24"/>
          <w:szCs w:val="24"/>
          <w:lang w:eastAsia="es-ES"/>
        </w:rPr>
        <w:t xml:space="preserve">de una elaboración activa y culturalmente situada que tiene consecuencias directas sobre cómo se percibe y se valora lo que ocurre en la sociedad. Esta construcción </w:t>
      </w:r>
      <w:r w:rsidR="00AF4A89" w:rsidRPr="000E6594">
        <w:rPr>
          <w:rFonts w:eastAsia="Times New Roman" w:cs="Calibri"/>
          <w:color w:val="000000"/>
          <w:sz w:val="24"/>
          <w:szCs w:val="24"/>
          <w:lang w:eastAsia="es-ES"/>
        </w:rPr>
        <w:t>no</w:t>
      </w:r>
      <w:r w:rsidR="00481709" w:rsidRPr="000E6594">
        <w:rPr>
          <w:rFonts w:eastAsia="Times New Roman" w:cs="Calibri"/>
          <w:color w:val="000000"/>
          <w:sz w:val="24"/>
          <w:szCs w:val="24"/>
          <w:lang w:eastAsia="es-ES"/>
        </w:rPr>
        <w:t xml:space="preserve"> es </w:t>
      </w:r>
      <w:r w:rsidRPr="000E6594">
        <w:rPr>
          <w:rFonts w:eastAsia="Times New Roman" w:cs="Calibri"/>
          <w:color w:val="000000"/>
          <w:sz w:val="24"/>
          <w:szCs w:val="24"/>
          <w:lang w:eastAsia="es-ES"/>
        </w:rPr>
        <w:t>independiente</w:t>
      </w:r>
      <w:r w:rsidR="00481709"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 xml:space="preserve">de </w:t>
      </w:r>
      <w:r w:rsidR="00481709" w:rsidRPr="000E6594">
        <w:rPr>
          <w:rFonts w:eastAsia="Times New Roman" w:cs="Calibri"/>
          <w:color w:val="000000"/>
          <w:sz w:val="24"/>
          <w:szCs w:val="24"/>
          <w:lang w:eastAsia="es-ES"/>
        </w:rPr>
        <w:t xml:space="preserve">las relaciones de poder; </w:t>
      </w:r>
      <w:r w:rsidR="00AF4A89" w:rsidRPr="000E6594">
        <w:rPr>
          <w:rFonts w:eastAsia="Times New Roman" w:cs="Calibri"/>
          <w:color w:val="000000"/>
          <w:sz w:val="24"/>
          <w:szCs w:val="24"/>
          <w:lang w:eastAsia="es-ES"/>
        </w:rPr>
        <w:t xml:space="preserve">al </w:t>
      </w:r>
      <w:r w:rsidR="00481709" w:rsidRPr="000E6594">
        <w:rPr>
          <w:rFonts w:eastAsia="Times New Roman" w:cs="Calibri"/>
          <w:color w:val="000000"/>
          <w:sz w:val="24"/>
          <w:szCs w:val="24"/>
          <w:lang w:eastAsia="es-ES"/>
        </w:rPr>
        <w:t xml:space="preserve">contrario, los significados que circulan socialmente tienden a reproducir o a cuestionar los órdenes simbólicos dominantes, </w:t>
      </w:r>
      <w:r w:rsidRPr="000E6594">
        <w:rPr>
          <w:rFonts w:eastAsia="Times New Roman" w:cs="Calibri"/>
          <w:color w:val="000000"/>
          <w:sz w:val="24"/>
          <w:szCs w:val="24"/>
          <w:lang w:eastAsia="es-ES"/>
        </w:rPr>
        <w:t xml:space="preserve">entre los que se encuentran los relativos </w:t>
      </w:r>
      <w:r w:rsidR="00481709" w:rsidRPr="000E6594">
        <w:rPr>
          <w:rFonts w:eastAsia="Times New Roman" w:cs="Calibri"/>
          <w:color w:val="000000"/>
          <w:sz w:val="24"/>
          <w:szCs w:val="24"/>
          <w:lang w:eastAsia="es-ES"/>
        </w:rPr>
        <w:t>al género, la sexualidad y la victimización (Gadea, 2018).</w:t>
      </w:r>
    </w:p>
    <w:p w14:paraId="188FB114" w14:textId="06C8B3FD" w:rsidR="00481709" w:rsidRPr="000E6594" w:rsidRDefault="00481709"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En este sentido, los medios digitales se han convertido en uno de los escenarios más relevantes para la construcción simbólica en la actualidad. La masificación de los dispositivos conectados ha multiplicado el número de personas que participan en la producción de narrativas mediáticas, rompiendo </w:t>
      </w:r>
      <w:r w:rsidR="00704510" w:rsidRPr="000E6594">
        <w:rPr>
          <w:rFonts w:eastAsia="Times New Roman" w:cs="Calibri"/>
          <w:color w:val="000000"/>
          <w:sz w:val="24"/>
          <w:szCs w:val="24"/>
          <w:lang w:eastAsia="es-ES"/>
        </w:rPr>
        <w:t xml:space="preserve">así el control que durante décadas ejercieron de manera casi exclusiva los grandes conglomerados de comunicación </w:t>
      </w:r>
      <w:r w:rsidRPr="000E6594">
        <w:rPr>
          <w:rFonts w:eastAsia="Times New Roman" w:cs="Calibri"/>
          <w:color w:val="000000"/>
          <w:sz w:val="24"/>
          <w:szCs w:val="24"/>
          <w:lang w:eastAsia="es-ES"/>
        </w:rPr>
        <w:lastRenderedPageBreak/>
        <w:t>(Palazuelos Rojo, 2022). Sin embargo, esta democratización de la producción simbólica no ha eliminado la reproducción de estereotipos y jerarquías de género. Ejea Mendoza y Martínez Romero (2022) demuestran que plataformas como Instagram perpetúan pautas visuales que reafirman el rol de la mujer como objeto sexualizado en el ámbito público</w:t>
      </w:r>
      <w:r w:rsidR="00AF4A89" w:rsidRPr="000E6594">
        <w:rPr>
          <w:rFonts w:eastAsia="Times New Roman" w:cs="Calibri"/>
          <w:color w:val="000000"/>
          <w:sz w:val="24"/>
          <w:szCs w:val="24"/>
          <w:lang w:eastAsia="es-ES"/>
        </w:rPr>
        <w:t xml:space="preserve">. Esta es la prueba final de </w:t>
      </w:r>
      <w:r w:rsidRPr="000E6594">
        <w:rPr>
          <w:rFonts w:eastAsia="Times New Roman" w:cs="Calibri"/>
          <w:color w:val="000000"/>
          <w:sz w:val="24"/>
          <w:szCs w:val="24"/>
          <w:lang w:eastAsia="es-ES"/>
        </w:rPr>
        <w:t xml:space="preserve">que los medios digitales son también </w:t>
      </w:r>
      <w:r w:rsidR="00704510" w:rsidRPr="000E6594">
        <w:rPr>
          <w:rFonts w:eastAsia="Times New Roman" w:cs="Calibri"/>
          <w:color w:val="000000"/>
          <w:sz w:val="24"/>
          <w:szCs w:val="24"/>
          <w:lang w:eastAsia="es-ES"/>
        </w:rPr>
        <w:t>canales de transmisión</w:t>
      </w:r>
      <w:r w:rsidRPr="000E6594">
        <w:rPr>
          <w:rFonts w:eastAsia="Times New Roman" w:cs="Calibri"/>
          <w:color w:val="000000"/>
          <w:sz w:val="24"/>
          <w:szCs w:val="24"/>
          <w:lang w:eastAsia="es-ES"/>
        </w:rPr>
        <w:t xml:space="preserve"> de violencia simbólica. En línea con esto, diversas investigaciones señalan que a través de estos espacios se reproducen estereotipos de género y se naturalizan formas de violencia que, </w:t>
      </w:r>
      <w:r w:rsidR="00704510" w:rsidRPr="000E6594">
        <w:rPr>
          <w:rFonts w:eastAsia="Times New Roman" w:cs="Calibri"/>
          <w:color w:val="000000"/>
          <w:sz w:val="24"/>
          <w:szCs w:val="24"/>
          <w:lang w:eastAsia="es-ES"/>
        </w:rPr>
        <w:t>al no ser reconocidas como tales</w:t>
      </w:r>
      <w:r w:rsidRPr="000E6594">
        <w:rPr>
          <w:rFonts w:eastAsia="Times New Roman" w:cs="Calibri"/>
          <w:color w:val="000000"/>
          <w:sz w:val="24"/>
          <w:szCs w:val="24"/>
          <w:lang w:eastAsia="es-ES"/>
        </w:rPr>
        <w:t>, son asumidas como parte de la cultura cotidiana (Flores y Browne, 2017, como se citó en Serrano y Serrano, 2014, como se citó en Castañeda et al., 2023).</w:t>
      </w:r>
    </w:p>
    <w:p w14:paraId="1E173C4B" w14:textId="17FC66F9" w:rsidR="00481709" w:rsidRPr="000E6594" w:rsidRDefault="00A1342D" w:rsidP="000E6594">
      <w:pPr>
        <w:tabs>
          <w:tab w:val="left" w:pos="2147"/>
        </w:tabs>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Como ejemplo del interaccionismo simbólico en los medios digitales, Hernández (2019) analizó los comentarios de Facebook en respuesta a una noticia sobre una violación sexual ocurrida en una discoteca de Lima, identificando tres patrones principales en el discurso de los usuarios.</w:t>
      </w:r>
    </w:p>
    <w:p w14:paraId="7027AB90" w14:textId="333F3B8F" w:rsidR="00571B0C" w:rsidRPr="000E6594" w:rsidRDefault="00571B0C"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El primero fue la atribución de responsabilidad a la víctima, materializada a través de comentarios que la culpabilizaban por consumir alcohol, por acudir sola al local o por bailar de forma considerada sexualmente provocativa, </w:t>
      </w:r>
      <w:r w:rsidR="00AF4A89" w:rsidRPr="000E6594">
        <w:rPr>
          <w:rFonts w:eastAsia="Times New Roman" w:cs="Calibri"/>
          <w:color w:val="000000"/>
          <w:sz w:val="24"/>
          <w:szCs w:val="24"/>
          <w:lang w:eastAsia="es-ES"/>
        </w:rPr>
        <w:t>aunque</w:t>
      </w:r>
      <w:r w:rsidRPr="000E6594">
        <w:rPr>
          <w:rFonts w:eastAsia="Times New Roman" w:cs="Calibri"/>
          <w:color w:val="000000"/>
          <w:sz w:val="24"/>
          <w:szCs w:val="24"/>
          <w:lang w:eastAsia="es-ES"/>
        </w:rPr>
        <w:t xml:space="preserve"> ninguno de estos hechos estaba explicitado en la noticia original. Expresiones como «Si una va sola a lugares como ese se arriesga a que le pase algo así» reflejan cómo los usuarios completaron los vacíos informativos recurriendo a estereotipos de género arraigados, que asocian determinadas conductas femeninas con la </w:t>
      </w:r>
      <w:r w:rsidR="00AF4A89" w:rsidRPr="000E6594">
        <w:rPr>
          <w:rFonts w:eastAsia="Times New Roman" w:cs="Calibri"/>
          <w:color w:val="000000"/>
          <w:sz w:val="24"/>
          <w:szCs w:val="24"/>
          <w:lang w:eastAsia="es-ES"/>
        </w:rPr>
        <w:t>idea de que se merecen la violencia.</w:t>
      </w:r>
    </w:p>
    <w:p w14:paraId="3CEDB3F7" w14:textId="7669BE7A" w:rsidR="00571B0C" w:rsidRPr="000E6594" w:rsidRDefault="00571B0C"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El segundo patrón fue la legitimación de la conducta del agresor, sustentada en la creencia de que los hombres poseen impulsos sexuales difícilmente controlables, que se </w:t>
      </w:r>
      <w:r w:rsidR="00AF4A89" w:rsidRPr="000E6594">
        <w:rPr>
          <w:rFonts w:eastAsia="Times New Roman" w:cs="Calibri"/>
          <w:color w:val="000000"/>
          <w:sz w:val="24"/>
          <w:szCs w:val="24"/>
          <w:lang w:eastAsia="es-ES"/>
        </w:rPr>
        <w:t>ven</w:t>
      </w:r>
      <w:r w:rsidRPr="000E6594">
        <w:rPr>
          <w:rFonts w:eastAsia="Times New Roman" w:cs="Calibri"/>
          <w:color w:val="000000"/>
          <w:sz w:val="24"/>
          <w:szCs w:val="24"/>
          <w:lang w:eastAsia="es-ES"/>
        </w:rPr>
        <w:t xml:space="preserve"> desinhibidos por el consumo de alcohol o por el comportamiento de la mujer. Comentarios como «De repente este era un pobre arrecho borracho que ya no pudo contenerse» </w:t>
      </w:r>
      <w:r w:rsidR="00AF4A89" w:rsidRPr="000E6594">
        <w:rPr>
          <w:rFonts w:eastAsia="Times New Roman" w:cs="Calibri"/>
          <w:color w:val="000000"/>
          <w:sz w:val="24"/>
          <w:szCs w:val="24"/>
          <w:lang w:eastAsia="es-ES"/>
        </w:rPr>
        <w:t>muestran</w:t>
      </w:r>
      <w:r w:rsidRPr="000E6594">
        <w:rPr>
          <w:rFonts w:eastAsia="Times New Roman" w:cs="Calibri"/>
          <w:color w:val="000000"/>
          <w:sz w:val="24"/>
          <w:szCs w:val="24"/>
          <w:lang w:eastAsia="es-ES"/>
        </w:rPr>
        <w:t xml:space="preserve"> cómo se </w:t>
      </w:r>
      <w:r w:rsidR="00AF4A89" w:rsidRPr="000E6594">
        <w:rPr>
          <w:rFonts w:eastAsia="Times New Roman" w:cs="Calibri"/>
          <w:color w:val="000000"/>
          <w:sz w:val="24"/>
          <w:szCs w:val="24"/>
          <w:lang w:eastAsia="es-ES"/>
        </w:rPr>
        <w:t>reemplaza</w:t>
      </w:r>
      <w:r w:rsidRPr="000E6594">
        <w:rPr>
          <w:rFonts w:eastAsia="Times New Roman" w:cs="Calibri"/>
          <w:color w:val="000000"/>
          <w:sz w:val="24"/>
          <w:szCs w:val="24"/>
          <w:lang w:eastAsia="es-ES"/>
        </w:rPr>
        <w:t xml:space="preserve"> la responsabilidad del acto al entorno y a la propia víctima.</w:t>
      </w:r>
    </w:p>
    <w:p w14:paraId="7104871A" w14:textId="4B0AF186" w:rsidR="00647E00" w:rsidRPr="000E6594" w:rsidRDefault="00571B0C"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El tercer patrón fue la </w:t>
      </w:r>
      <w:proofErr w:type="spellStart"/>
      <w:r w:rsidRPr="000E6594">
        <w:rPr>
          <w:rFonts w:eastAsia="Times New Roman" w:cs="Calibri"/>
          <w:color w:val="000000"/>
          <w:sz w:val="24"/>
          <w:szCs w:val="24"/>
          <w:lang w:eastAsia="es-ES"/>
        </w:rPr>
        <w:t>invisibilización</w:t>
      </w:r>
      <w:proofErr w:type="spellEnd"/>
      <w:r w:rsidRPr="000E6594">
        <w:rPr>
          <w:rFonts w:eastAsia="Times New Roman" w:cs="Calibri"/>
          <w:color w:val="000000"/>
          <w:sz w:val="24"/>
          <w:szCs w:val="24"/>
          <w:lang w:eastAsia="es-ES"/>
        </w:rPr>
        <w:t xml:space="preserve"> de la violencia, a través de comentarios que negaban la existencia de la agresión bajo el supuesto de que víctima y agresor pudieran mantener una relación sentimental o de que la situación respondiera a preferencias consensuadas. Expresiones como «Y qué pasa si son enamorados y eso es lo que les </w:t>
      </w:r>
      <w:r w:rsidRPr="000E6594">
        <w:rPr>
          <w:rFonts w:eastAsia="Times New Roman" w:cs="Calibri"/>
          <w:color w:val="000000"/>
          <w:sz w:val="24"/>
          <w:szCs w:val="24"/>
          <w:lang w:eastAsia="es-ES"/>
        </w:rPr>
        <w:lastRenderedPageBreak/>
        <w:t>gusta» reproducen el mito de que la violencia sexual no puede tener lugar dentro de una pareja (Hernández, 2019).</w:t>
      </w:r>
    </w:p>
    <w:p w14:paraId="20200591" w14:textId="4FD5E99B" w:rsidR="00577893" w:rsidRPr="005726B7" w:rsidRDefault="009A7BAE" w:rsidP="005726B7">
      <w:pPr>
        <w:pStyle w:val="Ttulo3"/>
        <w:spacing w:line="360" w:lineRule="auto"/>
        <w:rPr>
          <w:rFonts w:asciiTheme="minorHAnsi" w:eastAsia="Times New Roman" w:hAnsiTheme="minorHAnsi" w:cstheme="minorHAnsi"/>
          <w:b/>
          <w:color w:val="auto"/>
          <w:lang w:eastAsia="es-ES"/>
        </w:rPr>
      </w:pPr>
      <w:bookmarkStart w:id="21" w:name="_Toc224333149"/>
      <w:r w:rsidRPr="005726B7">
        <w:rPr>
          <w:rFonts w:asciiTheme="minorHAnsi" w:eastAsia="Times New Roman" w:hAnsiTheme="minorHAnsi" w:cstheme="minorHAnsi"/>
          <w:b/>
          <w:color w:val="auto"/>
          <w:lang w:eastAsia="es-ES"/>
        </w:rPr>
        <w:t xml:space="preserve">3.2.4 </w:t>
      </w:r>
      <w:r w:rsidR="00FA59F3" w:rsidRPr="005726B7">
        <w:rPr>
          <w:rFonts w:asciiTheme="minorHAnsi" w:eastAsia="Times New Roman" w:hAnsiTheme="minorHAnsi" w:cstheme="minorHAnsi"/>
          <w:b/>
          <w:color w:val="auto"/>
          <w:lang w:eastAsia="es-ES"/>
        </w:rPr>
        <w:t>V</w:t>
      </w:r>
      <w:r w:rsidR="00577893" w:rsidRPr="005726B7">
        <w:rPr>
          <w:rFonts w:asciiTheme="minorHAnsi" w:eastAsia="Times New Roman" w:hAnsiTheme="minorHAnsi" w:cstheme="minorHAnsi"/>
          <w:b/>
          <w:color w:val="auto"/>
          <w:lang w:eastAsia="es-ES"/>
        </w:rPr>
        <w:t>ictimización secundaria en casos de agresión sexual en entornos digitales.</w:t>
      </w:r>
      <w:bookmarkEnd w:id="21"/>
      <w:r w:rsidR="00577893" w:rsidRPr="005726B7">
        <w:rPr>
          <w:rFonts w:asciiTheme="minorHAnsi" w:eastAsia="Times New Roman" w:hAnsiTheme="minorHAnsi" w:cstheme="minorHAnsi"/>
          <w:b/>
          <w:color w:val="auto"/>
          <w:lang w:eastAsia="es-ES"/>
        </w:rPr>
        <w:t xml:space="preserve"> </w:t>
      </w:r>
    </w:p>
    <w:p w14:paraId="3F912147" w14:textId="17B7D2A7" w:rsidR="00647E00" w:rsidRPr="000E6594" w:rsidRDefault="009A7BAE" w:rsidP="005726B7">
      <w:pPr>
        <w:shd w:val="clear" w:color="auto" w:fill="FFFFFF"/>
        <w:spacing w:after="100" w:line="360" w:lineRule="auto"/>
        <w:ind w:firstLine="340"/>
        <w:jc w:val="both"/>
        <w:textAlignment w:val="baseline"/>
        <w:rPr>
          <w:rFonts w:cs="Calibri"/>
        </w:rPr>
      </w:pPr>
      <w:r w:rsidRPr="005726B7">
        <w:rPr>
          <w:rFonts w:asciiTheme="minorHAnsi" w:eastAsia="Times New Roman" w:hAnsiTheme="minorHAnsi" w:cstheme="minorHAnsi"/>
          <w:sz w:val="24"/>
          <w:szCs w:val="24"/>
          <w:lang w:eastAsia="es-ES"/>
        </w:rPr>
        <w:t xml:space="preserve">Castro-Mata (2024) argumenta que la exposición mediática digital constituye una forma de exclusión, una violación de los derechos humanos de las víctimas y refleja los sesgos, estereotipos </w:t>
      </w:r>
      <w:r w:rsidRPr="000E6594">
        <w:rPr>
          <w:rFonts w:eastAsia="Times New Roman" w:cs="Calibri"/>
          <w:color w:val="000000"/>
          <w:sz w:val="24"/>
          <w:szCs w:val="24"/>
          <w:lang w:eastAsia="es-ES"/>
        </w:rPr>
        <w:t xml:space="preserve">y estigma social que fomentan los canales de comunicación digitales. Se posiciona a la víctima en el blanco de contenido viral y debates, convirtiéndose en una doble víctima: de violación sexual por su agresor, y de violación de sus derechos, por la sociedad. En consecuencia, la víctima se ve sometida a un escrutinio constante, ya que la viralización del hecho provoca su repetición continua, mantiene o incrementa los comentarios dañinos y favorece la aparición de nuevas formas de victimización, como el acoso digital </w:t>
      </w:r>
      <w:r w:rsidR="00FA59F3" w:rsidRPr="000E6594">
        <w:rPr>
          <w:rFonts w:eastAsia="Times New Roman" w:cs="Calibri"/>
          <w:color w:val="000000"/>
          <w:sz w:val="24"/>
          <w:szCs w:val="24"/>
          <w:lang w:eastAsia="es-ES"/>
        </w:rPr>
        <w:t xml:space="preserve">(Serra Cristóbal, 2010,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FA59F3" w:rsidRPr="000E6594">
        <w:rPr>
          <w:rFonts w:eastAsia="Times New Roman" w:cs="Calibri"/>
          <w:color w:val="000000"/>
          <w:sz w:val="24"/>
          <w:szCs w:val="24"/>
          <w:lang w:eastAsia="es-ES"/>
        </w:rPr>
        <w:t xml:space="preserve">Castro-Mata, 2024). </w:t>
      </w:r>
      <w:r w:rsidRPr="000E6594">
        <w:rPr>
          <w:rFonts w:eastAsia="Times New Roman" w:cs="Calibri"/>
          <w:color w:val="000000" w:themeColor="text1"/>
          <w:sz w:val="24"/>
          <w:szCs w:val="24"/>
          <w:lang w:eastAsia="es-ES"/>
        </w:rPr>
        <w:t>Asimismo, entra en un estado total de indefensión, desencadenando sentimientos de culpabilidad, temor y un cambio en sus creencias personales </w:t>
      </w:r>
      <w:r w:rsidR="000F4636" w:rsidRPr="000E6594">
        <w:rPr>
          <w:rFonts w:eastAsia="Times New Roman" w:cs="Calibri"/>
          <w:color w:val="000000" w:themeColor="text1"/>
          <w:sz w:val="24"/>
          <w:szCs w:val="24"/>
          <w:lang w:eastAsia="es-ES"/>
        </w:rPr>
        <w:t>(Prihadi et al., 2019</w:t>
      </w:r>
      <w:r w:rsidRPr="000E6594">
        <w:rPr>
          <w:rFonts w:eastAsia="Times New Roman" w:cs="Calibri"/>
          <w:color w:val="000000" w:themeColor="text1"/>
          <w:sz w:val="24"/>
          <w:szCs w:val="24"/>
          <w:lang w:eastAsia="es-ES"/>
        </w:rPr>
        <w:t>)</w:t>
      </w:r>
      <w:r w:rsidR="000F4636" w:rsidRPr="000E6594">
        <w:rPr>
          <w:rFonts w:eastAsia="Times New Roman" w:cs="Calibri"/>
          <w:color w:val="000000" w:themeColor="text1"/>
          <w:sz w:val="24"/>
          <w:szCs w:val="24"/>
          <w:lang w:eastAsia="es-ES"/>
        </w:rPr>
        <w:t>.</w:t>
      </w:r>
    </w:p>
    <w:p w14:paraId="3DB6686D" w14:textId="5A30DCA1"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Asimismo, las víctimas de violencia sexual son más propensas a sufrir abusos en sus derechos de la personalidad si el tratamiento de la noticia por parte de los medios de comunicación no es completamente profesional (Serra Cristóbal, 2010</w:t>
      </w:r>
      <w:r w:rsidR="00FA59F3" w:rsidRPr="000E6594">
        <w:rPr>
          <w:rFonts w:eastAsia="Times New Roman" w:cs="Calibri"/>
          <w:color w:val="000000"/>
          <w:sz w:val="24"/>
          <w:szCs w:val="24"/>
          <w:lang w:eastAsia="es-ES"/>
        </w:rPr>
        <w:t xml:space="preserve">,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FA59F3" w:rsidRPr="000E6594">
        <w:rPr>
          <w:rFonts w:eastAsia="Times New Roman" w:cs="Calibri"/>
          <w:color w:val="000000"/>
          <w:sz w:val="24"/>
          <w:szCs w:val="24"/>
          <w:lang w:eastAsia="es-ES"/>
        </w:rPr>
        <w:t>Castro-Mata, 2024</w:t>
      </w:r>
      <w:r w:rsidRPr="000E6594">
        <w:rPr>
          <w:rFonts w:eastAsia="Times New Roman" w:cs="Calibri"/>
          <w:color w:val="000000"/>
          <w:sz w:val="24"/>
          <w:szCs w:val="24"/>
          <w:lang w:eastAsia="es-ES"/>
        </w:rPr>
        <w:t>). Esta mala praxis puede agravar la situación e imposibilitar una adecuada reintegración social, provocando la revictimización y causando daños postraumáticos en su vida diaria (Mina Mendoza, 2024). </w:t>
      </w:r>
    </w:p>
    <w:p w14:paraId="19D0E9F4" w14:textId="66B9CD7E"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trauma que desencadena la revictimización se refleja mejor que en otro lado en los testimonios de las víctimas. Por ejemplo, la víctima de la violación grupal de Pamplona declaró que lo peor no fue la situación vivida, sino todo lo que vino después (RTVE, 2019).  Asimismo, según un episodio del podcast </w:t>
      </w:r>
      <w:r w:rsidRPr="000E6594">
        <w:rPr>
          <w:rFonts w:eastAsia="Times New Roman" w:cs="Calibri"/>
          <w:i/>
          <w:iCs/>
          <w:color w:val="000000"/>
          <w:sz w:val="24"/>
          <w:szCs w:val="24"/>
          <w:lang w:eastAsia="es-ES"/>
        </w:rPr>
        <w:t>Julia en la Onda – Territorio Negro</w:t>
      </w:r>
      <w:r w:rsidRPr="000E6594">
        <w:rPr>
          <w:rFonts w:eastAsia="Times New Roman" w:cs="Calibri"/>
          <w:color w:val="000000"/>
          <w:sz w:val="24"/>
          <w:szCs w:val="24"/>
          <w:lang w:eastAsia="es-ES"/>
        </w:rPr>
        <w:t> de Onda Cero (2020), la joven se vio obligada a irse del país tras la filtración de su identidad, fotografías y datos personales en internet</w:t>
      </w:r>
      <w:r w:rsidR="003631CA">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redes sociales y medios de comunicación. </w:t>
      </w:r>
    </w:p>
    <w:p w14:paraId="7EABECA2"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w:t>
      </w:r>
    </w:p>
    <w:p w14:paraId="24A20F7E" w14:textId="77777777" w:rsidR="00647E00" w:rsidRPr="005726B7" w:rsidRDefault="009A7BAE" w:rsidP="005726B7">
      <w:pPr>
        <w:pStyle w:val="Ttulo2"/>
        <w:spacing w:line="360" w:lineRule="auto"/>
        <w:rPr>
          <w:rFonts w:asciiTheme="minorHAnsi" w:hAnsiTheme="minorHAnsi" w:cstheme="minorHAnsi"/>
          <w:b/>
          <w:bCs/>
          <w:color w:val="auto"/>
          <w:sz w:val="24"/>
          <w:szCs w:val="24"/>
        </w:rPr>
      </w:pPr>
      <w:bookmarkStart w:id="22" w:name="_Toc224333150"/>
      <w:r w:rsidRPr="005726B7">
        <w:rPr>
          <w:rFonts w:asciiTheme="minorHAnsi" w:eastAsia="Times New Roman" w:hAnsiTheme="minorHAnsi" w:cstheme="minorHAnsi"/>
          <w:b/>
          <w:bCs/>
          <w:color w:val="auto"/>
          <w:sz w:val="24"/>
          <w:szCs w:val="24"/>
          <w:lang w:eastAsia="es-ES"/>
        </w:rPr>
        <w:lastRenderedPageBreak/>
        <w:t>3.3 Tratamiento mediático que contribuyen a la revictimización</w:t>
      </w:r>
      <w:bookmarkEnd w:id="22"/>
      <w:r w:rsidRPr="005726B7">
        <w:rPr>
          <w:rFonts w:asciiTheme="minorHAnsi" w:eastAsia="Times New Roman" w:hAnsiTheme="minorHAnsi" w:cstheme="minorHAnsi"/>
          <w:b/>
          <w:bCs/>
          <w:color w:val="auto"/>
          <w:sz w:val="24"/>
          <w:szCs w:val="24"/>
          <w:lang w:eastAsia="es-ES"/>
        </w:rPr>
        <w:t>  </w:t>
      </w:r>
    </w:p>
    <w:p w14:paraId="4467D296" w14:textId="5C8E6333" w:rsidR="00647E00" w:rsidRPr="005726B7" w:rsidRDefault="009A7BAE" w:rsidP="005726B7">
      <w:pPr>
        <w:pStyle w:val="Ttulo3"/>
        <w:spacing w:line="360" w:lineRule="auto"/>
        <w:rPr>
          <w:rFonts w:asciiTheme="minorHAnsi" w:eastAsia="Times New Roman" w:hAnsiTheme="minorHAnsi" w:cstheme="minorHAnsi"/>
          <w:b/>
          <w:bCs/>
          <w:color w:val="auto"/>
          <w:lang w:eastAsia="es-ES"/>
        </w:rPr>
      </w:pPr>
      <w:r w:rsidRPr="005726B7">
        <w:rPr>
          <w:rFonts w:asciiTheme="minorHAnsi" w:eastAsia="Times New Roman" w:hAnsiTheme="minorHAnsi" w:cstheme="minorHAnsi"/>
          <w:b/>
          <w:bCs/>
          <w:color w:val="auto"/>
          <w:lang w:eastAsia="es-ES"/>
        </w:rPr>
        <w:t>  </w:t>
      </w:r>
      <w:bookmarkStart w:id="23" w:name="_Toc224333151"/>
      <w:r w:rsidRPr="005726B7">
        <w:rPr>
          <w:rFonts w:asciiTheme="minorHAnsi" w:eastAsia="Times New Roman" w:hAnsiTheme="minorHAnsi" w:cstheme="minorHAnsi"/>
          <w:b/>
          <w:bCs/>
          <w:color w:val="auto"/>
          <w:lang w:eastAsia="es-ES"/>
        </w:rPr>
        <w:t>3.3.1 Análisis del</w:t>
      </w:r>
      <w:r w:rsidR="00577893" w:rsidRPr="005726B7">
        <w:rPr>
          <w:rFonts w:asciiTheme="minorHAnsi" w:eastAsia="Times New Roman" w:hAnsiTheme="minorHAnsi" w:cstheme="minorHAnsi"/>
          <w:b/>
          <w:bCs/>
          <w:color w:val="auto"/>
          <w:lang w:eastAsia="es-ES"/>
        </w:rPr>
        <w:t xml:space="preserve"> discurso mediático.</w:t>
      </w:r>
      <w:bookmarkEnd w:id="23"/>
      <w:r w:rsidR="00577893" w:rsidRPr="005726B7">
        <w:rPr>
          <w:rFonts w:asciiTheme="minorHAnsi" w:eastAsia="Times New Roman" w:hAnsiTheme="minorHAnsi" w:cstheme="minorHAnsi"/>
          <w:b/>
          <w:bCs/>
          <w:color w:val="auto"/>
          <w:lang w:eastAsia="es-ES"/>
        </w:rPr>
        <w:t xml:space="preserve"> </w:t>
      </w:r>
      <w:r w:rsidRPr="005726B7">
        <w:rPr>
          <w:rFonts w:asciiTheme="minorHAnsi" w:eastAsia="Times New Roman" w:hAnsiTheme="minorHAnsi" w:cstheme="minorHAnsi"/>
          <w:b/>
          <w:bCs/>
          <w:color w:val="auto"/>
          <w:lang w:eastAsia="es-ES"/>
        </w:rPr>
        <w:t> </w:t>
      </w:r>
    </w:p>
    <w:p w14:paraId="4C193B80" w14:textId="6E937554" w:rsidR="00554A55" w:rsidRPr="000E6594" w:rsidRDefault="00554A55" w:rsidP="005726B7">
      <w:pPr>
        <w:spacing w:after="100" w:line="360" w:lineRule="auto"/>
        <w:ind w:firstLine="340"/>
        <w:jc w:val="both"/>
        <w:textAlignment w:val="baseline"/>
        <w:rPr>
          <w:rFonts w:eastAsia="Times New Roman" w:cs="Calibri"/>
          <w:color w:val="000000"/>
          <w:sz w:val="24"/>
          <w:szCs w:val="24"/>
          <w:lang w:eastAsia="es-ES"/>
        </w:rPr>
      </w:pPr>
      <w:r w:rsidRPr="005726B7">
        <w:rPr>
          <w:rFonts w:asciiTheme="minorHAnsi" w:eastAsia="Times New Roman" w:hAnsiTheme="minorHAnsi" w:cstheme="minorHAnsi"/>
          <w:color w:val="000000"/>
          <w:sz w:val="24"/>
          <w:szCs w:val="24"/>
          <w:lang w:eastAsia="es-ES"/>
        </w:rPr>
        <w:t>El discurso informativo en entornos digitales no funciona igual que en papel. Quien lee una noticia</w:t>
      </w:r>
      <w:r w:rsidRPr="000E6594">
        <w:rPr>
          <w:rFonts w:eastAsia="Times New Roman" w:cs="Calibri"/>
          <w:color w:val="000000"/>
          <w:sz w:val="24"/>
          <w:szCs w:val="24"/>
          <w:lang w:eastAsia="es-ES"/>
        </w:rPr>
        <w:t xml:space="preserve"> en pantalla raramente la lee de principio a fin. Primero la escanea, después se detiene en lo que le llama la atención y sigue adelante. Por eso, la estructura del texto —titular, entradilla, cuerpo y cierre— está diseñada precisamente para ese comportamiento</w:t>
      </w:r>
      <w:r w:rsidR="009D2D40" w:rsidRPr="000E6594">
        <w:rPr>
          <w:rFonts w:eastAsia="Times New Roman" w:cs="Calibri"/>
          <w:color w:val="000000"/>
          <w:sz w:val="24"/>
          <w:szCs w:val="24"/>
          <w:lang w:eastAsia="es-ES"/>
        </w:rPr>
        <w:t xml:space="preserve"> (Crónica Viva, 2025).</w:t>
      </w:r>
    </w:p>
    <w:p w14:paraId="7F0C6E1F" w14:textId="72C45BD4" w:rsidR="00554A55" w:rsidRPr="000E6594" w:rsidRDefault="00554A5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El titular es lo primero que ve el lector, y en muchos casos lo único. Tiene que resumir y, al mismo tiempo, enganchar. En el entorno digital, además, debe incluir palabras clave que favorezcan su posicionamiento en buscadores, porque de poco sirve una buena noticia si nadie la encuentra. La entradilla cumple una función distinta: en pocas líneas responde a las preguntas básicas —qué, quién, cómo, cuándo y dónde— para que el lector decida si quiere seguir leyendo. El cuerpo desarrolla el resto con párrafos cortos, subtítulos y elementos visuales, porque la lectura digital no es lineal y el texto tiene que facilitar ese recorrido fragmentado</w:t>
      </w:r>
      <w:r w:rsidR="00352E25" w:rsidRPr="000E6594">
        <w:rPr>
          <w:rFonts w:eastAsia="Times New Roman" w:cs="Calibri"/>
          <w:color w:val="000000"/>
          <w:sz w:val="24"/>
          <w:szCs w:val="24"/>
          <w:lang w:eastAsia="es-ES"/>
        </w:rPr>
        <w:t xml:space="preserve"> (Rojas, 2024).</w:t>
      </w:r>
    </w:p>
    <w:p w14:paraId="1AE98630" w14:textId="5E127960" w:rsidR="00554A55" w:rsidRPr="000E6594" w:rsidRDefault="00554A5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Dos características definen especialmente al periodismo digital: la multimedialidad y la hipertextualidad. La primera supone integrar texto, imagen, audio y vídeo en una misma pieza. La segunda, distribuir enlaces que conecten con fuentes, contextos o contenidos relacionados. Ambas forman parte de una transformación más amplia: la convergencia mediática ha transformado de manera significativa la industria de los medios de comunicación y, con ella, la producción periodística, cuyos procesos han enfrentado importantes cambios que van desde la inmediatez en la difusión de información hasta la presentación multimediática de sus contenidos (Viteri Torres et al., 2024). Y al final del texto, el cierre ya no es solo una conclusión: es una llamada a comentar, compartir o suscribirse. El lector se convierte así en parte activa del ecosistema informativo.</w:t>
      </w:r>
    </w:p>
    <w:p w14:paraId="0BCD9AB6" w14:textId="0F70414F" w:rsidR="00554A55" w:rsidRPr="000E6594" w:rsidRDefault="00554A5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Ahora bien, la estructura es solo la superficie. Detrás de cada noticia operan mecanismos que condicionan cómo se interpreta la realidad, y el </w:t>
      </w:r>
      <w:proofErr w:type="spellStart"/>
      <w:r w:rsidRPr="000E6594">
        <w:rPr>
          <w:rFonts w:eastAsia="Times New Roman" w:cs="Calibri"/>
          <w:i/>
          <w:iCs/>
          <w:color w:val="000000"/>
          <w:sz w:val="24"/>
          <w:szCs w:val="24"/>
          <w:lang w:eastAsia="es-ES"/>
        </w:rPr>
        <w:t>framing</w:t>
      </w:r>
      <w:proofErr w:type="spellEnd"/>
      <w:r w:rsidRPr="000E6594">
        <w:rPr>
          <w:rFonts w:eastAsia="Times New Roman" w:cs="Calibri"/>
          <w:color w:val="000000"/>
          <w:sz w:val="24"/>
          <w:szCs w:val="24"/>
          <w:lang w:eastAsia="es-ES"/>
        </w:rPr>
        <w:t xml:space="preserve"> es uno de los más poderosos. No se trata de mentir: se trata de elegir qué se cuenta, desde qué ángulo y con qué fuentes. En el caso de la violencia sexual, esas decisiones tienen un peso enorme. Tanto la ciudadanía como los medios de comunicación no contribuyen en la </w:t>
      </w:r>
      <w:r w:rsidRPr="000E6594">
        <w:rPr>
          <w:rFonts w:eastAsia="Times New Roman" w:cs="Calibri"/>
          <w:color w:val="000000"/>
          <w:sz w:val="24"/>
          <w:szCs w:val="24"/>
          <w:lang w:eastAsia="es-ES"/>
        </w:rPr>
        <w:lastRenderedPageBreak/>
        <w:t>formación de nuevos patrones socioculturales de género, pese a estar conscientes de la representación negativa de la mujer (Lazo Serrano et al., 2022). Y cuando una agresión sexual se narra como un suceso policial más —con foco en el agresor, los detalles del crimen y las fuentes institucionales—, es difícil que la audiencia lo entienda como lo que es: un problema estructural. De-Frutos-García (2025) lo señala con claridad al analizar los documentos deontológicos sobre violencias sexuales en España: la cobertura puede clasificarse como temática, en tanto la pieza aborda la violencia desde un plano general de contexto, o episódica, en tanto cubre únicamente el caso concreto. Y la episódica, actualmente, es la que predomina.</w:t>
      </w:r>
    </w:p>
    <w:p w14:paraId="69B4DF3A" w14:textId="306ADB48" w:rsidR="00554A55" w:rsidRPr="000E6594" w:rsidRDefault="00554A5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Algo parecido ocurre con la agenda-</w:t>
      </w:r>
      <w:proofErr w:type="spellStart"/>
      <w:r w:rsidRPr="000E6594">
        <w:rPr>
          <w:rFonts w:eastAsia="Times New Roman" w:cs="Calibri"/>
          <w:color w:val="000000"/>
          <w:sz w:val="24"/>
          <w:szCs w:val="24"/>
          <w:lang w:eastAsia="es-ES"/>
        </w:rPr>
        <w:t>setting</w:t>
      </w:r>
      <w:proofErr w:type="spellEnd"/>
      <w:r w:rsidRPr="000E6594">
        <w:rPr>
          <w:rFonts w:eastAsia="Times New Roman" w:cs="Calibri"/>
          <w:color w:val="000000"/>
          <w:sz w:val="24"/>
          <w:szCs w:val="24"/>
          <w:lang w:eastAsia="es-ES"/>
        </w:rPr>
        <w:t>. Esta teoría nos recuerda que los medios no solo informan: también deciden sobre qué informar. Y eso moldea qué considera importante la opinión pública. Con la violencia sexual, el patrón se repite: un caso mediático como el de La Manada instala el tema en la agenda pública durante semanas, pero cuando el interés decae, la atención social desaparece con él, aunque el problema siga ahí. El fondo del asunto, según De-Frutos-García (2025), es estructural: la inexistencia de códigos específicos sobre violencias sexuales se torna una de las causas principales de la falta de adecuación del discurso mediático en un contexto social altamente sensibilizado. Sin criterios claros, los medios acaban reproduciendo, casi sin darse cuenta, dinámicas que distorsionan tanto la agenda como la percepción social del fenómeno.</w:t>
      </w:r>
    </w:p>
    <w:p w14:paraId="5AE4AD3A" w14:textId="4059C047" w:rsidR="00554A55" w:rsidRPr="000E6594" w:rsidRDefault="00554A55"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Por último, hay que tener en cuenta que el discurso mediático no es igual en todas las plataformas. Un artículo de blog no funciona igual que un vídeo de TikTok, y lo que engancha en Instagram puede pasar desapercibido en YouTube. El vídeo se está convirtiendo en una fuente más importante de noticias en línea, especialmente entre los grupos más jóvenes (Newman et al., 2024). Esto tiene implicaciones directas para la cobertura de la violencia sexual: si los medios adaptan su narrativa al lenguaje y formato de cada plataforma, con un enfoque educativo en lugar de meramente informativo, el impacto puede ser mucho mayor. La convergencia, en este sentido, no es solo una decisión técnica. Es también una responsabilidad.</w:t>
      </w:r>
    </w:p>
    <w:p w14:paraId="79BECD5B" w14:textId="77777777" w:rsidR="00F34B81" w:rsidRPr="000E6594" w:rsidRDefault="00F34B81" w:rsidP="000E6594">
      <w:pPr>
        <w:spacing w:after="100" w:line="360" w:lineRule="auto"/>
        <w:ind w:firstLine="340"/>
        <w:jc w:val="both"/>
        <w:textAlignment w:val="baseline"/>
        <w:rPr>
          <w:rFonts w:cs="Calibri"/>
          <w:sz w:val="24"/>
          <w:szCs w:val="24"/>
        </w:rPr>
      </w:pPr>
      <w:proofErr w:type="spellStart"/>
      <w:r w:rsidRPr="000E6594">
        <w:rPr>
          <w:rFonts w:cs="Calibri"/>
          <w:sz w:val="24"/>
          <w:szCs w:val="24"/>
        </w:rPr>
        <w:t>Chalá</w:t>
      </w:r>
      <w:proofErr w:type="spellEnd"/>
      <w:r w:rsidRPr="000E6594">
        <w:rPr>
          <w:rFonts w:cs="Calibri"/>
          <w:sz w:val="24"/>
          <w:szCs w:val="24"/>
        </w:rPr>
        <w:t xml:space="preserve">-Mejía y Moreno-Ortiz (2024) analizaron las publicaciones de Facebook de tres diarios ecuatorianos sobre el caso de "Martha", víctima de una violación grupal en un </w:t>
      </w:r>
      <w:r w:rsidRPr="000E6594">
        <w:rPr>
          <w:rFonts w:cs="Calibri"/>
          <w:sz w:val="24"/>
          <w:szCs w:val="24"/>
        </w:rPr>
        <w:lastRenderedPageBreak/>
        <w:t>bar-restaurante, examinando tanto el tratamiento mediático de la noticia como las reacciones expresadas por la audiencia en los comentarios. Los diarios seleccionados fueron El Comercio y El Universo, considerados prensa de referencia, y Diario Extra, de carácter sensacionalista.</w:t>
      </w:r>
    </w:p>
    <w:p w14:paraId="27D9106D" w14:textId="77777777" w:rsidR="00F34B81"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 xml:space="preserve">Sus resultados evidencian que las fronteras entre ambos tipos de prensa tienden a difuminarse cuando recurren por igual a la </w:t>
      </w:r>
      <w:proofErr w:type="spellStart"/>
      <w:r w:rsidRPr="000E6594">
        <w:rPr>
          <w:rFonts w:cs="Calibri"/>
          <w:sz w:val="24"/>
          <w:szCs w:val="24"/>
        </w:rPr>
        <w:t>espectacularización</w:t>
      </w:r>
      <w:proofErr w:type="spellEnd"/>
      <w:r w:rsidRPr="000E6594">
        <w:rPr>
          <w:rFonts w:cs="Calibri"/>
          <w:sz w:val="24"/>
          <w:szCs w:val="24"/>
        </w:rPr>
        <w:t xml:space="preserve"> de la información, abordando los contenidos de forma superficial y morbosa. En este sentido, identificaron varios mecanismos a través de los cuales el tratamiento mediático contribuye a la revictimización.</w:t>
      </w:r>
    </w:p>
    <w:p w14:paraId="4D57DC85" w14:textId="77777777" w:rsidR="00F34B81"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El primero es el encuadre de atribución de responsabilidad, mediante el cual se traslada implícitamente la culpa a la víctima. El Comercio, por ejemplo, enfatizó que Martha acudió a un bar y había consumido dos vasos de licor antes de perder el conocimiento, sugiriendo que su presencia en ese espacio y su conducta la hacían parcialmente responsable de lo ocurrido.</w:t>
      </w:r>
    </w:p>
    <w:p w14:paraId="3EB3B9A0" w14:textId="77777777" w:rsidR="00F34B81"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El segundo es el encuadre moral, que apela a normas sociales para juzgar el comportamiento de la víctima. El mismo diario aludió implícitamente a la idea de que el ámbito doméstico es el espacio seguro para las mujeres, insinuando que Martha transgredió los roles de género tradicionales al salir.</w:t>
      </w:r>
    </w:p>
    <w:p w14:paraId="0FE50AC4" w14:textId="77777777" w:rsidR="00F34B81"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El tercero es la recreación sensacionalista de los hechos, que describe la agresión con un nivel de detalle innecesario, incluyendo la secuencia completa del delito y aspectos de la vida privada de la víctima, con el único fin de generar impacto emocional en la audiencia.</w:t>
      </w:r>
    </w:p>
    <w:p w14:paraId="60DABA4C" w14:textId="77777777" w:rsidR="00F34B81"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 xml:space="preserve">El cuarto es el sensacionalismo visual y tipográfico, conocido como </w:t>
      </w:r>
      <w:proofErr w:type="spellStart"/>
      <w:r w:rsidRPr="000E6594">
        <w:rPr>
          <w:rFonts w:cs="Calibri"/>
          <w:sz w:val="24"/>
          <w:szCs w:val="24"/>
        </w:rPr>
        <w:t>clickbait</w:t>
      </w:r>
      <w:proofErr w:type="spellEnd"/>
      <w:r w:rsidRPr="000E6594">
        <w:rPr>
          <w:rFonts w:cs="Calibri"/>
          <w:sz w:val="24"/>
          <w:szCs w:val="24"/>
        </w:rPr>
        <w:t xml:space="preserve"> sensacionalista, que emplea imágenes difuminadas que recrean la agresión, titulares en mayúsculas y recursos tipográficos de alto impacto. Un ejemplo representativo es el titular de El Comercio: "Martha fue hallada desnuda, inconsciente... en el baño de un bar restaurante en la Jipijapa".</w:t>
      </w:r>
    </w:p>
    <w:p w14:paraId="2BBECFB2" w14:textId="77777777" w:rsidR="00351730" w:rsidRPr="000E6594" w:rsidRDefault="00F34B81" w:rsidP="000E6594">
      <w:pPr>
        <w:spacing w:after="100" w:line="360" w:lineRule="auto"/>
        <w:ind w:firstLine="340"/>
        <w:jc w:val="both"/>
        <w:textAlignment w:val="baseline"/>
        <w:rPr>
          <w:rFonts w:cs="Calibri"/>
          <w:sz w:val="24"/>
          <w:szCs w:val="24"/>
        </w:rPr>
      </w:pPr>
      <w:r w:rsidRPr="000E6594">
        <w:rPr>
          <w:rFonts w:cs="Calibri"/>
          <w:sz w:val="24"/>
          <w:szCs w:val="24"/>
        </w:rPr>
        <w:t xml:space="preserve">Por último, el encuadre de conflicto desequilibrado presenta las dos posturas de forma asimétrica: mientras recoge la indignación ciudadana expresada a través </w:t>
      </w:r>
      <w:proofErr w:type="gramStart"/>
      <w:r w:rsidRPr="000E6594">
        <w:rPr>
          <w:rFonts w:cs="Calibri"/>
          <w:sz w:val="24"/>
          <w:szCs w:val="24"/>
        </w:rPr>
        <w:t>del hashtag</w:t>
      </w:r>
      <w:proofErr w:type="gramEnd"/>
      <w:r w:rsidRPr="000E6594">
        <w:rPr>
          <w:rFonts w:cs="Calibri"/>
          <w:sz w:val="24"/>
          <w:szCs w:val="24"/>
        </w:rPr>
        <w:t xml:space="preserve"> #TodasSomosMartha, al mismo tiempo protege implícitamente a los agresores </w:t>
      </w:r>
      <w:r w:rsidRPr="000E6594">
        <w:rPr>
          <w:rFonts w:cs="Calibri"/>
          <w:sz w:val="24"/>
          <w:szCs w:val="24"/>
        </w:rPr>
        <w:lastRenderedPageBreak/>
        <w:t>al mencionar su estado de embriaguez como posible atenuante o las medidas de seguridad adoptadas en prisión para su protección, desviando así la atención de la víctima y diluyendo la gravedad del delito (</w:t>
      </w:r>
      <w:proofErr w:type="spellStart"/>
      <w:r w:rsidRPr="000E6594">
        <w:rPr>
          <w:rFonts w:cs="Calibri"/>
          <w:sz w:val="24"/>
          <w:szCs w:val="24"/>
        </w:rPr>
        <w:t>Chalá</w:t>
      </w:r>
      <w:proofErr w:type="spellEnd"/>
      <w:r w:rsidRPr="000E6594">
        <w:rPr>
          <w:rFonts w:cs="Calibri"/>
          <w:sz w:val="24"/>
          <w:szCs w:val="24"/>
        </w:rPr>
        <w:t>-Mejía y Moreno-Ortiz, 2024).</w:t>
      </w:r>
    </w:p>
    <w:p w14:paraId="438A020C" w14:textId="60800EA6" w:rsidR="00647E00" w:rsidRPr="005726B7" w:rsidRDefault="009A7BAE" w:rsidP="005726B7">
      <w:pPr>
        <w:pStyle w:val="Ttulo3"/>
        <w:spacing w:line="360" w:lineRule="auto"/>
        <w:rPr>
          <w:rFonts w:asciiTheme="minorHAnsi" w:hAnsiTheme="minorHAnsi" w:cstheme="minorHAnsi"/>
          <w:b/>
          <w:bCs/>
          <w:color w:val="auto"/>
        </w:rPr>
      </w:pPr>
      <w:bookmarkStart w:id="24" w:name="_Toc224333152"/>
      <w:r w:rsidRPr="005726B7">
        <w:rPr>
          <w:rFonts w:asciiTheme="minorHAnsi" w:eastAsia="Times New Roman" w:hAnsiTheme="minorHAnsi" w:cstheme="minorHAnsi"/>
          <w:b/>
          <w:bCs/>
          <w:color w:val="auto"/>
          <w:lang w:eastAsia="es-ES"/>
        </w:rPr>
        <w:t>3.3.2 Características de la comunicación digital</w:t>
      </w:r>
      <w:bookmarkEnd w:id="24"/>
      <w:r w:rsidRPr="005726B7">
        <w:rPr>
          <w:rFonts w:asciiTheme="minorHAnsi" w:eastAsia="Times New Roman" w:hAnsiTheme="minorHAnsi" w:cstheme="minorHAnsi"/>
          <w:b/>
          <w:bCs/>
          <w:color w:val="auto"/>
          <w:lang w:eastAsia="es-ES"/>
        </w:rPr>
        <w:t xml:space="preserve"> </w:t>
      </w:r>
    </w:p>
    <w:p w14:paraId="75B77032" w14:textId="5BDA7B72" w:rsidR="006852FC" w:rsidRPr="000E6594" w:rsidRDefault="009A7BAE" w:rsidP="005726B7">
      <w:pPr>
        <w:spacing w:after="100" w:line="360" w:lineRule="auto"/>
        <w:ind w:firstLine="340"/>
        <w:jc w:val="both"/>
        <w:textAlignment w:val="baseline"/>
        <w:rPr>
          <w:rFonts w:cs="Calibri"/>
          <w:sz w:val="24"/>
          <w:szCs w:val="24"/>
        </w:rPr>
      </w:pPr>
      <w:r w:rsidRPr="005726B7">
        <w:rPr>
          <w:rFonts w:asciiTheme="minorHAnsi" w:eastAsia="Times New Roman" w:hAnsiTheme="minorHAnsi" w:cstheme="minorHAnsi"/>
          <w:sz w:val="24"/>
          <w:szCs w:val="24"/>
          <w:lang w:eastAsia="es-ES"/>
        </w:rPr>
        <w:t xml:space="preserve">Estébanez (2018) </w:t>
      </w:r>
      <w:r w:rsidR="006852FC" w:rsidRPr="005726B7">
        <w:rPr>
          <w:rFonts w:asciiTheme="minorHAnsi" w:eastAsia="Times New Roman" w:hAnsiTheme="minorHAnsi" w:cstheme="minorHAnsi"/>
          <w:sz w:val="24"/>
          <w:szCs w:val="24"/>
          <w:lang w:eastAsia="es-ES"/>
        </w:rPr>
        <w:t>identificó</w:t>
      </w:r>
      <w:r w:rsidRPr="005726B7">
        <w:rPr>
          <w:rFonts w:asciiTheme="minorHAnsi" w:eastAsia="Times New Roman" w:hAnsiTheme="minorHAnsi" w:cstheme="minorHAnsi"/>
          <w:sz w:val="24"/>
          <w:szCs w:val="24"/>
          <w:lang w:eastAsia="es-ES"/>
        </w:rPr>
        <w:t xml:space="preserve"> rasgos distintivos de la comunicación digital </w:t>
      </w:r>
      <w:r w:rsidR="006852FC" w:rsidRPr="005726B7">
        <w:rPr>
          <w:rFonts w:asciiTheme="minorHAnsi" w:eastAsia="Times New Roman" w:hAnsiTheme="minorHAnsi" w:cstheme="minorHAnsi"/>
          <w:sz w:val="24"/>
          <w:szCs w:val="24"/>
          <w:lang w:eastAsia="es-ES"/>
        </w:rPr>
        <w:t>para comprender</w:t>
      </w:r>
      <w:r w:rsidRPr="005726B7">
        <w:rPr>
          <w:rFonts w:asciiTheme="minorHAnsi" w:eastAsia="Times New Roman" w:hAnsiTheme="minorHAnsi" w:cstheme="minorHAnsi"/>
          <w:sz w:val="24"/>
          <w:szCs w:val="24"/>
          <w:lang w:eastAsia="es-ES"/>
        </w:rPr>
        <w:t xml:space="preserve"> cómo se propaga la violencia contra las mujeres en espacios virtuales. Entre las características destacan</w:t>
      </w:r>
      <w:r w:rsidRPr="000E6594">
        <w:rPr>
          <w:rFonts w:eastAsia="Times New Roman" w:cs="Calibri"/>
          <w:color w:val="000000"/>
          <w:sz w:val="24"/>
          <w:szCs w:val="24"/>
          <w:lang w:eastAsia="es-ES"/>
        </w:rPr>
        <w:t xml:space="preserve">: la permanencia, porque lo que se publica queda registrado y puede ser reproducido o compartido; la inmediatez, que promueve compartir al instante, sin reflexión previa sobre las consecuencias futuras; la exposición, ya que lo </w:t>
      </w:r>
      <w:r w:rsidR="006852FC" w:rsidRPr="000E6594">
        <w:rPr>
          <w:rFonts w:eastAsia="Times New Roman" w:cs="Calibri"/>
          <w:color w:val="000000"/>
          <w:sz w:val="24"/>
          <w:szCs w:val="24"/>
          <w:lang w:eastAsia="es-ES"/>
        </w:rPr>
        <w:t>expresado</w:t>
      </w:r>
      <w:r w:rsidRPr="000E6594">
        <w:rPr>
          <w:rFonts w:eastAsia="Times New Roman" w:cs="Calibri"/>
          <w:color w:val="000000"/>
          <w:sz w:val="24"/>
          <w:szCs w:val="24"/>
          <w:lang w:eastAsia="es-ES"/>
        </w:rPr>
        <w:t xml:space="preserve"> puede ser </w:t>
      </w:r>
      <w:r w:rsidRPr="000E6594">
        <w:rPr>
          <w:rFonts w:eastAsia="Times New Roman" w:cs="Calibri"/>
          <w:bCs/>
          <w:color w:val="000000"/>
          <w:sz w:val="24"/>
          <w:szCs w:val="24"/>
          <w:lang w:eastAsia="es-ES"/>
        </w:rPr>
        <w:t>observado</w:t>
      </w:r>
      <w:r w:rsidRPr="000E6594">
        <w:rPr>
          <w:rFonts w:eastAsia="Times New Roman" w:cs="Calibri"/>
          <w:color w:val="000000"/>
          <w:sz w:val="24"/>
          <w:szCs w:val="24"/>
          <w:lang w:eastAsia="es-ES"/>
        </w:rPr>
        <w:t xml:space="preserve"> y reconocido públicamente; y la contradicción, puesto que dificulta entender el contexto de los sucesos o las incongruencias potenciales en la comunicación</w:t>
      </w:r>
      <w:r w:rsidR="006852FC"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w:t>
      </w:r>
      <w:r w:rsidR="006852FC" w:rsidRPr="000E6594">
        <w:rPr>
          <w:rFonts w:eastAsia="Times New Roman" w:cs="Calibri"/>
          <w:color w:val="000000"/>
          <w:sz w:val="24"/>
          <w:szCs w:val="24"/>
          <w:lang w:eastAsia="es-ES"/>
        </w:rPr>
        <w:t>Los perpetradores de violencia de género encuentran en el entorno digital un escenario adecuado para mantener control, abuso, dominio y maltrato, amparados por la inmediatez, la accesibilidad, el anonimato, la </w:t>
      </w:r>
      <w:proofErr w:type="spellStart"/>
      <w:r w:rsidR="006852FC" w:rsidRPr="000E6594">
        <w:rPr>
          <w:rFonts w:eastAsia="Times New Roman" w:cs="Calibri"/>
          <w:color w:val="000000"/>
          <w:sz w:val="24"/>
          <w:szCs w:val="24"/>
          <w:lang w:eastAsia="es-ES"/>
        </w:rPr>
        <w:t>viralidad</w:t>
      </w:r>
      <w:proofErr w:type="spellEnd"/>
      <w:r w:rsidR="006852FC" w:rsidRPr="000E6594">
        <w:rPr>
          <w:rFonts w:eastAsia="Times New Roman" w:cs="Calibri"/>
          <w:color w:val="000000"/>
          <w:sz w:val="24"/>
          <w:szCs w:val="24"/>
          <w:lang w:eastAsia="es-ES"/>
        </w:rPr>
        <w:t> </w:t>
      </w:r>
      <w:r w:rsidR="003748D2" w:rsidRPr="000E6594">
        <w:rPr>
          <w:rFonts w:eastAsia="Times New Roman" w:cs="Calibri"/>
          <w:color w:val="000000"/>
          <w:sz w:val="24"/>
          <w:szCs w:val="24"/>
          <w:lang w:eastAsia="es-ES"/>
        </w:rPr>
        <w:t xml:space="preserve">y </w:t>
      </w:r>
      <w:r w:rsidR="006852FC" w:rsidRPr="000E6594">
        <w:rPr>
          <w:rFonts w:eastAsia="Times New Roman" w:cs="Calibri"/>
          <w:color w:val="000000"/>
          <w:sz w:val="24"/>
          <w:szCs w:val="24"/>
          <w:lang w:eastAsia="es-ES"/>
        </w:rPr>
        <w:t xml:space="preserve">la </w:t>
      </w:r>
      <w:r w:rsidR="003748D2" w:rsidRPr="000E6594">
        <w:rPr>
          <w:rFonts w:eastAsia="Times New Roman" w:cs="Calibri"/>
          <w:color w:val="000000"/>
          <w:sz w:val="24"/>
          <w:szCs w:val="24"/>
          <w:lang w:eastAsia="es-ES"/>
        </w:rPr>
        <w:t>sobreexposición propia</w:t>
      </w:r>
      <w:r w:rsidR="006852FC" w:rsidRPr="000E6594">
        <w:rPr>
          <w:rFonts w:eastAsia="Times New Roman" w:cs="Calibri"/>
          <w:color w:val="000000"/>
          <w:sz w:val="24"/>
          <w:szCs w:val="24"/>
          <w:lang w:eastAsia="es-ES"/>
        </w:rPr>
        <w:t xml:space="preserve"> de la web. Lo hacen bajo una supuesta libertad de expresión que en realidad se manifiesta como libertinaje que revictimiza y afecta negativamente a las personas implicadas (Estébanez, 2018). </w:t>
      </w:r>
    </w:p>
    <w:p w14:paraId="4CDE02E6" w14:textId="2BACFC50" w:rsidR="00647E00" w:rsidRPr="000E6594" w:rsidRDefault="006852FC" w:rsidP="000E6594">
      <w:pPr>
        <w:spacing w:after="100" w:line="360" w:lineRule="auto"/>
        <w:jc w:val="both"/>
        <w:textAlignment w:val="baseline"/>
        <w:rPr>
          <w:rFonts w:cs="Calibri"/>
        </w:rPr>
      </w:pPr>
      <w:r w:rsidRPr="000E6594">
        <w:rPr>
          <w:rFonts w:eastAsia="Times New Roman" w:cs="Calibri"/>
          <w:sz w:val="24"/>
          <w:szCs w:val="24"/>
          <w:lang w:eastAsia="es-ES"/>
        </w:rPr>
        <w:t xml:space="preserve">Suler (2004, </w:t>
      </w:r>
      <w:r w:rsidR="00AE379B" w:rsidRPr="00AE379B">
        <w:rPr>
          <w:rFonts w:eastAsia="Times New Roman" w:cs="Calibri"/>
          <w:sz w:val="24"/>
          <w:szCs w:val="24"/>
          <w:lang w:eastAsia="es-ES"/>
        </w:rPr>
        <w:t>como se citó en</w:t>
      </w:r>
      <w:r w:rsidR="00AE379B">
        <w:rPr>
          <w:rFonts w:eastAsia="Times New Roman" w:cs="Calibri"/>
          <w:sz w:val="24"/>
          <w:szCs w:val="24"/>
          <w:lang w:eastAsia="es-ES"/>
        </w:rPr>
        <w:t xml:space="preserve"> </w:t>
      </w:r>
      <w:r w:rsidRPr="000E6594">
        <w:rPr>
          <w:rFonts w:eastAsia="Times New Roman" w:cs="Calibri"/>
          <w:sz w:val="24"/>
          <w:szCs w:val="24"/>
          <w:lang w:eastAsia="es-ES"/>
        </w:rPr>
        <w:t>Estébanez, 2018)</w:t>
      </w:r>
      <w:r w:rsidRPr="000E6594">
        <w:rPr>
          <w:rFonts w:eastAsia="Times New Roman" w:cs="Calibri"/>
          <w:b/>
          <w:bCs/>
          <w:sz w:val="24"/>
          <w:szCs w:val="24"/>
          <w:lang w:eastAsia="es-ES"/>
        </w:rPr>
        <w:t xml:space="preserve"> </w:t>
      </w:r>
      <w:r w:rsidRPr="000E6594">
        <w:rPr>
          <w:rFonts w:eastAsia="Times New Roman" w:cs="Calibri"/>
          <w:sz w:val="24"/>
          <w:szCs w:val="24"/>
          <w:lang w:eastAsia="es-ES"/>
        </w:rPr>
        <w:t>demuestra</w:t>
      </w:r>
      <w:r w:rsidRPr="000E6594">
        <w:rPr>
          <w:rFonts w:eastAsia="Times New Roman" w:cs="Calibri"/>
          <w:b/>
          <w:bCs/>
          <w:sz w:val="24"/>
          <w:szCs w:val="24"/>
          <w:lang w:eastAsia="es-ES"/>
        </w:rPr>
        <w:t xml:space="preserve"> </w:t>
      </w:r>
      <w:r w:rsidR="009A7BAE" w:rsidRPr="000E6594">
        <w:rPr>
          <w:rFonts w:eastAsia="Times New Roman" w:cs="Calibri"/>
          <w:color w:val="000000"/>
          <w:sz w:val="24"/>
          <w:szCs w:val="24"/>
          <w:lang w:eastAsia="es-ES"/>
        </w:rPr>
        <w:t>que las personas experimentan una menor sensación de restricción e inhibición al interactuar en mundos virtuales o digitales, lo que las lleva a decir y hacer cosas que normalmente no harían en la vida real. Este fenómeno se conoce como el "efecto de desinhibición"</w:t>
      </w:r>
      <w:r w:rsidR="00FD07A4" w:rsidRPr="000E6594">
        <w:rPr>
          <w:rFonts w:eastAsia="Times New Roman" w:cs="Calibri"/>
          <w:color w:val="000000"/>
          <w:sz w:val="24"/>
          <w:szCs w:val="24"/>
          <w:lang w:eastAsia="es-ES"/>
        </w:rPr>
        <w:t xml:space="preserve">. </w:t>
      </w:r>
      <w:r w:rsidR="009A7BAE" w:rsidRPr="000E6594">
        <w:rPr>
          <w:rFonts w:eastAsia="Times New Roman" w:cs="Calibri"/>
          <w:color w:val="000000"/>
          <w:sz w:val="24"/>
          <w:szCs w:val="24"/>
          <w:lang w:eastAsia="es-ES"/>
        </w:rPr>
        <w:t xml:space="preserve">Aunque hoy en día internet se basa más en señales visuales y la comunicación es más en tiempo real, este efecto de desinhibición </w:t>
      </w:r>
      <w:r w:rsidRPr="000E6594">
        <w:rPr>
          <w:rFonts w:eastAsia="Times New Roman" w:cs="Calibri"/>
          <w:color w:val="000000"/>
          <w:sz w:val="24"/>
          <w:szCs w:val="24"/>
          <w:lang w:eastAsia="es-ES"/>
        </w:rPr>
        <w:t>se mantiene</w:t>
      </w:r>
      <w:r w:rsidR="009A7BAE" w:rsidRPr="000E6594">
        <w:rPr>
          <w:rFonts w:eastAsia="Times New Roman" w:cs="Calibri"/>
          <w:color w:val="000000"/>
          <w:sz w:val="24"/>
          <w:szCs w:val="24"/>
          <w:lang w:eastAsia="es-ES"/>
        </w:rPr>
        <w:t xml:space="preserve"> mientras existan el anonimato y la invisibilidad. </w:t>
      </w:r>
      <w:r w:rsidR="00D2434B" w:rsidRPr="000E6594">
        <w:rPr>
          <w:rFonts w:eastAsia="Times New Roman" w:cs="Calibri"/>
          <w:color w:val="000000"/>
          <w:sz w:val="24"/>
          <w:szCs w:val="24"/>
          <w:lang w:eastAsia="es-ES"/>
        </w:rPr>
        <w:t xml:space="preserve">Según Suler (2004, 2016, </w:t>
      </w:r>
      <w:r w:rsidR="00AE379B" w:rsidRPr="00AE379B">
        <w:rPr>
          <w:rFonts w:eastAsia="Times New Roman" w:cs="Calibri"/>
          <w:color w:val="000000"/>
          <w:sz w:val="24"/>
          <w:szCs w:val="24"/>
          <w:lang w:eastAsia="es-ES"/>
        </w:rPr>
        <w:t>como se citó en</w:t>
      </w:r>
      <w:r w:rsidR="00AE379B">
        <w:rPr>
          <w:rFonts w:eastAsia="Times New Roman" w:cs="Calibri"/>
          <w:color w:val="000000"/>
          <w:sz w:val="24"/>
          <w:szCs w:val="24"/>
          <w:lang w:eastAsia="es-ES"/>
        </w:rPr>
        <w:t xml:space="preserve"> </w:t>
      </w:r>
      <w:r w:rsidR="00D2434B" w:rsidRPr="000E6594">
        <w:rPr>
          <w:rFonts w:eastAsia="Times New Roman" w:cs="Calibri"/>
          <w:color w:val="000000"/>
          <w:sz w:val="24"/>
          <w:szCs w:val="24"/>
          <w:lang w:eastAsia="es-ES"/>
        </w:rPr>
        <w:t xml:space="preserve">Estébanez, 2018), </w:t>
      </w:r>
      <w:r w:rsidR="009A7BAE" w:rsidRPr="000E6594">
        <w:rPr>
          <w:rFonts w:eastAsia="Times New Roman" w:cs="Calibri"/>
          <w:color w:val="000000"/>
          <w:sz w:val="24"/>
          <w:szCs w:val="24"/>
          <w:lang w:eastAsia="es-ES"/>
        </w:rPr>
        <w:t>podemos identificar dos formas de desinhibición: la benigna y la tóxica.  </w:t>
      </w:r>
    </w:p>
    <w:p w14:paraId="7C2222C5"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La </w:t>
      </w:r>
      <w:r w:rsidRPr="000E6594">
        <w:rPr>
          <w:rFonts w:eastAsia="Times New Roman" w:cs="Calibri"/>
          <w:bCs/>
          <w:color w:val="000000"/>
          <w:sz w:val="24"/>
          <w:szCs w:val="24"/>
          <w:lang w:eastAsia="es-ES"/>
        </w:rPr>
        <w:t>desinhibición benigna</w:t>
      </w:r>
      <w:r w:rsidRPr="000E6594">
        <w:rPr>
          <w:rFonts w:eastAsia="Times New Roman" w:cs="Calibri"/>
          <w:color w:val="000000"/>
          <w:sz w:val="24"/>
          <w:szCs w:val="24"/>
          <w:lang w:eastAsia="es-ES"/>
        </w:rPr>
        <w:t xml:space="preserve"> se refiere a la capacidad de las personas para expresar miedos, deseos o emociones que nunca revelarían ni expresarían en una comunicación cara a cara. Puede incluir el desarrollo personal, la resolución de conflictos interpersonales, la exploración de nuevas dimensiones emocionales o de identidad, la generosidad y el apoyo emocional. También puede ser una forma de catarsis, que permite a las personas explorar aspectos desconocidos de su identidad (Feliú, 2024).  </w:t>
      </w:r>
    </w:p>
    <w:p w14:paraId="449CCB03" w14:textId="250DF058"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lastRenderedPageBreak/>
        <w:t xml:space="preserve">Por su parte, cuando las personas carecen de autocontrol en línea y se comportan de forma drásticamente diferente a sus contrapartes en la vida real, se produce una </w:t>
      </w:r>
      <w:r w:rsidRPr="000E6594">
        <w:rPr>
          <w:rFonts w:eastAsia="Times New Roman" w:cs="Calibri"/>
          <w:bCs/>
          <w:color w:val="000000"/>
          <w:sz w:val="24"/>
          <w:szCs w:val="24"/>
          <w:lang w:eastAsia="es-ES"/>
        </w:rPr>
        <w:t>desinhibición tóxica</w:t>
      </w:r>
      <w:r w:rsidR="00E17356">
        <w:rPr>
          <w:rFonts w:eastAsia="Times New Roman" w:cs="Calibri"/>
          <w:bCs/>
          <w:color w:val="000000"/>
          <w:sz w:val="24"/>
          <w:szCs w:val="24"/>
          <w:lang w:eastAsia="es-ES"/>
        </w:rPr>
        <w:t xml:space="preserve"> </w:t>
      </w:r>
      <w:r w:rsidRPr="000E6594">
        <w:rPr>
          <w:rFonts w:eastAsia="Times New Roman" w:cs="Calibri"/>
          <w:color w:val="000000"/>
          <w:sz w:val="24"/>
          <w:szCs w:val="24"/>
          <w:lang w:eastAsia="es-ES"/>
        </w:rPr>
        <w:t xml:space="preserve">que se manifiesta en </w:t>
      </w:r>
      <w:r w:rsidR="00E17356" w:rsidRPr="00E17356">
        <w:rPr>
          <w:rFonts w:eastAsia="Times New Roman" w:cs="Calibri"/>
          <w:color w:val="000000"/>
          <w:sz w:val="24"/>
          <w:szCs w:val="24"/>
          <w:lang w:eastAsia="es-ES"/>
        </w:rPr>
        <w:t>conductas violentas</w:t>
      </w:r>
      <w:r w:rsidRPr="000E6594">
        <w:rPr>
          <w:rFonts w:eastAsia="Times New Roman" w:cs="Calibri"/>
          <w:color w:val="000000"/>
          <w:sz w:val="24"/>
          <w:szCs w:val="24"/>
          <w:lang w:eastAsia="es-ES"/>
        </w:rPr>
        <w:t>, la discriminación, los insultos o incluso la búsqueda y celebración del daño causado a otros. Esta desinhibición puede estar relacionada con problemas psicológicos personales no resueltos y es un comportamiento altamente desadaptativo (Feliú, 2024).   </w:t>
      </w:r>
    </w:p>
    <w:p w14:paraId="4E251E36" w14:textId="635B20B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anonimato, la invisibilidad y la </w:t>
      </w:r>
      <w:proofErr w:type="spellStart"/>
      <w:r w:rsidRPr="000E6594">
        <w:rPr>
          <w:rFonts w:eastAsia="Times New Roman" w:cs="Calibri"/>
          <w:color w:val="000000"/>
          <w:sz w:val="24"/>
          <w:szCs w:val="24"/>
          <w:lang w:eastAsia="es-ES"/>
        </w:rPr>
        <w:t>asincronicidad</w:t>
      </w:r>
      <w:proofErr w:type="spellEnd"/>
      <w:r w:rsidRPr="000E6594">
        <w:rPr>
          <w:rFonts w:eastAsia="Times New Roman" w:cs="Calibri"/>
          <w:color w:val="000000"/>
          <w:sz w:val="24"/>
          <w:szCs w:val="24"/>
          <w:lang w:eastAsia="es-ES"/>
        </w:rPr>
        <w:t xml:space="preserve"> son tres causas del efecto de desinhibición. </w:t>
      </w:r>
      <w:r w:rsidR="00A53B56" w:rsidRPr="000E6594">
        <w:rPr>
          <w:rFonts w:eastAsia="Times New Roman" w:cs="Calibri"/>
          <w:color w:val="000000"/>
          <w:sz w:val="24"/>
          <w:szCs w:val="24"/>
          <w:lang w:eastAsia="es-ES"/>
        </w:rPr>
        <w:t>S</w:t>
      </w:r>
      <w:r w:rsidRPr="000E6594">
        <w:rPr>
          <w:rFonts w:eastAsia="Times New Roman" w:cs="Calibri"/>
          <w:color w:val="000000"/>
          <w:sz w:val="24"/>
          <w:szCs w:val="24"/>
          <w:lang w:eastAsia="es-ES"/>
        </w:rPr>
        <w:t>on las tres razones principales de este efecto de desinhibición. El anonimato y la invisibilidad proporcionan a los </w:t>
      </w:r>
      <w:proofErr w:type="spellStart"/>
      <w:r w:rsidRPr="000E6594">
        <w:rPr>
          <w:rFonts w:eastAsia="Times New Roman" w:cs="Calibri"/>
          <w:color w:val="000000"/>
          <w:sz w:val="24"/>
          <w:szCs w:val="24"/>
          <w:lang w:eastAsia="es-ES"/>
        </w:rPr>
        <w:t>trolls</w:t>
      </w:r>
      <w:proofErr w:type="spellEnd"/>
      <w:r w:rsidRPr="000E6594">
        <w:rPr>
          <w:rFonts w:eastAsia="Times New Roman" w:cs="Calibri"/>
          <w:color w:val="000000"/>
          <w:sz w:val="24"/>
          <w:szCs w:val="24"/>
          <w:lang w:eastAsia="es-ES"/>
        </w:rPr>
        <w:t> en línea y a los infractores de odio una sensación de absolución y evasión de responsabilidad, lo que les permite eludir la rendición de cuentas porque están protegidos por sus identidades virtuales. Asimismo, La </w:t>
      </w:r>
      <w:proofErr w:type="spellStart"/>
      <w:r w:rsidRPr="000E6594">
        <w:rPr>
          <w:rFonts w:eastAsia="Times New Roman" w:cs="Calibri"/>
          <w:color w:val="000000"/>
          <w:sz w:val="24"/>
          <w:szCs w:val="24"/>
          <w:lang w:eastAsia="es-ES"/>
        </w:rPr>
        <w:t>asincronicidad</w:t>
      </w:r>
      <w:proofErr w:type="spellEnd"/>
      <w:r w:rsidRPr="000E6594">
        <w:rPr>
          <w:rFonts w:eastAsia="Times New Roman" w:cs="Calibri"/>
          <w:color w:val="000000"/>
          <w:sz w:val="24"/>
          <w:szCs w:val="24"/>
          <w:lang w:eastAsia="es-ES"/>
        </w:rPr>
        <w:t> les permite evitar confrontar de inmediato las emociones negativas que pueden surgir de sus palabras y acciones online (Feliú, 2024).  </w:t>
      </w:r>
    </w:p>
    <w:p w14:paraId="1C29811F" w14:textId="43BB8EF0" w:rsidR="00612995"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Por último, Feliú (2024) incorpora la llamada disociación, que se da cuando las acciones realizadas online se perciben como separadas de la realidad, creando la ilusión de que existen dos mundos completamente distintos. Por lo tanto, este fenómeno desencadena la creencia de que lo que hacen en el mundo virtual no tiene ninguna conexión con sus acciones en el mundo real. </w:t>
      </w:r>
    </w:p>
    <w:p w14:paraId="77AE0D07" w14:textId="08912BED" w:rsidR="00A53B56" w:rsidRPr="000E6594" w:rsidRDefault="00EE3344"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Estas características de la comunicación digital </w:t>
      </w:r>
      <w:r w:rsidR="00612995" w:rsidRPr="000E6594">
        <w:rPr>
          <w:rFonts w:eastAsia="Times New Roman" w:cs="Calibri"/>
          <w:color w:val="000000"/>
          <w:sz w:val="24"/>
          <w:szCs w:val="24"/>
          <w:lang w:eastAsia="es-ES"/>
        </w:rPr>
        <w:t>tienen una incidencia directa en</w:t>
      </w:r>
      <w:r w:rsidRPr="000E6594">
        <w:rPr>
          <w:rFonts w:eastAsia="Times New Roman" w:cs="Calibri"/>
          <w:color w:val="000000"/>
          <w:sz w:val="24"/>
          <w:szCs w:val="24"/>
          <w:lang w:eastAsia="es-ES"/>
        </w:rPr>
        <w:t xml:space="preserve"> la violencia sexual. </w:t>
      </w:r>
      <w:r w:rsidR="00C4373C" w:rsidRPr="000E6594">
        <w:rPr>
          <w:rFonts w:eastAsia="Times New Roman" w:cs="Calibri"/>
          <w:color w:val="000000"/>
          <w:sz w:val="24"/>
          <w:szCs w:val="24"/>
          <w:lang w:eastAsia="es-ES"/>
        </w:rPr>
        <w:t>Según lo que indican García y Lorca (2025), l</w:t>
      </w:r>
      <w:r w:rsidRPr="000E6594">
        <w:rPr>
          <w:rFonts w:eastAsia="Times New Roman" w:cs="Calibri"/>
          <w:color w:val="000000"/>
          <w:sz w:val="24"/>
          <w:szCs w:val="24"/>
          <w:lang w:eastAsia="es-ES"/>
        </w:rPr>
        <w:t>as tecnologías digitales funcionan como potenciadores</w:t>
      </w:r>
      <w:r w:rsidR="00C4373C" w:rsidRPr="000E6594">
        <w:rPr>
          <w:rFonts w:eastAsia="Times New Roman" w:cs="Calibri"/>
          <w:color w:val="000000"/>
          <w:sz w:val="24"/>
          <w:szCs w:val="24"/>
          <w:lang w:eastAsia="es-ES"/>
        </w:rPr>
        <w:t xml:space="preserve"> de esta violencia</w:t>
      </w:r>
      <w:r w:rsidRPr="000E6594">
        <w:rPr>
          <w:rFonts w:eastAsia="Times New Roman" w:cs="Calibri"/>
          <w:color w:val="000000"/>
          <w:sz w:val="24"/>
          <w:szCs w:val="24"/>
          <w:lang w:eastAsia="es-ES"/>
        </w:rPr>
        <w:t xml:space="preserve">, al permitir que esta se perpetúe y legitime por medio del continuum offline-online. Es decir, lo que sucede en el ámbito digital es una prolongación de </w:t>
      </w:r>
      <w:r w:rsidR="00A53B56" w:rsidRPr="000E6594">
        <w:rPr>
          <w:rFonts w:eastAsia="Times New Roman" w:cs="Calibri"/>
          <w:color w:val="000000"/>
          <w:sz w:val="24"/>
          <w:szCs w:val="24"/>
          <w:lang w:eastAsia="es-ES"/>
        </w:rPr>
        <w:t>la realidad física</w:t>
      </w:r>
      <w:r w:rsidRPr="000E6594">
        <w:rPr>
          <w:rFonts w:eastAsia="Times New Roman" w:cs="Calibri"/>
          <w:color w:val="000000"/>
          <w:sz w:val="24"/>
          <w:szCs w:val="24"/>
          <w:lang w:eastAsia="es-ES"/>
        </w:rPr>
        <w:t>. En este contexto, el fenómeno de desinhibición tóxica mencionado previamente</w:t>
      </w:r>
      <w:r w:rsidR="00A53B56" w:rsidRPr="000E6594">
        <w:rPr>
          <w:rFonts w:eastAsia="Times New Roman" w:cs="Calibri"/>
          <w:color w:val="000000"/>
          <w:sz w:val="24"/>
          <w:szCs w:val="24"/>
          <w:lang w:eastAsia="es-ES"/>
        </w:rPr>
        <w:t xml:space="preserve"> y </w:t>
      </w:r>
      <w:r w:rsidRPr="000E6594">
        <w:rPr>
          <w:rFonts w:eastAsia="Times New Roman" w:cs="Calibri"/>
          <w:color w:val="000000"/>
          <w:sz w:val="24"/>
          <w:szCs w:val="24"/>
          <w:lang w:eastAsia="es-ES"/>
        </w:rPr>
        <w:t xml:space="preserve">las características de anonimato y </w:t>
      </w:r>
      <w:proofErr w:type="spellStart"/>
      <w:r w:rsidRPr="000E6594">
        <w:rPr>
          <w:rFonts w:eastAsia="Times New Roman" w:cs="Calibri"/>
          <w:color w:val="000000"/>
          <w:sz w:val="24"/>
          <w:szCs w:val="24"/>
          <w:lang w:eastAsia="es-ES"/>
        </w:rPr>
        <w:t>viralidad</w:t>
      </w:r>
      <w:proofErr w:type="spellEnd"/>
      <w:r w:rsidRPr="000E6594">
        <w:rPr>
          <w:rFonts w:eastAsia="Times New Roman" w:cs="Calibri"/>
          <w:color w:val="000000"/>
          <w:sz w:val="24"/>
          <w:szCs w:val="24"/>
          <w:lang w:eastAsia="es-ES"/>
        </w:rPr>
        <w:t xml:space="preserve"> propias del ámbito digital, </w:t>
      </w:r>
      <w:r w:rsidR="00A53B56" w:rsidRPr="000E6594">
        <w:rPr>
          <w:rFonts w:eastAsia="Times New Roman" w:cs="Calibri"/>
          <w:color w:val="000000"/>
          <w:sz w:val="24"/>
          <w:szCs w:val="24"/>
          <w:lang w:eastAsia="es-ES"/>
        </w:rPr>
        <w:t>aumentan la probabilidad de</w:t>
      </w:r>
      <w:r w:rsidRPr="000E6594">
        <w:rPr>
          <w:rFonts w:eastAsia="Times New Roman" w:cs="Calibri"/>
          <w:color w:val="000000"/>
          <w:sz w:val="24"/>
          <w:szCs w:val="24"/>
          <w:lang w:eastAsia="es-ES"/>
        </w:rPr>
        <w:t xml:space="preserve"> revictimización </w:t>
      </w:r>
      <w:r w:rsidR="00A53B56" w:rsidRPr="000E6594">
        <w:rPr>
          <w:rFonts w:eastAsia="Times New Roman" w:cs="Calibri"/>
          <w:color w:val="000000"/>
          <w:sz w:val="24"/>
          <w:szCs w:val="24"/>
          <w:lang w:eastAsia="es-ES"/>
        </w:rPr>
        <w:t>a las</w:t>
      </w:r>
      <w:r w:rsidRPr="000E6594">
        <w:rPr>
          <w:rFonts w:eastAsia="Times New Roman" w:cs="Calibri"/>
          <w:color w:val="000000"/>
          <w:sz w:val="24"/>
          <w:szCs w:val="24"/>
          <w:lang w:eastAsia="es-ES"/>
        </w:rPr>
        <w:t xml:space="preserve"> mujeres que han sufrido violencia sexual. </w:t>
      </w:r>
      <w:r w:rsidR="00A53B56" w:rsidRPr="000E6594">
        <w:rPr>
          <w:rFonts w:eastAsia="Times New Roman" w:cs="Calibri"/>
          <w:color w:val="000000"/>
          <w:sz w:val="24"/>
          <w:szCs w:val="24"/>
          <w:lang w:eastAsia="es-ES"/>
        </w:rPr>
        <w:t>Así</w:t>
      </w:r>
      <w:r w:rsidR="00612995" w:rsidRPr="000E6594">
        <w:rPr>
          <w:rFonts w:eastAsia="Times New Roman" w:cs="Calibri"/>
          <w:color w:val="000000"/>
          <w:sz w:val="24"/>
          <w:szCs w:val="24"/>
          <w:lang w:eastAsia="es-ES"/>
        </w:rPr>
        <w:t>, su experiencia traumática queda expuesta a ser divulgada, cuestionada y replicada indefinidamente.</w:t>
      </w:r>
    </w:p>
    <w:p w14:paraId="701ED8B9" w14:textId="1FCF8856" w:rsidR="00647E00" w:rsidRPr="005726B7" w:rsidRDefault="009A7BAE" w:rsidP="005726B7">
      <w:pPr>
        <w:pStyle w:val="Ttulo3"/>
        <w:spacing w:line="360" w:lineRule="auto"/>
        <w:rPr>
          <w:rFonts w:asciiTheme="minorHAnsi" w:eastAsia="Times New Roman" w:hAnsiTheme="minorHAnsi" w:cstheme="minorHAnsi"/>
          <w:b/>
          <w:bCs/>
          <w:color w:val="auto"/>
          <w:lang w:eastAsia="es-ES"/>
        </w:rPr>
      </w:pPr>
      <w:r w:rsidRPr="005726B7">
        <w:rPr>
          <w:rFonts w:eastAsia="Times New Roman"/>
          <w:b/>
          <w:bCs/>
          <w:lang w:eastAsia="es-ES"/>
        </w:rPr>
        <w:t>  </w:t>
      </w:r>
      <w:bookmarkStart w:id="25" w:name="_Toc224333153"/>
      <w:r w:rsidRPr="005726B7">
        <w:rPr>
          <w:rFonts w:asciiTheme="minorHAnsi" w:eastAsia="Times New Roman" w:hAnsiTheme="minorHAnsi" w:cstheme="minorHAnsi"/>
          <w:b/>
          <w:bCs/>
          <w:color w:val="auto"/>
          <w:lang w:eastAsia="es-ES"/>
        </w:rPr>
        <w:t>3.3.3 Estereotipos y sesgos en la representación de víctimas.</w:t>
      </w:r>
      <w:bookmarkEnd w:id="25"/>
      <w:r w:rsidRPr="005726B7">
        <w:rPr>
          <w:rFonts w:asciiTheme="minorHAnsi" w:eastAsia="Times New Roman" w:hAnsiTheme="minorHAnsi" w:cstheme="minorHAnsi"/>
          <w:b/>
          <w:bCs/>
          <w:color w:val="auto"/>
          <w:lang w:eastAsia="es-ES"/>
        </w:rPr>
        <w:t>  </w:t>
      </w:r>
    </w:p>
    <w:p w14:paraId="6A6D1F89" w14:textId="1BEA8EE0" w:rsidR="00647E00" w:rsidRPr="000E6594" w:rsidRDefault="009A7BAE" w:rsidP="005726B7">
      <w:pPr>
        <w:shd w:val="clear" w:color="auto" w:fill="FFFFFF"/>
        <w:spacing w:after="100" w:line="360" w:lineRule="auto"/>
        <w:ind w:firstLine="340"/>
        <w:jc w:val="both"/>
        <w:textAlignment w:val="baseline"/>
        <w:rPr>
          <w:rFonts w:cs="Calibri"/>
        </w:rPr>
      </w:pPr>
      <w:r w:rsidRPr="005726B7">
        <w:rPr>
          <w:rFonts w:asciiTheme="minorHAnsi" w:eastAsia="Times New Roman" w:hAnsiTheme="minorHAnsi" w:cstheme="minorHAnsi"/>
          <w:sz w:val="24"/>
          <w:szCs w:val="24"/>
          <w:lang w:eastAsia="es-ES"/>
        </w:rPr>
        <w:t>De acuerdo con Madriz</w:t>
      </w:r>
      <w:r w:rsidR="00071A8A" w:rsidRPr="005726B7">
        <w:rPr>
          <w:rFonts w:asciiTheme="minorHAnsi" w:eastAsia="Times New Roman" w:hAnsiTheme="minorHAnsi" w:cstheme="minorHAnsi"/>
          <w:sz w:val="24"/>
          <w:szCs w:val="24"/>
          <w:lang w:eastAsia="es-ES"/>
        </w:rPr>
        <w:t xml:space="preserve"> (C</w:t>
      </w:r>
      <w:r w:rsidRPr="005726B7">
        <w:rPr>
          <w:rFonts w:asciiTheme="minorHAnsi" w:eastAsia="Times New Roman" w:hAnsiTheme="minorHAnsi" w:cstheme="minorHAnsi"/>
          <w:sz w:val="24"/>
          <w:szCs w:val="24"/>
          <w:lang w:eastAsia="es-ES"/>
        </w:rPr>
        <w:t>onsejo Nacional de la Judicatura</w:t>
      </w:r>
      <w:r w:rsidR="00071A8A" w:rsidRPr="005726B7">
        <w:rPr>
          <w:rFonts w:asciiTheme="minorHAnsi" w:eastAsia="Times New Roman" w:hAnsiTheme="minorHAnsi" w:cstheme="minorHAnsi"/>
          <w:sz w:val="24"/>
          <w:szCs w:val="24"/>
          <w:lang w:eastAsia="es-ES"/>
        </w:rPr>
        <w:t xml:space="preserve">, </w:t>
      </w:r>
      <w:r w:rsidRPr="005726B7">
        <w:rPr>
          <w:rFonts w:asciiTheme="minorHAnsi" w:eastAsia="Times New Roman" w:hAnsiTheme="minorHAnsi" w:cstheme="minorHAnsi"/>
          <w:sz w:val="24"/>
          <w:szCs w:val="24"/>
          <w:lang w:eastAsia="es-ES"/>
        </w:rPr>
        <w:t>2015), socialmente existe una percepción dual de las víctimas</w:t>
      </w:r>
      <w:r w:rsidRPr="005726B7">
        <w:rPr>
          <w:rFonts w:eastAsia="Times New Roman" w:cs="Calibri"/>
          <w:sz w:val="24"/>
          <w:szCs w:val="24"/>
          <w:lang w:eastAsia="es-ES"/>
        </w:rPr>
        <w:t xml:space="preserve"> </w:t>
      </w:r>
      <w:r w:rsidRPr="000E6594">
        <w:rPr>
          <w:rFonts w:eastAsia="Times New Roman" w:cs="Calibri"/>
          <w:color w:val="000000"/>
          <w:sz w:val="24"/>
          <w:szCs w:val="24"/>
          <w:lang w:eastAsia="es-ES"/>
        </w:rPr>
        <w:t xml:space="preserve">de violencia sexual basada en una enorme carga cultural de prejuicios y asignación de roles. Estos estereotipos son manejados por </w:t>
      </w:r>
      <w:r w:rsidRPr="000E6594">
        <w:rPr>
          <w:rFonts w:eastAsia="Times New Roman" w:cs="Calibri"/>
          <w:color w:val="000000"/>
          <w:sz w:val="24"/>
          <w:szCs w:val="24"/>
          <w:lang w:eastAsia="es-ES"/>
        </w:rPr>
        <w:lastRenderedPageBreak/>
        <w:t>la institucionalidad pública, incidiendo en la forma de impartir justicia y de atención a las mujeres víctimas de estos abusos. </w:t>
      </w:r>
    </w:p>
    <w:p w14:paraId="775FC9C5" w14:textId="6E058128"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Desde esta lógica se construye una tipología </w:t>
      </w:r>
      <w:proofErr w:type="spellStart"/>
      <w:r w:rsidRPr="000E6594">
        <w:rPr>
          <w:rFonts w:eastAsia="Times New Roman" w:cs="Calibri"/>
          <w:color w:val="000000"/>
          <w:sz w:val="24"/>
          <w:szCs w:val="24"/>
          <w:lang w:eastAsia="es-ES"/>
        </w:rPr>
        <w:t>victimal</w:t>
      </w:r>
      <w:proofErr w:type="spellEnd"/>
      <w:r w:rsidRPr="000E6594">
        <w:rPr>
          <w:rFonts w:eastAsia="Times New Roman" w:cs="Calibri"/>
          <w:color w:val="000000"/>
          <w:sz w:val="24"/>
          <w:szCs w:val="24"/>
          <w:lang w:eastAsia="es-ES"/>
        </w:rPr>
        <w:t> dicotómica, que distingue entre la denominada </w:t>
      </w:r>
      <w:r w:rsidRPr="000E6594">
        <w:rPr>
          <w:rFonts w:eastAsia="Times New Roman" w:cs="Calibri"/>
          <w:i/>
          <w:iCs/>
          <w:color w:val="000000"/>
          <w:sz w:val="24"/>
          <w:szCs w:val="24"/>
          <w:lang w:eastAsia="es-ES"/>
        </w:rPr>
        <w:t>víctima inocente</w:t>
      </w:r>
      <w:r w:rsidRPr="000E6594">
        <w:rPr>
          <w:rFonts w:eastAsia="Times New Roman" w:cs="Calibri"/>
          <w:color w:val="000000"/>
          <w:sz w:val="24"/>
          <w:szCs w:val="24"/>
          <w:lang w:eastAsia="es-ES"/>
        </w:rPr>
        <w:t> y la </w:t>
      </w:r>
      <w:r w:rsidRPr="000E6594">
        <w:rPr>
          <w:rFonts w:eastAsia="Times New Roman" w:cs="Calibri"/>
          <w:i/>
          <w:iCs/>
          <w:color w:val="000000"/>
          <w:sz w:val="24"/>
          <w:szCs w:val="24"/>
          <w:lang w:eastAsia="es-ES"/>
        </w:rPr>
        <w:t>víctima culpable</w:t>
      </w:r>
      <w:r w:rsidRPr="000E6594">
        <w:rPr>
          <w:rFonts w:eastAsia="Times New Roman" w:cs="Calibri"/>
          <w:color w:val="000000"/>
          <w:sz w:val="24"/>
          <w:szCs w:val="24"/>
          <w:lang w:eastAsia="es-ES"/>
        </w:rPr>
        <w:t>. La primera</w:t>
      </w:r>
      <w:r w:rsidR="00071A8A"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responde al ideal social de mujer “respetable”</w:t>
      </w:r>
      <w:r w:rsidR="00071A8A"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se considera que desempeña actividades socialmente aceptadas, se encuentra en lugares y horarios considerados adecuados, presenta una apariencia conservadora y mantiene relaciones con personas igualmente respetables. Además, suele ser percibida como físicamente más débil que su agresor y como víctima de un ataque grave, violento y cometido por un desconocido, lo que refuerza su credibilidad y legiti</w:t>
      </w:r>
      <w:r w:rsidR="00071A8A" w:rsidRPr="000E6594">
        <w:rPr>
          <w:rFonts w:eastAsia="Times New Roman" w:cs="Calibri"/>
          <w:color w:val="000000"/>
          <w:sz w:val="24"/>
          <w:szCs w:val="24"/>
          <w:lang w:eastAsia="es-ES"/>
        </w:rPr>
        <w:t>midad como víctima.</w:t>
      </w:r>
    </w:p>
    <w:p w14:paraId="30CC8633" w14:textId="710E129A" w:rsidR="00647E00" w:rsidRPr="000E6594" w:rsidRDefault="009A7BAE" w:rsidP="000E6594">
      <w:pPr>
        <w:shd w:val="clear" w:color="auto" w:fill="FFFFFF"/>
        <w:spacing w:after="100" w:line="360" w:lineRule="auto"/>
        <w:ind w:firstLine="340"/>
        <w:jc w:val="both"/>
        <w:textAlignment w:val="baseline"/>
        <w:rPr>
          <w:rFonts w:cs="Calibri"/>
        </w:rPr>
      </w:pPr>
      <w:r w:rsidRPr="000E6594">
        <w:rPr>
          <w:rFonts w:eastAsia="Times New Roman" w:cs="Calibri"/>
          <w:color w:val="000000"/>
          <w:sz w:val="24"/>
          <w:szCs w:val="24"/>
          <w:lang w:eastAsia="es-ES"/>
        </w:rPr>
        <w:t>Por el contrario, la </w:t>
      </w:r>
      <w:r w:rsidRPr="000E6594">
        <w:rPr>
          <w:rFonts w:eastAsia="Times New Roman" w:cs="Calibri"/>
          <w:i/>
          <w:iCs/>
          <w:color w:val="000000"/>
          <w:sz w:val="24"/>
          <w:szCs w:val="24"/>
          <w:lang w:eastAsia="es-ES"/>
        </w:rPr>
        <w:t>víctima culpable</w:t>
      </w:r>
      <w:r w:rsidR="00071A8A" w:rsidRPr="000E6594">
        <w:rPr>
          <w:rFonts w:eastAsia="Times New Roman" w:cs="Calibri"/>
          <w:i/>
          <w:iCs/>
          <w:color w:val="000000"/>
          <w:sz w:val="24"/>
          <w:szCs w:val="24"/>
          <w:lang w:eastAsia="es-ES"/>
        </w:rPr>
        <w:t>,</w:t>
      </w:r>
      <w:r w:rsidRPr="000E6594">
        <w:rPr>
          <w:rFonts w:eastAsia="Times New Roman" w:cs="Calibri"/>
          <w:color w:val="000000"/>
          <w:sz w:val="24"/>
          <w:szCs w:val="24"/>
          <w:lang w:eastAsia="es-ES"/>
        </w:rPr>
        <w:t xml:space="preserve"> se asocia a una mujer cuya reputación es cuestionada, ya sea por su forma de vestir, sus relaciones sociales, los espacios que frecuenta o las actividades que realiza. En estos casos, se tiende a considerar que se encontraba en situaciones de riesgo, que podía haberse defendido o que exagera o incluso inventa los hechos denunciados. Este tipo de construcción simbólica traslada implícitamente la responsabilidad del delito a la propia víctima, minimizando la conducta del agresor y favoreciendo procesos de culpabilización y revictimización </w:t>
      </w:r>
    </w:p>
    <w:p w14:paraId="31452147" w14:textId="158F00A0" w:rsidR="00647E00" w:rsidRPr="000E6594" w:rsidRDefault="00071A8A"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este sentido,</w:t>
      </w:r>
      <w:r w:rsidR="00A53B56" w:rsidRPr="000E6594">
        <w:rPr>
          <w:rFonts w:eastAsia="Times New Roman" w:cs="Calibri"/>
          <w:color w:val="000000"/>
          <w:sz w:val="24"/>
          <w:szCs w:val="24"/>
          <w:lang w:eastAsia="es-ES"/>
        </w:rPr>
        <w:t xml:space="preserve"> </w:t>
      </w:r>
      <w:r w:rsidR="00C57EB4" w:rsidRPr="000E6594">
        <w:rPr>
          <w:rFonts w:eastAsia="Times New Roman" w:cs="Calibri"/>
          <w:color w:val="000000"/>
          <w:sz w:val="24"/>
          <w:szCs w:val="24"/>
          <w:lang w:eastAsia="es-ES"/>
        </w:rPr>
        <w:t xml:space="preserve">Tardón Recio (2022), </w:t>
      </w:r>
      <w:r w:rsidR="009A7BAE" w:rsidRPr="000E6594">
        <w:rPr>
          <w:rFonts w:eastAsia="Times New Roman" w:cs="Calibri"/>
          <w:color w:val="000000"/>
          <w:sz w:val="24"/>
          <w:szCs w:val="24"/>
          <w:lang w:eastAsia="es-ES"/>
        </w:rPr>
        <w:t xml:space="preserve">ha identificado la persistencia de una serie de mitos y estereotipos de género que influyen de manera decisiva en la forma en que se interpreta, juzga y responde a la violencia sexual </w:t>
      </w:r>
      <w:r w:rsidRPr="000E6594">
        <w:rPr>
          <w:rFonts w:eastAsia="Times New Roman" w:cs="Calibri"/>
          <w:color w:val="000000"/>
          <w:sz w:val="24"/>
          <w:szCs w:val="24"/>
          <w:lang w:eastAsia="es-ES"/>
        </w:rPr>
        <w:t>contra las mujeres</w:t>
      </w:r>
      <w:r w:rsidR="009A7BAE" w:rsidRPr="000E6594">
        <w:rPr>
          <w:rFonts w:eastAsia="Times New Roman" w:cs="Calibri"/>
          <w:color w:val="000000"/>
          <w:sz w:val="24"/>
          <w:szCs w:val="24"/>
          <w:lang w:eastAsia="es-ES"/>
        </w:rPr>
        <w:t>. Estos mitos operan como marcos culturales y jurídicos que tienden a minimizar la gravedad de la violencia sexual y a deslegitimar el testimonio de las víctimas. </w:t>
      </w:r>
    </w:p>
    <w:p w14:paraId="441A76F6" w14:textId="176F21B5" w:rsidR="00647E00" w:rsidRPr="000E6594" w:rsidRDefault="00A53B56"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La misma autora</w:t>
      </w:r>
      <w:r w:rsidR="00071A8A" w:rsidRPr="000E6594">
        <w:rPr>
          <w:rFonts w:eastAsia="Times New Roman" w:cs="Calibri"/>
          <w:color w:val="000000"/>
          <w:sz w:val="24"/>
          <w:szCs w:val="24"/>
          <w:lang w:eastAsia="es-ES"/>
        </w:rPr>
        <w:t xml:space="preserve"> señala que, u</w:t>
      </w:r>
      <w:r w:rsidR="009A7BAE" w:rsidRPr="000E6594">
        <w:rPr>
          <w:rFonts w:eastAsia="Times New Roman" w:cs="Calibri"/>
          <w:color w:val="000000"/>
          <w:sz w:val="24"/>
          <w:szCs w:val="24"/>
          <w:lang w:eastAsia="es-ES"/>
        </w:rPr>
        <w:t>no de los mitos más extendidos es la minimización de la violencia sexual, que se manifiesta en la desconfianza sistemática hacia el relato de las mujeres, bajo la presunción de que existe una inclinación femenina a formular denuncias falsas. Asimismo, este mito contribuye a excluir del concepto de violencia sexual</w:t>
      </w:r>
      <w:r w:rsidR="00071A8A" w:rsidRPr="000E6594">
        <w:rPr>
          <w:rFonts w:eastAsia="Times New Roman" w:cs="Calibri"/>
          <w:color w:val="000000"/>
          <w:sz w:val="24"/>
          <w:szCs w:val="24"/>
          <w:lang w:eastAsia="es-ES"/>
        </w:rPr>
        <w:t>,</w:t>
      </w:r>
      <w:r w:rsidR="009A7BAE" w:rsidRPr="000E6594">
        <w:rPr>
          <w:rFonts w:eastAsia="Times New Roman" w:cs="Calibri"/>
          <w:color w:val="000000"/>
          <w:sz w:val="24"/>
          <w:szCs w:val="24"/>
          <w:lang w:eastAsia="es-ES"/>
        </w:rPr>
        <w:t xml:space="preserve"> aquellas conductas que no implican penetración, restándoles relevancia </w:t>
      </w:r>
      <w:r w:rsidR="00071A8A" w:rsidRPr="000E6594">
        <w:rPr>
          <w:rFonts w:eastAsia="Times New Roman" w:cs="Calibri"/>
          <w:color w:val="000000"/>
          <w:sz w:val="24"/>
          <w:szCs w:val="24"/>
          <w:lang w:eastAsia="es-ES"/>
        </w:rPr>
        <w:t>jurídica y social.</w:t>
      </w:r>
    </w:p>
    <w:p w14:paraId="465290DC" w14:textId="001544F2" w:rsidR="00647E00" w:rsidRPr="000E6594" w:rsidRDefault="00071A8A"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También se relaciona </w:t>
      </w:r>
      <w:r w:rsidR="009A7BAE" w:rsidRPr="000E6594">
        <w:rPr>
          <w:rFonts w:eastAsia="Times New Roman" w:cs="Calibri"/>
          <w:color w:val="000000"/>
          <w:sz w:val="24"/>
          <w:szCs w:val="24"/>
          <w:lang w:eastAsia="es-ES"/>
        </w:rPr>
        <w:t xml:space="preserve">la supuesta incapacidad de las mujeres para tomar decisiones autónomas sobre su propio cuerpo. Este mito se sustenta en procesos de </w:t>
      </w:r>
      <w:r w:rsidR="009A7BAE" w:rsidRPr="000E6594">
        <w:rPr>
          <w:rFonts w:eastAsia="Times New Roman" w:cs="Calibri"/>
          <w:color w:val="000000"/>
          <w:sz w:val="24"/>
          <w:szCs w:val="24"/>
          <w:lang w:eastAsia="es-ES"/>
        </w:rPr>
        <w:lastRenderedPageBreak/>
        <w:t>deshumanización y cosificación que atraviesan todo el ciclo vital femenino, y que conciben los cuerpos de las mujeres como objetos de consumo y pro</w:t>
      </w:r>
      <w:r w:rsidRPr="000E6594">
        <w:rPr>
          <w:rFonts w:eastAsia="Times New Roman" w:cs="Calibri"/>
          <w:color w:val="000000"/>
          <w:sz w:val="24"/>
          <w:szCs w:val="24"/>
          <w:lang w:eastAsia="es-ES"/>
        </w:rPr>
        <w:t>piedad masculina.</w:t>
      </w:r>
    </w:p>
    <w:p w14:paraId="688C2B6D" w14:textId="6D61924C"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Asimismo, resulta frecuente la descalificación de la víctima y de su testimonio en función de su comportamiento previo a la agresión sexual. Esta práctica se basa en valoraciones estereotipadas y culpabilizadoras relacionadas con los roles tradicionales de género, la apariencia física o la conducta social de las mujeres. En este sentido, el historial sexual de la víctima es utilizado como un elemento para cuestionar su credibilidad o para justificar, directa o indirectamente, la </w:t>
      </w:r>
      <w:r w:rsidR="00071A8A" w:rsidRPr="000E6594">
        <w:rPr>
          <w:rFonts w:eastAsia="Times New Roman" w:cs="Calibri"/>
          <w:color w:val="000000"/>
          <w:sz w:val="24"/>
          <w:szCs w:val="24"/>
          <w:lang w:eastAsia="es-ES"/>
        </w:rPr>
        <w:t>violencia sufrida.</w:t>
      </w:r>
      <w:r w:rsidRPr="000E6594">
        <w:rPr>
          <w:rFonts w:eastAsia="Times New Roman" w:cs="Calibri"/>
          <w:color w:val="000000"/>
          <w:sz w:val="24"/>
          <w:szCs w:val="24"/>
          <w:lang w:eastAsia="es-ES"/>
        </w:rPr>
        <w:t> </w:t>
      </w:r>
    </w:p>
    <w:p w14:paraId="646AD6D4" w14:textId="4014BA36" w:rsidR="00647E00" w:rsidRPr="000E6594" w:rsidRDefault="00071A8A"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De igual forma, l</w:t>
      </w:r>
      <w:r w:rsidR="009A7BAE" w:rsidRPr="000E6594">
        <w:rPr>
          <w:rFonts w:eastAsia="Times New Roman" w:cs="Calibri"/>
          <w:color w:val="000000"/>
          <w:sz w:val="24"/>
          <w:szCs w:val="24"/>
          <w:lang w:eastAsia="es-ES"/>
        </w:rPr>
        <w:t>a deslegitimación del testimonio</w:t>
      </w:r>
      <w:r w:rsidRPr="000E6594">
        <w:rPr>
          <w:rFonts w:eastAsia="Times New Roman" w:cs="Calibri"/>
          <w:color w:val="000000"/>
          <w:sz w:val="24"/>
          <w:szCs w:val="24"/>
          <w:lang w:eastAsia="es-ES"/>
        </w:rPr>
        <w:t xml:space="preserve"> s</w:t>
      </w:r>
      <w:r w:rsidR="009A7BAE" w:rsidRPr="000E6594">
        <w:rPr>
          <w:rFonts w:eastAsia="Times New Roman" w:cs="Calibri"/>
          <w:color w:val="000000"/>
          <w:sz w:val="24"/>
          <w:szCs w:val="24"/>
          <w:lang w:eastAsia="es-ES"/>
        </w:rPr>
        <w:t>e produce en relación con el comportamiento de la víctima durante la agresión, al compararlo con una supuesta respuesta “natural” esperada de toda víctima de violencia sexual. Este mito ignora el amplio espectro de reacciones posibles ante una agresión, como el bloqueo, la sumisión, la disociación o la incapacidad de resistirse físicamente. De igual modo, se exige en ocasiones la presencia de lesiones físicas como prueba de la violencia, sin tener en cuenta situaciones de inconsciencia u otras circunstancias que impiden una re</w:t>
      </w:r>
      <w:r w:rsidRPr="000E6594">
        <w:rPr>
          <w:rFonts w:eastAsia="Times New Roman" w:cs="Calibri"/>
          <w:color w:val="000000"/>
          <w:sz w:val="24"/>
          <w:szCs w:val="24"/>
          <w:lang w:eastAsia="es-ES"/>
        </w:rPr>
        <w:t>sistencia activa.</w:t>
      </w:r>
    </w:p>
    <w:p w14:paraId="71C061DF" w14:textId="725C5E2F"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De forma similar, el comportamiento posterior al hecho delictivo es utilizado para cuestionar la veracidad del relato cuando la víctima no se ajusta al estereotipo de una persona visiblemente traumatizada, deprimida o en crisis emocional. Esta expectativa homogénea desconoce la diversidad de respuestas psicológicas al trauma y contribuye a reforzar la desconfianza hacia aquellas mujeres que no encajan</w:t>
      </w:r>
      <w:r w:rsidR="001C401D" w:rsidRPr="000E6594">
        <w:rPr>
          <w:rFonts w:eastAsia="Times New Roman" w:cs="Calibri"/>
          <w:color w:val="000000"/>
          <w:sz w:val="24"/>
          <w:szCs w:val="24"/>
          <w:lang w:eastAsia="es-ES"/>
        </w:rPr>
        <w:t xml:space="preserve"> en dicho modelo.</w:t>
      </w:r>
    </w:p>
    <w:p w14:paraId="7C77A690" w14:textId="3ABDD683"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Otro mito relevante es la construcción estereotipada del agresor y la </w:t>
      </w:r>
      <w:proofErr w:type="spellStart"/>
      <w:r w:rsidRPr="000E6594">
        <w:rPr>
          <w:rFonts w:eastAsia="Times New Roman" w:cs="Calibri"/>
          <w:color w:val="000000"/>
          <w:sz w:val="24"/>
          <w:szCs w:val="24"/>
          <w:lang w:eastAsia="es-ES"/>
        </w:rPr>
        <w:t>romantización</w:t>
      </w:r>
      <w:proofErr w:type="spellEnd"/>
      <w:r w:rsidRPr="000E6594">
        <w:rPr>
          <w:rFonts w:eastAsia="Times New Roman" w:cs="Calibri"/>
          <w:color w:val="000000"/>
          <w:sz w:val="24"/>
          <w:szCs w:val="24"/>
          <w:lang w:eastAsia="es-ES"/>
        </w:rPr>
        <w:t> de la violencia sexual. Se sostiene, por un lado, la idea de que la sexualidad masculina es instintiva, incontrolable y agresiva, y por otro, que los agresores responden a perfiles marginales, como personas pobres, sin educación, con adicciones o trastornos mentales. A ello se suma la creencia de que la violencia sexual es perpetrada mayoritariamente por desconocidos en espacios públicos y peligrosos, lo que invisibiliza las agresiones cometidas en entornos cercanos y de confianza, y favorece la normalización de la violencia en el marco del amor rom</w:t>
      </w:r>
      <w:r w:rsidR="001C401D" w:rsidRPr="000E6594">
        <w:rPr>
          <w:rFonts w:eastAsia="Times New Roman" w:cs="Calibri"/>
          <w:color w:val="000000"/>
          <w:sz w:val="24"/>
          <w:szCs w:val="24"/>
          <w:lang w:eastAsia="es-ES"/>
        </w:rPr>
        <w:t>ántico.</w:t>
      </w:r>
    </w:p>
    <w:p w14:paraId="153DDA93" w14:textId="7DFCC1DB" w:rsidR="00647E00"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Finalmente, el Derecho Internaciona</w:t>
      </w:r>
      <w:r w:rsidR="001C401D" w:rsidRPr="000E6594">
        <w:rPr>
          <w:rFonts w:eastAsia="Times New Roman" w:cs="Calibri"/>
          <w:color w:val="000000"/>
          <w:sz w:val="24"/>
          <w:szCs w:val="24"/>
          <w:lang w:eastAsia="es-ES"/>
        </w:rPr>
        <w:t>l,</w:t>
      </w:r>
      <w:r w:rsidRPr="000E6594">
        <w:rPr>
          <w:rFonts w:eastAsia="Times New Roman" w:cs="Calibri"/>
          <w:color w:val="000000"/>
          <w:sz w:val="24"/>
          <w:szCs w:val="24"/>
          <w:lang w:eastAsia="es-ES"/>
        </w:rPr>
        <w:t xml:space="preserve"> identifica la denominada ética sexual del silencio, caracterizada por pactos familiares y sociales, a menudo intergeneracionales, </w:t>
      </w:r>
      <w:r w:rsidRPr="000E6594">
        <w:rPr>
          <w:rFonts w:eastAsia="Times New Roman" w:cs="Calibri"/>
          <w:color w:val="000000"/>
          <w:sz w:val="24"/>
          <w:szCs w:val="24"/>
          <w:lang w:eastAsia="es-ES"/>
        </w:rPr>
        <w:lastRenderedPageBreak/>
        <w:t xml:space="preserve">que promueven el encubrimiento de la violencia sexual. Estos pactos se justifican en nociones de honor, culpabilización de la víctima y protección del agresor, y contribuyen a la impunidad, así como a la perpetuación de la violencia mediante la negación pública </w:t>
      </w:r>
      <w:r w:rsidR="001C401D" w:rsidRPr="000E6594">
        <w:rPr>
          <w:rFonts w:eastAsia="Times New Roman" w:cs="Calibri"/>
          <w:color w:val="000000"/>
          <w:sz w:val="24"/>
          <w:szCs w:val="24"/>
          <w:lang w:eastAsia="es-ES"/>
        </w:rPr>
        <w:t>del daño sufrido.</w:t>
      </w:r>
    </w:p>
    <w:p w14:paraId="37961228" w14:textId="77777777" w:rsidR="002C5F4C" w:rsidRPr="000E6594" w:rsidRDefault="002C5F4C" w:rsidP="000E6594">
      <w:pPr>
        <w:spacing w:after="100" w:line="360" w:lineRule="auto"/>
        <w:ind w:firstLine="340"/>
        <w:jc w:val="both"/>
        <w:textAlignment w:val="baseline"/>
        <w:rPr>
          <w:rFonts w:cs="Calibri"/>
        </w:rPr>
      </w:pPr>
    </w:p>
    <w:p w14:paraId="55D50230" w14:textId="77777777" w:rsidR="00BB592C" w:rsidRPr="005726B7" w:rsidRDefault="00BB592C" w:rsidP="005726B7">
      <w:pPr>
        <w:spacing w:after="100" w:line="360" w:lineRule="auto"/>
        <w:ind w:firstLine="340"/>
        <w:jc w:val="both"/>
        <w:textAlignment w:val="baseline"/>
        <w:rPr>
          <w:rStyle w:val="Ttulo2Car"/>
          <w:rFonts w:ascii="Calibri" w:hAnsi="Calibri" w:cs="Calibri"/>
          <w:b/>
          <w:bCs/>
          <w:color w:val="auto"/>
          <w:sz w:val="24"/>
          <w:szCs w:val="24"/>
        </w:rPr>
      </w:pPr>
      <w:bookmarkStart w:id="26" w:name="_Toc224333154"/>
      <w:r w:rsidRPr="005726B7">
        <w:rPr>
          <w:rStyle w:val="Ttulo2Car"/>
          <w:rFonts w:ascii="Calibri" w:hAnsi="Calibri" w:cs="Calibri"/>
          <w:b/>
          <w:bCs/>
          <w:color w:val="auto"/>
          <w:sz w:val="24"/>
          <w:szCs w:val="24"/>
        </w:rPr>
        <w:t xml:space="preserve">3.4 </w:t>
      </w:r>
      <w:r w:rsidR="009A7BAE" w:rsidRPr="005726B7">
        <w:rPr>
          <w:rStyle w:val="Ttulo2Car"/>
          <w:rFonts w:ascii="Calibri" w:hAnsi="Calibri" w:cs="Calibri"/>
          <w:b/>
          <w:bCs/>
          <w:color w:val="auto"/>
          <w:sz w:val="24"/>
          <w:szCs w:val="24"/>
        </w:rPr>
        <w:t>  </w:t>
      </w:r>
      <w:r w:rsidRPr="005726B7">
        <w:rPr>
          <w:rStyle w:val="Ttulo2Car"/>
          <w:rFonts w:ascii="Calibri" w:hAnsi="Calibri" w:cs="Calibri"/>
          <w:b/>
          <w:bCs/>
          <w:color w:val="auto"/>
          <w:sz w:val="24"/>
          <w:szCs w:val="24"/>
        </w:rPr>
        <w:t>Impacto social y psicológico de la criminología mediática en las víctimas de</w:t>
      </w:r>
      <w:bookmarkEnd w:id="26"/>
      <w:r w:rsidRPr="005726B7">
        <w:rPr>
          <w:rFonts w:eastAsia="Times New Roman" w:cs="Calibri"/>
          <w:b/>
          <w:bCs/>
          <w:sz w:val="24"/>
          <w:szCs w:val="24"/>
          <w:lang w:val="es-ES_tradnl" w:eastAsia="es-ES"/>
        </w:rPr>
        <w:t xml:space="preserve"> </w:t>
      </w:r>
      <w:r w:rsidRPr="005726B7">
        <w:rPr>
          <w:rStyle w:val="Ttulo2Car"/>
          <w:rFonts w:ascii="Calibri" w:hAnsi="Calibri" w:cs="Calibri"/>
          <w:b/>
          <w:bCs/>
          <w:color w:val="auto"/>
          <w:sz w:val="24"/>
          <w:szCs w:val="24"/>
        </w:rPr>
        <w:t>violencia sexual.</w:t>
      </w:r>
    </w:p>
    <w:p w14:paraId="169A7D3C" w14:textId="7FDE9FDD" w:rsidR="007A441E" w:rsidRPr="005726B7" w:rsidRDefault="00BB592C" w:rsidP="005726B7">
      <w:pPr>
        <w:pStyle w:val="Ttulo3"/>
        <w:spacing w:line="360" w:lineRule="auto"/>
        <w:rPr>
          <w:rFonts w:ascii="Calibri" w:eastAsia="Times New Roman" w:hAnsi="Calibri" w:cs="Calibri"/>
          <w:b/>
          <w:bCs/>
          <w:color w:val="auto"/>
          <w:lang w:eastAsia="es-ES"/>
        </w:rPr>
      </w:pPr>
      <w:bookmarkStart w:id="27" w:name="_Toc224333155"/>
      <w:r w:rsidRPr="005726B7">
        <w:rPr>
          <w:rFonts w:ascii="Calibri" w:eastAsia="Times New Roman" w:hAnsi="Calibri" w:cs="Calibri"/>
          <w:b/>
          <w:bCs/>
          <w:color w:val="auto"/>
          <w:lang w:val="es-ES_tradnl" w:eastAsia="es-ES"/>
        </w:rPr>
        <w:t xml:space="preserve">3.4.1 </w:t>
      </w:r>
      <w:r w:rsidRPr="005726B7">
        <w:rPr>
          <w:rFonts w:ascii="Calibri" w:eastAsia="Times New Roman" w:hAnsi="Calibri" w:cs="Calibri"/>
          <w:b/>
          <w:bCs/>
          <w:color w:val="auto"/>
          <w:lang w:eastAsia="es-ES"/>
        </w:rPr>
        <w:t>Consecuencias de la exposición mediática en víctimas.</w:t>
      </w:r>
      <w:bookmarkEnd w:id="27"/>
      <w:r w:rsidRPr="005726B7">
        <w:rPr>
          <w:rFonts w:ascii="Calibri" w:eastAsia="Times New Roman" w:hAnsi="Calibri" w:cs="Calibri"/>
          <w:b/>
          <w:bCs/>
          <w:color w:val="auto"/>
          <w:lang w:eastAsia="es-ES"/>
        </w:rPr>
        <w:t xml:space="preserve"> </w:t>
      </w:r>
    </w:p>
    <w:p w14:paraId="5D3E6A05" w14:textId="185FC64C" w:rsidR="004729CF" w:rsidRPr="000E6594" w:rsidRDefault="003A033B" w:rsidP="005726B7">
      <w:pPr>
        <w:spacing w:after="100" w:line="360" w:lineRule="auto"/>
        <w:ind w:firstLine="340"/>
        <w:jc w:val="both"/>
        <w:textAlignment w:val="baseline"/>
        <w:rPr>
          <w:rFonts w:eastAsia="Times New Roman" w:cs="Calibri"/>
          <w:bCs/>
          <w:sz w:val="24"/>
          <w:szCs w:val="24"/>
          <w:lang w:eastAsia="es-ES"/>
        </w:rPr>
      </w:pPr>
      <w:r w:rsidRPr="005726B7">
        <w:rPr>
          <w:rFonts w:eastAsia="Times New Roman" w:cs="Calibri"/>
          <w:bCs/>
          <w:sz w:val="24"/>
          <w:szCs w:val="24"/>
          <w:lang w:eastAsia="es-ES"/>
        </w:rPr>
        <w:t>Cuando una víctima de violencia sexual se convierte en objeto de atención mediática, el daño que ya ha sufrido no se detiene</w:t>
      </w:r>
      <w:r w:rsidR="00A53B56" w:rsidRPr="005726B7">
        <w:rPr>
          <w:rFonts w:eastAsia="Times New Roman" w:cs="Calibri"/>
          <w:bCs/>
          <w:sz w:val="24"/>
          <w:szCs w:val="24"/>
          <w:lang w:eastAsia="es-ES"/>
        </w:rPr>
        <w:t xml:space="preserve">. Al contrario, en </w:t>
      </w:r>
      <w:r w:rsidRPr="005726B7">
        <w:rPr>
          <w:rFonts w:eastAsia="Times New Roman" w:cs="Calibri"/>
          <w:bCs/>
          <w:sz w:val="24"/>
          <w:szCs w:val="24"/>
          <w:lang w:eastAsia="es-ES"/>
        </w:rPr>
        <w:t xml:space="preserve">muchos casos, se prolonga y se intensifica. La cobertura periodística de este tipo de delitos </w:t>
      </w:r>
      <w:r w:rsidR="00A53B56" w:rsidRPr="005726B7">
        <w:rPr>
          <w:rFonts w:eastAsia="Times New Roman" w:cs="Calibri"/>
          <w:bCs/>
          <w:sz w:val="24"/>
          <w:szCs w:val="24"/>
          <w:lang w:eastAsia="es-ES"/>
        </w:rPr>
        <w:t>tiende a adoptar una práctica negligente</w:t>
      </w:r>
      <w:r w:rsidRPr="005726B7">
        <w:rPr>
          <w:rFonts w:eastAsia="Times New Roman" w:cs="Calibri"/>
          <w:bCs/>
          <w:sz w:val="24"/>
          <w:szCs w:val="24"/>
          <w:lang w:eastAsia="es-ES"/>
        </w:rPr>
        <w:t xml:space="preserve"> </w:t>
      </w:r>
      <w:r w:rsidR="00A53B56" w:rsidRPr="005726B7">
        <w:rPr>
          <w:rFonts w:eastAsia="Times New Roman" w:cs="Calibri"/>
          <w:bCs/>
          <w:sz w:val="24"/>
          <w:szCs w:val="24"/>
          <w:lang w:eastAsia="es-ES"/>
        </w:rPr>
        <w:t>reproduciendo</w:t>
      </w:r>
      <w:r w:rsidRPr="005726B7">
        <w:rPr>
          <w:rFonts w:eastAsia="Times New Roman" w:cs="Calibri"/>
          <w:bCs/>
          <w:sz w:val="24"/>
          <w:szCs w:val="24"/>
          <w:lang w:eastAsia="es-ES"/>
        </w:rPr>
        <w:t xml:space="preserve"> </w:t>
      </w:r>
      <w:r w:rsidRPr="000E6594">
        <w:rPr>
          <w:rFonts w:eastAsia="Times New Roman" w:cs="Calibri"/>
          <w:bCs/>
          <w:sz w:val="24"/>
          <w:szCs w:val="24"/>
          <w:lang w:eastAsia="es-ES"/>
        </w:rPr>
        <w:t xml:space="preserve">estereotipos de género, </w:t>
      </w:r>
      <w:r w:rsidR="00A53B56" w:rsidRPr="000E6594">
        <w:rPr>
          <w:rFonts w:eastAsia="Times New Roman" w:cs="Calibri"/>
          <w:bCs/>
          <w:sz w:val="24"/>
          <w:szCs w:val="24"/>
          <w:lang w:eastAsia="es-ES"/>
        </w:rPr>
        <w:t>exponiendo</w:t>
      </w:r>
      <w:r w:rsidRPr="000E6594">
        <w:rPr>
          <w:rFonts w:eastAsia="Times New Roman" w:cs="Calibri"/>
          <w:bCs/>
          <w:sz w:val="24"/>
          <w:szCs w:val="24"/>
          <w:lang w:eastAsia="es-ES"/>
        </w:rPr>
        <w:t xml:space="preserve"> datos personales sin consentimiento y </w:t>
      </w:r>
      <w:r w:rsidR="00A53B56" w:rsidRPr="000E6594">
        <w:rPr>
          <w:rFonts w:eastAsia="Times New Roman" w:cs="Calibri"/>
          <w:bCs/>
          <w:sz w:val="24"/>
          <w:szCs w:val="24"/>
          <w:lang w:eastAsia="es-ES"/>
        </w:rPr>
        <w:t>cuestionando</w:t>
      </w:r>
      <w:r w:rsidRPr="000E6594">
        <w:rPr>
          <w:rFonts w:eastAsia="Times New Roman" w:cs="Calibri"/>
          <w:bCs/>
          <w:sz w:val="24"/>
          <w:szCs w:val="24"/>
          <w:lang w:eastAsia="es-ES"/>
        </w:rPr>
        <w:t xml:space="preserve"> la versión de quien denuncia, todo ello bajo la lógica de captar audiencia o generar interacciones en redes sociales. </w:t>
      </w:r>
      <w:r w:rsidR="00657015" w:rsidRPr="000E6594">
        <w:rPr>
          <w:rFonts w:eastAsia="Times New Roman" w:cs="Calibri"/>
          <w:bCs/>
          <w:sz w:val="24"/>
          <w:szCs w:val="24"/>
          <w:lang w:eastAsia="es-ES"/>
        </w:rPr>
        <w:t>Consecuentemente, la</w:t>
      </w:r>
      <w:r w:rsidR="00EC5171" w:rsidRPr="000E6594">
        <w:rPr>
          <w:rFonts w:eastAsia="Times New Roman" w:cs="Calibri"/>
          <w:bCs/>
          <w:sz w:val="24"/>
          <w:szCs w:val="24"/>
          <w:lang w:eastAsia="es-ES"/>
        </w:rPr>
        <w:t xml:space="preserve"> </w:t>
      </w:r>
      <w:r w:rsidR="004729CF" w:rsidRPr="000E6594">
        <w:rPr>
          <w:rFonts w:eastAsia="Times New Roman" w:cs="Calibri"/>
          <w:bCs/>
          <w:sz w:val="24"/>
          <w:szCs w:val="24"/>
          <w:lang w:eastAsia="es-ES"/>
        </w:rPr>
        <w:t xml:space="preserve">víctima siente que no tiene ningún control sobre su información personal ni sobre su </w:t>
      </w:r>
      <w:r w:rsidR="00930F7A" w:rsidRPr="000E6594">
        <w:rPr>
          <w:rFonts w:eastAsia="Times New Roman" w:cs="Calibri"/>
          <w:bCs/>
          <w:sz w:val="24"/>
          <w:szCs w:val="24"/>
          <w:lang w:eastAsia="es-ES"/>
        </w:rPr>
        <w:t>intimidad (</w:t>
      </w:r>
      <w:r w:rsidR="0087615C" w:rsidRPr="000E6594">
        <w:rPr>
          <w:rFonts w:eastAsia="Times New Roman" w:cs="Calibri"/>
          <w:bCs/>
          <w:sz w:val="24"/>
          <w:szCs w:val="24"/>
          <w:lang w:eastAsia="es-ES"/>
        </w:rPr>
        <w:t xml:space="preserve">Álvarez Boyero, citada en </w:t>
      </w:r>
      <w:proofErr w:type="spellStart"/>
      <w:r w:rsidR="0087615C" w:rsidRPr="000E6594">
        <w:rPr>
          <w:rFonts w:eastAsia="Times New Roman" w:cs="Calibri"/>
          <w:bCs/>
          <w:sz w:val="24"/>
          <w:szCs w:val="24"/>
          <w:lang w:eastAsia="es-ES"/>
        </w:rPr>
        <w:t>Valdecantos</w:t>
      </w:r>
      <w:proofErr w:type="spellEnd"/>
      <w:r w:rsidR="0087615C" w:rsidRPr="000E6594">
        <w:rPr>
          <w:rFonts w:eastAsia="Times New Roman" w:cs="Calibri"/>
          <w:bCs/>
          <w:sz w:val="24"/>
          <w:szCs w:val="24"/>
          <w:lang w:eastAsia="es-ES"/>
        </w:rPr>
        <w:t>, 2025).</w:t>
      </w:r>
    </w:p>
    <w:p w14:paraId="0656EB65" w14:textId="3FF42916" w:rsidR="003A033B" w:rsidRPr="000E6594" w:rsidRDefault="003A033B" w:rsidP="000E6594">
      <w:pPr>
        <w:spacing w:after="100" w:line="360" w:lineRule="auto"/>
        <w:ind w:firstLine="340"/>
        <w:jc w:val="both"/>
        <w:textAlignment w:val="baseline"/>
        <w:rPr>
          <w:rFonts w:eastAsia="Times New Roman" w:cs="Calibri"/>
          <w:bCs/>
          <w:sz w:val="24"/>
          <w:szCs w:val="24"/>
          <w:lang w:eastAsia="es-ES"/>
        </w:rPr>
      </w:pPr>
      <w:r w:rsidRPr="000E6594">
        <w:rPr>
          <w:rFonts w:eastAsia="Times New Roman" w:cs="Calibri"/>
          <w:bCs/>
          <w:sz w:val="24"/>
          <w:szCs w:val="24"/>
          <w:lang w:eastAsia="es-ES"/>
        </w:rPr>
        <w:t xml:space="preserve">Según el informe </w:t>
      </w:r>
      <w:r w:rsidRPr="000E6594">
        <w:rPr>
          <w:rFonts w:eastAsia="Times New Roman" w:cs="Calibri"/>
          <w:bCs/>
          <w:i/>
          <w:iCs/>
          <w:sz w:val="24"/>
          <w:szCs w:val="24"/>
          <w:lang w:eastAsia="es-ES"/>
        </w:rPr>
        <w:t>Desenfocadas</w:t>
      </w:r>
      <w:r w:rsidRPr="000E6594">
        <w:rPr>
          <w:rFonts w:eastAsia="Times New Roman" w:cs="Calibri"/>
          <w:bCs/>
          <w:sz w:val="24"/>
          <w:szCs w:val="24"/>
          <w:lang w:eastAsia="es-ES"/>
        </w:rPr>
        <w:t xml:space="preserve"> (</w:t>
      </w:r>
      <w:r w:rsidR="00672B12" w:rsidRPr="000E6594">
        <w:rPr>
          <w:rFonts w:eastAsia="Times New Roman" w:cs="Calibri"/>
          <w:bCs/>
          <w:sz w:val="24"/>
          <w:szCs w:val="24"/>
          <w:lang w:eastAsia="es-ES"/>
        </w:rPr>
        <w:t>LLYC, 2024)</w:t>
      </w:r>
      <w:r w:rsidR="00930F7A" w:rsidRPr="000E6594">
        <w:rPr>
          <w:rFonts w:eastAsia="Times New Roman" w:cs="Calibri"/>
          <w:bCs/>
          <w:sz w:val="24"/>
          <w:szCs w:val="24"/>
          <w:lang w:eastAsia="es-ES"/>
        </w:rPr>
        <w:t>,</w:t>
      </w:r>
      <w:r w:rsidR="00672B12" w:rsidRPr="000E6594">
        <w:rPr>
          <w:rFonts w:eastAsia="Times New Roman" w:cs="Calibri"/>
          <w:bCs/>
          <w:sz w:val="24"/>
          <w:szCs w:val="24"/>
          <w:lang w:eastAsia="es-ES"/>
        </w:rPr>
        <w:t xml:space="preserve"> </w:t>
      </w:r>
      <w:r w:rsidRPr="000E6594">
        <w:rPr>
          <w:rFonts w:eastAsia="Times New Roman" w:cs="Calibri"/>
          <w:bCs/>
          <w:sz w:val="24"/>
          <w:szCs w:val="24"/>
          <w:lang w:eastAsia="es-ES"/>
        </w:rPr>
        <w:t>una de cada seis noticias sobre violencia de género expone datos personales de las víctimas, y el 20% de las publicaciones justifica las agresiones apelando a la conducta o apariencia de la propia víctima. Est</w:t>
      </w:r>
      <w:r w:rsidR="00A53B56" w:rsidRPr="000E6594">
        <w:rPr>
          <w:rFonts w:eastAsia="Times New Roman" w:cs="Calibri"/>
          <w:bCs/>
          <w:sz w:val="24"/>
          <w:szCs w:val="24"/>
          <w:lang w:eastAsia="es-ES"/>
        </w:rPr>
        <w:t xml:space="preserve">a realidad </w:t>
      </w:r>
      <w:r w:rsidRPr="000E6594">
        <w:rPr>
          <w:rFonts w:eastAsia="Times New Roman" w:cs="Calibri"/>
          <w:bCs/>
          <w:sz w:val="24"/>
          <w:szCs w:val="24"/>
          <w:lang w:eastAsia="es-ES"/>
        </w:rPr>
        <w:t xml:space="preserve">convierte a los medios de comunicación en un espacio </w:t>
      </w:r>
      <w:r w:rsidR="00A53B56" w:rsidRPr="000E6594">
        <w:rPr>
          <w:rFonts w:eastAsia="Times New Roman" w:cs="Calibri"/>
          <w:bCs/>
          <w:sz w:val="24"/>
          <w:szCs w:val="24"/>
          <w:lang w:eastAsia="es-ES"/>
        </w:rPr>
        <w:t>que permite que</w:t>
      </w:r>
      <w:r w:rsidRPr="000E6594">
        <w:rPr>
          <w:rFonts w:eastAsia="Times New Roman" w:cs="Calibri"/>
          <w:bCs/>
          <w:sz w:val="24"/>
          <w:szCs w:val="24"/>
          <w:lang w:eastAsia="es-ES"/>
        </w:rPr>
        <w:t xml:space="preserve"> la violencia </w:t>
      </w:r>
      <w:r w:rsidR="00A53B56" w:rsidRPr="000E6594">
        <w:rPr>
          <w:rFonts w:eastAsia="Times New Roman" w:cs="Calibri"/>
          <w:bCs/>
          <w:sz w:val="24"/>
          <w:szCs w:val="24"/>
          <w:lang w:eastAsia="es-ES"/>
        </w:rPr>
        <w:t>se siga ejerciendo</w:t>
      </w:r>
      <w:r w:rsidRPr="000E6594">
        <w:rPr>
          <w:rFonts w:eastAsia="Times New Roman" w:cs="Calibri"/>
          <w:bCs/>
          <w:sz w:val="24"/>
          <w:szCs w:val="24"/>
          <w:lang w:eastAsia="es-ES"/>
        </w:rPr>
        <w:t xml:space="preserve"> de manera simbólica, transformando el caso en un juicio público</w:t>
      </w:r>
      <w:r w:rsidR="00351730" w:rsidRPr="000E6594">
        <w:rPr>
          <w:rFonts w:eastAsia="Times New Roman" w:cs="Calibri"/>
          <w:bCs/>
          <w:sz w:val="24"/>
          <w:szCs w:val="24"/>
          <w:lang w:eastAsia="es-ES"/>
        </w:rPr>
        <w:t>.</w:t>
      </w:r>
    </w:p>
    <w:p w14:paraId="4F9122A9" w14:textId="0CDE9D28" w:rsidR="003A033B" w:rsidRPr="000E6594" w:rsidRDefault="003A033B" w:rsidP="000E6594">
      <w:pPr>
        <w:spacing w:after="100" w:line="360" w:lineRule="auto"/>
        <w:ind w:firstLine="340"/>
        <w:jc w:val="both"/>
        <w:textAlignment w:val="baseline"/>
        <w:rPr>
          <w:rFonts w:eastAsia="Times New Roman" w:cs="Calibri"/>
          <w:bCs/>
          <w:sz w:val="24"/>
          <w:szCs w:val="24"/>
          <w:lang w:eastAsia="es-ES"/>
        </w:rPr>
      </w:pPr>
      <w:r w:rsidRPr="000E6594">
        <w:rPr>
          <w:rFonts w:eastAsia="Times New Roman" w:cs="Calibri"/>
          <w:bCs/>
          <w:sz w:val="24"/>
          <w:szCs w:val="24"/>
          <w:lang w:eastAsia="es-ES"/>
        </w:rPr>
        <w:t xml:space="preserve">Desde el punto de vista psicológico, la exposición mediática </w:t>
      </w:r>
      <w:r w:rsidR="00351730" w:rsidRPr="000E6594">
        <w:rPr>
          <w:rFonts w:eastAsia="Times New Roman" w:cs="Calibri"/>
          <w:bCs/>
          <w:sz w:val="24"/>
          <w:szCs w:val="24"/>
          <w:lang w:eastAsia="es-ES"/>
        </w:rPr>
        <w:t xml:space="preserve">da lugar a la revictimización, </w:t>
      </w:r>
      <w:r w:rsidRPr="000E6594">
        <w:rPr>
          <w:rFonts w:eastAsia="Times New Roman" w:cs="Calibri"/>
          <w:bCs/>
          <w:sz w:val="24"/>
          <w:szCs w:val="24"/>
          <w:lang w:eastAsia="es-ES"/>
        </w:rPr>
        <w:t xml:space="preserve">que agrava los síntomas iniciales y puede generar nuevas afectaciones. </w:t>
      </w:r>
      <w:r w:rsidR="00351730" w:rsidRPr="000E6594">
        <w:rPr>
          <w:rFonts w:eastAsia="Times New Roman" w:cs="Calibri"/>
          <w:bCs/>
          <w:sz w:val="24"/>
          <w:szCs w:val="24"/>
          <w:lang w:eastAsia="es-ES"/>
        </w:rPr>
        <w:t>Las</w:t>
      </w:r>
      <w:r w:rsidRPr="000E6594">
        <w:rPr>
          <w:rFonts w:eastAsia="Times New Roman" w:cs="Calibri"/>
          <w:bCs/>
          <w:sz w:val="24"/>
          <w:szCs w:val="24"/>
          <w:lang w:eastAsia="es-ES"/>
        </w:rPr>
        <w:t xml:space="preserve"> consecuencias más frecuentes </w:t>
      </w:r>
      <w:r w:rsidR="00351730" w:rsidRPr="000E6594">
        <w:rPr>
          <w:rFonts w:eastAsia="Times New Roman" w:cs="Calibri"/>
          <w:bCs/>
          <w:sz w:val="24"/>
          <w:szCs w:val="24"/>
          <w:lang w:eastAsia="es-ES"/>
        </w:rPr>
        <w:t xml:space="preserve">son </w:t>
      </w:r>
      <w:r w:rsidRPr="000E6594">
        <w:rPr>
          <w:rFonts w:eastAsia="Times New Roman" w:cs="Calibri"/>
          <w:bCs/>
          <w:sz w:val="24"/>
          <w:szCs w:val="24"/>
          <w:lang w:eastAsia="es-ES"/>
        </w:rPr>
        <w:t>la depresión, el trastorno de estrés postraumático, los sentimientos persistentes de desesperanza</w:t>
      </w:r>
      <w:r w:rsidR="002C5F4C" w:rsidRPr="000E6594">
        <w:rPr>
          <w:rFonts w:eastAsia="Times New Roman" w:cs="Calibri"/>
          <w:bCs/>
          <w:sz w:val="24"/>
          <w:szCs w:val="24"/>
          <w:lang w:eastAsia="es-ES"/>
        </w:rPr>
        <w:t xml:space="preserve"> e incluso la ideación suicida</w:t>
      </w:r>
      <w:r w:rsidRPr="000E6594">
        <w:rPr>
          <w:rFonts w:eastAsia="Times New Roman" w:cs="Calibri"/>
          <w:bCs/>
          <w:sz w:val="24"/>
          <w:szCs w:val="24"/>
          <w:lang w:eastAsia="es-ES"/>
        </w:rPr>
        <w:t xml:space="preserve"> (Adipa, 2025). </w:t>
      </w:r>
    </w:p>
    <w:p w14:paraId="0A438457" w14:textId="545E4F69" w:rsidR="00351730" w:rsidRPr="000E6594" w:rsidRDefault="003A033B" w:rsidP="000E6594">
      <w:pPr>
        <w:spacing w:after="100" w:line="360" w:lineRule="auto"/>
        <w:ind w:firstLine="340"/>
        <w:jc w:val="both"/>
        <w:textAlignment w:val="baseline"/>
        <w:rPr>
          <w:rFonts w:eastAsia="Times New Roman" w:cs="Calibri"/>
          <w:bCs/>
          <w:sz w:val="24"/>
          <w:szCs w:val="24"/>
          <w:lang w:eastAsia="es-ES"/>
        </w:rPr>
      </w:pPr>
      <w:r w:rsidRPr="000E6594">
        <w:rPr>
          <w:rFonts w:eastAsia="Times New Roman" w:cs="Calibri"/>
          <w:bCs/>
          <w:sz w:val="24"/>
          <w:szCs w:val="24"/>
          <w:lang w:eastAsia="es-ES"/>
        </w:rPr>
        <w:t xml:space="preserve">Las consecuencias sociales tampoco son menores ni más sencillas de superar. La exposición pública sin consentimiento </w:t>
      </w:r>
      <w:r w:rsidR="00713BC2" w:rsidRPr="000E6594">
        <w:rPr>
          <w:rFonts w:eastAsia="Times New Roman" w:cs="Calibri"/>
          <w:bCs/>
          <w:sz w:val="24"/>
          <w:szCs w:val="24"/>
          <w:lang w:eastAsia="es-ES"/>
        </w:rPr>
        <w:t>inicia</w:t>
      </w:r>
      <w:r w:rsidRPr="000E6594">
        <w:rPr>
          <w:rFonts w:eastAsia="Times New Roman" w:cs="Calibri"/>
          <w:bCs/>
          <w:sz w:val="24"/>
          <w:szCs w:val="24"/>
          <w:lang w:eastAsia="es-ES"/>
        </w:rPr>
        <w:t xml:space="preserve"> una cadena de efectos que altera radicalmente la vida cotidiana de la víctima. En primer lugar, el aislamiento social es una </w:t>
      </w:r>
      <w:r w:rsidRPr="000E6594">
        <w:rPr>
          <w:rFonts w:eastAsia="Times New Roman" w:cs="Calibri"/>
          <w:bCs/>
          <w:sz w:val="24"/>
          <w:szCs w:val="24"/>
          <w:lang w:eastAsia="es-ES"/>
        </w:rPr>
        <w:lastRenderedPageBreak/>
        <w:t>de las secuelas más frecuentes: la persona tiende a retirarse del entorno por vergüenza o por miedo a ser juzgada</w:t>
      </w:r>
      <w:r w:rsidR="004F558C" w:rsidRPr="000E6594">
        <w:rPr>
          <w:rFonts w:eastAsia="Times New Roman" w:cs="Calibri"/>
          <w:bCs/>
          <w:sz w:val="24"/>
          <w:szCs w:val="24"/>
          <w:lang w:eastAsia="es-ES"/>
        </w:rPr>
        <w:t xml:space="preserve">. Además, </w:t>
      </w:r>
      <w:r w:rsidRPr="000E6594">
        <w:rPr>
          <w:rFonts w:eastAsia="Times New Roman" w:cs="Calibri"/>
          <w:bCs/>
          <w:sz w:val="24"/>
          <w:szCs w:val="24"/>
          <w:lang w:eastAsia="es-ES"/>
        </w:rPr>
        <w:t xml:space="preserve">quienes la rodean en ocasiones toman distancia al percibirla como una figura incómoda </w:t>
      </w:r>
      <w:r w:rsidR="0009181B" w:rsidRPr="000E6594">
        <w:rPr>
          <w:rFonts w:eastAsia="Times New Roman" w:cs="Calibri"/>
          <w:bCs/>
          <w:sz w:val="24"/>
          <w:szCs w:val="24"/>
          <w:lang w:eastAsia="es-ES"/>
        </w:rPr>
        <w:t>(Nieto Parejo</w:t>
      </w:r>
      <w:r w:rsidRPr="000E6594">
        <w:rPr>
          <w:rFonts w:eastAsia="Times New Roman" w:cs="Calibri"/>
          <w:bCs/>
          <w:sz w:val="24"/>
          <w:szCs w:val="24"/>
          <w:lang w:eastAsia="es-ES"/>
        </w:rPr>
        <w:t xml:space="preserve">, 2018). </w:t>
      </w:r>
      <w:r w:rsidR="00D224E6" w:rsidRPr="000E6594">
        <w:rPr>
          <w:rFonts w:eastAsia="Times New Roman" w:cs="Calibri"/>
          <w:bCs/>
          <w:sz w:val="24"/>
          <w:szCs w:val="24"/>
          <w:lang w:eastAsia="es-ES"/>
        </w:rPr>
        <w:t xml:space="preserve">Esto constituye una vulneración </w:t>
      </w:r>
      <w:r w:rsidRPr="000E6594">
        <w:rPr>
          <w:rFonts w:eastAsia="Times New Roman" w:cs="Calibri"/>
          <w:bCs/>
          <w:sz w:val="24"/>
          <w:szCs w:val="24"/>
          <w:lang w:eastAsia="es-ES"/>
        </w:rPr>
        <w:t xml:space="preserve">a </w:t>
      </w:r>
      <w:r w:rsidR="00DF4730" w:rsidRPr="000E6594">
        <w:rPr>
          <w:rFonts w:eastAsia="Times New Roman" w:cs="Calibri"/>
          <w:bCs/>
          <w:sz w:val="24"/>
          <w:szCs w:val="24"/>
          <w:lang w:eastAsia="es-ES"/>
        </w:rPr>
        <w:t>su</w:t>
      </w:r>
      <w:r w:rsidRPr="000E6594">
        <w:rPr>
          <w:rFonts w:eastAsia="Times New Roman" w:cs="Calibri"/>
          <w:bCs/>
          <w:sz w:val="24"/>
          <w:szCs w:val="24"/>
          <w:lang w:eastAsia="es-ES"/>
        </w:rPr>
        <w:t xml:space="preserve"> reputación y  honor, que el CICR (2025) describe como una especie de </w:t>
      </w:r>
      <w:r w:rsidRPr="000E6594">
        <w:rPr>
          <w:rFonts w:eastAsia="Times New Roman" w:cs="Calibri"/>
          <w:bCs/>
          <w:i/>
          <w:iCs/>
          <w:sz w:val="24"/>
          <w:szCs w:val="24"/>
          <w:lang w:eastAsia="es-ES"/>
        </w:rPr>
        <w:t>muerte social</w:t>
      </w:r>
      <w:r w:rsidRPr="000E6594">
        <w:rPr>
          <w:rFonts w:eastAsia="Times New Roman" w:cs="Calibri"/>
          <w:bCs/>
          <w:sz w:val="24"/>
          <w:szCs w:val="24"/>
          <w:lang w:eastAsia="es-ES"/>
        </w:rPr>
        <w:t>: en algunos contextos, ser identificada como víctima de violencia sexual equivale a ser excluida de la comunidad de forma casi irreversible.</w:t>
      </w:r>
      <w:r w:rsidR="00B93E25" w:rsidRPr="000E6594">
        <w:rPr>
          <w:rFonts w:eastAsia="Times New Roman" w:cs="Calibri"/>
          <w:bCs/>
          <w:sz w:val="24"/>
          <w:szCs w:val="24"/>
          <w:lang w:eastAsia="es-ES"/>
        </w:rPr>
        <w:t xml:space="preserve"> </w:t>
      </w:r>
      <w:r w:rsidR="005B48DC" w:rsidRPr="000E6594">
        <w:rPr>
          <w:rFonts w:eastAsia="Times New Roman" w:cs="Calibri"/>
          <w:bCs/>
          <w:sz w:val="24"/>
          <w:szCs w:val="24"/>
          <w:lang w:eastAsia="es-ES"/>
        </w:rPr>
        <w:t>A ello se suma que las prácticas periodísticas que ponen en duda el relato de la víctima o especulan sobre su comportamiento previo alimentan la desconfianza y pueden disuadir a otras personas de denunciar (LLYC, 2024).</w:t>
      </w:r>
      <w:r w:rsidRPr="000E6594">
        <w:rPr>
          <w:rFonts w:eastAsia="Times New Roman" w:cs="Calibri"/>
          <w:bCs/>
          <w:sz w:val="24"/>
          <w:szCs w:val="24"/>
          <w:lang w:eastAsia="es-ES"/>
        </w:rPr>
        <w:t xml:space="preserve"> Finalmente, el miedo a nuevas formas de acoso</w:t>
      </w:r>
      <w:r w:rsidR="00351730" w:rsidRPr="000E6594">
        <w:rPr>
          <w:rFonts w:eastAsia="Times New Roman" w:cs="Calibri"/>
          <w:bCs/>
          <w:sz w:val="24"/>
          <w:szCs w:val="24"/>
          <w:lang w:eastAsia="es-ES"/>
        </w:rPr>
        <w:t xml:space="preserve">, </w:t>
      </w:r>
      <w:r w:rsidRPr="000E6594">
        <w:rPr>
          <w:rFonts w:eastAsia="Times New Roman" w:cs="Calibri"/>
          <w:bCs/>
          <w:sz w:val="24"/>
          <w:szCs w:val="24"/>
          <w:lang w:eastAsia="es-ES"/>
        </w:rPr>
        <w:t>tanto en espacios físicos como digitales</w:t>
      </w:r>
      <w:r w:rsidR="00351730" w:rsidRPr="000E6594">
        <w:rPr>
          <w:rFonts w:eastAsia="Times New Roman" w:cs="Calibri"/>
          <w:bCs/>
          <w:sz w:val="24"/>
          <w:szCs w:val="24"/>
          <w:lang w:eastAsia="es-ES"/>
        </w:rPr>
        <w:t xml:space="preserve">, </w:t>
      </w:r>
      <w:r w:rsidRPr="000E6594">
        <w:rPr>
          <w:rFonts w:eastAsia="Times New Roman" w:cs="Calibri"/>
          <w:bCs/>
          <w:sz w:val="24"/>
          <w:szCs w:val="24"/>
          <w:lang w:eastAsia="es-ES"/>
        </w:rPr>
        <w:t xml:space="preserve">lleva a muchas víctimas a abandonar el uso de internet o a limitar su presencia pública, restringiendo su libertad y calidad de vida </w:t>
      </w:r>
      <w:r w:rsidR="000F4371" w:rsidRPr="000E6594">
        <w:rPr>
          <w:rFonts w:eastAsia="Times New Roman" w:cs="Calibri"/>
          <w:bCs/>
          <w:sz w:val="24"/>
          <w:szCs w:val="24"/>
          <w:lang w:eastAsia="es-ES"/>
        </w:rPr>
        <w:t>(García-Mingo et al., 2025).</w:t>
      </w:r>
    </w:p>
    <w:p w14:paraId="1EFDE1FA" w14:textId="6F4326AA" w:rsidR="00647E00" w:rsidRPr="005726B7" w:rsidRDefault="009A7BAE" w:rsidP="005726B7">
      <w:pPr>
        <w:pStyle w:val="Ttulo3"/>
        <w:spacing w:line="360" w:lineRule="auto"/>
        <w:rPr>
          <w:rFonts w:asciiTheme="minorHAnsi" w:eastAsia="Times New Roman" w:hAnsiTheme="minorHAnsi" w:cstheme="minorHAnsi"/>
          <w:b/>
          <w:bCs/>
          <w:color w:val="auto"/>
          <w:lang w:eastAsia="es-ES"/>
        </w:rPr>
      </w:pPr>
      <w:bookmarkStart w:id="28" w:name="_Toc224333156"/>
      <w:r w:rsidRPr="005726B7">
        <w:rPr>
          <w:rFonts w:asciiTheme="minorHAnsi" w:eastAsia="Times New Roman" w:hAnsiTheme="minorHAnsi" w:cstheme="minorHAnsi"/>
          <w:b/>
          <w:bCs/>
          <w:color w:val="auto"/>
          <w:lang w:eastAsia="es-ES"/>
        </w:rPr>
        <w:t>3.4.2 Reacciones sociales ante la revictimización en el mundo digital.</w:t>
      </w:r>
      <w:bookmarkEnd w:id="28"/>
      <w:r w:rsidRPr="005726B7">
        <w:rPr>
          <w:rFonts w:asciiTheme="minorHAnsi" w:eastAsia="Times New Roman" w:hAnsiTheme="minorHAnsi" w:cstheme="minorHAnsi"/>
          <w:b/>
          <w:bCs/>
          <w:color w:val="auto"/>
          <w:lang w:eastAsia="es-ES"/>
        </w:rPr>
        <w:t>  </w:t>
      </w:r>
    </w:p>
    <w:p w14:paraId="3DE8BCEE" w14:textId="4CE8A014" w:rsidR="00C03EA7" w:rsidRPr="000E6594" w:rsidRDefault="00C03EA7" w:rsidP="005726B7">
      <w:pPr>
        <w:spacing w:after="100" w:line="360" w:lineRule="auto"/>
        <w:ind w:firstLine="340"/>
        <w:jc w:val="both"/>
        <w:textAlignment w:val="baseline"/>
        <w:rPr>
          <w:rFonts w:cs="Calibri"/>
          <w:sz w:val="24"/>
          <w:szCs w:val="24"/>
        </w:rPr>
      </w:pPr>
      <w:r w:rsidRPr="000E6594">
        <w:rPr>
          <w:rFonts w:cs="Calibri"/>
          <w:sz w:val="24"/>
          <w:szCs w:val="24"/>
        </w:rPr>
        <w:t xml:space="preserve">Cuando una conducta es percibida como delictiva o desviada por la comunidad, se desencadena </w:t>
      </w:r>
      <w:r w:rsidR="00351730" w:rsidRPr="000E6594">
        <w:rPr>
          <w:rFonts w:cs="Calibri"/>
          <w:i/>
          <w:iCs/>
          <w:sz w:val="24"/>
          <w:szCs w:val="24"/>
        </w:rPr>
        <w:t>la</w:t>
      </w:r>
      <w:r w:rsidRPr="000E6594">
        <w:rPr>
          <w:rFonts w:cs="Calibri"/>
          <w:i/>
          <w:iCs/>
          <w:sz w:val="24"/>
          <w:szCs w:val="24"/>
        </w:rPr>
        <w:t xml:space="preserve"> reacción social</w:t>
      </w:r>
      <w:r w:rsidRPr="000E6594">
        <w:rPr>
          <w:rFonts w:cs="Calibri"/>
          <w:sz w:val="24"/>
          <w:szCs w:val="24"/>
        </w:rPr>
        <w:t xml:space="preserve">, </w:t>
      </w:r>
      <w:r w:rsidR="00351730" w:rsidRPr="000E6594">
        <w:rPr>
          <w:rFonts w:cs="Calibri"/>
          <w:sz w:val="24"/>
          <w:szCs w:val="24"/>
        </w:rPr>
        <w:t>que es</w:t>
      </w:r>
      <w:r w:rsidRPr="000E6594">
        <w:rPr>
          <w:rFonts w:cs="Calibri"/>
          <w:sz w:val="24"/>
          <w:szCs w:val="24"/>
        </w:rPr>
        <w:t xml:space="preserve"> la respuesta colectiva que dicha conducta provoca. Esta respuesta no es homogénea ni proporcional</w:t>
      </w:r>
      <w:r w:rsidR="00351730" w:rsidRPr="000E6594">
        <w:rPr>
          <w:rFonts w:cs="Calibri"/>
          <w:sz w:val="24"/>
          <w:szCs w:val="24"/>
        </w:rPr>
        <w:t xml:space="preserve"> ya que</w:t>
      </w:r>
      <w:r w:rsidR="00E859F1" w:rsidRPr="000E6594">
        <w:rPr>
          <w:rFonts w:cs="Calibri"/>
          <w:sz w:val="24"/>
          <w:szCs w:val="24"/>
        </w:rPr>
        <w:t xml:space="preserve"> la </w:t>
      </w:r>
      <w:r w:rsidRPr="000E6594">
        <w:rPr>
          <w:rFonts w:cs="Calibri"/>
          <w:sz w:val="24"/>
          <w:szCs w:val="24"/>
        </w:rPr>
        <w:t xml:space="preserve">sociedad no reacciona de </w:t>
      </w:r>
      <w:r w:rsidR="00E859F1" w:rsidRPr="000E6594">
        <w:rPr>
          <w:rFonts w:cs="Calibri"/>
          <w:sz w:val="24"/>
          <w:szCs w:val="24"/>
        </w:rPr>
        <w:t>la misma</w:t>
      </w:r>
      <w:r w:rsidRPr="000E6594">
        <w:rPr>
          <w:rFonts w:cs="Calibri"/>
          <w:sz w:val="24"/>
          <w:szCs w:val="24"/>
        </w:rPr>
        <w:t xml:space="preserve"> </w:t>
      </w:r>
      <w:r w:rsidR="00E859F1" w:rsidRPr="000E6594">
        <w:rPr>
          <w:rFonts w:cs="Calibri"/>
          <w:sz w:val="24"/>
          <w:szCs w:val="24"/>
        </w:rPr>
        <w:t>manera</w:t>
      </w:r>
      <w:r w:rsidRPr="000E6594">
        <w:rPr>
          <w:rFonts w:cs="Calibri"/>
          <w:sz w:val="24"/>
          <w:szCs w:val="24"/>
        </w:rPr>
        <w:t xml:space="preserve"> ante todos los delitos ni ante todas las víctimas</w:t>
      </w:r>
      <w:r w:rsidR="00E859F1" w:rsidRPr="000E6594">
        <w:rPr>
          <w:rFonts w:cs="Calibri"/>
          <w:sz w:val="24"/>
          <w:szCs w:val="24"/>
        </w:rPr>
        <w:t xml:space="preserve">. Además, la propia definición de lo que se considera desviado </w:t>
      </w:r>
      <w:r w:rsidR="00351730" w:rsidRPr="000E6594">
        <w:rPr>
          <w:rFonts w:cs="Calibri"/>
          <w:sz w:val="24"/>
          <w:szCs w:val="24"/>
        </w:rPr>
        <w:t>tampoco</w:t>
      </w:r>
      <w:r w:rsidR="00E859F1" w:rsidRPr="000E6594">
        <w:rPr>
          <w:rFonts w:cs="Calibri"/>
          <w:sz w:val="24"/>
          <w:szCs w:val="24"/>
        </w:rPr>
        <w:t xml:space="preserve"> es neutral, sino que responde a relaciones de poder, siendo quienes </w:t>
      </w:r>
      <w:r w:rsidR="00351730" w:rsidRPr="000E6594">
        <w:rPr>
          <w:rFonts w:cs="Calibri"/>
          <w:sz w:val="24"/>
          <w:szCs w:val="24"/>
        </w:rPr>
        <w:t>tienen</w:t>
      </w:r>
      <w:r w:rsidR="00E859F1" w:rsidRPr="000E6594">
        <w:rPr>
          <w:rFonts w:cs="Calibri"/>
          <w:sz w:val="24"/>
          <w:szCs w:val="24"/>
        </w:rPr>
        <w:t xml:space="preserve"> privilegios sociales </w:t>
      </w:r>
      <w:r w:rsidR="00351730" w:rsidRPr="000E6594">
        <w:rPr>
          <w:rFonts w:cs="Calibri"/>
          <w:sz w:val="24"/>
          <w:szCs w:val="24"/>
        </w:rPr>
        <w:t>los que</w:t>
      </w:r>
      <w:r w:rsidR="00E859F1" w:rsidRPr="000E6594">
        <w:rPr>
          <w:rFonts w:cs="Calibri"/>
          <w:sz w:val="24"/>
          <w:szCs w:val="24"/>
        </w:rPr>
        <w:t xml:space="preserve"> históricamente han determinado qué conductas merecen </w:t>
      </w:r>
      <w:r w:rsidR="00351730" w:rsidRPr="000E6594">
        <w:rPr>
          <w:rFonts w:cs="Calibri"/>
          <w:sz w:val="24"/>
          <w:szCs w:val="24"/>
        </w:rPr>
        <w:t>castigo</w:t>
      </w:r>
      <w:r w:rsidR="00E859F1" w:rsidRPr="000E6594">
        <w:rPr>
          <w:rFonts w:cs="Calibri"/>
          <w:sz w:val="24"/>
          <w:szCs w:val="24"/>
        </w:rPr>
        <w:t xml:space="preserve"> y cuáles no</w:t>
      </w:r>
      <w:r w:rsidRPr="000E6594">
        <w:rPr>
          <w:rFonts w:cs="Calibri"/>
          <w:sz w:val="24"/>
          <w:szCs w:val="24"/>
        </w:rPr>
        <w:t xml:space="preserve"> (Ferrer Arroyo, 20</w:t>
      </w:r>
      <w:r w:rsidR="00CF5DF4" w:rsidRPr="000E6594">
        <w:rPr>
          <w:rFonts w:cs="Calibri"/>
          <w:sz w:val="24"/>
          <w:szCs w:val="24"/>
        </w:rPr>
        <w:t>1</w:t>
      </w:r>
      <w:r w:rsidRPr="000E6594">
        <w:rPr>
          <w:rFonts w:cs="Calibri"/>
          <w:sz w:val="24"/>
          <w:szCs w:val="24"/>
        </w:rPr>
        <w:t>9).</w:t>
      </w:r>
    </w:p>
    <w:p w14:paraId="11AFDE17" w14:textId="2F6D69C6" w:rsidR="00C03EA7"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El caso de </w:t>
      </w:r>
      <w:r w:rsidRPr="000E6594">
        <w:rPr>
          <w:rFonts w:eastAsia="Times New Roman" w:cs="Calibri"/>
          <w:i/>
          <w:iCs/>
          <w:color w:val="000000"/>
          <w:sz w:val="24"/>
          <w:szCs w:val="24"/>
          <w:lang w:eastAsia="es-ES"/>
        </w:rPr>
        <w:t>La Manada</w:t>
      </w:r>
      <w:r w:rsidRPr="000E6594">
        <w:rPr>
          <w:rFonts w:eastAsia="Times New Roman" w:cs="Calibri"/>
          <w:color w:val="000000"/>
          <w:sz w:val="24"/>
          <w:szCs w:val="24"/>
          <w:lang w:eastAsia="es-ES"/>
        </w:rPr>
        <w:t> ejemplifica</w:t>
      </w:r>
      <w:r w:rsidR="00351730"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 xml:space="preserve">el poder </w:t>
      </w:r>
      <w:r w:rsidR="00C03EA7" w:rsidRPr="000E6594">
        <w:rPr>
          <w:rFonts w:eastAsia="Times New Roman" w:cs="Calibri"/>
          <w:color w:val="000000"/>
          <w:sz w:val="24"/>
          <w:szCs w:val="24"/>
          <w:lang w:eastAsia="es-ES"/>
        </w:rPr>
        <w:t>de la reacción social ante la revictimización, donde las redes sociales se convirtieron en un espacio dónde manifestarse de forma masiva y polarizada.</w:t>
      </w:r>
    </w:p>
    <w:p w14:paraId="1530870F" w14:textId="427C153B"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En este caso, la violación grupal de una mujer durante las fiestas de San Fermín, la revictimización judicial, mediática y social a la que fue sometida, generó una intensa reacción social, especialmente a raíz de la sentencia que calificó los hechos como abuso sexual y no como agresión sexual. Esta respuesta se manifestó principalmente en la red social Twitter, a través de la creación de los hashtags #YoSiTeCreo y #YoNoTeCreo, que simbolizan dos posturas antagónicas en torno a la credibilidad de la víctima y la construcción de su testimonio (Núñez Puente </w:t>
      </w:r>
      <w:r w:rsidR="001C401D" w:rsidRPr="000E6594">
        <w:rPr>
          <w:rFonts w:eastAsia="Times New Roman" w:cs="Calibri"/>
          <w:color w:val="000000"/>
          <w:sz w:val="24"/>
          <w:szCs w:val="24"/>
          <w:lang w:eastAsia="es-ES"/>
        </w:rPr>
        <w:t>y</w:t>
      </w:r>
      <w:r w:rsidRPr="000E6594">
        <w:rPr>
          <w:rFonts w:eastAsia="Times New Roman" w:cs="Calibri"/>
          <w:color w:val="000000"/>
          <w:sz w:val="24"/>
          <w:szCs w:val="24"/>
          <w:lang w:eastAsia="es-ES"/>
        </w:rPr>
        <w:t xml:space="preserve"> Fernández Romero, 2019). </w:t>
      </w:r>
    </w:p>
    <w:p w14:paraId="01B9F8A6" w14:textId="77777777" w:rsidR="00647E00" w:rsidRPr="000E6594" w:rsidRDefault="009A7BAE" w:rsidP="000E6594">
      <w:pPr>
        <w:spacing w:after="100" w:line="360" w:lineRule="auto"/>
        <w:ind w:firstLine="340"/>
        <w:jc w:val="both"/>
        <w:textAlignment w:val="baseline"/>
        <w:rPr>
          <w:rFonts w:cs="Calibri"/>
        </w:rPr>
      </w:pPr>
      <w:proofErr w:type="gramStart"/>
      <w:r w:rsidRPr="000E6594">
        <w:rPr>
          <w:rFonts w:eastAsia="Times New Roman" w:cs="Calibri"/>
          <w:color w:val="000000"/>
          <w:sz w:val="24"/>
          <w:szCs w:val="24"/>
          <w:lang w:eastAsia="es-ES"/>
        </w:rPr>
        <w:lastRenderedPageBreak/>
        <w:t>El hashtag</w:t>
      </w:r>
      <w:proofErr w:type="gramEnd"/>
      <w:r w:rsidRPr="000E6594">
        <w:rPr>
          <w:rFonts w:eastAsia="Times New Roman" w:cs="Calibri"/>
          <w:color w:val="000000"/>
          <w:sz w:val="24"/>
          <w:szCs w:val="24"/>
          <w:lang w:eastAsia="es-ES"/>
        </w:rPr>
        <w:t> #YoSiTeCreo, surgido en noviembre de 2017, logró condensar el apoyo a la joven y la indignación social frente a la culpabilización de las mujeres que denuncian violencia sexual. </w:t>
      </w:r>
      <w:proofErr w:type="gramStart"/>
      <w:r w:rsidRPr="000E6594">
        <w:rPr>
          <w:rFonts w:eastAsia="Times New Roman" w:cs="Calibri"/>
          <w:color w:val="000000"/>
          <w:sz w:val="24"/>
          <w:szCs w:val="24"/>
          <w:lang w:eastAsia="es-ES"/>
        </w:rPr>
        <w:t>Este hashtag</w:t>
      </w:r>
      <w:proofErr w:type="gramEnd"/>
      <w:r w:rsidRPr="000E6594">
        <w:rPr>
          <w:rFonts w:eastAsia="Times New Roman" w:cs="Calibri"/>
          <w:color w:val="000000"/>
          <w:sz w:val="24"/>
          <w:szCs w:val="24"/>
          <w:lang w:eastAsia="es-ES"/>
        </w:rPr>
        <w:t> activó una respuesta política que trascendió el ámbito digital, generando comunidades de afecto y resistencia feminista mediadas por el "hashtag </w:t>
      </w:r>
      <w:proofErr w:type="spellStart"/>
      <w:r w:rsidRPr="000E6594">
        <w:rPr>
          <w:rFonts w:eastAsia="Times New Roman" w:cs="Calibri"/>
          <w:color w:val="000000"/>
          <w:sz w:val="24"/>
          <w:szCs w:val="24"/>
          <w:lang w:eastAsia="es-ES"/>
        </w:rPr>
        <w:t>feminism</w:t>
      </w:r>
      <w:proofErr w:type="spellEnd"/>
      <w:r w:rsidRPr="000E6594">
        <w:rPr>
          <w:rFonts w:eastAsia="Times New Roman" w:cs="Calibri"/>
          <w:color w:val="000000"/>
          <w:sz w:val="24"/>
          <w:szCs w:val="24"/>
          <w:lang w:eastAsia="es-ES"/>
        </w:rPr>
        <w:t>", logrando inscribir los hechos en marcos de interpretación en los que la violencia sexual responde a un contexto de violencia patriarcal que se ejerce contra las mujeres por el hecho de serlo. (Khoja-</w:t>
      </w:r>
      <w:proofErr w:type="spellStart"/>
      <w:r w:rsidRPr="000E6594">
        <w:rPr>
          <w:rFonts w:eastAsia="Times New Roman" w:cs="Calibri"/>
          <w:color w:val="000000"/>
          <w:sz w:val="24"/>
          <w:szCs w:val="24"/>
          <w:lang w:eastAsia="es-ES"/>
        </w:rPr>
        <w:t>Moolji</w:t>
      </w:r>
      <w:proofErr w:type="spellEnd"/>
      <w:r w:rsidRPr="000E6594">
        <w:rPr>
          <w:rFonts w:eastAsia="Times New Roman" w:cs="Calibri"/>
          <w:color w:val="000000"/>
          <w:sz w:val="24"/>
          <w:szCs w:val="24"/>
          <w:lang w:eastAsia="es-ES"/>
        </w:rPr>
        <w:t>, 2015).  </w:t>
      </w:r>
    </w:p>
    <w:p w14:paraId="568497E3" w14:textId="3F32F651"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El </w:t>
      </w:r>
      <w:r w:rsidR="00970962" w:rsidRPr="000E6594">
        <w:rPr>
          <w:rFonts w:eastAsia="Times New Roman" w:cs="Calibri"/>
          <w:color w:val="000000"/>
          <w:sz w:val="24"/>
          <w:szCs w:val="24"/>
          <w:lang w:eastAsia="es-ES"/>
        </w:rPr>
        <w:t xml:space="preserve">“hashtag </w:t>
      </w:r>
      <w:proofErr w:type="spellStart"/>
      <w:r w:rsidR="00970962" w:rsidRPr="000E6594">
        <w:rPr>
          <w:rFonts w:eastAsia="Times New Roman" w:cs="Calibri"/>
          <w:color w:val="000000"/>
          <w:sz w:val="24"/>
          <w:szCs w:val="24"/>
          <w:lang w:eastAsia="es-ES"/>
        </w:rPr>
        <w:t>feminism</w:t>
      </w:r>
      <w:proofErr w:type="spellEnd"/>
      <w:r w:rsidR="00970962" w:rsidRPr="000E6594">
        <w:rPr>
          <w:rFonts w:eastAsia="Times New Roman" w:cs="Calibri"/>
          <w:color w:val="000000"/>
          <w:sz w:val="24"/>
          <w:szCs w:val="24"/>
          <w:lang w:eastAsia="es-ES"/>
        </w:rPr>
        <w:t xml:space="preserve">” </w:t>
      </w:r>
      <w:r w:rsidRPr="000E6594">
        <w:rPr>
          <w:rFonts w:eastAsia="Times New Roman" w:cs="Calibri"/>
          <w:color w:val="000000"/>
          <w:sz w:val="24"/>
          <w:szCs w:val="24"/>
          <w:lang w:eastAsia="es-ES"/>
        </w:rPr>
        <w:t>es el uso de etiquetas en redes sociales para organizar, visibilizar y difundir mensajes feministas, logrando inmediatez y </w:t>
      </w:r>
      <w:proofErr w:type="spellStart"/>
      <w:r w:rsidRPr="000E6594">
        <w:rPr>
          <w:rFonts w:eastAsia="Times New Roman" w:cs="Calibri"/>
          <w:color w:val="000000"/>
          <w:sz w:val="24"/>
          <w:szCs w:val="24"/>
          <w:lang w:eastAsia="es-ES"/>
        </w:rPr>
        <w:t>viralidad</w:t>
      </w:r>
      <w:proofErr w:type="spellEnd"/>
      <w:r w:rsidRPr="000E6594">
        <w:rPr>
          <w:rFonts w:eastAsia="Times New Roman" w:cs="Calibri"/>
          <w:color w:val="000000"/>
          <w:sz w:val="24"/>
          <w:szCs w:val="24"/>
          <w:lang w:eastAsia="es-ES"/>
        </w:rPr>
        <w:t xml:space="preserve">, y permitiendo crear comunidades globales para denunciar la desigualdad de género y la cultura de la violación (Bharati, 2025). A través de esta etiqueta, muchas mujeres compartieron sus testimonios sobre violencia sexual, cuestionaron la cultura de la violación y denunciaron la revictimización de la joven (Núñez Puente </w:t>
      </w:r>
      <w:r w:rsidR="001C401D" w:rsidRPr="000E6594">
        <w:rPr>
          <w:rFonts w:eastAsia="Times New Roman" w:cs="Calibri"/>
          <w:color w:val="000000"/>
          <w:sz w:val="24"/>
          <w:szCs w:val="24"/>
          <w:lang w:eastAsia="es-ES"/>
        </w:rPr>
        <w:t>y</w:t>
      </w:r>
      <w:r w:rsidRPr="000E6594">
        <w:rPr>
          <w:rFonts w:eastAsia="Times New Roman" w:cs="Calibri"/>
          <w:color w:val="000000"/>
          <w:sz w:val="24"/>
          <w:szCs w:val="24"/>
          <w:lang w:eastAsia="es-ES"/>
        </w:rPr>
        <w:t xml:space="preserve"> Fernández Romero, 2019). Asimismo, la oposición a la sentencia fue tan intensa que consiguieron su modificación por agresión sexual, demostrando como la movilización social puede alcanzar incluso cambios a nivel legal. </w:t>
      </w:r>
    </w:p>
    <w:p w14:paraId="37C3BBAB" w14:textId="3751B703"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otro lado, </w:t>
      </w:r>
      <w:proofErr w:type="gramStart"/>
      <w:r w:rsidRPr="000E6594">
        <w:rPr>
          <w:rFonts w:eastAsia="Times New Roman" w:cs="Calibri"/>
          <w:color w:val="000000"/>
          <w:sz w:val="24"/>
          <w:szCs w:val="24"/>
          <w:lang w:eastAsia="es-ES"/>
        </w:rPr>
        <w:t>el hashtag</w:t>
      </w:r>
      <w:proofErr w:type="gramEnd"/>
      <w:r w:rsidRPr="000E6594">
        <w:rPr>
          <w:rFonts w:eastAsia="Times New Roman" w:cs="Calibri"/>
          <w:color w:val="000000"/>
          <w:sz w:val="24"/>
          <w:szCs w:val="24"/>
          <w:lang w:eastAsia="es-ES"/>
        </w:rPr>
        <w:t xml:space="preserve"> #YoNoTeCreo, surgió como una respuesta opuesta al movimiento feminista que apoyaba a la víctima (Núñez Puente </w:t>
      </w:r>
      <w:r w:rsidR="001C401D" w:rsidRPr="000E6594">
        <w:rPr>
          <w:rFonts w:eastAsia="Times New Roman" w:cs="Calibri"/>
          <w:color w:val="000000"/>
          <w:sz w:val="24"/>
          <w:szCs w:val="24"/>
          <w:lang w:eastAsia="es-ES"/>
        </w:rPr>
        <w:t>y</w:t>
      </w:r>
      <w:r w:rsidRPr="000E6594">
        <w:rPr>
          <w:rFonts w:eastAsia="Times New Roman" w:cs="Calibri"/>
          <w:color w:val="000000"/>
          <w:sz w:val="24"/>
          <w:szCs w:val="24"/>
          <w:lang w:eastAsia="es-ES"/>
        </w:rPr>
        <w:t xml:space="preserve"> Fernández Romero, 2019). A través de </w:t>
      </w:r>
      <w:proofErr w:type="gramStart"/>
      <w:r w:rsidRPr="000E6594">
        <w:rPr>
          <w:rFonts w:eastAsia="Times New Roman" w:cs="Calibri"/>
          <w:color w:val="000000"/>
          <w:sz w:val="24"/>
          <w:szCs w:val="24"/>
          <w:lang w:eastAsia="es-ES"/>
        </w:rPr>
        <w:t>este hashtag</w:t>
      </w:r>
      <w:proofErr w:type="gramEnd"/>
      <w:r w:rsidRPr="000E6594">
        <w:rPr>
          <w:rFonts w:eastAsia="Times New Roman" w:cs="Calibri"/>
          <w:color w:val="000000"/>
          <w:sz w:val="24"/>
          <w:szCs w:val="24"/>
          <w:lang w:eastAsia="es-ES"/>
        </w:rPr>
        <w:t>, se promovió un discurso que buscaba invertir los roles de víctima y agresor, utilizando estrategias propias de la posverdad, como la </w:t>
      </w:r>
      <w:proofErr w:type="spellStart"/>
      <w:r w:rsidRPr="000E6594">
        <w:rPr>
          <w:rFonts w:eastAsia="Times New Roman" w:cs="Calibri"/>
          <w:color w:val="000000"/>
          <w:sz w:val="24"/>
          <w:szCs w:val="24"/>
          <w:lang w:eastAsia="es-ES"/>
        </w:rPr>
        <w:t>espectacularización</w:t>
      </w:r>
      <w:proofErr w:type="spellEnd"/>
      <w:r w:rsidRPr="000E6594">
        <w:rPr>
          <w:rFonts w:eastAsia="Times New Roman" w:cs="Calibri"/>
          <w:color w:val="000000"/>
          <w:sz w:val="24"/>
          <w:szCs w:val="24"/>
          <w:lang w:eastAsia="es-ES"/>
        </w:rPr>
        <w:t xml:space="preserve">, la apelación a las emociones polarizadas y la visibilidad en redes sociales. Los mensajes asociados a #YoNoTeCreo se centraron en desacreditar el testimonio de la víctima, acusándola de mentir y de haber consentido los hechos. Por ejemplo, algunos usuarios afirmaron que la joven había participado voluntariamente en una "orgía" y que luego decidió denunciar por arrepentimiento o venganza (Núñez Puente </w:t>
      </w:r>
      <w:r w:rsidR="001C401D" w:rsidRPr="000E6594">
        <w:rPr>
          <w:rFonts w:eastAsia="Times New Roman" w:cs="Calibri"/>
          <w:color w:val="000000"/>
          <w:sz w:val="24"/>
          <w:szCs w:val="24"/>
          <w:lang w:eastAsia="es-ES"/>
        </w:rPr>
        <w:t>y</w:t>
      </w:r>
      <w:r w:rsidRPr="000E6594">
        <w:rPr>
          <w:rFonts w:eastAsia="Times New Roman" w:cs="Calibri"/>
          <w:color w:val="000000"/>
          <w:sz w:val="24"/>
          <w:szCs w:val="24"/>
          <w:lang w:eastAsia="es-ES"/>
        </w:rPr>
        <w:t xml:space="preserve"> Fernández Romero, 2019).</w:t>
      </w:r>
    </w:p>
    <w:p w14:paraId="6B0359E6" w14:textId="77777777" w:rsidR="00647E00" w:rsidRPr="005726B7" w:rsidRDefault="009A7BAE" w:rsidP="005726B7">
      <w:pPr>
        <w:spacing w:after="100" w:line="360" w:lineRule="auto"/>
        <w:ind w:firstLine="340"/>
        <w:jc w:val="both"/>
        <w:textAlignment w:val="baseline"/>
        <w:rPr>
          <w:rFonts w:asciiTheme="minorHAnsi" w:hAnsiTheme="minorHAnsi" w:cstheme="minorHAnsi"/>
          <w:sz w:val="24"/>
          <w:szCs w:val="24"/>
        </w:rPr>
      </w:pPr>
      <w:r w:rsidRPr="005726B7">
        <w:rPr>
          <w:rFonts w:asciiTheme="minorHAnsi" w:eastAsia="Times New Roman" w:hAnsiTheme="minorHAnsi" w:cstheme="minorHAnsi"/>
          <w:sz w:val="24"/>
          <w:szCs w:val="24"/>
          <w:lang w:eastAsia="es-ES"/>
        </w:rPr>
        <w:t>  </w:t>
      </w:r>
    </w:p>
    <w:p w14:paraId="7A9CB108" w14:textId="77777777" w:rsidR="00647E00" w:rsidRPr="005726B7" w:rsidRDefault="009A7BAE" w:rsidP="005726B7">
      <w:pPr>
        <w:pStyle w:val="Ttulo2"/>
        <w:spacing w:line="360" w:lineRule="auto"/>
        <w:rPr>
          <w:rFonts w:asciiTheme="minorHAnsi" w:hAnsiTheme="minorHAnsi" w:cstheme="minorHAnsi"/>
          <w:b/>
          <w:bCs/>
          <w:color w:val="auto"/>
          <w:sz w:val="24"/>
          <w:szCs w:val="24"/>
        </w:rPr>
      </w:pPr>
      <w:bookmarkStart w:id="29" w:name="_Toc224333157"/>
      <w:r w:rsidRPr="005726B7">
        <w:rPr>
          <w:rFonts w:asciiTheme="minorHAnsi" w:eastAsia="Times New Roman" w:hAnsiTheme="minorHAnsi" w:cstheme="minorHAnsi"/>
          <w:b/>
          <w:bCs/>
          <w:color w:val="auto"/>
          <w:sz w:val="24"/>
          <w:szCs w:val="24"/>
          <w:lang w:eastAsia="es-ES"/>
        </w:rPr>
        <w:t>3.5 Políticas públicas sobre el tratamiento mediático de la violencia sexual</w:t>
      </w:r>
      <w:bookmarkEnd w:id="29"/>
      <w:r w:rsidRPr="005726B7">
        <w:rPr>
          <w:rFonts w:asciiTheme="minorHAnsi" w:eastAsia="Times New Roman" w:hAnsiTheme="minorHAnsi" w:cstheme="minorHAnsi"/>
          <w:b/>
          <w:bCs/>
          <w:color w:val="auto"/>
          <w:sz w:val="24"/>
          <w:szCs w:val="24"/>
          <w:lang w:eastAsia="es-ES"/>
        </w:rPr>
        <w:t>  </w:t>
      </w:r>
    </w:p>
    <w:p w14:paraId="0B185F99" w14:textId="3AA7C34C" w:rsidR="00647E00" w:rsidRPr="005726B7" w:rsidRDefault="009A7BAE" w:rsidP="005726B7">
      <w:pPr>
        <w:pStyle w:val="Ttulo3"/>
        <w:spacing w:line="360" w:lineRule="auto"/>
        <w:rPr>
          <w:rFonts w:asciiTheme="minorHAnsi" w:hAnsiTheme="minorHAnsi" w:cstheme="minorHAnsi"/>
          <w:b/>
          <w:bCs/>
          <w:color w:val="auto"/>
        </w:rPr>
      </w:pPr>
      <w:r w:rsidRPr="005726B7">
        <w:rPr>
          <w:rFonts w:asciiTheme="minorHAnsi" w:eastAsia="Times New Roman" w:hAnsiTheme="minorHAnsi" w:cstheme="minorHAnsi"/>
          <w:b/>
          <w:bCs/>
          <w:color w:val="auto"/>
          <w:lang w:eastAsia="es-ES"/>
        </w:rPr>
        <w:t>  </w:t>
      </w:r>
      <w:bookmarkStart w:id="30" w:name="_Toc224333158"/>
      <w:r w:rsidRPr="005726B7">
        <w:rPr>
          <w:rFonts w:asciiTheme="minorHAnsi" w:eastAsia="Times New Roman" w:hAnsiTheme="minorHAnsi" w:cstheme="minorHAnsi"/>
          <w:b/>
          <w:bCs/>
          <w:color w:val="auto"/>
          <w:lang w:eastAsia="es-ES"/>
        </w:rPr>
        <w:t>3.5.1 Legislación sobre violencia de género y protección de víctimas.</w:t>
      </w:r>
      <w:bookmarkEnd w:id="30"/>
      <w:r w:rsidRPr="005726B7">
        <w:rPr>
          <w:rFonts w:asciiTheme="minorHAnsi" w:eastAsia="Times New Roman" w:hAnsiTheme="minorHAnsi" w:cstheme="minorHAnsi"/>
          <w:b/>
          <w:bCs/>
          <w:color w:val="auto"/>
          <w:lang w:eastAsia="es-ES"/>
        </w:rPr>
        <w:t>  </w:t>
      </w:r>
    </w:p>
    <w:p w14:paraId="41182A21" w14:textId="70DD0F02" w:rsidR="00647E00" w:rsidRPr="000E6594" w:rsidRDefault="009A7BAE" w:rsidP="005726B7">
      <w:pPr>
        <w:spacing w:after="100" w:line="360" w:lineRule="auto"/>
        <w:ind w:firstLine="340"/>
        <w:jc w:val="both"/>
        <w:textAlignment w:val="baseline"/>
        <w:rPr>
          <w:rFonts w:cs="Calibri"/>
        </w:rPr>
      </w:pPr>
      <w:r w:rsidRPr="005726B7">
        <w:rPr>
          <w:rFonts w:asciiTheme="minorHAnsi" w:eastAsia="Times New Roman" w:hAnsiTheme="minorHAnsi" w:cstheme="minorHAnsi"/>
          <w:sz w:val="24"/>
          <w:szCs w:val="24"/>
          <w:lang w:eastAsia="es-ES"/>
        </w:rPr>
        <w:t>En primer lugar, la Constitución Española de 1978 establece la igualdad de género y la no discriminación</w:t>
      </w:r>
      <w:r w:rsidRPr="005726B7">
        <w:rPr>
          <w:rFonts w:eastAsia="Times New Roman" w:cs="Calibri"/>
          <w:sz w:val="24"/>
          <w:szCs w:val="24"/>
          <w:lang w:eastAsia="es-ES"/>
        </w:rPr>
        <w:t xml:space="preserve"> </w:t>
      </w:r>
      <w:r w:rsidRPr="000E6594">
        <w:rPr>
          <w:rFonts w:eastAsia="Times New Roman" w:cs="Calibri"/>
          <w:color w:val="000000"/>
          <w:sz w:val="24"/>
          <w:szCs w:val="24"/>
          <w:lang w:eastAsia="es-ES"/>
        </w:rPr>
        <w:t xml:space="preserve">como principios fundamentales del ordenamiento jurídico y </w:t>
      </w:r>
      <w:r w:rsidRPr="000E6594">
        <w:rPr>
          <w:rFonts w:eastAsia="Times New Roman" w:cs="Calibri"/>
          <w:color w:val="000000"/>
          <w:sz w:val="24"/>
          <w:szCs w:val="24"/>
          <w:lang w:eastAsia="es-ES"/>
        </w:rPr>
        <w:lastRenderedPageBreak/>
        <w:t>estipula que las instituciones públicas tienen la obligación de promover las condiciones necesarias para logr</w:t>
      </w:r>
      <w:r w:rsidR="001C401D" w:rsidRPr="000E6594">
        <w:rPr>
          <w:rFonts w:eastAsia="Times New Roman" w:cs="Calibri"/>
          <w:color w:val="000000"/>
          <w:sz w:val="24"/>
          <w:szCs w:val="24"/>
          <w:lang w:eastAsia="es-ES"/>
        </w:rPr>
        <w:t>ar una igualdad real y efectiva.</w:t>
      </w:r>
    </w:p>
    <w:p w14:paraId="5714FAA5" w14:textId="01A06215"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marco jurídico básico en materia de violencia de género se encuentra en la Ley Orgánica 1/2004, de 28 de diciembre, de Medidas de Protección Integral contra la Violencia de Género</w:t>
      </w:r>
      <w:r w:rsidRPr="000E6594">
        <w:rPr>
          <w:rFonts w:eastAsia="Times New Roman" w:cs="Calibri"/>
          <w:b/>
          <w:bCs/>
          <w:color w:val="000000"/>
          <w:sz w:val="24"/>
          <w:szCs w:val="24"/>
          <w:lang w:eastAsia="es-ES"/>
        </w:rPr>
        <w:t>.</w:t>
      </w:r>
      <w:r w:rsidRPr="000E6594">
        <w:rPr>
          <w:rFonts w:eastAsia="Times New Roman" w:cs="Calibri"/>
          <w:color w:val="000000"/>
          <w:sz w:val="24"/>
          <w:szCs w:val="24"/>
          <w:lang w:eastAsia="es-ES"/>
        </w:rPr>
        <w:t> Al reconocer la violencia de género como una manifestación de discriminación, desigualdad y desequilibrio de poder entre hombres y mujeres, constituye un hito en el ordenamiento jurídic</w:t>
      </w:r>
      <w:r w:rsidR="001C401D" w:rsidRPr="000E6594">
        <w:rPr>
          <w:rFonts w:eastAsia="Times New Roman" w:cs="Calibri"/>
          <w:color w:val="000000"/>
          <w:sz w:val="24"/>
          <w:szCs w:val="24"/>
          <w:lang w:eastAsia="es-ES"/>
        </w:rPr>
        <w:t>o español.</w:t>
      </w:r>
      <w:r w:rsidRPr="000E6594">
        <w:rPr>
          <w:rFonts w:eastAsia="Times New Roman" w:cs="Calibri"/>
          <w:color w:val="000000"/>
          <w:sz w:val="24"/>
          <w:szCs w:val="24"/>
          <w:lang w:eastAsia="es-ES"/>
        </w:rPr>
        <w:t xml:space="preserve"> Su objetivo es proporcionar medidas integrales para abordar la violencia contra las mujeres por parte de sus cónyuges o exparejas, abarcando no solo el sistema de justicia penal, sino también la educación, la sanidad, los servicios sociales, el empleo y la protección social. </w:t>
      </w:r>
    </w:p>
    <w:p w14:paraId="5AE070CB"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Las medidas de protección contra la violencia de género son un componente importante del ordenamiento jurídico español, diseñadas para garantizar la seguridad, la salud mental y física, y la rehabilitación integral de las víctimas. Dichas medidas se articulan principalmente a través de la Ley Orgánica 1/2004</w:t>
      </w:r>
      <w:r w:rsidRPr="000E6594">
        <w:rPr>
          <w:rFonts w:eastAsia="Times New Roman" w:cs="Calibri"/>
          <w:b/>
          <w:bCs/>
          <w:color w:val="000000"/>
          <w:sz w:val="24"/>
          <w:szCs w:val="24"/>
          <w:lang w:eastAsia="es-ES"/>
        </w:rPr>
        <w:t>,</w:t>
      </w:r>
      <w:r w:rsidRPr="000E6594">
        <w:rPr>
          <w:rFonts w:eastAsia="Times New Roman" w:cs="Calibri"/>
          <w:color w:val="000000"/>
          <w:sz w:val="24"/>
          <w:szCs w:val="24"/>
          <w:lang w:eastAsia="es-ES"/>
        </w:rPr>
        <w:t> que establece un conjunto de actuaciones penales, civiles, sociales y asistenciales orientadas a la protección inmediata de las mujeres víctimas de violencia de género y de sus hijos e hijas. Estas medidas, que incluyen órdenes de protección, asistencia jurídica gratuita, recursos sociales y de alojamiento, y supervisión policial y judicial de los agresores, buscan prevenir la reincidencia de la violencia (Ley Orgánica 1/2004). </w:t>
      </w:r>
    </w:p>
    <w:p w14:paraId="6F540851" w14:textId="7AB4DA21"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De manera complementaria, la Ley 1/2021, de 24 de marzo, refuerza los sistemas de protección existentes al declarar esenciales los servicios integrales de apoyo a las víctimas. Esta norma asegura la continuidad de dichos servicios y el acceso permanente para las víctimas a recursos profesionales de carácter social, psicológico, jurídico y telefónico, incluso en circunstanc</w:t>
      </w:r>
      <w:r w:rsidR="001C401D" w:rsidRPr="000E6594">
        <w:rPr>
          <w:rFonts w:eastAsia="Times New Roman" w:cs="Calibri"/>
          <w:color w:val="000000"/>
          <w:sz w:val="24"/>
          <w:szCs w:val="24"/>
          <w:lang w:eastAsia="es-ES"/>
        </w:rPr>
        <w:t>ias excepcionales.</w:t>
      </w:r>
    </w:p>
    <w:p w14:paraId="05CFECD6" w14:textId="7C191B78"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otro lado, el Código Penal aprobado mediante la Ley Orgánica 10/1995, de 23 de noviembre</w:t>
      </w:r>
      <w:r w:rsidRPr="000E6594">
        <w:rPr>
          <w:rFonts w:eastAsia="Times New Roman" w:cs="Calibri"/>
          <w:b/>
          <w:bCs/>
          <w:color w:val="000000"/>
          <w:sz w:val="24"/>
          <w:szCs w:val="24"/>
          <w:lang w:eastAsia="es-ES"/>
        </w:rPr>
        <w:t>,</w:t>
      </w:r>
      <w:r w:rsidRPr="000E6594">
        <w:rPr>
          <w:rFonts w:eastAsia="Times New Roman" w:cs="Calibri"/>
          <w:color w:val="000000"/>
          <w:sz w:val="24"/>
          <w:szCs w:val="24"/>
          <w:lang w:eastAsia="es-ES"/>
        </w:rPr>
        <w:t> tipifica y sanciona las conductas que constituyen de violencia de género, tales como los delitos de malos tratos, lesiones, amenazas y coacciones. Además, contempla circunstancias agravantes de la violencia contra la mujer por razón de género, reforzando la sanción estatal de estos actos. Su objetivo es prevenir nuevas agresiones y garantizar la protección efectiva de las v</w:t>
      </w:r>
      <w:r w:rsidR="001C401D" w:rsidRPr="000E6594">
        <w:rPr>
          <w:rFonts w:eastAsia="Times New Roman" w:cs="Calibri"/>
          <w:color w:val="000000"/>
          <w:sz w:val="24"/>
          <w:szCs w:val="24"/>
          <w:lang w:eastAsia="es-ES"/>
        </w:rPr>
        <w:t>íctimas.</w:t>
      </w:r>
    </w:p>
    <w:p w14:paraId="03C9CB5A" w14:textId="404579D0" w:rsidR="00351730"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Por último, el sistema normativo se complementa con mecanismos de coordinación institucional como el</w:t>
      </w:r>
      <w:r w:rsidRPr="000E6594">
        <w:rPr>
          <w:rFonts w:eastAsia="Times New Roman" w:cs="Calibri"/>
          <w:b/>
          <w:bCs/>
          <w:color w:val="000000"/>
          <w:sz w:val="24"/>
          <w:szCs w:val="24"/>
          <w:lang w:eastAsia="es-ES"/>
        </w:rPr>
        <w:t> </w:t>
      </w:r>
      <w:r w:rsidRPr="000E6594">
        <w:rPr>
          <w:rFonts w:eastAsia="Times New Roman" w:cs="Calibri"/>
          <w:color w:val="000000"/>
          <w:sz w:val="24"/>
          <w:szCs w:val="24"/>
          <w:lang w:eastAsia="es-ES"/>
        </w:rPr>
        <w:t>Sistema de Seguimiento Integral en los casos de Violencia de Género (Sistema </w:t>
      </w:r>
      <w:proofErr w:type="spellStart"/>
      <w:r w:rsidRPr="000E6594">
        <w:rPr>
          <w:rFonts w:eastAsia="Times New Roman" w:cs="Calibri"/>
          <w:color w:val="000000"/>
          <w:sz w:val="24"/>
          <w:szCs w:val="24"/>
          <w:lang w:eastAsia="es-ES"/>
        </w:rPr>
        <w:t>VioGén</w:t>
      </w:r>
      <w:proofErr w:type="spellEnd"/>
      <w:r w:rsidRPr="000E6594">
        <w:rPr>
          <w:rFonts w:eastAsia="Times New Roman" w:cs="Calibri"/>
          <w:color w:val="000000"/>
          <w:sz w:val="24"/>
          <w:szCs w:val="24"/>
          <w:lang w:eastAsia="es-ES"/>
        </w:rPr>
        <w:t>)</w:t>
      </w:r>
      <w:r w:rsidRPr="000E6594">
        <w:rPr>
          <w:rFonts w:eastAsia="Times New Roman" w:cs="Calibri"/>
          <w:b/>
          <w:bCs/>
          <w:color w:val="000000"/>
          <w:sz w:val="24"/>
          <w:szCs w:val="24"/>
          <w:lang w:eastAsia="es-ES"/>
        </w:rPr>
        <w:t>,</w:t>
      </w:r>
      <w:r w:rsidRPr="000E6594">
        <w:rPr>
          <w:rFonts w:eastAsia="Times New Roman" w:cs="Calibri"/>
          <w:color w:val="000000"/>
          <w:sz w:val="24"/>
          <w:szCs w:val="24"/>
          <w:lang w:eastAsia="es-ES"/>
        </w:rPr>
        <w:t> regulado a través de disposiciones administrativas publicadas en el Boletín Oficial del Estado. Este sistema permite la valoración del riesgo, el seguimiento de casos y la coordinación entre las fuerzas del orden, instituciones penitenciarias, el poder judicial y los servicios sociales, con la finalidad de prevenir nuevas agresiones y garantizar la protección eficaz de las víctimas (</w:t>
      </w:r>
      <w:proofErr w:type="spellStart"/>
      <w:r w:rsidRPr="000E6594">
        <w:rPr>
          <w:rFonts w:eastAsia="Times New Roman" w:cs="Calibri"/>
          <w:color w:val="000000"/>
          <w:sz w:val="24"/>
          <w:szCs w:val="24"/>
          <w:lang w:eastAsia="es-ES"/>
        </w:rPr>
        <w:t>VioGén</w:t>
      </w:r>
      <w:proofErr w:type="spellEnd"/>
      <w:r w:rsidRPr="000E6594">
        <w:rPr>
          <w:rFonts w:eastAsia="Times New Roman" w:cs="Calibri"/>
          <w:color w:val="000000"/>
          <w:sz w:val="24"/>
          <w:szCs w:val="24"/>
          <w:lang w:eastAsia="es-ES"/>
        </w:rPr>
        <w:t xml:space="preserve">, </w:t>
      </w:r>
      <w:proofErr w:type="spellStart"/>
      <w:r w:rsidR="00BE027E" w:rsidRPr="000E6594">
        <w:rPr>
          <w:rFonts w:eastAsia="Times New Roman" w:cs="Calibri"/>
          <w:color w:val="000000"/>
          <w:sz w:val="24"/>
          <w:szCs w:val="24"/>
          <w:lang w:eastAsia="es-ES"/>
        </w:rPr>
        <w:t>sf</w:t>
      </w:r>
      <w:proofErr w:type="spellEnd"/>
      <w:r w:rsidRPr="000E6594">
        <w:rPr>
          <w:rFonts w:eastAsia="Times New Roman" w:cs="Calibri"/>
          <w:color w:val="000000"/>
          <w:sz w:val="24"/>
          <w:szCs w:val="24"/>
          <w:lang w:eastAsia="es-ES"/>
        </w:rPr>
        <w:t>).</w:t>
      </w:r>
    </w:p>
    <w:p w14:paraId="52817A68" w14:textId="60D09D80" w:rsidR="00647E00" w:rsidRPr="003A57B9" w:rsidRDefault="009A7BAE" w:rsidP="003A57B9">
      <w:pPr>
        <w:pStyle w:val="Ttulo3"/>
        <w:spacing w:line="360" w:lineRule="auto"/>
        <w:rPr>
          <w:rFonts w:asciiTheme="minorHAnsi" w:hAnsiTheme="minorHAnsi" w:cstheme="minorHAnsi"/>
          <w:b/>
          <w:bCs/>
          <w:color w:val="auto"/>
        </w:rPr>
      </w:pPr>
      <w:r w:rsidRPr="003A57B9">
        <w:rPr>
          <w:rFonts w:asciiTheme="minorHAnsi" w:hAnsiTheme="minorHAnsi" w:cstheme="minorHAnsi"/>
          <w:b/>
          <w:bCs/>
          <w:color w:val="auto"/>
        </w:rPr>
        <w:t>  </w:t>
      </w:r>
      <w:bookmarkStart w:id="31" w:name="_Toc224333159"/>
      <w:r w:rsidRPr="003A57B9">
        <w:rPr>
          <w:rFonts w:asciiTheme="minorHAnsi" w:hAnsiTheme="minorHAnsi" w:cstheme="minorHAnsi"/>
          <w:b/>
          <w:bCs/>
          <w:color w:val="auto"/>
        </w:rPr>
        <w:t>3.5.2 Protocolos de actuación para medios de comunicación.</w:t>
      </w:r>
      <w:bookmarkEnd w:id="31"/>
      <w:r w:rsidRPr="003A57B9">
        <w:rPr>
          <w:rFonts w:asciiTheme="minorHAnsi" w:hAnsiTheme="minorHAnsi" w:cstheme="minorHAnsi"/>
          <w:b/>
          <w:bCs/>
          <w:color w:val="auto"/>
        </w:rPr>
        <w:t>  </w:t>
      </w:r>
    </w:p>
    <w:p w14:paraId="4C41CF7B" w14:textId="77777777" w:rsidR="00647E00" w:rsidRPr="000E6594" w:rsidRDefault="009A7BAE" w:rsidP="003A57B9">
      <w:pPr>
        <w:spacing w:after="100" w:line="360" w:lineRule="auto"/>
        <w:ind w:firstLine="340"/>
        <w:jc w:val="both"/>
        <w:textAlignment w:val="baseline"/>
        <w:rPr>
          <w:rFonts w:cs="Calibri"/>
        </w:rPr>
      </w:pPr>
      <w:r w:rsidRPr="003A57B9">
        <w:rPr>
          <w:rFonts w:asciiTheme="minorHAnsi" w:eastAsia="Times New Roman" w:hAnsiTheme="minorHAnsi" w:cstheme="minorHAnsi"/>
          <w:color w:val="000000"/>
          <w:sz w:val="24"/>
          <w:szCs w:val="24"/>
          <w:lang w:eastAsia="es-ES"/>
        </w:rPr>
        <w:t>Asociaciones de periodistas en España han desarrollado directrices y buenas prácticas para promover la cobertura</w:t>
      </w:r>
      <w:r w:rsidRPr="000E6594">
        <w:rPr>
          <w:rFonts w:eastAsia="Times New Roman" w:cs="Calibri"/>
          <w:color w:val="000000"/>
          <w:sz w:val="24"/>
          <w:szCs w:val="24"/>
          <w:lang w:eastAsia="es-ES"/>
        </w:rPr>
        <w:t xml:space="preserve"> responsable de la violencia sexual y de género. Entre ellas destaca la Federación de Asociaciones de Periodistas de España (FAPE), cuyo código deontológico y recomendaciones específicas instan a los periodistas a evitar el sensacionalismo, la culpabilización de las víctimas y la difusión de estereotipos, abogando por una cobertura rigurosa, respetuosa y contextualizada (FAPE, 2017). </w:t>
      </w:r>
    </w:p>
    <w:p w14:paraId="13C18A83" w14:textId="6205581D"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Asimismo, organizaciones como la Asociación de la Prensa de Madrid (APM</w:t>
      </w:r>
      <w:r w:rsidR="00140D41" w:rsidRPr="000E6594">
        <w:rPr>
          <w:rFonts w:eastAsia="Times New Roman" w:cs="Calibri"/>
          <w:color w:val="000000"/>
          <w:sz w:val="24"/>
          <w:szCs w:val="24"/>
          <w:lang w:eastAsia="es-ES"/>
        </w:rPr>
        <w:t>, 2019</w:t>
      </w:r>
      <w:r w:rsidRPr="000E6594">
        <w:rPr>
          <w:rFonts w:eastAsia="Times New Roman" w:cs="Calibri"/>
          <w:color w:val="000000"/>
          <w:sz w:val="24"/>
          <w:szCs w:val="24"/>
          <w:lang w:eastAsia="es-ES"/>
        </w:rPr>
        <w:t>) y el Colegio de Periodistas de Cataluña</w:t>
      </w:r>
      <w:r w:rsidR="00140D41" w:rsidRPr="000E6594">
        <w:rPr>
          <w:rFonts w:eastAsia="Times New Roman" w:cs="Calibri"/>
          <w:color w:val="000000"/>
          <w:sz w:val="24"/>
          <w:szCs w:val="24"/>
          <w:lang w:eastAsia="es-ES"/>
        </w:rPr>
        <w:t xml:space="preserve"> (2016),</w:t>
      </w:r>
      <w:r w:rsidRPr="000E6594">
        <w:rPr>
          <w:rFonts w:eastAsia="Times New Roman" w:cs="Calibri"/>
          <w:color w:val="000000"/>
          <w:sz w:val="24"/>
          <w:szCs w:val="24"/>
          <w:lang w:eastAsia="es-ES"/>
        </w:rPr>
        <w:t xml:space="preserve"> han desarrollado guías para profesionales de los medios de comunicación, que enfatizan el uso de un lenguaje preciso, la protección de la identidad y la dignidad de las víctimas y la consideración de la violencia sexual como un problema estructural</w:t>
      </w:r>
      <w:r w:rsidR="00140D41" w:rsidRPr="000E6594">
        <w:rPr>
          <w:rFonts w:eastAsia="Times New Roman" w:cs="Calibri"/>
          <w:color w:val="000000"/>
          <w:sz w:val="24"/>
          <w:szCs w:val="24"/>
          <w:lang w:eastAsia="es-ES"/>
        </w:rPr>
        <w:t xml:space="preserve"> y no como un incidente aislado.</w:t>
      </w:r>
    </w:p>
    <w:p w14:paraId="02EB7B7E" w14:textId="79EF786D"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Respecto a la comunicación mediática sobre violencia sexual</w:t>
      </w:r>
      <w:r w:rsidR="00140D41" w:rsidRPr="000E6594">
        <w:rPr>
          <w:rFonts w:eastAsia="Times New Roman" w:cs="Calibri"/>
          <w:color w:val="000000"/>
          <w:sz w:val="24"/>
          <w:szCs w:val="24"/>
          <w:lang w:eastAsia="es-ES"/>
        </w:rPr>
        <w:t>,</w:t>
      </w:r>
      <w:r w:rsidRPr="000E6594">
        <w:rPr>
          <w:rFonts w:eastAsia="Times New Roman" w:cs="Calibri"/>
          <w:color w:val="000000"/>
          <w:sz w:val="24"/>
          <w:szCs w:val="24"/>
          <w:lang w:eastAsia="es-ES"/>
        </w:rPr>
        <w:t xml:space="preserve"> específicamente contra la infancia el</w:t>
      </w:r>
      <w:r w:rsidR="004353D0" w:rsidRPr="000E6594">
        <w:rPr>
          <w:rFonts w:eastAsia="Times New Roman" w:cs="Calibri"/>
          <w:color w:val="000000"/>
          <w:sz w:val="24"/>
          <w:szCs w:val="24"/>
          <w:lang w:eastAsia="es-ES"/>
        </w:rPr>
        <w:t xml:space="preserve"> Ministerio de Juventud e Infancia</w:t>
      </w:r>
      <w:r w:rsidRPr="000E6594">
        <w:rPr>
          <w:rFonts w:eastAsia="Times New Roman" w:cs="Calibri"/>
          <w:color w:val="000000"/>
          <w:sz w:val="24"/>
          <w:szCs w:val="24"/>
          <w:lang w:eastAsia="es-ES"/>
        </w:rPr>
        <w:t xml:space="preserve"> (2025) elabora la guía “Cómo comunicar sobre violencia sexual contra la infancia y la adolescencia”, proponiendo un modelo de comunicación basado en recomendaciones prácticas dirigidas a los medios para garantizar un tratamiento informativo responsable.  </w:t>
      </w:r>
    </w:p>
    <w:p w14:paraId="429385ED" w14:textId="77777777" w:rsidR="00140D41"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 xml:space="preserve">En concreto, plantea que la información debe elaborarse utilizando un lenguaje preciso, evitando expresiones que culpabilicen a la víctima o que minimicen la gravedad de la violencia, y priorizando siempre la protección de la identidad y la intimidad de los menores. Además, propone contextualizar los casos dentro del fenómeno estructural de la violencia sexual infantil, evitando presentarlos como sucesos aislados, y recomienda contrastar siempre la información con fuentes especializadas. </w:t>
      </w:r>
    </w:p>
    <w:p w14:paraId="12A0E1F1" w14:textId="6F8AF0D1" w:rsidR="00351730" w:rsidRPr="000E6594" w:rsidRDefault="009A7BAE" w:rsidP="003A57B9">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La guía también sugiere evitar el sensacionalismo, los detalles innecesarios sobre los hechos y la difusión de elementos que puedan generar revictimización. Asimismo, impulsa la formación específica de los profesionales de la comunicación y promueve que los medios contribuyan activamente a la sensibilización social y a la prevención mediante un enfoque centrado en derechos y en la protección del interés superior del menor (</w:t>
      </w:r>
      <w:r w:rsidR="004353D0" w:rsidRPr="000E6594">
        <w:rPr>
          <w:rFonts w:eastAsia="Times New Roman" w:cs="Calibri"/>
          <w:color w:val="000000"/>
          <w:sz w:val="24"/>
          <w:szCs w:val="24"/>
          <w:lang w:eastAsia="es-ES"/>
        </w:rPr>
        <w:t>Ministerio de Juventud e Infancia</w:t>
      </w:r>
      <w:r w:rsidRPr="000E6594">
        <w:rPr>
          <w:rFonts w:eastAsia="Times New Roman" w:cs="Calibri"/>
          <w:color w:val="000000"/>
          <w:sz w:val="24"/>
          <w:szCs w:val="24"/>
          <w:lang w:eastAsia="es-ES"/>
        </w:rPr>
        <w:t>, 2025). </w:t>
      </w:r>
    </w:p>
    <w:p w14:paraId="0B6569E7" w14:textId="3085A01A" w:rsidR="00647E00" w:rsidRPr="003A57B9" w:rsidRDefault="009A7BAE" w:rsidP="003A57B9">
      <w:pPr>
        <w:spacing w:after="100" w:line="360" w:lineRule="auto"/>
        <w:ind w:firstLine="340"/>
        <w:jc w:val="both"/>
        <w:textAlignment w:val="baseline"/>
        <w:rPr>
          <w:rStyle w:val="Ttulo3Car"/>
          <w:b/>
          <w:bCs/>
          <w:color w:val="auto"/>
        </w:rPr>
      </w:pPr>
      <w:r w:rsidRPr="003A57B9">
        <w:rPr>
          <w:rStyle w:val="Ttulo3Car"/>
          <w:b/>
          <w:bCs/>
          <w:color w:val="auto"/>
        </w:rPr>
        <w:t>  </w:t>
      </w:r>
      <w:bookmarkStart w:id="32" w:name="_Toc224333160"/>
      <w:r w:rsidRPr="003A57B9">
        <w:rPr>
          <w:rStyle w:val="Ttulo3Car"/>
          <w:b/>
          <w:bCs/>
          <w:color w:val="auto"/>
        </w:rPr>
        <w:t>3.5.4 Políticas de prevención y protocolos de actuación contra la revictimización</w:t>
      </w:r>
      <w:bookmarkEnd w:id="32"/>
      <w:r w:rsidRPr="003A57B9">
        <w:rPr>
          <w:rFonts w:eastAsia="Times New Roman" w:cs="Calibri"/>
          <w:b/>
          <w:bCs/>
          <w:sz w:val="24"/>
          <w:szCs w:val="24"/>
          <w:lang w:eastAsia="es-ES"/>
        </w:rPr>
        <w:t xml:space="preserve"> </w:t>
      </w:r>
      <w:r w:rsidRPr="003A57B9">
        <w:rPr>
          <w:rStyle w:val="Ttulo3Car"/>
          <w:b/>
          <w:bCs/>
          <w:color w:val="auto"/>
        </w:rPr>
        <w:t>en entornos digitales.  </w:t>
      </w:r>
    </w:p>
    <w:p w14:paraId="4C9C75A5" w14:textId="77777777" w:rsidR="00647E00" w:rsidRPr="000E6594" w:rsidRDefault="009A7BAE" w:rsidP="003A57B9">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otro lado, el Protocolo de actuación para la detección e intervención con víctimas de violencia de género digital elaborado por la</w:t>
      </w:r>
      <w:r w:rsidRPr="000E6594">
        <w:rPr>
          <w:rFonts w:eastAsia="Times New Roman" w:cs="Calibri"/>
          <w:b/>
          <w:bCs/>
          <w:color w:val="000000"/>
          <w:sz w:val="24"/>
          <w:szCs w:val="24"/>
          <w:lang w:eastAsia="es-ES"/>
        </w:rPr>
        <w:t> </w:t>
      </w:r>
      <w:r w:rsidRPr="000E6594">
        <w:rPr>
          <w:rFonts w:eastAsia="Times New Roman" w:cs="Calibri"/>
          <w:color w:val="000000"/>
          <w:sz w:val="24"/>
          <w:szCs w:val="24"/>
          <w:lang w:eastAsia="es-ES"/>
        </w:rPr>
        <w:t>Agencia Española de Protección de Datos y Gobierno de La Rioja (2022) incluye una guía para establecer cómo los diferentes organismos deben coordinar sus acciones para identificar, asistir y proteger a las víctimas de violencia perpetrada a través de medios tecnológicos. </w:t>
      </w:r>
    </w:p>
    <w:p w14:paraId="295A13A9" w14:textId="77A77F19"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El plan propone un modelo de intervención basado en la identificación temprana desde los servicios sociales, educación, sanidad, fuerzas de seguridad y sistema judicial, la evaluación de riesgos, el apoyo integral a las víctimas y la derivación a recursos especializados. Dada la importancia de la evidencia digital en los procedimientos judiciales, el plan también enfatiza la importancia de la correcta recopilación, preservación y análisis de esta. Por último, señala la formación especializada para profesionales y las campañas de concienciación ciudadana como el</w:t>
      </w:r>
      <w:r w:rsidR="00140D41" w:rsidRPr="000E6594">
        <w:rPr>
          <w:rFonts w:eastAsia="Times New Roman" w:cs="Calibri"/>
          <w:color w:val="000000"/>
          <w:sz w:val="24"/>
          <w:szCs w:val="24"/>
          <w:lang w:eastAsia="es-ES"/>
        </w:rPr>
        <w:t>ementos clave de la prevención.</w:t>
      </w:r>
    </w:p>
    <w:p w14:paraId="7FB0F044" w14:textId="6DF7AC34"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relación con las políticas de prevención y los protocolos de actuación frente a la revictimización en entornos digitales, la Guía para el tratamiento informativo de la violencia de género del Consejo Audiovisual de Andalucía (</w:t>
      </w:r>
      <w:r w:rsidRPr="003A57B9">
        <w:rPr>
          <w:rFonts w:eastAsia="Times New Roman" w:cs="Calibri"/>
          <w:color w:val="000000"/>
          <w:sz w:val="24"/>
          <w:szCs w:val="24"/>
          <w:lang w:eastAsia="es-ES"/>
        </w:rPr>
        <w:t>20</w:t>
      </w:r>
      <w:r w:rsidR="00A41B34" w:rsidRPr="003A57B9">
        <w:rPr>
          <w:rFonts w:eastAsia="Times New Roman" w:cs="Calibri"/>
          <w:color w:val="000000"/>
          <w:sz w:val="24"/>
          <w:szCs w:val="24"/>
          <w:lang w:eastAsia="es-ES"/>
        </w:rPr>
        <w:t>1</w:t>
      </w:r>
      <w:r w:rsidR="00A41B34" w:rsidRPr="000E6594">
        <w:rPr>
          <w:rFonts w:eastAsia="Times New Roman" w:cs="Calibri"/>
          <w:color w:val="000000"/>
          <w:sz w:val="24"/>
          <w:szCs w:val="24"/>
          <w:lang w:eastAsia="es-ES"/>
        </w:rPr>
        <w:t>6)</w:t>
      </w:r>
      <w:r w:rsidRPr="000E6594">
        <w:rPr>
          <w:rFonts w:eastAsia="Times New Roman" w:cs="Calibri"/>
          <w:color w:val="000000"/>
          <w:sz w:val="24"/>
          <w:szCs w:val="24"/>
          <w:lang w:eastAsia="es-ES"/>
        </w:rPr>
        <w:t xml:space="preserve"> señala a la protección del derecho al honor, la intimidad y la propia imagen de las víctimas, como responsabilidad de los medios de comunicación, incluidos los digitales.  </w:t>
      </w:r>
    </w:p>
    <w:p w14:paraId="41FE518C"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El documento advierte que la difusión de contenido personal a través de redes sociales puede vulnerar gravemente estos derechos y dar lugar a una revictimización, con mayor probabilidad cuando se copian imágenes, mensajes o datos privados sin consentimiento. Asimismo, la guía recalca la necesidad de estándares de autorregulación y rigor periodístico para evitar el sensacionalismo, la exposición </w:t>
      </w:r>
      <w:r w:rsidRPr="000E6594">
        <w:rPr>
          <w:rFonts w:eastAsia="Times New Roman" w:cs="Calibri"/>
          <w:color w:val="000000"/>
          <w:sz w:val="24"/>
          <w:szCs w:val="24"/>
          <w:lang w:eastAsia="es-ES"/>
        </w:rPr>
        <w:lastRenderedPageBreak/>
        <w:t>innecesaria de las víctimas y la difusión de narrativas que socavan la credibilidad. Para ello, propone un enfoque preventivo basado en la interpretación contextual adecuada de la violencia de género, el uso de un lenguaje respetuoso y preciso, y la eliminación de comportamientos digitales que agravan el daño, como la difusión de contenido viral o la especulación en línea. Esto contribuye a implementar mecanismos de comunicación responsables que no alimenten la violencia simbólica o la victimización secundaria digital. </w:t>
      </w:r>
    </w:p>
    <w:p w14:paraId="548B309D" w14:textId="556C7531"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último,</w:t>
      </w:r>
      <w:r w:rsidRPr="000E6594">
        <w:rPr>
          <w:rFonts w:eastAsia="Times New Roman" w:cs="Calibri"/>
          <w:i/>
          <w:iCs/>
          <w:color w:val="000000"/>
          <w:sz w:val="24"/>
          <w:szCs w:val="24"/>
          <w:lang w:eastAsia="es-ES"/>
        </w:rPr>
        <w:t> </w:t>
      </w:r>
      <w:r w:rsidRPr="000E6594">
        <w:rPr>
          <w:rFonts w:eastAsia="Times New Roman" w:cs="Calibri"/>
          <w:color w:val="000000"/>
          <w:sz w:val="24"/>
          <w:szCs w:val="24"/>
          <w:lang w:eastAsia="es-ES"/>
        </w:rPr>
        <w:t>la responsabilidad por la vulneración del derecho al honor, la intimidad, el derecho a la imagen y la protección de datos personales recae en los medios de comunicación tradicionales, las redes sociales, las plataformas digitales y cualquier persona o entidad que difunda dicho contenido. La publicación o difusión de información, imágenes o datos sensibles que puedan identificar a las víctimas sin su consentimiento en estas plataformas puede dar lugar a sanciones administrativas y responsabilidad civil, incluyendo multas e indemnizaciones por daños y perjuicios, según lo dispuesto en la Ley Orgánica 3/2</w:t>
      </w:r>
      <w:r w:rsidR="00140D41" w:rsidRPr="000E6594">
        <w:rPr>
          <w:rFonts w:eastAsia="Times New Roman" w:cs="Calibri"/>
          <w:color w:val="000000"/>
          <w:sz w:val="24"/>
          <w:szCs w:val="24"/>
          <w:lang w:eastAsia="es-ES"/>
        </w:rPr>
        <w:t>018 y en la Ley Orgánica 1/1982.</w:t>
      </w:r>
    </w:p>
    <w:p w14:paraId="62CAEDF0" w14:textId="76D6BAEE"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w:t>
      </w:r>
    </w:p>
    <w:p w14:paraId="1E170694" w14:textId="77777777" w:rsidR="00647E00" w:rsidRPr="003A57B9" w:rsidRDefault="009A7BAE" w:rsidP="003A57B9">
      <w:pPr>
        <w:pStyle w:val="Ttulo1"/>
        <w:spacing w:line="360" w:lineRule="auto"/>
        <w:rPr>
          <w:rFonts w:asciiTheme="minorHAnsi" w:hAnsiTheme="minorHAnsi" w:cstheme="minorHAnsi"/>
          <w:b/>
          <w:bCs/>
          <w:color w:val="auto"/>
          <w:sz w:val="24"/>
          <w:szCs w:val="24"/>
        </w:rPr>
      </w:pPr>
      <w:bookmarkStart w:id="33" w:name="_Toc224333161"/>
      <w:r w:rsidRPr="003A57B9">
        <w:rPr>
          <w:rFonts w:asciiTheme="minorHAnsi" w:eastAsia="Times New Roman" w:hAnsiTheme="minorHAnsi" w:cstheme="minorHAnsi"/>
          <w:b/>
          <w:bCs/>
          <w:color w:val="auto"/>
          <w:sz w:val="24"/>
          <w:szCs w:val="24"/>
          <w:lang w:eastAsia="es-ES"/>
        </w:rPr>
        <w:t>4. Discusión</w:t>
      </w:r>
      <w:bookmarkEnd w:id="33"/>
      <w:r w:rsidRPr="003A57B9">
        <w:rPr>
          <w:rFonts w:asciiTheme="minorHAnsi" w:eastAsia="Times New Roman" w:hAnsiTheme="minorHAnsi" w:cstheme="minorHAnsi"/>
          <w:b/>
          <w:bCs/>
          <w:color w:val="auto"/>
          <w:sz w:val="24"/>
          <w:szCs w:val="24"/>
          <w:lang w:eastAsia="es-ES"/>
        </w:rPr>
        <w:t> </w:t>
      </w:r>
    </w:p>
    <w:p w14:paraId="74640EF0" w14:textId="782C4CEF" w:rsidR="00647E00" w:rsidRPr="000E6594" w:rsidRDefault="009A7BAE" w:rsidP="003A57B9">
      <w:pPr>
        <w:spacing w:after="100" w:line="360" w:lineRule="auto"/>
        <w:ind w:firstLine="340"/>
        <w:jc w:val="both"/>
        <w:textAlignment w:val="baseline"/>
        <w:rPr>
          <w:rFonts w:cs="Calibri"/>
        </w:rPr>
      </w:pPr>
      <w:r w:rsidRPr="003A57B9">
        <w:rPr>
          <w:rFonts w:asciiTheme="minorHAnsi" w:eastAsia="Times New Roman" w:hAnsiTheme="minorHAnsi" w:cstheme="minorHAnsi"/>
          <w:sz w:val="24"/>
          <w:szCs w:val="24"/>
          <w:lang w:eastAsia="es-ES"/>
        </w:rPr>
        <w:t>Tal y como se ha evidenciado a lo largo del presente tr</w:t>
      </w:r>
      <w:r w:rsidR="00140D41" w:rsidRPr="003A57B9">
        <w:rPr>
          <w:rFonts w:asciiTheme="minorHAnsi" w:eastAsia="Times New Roman" w:hAnsiTheme="minorHAnsi" w:cstheme="minorHAnsi"/>
          <w:sz w:val="24"/>
          <w:szCs w:val="24"/>
          <w:lang w:eastAsia="es-ES"/>
        </w:rPr>
        <w:t>abajo, los comentarios que aten</w:t>
      </w:r>
      <w:r w:rsidRPr="003A57B9">
        <w:rPr>
          <w:rFonts w:asciiTheme="minorHAnsi" w:eastAsia="Times New Roman" w:hAnsiTheme="minorHAnsi" w:cstheme="minorHAnsi"/>
          <w:sz w:val="24"/>
          <w:szCs w:val="24"/>
          <w:lang w:eastAsia="es-ES"/>
        </w:rPr>
        <w:t>tan</w:t>
      </w:r>
      <w:r w:rsidRPr="003A57B9">
        <w:rPr>
          <w:rFonts w:eastAsia="Times New Roman" w:cs="Calibri"/>
          <w:sz w:val="24"/>
          <w:szCs w:val="24"/>
          <w:lang w:eastAsia="es-ES"/>
        </w:rPr>
        <w:t xml:space="preserve"> </w:t>
      </w:r>
      <w:r w:rsidRPr="000E6594">
        <w:rPr>
          <w:rFonts w:eastAsia="Times New Roman" w:cs="Calibri"/>
          <w:color w:val="000000"/>
          <w:sz w:val="24"/>
          <w:szCs w:val="24"/>
          <w:lang w:eastAsia="es-ES"/>
        </w:rPr>
        <w:t>contra la integridad de las víctimas tras la viralización de casos de violencia sexual en redes sociales constituyen una proporción considerable. Estos incluyen el cuestionamiento de su testimonio, mensajes insultantes o culpabilizadores y la difusión de informaciones falsas distorsionadas que contribuyen a la desinformación y a la revictimización. La persistencia de estas dinámicas en el entorno digital es un indicio objetivo de que los mecanismos normativos actuales son insuficientes para prevenir de manera eficaz la revictimización de las mujeres en los espacios digitales. </w:t>
      </w:r>
    </w:p>
    <w:p w14:paraId="3D9E0FB7"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 xml:space="preserve">En relación con los medios de comunicación, aunque existen límites legales claros en materia de protección de datos, derecho al honor o a la intimidad al publicar detalles íntimos de una víctima que se dan cuando se difunden datos privados de la víctima, el tratamiento sensacionalista de los casos de violencia sexual no se encuentra específicamente regulado ni sancionado penalmente. Las vulneraciones sancionables se </w:t>
      </w:r>
      <w:r w:rsidRPr="000E6594">
        <w:rPr>
          <w:rFonts w:eastAsia="Times New Roman" w:cs="Calibri"/>
          <w:color w:val="000000"/>
          <w:sz w:val="24"/>
          <w:szCs w:val="24"/>
          <w:lang w:eastAsia="es-ES"/>
        </w:rPr>
        <w:lastRenderedPageBreak/>
        <w:t>producen, fundamentalmente, cuando se difunden datos privados o detalles íntimos de la víctima, pero no cuando los hechos se presentan de forma morbosa, estigmatizante o </w:t>
      </w:r>
      <w:proofErr w:type="spellStart"/>
      <w:r w:rsidRPr="000E6594">
        <w:rPr>
          <w:rFonts w:eastAsia="Times New Roman" w:cs="Calibri"/>
          <w:color w:val="000000"/>
          <w:sz w:val="24"/>
          <w:szCs w:val="24"/>
          <w:lang w:eastAsia="es-ES"/>
        </w:rPr>
        <w:t>revictimizante</w:t>
      </w:r>
      <w:proofErr w:type="spellEnd"/>
      <w:r w:rsidRPr="000E6594">
        <w:rPr>
          <w:rFonts w:eastAsia="Times New Roman" w:cs="Calibri"/>
          <w:color w:val="000000"/>
          <w:sz w:val="24"/>
          <w:szCs w:val="24"/>
          <w:lang w:eastAsia="es-ES"/>
        </w:rPr>
        <w:t>. En este sentido, la penalización del tratamiento sensacionalista podría constituir una herramienta especialmente eficaz para reducir la revictimización mediática, teniendo en cuenta la capacidad inhibitoria del control social formal. </w:t>
      </w:r>
    </w:p>
    <w:p w14:paraId="73CDA323"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Los medios de comunicación disponen de códigos deontológicos y guías de buenas prácticas para el tratamiento informativo de la violencia sexual, lo cual supone un avance significativo. No obstante, su alcance es limitado, ya que estas normas tienen un carácter meramente ético y profesional, lo que en la práctica se traduce en recomendaciones sin consecuencias jurídicas vinculantes.  </w:t>
      </w:r>
    </w:p>
    <w:p w14:paraId="32F876BE"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En esta misma línea, aunque las guías para un tratamiento informativo adecuado de la violencia sexual es un paso positivo, resultan insuficientes. Para contrarrestar esta limitación y asegurar el conocimiento generalizado entre todos los profesionales dedicados a informar, sería necesario que la formación específica en violencia sexual y en su abordaje informativo sensible fuese obligatoria dentro de la formación académica y profesional de los periodistas. Asimismo, la elaboración de una guía nacional de obligado cumplimiento para todos los profesionales de la comunicación, centrada en la violencia sexual desde una perspectiva integral, podría actuar como un importante agente de cambio en la prevención de la revictimización mediática. </w:t>
      </w:r>
    </w:p>
    <w:p w14:paraId="00F028C6"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Por otra parte, la introducción de una regulación más estricta y homogénea, aplicable tanto a medios de comunicación como a redes sociales, podría contribuir de manera significativa a la disminución de la revictimización, especialmente si se tiene en cuenta la capacidad de influencia que ejerce el control normativo sobre las conductas sociales. </w:t>
      </w:r>
    </w:p>
    <w:p w14:paraId="1858EDED" w14:textId="77777777" w:rsidR="00647E00" w:rsidRPr="000E6594" w:rsidRDefault="009A7BAE" w:rsidP="000E6594">
      <w:pPr>
        <w:spacing w:after="100" w:line="360" w:lineRule="auto"/>
        <w:ind w:firstLine="340"/>
        <w:jc w:val="both"/>
        <w:textAlignment w:val="baseline"/>
        <w:rPr>
          <w:rFonts w:cs="Calibri"/>
        </w:rPr>
      </w:pPr>
      <w:r w:rsidRPr="000E6594">
        <w:rPr>
          <w:rFonts w:eastAsia="Times New Roman" w:cs="Calibri"/>
          <w:color w:val="000000"/>
          <w:sz w:val="24"/>
          <w:szCs w:val="24"/>
          <w:lang w:eastAsia="es-ES"/>
        </w:rPr>
        <w:t>De igual modo, la inclusión de la figura del criminólogo en el ámbito periodístico, digital y en las redes sociales podría aportar un valor añadido significativo. El criminólogo puede intervenir como asesor especializado, contextualizar de forma adecuada los casos de violencia sexual evitando enfoques sensacionalistas, identificar y frenar discursos </w:t>
      </w:r>
      <w:proofErr w:type="spellStart"/>
      <w:r w:rsidRPr="000E6594">
        <w:rPr>
          <w:rFonts w:eastAsia="Times New Roman" w:cs="Calibri"/>
          <w:color w:val="000000"/>
          <w:sz w:val="24"/>
          <w:szCs w:val="24"/>
          <w:lang w:eastAsia="es-ES"/>
        </w:rPr>
        <w:t>revictimizantes</w:t>
      </w:r>
      <w:proofErr w:type="spellEnd"/>
      <w:r w:rsidRPr="000E6594">
        <w:rPr>
          <w:rFonts w:eastAsia="Times New Roman" w:cs="Calibri"/>
          <w:color w:val="000000"/>
          <w:sz w:val="24"/>
          <w:szCs w:val="24"/>
          <w:lang w:eastAsia="es-ES"/>
        </w:rPr>
        <w:t> y participar en estrategias de prevención y sensibilización orientadas a reducir la victimización secundaria. </w:t>
      </w:r>
    </w:p>
    <w:p w14:paraId="79CE0416" w14:textId="77777777" w:rsidR="00140D41" w:rsidRPr="000E6594" w:rsidRDefault="009A7BAE" w:rsidP="000E6594">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lastRenderedPageBreak/>
        <w:t xml:space="preserve">Finalmente, resulta imprescindible reforzar la sensibilización social en torno a la criminología mediática y sus efectos, especialmente en relación con la violencia sexual. La educación en este ámbito debería impulsarse desde etapas tempranas, como la educación secundaria, y continuar en el ámbito universitario, así como a través de campañas en redes sociales y medios de comunicación. Tal y como se ha evidenciado en el presente trabajo, el papel de la sociedad es clave para generar cambios positivos y combatir la revictimización. </w:t>
      </w:r>
    </w:p>
    <w:p w14:paraId="56146796" w14:textId="48898F85" w:rsidR="00483D65" w:rsidRDefault="00140D41" w:rsidP="003A57B9">
      <w:pPr>
        <w:spacing w:after="100" w:line="360" w:lineRule="auto"/>
        <w:ind w:firstLine="340"/>
        <w:jc w:val="both"/>
        <w:textAlignment w:val="baseline"/>
        <w:rPr>
          <w:rFonts w:eastAsia="Times New Roman" w:cs="Calibri"/>
          <w:color w:val="000000"/>
          <w:sz w:val="24"/>
          <w:szCs w:val="24"/>
          <w:lang w:eastAsia="es-ES"/>
        </w:rPr>
      </w:pPr>
      <w:r w:rsidRPr="000E6594">
        <w:rPr>
          <w:rFonts w:eastAsia="Times New Roman" w:cs="Calibri"/>
          <w:color w:val="000000"/>
          <w:sz w:val="24"/>
          <w:szCs w:val="24"/>
          <w:lang w:eastAsia="es-ES"/>
        </w:rPr>
        <w:t>En definitiva, e</w:t>
      </w:r>
      <w:r w:rsidR="009A7BAE" w:rsidRPr="000E6594">
        <w:rPr>
          <w:rFonts w:eastAsia="Times New Roman" w:cs="Calibri"/>
          <w:color w:val="000000"/>
          <w:sz w:val="24"/>
          <w:szCs w:val="24"/>
          <w:lang w:eastAsia="es-ES"/>
        </w:rPr>
        <w:t>n el entorno digital, iniciativas como la creación y difusión de hashtags específicos contra la revictimización podrían contribuir a visibilizar el problema y a fomentar una respuesta social más crítica y empática frente a este tipo de violencias. </w:t>
      </w:r>
    </w:p>
    <w:p w14:paraId="3BEF9D91" w14:textId="77777777" w:rsidR="00424443" w:rsidRPr="003A57B9" w:rsidRDefault="00424443" w:rsidP="003A57B9">
      <w:pPr>
        <w:spacing w:after="100" w:line="360" w:lineRule="auto"/>
        <w:ind w:firstLine="340"/>
        <w:jc w:val="both"/>
        <w:textAlignment w:val="baseline"/>
        <w:rPr>
          <w:rFonts w:eastAsia="Times New Roman" w:cs="Calibri"/>
          <w:color w:val="000000"/>
          <w:sz w:val="24"/>
          <w:szCs w:val="24"/>
          <w:lang w:eastAsia="es-ES"/>
        </w:rPr>
      </w:pPr>
    </w:p>
    <w:p w14:paraId="1D0A1FC9" w14:textId="77777777" w:rsidR="00483D65" w:rsidRPr="00424443" w:rsidRDefault="00483D65" w:rsidP="00424443">
      <w:pPr>
        <w:pStyle w:val="Ttulo1"/>
        <w:spacing w:line="360" w:lineRule="auto"/>
        <w:rPr>
          <w:rFonts w:asciiTheme="minorHAnsi" w:hAnsiTheme="minorHAnsi" w:cstheme="minorHAnsi"/>
          <w:b/>
          <w:bCs/>
          <w:color w:val="auto"/>
          <w:sz w:val="24"/>
          <w:szCs w:val="24"/>
        </w:rPr>
      </w:pPr>
      <w:bookmarkStart w:id="34" w:name="_Toc224333162"/>
      <w:r w:rsidRPr="00424443">
        <w:rPr>
          <w:rFonts w:asciiTheme="minorHAnsi" w:hAnsiTheme="minorHAnsi" w:cstheme="minorHAnsi"/>
          <w:b/>
          <w:bCs/>
          <w:color w:val="auto"/>
          <w:sz w:val="24"/>
          <w:szCs w:val="24"/>
        </w:rPr>
        <w:t>5. Conclusiones</w:t>
      </w:r>
      <w:bookmarkEnd w:id="34"/>
    </w:p>
    <w:p w14:paraId="45C4D7E2" w14:textId="77777777" w:rsidR="00704D09" w:rsidRPr="000E6594" w:rsidRDefault="00F05C54" w:rsidP="00424443">
      <w:pPr>
        <w:spacing w:after="100" w:line="360" w:lineRule="auto"/>
        <w:ind w:firstLine="340"/>
        <w:jc w:val="both"/>
        <w:textAlignment w:val="baseline"/>
        <w:rPr>
          <w:rFonts w:cs="Calibri"/>
          <w:sz w:val="24"/>
          <w:szCs w:val="24"/>
        </w:rPr>
      </w:pPr>
      <w:r w:rsidRPr="00AE45AB">
        <w:rPr>
          <w:rFonts w:cs="Calibri"/>
          <w:sz w:val="24"/>
          <w:szCs w:val="24"/>
        </w:rPr>
        <w:t>1ª</w:t>
      </w:r>
      <w:r w:rsidRPr="000E6594">
        <w:rPr>
          <w:rFonts w:cs="Calibri"/>
          <w:sz w:val="24"/>
          <w:szCs w:val="24"/>
        </w:rPr>
        <w:t xml:space="preserve"> </w:t>
      </w:r>
      <w:r w:rsidR="00704D09" w:rsidRPr="000E6594">
        <w:rPr>
          <w:rFonts w:cs="Calibri"/>
          <w:sz w:val="24"/>
          <w:szCs w:val="24"/>
        </w:rPr>
        <w:t>El análisis de la revictimización femenina en casos de violencia sexual y criminología mediática desde la perspectiva digital señala que el entorno digital es un escenario donde la violencia simbólica contra las víctimas se reproduce y amplifica a través de mecanismos como la viralización, el anonimato y la desinhibición tóxica, generando una forma de revictimización que trasciende el hecho delictivo y somete a las víctimas a un escrutinio público constante que agrava las consecuencias del daño inicial.</w:t>
      </w:r>
    </w:p>
    <w:p w14:paraId="23E59F5D" w14:textId="1B331192" w:rsidR="002944B2" w:rsidRPr="000E6594" w:rsidRDefault="002944B2" w:rsidP="000E6594">
      <w:pPr>
        <w:spacing w:after="100" w:line="360" w:lineRule="auto"/>
        <w:ind w:firstLine="340"/>
        <w:jc w:val="both"/>
        <w:textAlignment w:val="baseline"/>
        <w:rPr>
          <w:rFonts w:cs="Calibri"/>
          <w:sz w:val="24"/>
          <w:szCs w:val="24"/>
        </w:rPr>
      </w:pPr>
      <w:r w:rsidRPr="00AE45AB">
        <w:rPr>
          <w:rFonts w:cs="Calibri"/>
          <w:sz w:val="24"/>
          <w:szCs w:val="24"/>
        </w:rPr>
        <w:t>2º</w:t>
      </w:r>
      <w:r w:rsidRPr="000E6594">
        <w:rPr>
          <w:rFonts w:cs="Calibri"/>
          <w:sz w:val="24"/>
          <w:szCs w:val="24"/>
        </w:rPr>
        <w:t xml:space="preserve"> La revictimización femenina es el conjunto de daños adicionales (psicológicos, sociales, jurídicos y económicos) que experimenta la mujer como consecuencia de las respuestas institucionales, mediáticas y sociales tras haber sufrido un delito. En especial, en casos de violencia sexual se entiende como la segunda victimización que sufre a manos del entorno que debería protegerla: el trato negligente o cuestionador de instituciones, la cobertura mediática sensacionalista y la reacción social </w:t>
      </w:r>
      <w:r w:rsidR="00985EEA" w:rsidRPr="000E6594">
        <w:rPr>
          <w:rFonts w:cs="Calibri"/>
          <w:sz w:val="24"/>
          <w:szCs w:val="24"/>
        </w:rPr>
        <w:t>culpabilizadora.</w:t>
      </w:r>
    </w:p>
    <w:p w14:paraId="1FC9E1CA" w14:textId="77777777" w:rsidR="00F05C54" w:rsidRPr="000E6594" w:rsidRDefault="00F05C54" w:rsidP="000E6594">
      <w:pPr>
        <w:spacing w:after="100" w:line="360" w:lineRule="auto"/>
        <w:ind w:firstLine="340"/>
        <w:jc w:val="both"/>
        <w:textAlignment w:val="baseline"/>
        <w:rPr>
          <w:rFonts w:cs="Calibri"/>
          <w:sz w:val="24"/>
          <w:szCs w:val="24"/>
        </w:rPr>
      </w:pPr>
      <w:r w:rsidRPr="00AE45AB">
        <w:rPr>
          <w:rFonts w:cs="Calibri"/>
          <w:sz w:val="24"/>
          <w:szCs w:val="24"/>
        </w:rPr>
        <w:t xml:space="preserve">3º </w:t>
      </w:r>
      <w:r w:rsidRPr="000E6594">
        <w:rPr>
          <w:rFonts w:cs="Calibri"/>
          <w:sz w:val="24"/>
          <w:szCs w:val="24"/>
        </w:rPr>
        <w:t xml:space="preserve">Los medios digitales, entendidos como plataformas tecnológicas que permiten la creación, distribución e interacción instantánea de contenidos informativos a escala global, construyen la narrativa criminológica sobre las víctimas al exponerlas como objetos de morbo y escrutinio público. A través de mecanismos como el </w:t>
      </w:r>
      <w:proofErr w:type="spellStart"/>
      <w:r w:rsidRPr="000E6594">
        <w:rPr>
          <w:rFonts w:cs="Calibri"/>
          <w:sz w:val="24"/>
          <w:szCs w:val="24"/>
        </w:rPr>
        <w:t>framing</w:t>
      </w:r>
      <w:proofErr w:type="spellEnd"/>
      <w:r w:rsidRPr="000E6594">
        <w:rPr>
          <w:rFonts w:cs="Calibri"/>
          <w:sz w:val="24"/>
          <w:szCs w:val="24"/>
        </w:rPr>
        <w:t>, la agenda-</w:t>
      </w:r>
      <w:proofErr w:type="spellStart"/>
      <w:r w:rsidRPr="000E6594">
        <w:rPr>
          <w:rFonts w:cs="Calibri"/>
          <w:sz w:val="24"/>
          <w:szCs w:val="24"/>
        </w:rPr>
        <w:t>setting</w:t>
      </w:r>
      <w:proofErr w:type="spellEnd"/>
      <w:r w:rsidRPr="000E6594">
        <w:rPr>
          <w:rFonts w:cs="Calibri"/>
          <w:sz w:val="24"/>
          <w:szCs w:val="24"/>
        </w:rPr>
        <w:t xml:space="preserve"> y el discurso sensacionalista, desplazan el foco del agresor hacia la </w:t>
      </w:r>
      <w:r w:rsidRPr="000E6594">
        <w:rPr>
          <w:rFonts w:cs="Calibri"/>
          <w:sz w:val="24"/>
          <w:szCs w:val="24"/>
        </w:rPr>
        <w:lastRenderedPageBreak/>
        <w:t>víctima, cuestionan su comportamiento y reproducen estereotipos de género que minimizan la gravedad del delito y condicionan la opinión pública.</w:t>
      </w:r>
    </w:p>
    <w:p w14:paraId="1EE7B915" w14:textId="50534FC8" w:rsidR="00F05C54" w:rsidRPr="000E6594" w:rsidRDefault="00F05C54" w:rsidP="000E6594">
      <w:pPr>
        <w:spacing w:after="100" w:line="360" w:lineRule="auto"/>
        <w:ind w:firstLine="340"/>
        <w:jc w:val="both"/>
        <w:textAlignment w:val="baseline"/>
        <w:rPr>
          <w:rFonts w:cs="Calibri"/>
          <w:sz w:val="24"/>
          <w:szCs w:val="24"/>
        </w:rPr>
      </w:pPr>
      <w:r w:rsidRPr="00AE45AB">
        <w:rPr>
          <w:rFonts w:cs="Calibri"/>
          <w:sz w:val="24"/>
          <w:szCs w:val="24"/>
        </w:rPr>
        <w:t>4º</w:t>
      </w:r>
      <w:r w:rsidRPr="000E6594">
        <w:rPr>
          <w:rFonts w:cs="Calibri"/>
          <w:sz w:val="24"/>
          <w:szCs w:val="24"/>
        </w:rPr>
        <w:t xml:space="preserve"> Entre los patrones de tratamiento mediático que contribuyen a la revictimización se cuentan la culpabilización implícita mediante encuadres de atribución de responsabilidad, la recreación sensacionalista de los hechos, la </w:t>
      </w:r>
      <w:proofErr w:type="spellStart"/>
      <w:r w:rsidRPr="000E6594">
        <w:rPr>
          <w:rFonts w:cs="Calibri"/>
          <w:sz w:val="24"/>
          <w:szCs w:val="24"/>
        </w:rPr>
        <w:t>eufemización</w:t>
      </w:r>
      <w:proofErr w:type="spellEnd"/>
      <w:r w:rsidRPr="000E6594">
        <w:rPr>
          <w:rFonts w:cs="Calibri"/>
          <w:sz w:val="24"/>
          <w:szCs w:val="24"/>
        </w:rPr>
        <w:t xml:space="preserve"> de la violencia, el </w:t>
      </w:r>
      <w:proofErr w:type="spellStart"/>
      <w:r w:rsidRPr="000E6594">
        <w:rPr>
          <w:rFonts w:cs="Calibri"/>
          <w:sz w:val="24"/>
          <w:szCs w:val="24"/>
        </w:rPr>
        <w:t>clickbait</w:t>
      </w:r>
      <w:proofErr w:type="spellEnd"/>
      <w:r w:rsidRPr="000E6594">
        <w:rPr>
          <w:rFonts w:cs="Calibri"/>
          <w:sz w:val="24"/>
          <w:szCs w:val="24"/>
        </w:rPr>
        <w:t xml:space="preserve"> tipográfico y la divulgación de datos personales sin consentimiento. </w:t>
      </w:r>
    </w:p>
    <w:p w14:paraId="3AB42509" w14:textId="15BB5A3E" w:rsidR="00F05C54" w:rsidRPr="000E6594" w:rsidRDefault="00F05C54" w:rsidP="000E6594">
      <w:pPr>
        <w:spacing w:after="100" w:line="360" w:lineRule="auto"/>
        <w:ind w:firstLine="340"/>
        <w:jc w:val="both"/>
        <w:textAlignment w:val="baseline"/>
        <w:rPr>
          <w:rFonts w:cs="Calibri"/>
          <w:sz w:val="24"/>
          <w:szCs w:val="24"/>
        </w:rPr>
      </w:pPr>
      <w:r w:rsidRPr="00AE45AB">
        <w:rPr>
          <w:rFonts w:cs="Calibri"/>
          <w:sz w:val="24"/>
          <w:szCs w:val="24"/>
        </w:rPr>
        <w:t>5º</w:t>
      </w:r>
      <w:r w:rsidRPr="000E6594">
        <w:rPr>
          <w:rFonts w:cs="Calibri"/>
          <w:sz w:val="24"/>
          <w:szCs w:val="24"/>
        </w:rPr>
        <w:t xml:space="preserve"> El impacto que presenta la víctima de violencia sexual a nivel mediático es, desde el punto de vista psicológico, especialmente grave: la exposición pública agrava los síntomas previos y puede desencadenar depresión, trastorno de estrés postraumático, sentimientos de desesperanza e incluso ideación suicida. En lo social, las consecuencias abarcan el aislamiento, la pérdida de reputación, el abandono del entorno digital por miedo al acoso y la inhibición de otras víctimas a la hora de denunciar.</w:t>
      </w:r>
    </w:p>
    <w:p w14:paraId="72E38249" w14:textId="6731EB96" w:rsidR="00483D65" w:rsidRPr="000E6594" w:rsidRDefault="00FE5A97" w:rsidP="000E6594">
      <w:pPr>
        <w:spacing w:after="100" w:line="360" w:lineRule="auto"/>
        <w:ind w:firstLine="340"/>
        <w:jc w:val="both"/>
        <w:textAlignment w:val="baseline"/>
        <w:rPr>
          <w:rFonts w:cs="Calibri"/>
          <w:sz w:val="24"/>
          <w:szCs w:val="24"/>
        </w:rPr>
      </w:pPr>
      <w:r w:rsidRPr="002D45FC">
        <w:rPr>
          <w:rFonts w:cs="Calibri"/>
          <w:sz w:val="24"/>
          <w:szCs w:val="24"/>
        </w:rPr>
        <w:t xml:space="preserve">6º </w:t>
      </w:r>
      <w:r w:rsidRPr="000E6594">
        <w:rPr>
          <w:rFonts w:cs="Calibri"/>
          <w:sz w:val="24"/>
          <w:szCs w:val="24"/>
        </w:rPr>
        <w:t>Las políticas públicas e intervenciones para tratar la violencia sexual a nivel mediático y que tienen como propósito evitar la revictimización en España se cuenta con la Ley Orgánica 10/2022, que regula la formación de los profesionales de la comunicación; las Leyes Orgánicas 3/2018 y 1/1982, sobre protección de datos e imagen de las víctimas; el Protocolo de actuación frente a la violencia de género digital de la AEPD; y diversas guías deontológicas autonómicas de carácter orientativo y sin mecanismos sancionadores específicos.</w:t>
      </w:r>
    </w:p>
    <w:p w14:paraId="3493B042" w14:textId="77777777" w:rsidR="00483D65" w:rsidRPr="000E6594" w:rsidRDefault="00483D65" w:rsidP="000E6594">
      <w:pPr>
        <w:spacing w:after="100" w:line="360" w:lineRule="auto"/>
        <w:ind w:firstLine="340"/>
        <w:jc w:val="both"/>
        <w:textAlignment w:val="baseline"/>
        <w:rPr>
          <w:rFonts w:cs="Calibri"/>
          <w:b/>
          <w:sz w:val="28"/>
          <w:szCs w:val="28"/>
          <w:highlight w:val="green"/>
        </w:rPr>
      </w:pPr>
    </w:p>
    <w:p w14:paraId="2026D7A1" w14:textId="378D8D6C" w:rsidR="007336CE" w:rsidRPr="00424443" w:rsidRDefault="00D230D3" w:rsidP="00424443">
      <w:pPr>
        <w:pStyle w:val="Ttulo1"/>
        <w:spacing w:line="360" w:lineRule="auto"/>
        <w:rPr>
          <w:rFonts w:asciiTheme="minorHAnsi" w:hAnsiTheme="minorHAnsi" w:cstheme="minorHAnsi"/>
          <w:b/>
          <w:bCs/>
          <w:color w:val="auto"/>
          <w:sz w:val="24"/>
          <w:szCs w:val="24"/>
        </w:rPr>
      </w:pPr>
      <w:bookmarkStart w:id="35" w:name="_Toc224333163"/>
      <w:r w:rsidRPr="00424443">
        <w:rPr>
          <w:rFonts w:asciiTheme="minorHAnsi" w:hAnsiTheme="minorHAnsi" w:cstheme="minorHAnsi"/>
          <w:b/>
          <w:bCs/>
          <w:color w:val="auto"/>
          <w:sz w:val="24"/>
          <w:szCs w:val="24"/>
        </w:rPr>
        <w:t xml:space="preserve">6. </w:t>
      </w:r>
      <w:r w:rsidR="007336CE" w:rsidRPr="00424443">
        <w:rPr>
          <w:rFonts w:asciiTheme="minorHAnsi" w:hAnsiTheme="minorHAnsi" w:cstheme="minorHAnsi"/>
          <w:b/>
          <w:bCs/>
          <w:color w:val="auto"/>
          <w:sz w:val="24"/>
          <w:szCs w:val="24"/>
        </w:rPr>
        <w:t>Referencias Bibliográficas</w:t>
      </w:r>
      <w:bookmarkEnd w:id="35"/>
    </w:p>
    <w:p w14:paraId="0F1C31BF" w14:textId="77777777" w:rsidR="00EC62AD" w:rsidRPr="00736B9E" w:rsidRDefault="00EC62AD" w:rsidP="00424443">
      <w:pPr>
        <w:spacing w:line="360" w:lineRule="auto"/>
        <w:ind w:left="720" w:hanging="720"/>
        <w:jc w:val="both"/>
        <w:rPr>
          <w:rFonts w:cs="Calibri"/>
          <w:sz w:val="24"/>
          <w:szCs w:val="24"/>
        </w:rPr>
      </w:pPr>
      <w:r w:rsidRPr="00736B9E">
        <w:rPr>
          <w:rFonts w:cs="Calibri"/>
          <w:sz w:val="24"/>
          <w:szCs w:val="24"/>
        </w:rPr>
        <w:t xml:space="preserve">Acosta, R. P. (2017). </w:t>
      </w:r>
      <w:r w:rsidRPr="00736B9E">
        <w:rPr>
          <w:rFonts w:cs="Calibri"/>
          <w:i/>
          <w:iCs/>
          <w:sz w:val="24"/>
          <w:szCs w:val="24"/>
        </w:rPr>
        <w:t>El derecho penal como instrumento de los medios de comunicación para controlar a la sociedad</w:t>
      </w:r>
      <w:r w:rsidRPr="00736B9E">
        <w:rPr>
          <w:rFonts w:cs="Calibri"/>
          <w:sz w:val="24"/>
          <w:szCs w:val="24"/>
        </w:rPr>
        <w:t xml:space="preserve">. Dialnet. </w:t>
      </w:r>
      <w:hyperlink r:id="rId9" w:history="1">
        <w:r w:rsidRPr="00736B9E">
          <w:rPr>
            <w:rStyle w:val="Hipervnculo"/>
            <w:rFonts w:cs="Calibri"/>
            <w:sz w:val="24"/>
            <w:szCs w:val="24"/>
          </w:rPr>
          <w:t>https://dialnet.unirioja.es/servlet/articulo?codigo=6058756</w:t>
        </w:r>
      </w:hyperlink>
    </w:p>
    <w:p w14:paraId="2F8A2A5D"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Afanador Contreras, M. I., y Caballero Badillo, M. C. (2012). La violencia sexual contra las mujeres: Un enfoque desde los derechos humanos. </w:t>
      </w:r>
      <w:r w:rsidRPr="000E6594">
        <w:rPr>
          <w:rFonts w:cs="Calibri"/>
          <w:i/>
          <w:iCs/>
          <w:sz w:val="24"/>
          <w:szCs w:val="24"/>
        </w:rPr>
        <w:t xml:space="preserve"> Reflexión Política, 14(27), 122-133. </w:t>
      </w:r>
      <w:hyperlink r:id="rId10" w:history="1">
        <w:r w:rsidRPr="000E6594">
          <w:rPr>
            <w:rStyle w:val="Hipervnculo"/>
            <w:rFonts w:cs="Calibri"/>
            <w:sz w:val="24"/>
            <w:szCs w:val="24"/>
          </w:rPr>
          <w:t>https://www.redalyc.org/pdf/110/11023066009.pdf</w:t>
        </w:r>
      </w:hyperlink>
    </w:p>
    <w:p w14:paraId="6287FFDC"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Agencia Española de Protección de Datos y Gobierno de La Rioja. (2022). </w:t>
      </w:r>
      <w:r w:rsidRPr="000E6594">
        <w:rPr>
          <w:rFonts w:cs="Calibri"/>
          <w:i/>
          <w:iCs/>
          <w:sz w:val="24"/>
          <w:szCs w:val="24"/>
        </w:rPr>
        <w:t xml:space="preserve">Protocolo de actuación para la detección e intervención con víctimas de violencia de género </w:t>
      </w:r>
      <w:r w:rsidRPr="000E6594">
        <w:rPr>
          <w:rFonts w:cs="Calibri"/>
          <w:i/>
          <w:iCs/>
          <w:sz w:val="24"/>
          <w:szCs w:val="24"/>
        </w:rPr>
        <w:lastRenderedPageBreak/>
        <w:t>digital</w:t>
      </w:r>
      <w:r w:rsidRPr="000E6594">
        <w:rPr>
          <w:rFonts w:cs="Calibri"/>
          <w:sz w:val="24"/>
          <w:szCs w:val="24"/>
        </w:rPr>
        <w:t xml:space="preserve">. AEPD. </w:t>
      </w:r>
      <w:hyperlink r:id="rId11" w:history="1">
        <w:r w:rsidRPr="000E6594">
          <w:rPr>
            <w:rStyle w:val="Hipervnculo"/>
            <w:rFonts w:cs="Calibri"/>
            <w:sz w:val="24"/>
            <w:szCs w:val="24"/>
          </w:rPr>
          <w:t>https://www.aepd.es/documento/protocolo-viol-gen-digital-la-rioja.pdf</w:t>
        </w:r>
      </w:hyperlink>
    </w:p>
    <w:p w14:paraId="166F7F1B"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Alderete Ortega, Y. B. (2022). Efectos de la criminología mediática en la política legislativa paraguaya. </w:t>
      </w:r>
      <w:r w:rsidRPr="000E6594">
        <w:rPr>
          <w:rFonts w:cs="Calibri"/>
          <w:i/>
          <w:iCs/>
          <w:sz w:val="24"/>
          <w:szCs w:val="24"/>
        </w:rPr>
        <w:t>Revista Jurídica. Investigación en Ciencias Jurídicas y Sociales, 2</w:t>
      </w:r>
      <w:r w:rsidRPr="000E6594">
        <w:rPr>
          <w:rFonts w:cs="Calibri"/>
          <w:sz w:val="24"/>
          <w:szCs w:val="24"/>
        </w:rPr>
        <w:t xml:space="preserve">(12), 37–58. </w:t>
      </w:r>
      <w:hyperlink r:id="rId12" w:history="1">
        <w:r w:rsidRPr="000E6594">
          <w:rPr>
            <w:rStyle w:val="Hipervnculo"/>
            <w:rFonts w:cs="Calibri"/>
            <w:sz w:val="24"/>
            <w:szCs w:val="24"/>
          </w:rPr>
          <w:t>https://ojs.ministeriopublico.gov.py/index.php/rjmp/article/view/269</w:t>
        </w:r>
      </w:hyperlink>
    </w:p>
    <w:p w14:paraId="4E6BDCAA"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Asociación de la Prensa de Madrid. (2019). </w:t>
      </w:r>
      <w:r w:rsidRPr="000E6594">
        <w:rPr>
          <w:rFonts w:cs="Calibri"/>
          <w:i/>
          <w:iCs/>
          <w:sz w:val="24"/>
          <w:szCs w:val="24"/>
        </w:rPr>
        <w:t>Ética de la comunicación: una recopilación de decálogos para periodistas</w:t>
      </w:r>
      <w:r w:rsidRPr="000E6594">
        <w:rPr>
          <w:rFonts w:cs="Calibri"/>
          <w:sz w:val="24"/>
          <w:szCs w:val="24"/>
        </w:rPr>
        <w:t xml:space="preserve">. </w:t>
      </w:r>
      <w:r w:rsidRPr="000E6594">
        <w:rPr>
          <w:rFonts w:cs="Calibri"/>
          <w:sz w:val="24"/>
          <w:szCs w:val="24"/>
          <w:lang w:val="en-US"/>
        </w:rPr>
        <w:t xml:space="preserve">APM. </w:t>
      </w:r>
      <w:hyperlink r:id="rId13" w:history="1">
        <w:r w:rsidRPr="000E6594">
          <w:rPr>
            <w:rStyle w:val="Hipervnculo"/>
            <w:rFonts w:cs="Calibri"/>
            <w:sz w:val="24"/>
            <w:szCs w:val="24"/>
            <w:lang w:val="en-US"/>
          </w:rPr>
          <w:t>https://www.apmadrid.es/comunicado/presentada-en-la-apm-etica-de-la-comunicacion-una-recopilacion-de-decalogos-para-periodistas/</w:t>
        </w:r>
      </w:hyperlink>
    </w:p>
    <w:p w14:paraId="723D11BB" w14:textId="77777777" w:rsidR="00A80421" w:rsidRPr="00736B9E" w:rsidRDefault="00A80421" w:rsidP="000E6594">
      <w:pPr>
        <w:spacing w:line="360" w:lineRule="auto"/>
        <w:ind w:left="720" w:hanging="720"/>
        <w:jc w:val="both"/>
        <w:rPr>
          <w:rFonts w:cs="Calibri"/>
          <w:sz w:val="24"/>
          <w:szCs w:val="24"/>
        </w:rPr>
      </w:pPr>
      <w:r w:rsidRPr="00736B9E">
        <w:rPr>
          <w:rFonts w:cs="Calibri"/>
          <w:sz w:val="24"/>
          <w:szCs w:val="24"/>
        </w:rPr>
        <w:t xml:space="preserve">AAU. (2020). </w:t>
      </w:r>
      <w:r w:rsidRPr="00736B9E">
        <w:rPr>
          <w:rFonts w:cs="Calibri"/>
          <w:i/>
          <w:iCs/>
          <w:sz w:val="24"/>
          <w:szCs w:val="24"/>
        </w:rPr>
        <w:t>Curso de victimología</w:t>
      </w:r>
      <w:r w:rsidRPr="00736B9E">
        <w:rPr>
          <w:rFonts w:cs="Calibri"/>
          <w:sz w:val="24"/>
          <w:szCs w:val="24"/>
        </w:rPr>
        <w:t xml:space="preserve"> [Material de curso]. AUNIV. </w:t>
      </w:r>
      <w:hyperlink r:id="rId14" w:history="1">
        <w:r w:rsidRPr="00736B9E">
          <w:rPr>
            <w:rStyle w:val="Hipervnculo"/>
            <w:rFonts w:cs="Calibri"/>
            <w:sz w:val="24"/>
            <w:szCs w:val="24"/>
          </w:rPr>
          <w:t>https://descargas.aauniv.com/archivos/CURSO%20VICTIMOLOGIA.pdf</w:t>
        </w:r>
      </w:hyperlink>
    </w:p>
    <w:p w14:paraId="016F1765"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Ballesteros Doncel, E., y Cazorla González, C. (2024). Estereotipos sexistas en el razonamiento judicial de sentencias absolutorias por agresión sexual con victimario múltiple: España, 2010-2020. </w:t>
      </w:r>
      <w:r w:rsidRPr="000E6594">
        <w:rPr>
          <w:rFonts w:cs="Calibri"/>
          <w:i/>
          <w:iCs/>
          <w:sz w:val="24"/>
          <w:szCs w:val="24"/>
        </w:rPr>
        <w:t>Investigaciones Feministas, 15</w:t>
      </w:r>
      <w:r w:rsidRPr="000E6594">
        <w:rPr>
          <w:rFonts w:cs="Calibri"/>
          <w:sz w:val="24"/>
          <w:szCs w:val="24"/>
        </w:rPr>
        <w:t xml:space="preserve">(1), 19–31. </w:t>
      </w:r>
      <w:hyperlink r:id="rId15" w:history="1">
        <w:r w:rsidRPr="000E6594">
          <w:rPr>
            <w:rStyle w:val="Hipervnculo"/>
            <w:rFonts w:cs="Calibri"/>
            <w:sz w:val="24"/>
            <w:szCs w:val="24"/>
          </w:rPr>
          <w:t>https://doi.org/10.5209/infe.99591</w:t>
        </w:r>
      </w:hyperlink>
    </w:p>
    <w:p w14:paraId="1DE12FD2"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Barba Arteaga, C. (2023). Los relatos de la violencia sexual: análisis del discurso mediático del caso de Dani Alves en los periódicos El País y El Mundo. </w:t>
      </w:r>
      <w:proofErr w:type="spellStart"/>
      <w:r w:rsidRPr="000E6594">
        <w:rPr>
          <w:rFonts w:cs="Calibri"/>
          <w:i/>
          <w:iCs/>
          <w:sz w:val="24"/>
          <w:szCs w:val="24"/>
        </w:rPr>
        <w:t>Repositori</w:t>
      </w:r>
      <w:proofErr w:type="spellEnd"/>
      <w:r w:rsidRPr="000E6594">
        <w:rPr>
          <w:rFonts w:cs="Calibri"/>
          <w:i/>
          <w:iCs/>
          <w:sz w:val="24"/>
          <w:szCs w:val="24"/>
        </w:rPr>
        <w:t xml:space="preserve"> UPF.</w:t>
      </w:r>
      <w:r w:rsidRPr="000E6594">
        <w:rPr>
          <w:rFonts w:cs="Calibri"/>
          <w:sz w:val="24"/>
          <w:szCs w:val="24"/>
        </w:rPr>
        <w:t xml:space="preserve"> </w:t>
      </w:r>
      <w:hyperlink r:id="rId16" w:history="1">
        <w:r w:rsidRPr="000E6594">
          <w:rPr>
            <w:rStyle w:val="Hipervnculo"/>
            <w:rFonts w:cs="Calibri"/>
            <w:sz w:val="24"/>
            <w:szCs w:val="24"/>
          </w:rPr>
          <w:t>https://repositori.upf.edu/server/api/core/bitstreams/676a64d3-5949-4874-bcde-62320e5d9dc9/content</w:t>
        </w:r>
      </w:hyperlink>
    </w:p>
    <w:p w14:paraId="62F4529F"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Bartolomé, R., y Rodríguez, J. A. (2022). Género y criminología. </w:t>
      </w:r>
      <w:r w:rsidRPr="000E6594">
        <w:rPr>
          <w:rFonts w:cs="Calibri"/>
          <w:i/>
          <w:iCs/>
          <w:sz w:val="24"/>
          <w:szCs w:val="24"/>
        </w:rPr>
        <w:t>Revista Española de Investigación Criminológica, 20</w:t>
      </w:r>
      <w:r w:rsidRPr="000E6594">
        <w:rPr>
          <w:rFonts w:cs="Calibri"/>
          <w:sz w:val="24"/>
          <w:szCs w:val="24"/>
        </w:rPr>
        <w:t xml:space="preserve">(2), e848. </w:t>
      </w:r>
      <w:hyperlink r:id="rId17" w:history="1">
        <w:r w:rsidRPr="000E6594">
          <w:rPr>
            <w:rStyle w:val="Hipervnculo"/>
            <w:rFonts w:cs="Calibri"/>
            <w:sz w:val="24"/>
            <w:szCs w:val="24"/>
            <w:lang w:val="en-US"/>
          </w:rPr>
          <w:t>https://doi.org/10.46381/reic.v20i2.848</w:t>
        </w:r>
      </w:hyperlink>
    </w:p>
    <w:p w14:paraId="5212801B"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lang w:val="en-US"/>
        </w:rPr>
        <w:t xml:space="preserve">Bharati, R. (2025). A study of hashtag feminism in the contemporary digital era. </w:t>
      </w:r>
      <w:r w:rsidRPr="000E6594">
        <w:rPr>
          <w:rFonts w:cs="Calibri"/>
          <w:i/>
          <w:iCs/>
          <w:sz w:val="24"/>
          <w:szCs w:val="24"/>
          <w:lang w:val="en-US"/>
        </w:rPr>
        <w:t>International Journal for Innovative Research in Multidisciplinary Field, 11</w:t>
      </w:r>
      <w:r w:rsidRPr="000E6594">
        <w:rPr>
          <w:rFonts w:cs="Calibri"/>
          <w:sz w:val="24"/>
          <w:szCs w:val="24"/>
          <w:lang w:val="en-US"/>
        </w:rPr>
        <w:t xml:space="preserve">(5), 324–330. </w:t>
      </w:r>
      <w:hyperlink r:id="rId18" w:history="1">
        <w:r w:rsidRPr="000E6594">
          <w:rPr>
            <w:rStyle w:val="Hipervnculo"/>
            <w:rFonts w:cs="Calibri"/>
            <w:sz w:val="24"/>
            <w:szCs w:val="24"/>
            <w:lang w:val="en-US"/>
          </w:rPr>
          <w:t>https://doi.org/10.2015/IJIRMF/202505051</w:t>
        </w:r>
      </w:hyperlink>
    </w:p>
    <w:p w14:paraId="2AC961FA"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Cámara Arroyo, S. (2020). Criminología y perspectiva de género: la delincuencia juvenil femenina. </w:t>
      </w:r>
      <w:proofErr w:type="spellStart"/>
      <w:r w:rsidRPr="000E6594">
        <w:rPr>
          <w:rFonts w:cs="Calibri"/>
          <w:i/>
          <w:iCs/>
          <w:sz w:val="24"/>
          <w:szCs w:val="24"/>
        </w:rPr>
        <w:t>IgualdadES</w:t>
      </w:r>
      <w:proofErr w:type="spellEnd"/>
      <w:r w:rsidRPr="000E6594">
        <w:rPr>
          <w:rFonts w:cs="Calibri"/>
          <w:i/>
          <w:iCs/>
          <w:sz w:val="24"/>
          <w:szCs w:val="24"/>
        </w:rPr>
        <w:t>, 3</w:t>
      </w:r>
      <w:r w:rsidRPr="000E6594">
        <w:rPr>
          <w:rFonts w:cs="Calibri"/>
          <w:sz w:val="24"/>
          <w:szCs w:val="24"/>
        </w:rPr>
        <w:t xml:space="preserve">, 519–555. </w:t>
      </w:r>
      <w:hyperlink r:id="rId19" w:history="1">
        <w:r w:rsidRPr="000E6594">
          <w:rPr>
            <w:rStyle w:val="Hipervnculo"/>
            <w:rFonts w:cs="Calibri"/>
            <w:sz w:val="24"/>
            <w:szCs w:val="24"/>
          </w:rPr>
          <w:t>https://doi.org/10.18042/cepc/IgdES.3.09</w:t>
        </w:r>
      </w:hyperlink>
    </w:p>
    <w:p w14:paraId="0AC08951"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Castro-Mata, T. (2024). Violencia y revictimización en redes sociales. </w:t>
      </w:r>
      <w:proofErr w:type="spellStart"/>
      <w:r w:rsidRPr="000E6594">
        <w:rPr>
          <w:rFonts w:cs="Calibri"/>
          <w:i/>
          <w:iCs/>
          <w:sz w:val="24"/>
          <w:szCs w:val="24"/>
        </w:rPr>
        <w:t>Transdigital</w:t>
      </w:r>
      <w:proofErr w:type="spellEnd"/>
      <w:r w:rsidRPr="000E6594">
        <w:rPr>
          <w:rFonts w:cs="Calibri"/>
          <w:i/>
          <w:iCs/>
          <w:sz w:val="24"/>
          <w:szCs w:val="24"/>
        </w:rPr>
        <w:t>, 5</w:t>
      </w:r>
      <w:r w:rsidRPr="000E6594">
        <w:rPr>
          <w:rFonts w:cs="Calibri"/>
          <w:sz w:val="24"/>
          <w:szCs w:val="24"/>
        </w:rPr>
        <w:t xml:space="preserve">(9), e328. </w:t>
      </w:r>
      <w:hyperlink r:id="rId20" w:history="1">
        <w:r w:rsidRPr="000E6594">
          <w:rPr>
            <w:rStyle w:val="Hipervnculo"/>
            <w:rFonts w:cs="Calibri"/>
            <w:sz w:val="24"/>
            <w:szCs w:val="24"/>
          </w:rPr>
          <w:t>https://doi.org/10.56162/transdigital328</w:t>
        </w:r>
      </w:hyperlink>
    </w:p>
    <w:p w14:paraId="1760A592" w14:textId="77777777" w:rsidR="000E51B0" w:rsidRPr="000E6594" w:rsidRDefault="000E51B0" w:rsidP="000E6594">
      <w:pPr>
        <w:spacing w:line="360" w:lineRule="auto"/>
        <w:ind w:left="720" w:hanging="720"/>
        <w:jc w:val="both"/>
        <w:rPr>
          <w:rFonts w:cs="Calibri"/>
        </w:rPr>
      </w:pPr>
      <w:proofErr w:type="spellStart"/>
      <w:r w:rsidRPr="000E6594">
        <w:rPr>
          <w:rFonts w:cs="Calibri"/>
          <w:sz w:val="24"/>
          <w:szCs w:val="24"/>
        </w:rPr>
        <w:t>Chalá</w:t>
      </w:r>
      <w:proofErr w:type="spellEnd"/>
      <w:r w:rsidRPr="000E6594">
        <w:rPr>
          <w:rFonts w:cs="Calibri"/>
          <w:sz w:val="24"/>
          <w:szCs w:val="24"/>
        </w:rPr>
        <w:t xml:space="preserve">-Mejía, P., y Moreno-Ortiz, W. (2024). La violencia sexual como espectáculo: Encuadre, revictimización, ira y empatía. </w:t>
      </w:r>
      <w:proofErr w:type="spellStart"/>
      <w:r w:rsidRPr="000E6594">
        <w:rPr>
          <w:rFonts w:cs="Calibri"/>
          <w:i/>
          <w:iCs/>
          <w:sz w:val="24"/>
          <w:szCs w:val="24"/>
        </w:rPr>
        <w:t>Estudos</w:t>
      </w:r>
      <w:proofErr w:type="spellEnd"/>
      <w:r w:rsidRPr="000E6594">
        <w:rPr>
          <w:rFonts w:cs="Calibri"/>
          <w:i/>
          <w:iCs/>
          <w:sz w:val="24"/>
          <w:szCs w:val="24"/>
        </w:rPr>
        <w:t xml:space="preserve"> em </w:t>
      </w:r>
      <w:proofErr w:type="spellStart"/>
      <w:r w:rsidRPr="000E6594">
        <w:rPr>
          <w:rFonts w:cs="Calibri"/>
          <w:i/>
          <w:iCs/>
          <w:sz w:val="24"/>
          <w:szCs w:val="24"/>
        </w:rPr>
        <w:t>Comunicação</w:t>
      </w:r>
      <w:proofErr w:type="spellEnd"/>
      <w:r w:rsidRPr="000E6594">
        <w:rPr>
          <w:rFonts w:cs="Calibri"/>
          <w:i/>
          <w:iCs/>
          <w:sz w:val="24"/>
          <w:szCs w:val="24"/>
        </w:rPr>
        <w:t>, 1</w:t>
      </w:r>
      <w:r w:rsidRPr="000E6594">
        <w:rPr>
          <w:rFonts w:cs="Calibri"/>
          <w:sz w:val="24"/>
          <w:szCs w:val="24"/>
        </w:rPr>
        <w:t xml:space="preserve">(38). </w:t>
      </w:r>
      <w:hyperlink r:id="rId21" w:history="1">
        <w:r w:rsidRPr="000E6594">
          <w:rPr>
            <w:rStyle w:val="Hipervnculo"/>
            <w:rFonts w:cs="Calibri"/>
            <w:sz w:val="24"/>
            <w:szCs w:val="24"/>
          </w:rPr>
          <w:t>https://ojs.labcom-ifp.ubi.pt/ec/article/view/1429</w:t>
        </w:r>
      </w:hyperlink>
    </w:p>
    <w:p w14:paraId="71BC8DE7"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CNJ. (2015). </w:t>
      </w:r>
      <w:r w:rsidRPr="000E6594">
        <w:rPr>
          <w:rFonts w:cs="Calibri"/>
          <w:i/>
          <w:iCs/>
          <w:sz w:val="24"/>
          <w:szCs w:val="24"/>
        </w:rPr>
        <w:t>Sistema penal y violencia de género</w:t>
      </w:r>
      <w:r w:rsidRPr="000E6594">
        <w:rPr>
          <w:rFonts w:cs="Calibri"/>
          <w:sz w:val="24"/>
          <w:szCs w:val="24"/>
        </w:rPr>
        <w:t xml:space="preserve"> [Monográfico]. Consejo Nacional de la Judicatura. </w:t>
      </w:r>
      <w:hyperlink r:id="rId22" w:history="1">
        <w:r w:rsidRPr="000E6594">
          <w:rPr>
            <w:rStyle w:val="Hipervnculo"/>
            <w:rFonts w:cs="Calibri"/>
            <w:sz w:val="24"/>
            <w:szCs w:val="24"/>
          </w:rPr>
          <w:t>https://www.cnj.gob.sv/images/documentos/pdf/ecj/publicaciones/Monografico_SistemaPenal_ViolenciaGenero.pdf</w:t>
        </w:r>
      </w:hyperlink>
    </w:p>
    <w:p w14:paraId="699CDC23" w14:textId="77777777" w:rsidR="000E51B0" w:rsidRPr="000E6594" w:rsidRDefault="000E51B0" w:rsidP="000E6594">
      <w:pPr>
        <w:spacing w:line="360" w:lineRule="auto"/>
        <w:ind w:left="720" w:hanging="720"/>
        <w:jc w:val="both"/>
        <w:rPr>
          <w:rFonts w:cs="Calibri"/>
        </w:rPr>
      </w:pPr>
      <w:proofErr w:type="spellStart"/>
      <w:r w:rsidRPr="000E6594">
        <w:rPr>
          <w:rFonts w:cs="Calibri"/>
          <w:sz w:val="24"/>
          <w:szCs w:val="24"/>
        </w:rPr>
        <w:t>Col·legi</w:t>
      </w:r>
      <w:proofErr w:type="spellEnd"/>
      <w:r w:rsidRPr="000E6594">
        <w:rPr>
          <w:rFonts w:cs="Calibri"/>
          <w:sz w:val="24"/>
          <w:szCs w:val="24"/>
        </w:rPr>
        <w:t xml:space="preserve"> de </w:t>
      </w:r>
      <w:proofErr w:type="spellStart"/>
      <w:r w:rsidRPr="000E6594">
        <w:rPr>
          <w:rFonts w:cs="Calibri"/>
          <w:sz w:val="24"/>
          <w:szCs w:val="24"/>
        </w:rPr>
        <w:t>Periodistes</w:t>
      </w:r>
      <w:proofErr w:type="spellEnd"/>
      <w:r w:rsidRPr="000E6594">
        <w:rPr>
          <w:rFonts w:cs="Calibri"/>
          <w:sz w:val="24"/>
          <w:szCs w:val="24"/>
        </w:rPr>
        <w:t xml:space="preserve"> de Catalunya. (2016). </w:t>
      </w:r>
      <w:r w:rsidRPr="000E6594">
        <w:rPr>
          <w:rFonts w:cs="Calibri"/>
          <w:i/>
          <w:iCs/>
          <w:sz w:val="24"/>
          <w:szCs w:val="24"/>
        </w:rPr>
        <w:t xml:space="preserve">Codi </w:t>
      </w:r>
      <w:proofErr w:type="spellStart"/>
      <w:r w:rsidRPr="000E6594">
        <w:rPr>
          <w:rFonts w:cs="Calibri"/>
          <w:i/>
          <w:iCs/>
          <w:sz w:val="24"/>
          <w:szCs w:val="24"/>
        </w:rPr>
        <w:t>deontològic</w:t>
      </w:r>
      <w:proofErr w:type="spellEnd"/>
      <w:r w:rsidRPr="000E6594">
        <w:rPr>
          <w:rFonts w:cs="Calibri"/>
          <w:sz w:val="24"/>
          <w:szCs w:val="24"/>
        </w:rPr>
        <w:t xml:space="preserve">. </w:t>
      </w:r>
      <w:hyperlink r:id="rId23" w:history="1">
        <w:r w:rsidRPr="000E6594">
          <w:rPr>
            <w:rStyle w:val="Hipervnculo"/>
            <w:rFonts w:cs="Calibri"/>
            <w:sz w:val="24"/>
            <w:szCs w:val="24"/>
          </w:rPr>
          <w:t>https://cic.periodistes.cat/es/codi-deontologic/</w:t>
        </w:r>
      </w:hyperlink>
    </w:p>
    <w:p w14:paraId="41B6296B"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Comisión Nacional de los Mercados y la Competencia. (2025). </w:t>
      </w:r>
      <w:r w:rsidRPr="000E6594">
        <w:rPr>
          <w:rFonts w:cs="Calibri"/>
          <w:i/>
          <w:iCs/>
          <w:sz w:val="24"/>
          <w:szCs w:val="24"/>
        </w:rPr>
        <w:t>Panel de hogares: usos de internet y servicios OTT (IV trimestre 2024)</w:t>
      </w:r>
      <w:r w:rsidRPr="000E6594">
        <w:rPr>
          <w:rFonts w:cs="Calibri"/>
          <w:sz w:val="24"/>
          <w:szCs w:val="24"/>
        </w:rPr>
        <w:t xml:space="preserve">. </w:t>
      </w:r>
      <w:hyperlink r:id="rId24" w:history="1">
        <w:r w:rsidRPr="000E6594">
          <w:rPr>
            <w:rStyle w:val="Hipervnculo"/>
            <w:rFonts w:cs="Calibri"/>
            <w:sz w:val="24"/>
            <w:szCs w:val="24"/>
          </w:rPr>
          <w:t>https://www.cnmc.es/prensa/panel-usos-internet-servicios-ott-20250530</w:t>
        </w:r>
      </w:hyperlink>
    </w:p>
    <w:p w14:paraId="045FCDA2"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Comité Internacional de la Cruz Roja. (2025, 16 de enero). </w:t>
      </w:r>
      <w:r w:rsidRPr="000E6594">
        <w:rPr>
          <w:rFonts w:cs="Calibri"/>
          <w:i/>
          <w:iCs/>
          <w:sz w:val="24"/>
          <w:szCs w:val="24"/>
        </w:rPr>
        <w:t>Consecuencias de la estigmatización para las víctimas/sobrevivientes de violencia sexual en conflictos armados</w:t>
      </w:r>
      <w:r w:rsidRPr="000E6594">
        <w:rPr>
          <w:rFonts w:cs="Calibri"/>
          <w:sz w:val="24"/>
          <w:szCs w:val="24"/>
        </w:rPr>
        <w:t xml:space="preserve">. </w:t>
      </w:r>
      <w:hyperlink r:id="rId25" w:history="1">
        <w:r w:rsidRPr="000E6594">
          <w:rPr>
            <w:rStyle w:val="Hipervnculo"/>
            <w:rFonts w:cs="Calibri"/>
            <w:sz w:val="24"/>
            <w:szCs w:val="24"/>
          </w:rPr>
          <w:t>https://www.icrc.org/es/articulo/consecuencias-estigmatizacion-victimas-sobrevivientes-violencia-sexual-conflictos-armados</w:t>
        </w:r>
      </w:hyperlink>
    </w:p>
    <w:p w14:paraId="6A607892"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Consejo Audiovisual de Andalucía. (2016). </w:t>
      </w:r>
      <w:r w:rsidRPr="000E6594">
        <w:rPr>
          <w:rFonts w:cs="Calibri"/>
          <w:i/>
          <w:iCs/>
          <w:sz w:val="24"/>
          <w:szCs w:val="24"/>
        </w:rPr>
        <w:t>Guía para el tratamiento informativo de la violencia de género</w:t>
      </w:r>
      <w:r w:rsidRPr="000E6594">
        <w:rPr>
          <w:rFonts w:cs="Calibri"/>
          <w:sz w:val="24"/>
          <w:szCs w:val="24"/>
        </w:rPr>
        <w:t xml:space="preserve">. </w:t>
      </w:r>
      <w:hyperlink r:id="rId26" w:history="1">
        <w:r w:rsidRPr="000E6594">
          <w:rPr>
            <w:rStyle w:val="Hipervnculo"/>
            <w:rFonts w:cs="Calibri"/>
            <w:sz w:val="24"/>
            <w:szCs w:val="24"/>
          </w:rPr>
          <w:t>https://violenciagenero.igualdad.gob.es/wp-content/uploads/guiaVGConsejoAudiovisualAndalucia.pdf</w:t>
        </w:r>
      </w:hyperlink>
    </w:p>
    <w:p w14:paraId="11FE6623"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Consejo General de la Abogacía Española. (2025, 5 de marzo). Los abogados de Gisèle Pelicot: "Hay que avanzar mucho en cómo se juzgan estos actos y mejorar el tratamiento de las víctimas". </w:t>
      </w:r>
      <w:r w:rsidRPr="000E6594">
        <w:rPr>
          <w:rFonts w:cs="Calibri"/>
          <w:i/>
          <w:iCs/>
          <w:sz w:val="24"/>
          <w:szCs w:val="24"/>
        </w:rPr>
        <w:t>Abogacía Española</w:t>
      </w:r>
      <w:r w:rsidRPr="000E6594">
        <w:rPr>
          <w:rFonts w:cs="Calibri"/>
          <w:sz w:val="24"/>
          <w:szCs w:val="24"/>
        </w:rPr>
        <w:t xml:space="preserve">. </w:t>
      </w:r>
      <w:hyperlink r:id="rId27" w:history="1">
        <w:r w:rsidRPr="000E6594">
          <w:rPr>
            <w:rStyle w:val="Hipervnculo"/>
            <w:rFonts w:cs="Calibri"/>
            <w:sz w:val="24"/>
            <w:szCs w:val="24"/>
          </w:rPr>
          <w:t>https://www.abogacia.es/actualidad/noticias/los-abogados-de-gisele-pelicot-hay-que-avanzar-mucho-en-como-se-juzgan-estos-actos-y-mejorar-el-tratamiento-de-las-victimas/</w:t>
        </w:r>
      </w:hyperlink>
    </w:p>
    <w:p w14:paraId="67A1122C"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Córdoba, C. R. (2022). La victimización secundaria en la violencia sexual: Análisis de la victimización secundaria en casos de abusos y agresiones sexuales y sexting. </w:t>
      </w:r>
      <w:proofErr w:type="spellStart"/>
      <w:r w:rsidRPr="000E6594">
        <w:rPr>
          <w:rFonts w:cs="Calibri"/>
          <w:i/>
          <w:iCs/>
          <w:sz w:val="24"/>
          <w:szCs w:val="24"/>
          <w:lang w:val="en-US"/>
        </w:rPr>
        <w:lastRenderedPageBreak/>
        <w:t>Ehquidad</w:t>
      </w:r>
      <w:proofErr w:type="spellEnd"/>
      <w:r w:rsidRPr="000E6594">
        <w:rPr>
          <w:rFonts w:cs="Calibri"/>
          <w:i/>
          <w:iCs/>
          <w:sz w:val="24"/>
          <w:szCs w:val="24"/>
          <w:lang w:val="en-US"/>
        </w:rPr>
        <w:t>. International Welfare Policies and Social Work Journal, 17</w:t>
      </w:r>
      <w:r w:rsidRPr="000E6594">
        <w:rPr>
          <w:rFonts w:cs="Calibri"/>
          <w:sz w:val="24"/>
          <w:szCs w:val="24"/>
          <w:lang w:val="en-US"/>
        </w:rPr>
        <w:t xml:space="preserve">, 179–210. </w:t>
      </w:r>
      <w:hyperlink r:id="rId28" w:history="1">
        <w:r w:rsidRPr="000E6594">
          <w:rPr>
            <w:rStyle w:val="Hipervnculo"/>
            <w:rFonts w:cs="Calibri"/>
            <w:sz w:val="24"/>
            <w:szCs w:val="24"/>
            <w:lang w:val="en-US"/>
          </w:rPr>
          <w:t>https://doi.org/10.15257/ehquidad.2022.0007</w:t>
        </w:r>
      </w:hyperlink>
    </w:p>
    <w:p w14:paraId="29430A70"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Crónica Viva. (2025, 13 de diciembre). </w:t>
      </w:r>
      <w:r w:rsidRPr="000E6594">
        <w:rPr>
          <w:rFonts w:cs="Calibri"/>
          <w:i/>
          <w:iCs/>
          <w:sz w:val="24"/>
          <w:szCs w:val="24"/>
        </w:rPr>
        <w:t>El poder del escaneo de la información en el periodismo moderno</w:t>
      </w:r>
      <w:r w:rsidRPr="000E6594">
        <w:rPr>
          <w:rFonts w:cs="Calibri"/>
          <w:sz w:val="24"/>
          <w:szCs w:val="24"/>
        </w:rPr>
        <w:t xml:space="preserve">. </w:t>
      </w:r>
      <w:hyperlink r:id="rId29" w:history="1">
        <w:r w:rsidRPr="000E6594">
          <w:rPr>
            <w:rStyle w:val="Hipervnculo"/>
            <w:rFonts w:cs="Calibri"/>
            <w:sz w:val="24"/>
            <w:szCs w:val="24"/>
          </w:rPr>
          <w:t>https://www.cronicaviva.com.pe/el-poder-del-escaneo-de-la-informacion-en-el-periodismo-moderno-conoce-que-es/</w:t>
        </w:r>
      </w:hyperlink>
    </w:p>
    <w:p w14:paraId="0BF4261C"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De Grado Alonso, L., y Baena Garrido, M. (2025). </w:t>
      </w:r>
      <w:r w:rsidRPr="000E6594">
        <w:rPr>
          <w:rFonts w:cs="Calibri"/>
          <w:i/>
          <w:iCs/>
          <w:sz w:val="24"/>
          <w:szCs w:val="24"/>
        </w:rPr>
        <w:t>Hablemos con-sentido: Guía sobre comunicación y violencia sexual</w:t>
      </w:r>
      <w:r w:rsidRPr="000E6594">
        <w:rPr>
          <w:rFonts w:cs="Calibri"/>
          <w:sz w:val="24"/>
          <w:szCs w:val="24"/>
        </w:rPr>
        <w:t xml:space="preserve">. Fundación para la Convivencia ASPACIA. </w:t>
      </w:r>
      <w:hyperlink r:id="rId30" w:history="1">
        <w:r w:rsidRPr="000E6594">
          <w:rPr>
            <w:rStyle w:val="Hipervnculo"/>
            <w:rFonts w:cs="Calibri"/>
            <w:sz w:val="24"/>
            <w:szCs w:val="24"/>
          </w:rPr>
          <w:t>https://violencia-sexual.info/wp-content/uploads/2026/01/GUIA_HABLEMOS-CON-SENTIDO-FINAL.pdf</w:t>
        </w:r>
      </w:hyperlink>
    </w:p>
    <w:p w14:paraId="3066B539"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De-Frutos-García, R. (2025). Violencias sexuales contra las mujeres: aproximación deontológica para un periodismo de calidad. </w:t>
      </w:r>
      <w:r w:rsidRPr="000E6594">
        <w:rPr>
          <w:rFonts w:cs="Calibri"/>
          <w:i/>
          <w:iCs/>
          <w:sz w:val="24"/>
          <w:szCs w:val="24"/>
        </w:rPr>
        <w:t>Ámbitos. Revista Internacional de Comunicación, 67</w:t>
      </w:r>
      <w:r w:rsidRPr="000E6594">
        <w:rPr>
          <w:rFonts w:cs="Calibri"/>
          <w:sz w:val="24"/>
          <w:szCs w:val="24"/>
        </w:rPr>
        <w:t xml:space="preserve">. </w:t>
      </w:r>
      <w:hyperlink r:id="rId31" w:history="1">
        <w:r w:rsidRPr="000E6594">
          <w:rPr>
            <w:rStyle w:val="Hipervnculo"/>
            <w:rFonts w:cs="Calibri"/>
            <w:sz w:val="24"/>
            <w:szCs w:val="24"/>
          </w:rPr>
          <w:t>https://doi.org/10.12795/Ambitos.2025.i67.11</w:t>
        </w:r>
      </w:hyperlink>
    </w:p>
    <w:p w14:paraId="6F431642"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De Oliveira Souto, I., y De Brito Pereira, N. (2021). </w:t>
      </w:r>
      <w:r w:rsidRPr="000E6594">
        <w:rPr>
          <w:rFonts w:cs="Calibri"/>
          <w:sz w:val="24"/>
          <w:szCs w:val="24"/>
          <w:lang w:val="en-US"/>
        </w:rPr>
        <w:t xml:space="preserve">Media criminology as an instrument of social tagging. </w:t>
      </w:r>
      <w:r w:rsidRPr="000E6594">
        <w:rPr>
          <w:rFonts w:cs="Calibri"/>
          <w:i/>
          <w:iCs/>
          <w:sz w:val="24"/>
          <w:szCs w:val="24"/>
        </w:rPr>
        <w:t xml:space="preserve">Revista </w:t>
      </w:r>
      <w:proofErr w:type="spellStart"/>
      <w:r w:rsidRPr="000E6594">
        <w:rPr>
          <w:rFonts w:cs="Calibri"/>
          <w:i/>
          <w:iCs/>
          <w:sz w:val="24"/>
          <w:szCs w:val="24"/>
        </w:rPr>
        <w:t>Gênero</w:t>
      </w:r>
      <w:proofErr w:type="spellEnd"/>
      <w:r w:rsidRPr="000E6594">
        <w:rPr>
          <w:rFonts w:cs="Calibri"/>
          <w:i/>
          <w:iCs/>
          <w:sz w:val="24"/>
          <w:szCs w:val="24"/>
        </w:rPr>
        <w:t xml:space="preserve"> e </w:t>
      </w:r>
      <w:proofErr w:type="spellStart"/>
      <w:r w:rsidRPr="000E6594">
        <w:rPr>
          <w:rFonts w:cs="Calibri"/>
          <w:i/>
          <w:iCs/>
          <w:sz w:val="24"/>
          <w:szCs w:val="24"/>
        </w:rPr>
        <w:t>Interdisciplinaridade</w:t>
      </w:r>
      <w:proofErr w:type="spellEnd"/>
      <w:r w:rsidRPr="000E6594">
        <w:rPr>
          <w:rFonts w:cs="Calibri"/>
          <w:i/>
          <w:iCs/>
          <w:sz w:val="24"/>
          <w:szCs w:val="24"/>
        </w:rPr>
        <w:t>, 2</w:t>
      </w:r>
      <w:r w:rsidRPr="000E6594">
        <w:rPr>
          <w:rFonts w:cs="Calibri"/>
          <w:sz w:val="24"/>
          <w:szCs w:val="24"/>
        </w:rPr>
        <w:t xml:space="preserve">(2). </w:t>
      </w:r>
      <w:hyperlink r:id="rId32" w:history="1">
        <w:r w:rsidRPr="000E6594">
          <w:rPr>
            <w:rStyle w:val="Hipervnculo"/>
            <w:rFonts w:cs="Calibri"/>
            <w:sz w:val="24"/>
            <w:szCs w:val="24"/>
          </w:rPr>
          <w:t>https://doi.org/10.51249/gei02.02.2021.219</w:t>
        </w:r>
      </w:hyperlink>
    </w:p>
    <w:p w14:paraId="7BB9D7E9" w14:textId="77777777" w:rsidR="000E51B0" w:rsidRPr="000E6594" w:rsidRDefault="000E51B0" w:rsidP="000E6594">
      <w:pPr>
        <w:spacing w:line="360" w:lineRule="auto"/>
        <w:ind w:left="720" w:hanging="720"/>
        <w:jc w:val="both"/>
        <w:rPr>
          <w:rFonts w:cs="Calibri"/>
        </w:rPr>
      </w:pPr>
      <w:proofErr w:type="spellStart"/>
      <w:r w:rsidRPr="000E6594">
        <w:rPr>
          <w:rFonts w:cs="Calibri"/>
          <w:sz w:val="24"/>
          <w:szCs w:val="24"/>
        </w:rPr>
        <w:t>Efeminista</w:t>
      </w:r>
      <w:proofErr w:type="spellEnd"/>
      <w:r w:rsidRPr="000E6594">
        <w:rPr>
          <w:rFonts w:cs="Calibri"/>
          <w:sz w:val="24"/>
          <w:szCs w:val="24"/>
        </w:rPr>
        <w:t xml:space="preserve">. (2024, 8 de octubre). </w:t>
      </w:r>
      <w:r w:rsidRPr="000E6594">
        <w:rPr>
          <w:rFonts w:cs="Calibri"/>
          <w:i/>
          <w:iCs/>
          <w:sz w:val="24"/>
          <w:szCs w:val="24"/>
        </w:rPr>
        <w:t xml:space="preserve">Caso </w:t>
      </w:r>
      <w:proofErr w:type="spellStart"/>
      <w:r w:rsidRPr="000E6594">
        <w:rPr>
          <w:rFonts w:cs="Calibri"/>
          <w:i/>
          <w:iCs/>
          <w:sz w:val="24"/>
          <w:szCs w:val="24"/>
        </w:rPr>
        <w:t>Pelicot</w:t>
      </w:r>
      <w:proofErr w:type="spellEnd"/>
      <w:r w:rsidRPr="000E6594">
        <w:rPr>
          <w:rFonts w:cs="Calibri"/>
          <w:i/>
          <w:iCs/>
          <w:sz w:val="24"/>
          <w:szCs w:val="24"/>
        </w:rPr>
        <w:t>: Cuando la revictimización y la violencia institucional se dan la mano</w:t>
      </w:r>
      <w:r w:rsidRPr="000E6594">
        <w:rPr>
          <w:rFonts w:cs="Calibri"/>
          <w:sz w:val="24"/>
          <w:szCs w:val="24"/>
        </w:rPr>
        <w:t xml:space="preserve">. </w:t>
      </w:r>
      <w:hyperlink r:id="rId33" w:history="1">
        <w:r w:rsidRPr="000E6594">
          <w:rPr>
            <w:rStyle w:val="Hipervnculo"/>
            <w:rFonts w:cs="Calibri"/>
            <w:sz w:val="24"/>
            <w:szCs w:val="24"/>
          </w:rPr>
          <w:t>https://efeminista.com/caso-pelicot-violencia-sexual-revictimizacion/</w:t>
        </w:r>
      </w:hyperlink>
    </w:p>
    <w:p w14:paraId="239D0241"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Ejea Mendoza, L. T., y Martínez Romero, C. O. (2022). Redes sociales digitales y violencia simbólica. Instagram y la imagen de la mujer. </w:t>
      </w:r>
      <w:r w:rsidRPr="000E6594">
        <w:rPr>
          <w:rFonts w:cs="Calibri"/>
          <w:i/>
          <w:iCs/>
          <w:sz w:val="24"/>
          <w:szCs w:val="24"/>
        </w:rPr>
        <w:t>Comunicación y Género, 5</w:t>
      </w:r>
      <w:r w:rsidRPr="000E6594">
        <w:rPr>
          <w:rFonts w:cs="Calibri"/>
          <w:sz w:val="24"/>
          <w:szCs w:val="24"/>
        </w:rPr>
        <w:t xml:space="preserve">(1), 25–37. </w:t>
      </w:r>
      <w:hyperlink r:id="rId34" w:history="1">
        <w:r w:rsidRPr="000E6594">
          <w:rPr>
            <w:rStyle w:val="Hipervnculo"/>
            <w:rFonts w:cs="Calibri"/>
            <w:sz w:val="24"/>
            <w:szCs w:val="24"/>
            <w:lang w:val="en-US"/>
          </w:rPr>
          <w:t>https://doi.org/10.5209/cgen.77845</w:t>
        </w:r>
      </w:hyperlink>
    </w:p>
    <w:p w14:paraId="596C2DC9" w14:textId="77777777" w:rsidR="000E51B0" w:rsidRPr="000E6594" w:rsidRDefault="000E51B0" w:rsidP="000E6594">
      <w:pPr>
        <w:spacing w:line="360" w:lineRule="auto"/>
        <w:ind w:left="720" w:hanging="720"/>
        <w:jc w:val="both"/>
        <w:rPr>
          <w:rFonts w:cs="Calibri"/>
        </w:rPr>
      </w:pPr>
      <w:r w:rsidRPr="000E6594">
        <w:rPr>
          <w:rFonts w:cs="Calibri"/>
          <w:sz w:val="24"/>
          <w:szCs w:val="24"/>
          <w:lang w:val="en-US"/>
        </w:rPr>
        <w:t xml:space="preserve">Engle, K. (2014). The grip of sexual violence: Reading UN security council resolutions on human security. En C. Gentry y L. Sjoberg (Eds.), </w:t>
      </w:r>
      <w:r w:rsidRPr="000E6594">
        <w:rPr>
          <w:rFonts w:cs="Calibri"/>
          <w:i/>
          <w:iCs/>
          <w:sz w:val="24"/>
          <w:szCs w:val="24"/>
          <w:lang w:val="en-US"/>
        </w:rPr>
        <w:t>Rethinking peacekeeping, gender equality and collective security</w:t>
      </w:r>
      <w:r w:rsidRPr="000E6594">
        <w:rPr>
          <w:rFonts w:cs="Calibri"/>
          <w:sz w:val="24"/>
          <w:szCs w:val="24"/>
          <w:lang w:val="en-US"/>
        </w:rPr>
        <w:t xml:space="preserve"> (pp. 23–47). </w:t>
      </w:r>
      <w:proofErr w:type="spellStart"/>
      <w:r w:rsidRPr="000E6594">
        <w:rPr>
          <w:rFonts w:cs="Calibri"/>
          <w:sz w:val="24"/>
          <w:szCs w:val="24"/>
        </w:rPr>
        <w:t>Palgrave</w:t>
      </w:r>
      <w:proofErr w:type="spellEnd"/>
      <w:r w:rsidRPr="000E6594">
        <w:rPr>
          <w:rFonts w:cs="Calibri"/>
          <w:sz w:val="24"/>
          <w:szCs w:val="24"/>
        </w:rPr>
        <w:t xml:space="preserve"> Macmillan. </w:t>
      </w:r>
      <w:hyperlink r:id="rId35" w:history="1">
        <w:r w:rsidRPr="000E6594">
          <w:rPr>
            <w:rStyle w:val="Hipervnculo"/>
            <w:rFonts w:cs="Calibri"/>
            <w:sz w:val="24"/>
            <w:szCs w:val="24"/>
          </w:rPr>
          <w:t>https://doi.org/10.1057/9781137400215_2</w:t>
        </w:r>
      </w:hyperlink>
    </w:p>
    <w:p w14:paraId="26255E60"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Constitución Española. </w:t>
      </w:r>
      <w:r w:rsidRPr="000E6594">
        <w:rPr>
          <w:rFonts w:cs="Calibri"/>
          <w:i/>
          <w:iCs/>
          <w:sz w:val="24"/>
          <w:szCs w:val="24"/>
        </w:rPr>
        <w:t>Boletín Oficial del Estado</w:t>
      </w:r>
      <w:r w:rsidRPr="000E6594">
        <w:rPr>
          <w:rFonts w:cs="Calibri"/>
          <w:sz w:val="24"/>
          <w:szCs w:val="24"/>
        </w:rPr>
        <w:t xml:space="preserve">, núm. 311, de 29 de diciembre de 1978. </w:t>
      </w:r>
      <w:hyperlink r:id="rId36" w:history="1">
        <w:r w:rsidRPr="000E6594">
          <w:rPr>
            <w:rStyle w:val="Hipervnculo"/>
            <w:rFonts w:cs="Calibri"/>
            <w:sz w:val="24"/>
            <w:szCs w:val="24"/>
          </w:rPr>
          <w:t>https://www.boe.es/eli/es/c/1978/12/27/(1)/con</w:t>
        </w:r>
      </w:hyperlink>
    </w:p>
    <w:p w14:paraId="02A24100"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España. Ley Orgánica 1/1982, de 5 de mayo, de protección civil del derecho al honor, a la intimidad personal y familiar y a la propia imagen. </w:t>
      </w:r>
      <w:r w:rsidRPr="000E6594">
        <w:rPr>
          <w:rFonts w:cs="Calibri"/>
          <w:i/>
          <w:iCs/>
          <w:sz w:val="24"/>
          <w:szCs w:val="24"/>
        </w:rPr>
        <w:t>Boletín Oficial del Estado</w:t>
      </w:r>
      <w:r w:rsidRPr="000E6594">
        <w:rPr>
          <w:rFonts w:cs="Calibri"/>
          <w:sz w:val="24"/>
          <w:szCs w:val="24"/>
        </w:rPr>
        <w:t xml:space="preserve">, núm. 115, de 14 de mayo de 1982. </w:t>
      </w:r>
      <w:hyperlink r:id="rId37" w:history="1">
        <w:r w:rsidRPr="000E6594">
          <w:rPr>
            <w:rStyle w:val="Hipervnculo"/>
            <w:rFonts w:cs="Calibri"/>
            <w:sz w:val="24"/>
            <w:szCs w:val="24"/>
          </w:rPr>
          <w:t>https://www.boe.es/eli/es/lo/1982/05/05/1/con</w:t>
        </w:r>
      </w:hyperlink>
    </w:p>
    <w:p w14:paraId="25A4525A"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Ley Orgánica 10/1995, de 23 de noviembre, del Código Penal. </w:t>
      </w:r>
      <w:r w:rsidRPr="000E6594">
        <w:rPr>
          <w:rFonts w:cs="Calibri"/>
          <w:i/>
          <w:iCs/>
          <w:sz w:val="24"/>
          <w:szCs w:val="24"/>
        </w:rPr>
        <w:t>Boletín Oficial del Estado</w:t>
      </w:r>
      <w:r w:rsidRPr="000E6594">
        <w:rPr>
          <w:rFonts w:cs="Calibri"/>
          <w:sz w:val="24"/>
          <w:szCs w:val="24"/>
        </w:rPr>
        <w:t xml:space="preserve">, núm. 281, de 24 de noviembre de 1995. </w:t>
      </w:r>
      <w:hyperlink r:id="rId38" w:history="1">
        <w:r w:rsidRPr="000E6594">
          <w:rPr>
            <w:rStyle w:val="Hipervnculo"/>
            <w:rFonts w:cs="Calibri"/>
            <w:sz w:val="24"/>
            <w:szCs w:val="24"/>
          </w:rPr>
          <w:t>https://www.boe.es/eli/es/lo/1995/11/23/10/con</w:t>
        </w:r>
      </w:hyperlink>
    </w:p>
    <w:p w14:paraId="2BF806C3"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Ley Orgánica 1/2004, de 28 de diciembre, de Medidas de Protección Integral contra la Violencia de Género. </w:t>
      </w:r>
      <w:r w:rsidRPr="000E6594">
        <w:rPr>
          <w:rFonts w:cs="Calibri"/>
          <w:i/>
          <w:iCs/>
          <w:sz w:val="24"/>
          <w:szCs w:val="24"/>
        </w:rPr>
        <w:t>Boletín Oficial del Estado</w:t>
      </w:r>
      <w:r w:rsidRPr="000E6594">
        <w:rPr>
          <w:rFonts w:cs="Calibri"/>
          <w:sz w:val="24"/>
          <w:szCs w:val="24"/>
        </w:rPr>
        <w:t xml:space="preserve">, núm. 313, de 29 de diciembre de 2004. </w:t>
      </w:r>
      <w:hyperlink r:id="rId39" w:history="1">
        <w:r w:rsidRPr="000E6594">
          <w:rPr>
            <w:rStyle w:val="Hipervnculo"/>
            <w:rFonts w:cs="Calibri"/>
            <w:sz w:val="24"/>
            <w:szCs w:val="24"/>
          </w:rPr>
          <w:t>https://www.boe.es/eli/es/lo/2004/12/28/1/con</w:t>
        </w:r>
      </w:hyperlink>
    </w:p>
    <w:p w14:paraId="65283CEE"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Ley 1/2021, de 24 de marzo, de medidas urgentes en materia de protección y asistencia a las víctimas de violencia de género. </w:t>
      </w:r>
      <w:r w:rsidRPr="000E6594">
        <w:rPr>
          <w:rFonts w:cs="Calibri"/>
          <w:i/>
          <w:iCs/>
          <w:sz w:val="24"/>
          <w:szCs w:val="24"/>
        </w:rPr>
        <w:t>Boletín Oficial del Estado</w:t>
      </w:r>
      <w:r w:rsidRPr="000E6594">
        <w:rPr>
          <w:rFonts w:cs="Calibri"/>
          <w:sz w:val="24"/>
          <w:szCs w:val="24"/>
        </w:rPr>
        <w:t xml:space="preserve">, núm. 72, de 25 de marzo de 2021. </w:t>
      </w:r>
      <w:hyperlink r:id="rId40" w:history="1">
        <w:r w:rsidRPr="000E6594">
          <w:rPr>
            <w:rStyle w:val="Hipervnculo"/>
            <w:rFonts w:cs="Calibri"/>
            <w:sz w:val="24"/>
            <w:szCs w:val="24"/>
          </w:rPr>
          <w:t>https://www.boe.es/eli/es/l/2021/03/24/1</w:t>
        </w:r>
      </w:hyperlink>
    </w:p>
    <w:p w14:paraId="53B66B59"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Ley Orgánica 3/2018, de 5 de diciembre, de Protección de Datos Personales y garantía de los derechos digitales. </w:t>
      </w:r>
      <w:r w:rsidRPr="000E6594">
        <w:rPr>
          <w:rFonts w:cs="Calibri"/>
          <w:i/>
          <w:iCs/>
          <w:sz w:val="24"/>
          <w:szCs w:val="24"/>
        </w:rPr>
        <w:t>Boletín Oficial del Estado</w:t>
      </w:r>
      <w:r w:rsidRPr="000E6594">
        <w:rPr>
          <w:rFonts w:cs="Calibri"/>
          <w:sz w:val="24"/>
          <w:szCs w:val="24"/>
        </w:rPr>
        <w:t xml:space="preserve">, núm. 294, de 6 de diciembre de 2018. </w:t>
      </w:r>
      <w:hyperlink r:id="rId41" w:history="1">
        <w:r w:rsidRPr="000E6594">
          <w:rPr>
            <w:rStyle w:val="Hipervnculo"/>
            <w:rFonts w:cs="Calibri"/>
            <w:sz w:val="24"/>
            <w:szCs w:val="24"/>
          </w:rPr>
          <w:t>https://www.boe.es/eli/es/lo/2018/12/05/3/con</w:t>
        </w:r>
      </w:hyperlink>
    </w:p>
    <w:p w14:paraId="18411CF6"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España. Ley Orgánica 10/2022, de 6 de septiembre, de garantía integral de la libertad sexual. </w:t>
      </w:r>
      <w:r w:rsidRPr="000E6594">
        <w:rPr>
          <w:rFonts w:cs="Calibri"/>
          <w:i/>
          <w:iCs/>
          <w:sz w:val="24"/>
          <w:szCs w:val="24"/>
        </w:rPr>
        <w:t>Boletín Oficial del Estado</w:t>
      </w:r>
      <w:r w:rsidRPr="000E6594">
        <w:rPr>
          <w:rFonts w:cs="Calibri"/>
          <w:sz w:val="24"/>
          <w:szCs w:val="24"/>
        </w:rPr>
        <w:t xml:space="preserve">, núm. 215, de 7 de septiembre de 2022. </w:t>
      </w:r>
      <w:hyperlink r:id="rId42" w:history="1">
        <w:r w:rsidRPr="000E6594">
          <w:rPr>
            <w:rStyle w:val="Hipervnculo"/>
            <w:rFonts w:cs="Calibri"/>
            <w:sz w:val="24"/>
            <w:szCs w:val="24"/>
          </w:rPr>
          <w:t>https://www.boe.es/eli/es/lo/2022/09/06/10</w:t>
        </w:r>
      </w:hyperlink>
    </w:p>
    <w:p w14:paraId="1500C4DD"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Estébanez, I. (2018). </w:t>
      </w:r>
      <w:r w:rsidRPr="000E6594">
        <w:rPr>
          <w:rFonts w:cs="Calibri"/>
          <w:i/>
          <w:iCs/>
          <w:sz w:val="24"/>
          <w:szCs w:val="24"/>
        </w:rPr>
        <w:t xml:space="preserve">La </w:t>
      </w:r>
      <w:proofErr w:type="spellStart"/>
      <w:r w:rsidRPr="000E6594">
        <w:rPr>
          <w:rFonts w:cs="Calibri"/>
          <w:i/>
          <w:iCs/>
          <w:sz w:val="24"/>
          <w:szCs w:val="24"/>
        </w:rPr>
        <w:t>ciberviolencia</w:t>
      </w:r>
      <w:proofErr w:type="spellEnd"/>
      <w:r w:rsidRPr="000E6594">
        <w:rPr>
          <w:rFonts w:cs="Calibri"/>
          <w:i/>
          <w:iCs/>
          <w:sz w:val="24"/>
          <w:szCs w:val="24"/>
        </w:rPr>
        <w:t xml:space="preserve"> hacia las adolescentes en las redes sociales</w:t>
      </w:r>
      <w:r w:rsidRPr="000E6594">
        <w:rPr>
          <w:rFonts w:cs="Calibri"/>
          <w:sz w:val="24"/>
          <w:szCs w:val="24"/>
        </w:rPr>
        <w:t xml:space="preserve">. Instituto Andaluz de la Mujer. </w:t>
      </w:r>
      <w:hyperlink r:id="rId43" w:history="1">
        <w:r w:rsidRPr="000E6594">
          <w:rPr>
            <w:rStyle w:val="Hipervnculo"/>
            <w:rFonts w:cs="Calibri"/>
            <w:sz w:val="24"/>
            <w:szCs w:val="24"/>
          </w:rPr>
          <w:t>https://www.juntadeandalucia.es/export/drupaljda/guia-ciberviolencia-adolescentes.pdf</w:t>
        </w:r>
      </w:hyperlink>
    </w:p>
    <w:p w14:paraId="598D0E4D"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Federación de Asociaciones de Periodistas de España. (2017). </w:t>
      </w:r>
      <w:r w:rsidRPr="000E6594">
        <w:rPr>
          <w:rFonts w:cs="Calibri"/>
          <w:i/>
          <w:iCs/>
          <w:sz w:val="24"/>
          <w:szCs w:val="24"/>
        </w:rPr>
        <w:t>Código deontológico</w:t>
      </w:r>
      <w:r w:rsidRPr="000E6594">
        <w:rPr>
          <w:rFonts w:cs="Calibri"/>
          <w:sz w:val="24"/>
          <w:szCs w:val="24"/>
        </w:rPr>
        <w:t xml:space="preserve">. FAPE. </w:t>
      </w:r>
      <w:hyperlink r:id="rId44" w:history="1">
        <w:r w:rsidRPr="000E6594">
          <w:rPr>
            <w:rStyle w:val="Hipervnculo"/>
            <w:rFonts w:cs="Calibri"/>
            <w:sz w:val="24"/>
            <w:szCs w:val="24"/>
          </w:rPr>
          <w:t>https://fape.es/home/codigo-deontologico-1/</w:t>
        </w:r>
      </w:hyperlink>
    </w:p>
    <w:p w14:paraId="136A8CC6"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Feliú, M. (2024, 11 de noviembre). La violencia política digital, el anonimato y rasgos de personalidad. </w:t>
      </w:r>
      <w:r w:rsidRPr="000E6594">
        <w:rPr>
          <w:rFonts w:cs="Calibri"/>
          <w:i/>
          <w:iCs/>
          <w:sz w:val="24"/>
          <w:szCs w:val="24"/>
        </w:rPr>
        <w:t>Infobae</w:t>
      </w:r>
      <w:r w:rsidRPr="000E6594">
        <w:rPr>
          <w:rFonts w:cs="Calibri"/>
          <w:sz w:val="24"/>
          <w:szCs w:val="24"/>
        </w:rPr>
        <w:t xml:space="preserve">. </w:t>
      </w:r>
      <w:hyperlink r:id="rId45" w:history="1">
        <w:r w:rsidRPr="000E6594">
          <w:rPr>
            <w:rStyle w:val="Hipervnculo"/>
            <w:rFonts w:cs="Calibri"/>
            <w:sz w:val="24"/>
            <w:szCs w:val="24"/>
          </w:rPr>
          <w:t>https://www.infobae.com/opinion/2024/11/11/la-violencia-politica-digital-el-anonimato-y-rasgos-de-personalidad/</w:t>
        </w:r>
      </w:hyperlink>
    </w:p>
    <w:p w14:paraId="79A73183"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Feminicidio.net. (2023, 20 de noviembre). </w:t>
      </w:r>
      <w:r w:rsidRPr="000E6594">
        <w:rPr>
          <w:rFonts w:cs="Calibri"/>
          <w:i/>
          <w:iCs/>
          <w:sz w:val="24"/>
          <w:szCs w:val="24"/>
        </w:rPr>
        <w:t>Tipología de la violencia sexual</w:t>
      </w:r>
      <w:r w:rsidRPr="000E6594">
        <w:rPr>
          <w:rFonts w:cs="Calibri"/>
          <w:sz w:val="24"/>
          <w:szCs w:val="24"/>
        </w:rPr>
        <w:t xml:space="preserve">. Geo Violencia Sexual. </w:t>
      </w:r>
      <w:hyperlink r:id="rId46" w:history="1">
        <w:r w:rsidRPr="000E6594">
          <w:rPr>
            <w:rStyle w:val="Hipervnculo"/>
            <w:rFonts w:cs="Calibri"/>
            <w:sz w:val="24"/>
            <w:szCs w:val="24"/>
          </w:rPr>
          <w:t>https://geoviolenciasexual.com/4-tipologia-de-la-violencia-sexual/</w:t>
        </w:r>
      </w:hyperlink>
    </w:p>
    <w:p w14:paraId="1E236787"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Ferrer Arroyo, F. (2019). Delito y reacción social. En </w:t>
      </w:r>
      <w:r w:rsidRPr="000E6594">
        <w:rPr>
          <w:rFonts w:cs="Calibri"/>
          <w:i/>
          <w:iCs/>
          <w:sz w:val="24"/>
          <w:szCs w:val="24"/>
        </w:rPr>
        <w:t>Sociología jurídica</w:t>
      </w:r>
      <w:r w:rsidRPr="000E6594">
        <w:rPr>
          <w:rFonts w:cs="Calibri"/>
          <w:sz w:val="24"/>
          <w:szCs w:val="24"/>
        </w:rPr>
        <w:t xml:space="preserve"> (Cap. 12). Universidad de Palermo. </w:t>
      </w:r>
      <w:hyperlink r:id="rId47" w:history="1">
        <w:r w:rsidRPr="000E6594">
          <w:rPr>
            <w:rStyle w:val="Hipervnculo"/>
            <w:rFonts w:cs="Calibri"/>
            <w:sz w:val="24"/>
            <w:szCs w:val="24"/>
          </w:rPr>
          <w:t>https://www.palermo.edu/derecho/publicaciones/coleccion-ciencias-juridicas/Sociologia-juridica_12.pdf</w:t>
        </w:r>
      </w:hyperlink>
    </w:p>
    <w:p w14:paraId="4F47601D"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Gadea, C. A. (2018). El interaccionismo simbólico y sus vínculos con los estudios sobre cultura y poder en la contemporaneidad. </w:t>
      </w:r>
      <w:r w:rsidRPr="000E6594">
        <w:rPr>
          <w:rFonts w:cs="Calibri"/>
          <w:i/>
          <w:iCs/>
          <w:sz w:val="24"/>
          <w:szCs w:val="24"/>
        </w:rPr>
        <w:t>Sociológica, 33</w:t>
      </w:r>
      <w:r w:rsidRPr="000E6594">
        <w:rPr>
          <w:rFonts w:cs="Calibri"/>
          <w:sz w:val="24"/>
          <w:szCs w:val="24"/>
        </w:rPr>
        <w:t xml:space="preserve">(95), 39–64. </w:t>
      </w:r>
      <w:hyperlink r:id="rId48" w:history="1">
        <w:r w:rsidRPr="000E6594">
          <w:rPr>
            <w:rStyle w:val="Hipervnculo"/>
            <w:rFonts w:cs="Calibri"/>
            <w:sz w:val="24"/>
            <w:szCs w:val="24"/>
          </w:rPr>
          <w:t>https://sociologicamexico.azc.uam.mx/index.php/Sociologica/article/view/1392</w:t>
        </w:r>
      </w:hyperlink>
    </w:p>
    <w:p w14:paraId="003F099D"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García, A., y Lorca, B. (2025). "La tecnología al servicio de la igualdad": agenda de investigación sobre violencia sexual digital en España. </w:t>
      </w:r>
      <w:r w:rsidRPr="000E6594">
        <w:rPr>
          <w:rFonts w:cs="Calibri"/>
          <w:i/>
          <w:iCs/>
          <w:sz w:val="24"/>
          <w:szCs w:val="24"/>
        </w:rPr>
        <w:t>Athenea Digital. Revista de Pensamiento e Investigación Social</w:t>
      </w:r>
      <w:r w:rsidRPr="000E6594">
        <w:rPr>
          <w:rFonts w:cs="Calibri"/>
          <w:sz w:val="24"/>
          <w:szCs w:val="24"/>
        </w:rPr>
        <w:t xml:space="preserve">. </w:t>
      </w:r>
      <w:hyperlink r:id="rId49" w:history="1">
        <w:r w:rsidRPr="000E6594">
          <w:rPr>
            <w:rStyle w:val="Hipervnculo"/>
            <w:rFonts w:cs="Calibri"/>
            <w:sz w:val="24"/>
            <w:szCs w:val="24"/>
          </w:rPr>
          <w:t>https://atheneadigital.net/article/view/v25-n2-garcia-lorca-ruiz</w:t>
        </w:r>
      </w:hyperlink>
    </w:p>
    <w:p w14:paraId="0D606DAE"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García Crespo, A. (2022). </w:t>
      </w:r>
      <w:r w:rsidRPr="000E6594">
        <w:rPr>
          <w:rFonts w:cs="Calibri"/>
          <w:i/>
          <w:iCs/>
          <w:sz w:val="24"/>
          <w:szCs w:val="24"/>
        </w:rPr>
        <w:t>La perspectiva de género en la criminología</w:t>
      </w:r>
      <w:r w:rsidRPr="000E6594">
        <w:rPr>
          <w:rFonts w:cs="Calibri"/>
          <w:sz w:val="24"/>
          <w:szCs w:val="24"/>
        </w:rPr>
        <w:t>. Universidad Internacional de Valencia.</w:t>
      </w:r>
    </w:p>
    <w:p w14:paraId="475C750B"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García-Mingo, E., Lorca, J. G., y Ruiz-Repullo, C. (2025). Las estrategias de intervención para una sociedad con "derechos digitales". </w:t>
      </w:r>
      <w:r w:rsidRPr="000E6594">
        <w:rPr>
          <w:rFonts w:cs="Calibri"/>
          <w:i/>
          <w:iCs/>
          <w:sz w:val="24"/>
          <w:szCs w:val="24"/>
        </w:rPr>
        <w:t>Athenea Digital, 25</w:t>
      </w:r>
      <w:r w:rsidRPr="000E6594">
        <w:rPr>
          <w:rFonts w:cs="Calibri"/>
          <w:sz w:val="24"/>
          <w:szCs w:val="24"/>
        </w:rPr>
        <w:t xml:space="preserve">(2), e3687. </w:t>
      </w:r>
      <w:hyperlink r:id="rId50" w:history="1">
        <w:r w:rsidRPr="000E6594">
          <w:rPr>
            <w:rStyle w:val="Hipervnculo"/>
            <w:rFonts w:cs="Calibri"/>
            <w:sz w:val="24"/>
            <w:szCs w:val="24"/>
          </w:rPr>
          <w:t>https://ddd.uab.cat/pub/athdig/athdig_a2025v25n2/athdig_a2025v25n2pe3687.pdf</w:t>
        </w:r>
      </w:hyperlink>
    </w:p>
    <w:p w14:paraId="4102FE1F"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Hernández, W. (Ed.). (2019). </w:t>
      </w:r>
      <w:r w:rsidRPr="000E6594">
        <w:rPr>
          <w:rFonts w:cs="Calibri"/>
          <w:i/>
          <w:iCs/>
          <w:sz w:val="24"/>
          <w:szCs w:val="24"/>
        </w:rPr>
        <w:t>Violencias contra las mujeres: la necesidad de un doble plural</w:t>
      </w:r>
      <w:r w:rsidRPr="000E6594">
        <w:rPr>
          <w:rFonts w:cs="Calibri"/>
          <w:sz w:val="24"/>
          <w:szCs w:val="24"/>
        </w:rPr>
        <w:t xml:space="preserve">. GRADE. </w:t>
      </w:r>
      <w:hyperlink r:id="rId51" w:history="1">
        <w:r w:rsidRPr="000E6594">
          <w:rPr>
            <w:rStyle w:val="Hipervnculo"/>
            <w:rFonts w:cs="Calibri"/>
            <w:sz w:val="24"/>
            <w:szCs w:val="24"/>
          </w:rPr>
          <w:t>https://www.grade.org.pe/wp-content/uploads/LibroGRADEViolenciaSMujereS.pdf</w:t>
        </w:r>
      </w:hyperlink>
    </w:p>
    <w:p w14:paraId="2ADBB01F"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Iborra-Marmolejo, I., Lloret Martín, P., Moret Tatay, C., Bernabé Valero, G., y Beneyto Arrojo, M. J. (2024). El impacto de la victimización secundaria en víctimas de violencia sexual: una revisión sistemática. </w:t>
      </w:r>
      <w:proofErr w:type="spellStart"/>
      <w:r w:rsidRPr="000E6594">
        <w:rPr>
          <w:rFonts w:cs="Calibri"/>
          <w:i/>
          <w:iCs/>
          <w:sz w:val="24"/>
          <w:szCs w:val="24"/>
          <w:lang w:val="en-US"/>
        </w:rPr>
        <w:t>Anuario</w:t>
      </w:r>
      <w:proofErr w:type="spellEnd"/>
      <w:r w:rsidRPr="000E6594">
        <w:rPr>
          <w:rFonts w:cs="Calibri"/>
          <w:i/>
          <w:iCs/>
          <w:sz w:val="24"/>
          <w:szCs w:val="24"/>
          <w:lang w:val="en-US"/>
        </w:rPr>
        <w:t xml:space="preserve"> de </w:t>
      </w:r>
      <w:proofErr w:type="spellStart"/>
      <w:r w:rsidRPr="000E6594">
        <w:rPr>
          <w:rFonts w:cs="Calibri"/>
          <w:i/>
          <w:iCs/>
          <w:sz w:val="24"/>
          <w:szCs w:val="24"/>
          <w:lang w:val="en-US"/>
        </w:rPr>
        <w:t>Psicología</w:t>
      </w:r>
      <w:proofErr w:type="spellEnd"/>
      <w:r w:rsidRPr="000E6594">
        <w:rPr>
          <w:rFonts w:cs="Calibri"/>
          <w:i/>
          <w:iCs/>
          <w:sz w:val="24"/>
          <w:szCs w:val="24"/>
          <w:lang w:val="en-US"/>
        </w:rPr>
        <w:t xml:space="preserve"> / The UB Journal of Psychology, 54</w:t>
      </w:r>
      <w:r w:rsidRPr="000E6594">
        <w:rPr>
          <w:rFonts w:cs="Calibri"/>
          <w:sz w:val="24"/>
          <w:szCs w:val="24"/>
          <w:lang w:val="en-US"/>
        </w:rPr>
        <w:t xml:space="preserve">(1). </w:t>
      </w:r>
      <w:hyperlink r:id="rId52" w:history="1">
        <w:r w:rsidRPr="000E6594">
          <w:rPr>
            <w:rStyle w:val="Hipervnculo"/>
            <w:rFonts w:cs="Calibri"/>
            <w:sz w:val="24"/>
            <w:szCs w:val="24"/>
            <w:lang w:val="en-US"/>
          </w:rPr>
          <w:t>https://doi.org/10.1344/ANPSIC2024.54/1.4</w:t>
        </w:r>
      </w:hyperlink>
    </w:p>
    <w:p w14:paraId="49006C54" w14:textId="77777777" w:rsidR="000E51B0" w:rsidRPr="000E6594" w:rsidRDefault="000E51B0" w:rsidP="000E6594">
      <w:pPr>
        <w:spacing w:line="360" w:lineRule="auto"/>
        <w:ind w:left="720" w:hanging="720"/>
        <w:jc w:val="both"/>
        <w:rPr>
          <w:rFonts w:cs="Calibri"/>
        </w:rPr>
      </w:pPr>
      <w:r w:rsidRPr="000E6594">
        <w:rPr>
          <w:rFonts w:cs="Calibri"/>
          <w:sz w:val="24"/>
          <w:szCs w:val="24"/>
          <w:lang w:val="en-US"/>
        </w:rPr>
        <w:lastRenderedPageBreak/>
        <w:t>Khoja-</w:t>
      </w:r>
      <w:proofErr w:type="spellStart"/>
      <w:r w:rsidRPr="000E6594">
        <w:rPr>
          <w:rFonts w:cs="Calibri"/>
          <w:sz w:val="24"/>
          <w:szCs w:val="24"/>
          <w:lang w:val="en-US"/>
        </w:rPr>
        <w:t>Moolji</w:t>
      </w:r>
      <w:proofErr w:type="spellEnd"/>
      <w:r w:rsidRPr="000E6594">
        <w:rPr>
          <w:rFonts w:cs="Calibri"/>
          <w:sz w:val="24"/>
          <w:szCs w:val="24"/>
          <w:lang w:val="en-US"/>
        </w:rPr>
        <w:t xml:space="preserve">, S. (2015). Becoming an 'intimate public': Exploring the affective intensities of hashtag feminism. </w:t>
      </w:r>
      <w:proofErr w:type="spellStart"/>
      <w:r w:rsidRPr="000E6594">
        <w:rPr>
          <w:rFonts w:cs="Calibri"/>
          <w:i/>
          <w:iCs/>
          <w:sz w:val="24"/>
          <w:szCs w:val="24"/>
        </w:rPr>
        <w:t>Feminist</w:t>
      </w:r>
      <w:proofErr w:type="spellEnd"/>
      <w:r w:rsidRPr="000E6594">
        <w:rPr>
          <w:rFonts w:cs="Calibri"/>
          <w:i/>
          <w:iCs/>
          <w:sz w:val="24"/>
          <w:szCs w:val="24"/>
        </w:rPr>
        <w:t xml:space="preserve"> Media </w:t>
      </w:r>
      <w:proofErr w:type="spellStart"/>
      <w:r w:rsidRPr="000E6594">
        <w:rPr>
          <w:rFonts w:cs="Calibri"/>
          <w:i/>
          <w:iCs/>
          <w:sz w:val="24"/>
          <w:szCs w:val="24"/>
        </w:rPr>
        <w:t>Studies</w:t>
      </w:r>
      <w:proofErr w:type="spellEnd"/>
      <w:r w:rsidRPr="000E6594">
        <w:rPr>
          <w:rFonts w:cs="Calibri"/>
          <w:i/>
          <w:iCs/>
          <w:sz w:val="24"/>
          <w:szCs w:val="24"/>
        </w:rPr>
        <w:t>, 15</w:t>
      </w:r>
      <w:r w:rsidRPr="000E6594">
        <w:rPr>
          <w:rFonts w:cs="Calibri"/>
          <w:sz w:val="24"/>
          <w:szCs w:val="24"/>
        </w:rPr>
        <w:t xml:space="preserve">(2), 347–350. </w:t>
      </w:r>
      <w:hyperlink r:id="rId53" w:history="1">
        <w:r w:rsidRPr="000E6594">
          <w:rPr>
            <w:rStyle w:val="Hipervnculo"/>
            <w:rFonts w:cs="Calibri"/>
            <w:sz w:val="24"/>
            <w:szCs w:val="24"/>
          </w:rPr>
          <w:t>https://doi.org/10.1080/14680777.2015.1008747</w:t>
        </w:r>
      </w:hyperlink>
    </w:p>
    <w:p w14:paraId="3048AEE7"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Larrauri, E. (2008). </w:t>
      </w:r>
      <w:r w:rsidRPr="000E6594">
        <w:rPr>
          <w:rFonts w:cs="Calibri"/>
          <w:i/>
          <w:iCs/>
          <w:sz w:val="24"/>
          <w:szCs w:val="24"/>
        </w:rPr>
        <w:t>Mujeres y sistema penal</w:t>
      </w:r>
      <w:r w:rsidRPr="000E6594">
        <w:rPr>
          <w:rFonts w:cs="Calibri"/>
          <w:sz w:val="24"/>
          <w:szCs w:val="24"/>
        </w:rPr>
        <w:t xml:space="preserve">. Editorial </w:t>
      </w:r>
      <w:proofErr w:type="spellStart"/>
      <w:r w:rsidRPr="000E6594">
        <w:rPr>
          <w:rFonts w:cs="Calibri"/>
          <w:sz w:val="24"/>
          <w:szCs w:val="24"/>
        </w:rPr>
        <w:t>IBdef</w:t>
      </w:r>
      <w:proofErr w:type="spellEnd"/>
      <w:r w:rsidRPr="000E6594">
        <w:rPr>
          <w:rFonts w:cs="Calibri"/>
          <w:sz w:val="24"/>
          <w:szCs w:val="24"/>
        </w:rPr>
        <w:t>.</w:t>
      </w:r>
    </w:p>
    <w:p w14:paraId="6F6AAC55"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Lazo Serrano, L. I., Crespo Carreño, M. T., Gálvez Palomeque, K. E., y Pacheco Zerda, P. A. (2022). Patrones socioculturales sobre feminidad, comunicación mediática y violencia hacia mujeres, en provincia de El Oro. </w:t>
      </w:r>
      <w:r w:rsidRPr="000E6594">
        <w:rPr>
          <w:rFonts w:cs="Calibri"/>
          <w:i/>
          <w:iCs/>
          <w:sz w:val="24"/>
          <w:szCs w:val="24"/>
        </w:rPr>
        <w:t>Sociedad &amp; Tecnología, 5</w:t>
      </w:r>
      <w:r w:rsidRPr="000E6594">
        <w:rPr>
          <w:rFonts w:cs="Calibri"/>
          <w:sz w:val="24"/>
          <w:szCs w:val="24"/>
        </w:rPr>
        <w:t xml:space="preserve">(2), 406–422. </w:t>
      </w:r>
      <w:hyperlink r:id="rId54" w:history="1">
        <w:r w:rsidRPr="000E6594">
          <w:rPr>
            <w:rStyle w:val="Hipervnculo"/>
            <w:rFonts w:cs="Calibri"/>
            <w:sz w:val="24"/>
            <w:szCs w:val="24"/>
          </w:rPr>
          <w:t>https://doi.org/10.51247/st.v5i2.223</w:t>
        </w:r>
      </w:hyperlink>
    </w:p>
    <w:p w14:paraId="6A621F9A"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LLYC. (2024). </w:t>
      </w:r>
      <w:r w:rsidRPr="000E6594">
        <w:rPr>
          <w:rFonts w:cs="Calibri"/>
          <w:i/>
          <w:iCs/>
          <w:sz w:val="24"/>
          <w:szCs w:val="24"/>
        </w:rPr>
        <w:t>Desenfocadas: Cómo opinar e informar mejor sobre violencia de género</w:t>
      </w:r>
      <w:r w:rsidRPr="000E6594">
        <w:rPr>
          <w:rFonts w:cs="Calibri"/>
          <w:sz w:val="24"/>
          <w:szCs w:val="24"/>
        </w:rPr>
        <w:t xml:space="preserve">. </w:t>
      </w:r>
      <w:hyperlink r:id="rId55" w:history="1">
        <w:r w:rsidRPr="000E6594">
          <w:rPr>
            <w:rStyle w:val="Hipervnculo"/>
            <w:rFonts w:cs="Calibri"/>
            <w:sz w:val="24"/>
            <w:szCs w:val="24"/>
          </w:rPr>
          <w:t>https://thepurplecheck.llyc.global/</w:t>
        </w:r>
      </w:hyperlink>
    </w:p>
    <w:p w14:paraId="51635859"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Mina Mendoza, A. J. (2024). Tratamiento de la información de las mujeres víctimas de violencia sexual en los medios de comunicación (atención especial a las redes sociales). </w:t>
      </w:r>
      <w:r w:rsidRPr="000E6594">
        <w:rPr>
          <w:rFonts w:cs="Calibri"/>
          <w:i/>
          <w:iCs/>
          <w:sz w:val="24"/>
          <w:szCs w:val="24"/>
        </w:rPr>
        <w:t>Revista de Ciencias Jurídicas, 164</w:t>
      </w:r>
      <w:r w:rsidRPr="000E6594">
        <w:rPr>
          <w:rFonts w:cs="Calibri"/>
          <w:sz w:val="24"/>
          <w:szCs w:val="24"/>
        </w:rPr>
        <w:t>, 1–28.</w:t>
      </w:r>
    </w:p>
    <w:p w14:paraId="6B411C68"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Ministerio del Interior. (2023). </w:t>
      </w:r>
      <w:r w:rsidRPr="000E6594">
        <w:rPr>
          <w:rFonts w:cs="Calibri"/>
          <w:i/>
          <w:iCs/>
          <w:sz w:val="24"/>
          <w:szCs w:val="24"/>
        </w:rPr>
        <w:t>¿Qué es la Oficina Nacional contra las Violencias Sexuales?</w:t>
      </w:r>
      <w:r w:rsidRPr="000E6594">
        <w:rPr>
          <w:rFonts w:cs="Calibri"/>
          <w:sz w:val="24"/>
          <w:szCs w:val="24"/>
        </w:rPr>
        <w:t xml:space="preserve"> </w:t>
      </w:r>
      <w:hyperlink r:id="rId56" w:history="1">
        <w:r w:rsidRPr="000E6594">
          <w:rPr>
            <w:rStyle w:val="Hipervnculo"/>
            <w:rFonts w:cs="Calibri"/>
            <w:sz w:val="24"/>
            <w:szCs w:val="24"/>
          </w:rPr>
          <w:t>https://www.interior.gob.es/opencms/va/detalle/articulo/Que-es-la-Oficina-Nacional-contra-las-Violencias-Sexuales/</w:t>
        </w:r>
      </w:hyperlink>
    </w:p>
    <w:p w14:paraId="3BEBA5F6"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Ministerio de Juventud e Infancia. (2025). </w:t>
      </w:r>
      <w:r w:rsidRPr="000E6594">
        <w:rPr>
          <w:rFonts w:cs="Calibri"/>
          <w:i/>
          <w:iCs/>
          <w:sz w:val="24"/>
          <w:szCs w:val="24"/>
        </w:rPr>
        <w:t>Cómo comunicar sobre violencia sexual contra la infancia y la adolescencia: guía para periodistas</w:t>
      </w:r>
      <w:r w:rsidRPr="000E6594">
        <w:rPr>
          <w:rFonts w:cs="Calibri"/>
          <w:sz w:val="24"/>
          <w:szCs w:val="24"/>
        </w:rPr>
        <w:t xml:space="preserve">. Gobierno de España. </w:t>
      </w:r>
      <w:hyperlink r:id="rId57" w:history="1">
        <w:r w:rsidRPr="000E6594">
          <w:rPr>
            <w:rStyle w:val="Hipervnculo"/>
            <w:rFonts w:cs="Calibri"/>
            <w:sz w:val="24"/>
            <w:szCs w:val="24"/>
          </w:rPr>
          <w:t>https://www.juventudeinfancia.gob.es/sites/default/files/infancia/violencia/recursos/Como%20comunicar%20sobre%20violencia%20sexual%20contra%20la%20infancia%20y%20la%20adolescencia_Guia%20para%20periodistas.pdf</w:t>
        </w:r>
      </w:hyperlink>
    </w:p>
    <w:p w14:paraId="5A4AA2A9"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Nieto Parejo, M. (2018, 18 de febrero). </w:t>
      </w:r>
      <w:r w:rsidRPr="000E6594">
        <w:rPr>
          <w:rFonts w:cs="Calibri"/>
          <w:i/>
          <w:iCs/>
          <w:sz w:val="24"/>
          <w:szCs w:val="24"/>
        </w:rPr>
        <w:t>No revictimizar a la víctima. ¿Qué es la doble victimización en los procesos judiciales?</w:t>
      </w:r>
      <w:r w:rsidRPr="000E6594">
        <w:rPr>
          <w:rFonts w:cs="Calibri"/>
          <w:sz w:val="24"/>
          <w:szCs w:val="24"/>
        </w:rPr>
        <w:t xml:space="preserve"> Cenit Psicólogos. </w:t>
      </w:r>
      <w:hyperlink r:id="rId58" w:history="1">
        <w:r w:rsidRPr="000E6594">
          <w:rPr>
            <w:rStyle w:val="Hipervnculo"/>
            <w:rFonts w:cs="Calibri"/>
            <w:sz w:val="24"/>
            <w:szCs w:val="24"/>
          </w:rPr>
          <w:t>https://cenitpsicologos.com/no-revictimizar-a-la-victima-que-es-la-doble-victimizacion-en-los-procesos-judiciales/</w:t>
        </w:r>
      </w:hyperlink>
    </w:p>
    <w:p w14:paraId="7C4F147E"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Núñez Puente, S., y Fernández Romero, D. (2019). Posverdad y victimización en Twitter ante el caso de La Manada: propuesta de un marco analítico a partir del testimonio ético. </w:t>
      </w:r>
      <w:r w:rsidRPr="000E6594">
        <w:rPr>
          <w:rFonts w:cs="Calibri"/>
          <w:i/>
          <w:iCs/>
          <w:sz w:val="24"/>
          <w:szCs w:val="24"/>
        </w:rPr>
        <w:t>Investigaciones Feministas, 10</w:t>
      </w:r>
      <w:r w:rsidRPr="000E6594">
        <w:rPr>
          <w:rFonts w:cs="Calibri"/>
          <w:sz w:val="24"/>
          <w:szCs w:val="24"/>
        </w:rPr>
        <w:t>(2), 385–398.</w:t>
      </w:r>
    </w:p>
    <w:p w14:paraId="00D22395"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Observatorio de Violencia Sexual. (s. f.). </w:t>
      </w:r>
      <w:r w:rsidRPr="000E6594">
        <w:rPr>
          <w:rFonts w:cs="Calibri"/>
          <w:i/>
          <w:iCs/>
          <w:sz w:val="24"/>
          <w:szCs w:val="24"/>
        </w:rPr>
        <w:t>Tipos de violencias sexuales</w:t>
      </w:r>
      <w:r w:rsidRPr="000E6594">
        <w:rPr>
          <w:rFonts w:cs="Calibri"/>
          <w:sz w:val="24"/>
          <w:szCs w:val="24"/>
        </w:rPr>
        <w:t xml:space="preserve">. </w:t>
      </w:r>
      <w:hyperlink r:id="rId59" w:history="1">
        <w:r w:rsidRPr="000E6594">
          <w:rPr>
            <w:rStyle w:val="Hipervnculo"/>
            <w:rFonts w:cs="Calibri"/>
            <w:sz w:val="24"/>
            <w:szCs w:val="24"/>
          </w:rPr>
          <w:t>https://observatorioviolenciasexual.org/que-es-la-violencia-sexual/tipos-de-violencias-sexuales/</w:t>
        </w:r>
      </w:hyperlink>
    </w:p>
    <w:p w14:paraId="18ABBDB5"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Oficina Nacional de Violencia contra la Infancia, el Adolescente y los Seres Queridos. (s. f.). </w:t>
      </w:r>
      <w:r w:rsidRPr="000E6594">
        <w:rPr>
          <w:rFonts w:cs="Calibri"/>
          <w:i/>
          <w:iCs/>
          <w:sz w:val="24"/>
          <w:szCs w:val="24"/>
        </w:rPr>
        <w:t>La Oficina Nacional, descripción y funciones</w:t>
      </w:r>
      <w:r w:rsidRPr="000E6594">
        <w:rPr>
          <w:rFonts w:cs="Calibri"/>
          <w:sz w:val="24"/>
          <w:szCs w:val="24"/>
        </w:rPr>
        <w:t xml:space="preserve">. Ministerio de Sanidad. </w:t>
      </w:r>
      <w:hyperlink r:id="rId60" w:history="1">
        <w:r w:rsidRPr="000E6594">
          <w:rPr>
            <w:rStyle w:val="Hipervnculo"/>
            <w:rFonts w:cs="Calibri"/>
            <w:sz w:val="24"/>
            <w:szCs w:val="24"/>
          </w:rPr>
          <w:t>https://onvios.ses.mir.es/publico/onvios</w:t>
        </w:r>
      </w:hyperlink>
    </w:p>
    <w:p w14:paraId="0F999389"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Onda Cero. (2020, 7 de mayo). </w:t>
      </w:r>
      <w:r w:rsidRPr="000E6594">
        <w:rPr>
          <w:rFonts w:cs="Calibri"/>
          <w:i/>
          <w:iCs/>
          <w:sz w:val="24"/>
          <w:szCs w:val="24"/>
        </w:rPr>
        <w:t>El daño que provocó la difusión de la foto de la víctima de "La Manada": "Fue un escarnio, tuvo que irse de España"</w:t>
      </w:r>
      <w:r w:rsidRPr="000E6594">
        <w:rPr>
          <w:rFonts w:cs="Calibri"/>
          <w:sz w:val="24"/>
          <w:szCs w:val="24"/>
        </w:rPr>
        <w:t xml:space="preserve">. </w:t>
      </w:r>
      <w:hyperlink r:id="rId61" w:history="1">
        <w:r w:rsidRPr="000E6594">
          <w:rPr>
            <w:rStyle w:val="Hipervnculo"/>
            <w:rFonts w:cs="Calibri"/>
            <w:sz w:val="24"/>
            <w:szCs w:val="24"/>
          </w:rPr>
          <w:t>https://www.ondacero.es/podcast/programas/julia-en-la-onda/territorio-negro/dano-que-provoco-difusion-foto-victima-manada-fue-escarnio-tuvo-que-irse-espana_202005075eb425687ed1a838a0ddf229.html</w:t>
        </w:r>
      </w:hyperlink>
    </w:p>
    <w:p w14:paraId="11BDB864"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Organización Mundial de la Salud. (2021). </w:t>
      </w:r>
      <w:r w:rsidRPr="000E6594">
        <w:rPr>
          <w:rFonts w:cs="Calibri"/>
          <w:i/>
          <w:iCs/>
          <w:sz w:val="24"/>
          <w:szCs w:val="24"/>
        </w:rPr>
        <w:t>La violencia contra la mujer es omnipresente y devastadora</w:t>
      </w:r>
      <w:r w:rsidRPr="000E6594">
        <w:rPr>
          <w:rFonts w:cs="Calibri"/>
          <w:sz w:val="24"/>
          <w:szCs w:val="24"/>
        </w:rPr>
        <w:t xml:space="preserve">. </w:t>
      </w:r>
      <w:hyperlink r:id="rId62" w:history="1">
        <w:r w:rsidRPr="000E6594">
          <w:rPr>
            <w:rStyle w:val="Hipervnculo"/>
            <w:rFonts w:cs="Calibri"/>
            <w:sz w:val="24"/>
            <w:szCs w:val="24"/>
          </w:rPr>
          <w:t>https://www.who.int/es/news/item/09-03-2021-devastatingly-pervasive-1-in-3-women-globally-experience-violence</w:t>
        </w:r>
      </w:hyperlink>
    </w:p>
    <w:p w14:paraId="36578658"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Organización Mundial de la Salud y Organización Panamericana de la Salud. (2013). </w:t>
      </w:r>
      <w:r w:rsidRPr="000E6594">
        <w:rPr>
          <w:rFonts w:cs="Calibri"/>
          <w:i/>
          <w:iCs/>
          <w:sz w:val="24"/>
          <w:szCs w:val="24"/>
        </w:rPr>
        <w:t>Comprender y abordar la violencia contra las mujeres: violencia sexual</w:t>
      </w:r>
      <w:r w:rsidRPr="000E6594">
        <w:rPr>
          <w:rFonts w:cs="Calibri"/>
          <w:sz w:val="24"/>
          <w:szCs w:val="24"/>
        </w:rPr>
        <w:t xml:space="preserve">. OMS. </w:t>
      </w:r>
      <w:hyperlink r:id="rId63" w:history="1">
        <w:r w:rsidRPr="000E6594">
          <w:rPr>
            <w:rStyle w:val="Hipervnculo"/>
            <w:rFonts w:cs="Calibri"/>
            <w:sz w:val="24"/>
            <w:szCs w:val="24"/>
          </w:rPr>
          <w:t>https://iris.who.int/handle/10665/98821</w:t>
        </w:r>
      </w:hyperlink>
    </w:p>
    <w:p w14:paraId="56C9AE07"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Palazuelos Rojo, I. de J. (2022). Más allá de la ficción: medios digitales, violencia, política y reivindicación. </w:t>
      </w:r>
      <w:r w:rsidRPr="000E6594">
        <w:rPr>
          <w:rFonts w:cs="Calibri"/>
          <w:i/>
          <w:iCs/>
          <w:sz w:val="24"/>
          <w:szCs w:val="24"/>
        </w:rPr>
        <w:t>PAAKAT: Revista de Tecnología y Sociedad, 12</w:t>
      </w:r>
      <w:r w:rsidRPr="000E6594">
        <w:rPr>
          <w:rFonts w:cs="Calibri"/>
          <w:sz w:val="24"/>
          <w:szCs w:val="24"/>
        </w:rPr>
        <w:t xml:space="preserve">(23). </w:t>
      </w:r>
      <w:hyperlink r:id="rId64" w:history="1">
        <w:r w:rsidRPr="000E6594">
          <w:rPr>
            <w:rStyle w:val="Hipervnculo"/>
            <w:rFonts w:cs="Calibri"/>
            <w:sz w:val="24"/>
            <w:szCs w:val="24"/>
          </w:rPr>
          <w:t>https://doi.org/10.32870/pk.a12n23.747</w:t>
        </w:r>
      </w:hyperlink>
    </w:p>
    <w:p w14:paraId="122632CA" w14:textId="77777777" w:rsidR="000E51B0" w:rsidRPr="000E6594" w:rsidRDefault="000E51B0" w:rsidP="000E6594">
      <w:pPr>
        <w:spacing w:line="360" w:lineRule="auto"/>
        <w:ind w:left="720" w:hanging="720"/>
        <w:jc w:val="both"/>
        <w:rPr>
          <w:rFonts w:cs="Calibri"/>
        </w:rPr>
      </w:pPr>
      <w:r w:rsidRPr="000E6594">
        <w:rPr>
          <w:rFonts w:cs="Calibri"/>
        </w:rPr>
        <w:t xml:space="preserve">Palma Meza, G. C. (2022). </w:t>
      </w:r>
      <w:r w:rsidRPr="000E6594">
        <w:rPr>
          <w:rFonts w:cs="Calibri"/>
          <w:i/>
          <w:iCs/>
        </w:rPr>
        <w:t>Análisis del tratamiento de la violencia de género en jóvenes en los medios de comunicación. Estudio de caso de tratamiento de la violencia sexual a través de la agresión de "La Manada"</w:t>
      </w:r>
      <w:r w:rsidRPr="000E6594">
        <w:rPr>
          <w:rFonts w:cs="Calibri"/>
        </w:rPr>
        <w:t xml:space="preserve">. Universidad de Zaragoza. </w:t>
      </w:r>
      <w:hyperlink r:id="rId65" w:history="1">
        <w:r w:rsidRPr="000E6594">
          <w:rPr>
            <w:rStyle w:val="Hipervnculo"/>
            <w:rFonts w:cs="Calibri"/>
          </w:rPr>
          <w:t>https://zaguan.unizar.es/record/120639/files/TAZ-TFG-2022-2381.pdf?version=1</w:t>
        </w:r>
      </w:hyperlink>
    </w:p>
    <w:p w14:paraId="5E77269A" w14:textId="77777777" w:rsidR="000E51B0" w:rsidRPr="000E6594" w:rsidRDefault="000E51B0" w:rsidP="000E6594">
      <w:pPr>
        <w:spacing w:line="360" w:lineRule="auto"/>
        <w:ind w:left="720" w:hanging="720"/>
        <w:jc w:val="both"/>
        <w:rPr>
          <w:rFonts w:cs="Calibri"/>
          <w:lang w:val="en-US"/>
        </w:rPr>
      </w:pPr>
      <w:r w:rsidRPr="000E6594">
        <w:rPr>
          <w:rFonts w:cs="Calibri"/>
          <w:sz w:val="24"/>
          <w:szCs w:val="24"/>
        </w:rPr>
        <w:t xml:space="preserve">Prihadi, K., Hui, Y., Chua, M., y Chang, C. (2019). </w:t>
      </w:r>
      <w:r w:rsidRPr="000E6594">
        <w:rPr>
          <w:rFonts w:cs="Calibri"/>
          <w:sz w:val="24"/>
          <w:szCs w:val="24"/>
          <w:lang w:val="en-US"/>
        </w:rPr>
        <w:t xml:space="preserve">Cyber-victimization and perceived depression: Serial mediation of self-esteem and </w:t>
      </w:r>
      <w:proofErr w:type="gramStart"/>
      <w:r w:rsidRPr="000E6594">
        <w:rPr>
          <w:rFonts w:cs="Calibri"/>
          <w:sz w:val="24"/>
          <w:szCs w:val="24"/>
          <w:lang w:val="en-US"/>
        </w:rPr>
        <w:t>learned-helplessness</w:t>
      </w:r>
      <w:proofErr w:type="gramEnd"/>
      <w:r w:rsidRPr="000E6594">
        <w:rPr>
          <w:rFonts w:cs="Calibri"/>
          <w:sz w:val="24"/>
          <w:szCs w:val="24"/>
          <w:lang w:val="en-US"/>
        </w:rPr>
        <w:t xml:space="preserve">. </w:t>
      </w:r>
      <w:r w:rsidRPr="000E6594">
        <w:rPr>
          <w:rFonts w:cs="Calibri"/>
          <w:i/>
          <w:iCs/>
          <w:sz w:val="24"/>
          <w:szCs w:val="24"/>
          <w:lang w:val="en-US"/>
        </w:rPr>
        <w:t>International Journal of Evaluation and Research in Education, 8</w:t>
      </w:r>
      <w:r w:rsidRPr="000E6594">
        <w:rPr>
          <w:rFonts w:cs="Calibri"/>
          <w:sz w:val="24"/>
          <w:szCs w:val="24"/>
          <w:lang w:val="en-US"/>
        </w:rPr>
        <w:t xml:space="preserve">(4), 563–574. </w:t>
      </w:r>
      <w:hyperlink r:id="rId66" w:history="1">
        <w:r w:rsidRPr="000E6594">
          <w:rPr>
            <w:rStyle w:val="Hipervnculo"/>
            <w:rFonts w:cs="Calibri"/>
            <w:sz w:val="24"/>
            <w:szCs w:val="24"/>
            <w:lang w:val="en-US"/>
          </w:rPr>
          <w:t>https://doi.org/10.11591/ijere.v8i4.20266</w:t>
        </w:r>
      </w:hyperlink>
    </w:p>
    <w:p w14:paraId="1C10DD21"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Ribas, E. R., y Faraldo Cabana, P. (2020). "Solo sí es sí", pero de verdad. Una réplica a </w:t>
      </w:r>
      <w:proofErr w:type="spellStart"/>
      <w:r w:rsidRPr="000E6594">
        <w:rPr>
          <w:rFonts w:cs="Calibri"/>
          <w:sz w:val="24"/>
          <w:szCs w:val="24"/>
        </w:rPr>
        <w:t>Gimbernat</w:t>
      </w:r>
      <w:proofErr w:type="spellEnd"/>
      <w:r w:rsidRPr="000E6594">
        <w:rPr>
          <w:rFonts w:cs="Calibri"/>
          <w:sz w:val="24"/>
          <w:szCs w:val="24"/>
        </w:rPr>
        <w:t xml:space="preserve">. </w:t>
      </w:r>
      <w:r w:rsidRPr="000E6594">
        <w:rPr>
          <w:rFonts w:cs="Calibri"/>
          <w:i/>
          <w:iCs/>
          <w:sz w:val="24"/>
          <w:szCs w:val="24"/>
        </w:rPr>
        <w:t>Estudios Penales y Criminológicos, 40</w:t>
      </w:r>
      <w:r w:rsidRPr="000E6594">
        <w:rPr>
          <w:rFonts w:cs="Calibri"/>
          <w:sz w:val="24"/>
          <w:szCs w:val="24"/>
        </w:rPr>
        <w:t xml:space="preserve">, 21–42. </w:t>
      </w:r>
      <w:hyperlink r:id="rId67" w:history="1">
        <w:r w:rsidRPr="000E6594">
          <w:rPr>
            <w:rStyle w:val="Hipervnculo"/>
            <w:rFonts w:cs="Calibri"/>
            <w:sz w:val="24"/>
            <w:szCs w:val="24"/>
          </w:rPr>
          <w:t>https://revistas.usc.gal/index.php/epc/article/view/6878/9965</w:t>
        </w:r>
      </w:hyperlink>
    </w:p>
    <w:p w14:paraId="4E000624" w14:textId="77777777" w:rsidR="000E51B0" w:rsidRPr="000E6594" w:rsidRDefault="000E51B0" w:rsidP="000E6594">
      <w:pPr>
        <w:spacing w:line="360" w:lineRule="auto"/>
        <w:ind w:left="720" w:hanging="720"/>
        <w:jc w:val="both"/>
        <w:rPr>
          <w:rFonts w:cs="Calibri"/>
        </w:rPr>
      </w:pPr>
      <w:proofErr w:type="spellStart"/>
      <w:r w:rsidRPr="000E6594">
        <w:rPr>
          <w:rFonts w:cs="Calibri"/>
          <w:sz w:val="24"/>
          <w:szCs w:val="24"/>
        </w:rPr>
        <w:t>Rodriguez</w:t>
      </w:r>
      <w:proofErr w:type="spellEnd"/>
      <w:r w:rsidRPr="000E6594">
        <w:rPr>
          <w:rFonts w:cs="Calibri"/>
          <w:sz w:val="24"/>
          <w:szCs w:val="24"/>
        </w:rPr>
        <w:t xml:space="preserve"> Narvaez, V. (2022). Reflexiones en torno a la violencia sexual: consecuencias y acciones. </w:t>
      </w:r>
      <w:r w:rsidRPr="000E6594">
        <w:rPr>
          <w:rFonts w:cs="Calibri"/>
          <w:i/>
          <w:iCs/>
          <w:sz w:val="24"/>
          <w:szCs w:val="24"/>
        </w:rPr>
        <w:t>Revista Médica Herediana, 33</w:t>
      </w:r>
      <w:r w:rsidRPr="000E6594">
        <w:rPr>
          <w:rFonts w:cs="Calibri"/>
          <w:sz w:val="24"/>
          <w:szCs w:val="24"/>
        </w:rPr>
        <w:t xml:space="preserve">(3), 214–220. </w:t>
      </w:r>
      <w:hyperlink r:id="rId68" w:history="1">
        <w:r w:rsidRPr="000E6594">
          <w:rPr>
            <w:rStyle w:val="Hipervnculo"/>
            <w:rFonts w:cs="Calibri"/>
            <w:sz w:val="24"/>
            <w:szCs w:val="24"/>
          </w:rPr>
          <w:t>https://revistas.upch.edu.pe/index.php/RMH/article/view/4343</w:t>
        </w:r>
      </w:hyperlink>
    </w:p>
    <w:p w14:paraId="71F87408"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Rojas, B. (2024, 12 de junio). </w:t>
      </w:r>
      <w:r w:rsidRPr="000E6594">
        <w:rPr>
          <w:rFonts w:cs="Calibri"/>
          <w:i/>
          <w:iCs/>
          <w:sz w:val="24"/>
          <w:szCs w:val="24"/>
        </w:rPr>
        <w:t>Cómo utilizar la pirámide invertida para mejorar el contenido web</w:t>
      </w:r>
      <w:r w:rsidRPr="000E6594">
        <w:rPr>
          <w:rFonts w:cs="Calibri"/>
          <w:sz w:val="24"/>
          <w:szCs w:val="24"/>
        </w:rPr>
        <w:t xml:space="preserve">. AIOSEO. </w:t>
      </w:r>
      <w:hyperlink r:id="rId69" w:history="1">
        <w:r w:rsidRPr="000E6594">
          <w:rPr>
            <w:rStyle w:val="Hipervnculo"/>
            <w:rFonts w:cs="Calibri"/>
            <w:sz w:val="24"/>
            <w:szCs w:val="24"/>
          </w:rPr>
          <w:t>https://aioseo.com/es/how-to-use-the-inverted-pyramid-to-improve-web-content/</w:t>
        </w:r>
      </w:hyperlink>
    </w:p>
    <w:p w14:paraId="638858C1"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RTVE.es. (2019, 28 de junio). </w:t>
      </w:r>
      <w:r w:rsidRPr="000E6594">
        <w:rPr>
          <w:rFonts w:cs="Calibri"/>
          <w:i/>
          <w:iCs/>
          <w:sz w:val="24"/>
          <w:szCs w:val="24"/>
        </w:rPr>
        <w:t>La víctima de "La Manada": "Lo peor no fue lo vivido, sino lo que vino después"</w:t>
      </w:r>
      <w:r w:rsidRPr="000E6594">
        <w:rPr>
          <w:rFonts w:cs="Calibri"/>
          <w:sz w:val="24"/>
          <w:szCs w:val="24"/>
        </w:rPr>
        <w:t xml:space="preserve">. </w:t>
      </w:r>
      <w:hyperlink r:id="rId70" w:history="1">
        <w:r w:rsidRPr="000E6594">
          <w:rPr>
            <w:rStyle w:val="Hipervnculo"/>
            <w:rFonts w:cs="Calibri"/>
            <w:sz w:val="24"/>
            <w:szCs w:val="24"/>
          </w:rPr>
          <w:t>https://www.rtve.es/noticias/20190628/victima-manada-peor-no-fue-vivido-sino-vino-despues/1963924.shtml</w:t>
        </w:r>
      </w:hyperlink>
    </w:p>
    <w:p w14:paraId="00C1DC14"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Salvador Sánchez, L., Rodríguez Conesa, N., Sánchez Ramón, S., y Rey Novoa, M. (2024). La violencia sexual y su abordaje en el sistema de salud. </w:t>
      </w:r>
      <w:r w:rsidRPr="000E6594">
        <w:rPr>
          <w:rFonts w:cs="Calibri"/>
          <w:i/>
          <w:iCs/>
          <w:sz w:val="24"/>
          <w:szCs w:val="24"/>
        </w:rPr>
        <w:t>Atención Primaria, 56</w:t>
      </w:r>
      <w:r w:rsidRPr="000E6594">
        <w:rPr>
          <w:rFonts w:cs="Calibri"/>
          <w:sz w:val="24"/>
          <w:szCs w:val="24"/>
        </w:rPr>
        <w:t xml:space="preserve">(11), 102837. </w:t>
      </w:r>
      <w:hyperlink r:id="rId71" w:history="1">
        <w:r w:rsidRPr="000E6594">
          <w:rPr>
            <w:rStyle w:val="Hipervnculo"/>
            <w:rFonts w:cs="Calibri"/>
            <w:sz w:val="24"/>
            <w:szCs w:val="24"/>
          </w:rPr>
          <w:t>https://doi.org/10.1016/j.aprim.2023.102837</w:t>
        </w:r>
      </w:hyperlink>
    </w:p>
    <w:p w14:paraId="28249753"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Sánchez-Ramos, M., y Zurbano-Berenguer, B. (2025). Violencias sexuales contra las mujeres: Aproximación deontológica para un periodismo de calidad. </w:t>
      </w:r>
      <w:r w:rsidRPr="000E6594">
        <w:rPr>
          <w:rFonts w:cs="Calibri"/>
          <w:i/>
          <w:iCs/>
          <w:sz w:val="24"/>
          <w:szCs w:val="24"/>
        </w:rPr>
        <w:t>Ámbitos. Revista Internacional de Comunicación, 67</w:t>
      </w:r>
      <w:r w:rsidRPr="000E6594">
        <w:rPr>
          <w:rFonts w:cs="Calibri"/>
          <w:sz w:val="24"/>
          <w:szCs w:val="24"/>
        </w:rPr>
        <w:t xml:space="preserve">, 197–221. </w:t>
      </w:r>
      <w:hyperlink r:id="rId72" w:history="1">
        <w:r w:rsidRPr="000E6594">
          <w:rPr>
            <w:rStyle w:val="Hipervnculo"/>
            <w:rFonts w:cs="Calibri"/>
            <w:sz w:val="24"/>
            <w:szCs w:val="24"/>
          </w:rPr>
          <w:t>https://doi.org/10.12795/Ambitos.2025.i67.11</w:t>
        </w:r>
      </w:hyperlink>
    </w:p>
    <w:p w14:paraId="1ECE1D81"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Sánchez Rubio, B. (2022). La víctima ideal en los delitos de agresión y abuso sexual. ¿Es posible evitar la victimización secundaria? </w:t>
      </w:r>
      <w:r w:rsidRPr="000E6594">
        <w:rPr>
          <w:rFonts w:cs="Calibri"/>
          <w:i/>
          <w:iCs/>
          <w:sz w:val="24"/>
          <w:szCs w:val="24"/>
        </w:rPr>
        <w:t>UNIVERSITAS. Revista de Filosofía, Derecho y Política, 38</w:t>
      </w:r>
      <w:r w:rsidRPr="000E6594">
        <w:rPr>
          <w:rFonts w:cs="Calibri"/>
          <w:sz w:val="24"/>
          <w:szCs w:val="24"/>
        </w:rPr>
        <w:t xml:space="preserve">, 2–22. </w:t>
      </w:r>
      <w:hyperlink r:id="rId73" w:history="1">
        <w:r w:rsidRPr="000E6594">
          <w:rPr>
            <w:rStyle w:val="Hipervnculo"/>
            <w:rFonts w:cs="Calibri"/>
            <w:sz w:val="24"/>
            <w:szCs w:val="24"/>
          </w:rPr>
          <w:t>https://doi.org/10.20318/universitas.2022.6576</w:t>
        </w:r>
      </w:hyperlink>
    </w:p>
    <w:p w14:paraId="644E8E61"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Sassone, M. A. (2022). La criminología mediática. </w:t>
      </w:r>
      <w:r w:rsidRPr="000E6594">
        <w:rPr>
          <w:rFonts w:cs="Calibri"/>
          <w:i/>
          <w:iCs/>
          <w:sz w:val="24"/>
          <w:szCs w:val="24"/>
        </w:rPr>
        <w:t>Revista Iberoamericana de Derecho, Cultura y Ambiente, 2</w:t>
      </w:r>
      <w:r w:rsidRPr="000E6594">
        <w:rPr>
          <w:rFonts w:cs="Calibri"/>
          <w:sz w:val="24"/>
          <w:szCs w:val="24"/>
        </w:rPr>
        <w:t xml:space="preserve">. </w:t>
      </w:r>
      <w:hyperlink r:id="rId74" w:history="1">
        <w:r w:rsidRPr="000E6594">
          <w:rPr>
            <w:rStyle w:val="Hipervnculo"/>
            <w:rFonts w:cs="Calibri"/>
            <w:sz w:val="24"/>
            <w:szCs w:val="24"/>
          </w:rPr>
          <w:t>https://aidca.org/wp-content/uploads/2022/12/RIDCA2-CRIMINOLOGIA-SASSONE-LA-CRIMINOLOGIA-MEDIATICA.pdf</w:t>
        </w:r>
      </w:hyperlink>
    </w:p>
    <w:p w14:paraId="34B8FD63"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Secretaría de Estado de Seguridad. (s. f.). </w:t>
      </w:r>
      <w:r w:rsidRPr="000E6594">
        <w:rPr>
          <w:rFonts w:cs="Calibri"/>
          <w:i/>
          <w:iCs/>
          <w:sz w:val="24"/>
          <w:szCs w:val="24"/>
        </w:rPr>
        <w:t xml:space="preserve">Sistema </w:t>
      </w:r>
      <w:proofErr w:type="spellStart"/>
      <w:r w:rsidRPr="000E6594">
        <w:rPr>
          <w:rFonts w:cs="Calibri"/>
          <w:i/>
          <w:iCs/>
          <w:sz w:val="24"/>
          <w:szCs w:val="24"/>
        </w:rPr>
        <w:t>VioGén</w:t>
      </w:r>
      <w:proofErr w:type="spellEnd"/>
      <w:r w:rsidRPr="000E6594">
        <w:rPr>
          <w:rFonts w:cs="Calibri"/>
          <w:i/>
          <w:iCs/>
          <w:sz w:val="24"/>
          <w:szCs w:val="24"/>
        </w:rPr>
        <w:t>: Sistema de seguimiento integral en los casos de violencia de género</w:t>
      </w:r>
      <w:r w:rsidRPr="000E6594">
        <w:rPr>
          <w:rFonts w:cs="Calibri"/>
          <w:sz w:val="24"/>
          <w:szCs w:val="24"/>
        </w:rPr>
        <w:t xml:space="preserve">. Ministerio del Interior. </w:t>
      </w:r>
      <w:hyperlink r:id="rId75" w:history="1">
        <w:r w:rsidRPr="000E6594">
          <w:rPr>
            <w:rStyle w:val="Hipervnculo"/>
            <w:rFonts w:cs="Calibri"/>
            <w:sz w:val="24"/>
            <w:szCs w:val="24"/>
          </w:rPr>
          <w:t>https://sistemaviogen.ses.mir.es/publico/viogen</w:t>
        </w:r>
      </w:hyperlink>
    </w:p>
    <w:p w14:paraId="37DD8E8A" w14:textId="77777777" w:rsidR="000E51B0" w:rsidRPr="000E6594" w:rsidRDefault="000E51B0" w:rsidP="000E6594">
      <w:pPr>
        <w:spacing w:line="360" w:lineRule="auto"/>
        <w:ind w:left="720" w:hanging="720"/>
        <w:jc w:val="both"/>
        <w:rPr>
          <w:rFonts w:cs="Calibri"/>
        </w:rPr>
      </w:pPr>
      <w:r w:rsidRPr="000E6594">
        <w:rPr>
          <w:rFonts w:cs="Calibri"/>
          <w:sz w:val="24"/>
          <w:szCs w:val="24"/>
        </w:rPr>
        <w:lastRenderedPageBreak/>
        <w:t xml:space="preserve">Tardón Recio, B. (2022). Todo es mentira: cultura de la violación, mitos y falsas creencias sobre violencia sexual hacia las mujeres. </w:t>
      </w:r>
      <w:r w:rsidRPr="000E6594">
        <w:rPr>
          <w:rFonts w:cs="Calibri"/>
          <w:i/>
          <w:iCs/>
          <w:sz w:val="24"/>
          <w:szCs w:val="24"/>
        </w:rPr>
        <w:t>Política y Sociedad, 59</w:t>
      </w:r>
      <w:r w:rsidRPr="000E6594">
        <w:rPr>
          <w:rFonts w:cs="Calibri"/>
          <w:sz w:val="24"/>
          <w:szCs w:val="24"/>
        </w:rPr>
        <w:t xml:space="preserve">(1), e78892. </w:t>
      </w:r>
      <w:hyperlink r:id="rId76" w:history="1">
        <w:r w:rsidRPr="000E6594">
          <w:rPr>
            <w:rStyle w:val="Hipervnculo"/>
            <w:rFonts w:cs="Calibri"/>
            <w:sz w:val="24"/>
            <w:szCs w:val="24"/>
          </w:rPr>
          <w:t>https://doi.org/10.5209/poso.78892</w:t>
        </w:r>
      </w:hyperlink>
    </w:p>
    <w:p w14:paraId="49B21A3A" w14:textId="77777777" w:rsidR="000E51B0" w:rsidRPr="000E6594" w:rsidRDefault="000E51B0" w:rsidP="000E6594">
      <w:pPr>
        <w:spacing w:line="360" w:lineRule="auto"/>
        <w:ind w:left="720" w:hanging="720"/>
        <w:jc w:val="both"/>
        <w:rPr>
          <w:rFonts w:cs="Calibri"/>
        </w:rPr>
      </w:pPr>
      <w:proofErr w:type="spellStart"/>
      <w:r w:rsidRPr="000E6594">
        <w:rPr>
          <w:rFonts w:cs="Calibri"/>
          <w:sz w:val="24"/>
          <w:szCs w:val="24"/>
        </w:rPr>
        <w:t>Valdecantos</w:t>
      </w:r>
      <w:proofErr w:type="spellEnd"/>
      <w:r w:rsidRPr="000E6594">
        <w:rPr>
          <w:rFonts w:cs="Calibri"/>
          <w:sz w:val="24"/>
          <w:szCs w:val="24"/>
        </w:rPr>
        <w:t xml:space="preserve">, D. (2025, 3 de febrero). ¿Cómo afecta a una víctima de violencia la exposición mediática y el juicio social? </w:t>
      </w:r>
      <w:r w:rsidRPr="000E6594">
        <w:rPr>
          <w:rFonts w:cs="Calibri"/>
          <w:i/>
          <w:iCs/>
          <w:sz w:val="24"/>
          <w:szCs w:val="24"/>
        </w:rPr>
        <w:t>Artículo 14</w:t>
      </w:r>
      <w:r w:rsidRPr="000E6594">
        <w:rPr>
          <w:rFonts w:cs="Calibri"/>
          <w:sz w:val="24"/>
          <w:szCs w:val="24"/>
        </w:rPr>
        <w:t xml:space="preserve">. </w:t>
      </w:r>
      <w:hyperlink r:id="rId77" w:history="1">
        <w:r w:rsidRPr="000E6594">
          <w:rPr>
            <w:rStyle w:val="Hipervnculo"/>
            <w:rFonts w:cs="Calibri"/>
            <w:sz w:val="24"/>
            <w:szCs w:val="24"/>
          </w:rPr>
          <w:t>https://www.articulo14.es/violencia-contra-las-mujeres/como-afecta-a-una-victima-de-violencia-la-exposicion-mediatica-y-el-juicio-social-20250203.html</w:t>
        </w:r>
      </w:hyperlink>
    </w:p>
    <w:p w14:paraId="50A4F198" w14:textId="77777777" w:rsidR="000E51B0" w:rsidRPr="000E6594" w:rsidRDefault="000E51B0" w:rsidP="000E6594">
      <w:pPr>
        <w:spacing w:line="360" w:lineRule="auto"/>
        <w:ind w:left="720" w:hanging="720"/>
        <w:jc w:val="both"/>
        <w:rPr>
          <w:rFonts w:cs="Calibri"/>
        </w:rPr>
      </w:pPr>
      <w:r w:rsidRPr="000E6594">
        <w:rPr>
          <w:rFonts w:cs="Calibri"/>
          <w:sz w:val="24"/>
          <w:szCs w:val="24"/>
        </w:rPr>
        <w:t xml:space="preserve">Viteri Torres, W., Herrera Vargas, Z., y </w:t>
      </w:r>
      <w:proofErr w:type="spellStart"/>
      <w:r w:rsidRPr="000E6594">
        <w:rPr>
          <w:rFonts w:cs="Calibri"/>
          <w:sz w:val="24"/>
          <w:szCs w:val="24"/>
        </w:rPr>
        <w:t>Faconda</w:t>
      </w:r>
      <w:proofErr w:type="spellEnd"/>
      <w:r w:rsidRPr="000E6594">
        <w:rPr>
          <w:rFonts w:cs="Calibri"/>
          <w:sz w:val="24"/>
          <w:szCs w:val="24"/>
        </w:rPr>
        <w:t xml:space="preserve"> Lalangui, K. (2024). Convergencia mediática en la producción periodística en tiempos de pandemia Covid-19. </w:t>
      </w:r>
      <w:r w:rsidRPr="000E6594">
        <w:rPr>
          <w:rFonts w:cs="Calibri"/>
          <w:i/>
          <w:iCs/>
          <w:sz w:val="24"/>
          <w:szCs w:val="24"/>
        </w:rPr>
        <w:t>Ciencia Latina Revista Científica Multidisciplinar, 8</w:t>
      </w:r>
      <w:r w:rsidRPr="000E6594">
        <w:rPr>
          <w:rFonts w:cs="Calibri"/>
          <w:sz w:val="24"/>
          <w:szCs w:val="24"/>
        </w:rPr>
        <w:t xml:space="preserve">(1), 7515–7535. </w:t>
      </w:r>
      <w:hyperlink r:id="rId78" w:history="1">
        <w:r w:rsidRPr="000E6594">
          <w:rPr>
            <w:rStyle w:val="Hipervnculo"/>
            <w:rFonts w:cs="Calibri"/>
            <w:sz w:val="24"/>
            <w:szCs w:val="24"/>
          </w:rPr>
          <w:t>https://doi.org/10.37811/cl_rcm.v8i1.10085</w:t>
        </w:r>
      </w:hyperlink>
    </w:p>
    <w:p w14:paraId="4CF19128" w14:textId="77777777" w:rsidR="000E51B0" w:rsidRPr="000E6594" w:rsidRDefault="000E51B0" w:rsidP="000E6594">
      <w:pPr>
        <w:spacing w:after="100" w:line="360" w:lineRule="auto"/>
        <w:ind w:firstLine="340"/>
        <w:jc w:val="both"/>
        <w:textAlignment w:val="baseline"/>
        <w:rPr>
          <w:rFonts w:eastAsia="Times New Roman" w:cs="Calibri"/>
          <w:color w:val="000000"/>
          <w:sz w:val="24"/>
          <w:szCs w:val="24"/>
          <w:lang w:eastAsia="es-ES"/>
        </w:rPr>
      </w:pPr>
    </w:p>
    <w:p w14:paraId="3DEC98EC" w14:textId="5AF0C3C9" w:rsidR="007336CE" w:rsidRPr="000E6594" w:rsidRDefault="007336CE" w:rsidP="000E6594">
      <w:pPr>
        <w:spacing w:line="360" w:lineRule="auto"/>
        <w:rPr>
          <w:rFonts w:cs="Calibri"/>
          <w:b/>
          <w:sz w:val="28"/>
          <w:szCs w:val="28"/>
        </w:rPr>
      </w:pPr>
    </w:p>
    <w:p w14:paraId="1D21CAD6" w14:textId="77777777" w:rsidR="007336CE" w:rsidRPr="0019062D" w:rsidRDefault="007336CE">
      <w:pPr>
        <w:rPr>
          <w:b/>
          <w:sz w:val="28"/>
          <w:szCs w:val="28"/>
        </w:rPr>
      </w:pPr>
    </w:p>
    <w:sectPr w:rsidR="007336CE" w:rsidRPr="0019062D">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4E33E" w14:textId="77777777" w:rsidR="00C931F4" w:rsidRDefault="00C931F4">
      <w:pPr>
        <w:spacing w:after="0" w:line="240" w:lineRule="auto"/>
      </w:pPr>
      <w:r>
        <w:separator/>
      </w:r>
    </w:p>
  </w:endnote>
  <w:endnote w:type="continuationSeparator" w:id="0">
    <w:p w14:paraId="6029592E" w14:textId="77777777" w:rsidR="00C931F4" w:rsidRDefault="00C93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8815B" w14:textId="77777777" w:rsidR="00C931F4" w:rsidRDefault="00C931F4">
      <w:pPr>
        <w:spacing w:after="0" w:line="240" w:lineRule="auto"/>
      </w:pPr>
      <w:r>
        <w:rPr>
          <w:color w:val="000000"/>
        </w:rPr>
        <w:separator/>
      </w:r>
    </w:p>
  </w:footnote>
  <w:footnote w:type="continuationSeparator" w:id="0">
    <w:p w14:paraId="1B5958CC" w14:textId="77777777" w:rsidR="00C931F4" w:rsidRDefault="00C931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B3FC8"/>
    <w:multiLevelType w:val="multilevel"/>
    <w:tmpl w:val="2246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B86395"/>
    <w:multiLevelType w:val="hybridMultilevel"/>
    <w:tmpl w:val="3CE0F10A"/>
    <w:lvl w:ilvl="0" w:tplc="887A4FFE">
      <w:start w:val="2"/>
      <w:numFmt w:val="bullet"/>
      <w:lvlText w:val="-"/>
      <w:lvlJc w:val="left"/>
      <w:pPr>
        <w:ind w:left="720" w:hanging="360"/>
      </w:pPr>
      <w:rPr>
        <w:rFonts w:ascii="Calibri" w:eastAsia="Times New Roman" w:hAnsi="Calibri" w:cs="Calibri" w:hint="default"/>
        <w:color w:val="000000"/>
        <w:sz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5143535"/>
    <w:multiLevelType w:val="multilevel"/>
    <w:tmpl w:val="DF94BC3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AF376A6"/>
    <w:multiLevelType w:val="hybridMultilevel"/>
    <w:tmpl w:val="1E6EED02"/>
    <w:lvl w:ilvl="0" w:tplc="32A44E42">
      <w:start w:val="1"/>
      <w:numFmt w:val="bullet"/>
      <w:lvlText w:val="-"/>
      <w:lvlJc w:val="left"/>
      <w:pPr>
        <w:ind w:left="360" w:hanging="360"/>
      </w:pPr>
      <w:rPr>
        <w:rFonts w:ascii="Tahoma" w:hAnsi="Tahoma"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368A137E"/>
    <w:multiLevelType w:val="multilevel"/>
    <w:tmpl w:val="F2F43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3E45D9"/>
    <w:multiLevelType w:val="hybridMultilevel"/>
    <w:tmpl w:val="B9766E8C"/>
    <w:lvl w:ilvl="0" w:tplc="0778F9AA">
      <w:start w:val="3"/>
      <w:numFmt w:val="bullet"/>
      <w:lvlText w:val="-"/>
      <w:lvlJc w:val="left"/>
      <w:pPr>
        <w:ind w:left="700" w:hanging="360"/>
      </w:pPr>
      <w:rPr>
        <w:rFonts w:ascii="Calibri" w:eastAsia="Times New Roman" w:hAnsi="Calibri" w:cs="Calibri" w:hint="default"/>
        <w:color w:val="000000"/>
        <w:sz w:val="24"/>
      </w:rPr>
    </w:lvl>
    <w:lvl w:ilvl="1" w:tplc="0C0A0003" w:tentative="1">
      <w:start w:val="1"/>
      <w:numFmt w:val="bullet"/>
      <w:lvlText w:val="o"/>
      <w:lvlJc w:val="left"/>
      <w:pPr>
        <w:ind w:left="1420" w:hanging="360"/>
      </w:pPr>
      <w:rPr>
        <w:rFonts w:ascii="Courier New" w:hAnsi="Courier New" w:cs="Courier New" w:hint="default"/>
      </w:rPr>
    </w:lvl>
    <w:lvl w:ilvl="2" w:tplc="0C0A0005" w:tentative="1">
      <w:start w:val="1"/>
      <w:numFmt w:val="bullet"/>
      <w:lvlText w:val=""/>
      <w:lvlJc w:val="left"/>
      <w:pPr>
        <w:ind w:left="2140" w:hanging="360"/>
      </w:pPr>
      <w:rPr>
        <w:rFonts w:ascii="Wingdings" w:hAnsi="Wingdings" w:hint="default"/>
      </w:rPr>
    </w:lvl>
    <w:lvl w:ilvl="3" w:tplc="0C0A0001" w:tentative="1">
      <w:start w:val="1"/>
      <w:numFmt w:val="bullet"/>
      <w:lvlText w:val=""/>
      <w:lvlJc w:val="left"/>
      <w:pPr>
        <w:ind w:left="2860" w:hanging="360"/>
      </w:pPr>
      <w:rPr>
        <w:rFonts w:ascii="Symbol" w:hAnsi="Symbol" w:hint="default"/>
      </w:rPr>
    </w:lvl>
    <w:lvl w:ilvl="4" w:tplc="0C0A0003" w:tentative="1">
      <w:start w:val="1"/>
      <w:numFmt w:val="bullet"/>
      <w:lvlText w:val="o"/>
      <w:lvlJc w:val="left"/>
      <w:pPr>
        <w:ind w:left="3580" w:hanging="360"/>
      </w:pPr>
      <w:rPr>
        <w:rFonts w:ascii="Courier New" w:hAnsi="Courier New" w:cs="Courier New" w:hint="default"/>
      </w:rPr>
    </w:lvl>
    <w:lvl w:ilvl="5" w:tplc="0C0A0005" w:tentative="1">
      <w:start w:val="1"/>
      <w:numFmt w:val="bullet"/>
      <w:lvlText w:val=""/>
      <w:lvlJc w:val="left"/>
      <w:pPr>
        <w:ind w:left="4300" w:hanging="360"/>
      </w:pPr>
      <w:rPr>
        <w:rFonts w:ascii="Wingdings" w:hAnsi="Wingdings" w:hint="default"/>
      </w:rPr>
    </w:lvl>
    <w:lvl w:ilvl="6" w:tplc="0C0A0001" w:tentative="1">
      <w:start w:val="1"/>
      <w:numFmt w:val="bullet"/>
      <w:lvlText w:val=""/>
      <w:lvlJc w:val="left"/>
      <w:pPr>
        <w:ind w:left="5020" w:hanging="360"/>
      </w:pPr>
      <w:rPr>
        <w:rFonts w:ascii="Symbol" w:hAnsi="Symbol" w:hint="default"/>
      </w:rPr>
    </w:lvl>
    <w:lvl w:ilvl="7" w:tplc="0C0A0003" w:tentative="1">
      <w:start w:val="1"/>
      <w:numFmt w:val="bullet"/>
      <w:lvlText w:val="o"/>
      <w:lvlJc w:val="left"/>
      <w:pPr>
        <w:ind w:left="5740" w:hanging="360"/>
      </w:pPr>
      <w:rPr>
        <w:rFonts w:ascii="Courier New" w:hAnsi="Courier New" w:cs="Courier New" w:hint="default"/>
      </w:rPr>
    </w:lvl>
    <w:lvl w:ilvl="8" w:tplc="0C0A0005" w:tentative="1">
      <w:start w:val="1"/>
      <w:numFmt w:val="bullet"/>
      <w:lvlText w:val=""/>
      <w:lvlJc w:val="left"/>
      <w:pPr>
        <w:ind w:left="6460" w:hanging="360"/>
      </w:pPr>
      <w:rPr>
        <w:rFonts w:ascii="Wingdings" w:hAnsi="Wingdings" w:hint="default"/>
      </w:rPr>
    </w:lvl>
  </w:abstractNum>
  <w:abstractNum w:abstractNumId="6" w15:restartNumberingAfterBreak="0">
    <w:nsid w:val="5FAE50B4"/>
    <w:multiLevelType w:val="multilevel"/>
    <w:tmpl w:val="978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9A37F3"/>
    <w:multiLevelType w:val="multilevel"/>
    <w:tmpl w:val="4B5C5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932AE2"/>
    <w:multiLevelType w:val="hybridMultilevel"/>
    <w:tmpl w:val="54C0C8BE"/>
    <w:lvl w:ilvl="0" w:tplc="0C0A000F">
      <w:start w:val="1"/>
      <w:numFmt w:val="decimal"/>
      <w:lvlText w:val="%1."/>
      <w:lvlJc w:val="left"/>
      <w:pPr>
        <w:ind w:left="720" w:hanging="360"/>
      </w:pPr>
      <w:rPr>
        <w:rFonts w:eastAsia="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863401182">
    <w:abstractNumId w:val="2"/>
  </w:num>
  <w:num w:numId="2" w16cid:durableId="102111160">
    <w:abstractNumId w:val="3"/>
  </w:num>
  <w:num w:numId="3" w16cid:durableId="358747712">
    <w:abstractNumId w:val="0"/>
  </w:num>
  <w:num w:numId="4" w16cid:durableId="2093967236">
    <w:abstractNumId w:val="4"/>
  </w:num>
  <w:num w:numId="5" w16cid:durableId="721057631">
    <w:abstractNumId w:val="6"/>
  </w:num>
  <w:num w:numId="6" w16cid:durableId="923074988">
    <w:abstractNumId w:val="7"/>
  </w:num>
  <w:num w:numId="7" w16cid:durableId="1318924854">
    <w:abstractNumId w:val="5"/>
  </w:num>
  <w:num w:numId="8" w16cid:durableId="1320646558">
    <w:abstractNumId w:val="1"/>
  </w:num>
  <w:num w:numId="9" w16cid:durableId="740326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E00"/>
    <w:rsid w:val="00004C76"/>
    <w:rsid w:val="000121CF"/>
    <w:rsid w:val="000258D6"/>
    <w:rsid w:val="00042945"/>
    <w:rsid w:val="00062B17"/>
    <w:rsid w:val="00062E91"/>
    <w:rsid w:val="00063054"/>
    <w:rsid w:val="00071A8A"/>
    <w:rsid w:val="00075FA4"/>
    <w:rsid w:val="00080DFE"/>
    <w:rsid w:val="00090E26"/>
    <w:rsid w:val="0009181B"/>
    <w:rsid w:val="000C582F"/>
    <w:rsid w:val="000C7F56"/>
    <w:rsid w:val="000D3BA6"/>
    <w:rsid w:val="000D4F2F"/>
    <w:rsid w:val="000E312A"/>
    <w:rsid w:val="000E4860"/>
    <w:rsid w:val="000E51B0"/>
    <w:rsid w:val="000E6594"/>
    <w:rsid w:val="000E6942"/>
    <w:rsid w:val="000F4371"/>
    <w:rsid w:val="000F4636"/>
    <w:rsid w:val="000F4F4D"/>
    <w:rsid w:val="000F6F7C"/>
    <w:rsid w:val="00105C00"/>
    <w:rsid w:val="001226D4"/>
    <w:rsid w:val="001242C7"/>
    <w:rsid w:val="00140A57"/>
    <w:rsid w:val="00140D41"/>
    <w:rsid w:val="00160066"/>
    <w:rsid w:val="00160ECE"/>
    <w:rsid w:val="00183F67"/>
    <w:rsid w:val="001848FD"/>
    <w:rsid w:val="0019062D"/>
    <w:rsid w:val="00193585"/>
    <w:rsid w:val="001A1E6C"/>
    <w:rsid w:val="001A398A"/>
    <w:rsid w:val="001B12BA"/>
    <w:rsid w:val="001C0E0F"/>
    <w:rsid w:val="001C401D"/>
    <w:rsid w:val="001D0E4D"/>
    <w:rsid w:val="001E3C8D"/>
    <w:rsid w:val="001F106C"/>
    <w:rsid w:val="00200CDD"/>
    <w:rsid w:val="00207ECA"/>
    <w:rsid w:val="0021447D"/>
    <w:rsid w:val="00226F72"/>
    <w:rsid w:val="0023288E"/>
    <w:rsid w:val="00245B14"/>
    <w:rsid w:val="00264046"/>
    <w:rsid w:val="00266245"/>
    <w:rsid w:val="0027639B"/>
    <w:rsid w:val="00280AE5"/>
    <w:rsid w:val="00281701"/>
    <w:rsid w:val="002871A0"/>
    <w:rsid w:val="00293830"/>
    <w:rsid w:val="002944B2"/>
    <w:rsid w:val="002A5A63"/>
    <w:rsid w:val="002A5E29"/>
    <w:rsid w:val="002B42DE"/>
    <w:rsid w:val="002C5F4C"/>
    <w:rsid w:val="002D44E3"/>
    <w:rsid w:val="002D45FC"/>
    <w:rsid w:val="002D6267"/>
    <w:rsid w:val="002E1A19"/>
    <w:rsid w:val="002F7266"/>
    <w:rsid w:val="003145D9"/>
    <w:rsid w:val="00320F77"/>
    <w:rsid w:val="00334B5D"/>
    <w:rsid w:val="003356D6"/>
    <w:rsid w:val="00345A2E"/>
    <w:rsid w:val="00351730"/>
    <w:rsid w:val="00352E25"/>
    <w:rsid w:val="003631CA"/>
    <w:rsid w:val="00365517"/>
    <w:rsid w:val="003724F4"/>
    <w:rsid w:val="00374105"/>
    <w:rsid w:val="003747BC"/>
    <w:rsid w:val="003748D2"/>
    <w:rsid w:val="0037600D"/>
    <w:rsid w:val="00380A70"/>
    <w:rsid w:val="00381DCC"/>
    <w:rsid w:val="003919E1"/>
    <w:rsid w:val="003958FD"/>
    <w:rsid w:val="003A033B"/>
    <w:rsid w:val="003A155F"/>
    <w:rsid w:val="003A57B9"/>
    <w:rsid w:val="003B4559"/>
    <w:rsid w:val="003B78D2"/>
    <w:rsid w:val="003C19A3"/>
    <w:rsid w:val="003C3538"/>
    <w:rsid w:val="003D0DBB"/>
    <w:rsid w:val="003D6867"/>
    <w:rsid w:val="003E3219"/>
    <w:rsid w:val="003E4BF0"/>
    <w:rsid w:val="00424443"/>
    <w:rsid w:val="00426E03"/>
    <w:rsid w:val="004353D0"/>
    <w:rsid w:val="00436522"/>
    <w:rsid w:val="004419EB"/>
    <w:rsid w:val="004421F9"/>
    <w:rsid w:val="00450D0A"/>
    <w:rsid w:val="00461C14"/>
    <w:rsid w:val="00466491"/>
    <w:rsid w:val="00467AC5"/>
    <w:rsid w:val="004729CF"/>
    <w:rsid w:val="00481709"/>
    <w:rsid w:val="004820E2"/>
    <w:rsid w:val="00483D65"/>
    <w:rsid w:val="0048619B"/>
    <w:rsid w:val="004955E4"/>
    <w:rsid w:val="004C7F9A"/>
    <w:rsid w:val="004F0245"/>
    <w:rsid w:val="004F558C"/>
    <w:rsid w:val="00511DD0"/>
    <w:rsid w:val="00512991"/>
    <w:rsid w:val="0051468B"/>
    <w:rsid w:val="00523D09"/>
    <w:rsid w:val="00524327"/>
    <w:rsid w:val="00530BCC"/>
    <w:rsid w:val="00535616"/>
    <w:rsid w:val="0054050D"/>
    <w:rsid w:val="005446A1"/>
    <w:rsid w:val="00554A55"/>
    <w:rsid w:val="00571B0C"/>
    <w:rsid w:val="005726B7"/>
    <w:rsid w:val="00575192"/>
    <w:rsid w:val="00577893"/>
    <w:rsid w:val="005853BD"/>
    <w:rsid w:val="005959EC"/>
    <w:rsid w:val="005B48DC"/>
    <w:rsid w:val="005C0082"/>
    <w:rsid w:val="005C26EB"/>
    <w:rsid w:val="005F3702"/>
    <w:rsid w:val="005F6763"/>
    <w:rsid w:val="00611D3D"/>
    <w:rsid w:val="00612995"/>
    <w:rsid w:val="00616222"/>
    <w:rsid w:val="00621939"/>
    <w:rsid w:val="006258D3"/>
    <w:rsid w:val="00647E00"/>
    <w:rsid w:val="00652264"/>
    <w:rsid w:val="00657015"/>
    <w:rsid w:val="00672270"/>
    <w:rsid w:val="00672B12"/>
    <w:rsid w:val="006852FC"/>
    <w:rsid w:val="006B4093"/>
    <w:rsid w:val="006C7451"/>
    <w:rsid w:val="006D4532"/>
    <w:rsid w:val="006E2F92"/>
    <w:rsid w:val="006E3C7B"/>
    <w:rsid w:val="006F2798"/>
    <w:rsid w:val="00704510"/>
    <w:rsid w:val="00704D09"/>
    <w:rsid w:val="00713BC2"/>
    <w:rsid w:val="007336CE"/>
    <w:rsid w:val="0073796B"/>
    <w:rsid w:val="00740185"/>
    <w:rsid w:val="00742554"/>
    <w:rsid w:val="00742980"/>
    <w:rsid w:val="00751FD9"/>
    <w:rsid w:val="00756B71"/>
    <w:rsid w:val="00764337"/>
    <w:rsid w:val="00764E02"/>
    <w:rsid w:val="00771623"/>
    <w:rsid w:val="00771E36"/>
    <w:rsid w:val="00771FE0"/>
    <w:rsid w:val="00783368"/>
    <w:rsid w:val="00791FF2"/>
    <w:rsid w:val="007925DC"/>
    <w:rsid w:val="00796815"/>
    <w:rsid w:val="007A2DE1"/>
    <w:rsid w:val="007A441E"/>
    <w:rsid w:val="007B7CFA"/>
    <w:rsid w:val="007C63F9"/>
    <w:rsid w:val="007D21ED"/>
    <w:rsid w:val="007D2467"/>
    <w:rsid w:val="008125BF"/>
    <w:rsid w:val="00821023"/>
    <w:rsid w:val="0085127A"/>
    <w:rsid w:val="0087061B"/>
    <w:rsid w:val="0087615C"/>
    <w:rsid w:val="0087775F"/>
    <w:rsid w:val="00890DFE"/>
    <w:rsid w:val="008971C2"/>
    <w:rsid w:val="008A2282"/>
    <w:rsid w:val="008A2553"/>
    <w:rsid w:val="008D74B6"/>
    <w:rsid w:val="008F4979"/>
    <w:rsid w:val="009007E3"/>
    <w:rsid w:val="0090223C"/>
    <w:rsid w:val="00930F7A"/>
    <w:rsid w:val="009326BC"/>
    <w:rsid w:val="00932B02"/>
    <w:rsid w:val="00934D04"/>
    <w:rsid w:val="0093663E"/>
    <w:rsid w:val="00946119"/>
    <w:rsid w:val="00961B64"/>
    <w:rsid w:val="00965DE9"/>
    <w:rsid w:val="009664C7"/>
    <w:rsid w:val="00970962"/>
    <w:rsid w:val="00985EEA"/>
    <w:rsid w:val="00992948"/>
    <w:rsid w:val="00992C51"/>
    <w:rsid w:val="009A188D"/>
    <w:rsid w:val="009A7BAE"/>
    <w:rsid w:val="009B0B19"/>
    <w:rsid w:val="009B2F61"/>
    <w:rsid w:val="009D2C9A"/>
    <w:rsid w:val="009D2D40"/>
    <w:rsid w:val="009D5BC9"/>
    <w:rsid w:val="009E310E"/>
    <w:rsid w:val="00A06C62"/>
    <w:rsid w:val="00A06CDA"/>
    <w:rsid w:val="00A1342D"/>
    <w:rsid w:val="00A2429D"/>
    <w:rsid w:val="00A32825"/>
    <w:rsid w:val="00A32DCE"/>
    <w:rsid w:val="00A4027F"/>
    <w:rsid w:val="00A41B34"/>
    <w:rsid w:val="00A46D63"/>
    <w:rsid w:val="00A51920"/>
    <w:rsid w:val="00A53B56"/>
    <w:rsid w:val="00A553BA"/>
    <w:rsid w:val="00A73119"/>
    <w:rsid w:val="00A80421"/>
    <w:rsid w:val="00A81B61"/>
    <w:rsid w:val="00AB17AC"/>
    <w:rsid w:val="00AB38B6"/>
    <w:rsid w:val="00AC37CE"/>
    <w:rsid w:val="00AD0567"/>
    <w:rsid w:val="00AD1DBD"/>
    <w:rsid w:val="00AE19B5"/>
    <w:rsid w:val="00AE373A"/>
    <w:rsid w:val="00AE379B"/>
    <w:rsid w:val="00AE45AB"/>
    <w:rsid w:val="00AF150D"/>
    <w:rsid w:val="00AF4A89"/>
    <w:rsid w:val="00B0398A"/>
    <w:rsid w:val="00B03ACC"/>
    <w:rsid w:val="00B07F2D"/>
    <w:rsid w:val="00B20921"/>
    <w:rsid w:val="00B233D2"/>
    <w:rsid w:val="00B30E0D"/>
    <w:rsid w:val="00B310D6"/>
    <w:rsid w:val="00B326E1"/>
    <w:rsid w:val="00B3281F"/>
    <w:rsid w:val="00B520C6"/>
    <w:rsid w:val="00B55F53"/>
    <w:rsid w:val="00B70297"/>
    <w:rsid w:val="00B90A5F"/>
    <w:rsid w:val="00B93E25"/>
    <w:rsid w:val="00BB592C"/>
    <w:rsid w:val="00BC3439"/>
    <w:rsid w:val="00BD3A71"/>
    <w:rsid w:val="00BE027E"/>
    <w:rsid w:val="00BF4330"/>
    <w:rsid w:val="00BF4B36"/>
    <w:rsid w:val="00C03EA7"/>
    <w:rsid w:val="00C05EDF"/>
    <w:rsid w:val="00C4373C"/>
    <w:rsid w:val="00C57EB4"/>
    <w:rsid w:val="00C66BCC"/>
    <w:rsid w:val="00C849FE"/>
    <w:rsid w:val="00C931F4"/>
    <w:rsid w:val="00C967A6"/>
    <w:rsid w:val="00C97C4B"/>
    <w:rsid w:val="00CD39EF"/>
    <w:rsid w:val="00CF5412"/>
    <w:rsid w:val="00CF5DF4"/>
    <w:rsid w:val="00D224E6"/>
    <w:rsid w:val="00D23018"/>
    <w:rsid w:val="00D230D3"/>
    <w:rsid w:val="00D2434B"/>
    <w:rsid w:val="00D26AB5"/>
    <w:rsid w:val="00D31FDB"/>
    <w:rsid w:val="00D33AA6"/>
    <w:rsid w:val="00D47818"/>
    <w:rsid w:val="00D52086"/>
    <w:rsid w:val="00D64DED"/>
    <w:rsid w:val="00D667BC"/>
    <w:rsid w:val="00D8395D"/>
    <w:rsid w:val="00D862C8"/>
    <w:rsid w:val="00D91F31"/>
    <w:rsid w:val="00D92367"/>
    <w:rsid w:val="00DB66E3"/>
    <w:rsid w:val="00DB6C6B"/>
    <w:rsid w:val="00DC1116"/>
    <w:rsid w:val="00DC462E"/>
    <w:rsid w:val="00DD22F3"/>
    <w:rsid w:val="00DD53FD"/>
    <w:rsid w:val="00DE0569"/>
    <w:rsid w:val="00DF1CB3"/>
    <w:rsid w:val="00DF4730"/>
    <w:rsid w:val="00E16E44"/>
    <w:rsid w:val="00E17356"/>
    <w:rsid w:val="00E21AB1"/>
    <w:rsid w:val="00E32621"/>
    <w:rsid w:val="00E577D8"/>
    <w:rsid w:val="00E61B64"/>
    <w:rsid w:val="00E61D85"/>
    <w:rsid w:val="00E80407"/>
    <w:rsid w:val="00E838D2"/>
    <w:rsid w:val="00E8520E"/>
    <w:rsid w:val="00E856AA"/>
    <w:rsid w:val="00E859F1"/>
    <w:rsid w:val="00EA1571"/>
    <w:rsid w:val="00EB3826"/>
    <w:rsid w:val="00EB4D8C"/>
    <w:rsid w:val="00EC5171"/>
    <w:rsid w:val="00EC62AD"/>
    <w:rsid w:val="00EE18A9"/>
    <w:rsid w:val="00EE3344"/>
    <w:rsid w:val="00EF145B"/>
    <w:rsid w:val="00EF4B49"/>
    <w:rsid w:val="00F04371"/>
    <w:rsid w:val="00F05B4F"/>
    <w:rsid w:val="00F05C54"/>
    <w:rsid w:val="00F1194E"/>
    <w:rsid w:val="00F3148A"/>
    <w:rsid w:val="00F31BD7"/>
    <w:rsid w:val="00F34B81"/>
    <w:rsid w:val="00F51A4C"/>
    <w:rsid w:val="00F55F3B"/>
    <w:rsid w:val="00F61D04"/>
    <w:rsid w:val="00F74A59"/>
    <w:rsid w:val="00F8587A"/>
    <w:rsid w:val="00FA07EC"/>
    <w:rsid w:val="00FA59F3"/>
    <w:rsid w:val="00FA7BDA"/>
    <w:rsid w:val="00FB4E10"/>
    <w:rsid w:val="00FC5AF7"/>
    <w:rsid w:val="00FD042F"/>
    <w:rsid w:val="00FD07A4"/>
    <w:rsid w:val="00FD3B96"/>
    <w:rsid w:val="00FE04BF"/>
    <w:rsid w:val="00FE30A9"/>
    <w:rsid w:val="00FE5A97"/>
    <w:rsid w:val="00FF06EC"/>
    <w:rsid w:val="00FF5659"/>
    <w:rsid w:val="00FF68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33E3E"/>
  <w15:docId w15:val="{1633C3E5-5589-4FB5-9ABB-4C86B1C15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s-ES"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paragraph" w:styleId="Ttulo1">
    <w:name w:val="heading 1"/>
    <w:basedOn w:val="Normal"/>
    <w:next w:val="Normal"/>
    <w:link w:val="Ttulo1Car"/>
    <w:uiPriority w:val="9"/>
    <w:qFormat/>
    <w:rsid w:val="0046649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37410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245B1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37410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100" w:after="100" w:line="240" w:lineRule="auto"/>
    </w:pPr>
    <w:rPr>
      <w:rFonts w:ascii="Times New Roman" w:eastAsia="Times New Roman" w:hAnsi="Times New Roman"/>
      <w:sz w:val="24"/>
      <w:szCs w:val="24"/>
      <w:lang w:eastAsia="es-ES"/>
    </w:rPr>
  </w:style>
  <w:style w:type="paragraph" w:customStyle="1" w:styleId="paragraph">
    <w:name w:val="paragraph"/>
    <w:basedOn w:val="Normal"/>
    <w:pPr>
      <w:spacing w:before="100" w:after="100" w:line="240" w:lineRule="auto"/>
    </w:pPr>
    <w:rPr>
      <w:rFonts w:ascii="Times New Roman" w:eastAsia="Times New Roman" w:hAnsi="Times New Roman"/>
      <w:sz w:val="24"/>
      <w:szCs w:val="24"/>
      <w:lang w:eastAsia="es-ES"/>
    </w:rPr>
  </w:style>
  <w:style w:type="character" w:customStyle="1" w:styleId="wacimagecontainer">
    <w:name w:val="wacimagecontainer"/>
    <w:basedOn w:val="Fuentedeprrafopredeter"/>
  </w:style>
  <w:style w:type="character" w:customStyle="1" w:styleId="textrun">
    <w:name w:val="textrun"/>
    <w:basedOn w:val="Fuentedeprrafopredeter"/>
  </w:style>
  <w:style w:type="character" w:customStyle="1" w:styleId="normaltextrun">
    <w:name w:val="normaltextrun"/>
    <w:basedOn w:val="Fuentedeprrafopredeter"/>
  </w:style>
  <w:style w:type="character" w:customStyle="1" w:styleId="eop">
    <w:name w:val="eop"/>
    <w:basedOn w:val="Fuentedeprrafopredeter"/>
  </w:style>
  <w:style w:type="character" w:customStyle="1" w:styleId="pagebreakblob">
    <w:name w:val="pagebreakblob"/>
    <w:basedOn w:val="Fuentedeprrafopredeter"/>
  </w:style>
  <w:style w:type="character" w:customStyle="1" w:styleId="pagebreaktextspan">
    <w:name w:val="pagebreaktextspan"/>
    <w:basedOn w:val="Fuentedeprrafopredeter"/>
  </w:style>
  <w:style w:type="character" w:customStyle="1" w:styleId="pagebreakborderspan">
    <w:name w:val="pagebreakborderspan"/>
    <w:basedOn w:val="Fuentedeprrafopredeter"/>
  </w:style>
  <w:style w:type="character" w:styleId="Hipervnculo">
    <w:name w:val="Hyperlink"/>
    <w:basedOn w:val="Fuentedeprrafopredeter"/>
    <w:uiPriority w:val="99"/>
    <w:rPr>
      <w:color w:val="0000FF"/>
      <w:u w:val="single"/>
    </w:rPr>
  </w:style>
  <w:style w:type="character" w:styleId="Hipervnculovisitado">
    <w:name w:val="FollowedHyperlink"/>
    <w:basedOn w:val="Fuentedeprrafopredeter"/>
    <w:rPr>
      <w:color w:val="800080"/>
      <w:u w:val="single"/>
    </w:rPr>
  </w:style>
  <w:style w:type="paragraph" w:styleId="Prrafodelista">
    <w:name w:val="List Paragraph"/>
    <w:basedOn w:val="Normal"/>
    <w:pPr>
      <w:ind w:left="720"/>
    </w:pPr>
  </w:style>
  <w:style w:type="character" w:styleId="Refdecomentario">
    <w:name w:val="annotation reference"/>
    <w:basedOn w:val="Fuentedeprrafopredeter"/>
    <w:uiPriority w:val="99"/>
    <w:semiHidden/>
    <w:unhideWhenUsed/>
    <w:rsid w:val="00461C14"/>
    <w:rPr>
      <w:sz w:val="16"/>
      <w:szCs w:val="16"/>
    </w:rPr>
  </w:style>
  <w:style w:type="paragraph" w:styleId="Textocomentario">
    <w:name w:val="annotation text"/>
    <w:basedOn w:val="Normal"/>
    <w:link w:val="TextocomentarioCar"/>
    <w:uiPriority w:val="99"/>
    <w:unhideWhenUsed/>
    <w:rsid w:val="00461C14"/>
    <w:pPr>
      <w:spacing w:line="240" w:lineRule="auto"/>
    </w:pPr>
    <w:rPr>
      <w:sz w:val="20"/>
      <w:szCs w:val="20"/>
    </w:rPr>
  </w:style>
  <w:style w:type="character" w:customStyle="1" w:styleId="TextocomentarioCar">
    <w:name w:val="Texto comentario Car"/>
    <w:basedOn w:val="Fuentedeprrafopredeter"/>
    <w:link w:val="Textocomentario"/>
    <w:uiPriority w:val="99"/>
    <w:rsid w:val="00461C14"/>
    <w:rPr>
      <w:sz w:val="20"/>
      <w:szCs w:val="20"/>
    </w:rPr>
  </w:style>
  <w:style w:type="paragraph" w:styleId="Asuntodelcomentario">
    <w:name w:val="annotation subject"/>
    <w:basedOn w:val="Textocomentario"/>
    <w:next w:val="Textocomentario"/>
    <w:link w:val="AsuntodelcomentarioCar"/>
    <w:uiPriority w:val="99"/>
    <w:semiHidden/>
    <w:unhideWhenUsed/>
    <w:rsid w:val="00461C14"/>
    <w:rPr>
      <w:b/>
      <w:bCs/>
    </w:rPr>
  </w:style>
  <w:style w:type="character" w:customStyle="1" w:styleId="AsuntodelcomentarioCar">
    <w:name w:val="Asunto del comentario Car"/>
    <w:basedOn w:val="TextocomentarioCar"/>
    <w:link w:val="Asuntodelcomentario"/>
    <w:uiPriority w:val="99"/>
    <w:semiHidden/>
    <w:rsid w:val="00461C14"/>
    <w:rPr>
      <w:b/>
      <w:bCs/>
      <w:sz w:val="20"/>
      <w:szCs w:val="20"/>
    </w:rPr>
  </w:style>
  <w:style w:type="paragraph" w:styleId="Textodeglobo">
    <w:name w:val="Balloon Text"/>
    <w:basedOn w:val="Normal"/>
    <w:link w:val="TextodegloboCar"/>
    <w:uiPriority w:val="99"/>
    <w:semiHidden/>
    <w:unhideWhenUsed/>
    <w:rsid w:val="00461C1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61C14"/>
    <w:rPr>
      <w:rFonts w:ascii="Segoe UI" w:hAnsi="Segoe UI" w:cs="Segoe UI"/>
      <w:sz w:val="18"/>
      <w:szCs w:val="18"/>
    </w:rPr>
  </w:style>
  <w:style w:type="character" w:styleId="Mencinsinresolver">
    <w:name w:val="Unresolved Mention"/>
    <w:basedOn w:val="Fuentedeprrafopredeter"/>
    <w:uiPriority w:val="99"/>
    <w:semiHidden/>
    <w:unhideWhenUsed/>
    <w:rsid w:val="009D5BC9"/>
    <w:rPr>
      <w:color w:val="605E5C"/>
      <w:shd w:val="clear" w:color="auto" w:fill="E1DFDD"/>
    </w:rPr>
  </w:style>
  <w:style w:type="character" w:customStyle="1" w:styleId="Ttulo4Car">
    <w:name w:val="Título 4 Car"/>
    <w:basedOn w:val="Fuentedeprrafopredeter"/>
    <w:link w:val="Ttulo4"/>
    <w:uiPriority w:val="9"/>
    <w:rsid w:val="00374105"/>
    <w:rPr>
      <w:rFonts w:asciiTheme="majorHAnsi" w:eastAsiaTheme="majorEastAsia" w:hAnsiTheme="majorHAnsi" w:cstheme="majorBidi"/>
      <w:i/>
      <w:iCs/>
      <w:color w:val="2E74B5" w:themeColor="accent1" w:themeShade="BF"/>
    </w:rPr>
  </w:style>
  <w:style w:type="character" w:customStyle="1" w:styleId="Ttulo2Car">
    <w:name w:val="Título 2 Car"/>
    <w:basedOn w:val="Fuentedeprrafopredeter"/>
    <w:link w:val="Ttulo2"/>
    <w:uiPriority w:val="9"/>
    <w:rsid w:val="00374105"/>
    <w:rPr>
      <w:rFonts w:asciiTheme="majorHAnsi" w:eastAsiaTheme="majorEastAsia" w:hAnsiTheme="majorHAnsi" w:cstheme="majorBidi"/>
      <w:color w:val="2E74B5" w:themeColor="accent1" w:themeShade="BF"/>
      <w:sz w:val="26"/>
      <w:szCs w:val="26"/>
    </w:rPr>
  </w:style>
  <w:style w:type="paragraph" w:customStyle="1" w:styleId="font-claude-response-body">
    <w:name w:val="font-claude-response-body"/>
    <w:basedOn w:val="Normal"/>
    <w:rsid w:val="007A2DE1"/>
    <w:pPr>
      <w:suppressAutoHyphens w:val="0"/>
      <w:autoSpaceDN/>
      <w:spacing w:before="100" w:beforeAutospacing="1" w:after="100" w:afterAutospacing="1" w:line="240" w:lineRule="auto"/>
    </w:pPr>
    <w:rPr>
      <w:rFonts w:ascii="Times New Roman" w:eastAsia="Times New Roman" w:hAnsi="Times New Roman"/>
      <w:sz w:val="24"/>
      <w:szCs w:val="24"/>
      <w:lang w:eastAsia="es-ES"/>
    </w:rPr>
  </w:style>
  <w:style w:type="character" w:customStyle="1" w:styleId="inline-flex">
    <w:name w:val="inline-flex"/>
    <w:basedOn w:val="Fuentedeprrafopredeter"/>
    <w:rsid w:val="007A2DE1"/>
  </w:style>
  <w:style w:type="character" w:customStyle="1" w:styleId="text-nowrap">
    <w:name w:val="text-nowrap"/>
    <w:basedOn w:val="Fuentedeprrafopredeter"/>
    <w:rsid w:val="007A2DE1"/>
  </w:style>
  <w:style w:type="paragraph" w:styleId="Encabezado">
    <w:name w:val="header"/>
    <w:basedOn w:val="Normal"/>
    <w:link w:val="EncabezadoCar"/>
    <w:uiPriority w:val="99"/>
    <w:unhideWhenUsed/>
    <w:rsid w:val="00965D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5DE9"/>
  </w:style>
  <w:style w:type="paragraph" w:styleId="Piedepgina">
    <w:name w:val="footer"/>
    <w:basedOn w:val="Normal"/>
    <w:link w:val="PiedepginaCar"/>
    <w:uiPriority w:val="99"/>
    <w:unhideWhenUsed/>
    <w:rsid w:val="00965D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5DE9"/>
  </w:style>
  <w:style w:type="character" w:customStyle="1" w:styleId="Ttulo1Car">
    <w:name w:val="Título 1 Car"/>
    <w:basedOn w:val="Fuentedeprrafopredeter"/>
    <w:link w:val="Ttulo1"/>
    <w:uiPriority w:val="9"/>
    <w:rsid w:val="00466491"/>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466491"/>
    <w:pPr>
      <w:suppressAutoHyphens w:val="0"/>
      <w:autoSpaceDN/>
      <w:spacing w:line="259" w:lineRule="auto"/>
      <w:outlineLvl w:val="9"/>
    </w:pPr>
    <w:rPr>
      <w:lang w:eastAsia="es-ES"/>
    </w:rPr>
  </w:style>
  <w:style w:type="paragraph" w:styleId="TDC1">
    <w:name w:val="toc 1"/>
    <w:basedOn w:val="Normal"/>
    <w:next w:val="Normal"/>
    <w:autoRedefine/>
    <w:uiPriority w:val="39"/>
    <w:unhideWhenUsed/>
    <w:rsid w:val="00466491"/>
    <w:pPr>
      <w:spacing w:after="100"/>
    </w:pPr>
  </w:style>
  <w:style w:type="character" w:customStyle="1" w:styleId="Ttulo3Car">
    <w:name w:val="Título 3 Car"/>
    <w:basedOn w:val="Fuentedeprrafopredeter"/>
    <w:link w:val="Ttulo3"/>
    <w:uiPriority w:val="9"/>
    <w:rsid w:val="00245B14"/>
    <w:rPr>
      <w:rFonts w:asciiTheme="majorHAnsi" w:eastAsiaTheme="majorEastAsia" w:hAnsiTheme="majorHAnsi" w:cstheme="majorBidi"/>
      <w:color w:val="1F4D78" w:themeColor="accent1" w:themeShade="7F"/>
      <w:sz w:val="24"/>
      <w:szCs w:val="24"/>
    </w:rPr>
  </w:style>
  <w:style w:type="paragraph" w:styleId="TDC2">
    <w:name w:val="toc 2"/>
    <w:basedOn w:val="Normal"/>
    <w:next w:val="Normal"/>
    <w:autoRedefine/>
    <w:uiPriority w:val="39"/>
    <w:unhideWhenUsed/>
    <w:rsid w:val="007D2467"/>
    <w:pPr>
      <w:spacing w:after="100"/>
      <w:ind w:left="220"/>
    </w:pPr>
  </w:style>
  <w:style w:type="paragraph" w:styleId="TDC3">
    <w:name w:val="toc 3"/>
    <w:basedOn w:val="Normal"/>
    <w:next w:val="Normal"/>
    <w:autoRedefine/>
    <w:uiPriority w:val="39"/>
    <w:unhideWhenUsed/>
    <w:rsid w:val="007D246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8837958">
      <w:bodyDiv w:val="1"/>
      <w:marLeft w:val="0"/>
      <w:marRight w:val="0"/>
      <w:marTop w:val="0"/>
      <w:marBottom w:val="0"/>
      <w:divBdr>
        <w:top w:val="none" w:sz="0" w:space="0" w:color="auto"/>
        <w:left w:val="none" w:sz="0" w:space="0" w:color="auto"/>
        <w:bottom w:val="none" w:sz="0" w:space="0" w:color="auto"/>
        <w:right w:val="none" w:sz="0" w:space="0" w:color="auto"/>
      </w:divBdr>
      <w:divsChild>
        <w:div w:id="43220089">
          <w:marLeft w:val="0"/>
          <w:marRight w:val="0"/>
          <w:marTop w:val="0"/>
          <w:marBottom w:val="0"/>
          <w:divBdr>
            <w:top w:val="none" w:sz="0" w:space="0" w:color="auto"/>
            <w:left w:val="none" w:sz="0" w:space="0" w:color="auto"/>
            <w:bottom w:val="none" w:sz="0" w:space="0" w:color="auto"/>
            <w:right w:val="none" w:sz="0" w:space="0" w:color="auto"/>
          </w:divBdr>
        </w:div>
        <w:div w:id="338195648">
          <w:marLeft w:val="0"/>
          <w:marRight w:val="0"/>
          <w:marTop w:val="0"/>
          <w:marBottom w:val="0"/>
          <w:divBdr>
            <w:top w:val="none" w:sz="0" w:space="0" w:color="auto"/>
            <w:left w:val="none" w:sz="0" w:space="0" w:color="auto"/>
            <w:bottom w:val="none" w:sz="0" w:space="0" w:color="auto"/>
            <w:right w:val="none" w:sz="0" w:space="0" w:color="auto"/>
          </w:divBdr>
        </w:div>
        <w:div w:id="602566148">
          <w:marLeft w:val="0"/>
          <w:marRight w:val="0"/>
          <w:marTop w:val="0"/>
          <w:marBottom w:val="0"/>
          <w:divBdr>
            <w:top w:val="none" w:sz="0" w:space="0" w:color="auto"/>
            <w:left w:val="none" w:sz="0" w:space="0" w:color="auto"/>
            <w:bottom w:val="none" w:sz="0" w:space="0" w:color="auto"/>
            <w:right w:val="none" w:sz="0" w:space="0" w:color="auto"/>
          </w:divBdr>
        </w:div>
        <w:div w:id="754790232">
          <w:marLeft w:val="0"/>
          <w:marRight w:val="0"/>
          <w:marTop w:val="0"/>
          <w:marBottom w:val="0"/>
          <w:divBdr>
            <w:top w:val="none" w:sz="0" w:space="0" w:color="auto"/>
            <w:left w:val="none" w:sz="0" w:space="0" w:color="auto"/>
            <w:bottom w:val="none" w:sz="0" w:space="0" w:color="auto"/>
            <w:right w:val="none" w:sz="0" w:space="0" w:color="auto"/>
          </w:divBdr>
        </w:div>
        <w:div w:id="1880700029">
          <w:marLeft w:val="0"/>
          <w:marRight w:val="0"/>
          <w:marTop w:val="0"/>
          <w:marBottom w:val="0"/>
          <w:divBdr>
            <w:top w:val="none" w:sz="0" w:space="0" w:color="auto"/>
            <w:left w:val="none" w:sz="0" w:space="0" w:color="auto"/>
            <w:bottom w:val="none" w:sz="0" w:space="0" w:color="auto"/>
            <w:right w:val="none" w:sz="0" w:space="0" w:color="auto"/>
          </w:divBdr>
        </w:div>
      </w:divsChild>
    </w:div>
    <w:div w:id="1618683999">
      <w:bodyDiv w:val="1"/>
      <w:marLeft w:val="0"/>
      <w:marRight w:val="0"/>
      <w:marTop w:val="0"/>
      <w:marBottom w:val="0"/>
      <w:divBdr>
        <w:top w:val="none" w:sz="0" w:space="0" w:color="auto"/>
        <w:left w:val="none" w:sz="0" w:space="0" w:color="auto"/>
        <w:bottom w:val="none" w:sz="0" w:space="0" w:color="auto"/>
        <w:right w:val="none" w:sz="0" w:space="0" w:color="auto"/>
      </w:divBdr>
      <w:divsChild>
        <w:div w:id="689142109">
          <w:marLeft w:val="0"/>
          <w:marRight w:val="0"/>
          <w:marTop w:val="0"/>
          <w:marBottom w:val="0"/>
          <w:divBdr>
            <w:top w:val="none" w:sz="0" w:space="0" w:color="auto"/>
            <w:left w:val="none" w:sz="0" w:space="0" w:color="auto"/>
            <w:bottom w:val="none" w:sz="0" w:space="0" w:color="auto"/>
            <w:right w:val="none" w:sz="0" w:space="0" w:color="auto"/>
          </w:divBdr>
        </w:div>
        <w:div w:id="156914901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violenciagenero.igualdad.gob.es/wp-content/uploads/guiaVGConsejoAudiovisualAndalucia.pdf" TargetMode="External"/><Relationship Id="rId21" Type="http://schemas.openxmlformats.org/officeDocument/2006/relationships/hyperlink" Target="https://ojs.labcom-ifp.ubi.pt/ec/article/view/1429" TargetMode="External"/><Relationship Id="rId42" Type="http://schemas.openxmlformats.org/officeDocument/2006/relationships/hyperlink" Target="https://www.boe.es/eli/es/lo/2022/09/06/10" TargetMode="External"/><Relationship Id="rId47" Type="http://schemas.openxmlformats.org/officeDocument/2006/relationships/hyperlink" Target="https://www.palermo.edu/derecho/publicaciones/coleccion-ciencias-juridicas/Sociologia-juridica_12.pdf" TargetMode="External"/><Relationship Id="rId63" Type="http://schemas.openxmlformats.org/officeDocument/2006/relationships/hyperlink" Target="https://iris.who.int/handle/10665/98821" TargetMode="External"/><Relationship Id="rId68" Type="http://schemas.openxmlformats.org/officeDocument/2006/relationships/hyperlink" Target="https://revistas.upch.edu.pe/index.php/RMH/article/view/4343" TargetMode="External"/><Relationship Id="rId16" Type="http://schemas.openxmlformats.org/officeDocument/2006/relationships/hyperlink" Target="https://repositori.upf.edu/server/api/core/bitstreams/676a64d3-5949-4874-bcde-62320e5d9dc9/content" TargetMode="External"/><Relationship Id="rId11" Type="http://schemas.openxmlformats.org/officeDocument/2006/relationships/hyperlink" Target="https://www.aepd.es/documento/protocolo-viol-gen-digital-la-rioja.pdf" TargetMode="External"/><Relationship Id="rId24" Type="http://schemas.openxmlformats.org/officeDocument/2006/relationships/hyperlink" Target="https://www.cnmc.es/prensa/panel-usos-internet-servicios-ott-20250530" TargetMode="External"/><Relationship Id="rId32" Type="http://schemas.openxmlformats.org/officeDocument/2006/relationships/hyperlink" Target="https://doi.org/10.51249/gei02.02.2021.219" TargetMode="External"/><Relationship Id="rId37" Type="http://schemas.openxmlformats.org/officeDocument/2006/relationships/hyperlink" Target="https://www.boe.es/eli/es/lo/1982/05/05/1/con" TargetMode="External"/><Relationship Id="rId40" Type="http://schemas.openxmlformats.org/officeDocument/2006/relationships/hyperlink" Target="https://www.boe.es/eli/es/l/2021/03/24/1" TargetMode="External"/><Relationship Id="rId45" Type="http://schemas.openxmlformats.org/officeDocument/2006/relationships/hyperlink" Target="https://www.infobae.com/opinion/2024/11/11/la-violencia-politica-digital-el-anonimato-y-rasgos-de-personalidad/" TargetMode="External"/><Relationship Id="rId53" Type="http://schemas.openxmlformats.org/officeDocument/2006/relationships/hyperlink" Target="https://doi.org/10.1080/14680777.2015.1008747" TargetMode="External"/><Relationship Id="rId58" Type="http://schemas.openxmlformats.org/officeDocument/2006/relationships/hyperlink" Target="https://cenitpsicologos.com/no-revictimizar-a-la-victima-que-es-la-doble-victimizacion-en-los-procesos-judiciales/" TargetMode="External"/><Relationship Id="rId66" Type="http://schemas.openxmlformats.org/officeDocument/2006/relationships/hyperlink" Target="https://doi.org/10.11591/ijere.v8i4.20266" TargetMode="External"/><Relationship Id="rId74" Type="http://schemas.openxmlformats.org/officeDocument/2006/relationships/hyperlink" Target="https://aidca.org/wp-content/uploads/2022/12/RIDCA2-CRIMINOLOGIA-SASSONE-LA-CRIMINOLOGIA-MEDIATICA.pdf"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www.ondacero.es/podcast/programas/julia-en-la-onda/territorio-negro/dano-que-provoco-difusion-foto-victima-manada-fue-escarnio-tuvo-que-irse-espana_202005075eb425687ed1a838a0ddf229.html" TargetMode="External"/><Relationship Id="rId19" Type="http://schemas.openxmlformats.org/officeDocument/2006/relationships/hyperlink" Target="https://doi.org/10.18042/cepc/IgdES.3.09" TargetMode="External"/><Relationship Id="rId14" Type="http://schemas.openxmlformats.org/officeDocument/2006/relationships/hyperlink" Target="https://descargas.aauniv.com/archivos/CURSO%20VICTIMOLOGIA.pdf" TargetMode="External"/><Relationship Id="rId22" Type="http://schemas.openxmlformats.org/officeDocument/2006/relationships/hyperlink" Target="https://www.cnj.gob.sv/images/documentos/pdf/ecj/publicaciones/Monografico_SistemaPenal_ViolenciaGenero.pdf" TargetMode="External"/><Relationship Id="rId27" Type="http://schemas.openxmlformats.org/officeDocument/2006/relationships/hyperlink" Target="https://www.abogacia.es/actualidad/noticias/los-abogados-de-gisele-pelicot-hay-que-avanzar-mucho-en-como-se-juzgan-estos-actos-y-mejorar-el-tratamiento-de-las-victimas/" TargetMode="External"/><Relationship Id="rId30" Type="http://schemas.openxmlformats.org/officeDocument/2006/relationships/hyperlink" Target="https://violencia-sexual.info/wp-content/uploads/2026/01/GUIA_HABLEMOS-CON-SENTIDO-FINAL.pdf" TargetMode="External"/><Relationship Id="rId35" Type="http://schemas.openxmlformats.org/officeDocument/2006/relationships/hyperlink" Target="https://doi.org/10.1057/9781137400215_2" TargetMode="External"/><Relationship Id="rId43" Type="http://schemas.openxmlformats.org/officeDocument/2006/relationships/hyperlink" Target="https://www.juntadeandalucia.es/export/drupaljda/guia-ciberviolencia-adolescentes.pdf" TargetMode="External"/><Relationship Id="rId48" Type="http://schemas.openxmlformats.org/officeDocument/2006/relationships/hyperlink" Target="https://sociologicamexico.azc.uam.mx/index.php/Sociologica/article/view/1392" TargetMode="External"/><Relationship Id="rId56" Type="http://schemas.openxmlformats.org/officeDocument/2006/relationships/hyperlink" Target="https://www.interior.gob.es/opencms/va/detalle/articulo/Que-es-la-Oficina-Nacional-contra-las-Violencias-Sexuales/" TargetMode="External"/><Relationship Id="rId64" Type="http://schemas.openxmlformats.org/officeDocument/2006/relationships/hyperlink" Target="https://doi.org/10.32870/pk.a12n23.747" TargetMode="External"/><Relationship Id="rId69" Type="http://schemas.openxmlformats.org/officeDocument/2006/relationships/hyperlink" Target="https://aioseo.com/es/how-to-use-the-inverted-pyramid-to-improve-web-content/" TargetMode="External"/><Relationship Id="rId77" Type="http://schemas.openxmlformats.org/officeDocument/2006/relationships/hyperlink" Target="https://www.articulo14.es/violencia-contra-las-mujeres/como-afecta-a-una-victima-de-violencia-la-exposicion-mediatica-y-el-juicio-social-20250203.html" TargetMode="External"/><Relationship Id="rId8" Type="http://schemas.openxmlformats.org/officeDocument/2006/relationships/image" Target="media/image1.png"/><Relationship Id="rId51" Type="http://schemas.openxmlformats.org/officeDocument/2006/relationships/hyperlink" Target="https://www.grade.org.pe/wp-content/uploads/LibroGRADEViolenciaSMujereS.pdf" TargetMode="External"/><Relationship Id="rId72" Type="http://schemas.openxmlformats.org/officeDocument/2006/relationships/hyperlink" Target="https://doi.org/10.12795/Ambitos.2025.i67.11"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ojs.ministeriopublico.gov.py/index.php/rjmp/article/view/269" TargetMode="External"/><Relationship Id="rId17" Type="http://schemas.openxmlformats.org/officeDocument/2006/relationships/hyperlink" Target="https://doi.org/10.46381/reic.v20i2.848" TargetMode="External"/><Relationship Id="rId25" Type="http://schemas.openxmlformats.org/officeDocument/2006/relationships/hyperlink" Target="https://www.icrc.org/es/articulo/consecuencias-estigmatizacion-victimas-sobrevivientes-violencia-sexual-conflictos-armados" TargetMode="External"/><Relationship Id="rId33" Type="http://schemas.openxmlformats.org/officeDocument/2006/relationships/hyperlink" Target="https://efeminista.com/caso-pelicot-violencia-sexual-revictimizacion/" TargetMode="External"/><Relationship Id="rId38" Type="http://schemas.openxmlformats.org/officeDocument/2006/relationships/hyperlink" Target="https://www.boe.es/eli/es/lo/1995/11/23/10/con" TargetMode="External"/><Relationship Id="rId46" Type="http://schemas.openxmlformats.org/officeDocument/2006/relationships/hyperlink" Target="https://geoviolenciasexual.com/4-tipologia-de-la-violencia-sexual/" TargetMode="External"/><Relationship Id="rId59" Type="http://schemas.openxmlformats.org/officeDocument/2006/relationships/hyperlink" Target="https://observatorioviolenciasexual.org/que-es-la-violencia-sexual/tipos-de-violencias-sexuales/" TargetMode="External"/><Relationship Id="rId67" Type="http://schemas.openxmlformats.org/officeDocument/2006/relationships/hyperlink" Target="https://revistas.usc.gal/index.php/epc/article/view/6878/9965" TargetMode="External"/><Relationship Id="rId20" Type="http://schemas.openxmlformats.org/officeDocument/2006/relationships/hyperlink" Target="https://doi.org/10.56162/transdigital328" TargetMode="External"/><Relationship Id="rId41" Type="http://schemas.openxmlformats.org/officeDocument/2006/relationships/hyperlink" Target="https://www.boe.es/eli/es/lo/2018/12/05/3/con" TargetMode="External"/><Relationship Id="rId54" Type="http://schemas.openxmlformats.org/officeDocument/2006/relationships/hyperlink" Target="https://doi.org/10.51247/st.v5i2.223" TargetMode="External"/><Relationship Id="rId62" Type="http://schemas.openxmlformats.org/officeDocument/2006/relationships/hyperlink" Target="https://www.who.int/es/news/item/09-03-2021-devastatingly-pervasive-1-in-3-women-globally-experience-violence" TargetMode="External"/><Relationship Id="rId70" Type="http://schemas.openxmlformats.org/officeDocument/2006/relationships/hyperlink" Target="https://www.rtve.es/noticias/20190628/victima-manada-peor-no-fue-vivido-sino-vino-despues/1963924.shtml" TargetMode="External"/><Relationship Id="rId75" Type="http://schemas.openxmlformats.org/officeDocument/2006/relationships/hyperlink" Target="https://sistemaviogen.ses.mir.es/publico/vioge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5209/infe.99591" TargetMode="External"/><Relationship Id="rId23" Type="http://schemas.openxmlformats.org/officeDocument/2006/relationships/hyperlink" Target="https://cic.periodistes.cat/es/codi-deontologic/" TargetMode="External"/><Relationship Id="rId28" Type="http://schemas.openxmlformats.org/officeDocument/2006/relationships/hyperlink" Target="https://doi.org/10.15257/ehquidad.2022.0007" TargetMode="External"/><Relationship Id="rId36" Type="http://schemas.openxmlformats.org/officeDocument/2006/relationships/hyperlink" Target="https://www.boe.es/eli/es/c/1978/12/27/(1)/con" TargetMode="External"/><Relationship Id="rId49" Type="http://schemas.openxmlformats.org/officeDocument/2006/relationships/hyperlink" Target="https://atheneadigital.net/article/view/v25-n2-garcia-lorca-ruiz" TargetMode="External"/><Relationship Id="rId57" Type="http://schemas.openxmlformats.org/officeDocument/2006/relationships/hyperlink" Target="https://www.juventudeinfancia.gob.es/sites/default/files/infancia/violencia/recursos/Como%20comunicar%20sobre%20violencia%20sexual%20contra%20la%20infancia%20y%20la%20adolescencia_Guia%20para%20periodistas.pdf" TargetMode="External"/><Relationship Id="rId10" Type="http://schemas.openxmlformats.org/officeDocument/2006/relationships/hyperlink" Target="https://www.redalyc.org/pdf/110/11023066009.pdf" TargetMode="External"/><Relationship Id="rId31" Type="http://schemas.openxmlformats.org/officeDocument/2006/relationships/hyperlink" Target="https://doi.org/10.12795/Ambitos.2025.i67.11" TargetMode="External"/><Relationship Id="rId44" Type="http://schemas.openxmlformats.org/officeDocument/2006/relationships/hyperlink" Target="https://fape.es/home/codigo-deontologico-1/" TargetMode="External"/><Relationship Id="rId52" Type="http://schemas.openxmlformats.org/officeDocument/2006/relationships/hyperlink" Target="https://doi.org/10.1344/ANPSIC2024.54/1.4" TargetMode="External"/><Relationship Id="rId60" Type="http://schemas.openxmlformats.org/officeDocument/2006/relationships/hyperlink" Target="https://onvios.ses.mir.es/publico/onvios" TargetMode="External"/><Relationship Id="rId65" Type="http://schemas.openxmlformats.org/officeDocument/2006/relationships/hyperlink" Target="https://zaguan.unizar.es/record/120639/files/TAZ-TFG-2022-2381.pdf?version=1" TargetMode="External"/><Relationship Id="rId73" Type="http://schemas.openxmlformats.org/officeDocument/2006/relationships/hyperlink" Target="https://doi.org/10.20318/universitas.2022.6576" TargetMode="External"/><Relationship Id="rId78" Type="http://schemas.openxmlformats.org/officeDocument/2006/relationships/hyperlink" Target="https://doi.org/10.37811/cl_rcm.v8i1.10085" TargetMode="External"/><Relationship Id="rId4" Type="http://schemas.openxmlformats.org/officeDocument/2006/relationships/settings" Target="settings.xml"/><Relationship Id="rId9" Type="http://schemas.openxmlformats.org/officeDocument/2006/relationships/hyperlink" Target="https://dialnet.unirioja.es/servlet/articulo?codigo=6058756" TargetMode="External"/><Relationship Id="rId13" Type="http://schemas.openxmlformats.org/officeDocument/2006/relationships/hyperlink" Target="https://www.apmadrid.es/comunicado/presentada-en-la-apm-etica-de-la-comunicacion-una-recopilacion-de-decalogos-para-periodistas/" TargetMode="External"/><Relationship Id="rId18" Type="http://schemas.openxmlformats.org/officeDocument/2006/relationships/hyperlink" Target="https://doi.org/10.2015/IJIRMF/202505051" TargetMode="External"/><Relationship Id="rId39" Type="http://schemas.openxmlformats.org/officeDocument/2006/relationships/hyperlink" Target="https://www.boe.es/eli/es/lo/2004/12/28/1/con" TargetMode="External"/><Relationship Id="rId34" Type="http://schemas.openxmlformats.org/officeDocument/2006/relationships/hyperlink" Target="https://doi.org/10.5209/cgen.77845" TargetMode="External"/><Relationship Id="rId50" Type="http://schemas.openxmlformats.org/officeDocument/2006/relationships/hyperlink" Target="https://ddd.uab.cat/pub/athdig/athdig_a2025v25n2/athdig_a2025v25n2pe3687.pdf" TargetMode="External"/><Relationship Id="rId55" Type="http://schemas.openxmlformats.org/officeDocument/2006/relationships/hyperlink" Target="https://thepurplecheck.llyc.global/" TargetMode="External"/><Relationship Id="rId76" Type="http://schemas.openxmlformats.org/officeDocument/2006/relationships/hyperlink" Target="https://doi.org/10.5209/poso.78892" TargetMode="External"/><Relationship Id="rId7" Type="http://schemas.openxmlformats.org/officeDocument/2006/relationships/endnotes" Target="endnotes.xml"/><Relationship Id="rId71" Type="http://schemas.openxmlformats.org/officeDocument/2006/relationships/hyperlink" Target="https://doi.org/10.1016/j.aprim.2023.102837" TargetMode="External"/><Relationship Id="rId2" Type="http://schemas.openxmlformats.org/officeDocument/2006/relationships/numbering" Target="numbering.xml"/><Relationship Id="rId29" Type="http://schemas.openxmlformats.org/officeDocument/2006/relationships/hyperlink" Target="https://www.cronicaviva.com.pe/el-poder-del-escaneo-de-la-informacion-en-el-periodismo-moderno-conoce-que-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B9D05-7906-470B-9297-B954E96F4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1181</TotalTime>
  <Pages>53</Pages>
  <Words>18659</Words>
  <Characters>102629</Characters>
  <Application>Microsoft Office Word</Application>
  <DocSecurity>0</DocSecurity>
  <Lines>855</Lines>
  <Paragraphs>242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campos</dc:creator>
  <cp:keywords/>
  <dc:description/>
  <cp:lastModifiedBy>ana campos</cp:lastModifiedBy>
  <cp:revision>146</cp:revision>
  <dcterms:created xsi:type="dcterms:W3CDTF">2026-03-12T20:10:00Z</dcterms:created>
  <dcterms:modified xsi:type="dcterms:W3CDTF">2026-03-13T22:12:00Z</dcterms:modified>
</cp:coreProperties>
</file>