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6855" w14:textId="77777777" w:rsidR="006C08AE" w:rsidRDefault="00CA02BC">
      <w:pPr>
        <w:pStyle w:val="Textoindependiente"/>
        <w:ind w:left="1923"/>
        <w:rPr>
          <w:sz w:val="20"/>
        </w:rPr>
      </w:pPr>
      <w:r>
        <w:rPr>
          <w:noProof/>
          <w:sz w:val="20"/>
        </w:rPr>
        <w:drawing>
          <wp:inline distT="0" distB="0" distL="0" distR="0" wp14:anchorId="0B817D2C" wp14:editId="01ABC3D3">
            <wp:extent cx="3116060" cy="8193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116060" cy="819340"/>
                    </a:xfrm>
                    <a:prstGeom prst="rect">
                      <a:avLst/>
                    </a:prstGeom>
                  </pic:spPr>
                </pic:pic>
              </a:graphicData>
            </a:graphic>
          </wp:inline>
        </w:drawing>
      </w:r>
    </w:p>
    <w:p w14:paraId="5FE83D60" w14:textId="77777777" w:rsidR="006C08AE" w:rsidRDefault="006C08AE">
      <w:pPr>
        <w:pStyle w:val="Textoindependiente"/>
        <w:rPr>
          <w:sz w:val="20"/>
        </w:rPr>
      </w:pPr>
    </w:p>
    <w:p w14:paraId="4D1659D5" w14:textId="77777777" w:rsidR="006C08AE" w:rsidRPr="00C11488" w:rsidRDefault="006C08AE" w:rsidP="00C11488">
      <w:pPr>
        <w:pStyle w:val="Textoindependiente"/>
        <w:spacing w:before="6"/>
        <w:rPr>
          <w:rFonts w:cs="Times New Roman"/>
          <w:sz w:val="28"/>
        </w:rPr>
      </w:pPr>
    </w:p>
    <w:p w14:paraId="6D81284D" w14:textId="77777777" w:rsidR="006C08AE" w:rsidRPr="00C11488" w:rsidRDefault="00CA02BC" w:rsidP="00C11488">
      <w:pPr>
        <w:spacing w:before="92"/>
        <w:ind w:left="1370" w:right="1292"/>
        <w:jc w:val="center"/>
        <w:rPr>
          <w:rFonts w:cs="Times New Roman"/>
        </w:rPr>
      </w:pPr>
      <w:r>
        <w:rPr>
          <w:rFonts w:cs="Times New Roman"/>
        </w:rPr>
        <w:t>Facultad de Ciencias Humanas y Sociales</w:t>
      </w:r>
    </w:p>
    <w:p w14:paraId="0EF40FB5" w14:textId="77777777" w:rsidR="006C08AE" w:rsidRPr="00C11488" w:rsidRDefault="00CA02BC" w:rsidP="00C11488">
      <w:pPr>
        <w:pStyle w:val="Textoindependiente"/>
        <w:ind w:left="1370" w:right="1295"/>
        <w:jc w:val="center"/>
        <w:rPr>
          <w:rFonts w:cs="Times New Roman"/>
        </w:rPr>
      </w:pPr>
      <w:r>
        <w:rPr>
          <w:rFonts w:cs="Times New Roman"/>
        </w:rPr>
        <w:t>Grado en Relaciones Internacionales</w:t>
      </w:r>
    </w:p>
    <w:p w14:paraId="55F23B91" w14:textId="77777777" w:rsidR="006C08AE" w:rsidRPr="00C11488" w:rsidRDefault="006C08AE" w:rsidP="00C11488">
      <w:pPr>
        <w:pStyle w:val="Textoindependiente"/>
        <w:spacing w:before="7"/>
        <w:rPr>
          <w:rFonts w:cs="Times New Roman"/>
          <w:sz w:val="49"/>
        </w:rPr>
      </w:pPr>
    </w:p>
    <w:p w14:paraId="48E41DBD" w14:textId="77777777" w:rsidR="006C08AE" w:rsidRPr="00C11488" w:rsidRDefault="00CA02BC" w:rsidP="00C11488">
      <w:pPr>
        <w:ind w:left="1370" w:right="1292"/>
        <w:jc w:val="center"/>
        <w:rPr>
          <w:rFonts w:cs="Times New Roman"/>
          <w:sz w:val="36"/>
          <w:szCs w:val="36"/>
        </w:rPr>
      </w:pPr>
      <w:r>
        <w:rPr>
          <w:rFonts w:cs="Times New Roman"/>
          <w:sz w:val="36"/>
          <w:szCs w:val="36"/>
        </w:rPr>
        <w:t>Trabajo Fin de Grado</w:t>
      </w:r>
    </w:p>
    <w:p w14:paraId="5F34893F" w14:textId="77777777" w:rsidR="006C08AE" w:rsidRPr="00C11488" w:rsidRDefault="006C08AE" w:rsidP="00C11488">
      <w:pPr>
        <w:pStyle w:val="Textoindependiente"/>
        <w:spacing w:before="2"/>
        <w:rPr>
          <w:rFonts w:cs="Times New Roman"/>
          <w:sz w:val="48"/>
          <w:szCs w:val="48"/>
        </w:rPr>
      </w:pPr>
    </w:p>
    <w:p w14:paraId="7D821438" w14:textId="4B0D3A5C" w:rsidR="006C08AE" w:rsidRPr="00C11488" w:rsidRDefault="00C11488" w:rsidP="00C11488">
      <w:pPr>
        <w:spacing w:before="1"/>
        <w:ind w:left="1370" w:right="1289"/>
        <w:jc w:val="center"/>
        <w:rPr>
          <w:rFonts w:cs="Times New Roman"/>
          <w:b/>
          <w:sz w:val="48"/>
          <w:szCs w:val="48"/>
        </w:rPr>
      </w:pPr>
      <w:r>
        <w:rPr>
          <w:rFonts w:cs="Times New Roman"/>
          <w:b/>
          <w:sz w:val="48"/>
          <w:szCs w:val="48"/>
        </w:rPr>
        <w:t>Seguridad Jurídica y protección del inversor en la inversión internacional</w:t>
      </w:r>
    </w:p>
    <w:p w14:paraId="7EBFE349" w14:textId="7561A7A4" w:rsidR="006C08AE" w:rsidRPr="00C11488" w:rsidRDefault="00C11488" w:rsidP="00C11488">
      <w:pPr>
        <w:pStyle w:val="Textoindependiente"/>
        <w:spacing w:before="119"/>
        <w:ind w:left="1370" w:right="1291"/>
        <w:jc w:val="center"/>
        <w:rPr>
          <w:rFonts w:cs="Times New Roman"/>
        </w:rPr>
      </w:pPr>
      <w:r>
        <w:rPr>
          <w:rFonts w:cs="Times New Roman"/>
        </w:rPr>
        <w:t>Análisis comparado entre la Unión Europea y América Latina</w:t>
      </w:r>
    </w:p>
    <w:p w14:paraId="227F65DA" w14:textId="77777777" w:rsidR="006C08AE" w:rsidRDefault="006C08AE" w:rsidP="00C11488">
      <w:pPr>
        <w:pStyle w:val="Textoindependiente"/>
        <w:spacing w:before="9"/>
        <w:rPr>
          <w:rFonts w:cs="Times New Roman"/>
          <w:sz w:val="24"/>
          <w:szCs w:val="20"/>
        </w:rPr>
      </w:pPr>
    </w:p>
    <w:p w14:paraId="218E6701" w14:textId="77777777" w:rsidR="00C11488" w:rsidRDefault="00C11488" w:rsidP="00C11488">
      <w:pPr>
        <w:pStyle w:val="Textoindependiente"/>
        <w:spacing w:before="9"/>
        <w:rPr>
          <w:rFonts w:cs="Times New Roman"/>
          <w:sz w:val="24"/>
          <w:szCs w:val="20"/>
        </w:rPr>
      </w:pPr>
    </w:p>
    <w:p w14:paraId="6D80C82B" w14:textId="77777777" w:rsidR="00C11488" w:rsidRPr="00C11488" w:rsidRDefault="00C11488" w:rsidP="00C11488">
      <w:pPr>
        <w:pStyle w:val="Textoindependiente"/>
        <w:spacing w:before="9"/>
        <w:rPr>
          <w:rFonts w:cs="Times New Roman"/>
          <w:sz w:val="24"/>
          <w:szCs w:val="20"/>
        </w:rPr>
      </w:pPr>
    </w:p>
    <w:p w14:paraId="0C731944" w14:textId="4E4C68D6" w:rsidR="006C08AE" w:rsidRPr="00C11488" w:rsidRDefault="00CA02BC" w:rsidP="00C11488">
      <w:pPr>
        <w:ind w:left="102"/>
        <w:rPr>
          <w:rFonts w:cs="Times New Roman"/>
          <w:b/>
          <w:sz w:val="32"/>
          <w:szCs w:val="21"/>
        </w:rPr>
      </w:pPr>
      <w:r>
        <w:rPr>
          <w:rFonts w:cs="Times New Roman"/>
          <w:sz w:val="32"/>
          <w:szCs w:val="21"/>
        </w:rPr>
        <w:t>Estudiante: Álvaro Godoy Marín</w:t>
      </w:r>
    </w:p>
    <w:p w14:paraId="369CFA9A" w14:textId="77777777" w:rsidR="006C08AE" w:rsidRPr="00C11488" w:rsidRDefault="006C08AE" w:rsidP="00C11488">
      <w:pPr>
        <w:pStyle w:val="Textoindependiente"/>
        <w:spacing w:before="10"/>
        <w:rPr>
          <w:rFonts w:cs="Times New Roman"/>
          <w:b/>
          <w:sz w:val="32"/>
          <w:szCs w:val="32"/>
        </w:rPr>
      </w:pPr>
    </w:p>
    <w:p w14:paraId="3F46C8ED" w14:textId="2BFBFEBF" w:rsidR="006C08AE" w:rsidRPr="00C11488" w:rsidRDefault="00CA02BC" w:rsidP="00C11488">
      <w:pPr>
        <w:tabs>
          <w:tab w:val="left" w:pos="1517"/>
        </w:tabs>
        <w:ind w:left="102"/>
        <w:rPr>
          <w:rFonts w:cs="Times New Roman"/>
          <w:sz w:val="28"/>
        </w:rPr>
      </w:pPr>
      <w:r>
        <w:rPr>
          <w:rFonts w:cs="Times New Roman"/>
          <w:sz w:val="28"/>
        </w:rPr>
        <w:t>Director: Juan Valcárcel Alfaro</w:t>
      </w:r>
    </w:p>
    <w:p w14:paraId="4B0D00AC" w14:textId="77777777" w:rsidR="006C08AE" w:rsidRPr="00C11488" w:rsidRDefault="006C08AE" w:rsidP="00C11488">
      <w:pPr>
        <w:pStyle w:val="Textoindependiente"/>
        <w:rPr>
          <w:rFonts w:cs="Times New Roman"/>
          <w:sz w:val="30"/>
        </w:rPr>
      </w:pPr>
    </w:p>
    <w:p w14:paraId="4CDFA5B8" w14:textId="707D9505" w:rsidR="006C08AE" w:rsidRPr="00C11488" w:rsidRDefault="006C08AE" w:rsidP="00C11488">
      <w:pPr>
        <w:pStyle w:val="Textoindependiente"/>
        <w:spacing w:before="2"/>
        <w:rPr>
          <w:rFonts w:cs="Times New Roman"/>
          <w:sz w:val="34"/>
        </w:rPr>
      </w:pPr>
    </w:p>
    <w:p w14:paraId="6C69C990" w14:textId="73F6DF2A" w:rsidR="00C11488" w:rsidRPr="00020166" w:rsidRDefault="00CA02BC" w:rsidP="00020166">
      <w:pPr>
        <w:ind w:left="1370" w:right="1286"/>
        <w:jc w:val="center"/>
        <w:rPr>
          <w:rFonts w:cs="Times New Roman"/>
          <w:sz w:val="28"/>
          <w:szCs w:val="28"/>
        </w:rPr>
      </w:pPr>
      <w:r>
        <w:rPr>
          <w:rFonts w:cs="Times New Roman"/>
          <w:sz w:val="28"/>
          <w:szCs w:val="28"/>
        </w:rPr>
        <w:t xml:space="preserve">Madrid, </w:t>
      </w:r>
      <w:r w:rsidR="003E7578">
        <w:rPr>
          <w:rFonts w:cs="Times New Roman"/>
          <w:sz w:val="28"/>
          <w:szCs w:val="28"/>
        </w:rPr>
        <w:t>junio</w:t>
      </w:r>
      <w:r>
        <w:rPr>
          <w:rFonts w:cs="Times New Roman"/>
          <w:sz w:val="28"/>
          <w:szCs w:val="28"/>
        </w:rPr>
        <w:t xml:space="preserve"> 2026 </w:t>
      </w:r>
    </w:p>
    <w:p w14:paraId="06178A6F" w14:textId="5B273287" w:rsidR="00C11488" w:rsidRDefault="00C8170A" w:rsidP="00020166">
      <w:pPr>
        <w:pStyle w:val="Ttulo"/>
      </w:pPr>
      <w:r>
        <w:lastRenderedPageBreak/>
        <w:t>Resumen</w:t>
      </w:r>
    </w:p>
    <w:p w14:paraId="1AD0E0A3" w14:textId="77777777" w:rsidR="00D72A51" w:rsidRDefault="00D72A51" w:rsidP="00D72A51">
      <w:r>
        <w:t>El presente trabajo analiza el régimen jurídico de protección del inversor extranjero en la Unión Europea y en América Latina desde la perspectiva de la seguridad jurídica, mediante una metodología jurídico-dogmática y comparada. El estudio examina los estándares sustantivos de protección del inversor (trato justo y equitativo, trato nacional, nación más favorecida y expropiación), el funcionamiento del arbitraje internacional como mecanismo central de resolución de controversias y la evolución institucional de ambos modelos regionales en las últimas décadas.</w:t>
      </w:r>
    </w:p>
    <w:p w14:paraId="5A468449" w14:textId="77777777" w:rsidR="00D72A51" w:rsidRDefault="00D72A51" w:rsidP="00D72A51">
      <w:r>
        <w:t>El análisis comparado revela divergencias estructurales entre ambos modelos. La Unión Europea ha apostado por la precisión normativa y la judicialización del sistema, sustituyendo el arbitraje ad hoc por mecanismos permanentes e institucionalizados como el Sistema de Tribunales de Inversión del CETA y proyectando esa lógica hacia un Tribunal Multilateral de Inversiones. América Latina, en cambio, ha transitado desde una incorporación intensa al sistema ISDS hacia su restricción o sustitución por mecanismos cooperativos Estado-Estado, generando una mayor heterogeneidad normativa y una protección sustantiva más variable para el inversor.</w:t>
      </w:r>
    </w:p>
    <w:p w14:paraId="30CC7F67" w14:textId="5E4DD1C3" w:rsidR="00C8170A" w:rsidRDefault="00D72A51" w:rsidP="00D72A51">
      <w:r>
        <w:t>El trabajo concluye que ambas regiones comparten el diagnóstico sobre las deficiencias del arbitraje clásico pero divergen en sus respuestas, y que la seguridad jurídica del inversor sigue dependiendo en gran medida del instrumento convencional aplicable y de la solidez institucional del Estado receptor.</w:t>
      </w:r>
    </w:p>
    <w:p w14:paraId="6D89CF83" w14:textId="77777777" w:rsidR="00C8170A" w:rsidRDefault="00C8170A" w:rsidP="00020166"/>
    <w:p w14:paraId="7AF883B0" w14:textId="38A261EA" w:rsidR="00C8170A" w:rsidRDefault="00C8170A" w:rsidP="00020166">
      <w:pPr>
        <w:pStyle w:val="Ttulo"/>
      </w:pPr>
      <w:r>
        <w:t>Abstract</w:t>
      </w:r>
    </w:p>
    <w:p w14:paraId="7B386E68" w14:textId="77777777" w:rsidR="00D72A51" w:rsidRDefault="00D72A51" w:rsidP="00D72A51">
      <w:r>
        <w:t>This paper analyses the legal framework for the protection of foreign investors in the European Union and Latin America from the perspective of legal certainty, applying a legal-dogmatic and comparative methodology. The study examines the substantive standards of investor protection (fair and equitable treatment, national treatment, most-favoured-nation clause and expropriation), the functioning of international arbitration as the central dispute resolution mechanism, and the institutional evolution of both regional models over recent decades.</w:t>
      </w:r>
    </w:p>
    <w:p w14:paraId="3EF078F4" w14:textId="77777777" w:rsidR="00D72A51" w:rsidRDefault="00D72A51" w:rsidP="00D72A51">
      <w:r>
        <w:t xml:space="preserve">The comparative analysis reveals structural divergences between the two models. The European Union has pursued normative precision and the judicialization of the system, replacing ad hoc arbitration with permanent and institutionalized mechanisms such as the Investment Court System under CETA, while projecting this logic towards a Multilateral </w:t>
      </w:r>
      <w:r>
        <w:lastRenderedPageBreak/>
        <w:t>Investment Court. Latin America, by contrast, has shifted from extensive participation in the ISDS system towards its restriction or replacement by cooperative State-to-State mechanisms, resulting in greater normative heterogeneity and more variable substantive protection for investors.</w:t>
      </w:r>
    </w:p>
    <w:p w14:paraId="759BCDAD" w14:textId="2A5CF525" w:rsidR="00020166" w:rsidRDefault="00D72A51" w:rsidP="00D72A51">
      <w:r>
        <w:t>The paper concludes that both regions share a common diagnosis regarding the shortcomings of classical arbitration but diverge significantly in their responses, and that legal certainty for foreign investors continues to depend largely on the specific treaty instrument applicable and on the institutional quality of the host State.</w:t>
      </w:r>
    </w:p>
    <w:p w14:paraId="0C08C0C6" w14:textId="77777777" w:rsidR="00020166" w:rsidRDefault="00020166" w:rsidP="00020166"/>
    <w:p w14:paraId="6A178306" w14:textId="6B41BE21" w:rsidR="00020166" w:rsidRPr="00020166" w:rsidRDefault="00020166" w:rsidP="00020166">
      <w:pPr>
        <w:pStyle w:val="Ttulo"/>
      </w:pPr>
      <w:r>
        <w:t>Palabras clave</w:t>
      </w:r>
    </w:p>
    <w:p w14:paraId="500DA5C5" w14:textId="37F043E1" w:rsidR="00C8170A" w:rsidRDefault="00D72A51" w:rsidP="00D72A51">
      <w:r>
        <w:t>Seguridad jurídica</w:t>
      </w:r>
      <w:r w:rsidR="00961DC2">
        <w:t>, p</w:t>
      </w:r>
      <w:r>
        <w:t>rotección del inversor</w:t>
      </w:r>
      <w:r w:rsidR="00961DC2">
        <w:t>, a</w:t>
      </w:r>
      <w:r>
        <w:t>rbitraje internacional</w:t>
      </w:r>
      <w:r w:rsidR="00961DC2">
        <w:t>, i</w:t>
      </w:r>
      <w:r>
        <w:t>nversión extranjera directa</w:t>
      </w:r>
      <w:r w:rsidR="00961DC2">
        <w:t xml:space="preserve">, </w:t>
      </w:r>
      <w:r>
        <w:t>Unión Europea</w:t>
      </w:r>
      <w:r w:rsidR="00961DC2">
        <w:t xml:space="preserve">, </w:t>
      </w:r>
      <w:r>
        <w:t>América Latina</w:t>
      </w:r>
      <w:r w:rsidR="00961DC2">
        <w:t>.</w:t>
      </w:r>
    </w:p>
    <w:p w14:paraId="6A9FECAB" w14:textId="77777777" w:rsidR="001963E2" w:rsidRDefault="001963E2" w:rsidP="00D72A51"/>
    <w:p w14:paraId="255E4593" w14:textId="5289006C" w:rsidR="001963E2" w:rsidRDefault="001963E2" w:rsidP="001963E2">
      <w:pPr>
        <w:pStyle w:val="Ttulo"/>
      </w:pPr>
      <w:r>
        <w:t>Keywords</w:t>
      </w:r>
    </w:p>
    <w:p w14:paraId="35803B37" w14:textId="2C34E137" w:rsidR="001963E2" w:rsidRDefault="001963E2" w:rsidP="001963E2">
      <w:r>
        <w:t xml:space="preserve">Legal </w:t>
      </w:r>
      <w:proofErr w:type="spellStart"/>
      <w:r>
        <w:t>certainty</w:t>
      </w:r>
      <w:proofErr w:type="spellEnd"/>
      <w:r w:rsidR="00961DC2">
        <w:t xml:space="preserve">, </w:t>
      </w:r>
      <w:proofErr w:type="spellStart"/>
      <w:r w:rsidR="00961DC2">
        <w:t>i</w:t>
      </w:r>
      <w:r>
        <w:t>nvestor</w:t>
      </w:r>
      <w:proofErr w:type="spellEnd"/>
      <w:r>
        <w:t xml:space="preserve"> </w:t>
      </w:r>
      <w:proofErr w:type="spellStart"/>
      <w:r>
        <w:t>protection</w:t>
      </w:r>
      <w:proofErr w:type="spellEnd"/>
      <w:r w:rsidR="00961DC2">
        <w:t xml:space="preserve">, </w:t>
      </w:r>
      <w:proofErr w:type="spellStart"/>
      <w:r w:rsidR="00961DC2">
        <w:t>i</w:t>
      </w:r>
      <w:r>
        <w:t>nternational</w:t>
      </w:r>
      <w:proofErr w:type="spellEnd"/>
      <w:r>
        <w:t xml:space="preserve"> </w:t>
      </w:r>
      <w:proofErr w:type="spellStart"/>
      <w:r>
        <w:t>arbitration</w:t>
      </w:r>
      <w:proofErr w:type="spellEnd"/>
      <w:r w:rsidR="00961DC2">
        <w:t xml:space="preserve">, </w:t>
      </w:r>
      <w:proofErr w:type="spellStart"/>
      <w:r w:rsidR="00961DC2">
        <w:t>f</w:t>
      </w:r>
      <w:r>
        <w:t>oreign</w:t>
      </w:r>
      <w:proofErr w:type="spellEnd"/>
      <w:r>
        <w:t xml:space="preserve"> </w:t>
      </w:r>
      <w:proofErr w:type="spellStart"/>
      <w:r>
        <w:t>direct</w:t>
      </w:r>
      <w:proofErr w:type="spellEnd"/>
      <w:r>
        <w:t xml:space="preserve"> </w:t>
      </w:r>
      <w:proofErr w:type="spellStart"/>
      <w:r>
        <w:t>investment</w:t>
      </w:r>
      <w:proofErr w:type="spellEnd"/>
      <w:r w:rsidR="00961DC2">
        <w:t xml:space="preserve">,  </w:t>
      </w:r>
      <w:proofErr w:type="spellStart"/>
      <w:r>
        <w:t>European</w:t>
      </w:r>
      <w:proofErr w:type="spellEnd"/>
      <w:r>
        <w:t xml:space="preserve"> Union</w:t>
      </w:r>
      <w:r w:rsidR="00961DC2">
        <w:t xml:space="preserve">, </w:t>
      </w:r>
      <w:proofErr w:type="spellStart"/>
      <w:r>
        <w:t>Latin</w:t>
      </w:r>
      <w:proofErr w:type="spellEnd"/>
      <w:r>
        <w:t xml:space="preserve"> America</w:t>
      </w:r>
      <w:r w:rsidR="00961DC2">
        <w:t>.</w:t>
      </w:r>
    </w:p>
    <w:p w14:paraId="3157542B" w14:textId="77777777" w:rsidR="00961DC2" w:rsidRDefault="00961DC2" w:rsidP="001963E2"/>
    <w:p w14:paraId="31AC69F8" w14:textId="77777777" w:rsidR="00961DC2" w:rsidRDefault="00961DC2" w:rsidP="001963E2"/>
    <w:p w14:paraId="09EAA7EA" w14:textId="77777777" w:rsidR="00961DC2" w:rsidRDefault="00961DC2" w:rsidP="001963E2"/>
    <w:p w14:paraId="312E0453" w14:textId="77777777" w:rsidR="00961DC2" w:rsidRDefault="00961DC2" w:rsidP="001963E2"/>
    <w:p w14:paraId="45229865" w14:textId="77777777" w:rsidR="00961DC2" w:rsidRDefault="00961DC2" w:rsidP="001963E2"/>
    <w:p w14:paraId="5700CC79" w14:textId="77777777" w:rsidR="00961DC2" w:rsidRDefault="00961DC2" w:rsidP="001963E2"/>
    <w:p w14:paraId="29F332E3" w14:textId="77777777" w:rsidR="00961DC2" w:rsidRDefault="00961DC2" w:rsidP="001963E2"/>
    <w:p w14:paraId="34CAE53D" w14:textId="77777777" w:rsidR="00961DC2" w:rsidRDefault="00961DC2" w:rsidP="001963E2"/>
    <w:p w14:paraId="5030D842" w14:textId="77777777" w:rsidR="00961DC2" w:rsidRDefault="00961DC2" w:rsidP="001963E2"/>
    <w:p w14:paraId="7E713A10" w14:textId="77777777" w:rsidR="00961DC2" w:rsidRDefault="00961DC2" w:rsidP="001963E2"/>
    <w:p w14:paraId="5C798F19" w14:textId="77777777" w:rsidR="00961DC2" w:rsidRDefault="00961DC2" w:rsidP="001963E2"/>
    <w:p w14:paraId="72194AE9" w14:textId="77777777" w:rsidR="00961DC2" w:rsidRDefault="00961DC2" w:rsidP="001963E2"/>
    <w:p w14:paraId="104FCCB0" w14:textId="77777777" w:rsidR="00961DC2" w:rsidRDefault="00961DC2" w:rsidP="001963E2"/>
    <w:p w14:paraId="3246DCF7" w14:textId="77777777" w:rsidR="00961DC2" w:rsidRPr="001963E2" w:rsidRDefault="00961DC2" w:rsidP="001963E2"/>
    <w:p w14:paraId="0B9A6848" w14:textId="77777777" w:rsidR="001963E2" w:rsidRDefault="001963E2" w:rsidP="00D72A51"/>
    <w:p w14:paraId="4F333426" w14:textId="77777777" w:rsidR="00C8170A" w:rsidRDefault="00C8170A" w:rsidP="00020166"/>
    <w:p w14:paraId="7882B129" w14:textId="77777777" w:rsidR="009B71EF" w:rsidRDefault="009B71EF" w:rsidP="00020166"/>
    <w:bookmarkStart w:id="0" w:name="OLE_LINK5"/>
    <w:p w14:paraId="244F2F19" w14:textId="211CCDC6" w:rsidR="00501A26" w:rsidRDefault="00F229DB">
      <w:pPr>
        <w:pStyle w:val="TDC1"/>
        <w:tabs>
          <w:tab w:val="left" w:pos="480"/>
          <w:tab w:val="right" w:leader="dot" w:pos="8498"/>
        </w:tabs>
        <w:rPr>
          <w:rFonts w:eastAsiaTheme="minorEastAsia" w:cstheme="minorBidi"/>
          <w:b w:val="0"/>
          <w:bCs w:val="0"/>
          <w:i w:val="0"/>
          <w:iCs w:val="0"/>
          <w:noProof/>
          <w:kern w:val="2"/>
          <w:lang w:eastAsia="es-ES_tradnl" w:bidi="ar-SA"/>
          <w14:ligatures w14:val="standardContextual"/>
        </w:rPr>
      </w:pPr>
      <w:r>
        <w:rPr>
          <w:caps/>
          <w:sz w:val="20"/>
          <w:szCs w:val="20"/>
        </w:rPr>
        <w:lastRenderedPageBreak/>
        <w:fldChar w:fldCharType="begin"/>
      </w:r>
      <w:r>
        <w:instrText xml:space="preserve"> TOC \o "1-2" \h \z \u </w:instrText>
      </w:r>
      <w:r>
        <w:rPr>
          <w:caps/>
          <w:sz w:val="20"/>
          <w:szCs w:val="20"/>
        </w:rPr>
        <w:fldChar w:fldCharType="separate"/>
      </w:r>
      <w:hyperlink w:anchor="_Toc231223158" w:history="1">
        <w:r w:rsidR="00501A26" w:rsidRPr="00203D1D">
          <w:rPr>
            <w:rStyle w:val="Hipervnculo"/>
            <w:noProof/>
          </w:rPr>
          <w:t>1.</w:t>
        </w:r>
        <w:r w:rsidR="00501A26">
          <w:rPr>
            <w:rFonts w:eastAsiaTheme="minorEastAsia" w:cstheme="minorBidi"/>
            <w:b w:val="0"/>
            <w:bCs w:val="0"/>
            <w:i w:val="0"/>
            <w:iCs w:val="0"/>
            <w:noProof/>
            <w:kern w:val="2"/>
            <w:lang w:eastAsia="es-ES_tradnl" w:bidi="ar-SA"/>
            <w14:ligatures w14:val="standardContextual"/>
          </w:rPr>
          <w:tab/>
        </w:r>
        <w:r w:rsidR="00501A26" w:rsidRPr="00203D1D">
          <w:rPr>
            <w:rStyle w:val="Hipervnculo"/>
            <w:noProof/>
          </w:rPr>
          <w:t>Introducción</w:t>
        </w:r>
        <w:r w:rsidR="00501A26">
          <w:rPr>
            <w:noProof/>
            <w:webHidden/>
          </w:rPr>
          <w:tab/>
        </w:r>
        <w:r w:rsidR="00501A26">
          <w:rPr>
            <w:noProof/>
            <w:webHidden/>
          </w:rPr>
          <w:fldChar w:fldCharType="begin"/>
        </w:r>
        <w:r w:rsidR="00501A26">
          <w:rPr>
            <w:noProof/>
            <w:webHidden/>
          </w:rPr>
          <w:instrText xml:space="preserve"> PAGEREF _Toc231223158 \h </w:instrText>
        </w:r>
        <w:r w:rsidR="00501A26">
          <w:rPr>
            <w:noProof/>
            <w:webHidden/>
          </w:rPr>
        </w:r>
        <w:r w:rsidR="00501A26">
          <w:rPr>
            <w:noProof/>
            <w:webHidden/>
          </w:rPr>
          <w:fldChar w:fldCharType="separate"/>
        </w:r>
        <w:r w:rsidR="00501A26">
          <w:rPr>
            <w:noProof/>
            <w:webHidden/>
          </w:rPr>
          <w:t>6</w:t>
        </w:r>
        <w:r w:rsidR="00501A26">
          <w:rPr>
            <w:noProof/>
            <w:webHidden/>
          </w:rPr>
          <w:fldChar w:fldCharType="end"/>
        </w:r>
      </w:hyperlink>
    </w:p>
    <w:p w14:paraId="0CCEA6D4" w14:textId="7CE3B92B"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59" w:history="1">
        <w:r w:rsidRPr="00203D1D">
          <w:rPr>
            <w:rStyle w:val="Hipervnculo"/>
            <w:noProof/>
          </w:rPr>
          <w:t>1.1.</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Justificación y relevancia del tema</w:t>
        </w:r>
        <w:r>
          <w:rPr>
            <w:noProof/>
            <w:webHidden/>
          </w:rPr>
          <w:tab/>
        </w:r>
        <w:r>
          <w:rPr>
            <w:noProof/>
            <w:webHidden/>
          </w:rPr>
          <w:fldChar w:fldCharType="begin"/>
        </w:r>
        <w:r>
          <w:rPr>
            <w:noProof/>
            <w:webHidden/>
          </w:rPr>
          <w:instrText xml:space="preserve"> PAGEREF _Toc231223159 \h </w:instrText>
        </w:r>
        <w:r>
          <w:rPr>
            <w:noProof/>
            <w:webHidden/>
          </w:rPr>
        </w:r>
        <w:r>
          <w:rPr>
            <w:noProof/>
            <w:webHidden/>
          </w:rPr>
          <w:fldChar w:fldCharType="separate"/>
        </w:r>
        <w:r>
          <w:rPr>
            <w:noProof/>
            <w:webHidden/>
          </w:rPr>
          <w:t>6</w:t>
        </w:r>
        <w:r>
          <w:rPr>
            <w:noProof/>
            <w:webHidden/>
          </w:rPr>
          <w:fldChar w:fldCharType="end"/>
        </w:r>
      </w:hyperlink>
    </w:p>
    <w:p w14:paraId="6EE2D733" w14:textId="0A7D71BB"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60" w:history="1">
        <w:r w:rsidRPr="00203D1D">
          <w:rPr>
            <w:rStyle w:val="Hipervnculo"/>
            <w:noProof/>
          </w:rPr>
          <w:t>1.2.</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Objetivos y preguntas de investigación</w:t>
        </w:r>
        <w:r>
          <w:rPr>
            <w:noProof/>
            <w:webHidden/>
          </w:rPr>
          <w:tab/>
        </w:r>
        <w:r>
          <w:rPr>
            <w:noProof/>
            <w:webHidden/>
          </w:rPr>
          <w:fldChar w:fldCharType="begin"/>
        </w:r>
        <w:r>
          <w:rPr>
            <w:noProof/>
            <w:webHidden/>
          </w:rPr>
          <w:instrText xml:space="preserve"> PAGEREF _Toc231223160 \h </w:instrText>
        </w:r>
        <w:r>
          <w:rPr>
            <w:noProof/>
            <w:webHidden/>
          </w:rPr>
        </w:r>
        <w:r>
          <w:rPr>
            <w:noProof/>
            <w:webHidden/>
          </w:rPr>
          <w:fldChar w:fldCharType="separate"/>
        </w:r>
        <w:r>
          <w:rPr>
            <w:noProof/>
            <w:webHidden/>
          </w:rPr>
          <w:t>7</w:t>
        </w:r>
        <w:r>
          <w:rPr>
            <w:noProof/>
            <w:webHidden/>
          </w:rPr>
          <w:fldChar w:fldCharType="end"/>
        </w:r>
      </w:hyperlink>
    </w:p>
    <w:p w14:paraId="0F66A49C" w14:textId="2A3A737C"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61" w:history="1">
        <w:r w:rsidRPr="00203D1D">
          <w:rPr>
            <w:rStyle w:val="Hipervnculo"/>
            <w:noProof/>
          </w:rPr>
          <w:t>1.3.</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Metodología y delimitación del estudio</w:t>
        </w:r>
        <w:r>
          <w:rPr>
            <w:noProof/>
            <w:webHidden/>
          </w:rPr>
          <w:tab/>
        </w:r>
        <w:r>
          <w:rPr>
            <w:noProof/>
            <w:webHidden/>
          </w:rPr>
          <w:fldChar w:fldCharType="begin"/>
        </w:r>
        <w:r>
          <w:rPr>
            <w:noProof/>
            <w:webHidden/>
          </w:rPr>
          <w:instrText xml:space="preserve"> PAGEREF _Toc231223161 \h </w:instrText>
        </w:r>
        <w:r>
          <w:rPr>
            <w:noProof/>
            <w:webHidden/>
          </w:rPr>
        </w:r>
        <w:r>
          <w:rPr>
            <w:noProof/>
            <w:webHidden/>
          </w:rPr>
          <w:fldChar w:fldCharType="separate"/>
        </w:r>
        <w:r>
          <w:rPr>
            <w:noProof/>
            <w:webHidden/>
          </w:rPr>
          <w:t>7</w:t>
        </w:r>
        <w:r>
          <w:rPr>
            <w:noProof/>
            <w:webHidden/>
          </w:rPr>
          <w:fldChar w:fldCharType="end"/>
        </w:r>
      </w:hyperlink>
    </w:p>
    <w:p w14:paraId="6FC5A97E" w14:textId="39B0CE8C"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62" w:history="1">
        <w:r w:rsidRPr="00203D1D">
          <w:rPr>
            <w:rStyle w:val="Hipervnculo"/>
            <w:noProof/>
          </w:rPr>
          <w:t>1.4.</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Estructura del trabajo</w:t>
        </w:r>
        <w:r>
          <w:rPr>
            <w:noProof/>
            <w:webHidden/>
          </w:rPr>
          <w:tab/>
        </w:r>
        <w:r>
          <w:rPr>
            <w:noProof/>
            <w:webHidden/>
          </w:rPr>
          <w:fldChar w:fldCharType="begin"/>
        </w:r>
        <w:r>
          <w:rPr>
            <w:noProof/>
            <w:webHidden/>
          </w:rPr>
          <w:instrText xml:space="preserve"> PAGEREF _Toc231223162 \h </w:instrText>
        </w:r>
        <w:r>
          <w:rPr>
            <w:noProof/>
            <w:webHidden/>
          </w:rPr>
        </w:r>
        <w:r>
          <w:rPr>
            <w:noProof/>
            <w:webHidden/>
          </w:rPr>
          <w:fldChar w:fldCharType="separate"/>
        </w:r>
        <w:r>
          <w:rPr>
            <w:noProof/>
            <w:webHidden/>
          </w:rPr>
          <w:t>8</w:t>
        </w:r>
        <w:r>
          <w:rPr>
            <w:noProof/>
            <w:webHidden/>
          </w:rPr>
          <w:fldChar w:fldCharType="end"/>
        </w:r>
      </w:hyperlink>
    </w:p>
    <w:p w14:paraId="0D044927" w14:textId="7E8CEC54" w:rsidR="00501A26" w:rsidRDefault="00501A26">
      <w:pPr>
        <w:pStyle w:val="TDC1"/>
        <w:tabs>
          <w:tab w:val="left" w:pos="480"/>
          <w:tab w:val="right" w:leader="dot" w:pos="8498"/>
        </w:tabs>
        <w:rPr>
          <w:rFonts w:eastAsiaTheme="minorEastAsia" w:cstheme="minorBidi"/>
          <w:b w:val="0"/>
          <w:bCs w:val="0"/>
          <w:i w:val="0"/>
          <w:iCs w:val="0"/>
          <w:noProof/>
          <w:kern w:val="2"/>
          <w:lang w:eastAsia="es-ES_tradnl" w:bidi="ar-SA"/>
          <w14:ligatures w14:val="standardContextual"/>
        </w:rPr>
      </w:pPr>
      <w:hyperlink w:anchor="_Toc231223163" w:history="1">
        <w:r w:rsidRPr="00203D1D">
          <w:rPr>
            <w:rStyle w:val="Hipervnculo"/>
            <w:noProof/>
          </w:rPr>
          <w:t>2.</w:t>
        </w:r>
        <w:r>
          <w:rPr>
            <w:rFonts w:eastAsiaTheme="minorEastAsia" w:cstheme="minorBidi"/>
            <w:b w:val="0"/>
            <w:bCs w:val="0"/>
            <w:i w:val="0"/>
            <w:iCs w:val="0"/>
            <w:noProof/>
            <w:kern w:val="2"/>
            <w:lang w:eastAsia="es-ES_tradnl" w:bidi="ar-SA"/>
            <w14:ligatures w14:val="standardContextual"/>
          </w:rPr>
          <w:tab/>
        </w:r>
        <w:r w:rsidRPr="00203D1D">
          <w:rPr>
            <w:rStyle w:val="Hipervnculo"/>
            <w:noProof/>
          </w:rPr>
          <w:t>Marco jurídico internacional de la inversión extranjera</w:t>
        </w:r>
        <w:r>
          <w:rPr>
            <w:noProof/>
            <w:webHidden/>
          </w:rPr>
          <w:tab/>
        </w:r>
        <w:r>
          <w:rPr>
            <w:noProof/>
            <w:webHidden/>
          </w:rPr>
          <w:fldChar w:fldCharType="begin"/>
        </w:r>
        <w:r>
          <w:rPr>
            <w:noProof/>
            <w:webHidden/>
          </w:rPr>
          <w:instrText xml:space="preserve"> PAGEREF _Toc231223163 \h </w:instrText>
        </w:r>
        <w:r>
          <w:rPr>
            <w:noProof/>
            <w:webHidden/>
          </w:rPr>
        </w:r>
        <w:r>
          <w:rPr>
            <w:noProof/>
            <w:webHidden/>
          </w:rPr>
          <w:fldChar w:fldCharType="separate"/>
        </w:r>
        <w:r>
          <w:rPr>
            <w:noProof/>
            <w:webHidden/>
          </w:rPr>
          <w:t>9</w:t>
        </w:r>
        <w:r>
          <w:rPr>
            <w:noProof/>
            <w:webHidden/>
          </w:rPr>
          <w:fldChar w:fldCharType="end"/>
        </w:r>
      </w:hyperlink>
    </w:p>
    <w:p w14:paraId="787712BD" w14:textId="3C063E17"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64" w:history="1">
        <w:r w:rsidRPr="00203D1D">
          <w:rPr>
            <w:rStyle w:val="Hipervnculo"/>
            <w:noProof/>
          </w:rPr>
          <w:t>2.1.</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Concepto y naturaleza de la inversión extranjera directa</w:t>
        </w:r>
        <w:r>
          <w:rPr>
            <w:noProof/>
            <w:webHidden/>
          </w:rPr>
          <w:tab/>
        </w:r>
        <w:r>
          <w:rPr>
            <w:noProof/>
            <w:webHidden/>
          </w:rPr>
          <w:fldChar w:fldCharType="begin"/>
        </w:r>
        <w:r>
          <w:rPr>
            <w:noProof/>
            <w:webHidden/>
          </w:rPr>
          <w:instrText xml:space="preserve"> PAGEREF _Toc231223164 \h </w:instrText>
        </w:r>
        <w:r>
          <w:rPr>
            <w:noProof/>
            <w:webHidden/>
          </w:rPr>
        </w:r>
        <w:r>
          <w:rPr>
            <w:noProof/>
            <w:webHidden/>
          </w:rPr>
          <w:fldChar w:fldCharType="separate"/>
        </w:r>
        <w:r>
          <w:rPr>
            <w:noProof/>
            <w:webHidden/>
          </w:rPr>
          <w:t>9</w:t>
        </w:r>
        <w:r>
          <w:rPr>
            <w:noProof/>
            <w:webHidden/>
          </w:rPr>
          <w:fldChar w:fldCharType="end"/>
        </w:r>
      </w:hyperlink>
    </w:p>
    <w:p w14:paraId="0B16D7FF" w14:textId="5BF442D1"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65" w:history="1">
        <w:r w:rsidRPr="00203D1D">
          <w:rPr>
            <w:rStyle w:val="Hipervnculo"/>
            <w:noProof/>
          </w:rPr>
          <w:t>2.2.</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Principales normativas del Derecho Mercantil Internacional en materia de inversión</w:t>
        </w:r>
        <w:r>
          <w:rPr>
            <w:noProof/>
            <w:webHidden/>
          </w:rPr>
          <w:tab/>
        </w:r>
        <w:r>
          <w:rPr>
            <w:noProof/>
            <w:webHidden/>
          </w:rPr>
          <w:fldChar w:fldCharType="begin"/>
        </w:r>
        <w:r>
          <w:rPr>
            <w:noProof/>
            <w:webHidden/>
          </w:rPr>
          <w:instrText xml:space="preserve"> PAGEREF _Toc231223165 \h </w:instrText>
        </w:r>
        <w:r>
          <w:rPr>
            <w:noProof/>
            <w:webHidden/>
          </w:rPr>
        </w:r>
        <w:r>
          <w:rPr>
            <w:noProof/>
            <w:webHidden/>
          </w:rPr>
          <w:fldChar w:fldCharType="separate"/>
        </w:r>
        <w:r>
          <w:rPr>
            <w:noProof/>
            <w:webHidden/>
          </w:rPr>
          <w:t>11</w:t>
        </w:r>
        <w:r>
          <w:rPr>
            <w:noProof/>
            <w:webHidden/>
          </w:rPr>
          <w:fldChar w:fldCharType="end"/>
        </w:r>
      </w:hyperlink>
    </w:p>
    <w:p w14:paraId="0669045E" w14:textId="4D562AAB"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66" w:history="1">
        <w:r w:rsidRPr="00203D1D">
          <w:rPr>
            <w:rStyle w:val="Hipervnculo"/>
            <w:noProof/>
          </w:rPr>
          <w:t>2.3.</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Estándares clásicos de protección del inversor: trato justo y equitativo, trato nacional, nación más favorecida y expropiación</w:t>
        </w:r>
        <w:r>
          <w:rPr>
            <w:noProof/>
            <w:webHidden/>
          </w:rPr>
          <w:tab/>
        </w:r>
        <w:r>
          <w:rPr>
            <w:noProof/>
            <w:webHidden/>
          </w:rPr>
          <w:fldChar w:fldCharType="begin"/>
        </w:r>
        <w:r>
          <w:rPr>
            <w:noProof/>
            <w:webHidden/>
          </w:rPr>
          <w:instrText xml:space="preserve"> PAGEREF _Toc231223166 \h </w:instrText>
        </w:r>
        <w:r>
          <w:rPr>
            <w:noProof/>
            <w:webHidden/>
          </w:rPr>
        </w:r>
        <w:r>
          <w:rPr>
            <w:noProof/>
            <w:webHidden/>
          </w:rPr>
          <w:fldChar w:fldCharType="separate"/>
        </w:r>
        <w:r>
          <w:rPr>
            <w:noProof/>
            <w:webHidden/>
          </w:rPr>
          <w:t>12</w:t>
        </w:r>
        <w:r>
          <w:rPr>
            <w:noProof/>
            <w:webHidden/>
          </w:rPr>
          <w:fldChar w:fldCharType="end"/>
        </w:r>
      </w:hyperlink>
    </w:p>
    <w:p w14:paraId="05D93C81" w14:textId="5B79CAA4"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67" w:history="1">
        <w:r w:rsidRPr="00203D1D">
          <w:rPr>
            <w:rStyle w:val="Hipervnculo"/>
            <w:noProof/>
          </w:rPr>
          <w:t>2.4.</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El arbitraje internacional como mecanismo de resolución de controversias en materia de inversión</w:t>
        </w:r>
        <w:r>
          <w:rPr>
            <w:noProof/>
            <w:webHidden/>
          </w:rPr>
          <w:tab/>
        </w:r>
        <w:r>
          <w:rPr>
            <w:noProof/>
            <w:webHidden/>
          </w:rPr>
          <w:fldChar w:fldCharType="begin"/>
        </w:r>
        <w:r>
          <w:rPr>
            <w:noProof/>
            <w:webHidden/>
          </w:rPr>
          <w:instrText xml:space="preserve"> PAGEREF _Toc231223167 \h </w:instrText>
        </w:r>
        <w:r>
          <w:rPr>
            <w:noProof/>
            <w:webHidden/>
          </w:rPr>
        </w:r>
        <w:r>
          <w:rPr>
            <w:noProof/>
            <w:webHidden/>
          </w:rPr>
          <w:fldChar w:fldCharType="separate"/>
        </w:r>
        <w:r>
          <w:rPr>
            <w:noProof/>
            <w:webHidden/>
          </w:rPr>
          <w:t>14</w:t>
        </w:r>
        <w:r>
          <w:rPr>
            <w:noProof/>
            <w:webHidden/>
          </w:rPr>
          <w:fldChar w:fldCharType="end"/>
        </w:r>
      </w:hyperlink>
    </w:p>
    <w:p w14:paraId="79F2D6BC" w14:textId="77ED15D1"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68" w:history="1">
        <w:r w:rsidRPr="00203D1D">
          <w:rPr>
            <w:rStyle w:val="Hipervnculo"/>
            <w:noProof/>
          </w:rPr>
          <w:t>2.5.</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El papel de las instituciones internacionales: CIADI, UNCITRAL y la CCI</w:t>
        </w:r>
        <w:r>
          <w:rPr>
            <w:noProof/>
            <w:webHidden/>
          </w:rPr>
          <w:tab/>
        </w:r>
        <w:r>
          <w:rPr>
            <w:noProof/>
            <w:webHidden/>
          </w:rPr>
          <w:fldChar w:fldCharType="begin"/>
        </w:r>
        <w:r>
          <w:rPr>
            <w:noProof/>
            <w:webHidden/>
          </w:rPr>
          <w:instrText xml:space="preserve"> PAGEREF _Toc231223168 \h </w:instrText>
        </w:r>
        <w:r>
          <w:rPr>
            <w:noProof/>
            <w:webHidden/>
          </w:rPr>
        </w:r>
        <w:r>
          <w:rPr>
            <w:noProof/>
            <w:webHidden/>
          </w:rPr>
          <w:fldChar w:fldCharType="separate"/>
        </w:r>
        <w:r>
          <w:rPr>
            <w:noProof/>
            <w:webHidden/>
          </w:rPr>
          <w:t>15</w:t>
        </w:r>
        <w:r>
          <w:rPr>
            <w:noProof/>
            <w:webHidden/>
          </w:rPr>
          <w:fldChar w:fldCharType="end"/>
        </w:r>
      </w:hyperlink>
    </w:p>
    <w:p w14:paraId="7424DB23" w14:textId="6A34D3C9" w:rsidR="00501A26" w:rsidRDefault="00501A26">
      <w:pPr>
        <w:pStyle w:val="TDC1"/>
        <w:tabs>
          <w:tab w:val="left" w:pos="480"/>
          <w:tab w:val="right" w:leader="dot" w:pos="8498"/>
        </w:tabs>
        <w:rPr>
          <w:rFonts w:eastAsiaTheme="minorEastAsia" w:cstheme="minorBidi"/>
          <w:b w:val="0"/>
          <w:bCs w:val="0"/>
          <w:i w:val="0"/>
          <w:iCs w:val="0"/>
          <w:noProof/>
          <w:kern w:val="2"/>
          <w:lang w:eastAsia="es-ES_tradnl" w:bidi="ar-SA"/>
          <w14:ligatures w14:val="standardContextual"/>
        </w:rPr>
      </w:pPr>
      <w:hyperlink w:anchor="_Toc231223169" w:history="1">
        <w:r w:rsidRPr="00203D1D">
          <w:rPr>
            <w:rStyle w:val="Hipervnculo"/>
            <w:noProof/>
          </w:rPr>
          <w:t>3.</w:t>
        </w:r>
        <w:r>
          <w:rPr>
            <w:rFonts w:eastAsiaTheme="minorEastAsia" w:cstheme="minorBidi"/>
            <w:b w:val="0"/>
            <w:bCs w:val="0"/>
            <w:i w:val="0"/>
            <w:iCs w:val="0"/>
            <w:noProof/>
            <w:kern w:val="2"/>
            <w:lang w:eastAsia="es-ES_tradnl" w:bidi="ar-SA"/>
            <w14:ligatures w14:val="standardContextual"/>
          </w:rPr>
          <w:tab/>
        </w:r>
        <w:r w:rsidRPr="00203D1D">
          <w:rPr>
            <w:rStyle w:val="Hipervnculo"/>
            <w:noProof/>
          </w:rPr>
          <w:t>El régimen jurídico de protección del inversor en la Unión Europea</w:t>
        </w:r>
        <w:r>
          <w:rPr>
            <w:noProof/>
            <w:webHidden/>
          </w:rPr>
          <w:tab/>
        </w:r>
        <w:r>
          <w:rPr>
            <w:noProof/>
            <w:webHidden/>
          </w:rPr>
          <w:fldChar w:fldCharType="begin"/>
        </w:r>
        <w:r>
          <w:rPr>
            <w:noProof/>
            <w:webHidden/>
          </w:rPr>
          <w:instrText xml:space="preserve"> PAGEREF _Toc231223169 \h </w:instrText>
        </w:r>
        <w:r>
          <w:rPr>
            <w:noProof/>
            <w:webHidden/>
          </w:rPr>
        </w:r>
        <w:r>
          <w:rPr>
            <w:noProof/>
            <w:webHidden/>
          </w:rPr>
          <w:fldChar w:fldCharType="separate"/>
        </w:r>
        <w:r>
          <w:rPr>
            <w:noProof/>
            <w:webHidden/>
          </w:rPr>
          <w:t>16</w:t>
        </w:r>
        <w:r>
          <w:rPr>
            <w:noProof/>
            <w:webHidden/>
          </w:rPr>
          <w:fldChar w:fldCharType="end"/>
        </w:r>
      </w:hyperlink>
    </w:p>
    <w:p w14:paraId="44F7BCAF" w14:textId="2ED13EF1"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70" w:history="1">
        <w:r w:rsidRPr="00203D1D">
          <w:rPr>
            <w:rStyle w:val="Hipervnculo"/>
            <w:noProof/>
          </w:rPr>
          <w:t>3.1.</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Evolución del modelo europeo de protección de inversiones</w:t>
        </w:r>
        <w:r>
          <w:rPr>
            <w:noProof/>
            <w:webHidden/>
          </w:rPr>
          <w:tab/>
        </w:r>
        <w:r>
          <w:rPr>
            <w:noProof/>
            <w:webHidden/>
          </w:rPr>
          <w:fldChar w:fldCharType="begin"/>
        </w:r>
        <w:r>
          <w:rPr>
            <w:noProof/>
            <w:webHidden/>
          </w:rPr>
          <w:instrText xml:space="preserve"> PAGEREF _Toc231223170 \h </w:instrText>
        </w:r>
        <w:r>
          <w:rPr>
            <w:noProof/>
            <w:webHidden/>
          </w:rPr>
        </w:r>
        <w:r>
          <w:rPr>
            <w:noProof/>
            <w:webHidden/>
          </w:rPr>
          <w:fldChar w:fldCharType="separate"/>
        </w:r>
        <w:r>
          <w:rPr>
            <w:noProof/>
            <w:webHidden/>
          </w:rPr>
          <w:t>17</w:t>
        </w:r>
        <w:r>
          <w:rPr>
            <w:noProof/>
            <w:webHidden/>
          </w:rPr>
          <w:fldChar w:fldCharType="end"/>
        </w:r>
      </w:hyperlink>
    </w:p>
    <w:p w14:paraId="6F0E5FDC" w14:textId="4003D279"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71" w:history="1">
        <w:r w:rsidRPr="00203D1D">
          <w:rPr>
            <w:rStyle w:val="Hipervnculo"/>
            <w:noProof/>
          </w:rPr>
          <w:t>3.2.</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Consecuencias jurídicas del caso Achmea v. Slovakia y la anulación de los tratados bilaterales intra-UE</w:t>
        </w:r>
        <w:r>
          <w:rPr>
            <w:noProof/>
            <w:webHidden/>
          </w:rPr>
          <w:tab/>
        </w:r>
        <w:r>
          <w:rPr>
            <w:noProof/>
            <w:webHidden/>
          </w:rPr>
          <w:fldChar w:fldCharType="begin"/>
        </w:r>
        <w:r>
          <w:rPr>
            <w:noProof/>
            <w:webHidden/>
          </w:rPr>
          <w:instrText xml:space="preserve"> PAGEREF _Toc231223171 \h </w:instrText>
        </w:r>
        <w:r>
          <w:rPr>
            <w:noProof/>
            <w:webHidden/>
          </w:rPr>
        </w:r>
        <w:r>
          <w:rPr>
            <w:noProof/>
            <w:webHidden/>
          </w:rPr>
          <w:fldChar w:fldCharType="separate"/>
        </w:r>
        <w:r>
          <w:rPr>
            <w:noProof/>
            <w:webHidden/>
          </w:rPr>
          <w:t>18</w:t>
        </w:r>
        <w:r>
          <w:rPr>
            <w:noProof/>
            <w:webHidden/>
          </w:rPr>
          <w:fldChar w:fldCharType="end"/>
        </w:r>
      </w:hyperlink>
    </w:p>
    <w:p w14:paraId="15807668" w14:textId="5308C5A6"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72" w:history="1">
        <w:r w:rsidRPr="00203D1D">
          <w:rPr>
            <w:rStyle w:val="Hipervnculo"/>
            <w:noProof/>
          </w:rPr>
          <w:t>3.3.</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El nuevo marco institucional: Propuesta de Tribunal Multilateral de Inversiones (MIC)</w:t>
        </w:r>
        <w:r>
          <w:rPr>
            <w:noProof/>
            <w:webHidden/>
          </w:rPr>
          <w:tab/>
        </w:r>
        <w:r>
          <w:rPr>
            <w:noProof/>
            <w:webHidden/>
          </w:rPr>
          <w:fldChar w:fldCharType="begin"/>
        </w:r>
        <w:r>
          <w:rPr>
            <w:noProof/>
            <w:webHidden/>
          </w:rPr>
          <w:instrText xml:space="preserve"> PAGEREF _Toc231223172 \h </w:instrText>
        </w:r>
        <w:r>
          <w:rPr>
            <w:noProof/>
            <w:webHidden/>
          </w:rPr>
        </w:r>
        <w:r>
          <w:rPr>
            <w:noProof/>
            <w:webHidden/>
          </w:rPr>
          <w:fldChar w:fldCharType="separate"/>
        </w:r>
        <w:r>
          <w:rPr>
            <w:noProof/>
            <w:webHidden/>
          </w:rPr>
          <w:t>19</w:t>
        </w:r>
        <w:r>
          <w:rPr>
            <w:noProof/>
            <w:webHidden/>
          </w:rPr>
          <w:fldChar w:fldCharType="end"/>
        </w:r>
      </w:hyperlink>
    </w:p>
    <w:p w14:paraId="7C4B3471" w14:textId="3A23802E"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73" w:history="1">
        <w:r w:rsidRPr="00203D1D">
          <w:rPr>
            <w:rStyle w:val="Hipervnculo"/>
            <w:noProof/>
          </w:rPr>
          <w:t>3.4.</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Análisis de acuerdos internacionales de nueva generación: CETA y otros instrumentos UE relevantes; UE-Mercosur</w:t>
        </w:r>
        <w:r>
          <w:rPr>
            <w:noProof/>
            <w:webHidden/>
          </w:rPr>
          <w:tab/>
        </w:r>
        <w:r>
          <w:rPr>
            <w:noProof/>
            <w:webHidden/>
          </w:rPr>
          <w:fldChar w:fldCharType="begin"/>
        </w:r>
        <w:r>
          <w:rPr>
            <w:noProof/>
            <w:webHidden/>
          </w:rPr>
          <w:instrText xml:space="preserve"> PAGEREF _Toc231223173 \h </w:instrText>
        </w:r>
        <w:r>
          <w:rPr>
            <w:noProof/>
            <w:webHidden/>
          </w:rPr>
        </w:r>
        <w:r>
          <w:rPr>
            <w:noProof/>
            <w:webHidden/>
          </w:rPr>
          <w:fldChar w:fldCharType="separate"/>
        </w:r>
        <w:r>
          <w:rPr>
            <w:noProof/>
            <w:webHidden/>
          </w:rPr>
          <w:t>20</w:t>
        </w:r>
        <w:r>
          <w:rPr>
            <w:noProof/>
            <w:webHidden/>
          </w:rPr>
          <w:fldChar w:fldCharType="end"/>
        </w:r>
      </w:hyperlink>
    </w:p>
    <w:p w14:paraId="6C27C9E2" w14:textId="39A5471F"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74" w:history="1">
        <w:r w:rsidRPr="00203D1D">
          <w:rPr>
            <w:rStyle w:val="Hipervnculo"/>
            <w:noProof/>
          </w:rPr>
          <w:t>3.5.</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Compatibilidad del sistema de arbitraje con el ordenamiento jurídico de la Unión Europea</w:t>
        </w:r>
        <w:r>
          <w:rPr>
            <w:noProof/>
            <w:webHidden/>
          </w:rPr>
          <w:tab/>
        </w:r>
        <w:r>
          <w:rPr>
            <w:noProof/>
            <w:webHidden/>
          </w:rPr>
          <w:fldChar w:fldCharType="begin"/>
        </w:r>
        <w:r>
          <w:rPr>
            <w:noProof/>
            <w:webHidden/>
          </w:rPr>
          <w:instrText xml:space="preserve"> PAGEREF _Toc231223174 \h </w:instrText>
        </w:r>
        <w:r>
          <w:rPr>
            <w:noProof/>
            <w:webHidden/>
          </w:rPr>
        </w:r>
        <w:r>
          <w:rPr>
            <w:noProof/>
            <w:webHidden/>
          </w:rPr>
          <w:fldChar w:fldCharType="separate"/>
        </w:r>
        <w:r>
          <w:rPr>
            <w:noProof/>
            <w:webHidden/>
          </w:rPr>
          <w:t>22</w:t>
        </w:r>
        <w:r>
          <w:rPr>
            <w:noProof/>
            <w:webHidden/>
          </w:rPr>
          <w:fldChar w:fldCharType="end"/>
        </w:r>
      </w:hyperlink>
    </w:p>
    <w:p w14:paraId="4D78E673" w14:textId="4956260D" w:rsidR="00501A26" w:rsidRDefault="00501A26">
      <w:pPr>
        <w:pStyle w:val="TDC1"/>
        <w:tabs>
          <w:tab w:val="left" w:pos="480"/>
          <w:tab w:val="right" w:leader="dot" w:pos="8498"/>
        </w:tabs>
        <w:rPr>
          <w:rFonts w:eastAsiaTheme="minorEastAsia" w:cstheme="minorBidi"/>
          <w:b w:val="0"/>
          <w:bCs w:val="0"/>
          <w:i w:val="0"/>
          <w:iCs w:val="0"/>
          <w:noProof/>
          <w:kern w:val="2"/>
          <w:lang w:eastAsia="es-ES_tradnl" w:bidi="ar-SA"/>
          <w14:ligatures w14:val="standardContextual"/>
        </w:rPr>
      </w:pPr>
      <w:hyperlink w:anchor="_Toc231223175" w:history="1">
        <w:r w:rsidRPr="00203D1D">
          <w:rPr>
            <w:rStyle w:val="Hipervnculo"/>
            <w:noProof/>
          </w:rPr>
          <w:t>4.</w:t>
        </w:r>
        <w:r>
          <w:rPr>
            <w:rFonts w:eastAsiaTheme="minorEastAsia" w:cstheme="minorBidi"/>
            <w:b w:val="0"/>
            <w:bCs w:val="0"/>
            <w:i w:val="0"/>
            <w:iCs w:val="0"/>
            <w:noProof/>
            <w:kern w:val="2"/>
            <w:lang w:eastAsia="es-ES_tradnl" w:bidi="ar-SA"/>
            <w14:ligatures w14:val="standardContextual"/>
          </w:rPr>
          <w:tab/>
        </w:r>
        <w:r w:rsidRPr="00203D1D">
          <w:rPr>
            <w:rStyle w:val="Hipervnculo"/>
            <w:noProof/>
          </w:rPr>
          <w:t>El régimen jurídico de protección del inversor en América Latina</w:t>
        </w:r>
        <w:r>
          <w:rPr>
            <w:noProof/>
            <w:webHidden/>
          </w:rPr>
          <w:tab/>
        </w:r>
        <w:r>
          <w:rPr>
            <w:noProof/>
            <w:webHidden/>
          </w:rPr>
          <w:fldChar w:fldCharType="begin"/>
        </w:r>
        <w:r>
          <w:rPr>
            <w:noProof/>
            <w:webHidden/>
          </w:rPr>
          <w:instrText xml:space="preserve"> PAGEREF _Toc231223175 \h </w:instrText>
        </w:r>
        <w:r>
          <w:rPr>
            <w:noProof/>
            <w:webHidden/>
          </w:rPr>
        </w:r>
        <w:r>
          <w:rPr>
            <w:noProof/>
            <w:webHidden/>
          </w:rPr>
          <w:fldChar w:fldCharType="separate"/>
        </w:r>
        <w:r>
          <w:rPr>
            <w:noProof/>
            <w:webHidden/>
          </w:rPr>
          <w:t>23</w:t>
        </w:r>
        <w:r>
          <w:rPr>
            <w:noProof/>
            <w:webHidden/>
          </w:rPr>
          <w:fldChar w:fldCharType="end"/>
        </w:r>
      </w:hyperlink>
    </w:p>
    <w:p w14:paraId="322DB3A7" w14:textId="28EFA9D5"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76" w:history="1">
        <w:r w:rsidRPr="00203D1D">
          <w:rPr>
            <w:rStyle w:val="Hipervnculo"/>
            <w:noProof/>
          </w:rPr>
          <w:t>4.1.</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Evolución del marco institucional de protección de inversiones en América Latina</w:t>
        </w:r>
        <w:r>
          <w:rPr>
            <w:noProof/>
            <w:webHidden/>
          </w:rPr>
          <w:tab/>
        </w:r>
        <w:r>
          <w:rPr>
            <w:noProof/>
            <w:webHidden/>
          </w:rPr>
          <w:fldChar w:fldCharType="begin"/>
        </w:r>
        <w:r>
          <w:rPr>
            <w:noProof/>
            <w:webHidden/>
          </w:rPr>
          <w:instrText xml:space="preserve"> PAGEREF _Toc231223176 \h </w:instrText>
        </w:r>
        <w:r>
          <w:rPr>
            <w:noProof/>
            <w:webHidden/>
          </w:rPr>
        </w:r>
        <w:r>
          <w:rPr>
            <w:noProof/>
            <w:webHidden/>
          </w:rPr>
          <w:fldChar w:fldCharType="separate"/>
        </w:r>
        <w:r>
          <w:rPr>
            <w:noProof/>
            <w:webHidden/>
          </w:rPr>
          <w:t>23</w:t>
        </w:r>
        <w:r>
          <w:rPr>
            <w:noProof/>
            <w:webHidden/>
          </w:rPr>
          <w:fldChar w:fldCharType="end"/>
        </w:r>
      </w:hyperlink>
    </w:p>
    <w:p w14:paraId="1E51DA66" w14:textId="4973846E"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77" w:history="1">
        <w:r w:rsidRPr="00203D1D">
          <w:rPr>
            <w:rStyle w:val="Hipervnculo"/>
            <w:noProof/>
          </w:rPr>
          <w:t>4.2.</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Marcos normativos nacionales y redes de tratados bilaterales de inversión</w:t>
        </w:r>
        <w:r>
          <w:rPr>
            <w:noProof/>
            <w:webHidden/>
          </w:rPr>
          <w:tab/>
        </w:r>
        <w:r>
          <w:rPr>
            <w:noProof/>
            <w:webHidden/>
          </w:rPr>
          <w:fldChar w:fldCharType="begin"/>
        </w:r>
        <w:r>
          <w:rPr>
            <w:noProof/>
            <w:webHidden/>
          </w:rPr>
          <w:instrText xml:space="preserve"> PAGEREF _Toc231223177 \h </w:instrText>
        </w:r>
        <w:r>
          <w:rPr>
            <w:noProof/>
            <w:webHidden/>
          </w:rPr>
        </w:r>
        <w:r>
          <w:rPr>
            <w:noProof/>
            <w:webHidden/>
          </w:rPr>
          <w:fldChar w:fldCharType="separate"/>
        </w:r>
        <w:r>
          <w:rPr>
            <w:noProof/>
            <w:webHidden/>
          </w:rPr>
          <w:t>25</w:t>
        </w:r>
        <w:r>
          <w:rPr>
            <w:noProof/>
            <w:webHidden/>
          </w:rPr>
          <w:fldChar w:fldCharType="end"/>
        </w:r>
      </w:hyperlink>
    </w:p>
    <w:p w14:paraId="45342E88" w14:textId="4152BB3B"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78" w:history="1">
        <w:r w:rsidRPr="00203D1D">
          <w:rPr>
            <w:rStyle w:val="Hipervnculo"/>
            <w:i/>
            <w:iCs/>
            <w:noProof/>
          </w:rPr>
          <w:t>4.3.</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 xml:space="preserve">Jurisprudencia arbitral relevante en materia de expropiación y trato justo: </w:t>
        </w:r>
        <w:r w:rsidRPr="00203D1D">
          <w:rPr>
            <w:rStyle w:val="Hipervnculo"/>
            <w:i/>
            <w:iCs/>
            <w:noProof/>
          </w:rPr>
          <w:t>Repsol v. Argentina, Occidental Petroleum v. Ecuador, Metalclad v. México</w:t>
        </w:r>
        <w:r>
          <w:rPr>
            <w:noProof/>
            <w:webHidden/>
          </w:rPr>
          <w:tab/>
        </w:r>
        <w:r>
          <w:rPr>
            <w:noProof/>
            <w:webHidden/>
          </w:rPr>
          <w:fldChar w:fldCharType="begin"/>
        </w:r>
        <w:r>
          <w:rPr>
            <w:noProof/>
            <w:webHidden/>
          </w:rPr>
          <w:instrText xml:space="preserve"> PAGEREF _Toc231223178 \h </w:instrText>
        </w:r>
        <w:r>
          <w:rPr>
            <w:noProof/>
            <w:webHidden/>
          </w:rPr>
        </w:r>
        <w:r>
          <w:rPr>
            <w:noProof/>
            <w:webHidden/>
          </w:rPr>
          <w:fldChar w:fldCharType="separate"/>
        </w:r>
        <w:r>
          <w:rPr>
            <w:noProof/>
            <w:webHidden/>
          </w:rPr>
          <w:t>26</w:t>
        </w:r>
        <w:r>
          <w:rPr>
            <w:noProof/>
            <w:webHidden/>
          </w:rPr>
          <w:fldChar w:fldCharType="end"/>
        </w:r>
      </w:hyperlink>
    </w:p>
    <w:p w14:paraId="7DE9E913" w14:textId="0A1213D5"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79" w:history="1">
        <w:r w:rsidRPr="00203D1D">
          <w:rPr>
            <w:rStyle w:val="Hipervnculo"/>
            <w:noProof/>
          </w:rPr>
          <w:t>4.4.</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Reformas recientes y tendencias hacia la modernización y transparencia del arbitraje en la región</w:t>
        </w:r>
        <w:r>
          <w:rPr>
            <w:noProof/>
            <w:webHidden/>
          </w:rPr>
          <w:tab/>
        </w:r>
        <w:r>
          <w:rPr>
            <w:noProof/>
            <w:webHidden/>
          </w:rPr>
          <w:fldChar w:fldCharType="begin"/>
        </w:r>
        <w:r>
          <w:rPr>
            <w:noProof/>
            <w:webHidden/>
          </w:rPr>
          <w:instrText xml:space="preserve"> PAGEREF _Toc231223179 \h </w:instrText>
        </w:r>
        <w:r>
          <w:rPr>
            <w:noProof/>
            <w:webHidden/>
          </w:rPr>
        </w:r>
        <w:r>
          <w:rPr>
            <w:noProof/>
            <w:webHidden/>
          </w:rPr>
          <w:fldChar w:fldCharType="separate"/>
        </w:r>
        <w:r>
          <w:rPr>
            <w:noProof/>
            <w:webHidden/>
          </w:rPr>
          <w:t>31</w:t>
        </w:r>
        <w:r>
          <w:rPr>
            <w:noProof/>
            <w:webHidden/>
          </w:rPr>
          <w:fldChar w:fldCharType="end"/>
        </w:r>
      </w:hyperlink>
    </w:p>
    <w:p w14:paraId="119F7DA9" w14:textId="09E91363" w:rsidR="00501A26" w:rsidRDefault="00501A26">
      <w:pPr>
        <w:pStyle w:val="TDC1"/>
        <w:tabs>
          <w:tab w:val="left" w:pos="480"/>
          <w:tab w:val="right" w:leader="dot" w:pos="8498"/>
        </w:tabs>
        <w:rPr>
          <w:rFonts w:eastAsiaTheme="minorEastAsia" w:cstheme="minorBidi"/>
          <w:b w:val="0"/>
          <w:bCs w:val="0"/>
          <w:i w:val="0"/>
          <w:iCs w:val="0"/>
          <w:noProof/>
          <w:kern w:val="2"/>
          <w:lang w:eastAsia="es-ES_tradnl" w:bidi="ar-SA"/>
          <w14:ligatures w14:val="standardContextual"/>
        </w:rPr>
      </w:pPr>
      <w:hyperlink w:anchor="_Toc231223180" w:history="1">
        <w:r w:rsidRPr="00203D1D">
          <w:rPr>
            <w:rStyle w:val="Hipervnculo"/>
            <w:noProof/>
          </w:rPr>
          <w:t>5.</w:t>
        </w:r>
        <w:r>
          <w:rPr>
            <w:rFonts w:eastAsiaTheme="minorEastAsia" w:cstheme="minorBidi"/>
            <w:b w:val="0"/>
            <w:bCs w:val="0"/>
            <w:i w:val="0"/>
            <w:iCs w:val="0"/>
            <w:noProof/>
            <w:kern w:val="2"/>
            <w:lang w:eastAsia="es-ES_tradnl" w:bidi="ar-SA"/>
            <w14:ligatures w14:val="standardContextual"/>
          </w:rPr>
          <w:tab/>
        </w:r>
        <w:r w:rsidRPr="00203D1D">
          <w:rPr>
            <w:rStyle w:val="Hipervnculo"/>
            <w:noProof/>
          </w:rPr>
          <w:t>Análisis comparado entre la Unión Europea y América Latina</w:t>
        </w:r>
        <w:r>
          <w:rPr>
            <w:noProof/>
            <w:webHidden/>
          </w:rPr>
          <w:tab/>
        </w:r>
        <w:r>
          <w:rPr>
            <w:noProof/>
            <w:webHidden/>
          </w:rPr>
          <w:fldChar w:fldCharType="begin"/>
        </w:r>
        <w:r>
          <w:rPr>
            <w:noProof/>
            <w:webHidden/>
          </w:rPr>
          <w:instrText xml:space="preserve"> PAGEREF _Toc231223180 \h </w:instrText>
        </w:r>
        <w:r>
          <w:rPr>
            <w:noProof/>
            <w:webHidden/>
          </w:rPr>
        </w:r>
        <w:r>
          <w:rPr>
            <w:noProof/>
            <w:webHidden/>
          </w:rPr>
          <w:fldChar w:fldCharType="separate"/>
        </w:r>
        <w:r>
          <w:rPr>
            <w:noProof/>
            <w:webHidden/>
          </w:rPr>
          <w:t>34</w:t>
        </w:r>
        <w:r>
          <w:rPr>
            <w:noProof/>
            <w:webHidden/>
          </w:rPr>
          <w:fldChar w:fldCharType="end"/>
        </w:r>
      </w:hyperlink>
    </w:p>
    <w:p w14:paraId="2EA46455" w14:textId="10C68462"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81" w:history="1">
        <w:r w:rsidRPr="00203D1D">
          <w:rPr>
            <w:rStyle w:val="Hipervnculo"/>
            <w:noProof/>
          </w:rPr>
          <w:t>5.1.</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Divergencias normativas en los estándares de protección y en los procedimientos arbitrales</w:t>
        </w:r>
        <w:r>
          <w:rPr>
            <w:noProof/>
            <w:webHidden/>
          </w:rPr>
          <w:tab/>
        </w:r>
        <w:r>
          <w:rPr>
            <w:noProof/>
            <w:webHidden/>
          </w:rPr>
          <w:fldChar w:fldCharType="begin"/>
        </w:r>
        <w:r>
          <w:rPr>
            <w:noProof/>
            <w:webHidden/>
          </w:rPr>
          <w:instrText xml:space="preserve"> PAGEREF _Toc231223181 \h </w:instrText>
        </w:r>
        <w:r>
          <w:rPr>
            <w:noProof/>
            <w:webHidden/>
          </w:rPr>
        </w:r>
        <w:r>
          <w:rPr>
            <w:noProof/>
            <w:webHidden/>
          </w:rPr>
          <w:fldChar w:fldCharType="separate"/>
        </w:r>
        <w:r>
          <w:rPr>
            <w:noProof/>
            <w:webHidden/>
          </w:rPr>
          <w:t>34</w:t>
        </w:r>
        <w:r>
          <w:rPr>
            <w:noProof/>
            <w:webHidden/>
          </w:rPr>
          <w:fldChar w:fldCharType="end"/>
        </w:r>
      </w:hyperlink>
    </w:p>
    <w:p w14:paraId="73A9E399" w14:textId="3DD816FD"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82" w:history="1">
        <w:r w:rsidRPr="00203D1D">
          <w:rPr>
            <w:rStyle w:val="Hipervnculo"/>
            <w:noProof/>
          </w:rPr>
          <w:t>5.2.</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Cumplimiento de laudos y mecanismos de ejecución en ambas regiones</w:t>
        </w:r>
        <w:r>
          <w:rPr>
            <w:noProof/>
            <w:webHidden/>
          </w:rPr>
          <w:tab/>
        </w:r>
        <w:r>
          <w:rPr>
            <w:noProof/>
            <w:webHidden/>
          </w:rPr>
          <w:fldChar w:fldCharType="begin"/>
        </w:r>
        <w:r>
          <w:rPr>
            <w:noProof/>
            <w:webHidden/>
          </w:rPr>
          <w:instrText xml:space="preserve"> PAGEREF _Toc231223182 \h </w:instrText>
        </w:r>
        <w:r>
          <w:rPr>
            <w:noProof/>
            <w:webHidden/>
          </w:rPr>
        </w:r>
        <w:r>
          <w:rPr>
            <w:noProof/>
            <w:webHidden/>
          </w:rPr>
          <w:fldChar w:fldCharType="separate"/>
        </w:r>
        <w:r>
          <w:rPr>
            <w:noProof/>
            <w:webHidden/>
          </w:rPr>
          <w:t>37</w:t>
        </w:r>
        <w:r>
          <w:rPr>
            <w:noProof/>
            <w:webHidden/>
          </w:rPr>
          <w:fldChar w:fldCharType="end"/>
        </w:r>
      </w:hyperlink>
    </w:p>
    <w:p w14:paraId="578D52CD" w14:textId="04124FD8"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83" w:history="1">
        <w:r w:rsidRPr="00203D1D">
          <w:rPr>
            <w:rStyle w:val="Hipervnculo"/>
            <w:noProof/>
          </w:rPr>
          <w:t>5.3.</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Seguridad jurídica y previsibilidad institucional: factores jurídicos y extrajurídicos</w:t>
        </w:r>
        <w:r>
          <w:rPr>
            <w:noProof/>
            <w:webHidden/>
          </w:rPr>
          <w:tab/>
        </w:r>
        <w:r>
          <w:rPr>
            <w:noProof/>
            <w:webHidden/>
          </w:rPr>
          <w:fldChar w:fldCharType="begin"/>
        </w:r>
        <w:r>
          <w:rPr>
            <w:noProof/>
            <w:webHidden/>
          </w:rPr>
          <w:instrText xml:space="preserve"> PAGEREF _Toc231223183 \h </w:instrText>
        </w:r>
        <w:r>
          <w:rPr>
            <w:noProof/>
            <w:webHidden/>
          </w:rPr>
        </w:r>
        <w:r>
          <w:rPr>
            <w:noProof/>
            <w:webHidden/>
          </w:rPr>
          <w:fldChar w:fldCharType="separate"/>
        </w:r>
        <w:r>
          <w:rPr>
            <w:noProof/>
            <w:webHidden/>
          </w:rPr>
          <w:t>39</w:t>
        </w:r>
        <w:r>
          <w:rPr>
            <w:noProof/>
            <w:webHidden/>
          </w:rPr>
          <w:fldChar w:fldCharType="end"/>
        </w:r>
      </w:hyperlink>
    </w:p>
    <w:p w14:paraId="63AE63CD" w14:textId="516A995D"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84" w:history="1">
        <w:r w:rsidRPr="00203D1D">
          <w:rPr>
            <w:rStyle w:val="Hipervnculo"/>
            <w:noProof/>
          </w:rPr>
          <w:t>5.4.</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Convergencia de modelos: rumbo hacia una armonización global del Derecho de las inversiones internacionales</w:t>
        </w:r>
        <w:r>
          <w:rPr>
            <w:noProof/>
            <w:webHidden/>
          </w:rPr>
          <w:tab/>
        </w:r>
        <w:r>
          <w:rPr>
            <w:noProof/>
            <w:webHidden/>
          </w:rPr>
          <w:fldChar w:fldCharType="begin"/>
        </w:r>
        <w:r>
          <w:rPr>
            <w:noProof/>
            <w:webHidden/>
          </w:rPr>
          <w:instrText xml:space="preserve"> PAGEREF _Toc231223184 \h </w:instrText>
        </w:r>
        <w:r>
          <w:rPr>
            <w:noProof/>
            <w:webHidden/>
          </w:rPr>
        </w:r>
        <w:r>
          <w:rPr>
            <w:noProof/>
            <w:webHidden/>
          </w:rPr>
          <w:fldChar w:fldCharType="separate"/>
        </w:r>
        <w:r>
          <w:rPr>
            <w:noProof/>
            <w:webHidden/>
          </w:rPr>
          <w:t>43</w:t>
        </w:r>
        <w:r>
          <w:rPr>
            <w:noProof/>
            <w:webHidden/>
          </w:rPr>
          <w:fldChar w:fldCharType="end"/>
        </w:r>
      </w:hyperlink>
    </w:p>
    <w:p w14:paraId="3437ADCE" w14:textId="34E6EB97" w:rsidR="00501A26" w:rsidRDefault="00501A26">
      <w:pPr>
        <w:pStyle w:val="TDC1"/>
        <w:tabs>
          <w:tab w:val="left" w:pos="480"/>
          <w:tab w:val="right" w:leader="dot" w:pos="8498"/>
        </w:tabs>
        <w:rPr>
          <w:rFonts w:eastAsiaTheme="minorEastAsia" w:cstheme="minorBidi"/>
          <w:b w:val="0"/>
          <w:bCs w:val="0"/>
          <w:i w:val="0"/>
          <w:iCs w:val="0"/>
          <w:noProof/>
          <w:kern w:val="2"/>
          <w:lang w:eastAsia="es-ES_tradnl" w:bidi="ar-SA"/>
          <w14:ligatures w14:val="standardContextual"/>
        </w:rPr>
      </w:pPr>
      <w:hyperlink w:anchor="_Toc231223185" w:history="1">
        <w:r w:rsidRPr="00203D1D">
          <w:rPr>
            <w:rStyle w:val="Hipervnculo"/>
            <w:noProof/>
          </w:rPr>
          <w:t>6.</w:t>
        </w:r>
        <w:r>
          <w:rPr>
            <w:rFonts w:eastAsiaTheme="minorEastAsia" w:cstheme="minorBidi"/>
            <w:b w:val="0"/>
            <w:bCs w:val="0"/>
            <w:i w:val="0"/>
            <w:iCs w:val="0"/>
            <w:noProof/>
            <w:kern w:val="2"/>
            <w:lang w:eastAsia="es-ES_tradnl" w:bidi="ar-SA"/>
            <w14:ligatures w14:val="standardContextual"/>
          </w:rPr>
          <w:tab/>
        </w:r>
        <w:r w:rsidRPr="00203D1D">
          <w:rPr>
            <w:rStyle w:val="Hipervnculo"/>
            <w:noProof/>
          </w:rPr>
          <w:t>Conclusiones</w:t>
        </w:r>
        <w:r>
          <w:rPr>
            <w:noProof/>
            <w:webHidden/>
          </w:rPr>
          <w:tab/>
        </w:r>
        <w:r>
          <w:rPr>
            <w:noProof/>
            <w:webHidden/>
          </w:rPr>
          <w:fldChar w:fldCharType="begin"/>
        </w:r>
        <w:r>
          <w:rPr>
            <w:noProof/>
            <w:webHidden/>
          </w:rPr>
          <w:instrText xml:space="preserve"> PAGEREF _Toc231223185 \h </w:instrText>
        </w:r>
        <w:r>
          <w:rPr>
            <w:noProof/>
            <w:webHidden/>
          </w:rPr>
        </w:r>
        <w:r>
          <w:rPr>
            <w:noProof/>
            <w:webHidden/>
          </w:rPr>
          <w:fldChar w:fldCharType="separate"/>
        </w:r>
        <w:r>
          <w:rPr>
            <w:noProof/>
            <w:webHidden/>
          </w:rPr>
          <w:t>45</w:t>
        </w:r>
        <w:r>
          <w:rPr>
            <w:noProof/>
            <w:webHidden/>
          </w:rPr>
          <w:fldChar w:fldCharType="end"/>
        </w:r>
      </w:hyperlink>
    </w:p>
    <w:p w14:paraId="571374C0" w14:textId="13FD29F6"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86" w:history="1">
        <w:r w:rsidRPr="00203D1D">
          <w:rPr>
            <w:rStyle w:val="Hipervnculo"/>
            <w:noProof/>
          </w:rPr>
          <w:t>6.1.</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Principales hallazgos del análisis comparado</w:t>
        </w:r>
        <w:r>
          <w:rPr>
            <w:noProof/>
            <w:webHidden/>
          </w:rPr>
          <w:tab/>
        </w:r>
        <w:r>
          <w:rPr>
            <w:noProof/>
            <w:webHidden/>
          </w:rPr>
          <w:fldChar w:fldCharType="begin"/>
        </w:r>
        <w:r>
          <w:rPr>
            <w:noProof/>
            <w:webHidden/>
          </w:rPr>
          <w:instrText xml:space="preserve"> PAGEREF _Toc231223186 \h </w:instrText>
        </w:r>
        <w:r>
          <w:rPr>
            <w:noProof/>
            <w:webHidden/>
          </w:rPr>
        </w:r>
        <w:r>
          <w:rPr>
            <w:noProof/>
            <w:webHidden/>
          </w:rPr>
          <w:fldChar w:fldCharType="separate"/>
        </w:r>
        <w:r>
          <w:rPr>
            <w:noProof/>
            <w:webHidden/>
          </w:rPr>
          <w:t>45</w:t>
        </w:r>
        <w:r>
          <w:rPr>
            <w:noProof/>
            <w:webHidden/>
          </w:rPr>
          <w:fldChar w:fldCharType="end"/>
        </w:r>
      </w:hyperlink>
    </w:p>
    <w:p w14:paraId="2072DD71" w14:textId="0B1818DC"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87" w:history="1">
        <w:r w:rsidRPr="00203D1D">
          <w:rPr>
            <w:rStyle w:val="Hipervnculo"/>
            <w:noProof/>
          </w:rPr>
          <w:t>6.2.</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Evolución de la seguridad jurídica del inversor</w:t>
        </w:r>
        <w:r>
          <w:rPr>
            <w:noProof/>
            <w:webHidden/>
          </w:rPr>
          <w:tab/>
        </w:r>
        <w:r>
          <w:rPr>
            <w:noProof/>
            <w:webHidden/>
          </w:rPr>
          <w:fldChar w:fldCharType="begin"/>
        </w:r>
        <w:r>
          <w:rPr>
            <w:noProof/>
            <w:webHidden/>
          </w:rPr>
          <w:instrText xml:space="preserve"> PAGEREF _Toc231223187 \h </w:instrText>
        </w:r>
        <w:r>
          <w:rPr>
            <w:noProof/>
            <w:webHidden/>
          </w:rPr>
        </w:r>
        <w:r>
          <w:rPr>
            <w:noProof/>
            <w:webHidden/>
          </w:rPr>
          <w:fldChar w:fldCharType="separate"/>
        </w:r>
        <w:r>
          <w:rPr>
            <w:noProof/>
            <w:webHidden/>
          </w:rPr>
          <w:t>46</w:t>
        </w:r>
        <w:r>
          <w:rPr>
            <w:noProof/>
            <w:webHidden/>
          </w:rPr>
          <w:fldChar w:fldCharType="end"/>
        </w:r>
      </w:hyperlink>
    </w:p>
    <w:p w14:paraId="71A5FCE8" w14:textId="29E04FEB" w:rsidR="00501A26" w:rsidRDefault="00501A26">
      <w:pPr>
        <w:pStyle w:val="TDC2"/>
        <w:tabs>
          <w:tab w:val="left" w:pos="960"/>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88" w:history="1">
        <w:r w:rsidRPr="00203D1D">
          <w:rPr>
            <w:rStyle w:val="Hipervnculo"/>
            <w:noProof/>
          </w:rPr>
          <w:t>6.3.</w:t>
        </w:r>
        <w:r>
          <w:rPr>
            <w:rFonts w:eastAsiaTheme="minorEastAsia" w:cstheme="minorBidi"/>
            <w:b w:val="0"/>
            <w:bCs w:val="0"/>
            <w:noProof/>
            <w:kern w:val="2"/>
            <w:sz w:val="24"/>
            <w:szCs w:val="24"/>
            <w:lang w:eastAsia="es-ES_tradnl" w:bidi="ar-SA"/>
            <w14:ligatures w14:val="standardContextual"/>
          </w:rPr>
          <w:tab/>
        </w:r>
        <w:r w:rsidRPr="00203D1D">
          <w:rPr>
            <w:rStyle w:val="Hipervnculo"/>
            <w:noProof/>
          </w:rPr>
          <w:t>Implicaciones para el Derecho Mercantil internacional</w:t>
        </w:r>
        <w:r>
          <w:rPr>
            <w:noProof/>
            <w:webHidden/>
          </w:rPr>
          <w:tab/>
        </w:r>
        <w:r>
          <w:rPr>
            <w:noProof/>
            <w:webHidden/>
          </w:rPr>
          <w:fldChar w:fldCharType="begin"/>
        </w:r>
        <w:r>
          <w:rPr>
            <w:noProof/>
            <w:webHidden/>
          </w:rPr>
          <w:instrText xml:space="preserve"> PAGEREF _Toc231223188 \h </w:instrText>
        </w:r>
        <w:r>
          <w:rPr>
            <w:noProof/>
            <w:webHidden/>
          </w:rPr>
        </w:r>
        <w:r>
          <w:rPr>
            <w:noProof/>
            <w:webHidden/>
          </w:rPr>
          <w:fldChar w:fldCharType="separate"/>
        </w:r>
        <w:r>
          <w:rPr>
            <w:noProof/>
            <w:webHidden/>
          </w:rPr>
          <w:t>47</w:t>
        </w:r>
        <w:r>
          <w:rPr>
            <w:noProof/>
            <w:webHidden/>
          </w:rPr>
          <w:fldChar w:fldCharType="end"/>
        </w:r>
      </w:hyperlink>
    </w:p>
    <w:p w14:paraId="07E44DB7" w14:textId="078B3F6F" w:rsidR="00501A26" w:rsidRDefault="00501A26">
      <w:pPr>
        <w:pStyle w:val="TDC1"/>
        <w:tabs>
          <w:tab w:val="left" w:pos="480"/>
          <w:tab w:val="right" w:leader="dot" w:pos="8498"/>
        </w:tabs>
        <w:rPr>
          <w:rFonts w:eastAsiaTheme="minorEastAsia" w:cstheme="minorBidi"/>
          <w:b w:val="0"/>
          <w:bCs w:val="0"/>
          <w:i w:val="0"/>
          <w:iCs w:val="0"/>
          <w:noProof/>
          <w:kern w:val="2"/>
          <w:lang w:eastAsia="es-ES_tradnl" w:bidi="ar-SA"/>
          <w14:ligatures w14:val="standardContextual"/>
        </w:rPr>
      </w:pPr>
      <w:hyperlink w:anchor="_Toc231223189" w:history="1">
        <w:r w:rsidRPr="00203D1D">
          <w:rPr>
            <w:rStyle w:val="Hipervnculo"/>
            <w:noProof/>
          </w:rPr>
          <w:t>7.</w:t>
        </w:r>
        <w:r>
          <w:rPr>
            <w:rFonts w:eastAsiaTheme="minorEastAsia" w:cstheme="minorBidi"/>
            <w:b w:val="0"/>
            <w:bCs w:val="0"/>
            <w:i w:val="0"/>
            <w:iCs w:val="0"/>
            <w:noProof/>
            <w:kern w:val="2"/>
            <w:lang w:eastAsia="es-ES_tradnl" w:bidi="ar-SA"/>
            <w14:ligatures w14:val="standardContextual"/>
          </w:rPr>
          <w:tab/>
        </w:r>
        <w:r w:rsidRPr="00203D1D">
          <w:rPr>
            <w:rStyle w:val="Hipervnculo"/>
            <w:noProof/>
          </w:rPr>
          <w:t>Bibliografía</w:t>
        </w:r>
        <w:r>
          <w:rPr>
            <w:noProof/>
            <w:webHidden/>
          </w:rPr>
          <w:tab/>
        </w:r>
        <w:r>
          <w:rPr>
            <w:noProof/>
            <w:webHidden/>
          </w:rPr>
          <w:fldChar w:fldCharType="begin"/>
        </w:r>
        <w:r>
          <w:rPr>
            <w:noProof/>
            <w:webHidden/>
          </w:rPr>
          <w:instrText xml:space="preserve"> PAGEREF _Toc231223189 \h </w:instrText>
        </w:r>
        <w:r>
          <w:rPr>
            <w:noProof/>
            <w:webHidden/>
          </w:rPr>
        </w:r>
        <w:r>
          <w:rPr>
            <w:noProof/>
            <w:webHidden/>
          </w:rPr>
          <w:fldChar w:fldCharType="separate"/>
        </w:r>
        <w:r>
          <w:rPr>
            <w:noProof/>
            <w:webHidden/>
          </w:rPr>
          <w:t>49</w:t>
        </w:r>
        <w:r>
          <w:rPr>
            <w:noProof/>
            <w:webHidden/>
          </w:rPr>
          <w:fldChar w:fldCharType="end"/>
        </w:r>
      </w:hyperlink>
    </w:p>
    <w:p w14:paraId="5C861B81" w14:textId="0C488B21" w:rsidR="00501A26" w:rsidRDefault="00501A26">
      <w:pPr>
        <w:pStyle w:val="TDC1"/>
        <w:tabs>
          <w:tab w:val="left" w:pos="480"/>
          <w:tab w:val="right" w:leader="dot" w:pos="8498"/>
        </w:tabs>
        <w:rPr>
          <w:rFonts w:eastAsiaTheme="minorEastAsia" w:cstheme="minorBidi"/>
          <w:b w:val="0"/>
          <w:bCs w:val="0"/>
          <w:i w:val="0"/>
          <w:iCs w:val="0"/>
          <w:noProof/>
          <w:kern w:val="2"/>
          <w:lang w:eastAsia="es-ES_tradnl" w:bidi="ar-SA"/>
          <w14:ligatures w14:val="standardContextual"/>
        </w:rPr>
      </w:pPr>
      <w:hyperlink w:anchor="_Toc231223190" w:history="1">
        <w:r w:rsidRPr="00203D1D">
          <w:rPr>
            <w:rStyle w:val="Hipervnculo"/>
            <w:noProof/>
          </w:rPr>
          <w:t>8.</w:t>
        </w:r>
        <w:r>
          <w:rPr>
            <w:rFonts w:eastAsiaTheme="minorEastAsia" w:cstheme="minorBidi"/>
            <w:b w:val="0"/>
            <w:bCs w:val="0"/>
            <w:i w:val="0"/>
            <w:iCs w:val="0"/>
            <w:noProof/>
            <w:kern w:val="2"/>
            <w:lang w:eastAsia="es-ES_tradnl" w:bidi="ar-SA"/>
            <w14:ligatures w14:val="standardContextual"/>
          </w:rPr>
          <w:tab/>
        </w:r>
        <w:r w:rsidRPr="00203D1D">
          <w:rPr>
            <w:rStyle w:val="Hipervnculo"/>
            <w:noProof/>
          </w:rPr>
          <w:t>Anexos</w:t>
        </w:r>
        <w:r>
          <w:rPr>
            <w:noProof/>
            <w:webHidden/>
          </w:rPr>
          <w:tab/>
        </w:r>
        <w:r>
          <w:rPr>
            <w:noProof/>
            <w:webHidden/>
          </w:rPr>
          <w:fldChar w:fldCharType="begin"/>
        </w:r>
        <w:r>
          <w:rPr>
            <w:noProof/>
            <w:webHidden/>
          </w:rPr>
          <w:instrText xml:space="preserve"> PAGEREF _Toc231223190 \h </w:instrText>
        </w:r>
        <w:r>
          <w:rPr>
            <w:noProof/>
            <w:webHidden/>
          </w:rPr>
        </w:r>
        <w:r>
          <w:rPr>
            <w:noProof/>
            <w:webHidden/>
          </w:rPr>
          <w:fldChar w:fldCharType="separate"/>
        </w:r>
        <w:r>
          <w:rPr>
            <w:noProof/>
            <w:webHidden/>
          </w:rPr>
          <w:t>52</w:t>
        </w:r>
        <w:r>
          <w:rPr>
            <w:noProof/>
            <w:webHidden/>
          </w:rPr>
          <w:fldChar w:fldCharType="end"/>
        </w:r>
      </w:hyperlink>
    </w:p>
    <w:p w14:paraId="1FD9FC48" w14:textId="76D643B2" w:rsidR="00501A26" w:rsidRDefault="00501A26">
      <w:pPr>
        <w:pStyle w:val="TDC2"/>
        <w:tabs>
          <w:tab w:val="right" w:leader="dot" w:pos="8498"/>
        </w:tabs>
        <w:rPr>
          <w:rFonts w:eastAsiaTheme="minorEastAsia" w:cstheme="minorBidi"/>
          <w:b w:val="0"/>
          <w:bCs w:val="0"/>
          <w:noProof/>
          <w:kern w:val="2"/>
          <w:sz w:val="24"/>
          <w:szCs w:val="24"/>
          <w:lang w:eastAsia="es-ES_tradnl" w:bidi="ar-SA"/>
          <w14:ligatures w14:val="standardContextual"/>
        </w:rPr>
      </w:pPr>
      <w:hyperlink w:anchor="_Toc231223191" w:history="1">
        <w:r w:rsidRPr="00203D1D">
          <w:rPr>
            <w:rStyle w:val="Hipervnculo"/>
            <w:noProof/>
          </w:rPr>
          <w:t>ANEXO I</w:t>
        </w:r>
        <w:r>
          <w:rPr>
            <w:noProof/>
            <w:webHidden/>
          </w:rPr>
          <w:tab/>
        </w:r>
        <w:r>
          <w:rPr>
            <w:noProof/>
            <w:webHidden/>
          </w:rPr>
          <w:fldChar w:fldCharType="begin"/>
        </w:r>
        <w:r>
          <w:rPr>
            <w:noProof/>
            <w:webHidden/>
          </w:rPr>
          <w:instrText xml:space="preserve"> PAGEREF _Toc231223191 \h </w:instrText>
        </w:r>
        <w:r>
          <w:rPr>
            <w:noProof/>
            <w:webHidden/>
          </w:rPr>
        </w:r>
        <w:r>
          <w:rPr>
            <w:noProof/>
            <w:webHidden/>
          </w:rPr>
          <w:fldChar w:fldCharType="separate"/>
        </w:r>
        <w:r>
          <w:rPr>
            <w:noProof/>
            <w:webHidden/>
          </w:rPr>
          <w:t>52</w:t>
        </w:r>
        <w:r>
          <w:rPr>
            <w:noProof/>
            <w:webHidden/>
          </w:rPr>
          <w:fldChar w:fldCharType="end"/>
        </w:r>
      </w:hyperlink>
    </w:p>
    <w:p w14:paraId="782A94FC" w14:textId="08B01686" w:rsidR="00C8170A" w:rsidRDefault="00F229DB" w:rsidP="00020166">
      <w:r>
        <w:fldChar w:fldCharType="end"/>
      </w:r>
      <w:bookmarkEnd w:id="0"/>
    </w:p>
    <w:p w14:paraId="37CBFEB1" w14:textId="77777777" w:rsidR="00C8170A" w:rsidRDefault="00C8170A" w:rsidP="00020166"/>
    <w:p w14:paraId="39F2000A" w14:textId="77777777" w:rsidR="00C8170A" w:rsidRDefault="00C8170A" w:rsidP="00020166"/>
    <w:p w14:paraId="2D95977C" w14:textId="77777777" w:rsidR="009B71EF" w:rsidRDefault="009B71EF" w:rsidP="00020166"/>
    <w:p w14:paraId="05743332" w14:textId="77777777" w:rsidR="009B71EF" w:rsidRDefault="009B71EF" w:rsidP="00020166"/>
    <w:p w14:paraId="7CEB94FF" w14:textId="77777777" w:rsidR="009B71EF" w:rsidRDefault="009B71EF" w:rsidP="00020166"/>
    <w:p w14:paraId="2A7FA533" w14:textId="77777777" w:rsidR="009B71EF" w:rsidRDefault="009B71EF" w:rsidP="00020166"/>
    <w:p w14:paraId="1D389BC9" w14:textId="77777777" w:rsidR="009B71EF" w:rsidRDefault="009B71EF" w:rsidP="00020166"/>
    <w:p w14:paraId="767E6F0D" w14:textId="77777777" w:rsidR="009B71EF" w:rsidRDefault="009B71EF" w:rsidP="00020166"/>
    <w:p w14:paraId="596FC268" w14:textId="77777777" w:rsidR="009B71EF" w:rsidRDefault="009B71EF" w:rsidP="00020166"/>
    <w:p w14:paraId="152243BE" w14:textId="77777777" w:rsidR="009B71EF" w:rsidRDefault="009B71EF" w:rsidP="00020166"/>
    <w:p w14:paraId="37907F85" w14:textId="43B2816A" w:rsidR="00C8170A" w:rsidRDefault="00C8170A" w:rsidP="00207EB4">
      <w:pPr>
        <w:pStyle w:val="Ttulo1"/>
        <w:numPr>
          <w:ilvl w:val="0"/>
          <w:numId w:val="2"/>
        </w:numPr>
      </w:pPr>
      <w:bookmarkStart w:id="1" w:name="_Toc231223158"/>
      <w:r>
        <w:lastRenderedPageBreak/>
        <w:t>Introducción</w:t>
      </w:r>
      <w:bookmarkEnd w:id="1"/>
    </w:p>
    <w:p w14:paraId="17B26E72" w14:textId="4FBB6399" w:rsidR="00356143" w:rsidRDefault="00020166" w:rsidP="00356143">
      <w:pPr>
        <w:pStyle w:val="Ttulo2"/>
      </w:pPr>
      <w:bookmarkStart w:id="2" w:name="_Toc231223159"/>
      <w:bookmarkStart w:id="3" w:name="OLE_LINK3"/>
      <w:r>
        <w:t>Justificación y relevancia del tema</w:t>
      </w:r>
      <w:bookmarkStart w:id="4" w:name="OLE_LINK2"/>
      <w:bookmarkEnd w:id="2"/>
    </w:p>
    <w:p w14:paraId="54A17B27" w14:textId="433D2836" w:rsidR="00356143" w:rsidRDefault="00CB4132" w:rsidP="00356143">
      <w:r>
        <w:t xml:space="preserve"> El presente trabajo aborda la seguridad jurídica y la protección del inversor en el ámbito de la inversión internacional, materia que ha ganado peso ante la intensa actividad normativa y los debates jurídicos y políticos de las últimas décadas. El tema interesa porque permite examinar la relación entre los actores y bloques geopolíticos implicados, así como estudiar la evolución histórica y normativa de los modelos de protección del inversor en las dos regiones objeto de análisis.</w:t>
      </w:r>
    </w:p>
    <w:p w14:paraId="51FE5A6A" w14:textId="77777777" w:rsidR="00356143" w:rsidRDefault="00356143" w:rsidP="00356143">
      <w:r>
        <w:t>La decisión de articular el trabajo en torno a los conceptos de seguridad jurídica y protección del inversor obedece a que ambos vertebran el Derecho Internacional de las Inversiones (DII). Se trata de principios que no solo expresan una exigencia inherente al Estado de derecho, sino que determinan el equilibrio entre la soberanía regulatoria de los Estados y los derechos reconocidos a los inversores extranjeros.</w:t>
      </w:r>
    </w:p>
    <w:p w14:paraId="25DF66C8" w14:textId="77777777" w:rsidR="00356143" w:rsidRDefault="00356143" w:rsidP="00356143">
      <w:r>
        <w:t>La seguridad jurídica, en este contexto, puede entenderse como la garantía de estabilidad y previsibilidad del marco normativo aplicable a la inversión, de modo que el inversor pueda planificar su actividad sin verse expuesto a modificaciones arbitrarias o imprevisibles por parte del Estado receptor. Este principio opera como límite a la discrecionalidad estatal y como referencia para valorar la adecuación de las decisiones regulatorias a las expectativas legítimas generadas en el inversor.</w:t>
      </w:r>
    </w:p>
    <w:p w14:paraId="53D8CBF3" w14:textId="6397B676" w:rsidR="006431FE" w:rsidRPr="00F11F18" w:rsidRDefault="00356143" w:rsidP="00F11F18">
      <w:r>
        <w:t>El trabajo analiza y contrasta los marcos jurídicos en materia de inversión extranjera de la Unión Europea y América Latina. La Unión Europea ha impulsado una reforma de calado mediante la propuesta de un Tribunal Multilateral de Inversiones (MIC), orientada a dotar al sistema de mayor coherencia, transparencia e independencia en la función adjudicadora. América Latina, por su parte, ha mantenido históricamente una posición más recelosa frente al arbitraje inversor-Estado, motivada por una serie de deficiencias estructurales que se le atribuyen al sistema: la asimetría entre las partes en el procedimiento, las dudas sobre la independencia e imparcialidad de los árbitros derivadas de ciertos incentivos inherentes al modelo, la falta de coherencia entre laudos y las limitaciones del control posterior sobre los mismos, todo ello con un impacto directo en la previsibilidad del sistema. Este contraste ofrece un marco idóneo para examinar cuestiones nucleares de la seguridad jurídica, como la articulación entre la protección del inversor y la preservación del interés público, o el alcance de la autonomía regulatoria de los Estados.</w:t>
      </w:r>
    </w:p>
    <w:p w14:paraId="028D5A12" w14:textId="1975A31D" w:rsidR="00356143" w:rsidRDefault="00020166" w:rsidP="00EE6BB2">
      <w:pPr>
        <w:pStyle w:val="Ttulo2"/>
      </w:pPr>
      <w:bookmarkStart w:id="5" w:name="_Toc231223160"/>
      <w:bookmarkStart w:id="6" w:name="OLE_LINK4"/>
      <w:bookmarkStart w:id="7" w:name="OLE_LINK6"/>
      <w:bookmarkEnd w:id="3"/>
      <w:bookmarkEnd w:id="4"/>
      <w:r>
        <w:lastRenderedPageBreak/>
        <w:t>Objetivos y preguntas de investigación</w:t>
      </w:r>
      <w:bookmarkEnd w:id="5"/>
    </w:p>
    <w:p w14:paraId="06708250" w14:textId="77777777" w:rsidR="00356143" w:rsidRDefault="00356143" w:rsidP="00356143">
      <w:r>
        <w:t>El objetivo general consiste en analizar el régimen jurídico de protección del inversor extranjero en la Unión Europea y en América Latina, examinando su incidencia en la seguridad jurídica y su influencia en la atracción y retención de inversión extranjera.</w:t>
      </w:r>
    </w:p>
    <w:p w14:paraId="2543D88F" w14:textId="77777777" w:rsidR="00356143" w:rsidRDefault="00356143" w:rsidP="00356143">
      <w:r>
        <w:t>A partir de este objetivo general, se articulan los siguientes objetivos específicos. En primer lugar, identificar los principales mecanismos jurídicos de protección del inversor extranjero presentes en ambas regiones. En segundo lugar, analizar el papel del arbitraje internacional como mecanismo preferente de resolución de controversias en esta materia, así como su compatibilidad con los respectivos ordenamientos jurídicos. En tercer lugar, examinar el grado de estabilidad y previsibilidad del marco normativo aplicable a la inversión extranjera, en tanto que dimensiones centrales de la seguridad jurídica. Finalmente, identificar los principales riesgos percibidos por el inversor extranjero en cada uno de los dos ámbitos territoriales analizados.</w:t>
      </w:r>
    </w:p>
    <w:p w14:paraId="47C51CE3" w14:textId="36D7A0D8" w:rsidR="00C81A77" w:rsidRDefault="00356143" w:rsidP="00356143">
      <w:r>
        <w:t>De estos objetivos se derivan las siguientes preguntas de investigación: ¿qué diferencias existen entre la Unión Europea y América Latina en los estándares jurídicos de protección al inversor extranjero?, y ¿en qué medida el arbitraje internacional constituye un mecanismo eficaz y previsible para la resolución de controversias en materia de inversión en ambas regiones?</w:t>
      </w:r>
    </w:p>
    <w:p w14:paraId="3B6C08DF" w14:textId="77777777" w:rsidR="006431FE" w:rsidRPr="00EE6BB2" w:rsidRDefault="006431FE" w:rsidP="00EE6BB2"/>
    <w:p w14:paraId="5AD37175" w14:textId="244ECCB4" w:rsidR="00356143" w:rsidRDefault="00020166" w:rsidP="00CA1EA3">
      <w:pPr>
        <w:pStyle w:val="Ttulo2"/>
      </w:pPr>
      <w:bookmarkStart w:id="8" w:name="_Toc231223161"/>
      <w:bookmarkEnd w:id="6"/>
      <w:r>
        <w:t>Metodología y delimitación del estudio</w:t>
      </w:r>
      <w:bookmarkEnd w:id="8"/>
    </w:p>
    <w:p w14:paraId="5CD526A2" w14:textId="35B3612A" w:rsidR="00356143" w:rsidRDefault="00356143" w:rsidP="00356143">
      <w:r>
        <w:t>El presente trabajo se desarrolla a partir de una metodología jurídico-dogmática, complementada con el método comparado, con el fin de analizar el régimen de protección del inversor extranjero en la Unión Europea y en América Latina. Este enfoque permite abordar el objeto de estudio desde una doble dimensión: la configuración normativa del sistema y su funcionamiento práctico, tal como se refleja en la jurisprudencia arbitral y en los mecanismos institucionales de cada región.</w:t>
      </w:r>
    </w:p>
    <w:p w14:paraId="78380CCF" w14:textId="77777777" w:rsidR="00356143" w:rsidRDefault="00356143" w:rsidP="00356143">
      <w:r>
        <w:t>El trabajo parte del análisis de las principales fuentes jurídicas en materia de inversión extranjera, incluyendo los tratados bilaterales y multilaterales de inversión, los acuerdos de nueva generación y otros instrumentos relevantes en cada ámbito territorial. Este examen tiene por objeto identificar los estándares sustantivos de protección del inversor y su inserción en los respectivos ordenamientos jurídicos.</w:t>
      </w:r>
    </w:p>
    <w:p w14:paraId="195059FC" w14:textId="77777777" w:rsidR="00356143" w:rsidRDefault="00356143" w:rsidP="00356143">
      <w:r>
        <w:t xml:space="preserve">De forma complementaria, el trabajo incorpora un análisis doctrinal sustentado en la revisión de literatura jurídica especializada, orientado a contrastar las principales </w:t>
      </w:r>
      <w:r>
        <w:lastRenderedPageBreak/>
        <w:t>posiciones teóricas sobre la seguridad jurídica del inversor y sobre el equilibrio entre protección internacional y soberanía regulatoria del Estado.</w:t>
      </w:r>
    </w:p>
    <w:p w14:paraId="3A98EAE5" w14:textId="77777777" w:rsidR="00356143" w:rsidRDefault="00356143" w:rsidP="00356143">
      <w:r>
        <w:t>A ello se añade un análisis jurisprudencial de decisiones arbitrales de especial relevancia, que permite valorar cómo se interpretan y aplican en la práctica los estándares de protección y el principio de seguridad jurídica en cada región.</w:t>
      </w:r>
    </w:p>
    <w:p w14:paraId="17781E92" w14:textId="77777777" w:rsidR="00356143" w:rsidRDefault="00356143" w:rsidP="00356143">
      <w:r>
        <w:t>El método comparado vertebra el conjunto: confronta el modelo europeo de protección del inversor con el latinoamericano. Mediante esta comparación se identifican similitudes y divergencias en los mecanismos jurídicos de protección, en el funcionamiento del arbitraje internacional y en el nivel de previsibilidad normativa de cada sistema. Las referencias a medidas económicas o tributarias se incorporan únicamente de forma accesoria, cuando resulten necesarias para valorar la seguridad jurídica o la previsibilidad regulatoria.</w:t>
      </w:r>
    </w:p>
    <w:p w14:paraId="5A93850A" w14:textId="76399689" w:rsidR="0045593D" w:rsidRDefault="00356143" w:rsidP="00356143">
      <w:r>
        <w:t>En cuanto a la delimitación del estudio, desde un punto de vista material, el trabajo se circunscribe al análisis de la inversión extranjera directa y de los mecanismos jurídicos de protección del inversor en el marco del Derecho Internacional de las Inversiones. Desde una perspectiva territorial, el estudio se limita a la Unión Europea y América Latina como bloques regionales, sin perjuicio de la referencia puntual a determinados Estados cuando así lo requiera el análisis. Finalmente, desde un punto de vista temporal, el trabajo se centra en la evolución reciente del régimen de protección del inversor, prestando especial atención a las reformas normativas, institucionales y jurisprudenciales más significativas de las últimas décadas.</w:t>
      </w:r>
    </w:p>
    <w:p w14:paraId="70537553" w14:textId="77777777" w:rsidR="006431FE" w:rsidRPr="00CA1EA3" w:rsidRDefault="006431FE" w:rsidP="00CA1EA3"/>
    <w:p w14:paraId="59A65689" w14:textId="0827C751" w:rsidR="00356143" w:rsidRDefault="00020166" w:rsidP="00AD4724">
      <w:pPr>
        <w:pStyle w:val="Ttulo2"/>
      </w:pPr>
      <w:bookmarkStart w:id="9" w:name="_Toc231223162"/>
      <w:bookmarkEnd w:id="7"/>
      <w:r>
        <w:t>Estructura del trabajo</w:t>
      </w:r>
      <w:bookmarkStart w:id="10" w:name="OLE_LINK7"/>
      <w:bookmarkEnd w:id="9"/>
    </w:p>
    <w:p w14:paraId="04317809" w14:textId="77777777" w:rsidR="00356143" w:rsidRDefault="00356143" w:rsidP="00356143">
      <w:r>
        <w:t>El trabajo se organiza en varios bloques temáticos que abordan de forma progresiva el marco jurídico de la inversión extranjera y los mecanismos de protección del inversor.</w:t>
      </w:r>
    </w:p>
    <w:p w14:paraId="78D6B022" w14:textId="77777777" w:rsidR="00356143" w:rsidRDefault="00356143" w:rsidP="00356143">
      <w:r>
        <w:t>El primer bloque desarrolla el marco jurídico internacional de la inversión extranjera: el concepto y la naturaleza de la inversión extranjera directa, las principales normativas del Derecho Mercantil Internacional aplicables a la materia y los estándares clásicos de protección del inversor. Se examina asimismo el arbitraje internacional como mecanismo central de resolución de controversias, así como el papel desempeñado por instituciones como el CIADI, UNCITRAL y la CCI en la configuración del sistema.</w:t>
      </w:r>
    </w:p>
    <w:p w14:paraId="5F300866" w14:textId="77777777" w:rsidR="00356143" w:rsidRDefault="00356143" w:rsidP="00356143">
      <w:r>
        <w:t xml:space="preserve">El segundo bloque analiza el régimen de protección del inversor en cada uno de los territorios objeto de estudio. En lo que respecta a la Unión Europea, se abordan los </w:t>
      </w:r>
      <w:r>
        <w:lastRenderedPageBreak/>
        <w:t>principales precedentes jurisprudenciales que han condicionado la evolución de esta materia, la terminación de los tratados bilaterales entre Estados miembros, las iniciativas de reforma institucional en torno a la propuesta del MIC y el análisis de los acuerdos internacionales de nueva generación que conforman el marco actual de protección. En cuanto a América Latina, el análisis sigue una estructura paralela: se examina la evolución del marco institucional regional, la red de tratados bilaterales de inversión vigentes o terminados, la jurisprudencia arbitral más relevante y las reformas recientes dirigidas a modernizar el sistema y aumentar su transparencia.</w:t>
      </w:r>
    </w:p>
    <w:p w14:paraId="50BF1396" w14:textId="77777777" w:rsidR="00356143" w:rsidRDefault="00356143" w:rsidP="00356143">
      <w:r>
        <w:t>El tercer bloque presenta el análisis comparado entre ambas regiones, a través del cual se identifican las principales divergencias normativas, los mecanismos de cumplimiento y ejecución de laudos, los factores jurídicos y extrajurídicos que condicionan la seguridad jurídica y la previsibilidad institucional, y las tendencias de convergencia hacia un Derecho Internacional de las Inversiones de alcance global.</w:t>
      </w:r>
    </w:p>
    <w:bookmarkEnd w:id="10"/>
    <w:p w14:paraId="70ED8816" w14:textId="77777777" w:rsidR="009204D2" w:rsidRPr="009204D2" w:rsidRDefault="009204D2" w:rsidP="009204D2"/>
    <w:p w14:paraId="1C4313B2" w14:textId="6247717F" w:rsidR="009204D2" w:rsidRDefault="009204D2" w:rsidP="00207EB4">
      <w:pPr>
        <w:pStyle w:val="Ttulo1"/>
        <w:numPr>
          <w:ilvl w:val="0"/>
          <w:numId w:val="2"/>
        </w:numPr>
      </w:pPr>
      <w:bookmarkStart w:id="11" w:name="_Toc231223163"/>
      <w:r>
        <w:t>Marco jurídico internacional de la inversión extranjera</w:t>
      </w:r>
      <w:bookmarkEnd w:id="11"/>
    </w:p>
    <w:p w14:paraId="5E312DC1" w14:textId="093218DF" w:rsidR="00FA70BA" w:rsidRDefault="00FA70BA" w:rsidP="00FA70BA">
      <w:r>
        <w:t>El presente capítulo aborda los fundamentos jurídicos sobre los que se asienta el régimen internacional de la inversión extranjera. Con este propósito, se examina en primer lugar el concepto y la naturaleza de la inversión extranjera directa como categoría central del sistema, para continuar con el análisis de las principales normativas del Derecho Mercantil Internacional aplicables a la materia. A continuación se estudian los estándares clásicos de protección del inversor así como se analiza el arbitraje internacional como mecanismo preferente de resolución de controversias. El capítulo concluye con una valoración del papel desempeñado por las principales instituciones internacionales en la configuración y funcionamiento del sistema.</w:t>
      </w:r>
    </w:p>
    <w:p w14:paraId="036BD86A" w14:textId="77777777" w:rsidR="00FA70BA" w:rsidRPr="00FA70BA" w:rsidRDefault="00FA70BA" w:rsidP="00FA70BA"/>
    <w:p w14:paraId="31C543A9" w14:textId="0775B866" w:rsidR="00356143" w:rsidRDefault="00F229DB" w:rsidP="00443ECA">
      <w:pPr>
        <w:pStyle w:val="Ttulo2"/>
      </w:pPr>
      <w:r>
        <w:t xml:space="preserve"> </w:t>
      </w:r>
      <w:bookmarkStart w:id="12" w:name="_Toc231223164"/>
      <w:r>
        <w:t>Concepto y naturaleza de la inversión extranjera directa</w:t>
      </w:r>
      <w:bookmarkEnd w:id="12"/>
    </w:p>
    <w:p w14:paraId="26C669B8" w14:textId="7FC2E569" w:rsidR="00443ECA" w:rsidRDefault="00356143" w:rsidP="00443ECA">
      <w:pPr>
        <w:rPr>
          <w:rFonts w:cs="Times New Roman"/>
          <w:color w:val="000000"/>
        </w:rPr>
      </w:pPr>
      <w:r>
        <w:t xml:space="preserve">La inversión extranjera directa constituye una categoría central del Derecho Internacional de las Inversiones, al operar como presupuesto material para la aplicación de los mecanismos de protección previstos en los tratados internacionales. La UNCTAD la vincula a las actividades fronterizas de empresas multinacionales, y la asocia a la creación de actividad económica en el Estado receptor  </w:t>
      </w:r>
      <w:sdt>
        <w:sdtPr>
          <w:rPr>
            <w:rFonts w:cs="Times New Roman"/>
            <w:color w:val="000000"/>
            <w:highlight w:val="white"/>
          </w:rPr>
          <w:alias w:val="Citation"/>
          <w:tag w:val="{&quot;referencesIds&quot;:[&quot;doc:69660a166976963cbb259801&quot;],&quot;referencesOptions&quot;:{&quot;doc:69660a166976963cbb25980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6645048,&quot;citationText&quot;:&quot;&lt;span style=\&quot;font-family:Times New Roman;font-size:16px;color:#000000\&quot;&gt;(UNCTAD, 2015)&lt;/span&gt;&quot;}"/>
          <w:id w:val="-2036645048"/>
          <w:placeholder>
            <w:docPart w:val="D2A4CBF028D81143A40DDFD0450584F2"/>
          </w:placeholder>
        </w:sdtPr>
        <w:sdtContent>
          <w:r>
            <w:rPr>
              <w:rFonts w:eastAsia="Times New Roman"/>
              <w:color w:val="000000"/>
            </w:rPr>
            <w:t>(UNCTAD, 2015)</w:t>
          </w:r>
        </w:sdtContent>
      </w:sdt>
      <w:r>
        <w:rPr>
          <w:rFonts w:cs="Times New Roman"/>
          <w:color w:val="000000"/>
        </w:rPr>
        <w:t xml:space="preserve">. </w:t>
      </w:r>
    </w:p>
    <w:p w14:paraId="09CA9294" w14:textId="35BC732D" w:rsidR="00443ECA" w:rsidRDefault="00356143" w:rsidP="00443ECA">
      <w:pPr>
        <w:rPr>
          <w:rFonts w:cs="Times New Roman"/>
          <w:color w:val="000000"/>
        </w:rPr>
      </w:pPr>
      <w:r>
        <w:rPr>
          <w:rFonts w:cs="Times New Roman"/>
          <w:color w:val="000000"/>
        </w:rPr>
        <w:t xml:space="preserve">La caracterización jurídica de la inversión extranjera directa exige, en primer lugar, su distinción respecto de la inversión de cartera, diferencia elemental desde el punto de vista </w:t>
      </w:r>
      <w:r>
        <w:rPr>
          <w:rFonts w:cs="Times New Roman"/>
          <w:color w:val="000000"/>
        </w:rPr>
        <w:lastRenderedPageBreak/>
        <w:t xml:space="preserve">de su régimen de protección. La OCDE ha desarrollado criterios técnicos de referencia que permiten identificar cuándo existe una relación de inversión directa, cuyo rasgo definitorio es la intención del inversor de establecer un vínculo duradero con la empresa receptora en el Estado de destino. A este elemento se añade la capacidad de ejercer una influencia significativa en la gestión de dicha empresa, lo que no requiere necesariamente el control pleno de su capital, pero sí una participación efectiva en sus decisiones estratégicas. Como criterio orientativo se emplea un umbral del diez por ciento del capital o de los derechos de voto, porcentaje a partir del cual se presume la existencia de dicho vínculo de inversión directa </w:t>
      </w:r>
      <w:sdt>
        <w:sdtPr>
          <w:rPr>
            <w:rFonts w:cs="Times New Roman"/>
            <w:color w:val="000000"/>
            <w:highlight w:val="white"/>
          </w:rPr>
          <w:alias w:val="Citation"/>
          <w:tag w:val="{&quot;referencesIds&quot;:[&quot;doc:6966073a7d51ae13acc259d7&quot;],&quot;referencesOptions&quot;:{&quot;doc:6966073a7d51ae13acc259d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305999,&quot;citationText&quot;:&quot;&lt;span style=\&quot;font-family:Times New Roman;font-size:16px;color:#000000\&quot;&gt;(OECD, 1996)&lt;/span&gt;&quot;}"/>
          <w:id w:val="-11305999"/>
          <w:placeholder>
            <w:docPart w:val="57825C6A80F8F94E8A9E8B3C10CDE1AB"/>
          </w:placeholder>
        </w:sdtPr>
        <w:sdtContent>
          <w:r>
            <w:rPr>
              <w:rFonts w:eastAsia="Times New Roman"/>
              <w:color w:val="000000"/>
            </w:rPr>
            <w:t>(OECD, 1996)</w:t>
          </w:r>
        </w:sdtContent>
      </w:sdt>
      <w:r>
        <w:rPr>
          <w:rFonts w:cs="Times New Roman"/>
          <w:color w:val="000000"/>
        </w:rPr>
        <w:t xml:space="preserve">. </w:t>
      </w:r>
    </w:p>
    <w:p w14:paraId="2F644EC9" w14:textId="32CE73F6" w:rsidR="00356143" w:rsidRDefault="00356143" w:rsidP="00356143">
      <w:pPr>
        <w:rPr>
          <w:rFonts w:cs="Times New Roman"/>
          <w:color w:val="000000"/>
        </w:rPr>
      </w:pPr>
      <w:r>
        <w:rPr>
          <w:rFonts w:cs="Times New Roman"/>
          <w:color w:val="000000"/>
        </w:rPr>
        <w:t xml:space="preserve">Desde la óptica del Derecho Internacional de las Inversiones, esta calificación tiene consecuencias jurídicas directas. La definición de inversión contenida en los acuerdos internacionales, habitualmente tratados bilaterales de inversión o capítulos específicos de acuerdos más amplios, establece los límites dentro de los cuales quedan comprendidos los activos protegidos y los inversores que pueden invocar dicha protección </w:t>
      </w:r>
      <w:sdt>
        <w:sdtPr>
          <w:rPr>
            <w:rFonts w:cs="Times New Roman"/>
            <w:color w:val="000000"/>
            <w:highlight w:val="white"/>
          </w:rPr>
          <w:alias w:val="Citation"/>
          <w:tag w:val="{&quot;referencesIds&quot;:[&quot;doc:69660a166976963cbb259801&quot;],&quot;referencesOptions&quot;:{&quot;doc:69660a166976963cbb25980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33887292,&quot;citationText&quot;:&quot;&lt;span style=\&quot;font-family:Times New Roman;font-size:16px;color:#000000\&quot;&gt;(UNCTAD, 2015)&lt;/span&gt;&quot;}"/>
          <w:id w:val="-1345549200"/>
          <w:placeholder>
            <w:docPart w:val="09627424769BAE4BA0CA73B91026140F"/>
          </w:placeholder>
        </w:sdtPr>
        <w:sdtContent>
          <w:r>
            <w:rPr>
              <w:rFonts w:eastAsia="Times New Roman"/>
              <w:color w:val="000000"/>
            </w:rPr>
            <w:t>(UNCTAD, 2015)</w:t>
          </w:r>
        </w:sdtContent>
      </w:sdt>
      <w:r>
        <w:rPr>
          <w:rFonts w:cs="Times New Roman"/>
          <w:color w:val="000000"/>
        </w:rPr>
        <w:t xml:space="preserve">. </w:t>
      </w:r>
    </w:p>
    <w:p w14:paraId="6C2EC994" w14:textId="16EC090D" w:rsidR="00EC41C0" w:rsidRDefault="00356143" w:rsidP="00356143">
      <w:pPr>
        <w:rPr>
          <w:rFonts w:cs="Times New Roman"/>
          <w:color w:val="000000"/>
        </w:rPr>
      </w:pPr>
      <w:r>
        <w:rPr>
          <w:rFonts w:cs="Times New Roman"/>
          <w:color w:val="000000"/>
        </w:rPr>
        <w:t xml:space="preserve">Una vez que una operación encuadra en esa definición, el inversor puede reclamar en el plano internacional los estándares sustantivos reconocidos en el instrumento aplicable: el trato nacional, la cláusula de nación más favorecida, el trato justo y equitativo, la protección frente a la expropiación ilícita y la garantía de libre transferencia de fondos. Desde un plano procesal, cuando el instrumento incorpora un mecanismo de solución de controversias inversor-Estado, esa calificación puede habilitar además el acceso al arbitraje internacional, permitiendo al inversor actuar directamente frente al Estado receptor ante tribunales arbitrales internacionales </w:t>
      </w:r>
      <w:sdt>
        <w:sdtPr>
          <w:rPr>
            <w:rFonts w:cs="Times New Roman"/>
            <w:color w:val="000000"/>
            <w:highlight w:val="white"/>
          </w:rPr>
          <w:alias w:val="Citation"/>
          <w:tag w:val="{&quot;referencesIds&quot;:[&quot;doc:69660a166976963cbb259801&quot;],&quot;referencesOptions&quot;:{&quot;doc:69660a166976963cbb25980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33887292,&quot;citationText&quot;:&quot;&lt;span style=\&quot;font-family:Times New Roman;font-size:16px;color:#000000\&quot;&gt;(UNCTAD, 2015)&lt;/span&gt;&quot;}"/>
          <w:id w:val="-935828885"/>
          <w:placeholder>
            <w:docPart w:val="FFBD5DAC8F9E0B4A846027F0BC270310"/>
          </w:placeholder>
        </w:sdtPr>
        <w:sdtContent>
          <w:r>
            <w:rPr>
              <w:rFonts w:eastAsia="Times New Roman"/>
              <w:color w:val="000000"/>
            </w:rPr>
            <w:t>(UNCTAD, 2015)</w:t>
          </w:r>
        </w:sdtContent>
      </w:sdt>
      <w:r>
        <w:rPr>
          <w:rFonts w:cs="Times New Roman"/>
          <w:color w:val="000000"/>
        </w:rPr>
        <w:t xml:space="preserve">. </w:t>
      </w:r>
      <w:bookmarkStart w:id="13" w:name="OLE_LINK8"/>
    </w:p>
    <w:p w14:paraId="5EAAF842" w14:textId="77777777" w:rsidR="00356143" w:rsidRPr="00356143" w:rsidRDefault="00356143" w:rsidP="00356143">
      <w:pPr>
        <w:rPr>
          <w:rFonts w:cs="Times New Roman"/>
          <w:color w:val="000000"/>
        </w:rPr>
      </w:pPr>
      <w:r>
        <w:rPr>
          <w:rFonts w:cs="Times New Roman"/>
          <w:color w:val="000000"/>
        </w:rPr>
        <w:t>Desde la perspectiva del Estado anfitrión, la inclusión de una operación dentro del ámbito de aplicación del tratado comporta una limitación de su margen de actuación regulatoria, dado que ciertas medidas públicas pueden generar responsabilidad internacional si afectan de forma sustancial a los derechos del inversor. No obstante, los tratados modernos condicionan el acceso a la protección al cumplimiento de determinados requisitos, entre ellos la aportación efectiva de capital, la asunción de riesgo, la existencia de una relación económica duradera y el respeto de la legalidad interna del Estado receptor en el momento del establecimiento de la inversión.</w:t>
      </w:r>
    </w:p>
    <w:p w14:paraId="1472B07A" w14:textId="407FC4EA" w:rsidR="00264E53" w:rsidRDefault="00356143" w:rsidP="00356143">
      <w:pPr>
        <w:rPr>
          <w:rFonts w:cs="Times New Roman"/>
          <w:color w:val="000000"/>
        </w:rPr>
      </w:pPr>
      <w:r>
        <w:rPr>
          <w:rFonts w:cs="Times New Roman"/>
          <w:color w:val="000000"/>
        </w:rPr>
        <w:t xml:space="preserve">En consecuencia, la calificación de una operación como inversión extranjera directa no es una cuestión meramente económica, sino un elemento jurídicamente determinante del sistema de protección internacional de las inversiones. Opera como presupuesto de acceso </w:t>
      </w:r>
      <w:r>
        <w:rPr>
          <w:rFonts w:cs="Times New Roman"/>
          <w:color w:val="000000"/>
        </w:rPr>
        <w:lastRenderedPageBreak/>
        <w:t>a las garantías que buscan reforzar la seguridad jurídica del inversor y, al mismo tiempo, redefine el equilibrio entre dicha protección y la autonomía regulatoria del Estado receptor.</w:t>
      </w:r>
    </w:p>
    <w:p w14:paraId="6A14DFF3" w14:textId="77777777" w:rsidR="006431FE" w:rsidRPr="00443ECA" w:rsidRDefault="006431FE" w:rsidP="00443ECA"/>
    <w:p w14:paraId="417E1840" w14:textId="3F6A8210" w:rsidR="00B0624F" w:rsidRDefault="009204D2" w:rsidP="00F224A8">
      <w:pPr>
        <w:pStyle w:val="Ttulo2"/>
      </w:pPr>
      <w:bookmarkStart w:id="14" w:name="_Toc231223165"/>
      <w:bookmarkStart w:id="15" w:name="OLE_LINK1"/>
      <w:bookmarkEnd w:id="13"/>
      <w:r>
        <w:t>Principales normativas del Derecho Mercantil Internacional en materia de inversión</w:t>
      </w:r>
      <w:bookmarkEnd w:id="14"/>
    </w:p>
    <w:p w14:paraId="2152A27B" w14:textId="19431164" w:rsidR="00B0624F" w:rsidRDefault="00B0624F" w:rsidP="00B0624F">
      <w:r>
        <w:t xml:space="preserve">El régimen jurídico internacional de la inversión extranjera pertenece al Derecho Mercantil Internacional, porque el comercio transfronterizo incluye la implantación empresarial, la producción internacional y la internacionalización societaria. En este marco, la inversión forma parte del objeto propio del comercio internacional y requiere un conjunto de reglas que ordenen tanto la actuación de los operadores privados como las condiciones institucionales bajo las que se desarrolla la actividad económica más allá de las fronteras nacionales </w:t>
      </w:r>
      <w:sdt>
        <w:sdtPr>
          <w:rPr>
            <w:rFonts w:cs="Times New Roman"/>
            <w:color w:val="000000"/>
            <w:highlight w:val="white"/>
          </w:rPr>
          <w:alias w:val="Citation"/>
          <w:tag w:val="{&quot;referencesIds&quot;:[&quot;doc:6973312d5ebb28342e7e576d&quot;],&quot;referencesOptions&quot;:{&quot;doc:6973312d5ebb28342e7e576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832687,&quot;citationText&quot;:&quot;&lt;span style=\&quot;font-family:Times New Roman;font-size:16px;color:#000000\&quot;&gt;(Carlos &amp;amp; Rozas, 2000)&lt;/span&gt;&quot;}"/>
          <w:id w:val="945116597"/>
          <w:placeholder>
            <w:docPart w:val="970AB653DEA9E0468B2106007CEE0992"/>
          </w:placeholder>
        </w:sdtPr>
        <w:sdtContent>
          <w:r>
            <w:rPr>
              <w:rFonts w:eastAsia="Times New Roman"/>
              <w:color w:val="000000"/>
            </w:rPr>
            <w:t>(Carlos &amp; Rozas, 2000)</w:t>
          </w:r>
        </w:sdtContent>
      </w:sdt>
      <w:r>
        <w:rPr>
          <w:rFonts w:cs="Times New Roman"/>
          <w:color w:val="000000"/>
        </w:rPr>
        <w:t>.</w:t>
      </w:r>
    </w:p>
    <w:p w14:paraId="7A3000E0" w14:textId="2AF8E699" w:rsidR="00B0624F" w:rsidRDefault="00B0624F" w:rsidP="00B0624F">
      <w:r>
        <w:t xml:space="preserve">El Derecho Internacional de las Inversiones carece de un instrumento multilateral que codifique la materia de forma sistemática. El sistema se articula, en la práctica, como una red de acuerdos internacionales en la que coexisten instrumentos bilaterales y regionales junto con reglas multilaterales que inciden de forma indirecta sobre la inversión </w:t>
      </w:r>
      <w:sdt>
        <w:sdtPr>
          <w:rPr>
            <w:rFonts w:cs="Times New Roman"/>
            <w:color w:val="000000"/>
            <w:highlight w:val="white"/>
          </w:rPr>
          <w:alias w:val="Citation"/>
          <w:tag w:val="{&quot;referencesIds&quot;:[&quot;doc:697330595ebb28342e7e572e&quot;],&quot;referencesOptions&quot;:{&quot;doc:697330595ebb28342e7e572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79617424,&quot;citationText&quot;:&quot;&lt;span style=\&quot;font-family:Times New Roman;font-size:16px;color:#000000\&quot;&gt;(United Nations Conference on Trade and Development, 2004)&lt;/span&gt;&quot;}"/>
          <w:id w:val="1886442673"/>
          <w:placeholder>
            <w:docPart w:val="2121C5196B60B746B1F5FE430D02091A"/>
          </w:placeholder>
        </w:sdtPr>
        <w:sdtContent>
          <w:r>
            <w:rPr>
              <w:rFonts w:eastAsia="Times New Roman"/>
              <w:color w:val="000000"/>
            </w:rPr>
            <w:t>(United Nations Conference on Trade and Development, 2004)</w:t>
          </w:r>
        </w:sdtContent>
      </w:sdt>
      <w:r>
        <w:rPr>
          <w:rFonts w:cs="Times New Roman"/>
          <w:color w:val="000000"/>
        </w:rPr>
        <w:t>.</w:t>
      </w:r>
    </w:p>
    <w:p w14:paraId="1E9E9A6C" w14:textId="4FDD167A" w:rsidR="00B0624F" w:rsidRDefault="00331149" w:rsidP="00B0624F">
      <w:r>
        <w:t xml:space="preserve">Los TBI se han consolidado como el instrumento más extendido, al definir el ámbito de protección y dotar de mayor previsibilidad al marco regulatorio, reforzando en determinados supuestos la dimensión internacional de la relación inversor-Estado </w:t>
      </w:r>
      <w:sdt>
        <w:sdtPr>
          <w:rPr>
            <w:rFonts w:cs="Times New Roman"/>
            <w:color w:val="000000"/>
            <w:highlight w:val="white"/>
          </w:rPr>
          <w:alias w:val="Citation"/>
          <w:tag w:val="{&quot;referencesIds&quot;:[&quot;doc:697330595ebb28342e7e572e&quot;],&quot;referencesOptions&quot;:{&quot;doc:697330595ebb28342e7e572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79617424,&quot;citationText&quot;:&quot;&lt;span style=\&quot;font-family:Times New Roman;font-size:16px;color:#000000\&quot;&gt;(United Nations Conference on Trade and Development, 2004)&lt;/span&gt;&quot;}"/>
          <w:id w:val="-2068247090"/>
          <w:placeholder>
            <w:docPart w:val="B3A9D21E5F9EC34AB8474D7007BD6BAF"/>
          </w:placeholder>
        </w:sdtPr>
        <w:sdtContent>
          <w:r>
            <w:rPr>
              <w:rFonts w:eastAsia="Times New Roman"/>
              <w:color w:val="000000"/>
            </w:rPr>
            <w:t>(United Nations Conference on Trade and Development, 2004)</w:t>
          </w:r>
        </w:sdtContent>
      </w:sdt>
      <w:r>
        <w:rPr>
          <w:rFonts w:cs="Times New Roman"/>
          <w:color w:val="000000"/>
        </w:rPr>
        <w:t>.</w:t>
      </w:r>
    </w:p>
    <w:p w14:paraId="4596DD40" w14:textId="78E711FB" w:rsidR="00B0624F" w:rsidRDefault="00B0624F" w:rsidP="00B0624F">
      <w:r>
        <w:t xml:space="preserve">Junto a los TBI, los acuerdos regionales han adquirido una relevancia creciente al incorporar disciplinas más detalladas y al coordinar las políticas de inversión en espacios de integración económica. Esto eleva la precisión normativa, aunque al mismo tiempo incrementa la complejidad del sistema por la coexistencia de compromisos que pueden quedar parcialmente solapados </w:t>
      </w:r>
      <w:sdt>
        <w:sdtPr>
          <w:rPr>
            <w:rFonts w:cs="Times New Roman"/>
            <w:color w:val="000000"/>
            <w:highlight w:val="white"/>
          </w:rPr>
          <w:alias w:val="Citation"/>
          <w:tag w:val="{&quot;referencesIds&quot;:[&quot;doc:697330595ebb28342e7e572e&quot;],&quot;referencesOptions&quot;:{&quot;doc:697330595ebb28342e7e572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79617424,&quot;citationText&quot;:&quot;&lt;span style=\&quot;font-family:Times New Roman;font-size:16px;color:#000000\&quot;&gt;(United Nations Conference on Trade and Development, 2004)&lt;/span&gt;&quot;}"/>
          <w:id w:val="467410051"/>
          <w:placeholder>
            <w:docPart w:val="DAB839DB53809B40B4A36E91A9B636D0"/>
          </w:placeholder>
        </w:sdtPr>
        <w:sdtContent>
          <w:r>
            <w:rPr>
              <w:rFonts w:eastAsia="Times New Roman"/>
              <w:color w:val="000000"/>
            </w:rPr>
            <w:t>(United Nations Conference on Trade and Development, 2004)</w:t>
          </w:r>
        </w:sdtContent>
      </w:sdt>
      <w:r>
        <w:rPr>
          <w:rFonts w:cs="Times New Roman"/>
          <w:color w:val="000000"/>
        </w:rPr>
        <w:t>.</w:t>
      </w:r>
    </w:p>
    <w:p w14:paraId="47B2CD0C" w14:textId="39C5C132" w:rsidR="00B0624F" w:rsidRDefault="00B0624F" w:rsidP="00B0624F">
      <w:r>
        <w:t xml:space="preserve">En el plano multilateral, el marco de la Organización Mundial del Comercio (OMC) integra una serie de disciplinas que, sin configurar un régimen general en materia de inversión, inciden directamente en las medidas adoptadas por los Estados en relación con determinadas operaciones de inversión y comercio. Instrumentos como el Acuerdo sobre las Medidas en materia de Inversiones relacionadas con el Comercio (TRIMS), el </w:t>
      </w:r>
      <w:r>
        <w:lastRenderedPageBreak/>
        <w:t xml:space="preserve">Acuerdo General sobre el Comercio de Servicios (GATS) y las disciplinas sobre subvenciones delimitan los márgenes de actuación de los Estados en relación con la implantación y operación de inversiones transfronterizas </w:t>
      </w:r>
      <w:sdt>
        <w:sdtPr>
          <w:rPr>
            <w:rFonts w:cs="Times New Roman"/>
            <w:color w:val="000000"/>
            <w:highlight w:val="white"/>
          </w:rPr>
          <w:alias w:val="Citation"/>
          <w:tag w:val="{&quot;referencesIds&quot;:[&quot;doc:697330595ebb28342e7e572e&quot;],&quot;referencesOptions&quot;:{&quot;doc:697330595ebb28342e7e572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79617424,&quot;citationText&quot;:&quot;&lt;span style=\&quot;font-family:Times New Roman;font-size:16px;color:#000000\&quot;&gt;(United Nations Conference on Trade and Development, 2004)&lt;/span&gt;&quot;}"/>
          <w:id w:val="2034294142"/>
          <w:placeholder>
            <w:docPart w:val="A321195056EB1F4DB655E4651D32059C"/>
          </w:placeholder>
        </w:sdtPr>
        <w:sdtContent>
          <w:r>
            <w:rPr>
              <w:rFonts w:eastAsia="Times New Roman"/>
              <w:color w:val="000000"/>
            </w:rPr>
            <w:t>(United Nations Conference on Trade and Development, 2004)</w:t>
          </w:r>
        </w:sdtContent>
      </w:sdt>
      <w:r>
        <w:rPr>
          <w:rFonts w:cs="Times New Roman"/>
          <w:color w:val="000000"/>
        </w:rPr>
        <w:t>.</w:t>
      </w:r>
    </w:p>
    <w:p w14:paraId="5A4B4A45" w14:textId="384CBB5C" w:rsidR="00B0624F" w:rsidRDefault="00B0624F" w:rsidP="00B0624F">
      <w:r>
        <w:t xml:space="preserve">En este contexto se aprecia una clara evolución en las políticas y acuerdos, impulsada tanto por la fragmentación derivada de la coexistencia de instrumentos de distinta generación como por la necesidad de mejorar la coherencia entre los compromisos convencionales y las estrategias nacionales de desarrollo. Esta orientación se traduce en la incorporación progresiva de cláusulas relativas a la sostenibilidad y a la responsabilidad empresarial </w:t>
      </w:r>
      <w:sdt>
        <w:sdtPr>
          <w:rPr>
            <w:rFonts w:cs="Times New Roman"/>
            <w:color w:val="000000"/>
            <w:highlight w:val="white"/>
          </w:rPr>
          <w:alias w:val="Citation"/>
          <w:tag w:val="{&quot;referencesIds&quot;:[&quot;doc:69660a166976963cbb259801&quot;],&quot;referencesOptions&quot;:{&quot;doc:69660a166976963cbb259801&quot;:{&quot;author&quot;:true,&quot;year&quot;:true,&quot;formatAuthorYear&quot;:false,&quot;additionalField&quot;:&quot;Page&quot;,&quot;additionalValue&quot;:&quot;&quot;,&quot;prefix&quot;:&quot;&quot;,&quot;suffix&quot;:&quot;&quot;}},&quot;hasBrokenReferences&quot;:false,&quot;hasManualEdits&quot;:false,&quot;isEmpty&quot;:false,&quot;citationType&quot;:&quot;inline&quot;,&quot;id&quot;:-113291249,&quot;citationText&quot;:&quot;&lt;span style=\&quot;font-family:Times New Roman;font-size:16px;color:#000000\&quot;&gt;(UNCTAD, 2015)&lt;/span&gt;&quot;}"/>
          <w:id w:val="-314577501"/>
          <w:placeholder>
            <w:docPart w:val="7546C0E806242848A463F0E143A8FC6B"/>
          </w:placeholder>
        </w:sdtPr>
        <w:sdtContent>
          <w:r>
            <w:rPr>
              <w:rFonts w:eastAsia="Times New Roman"/>
              <w:color w:val="000000"/>
            </w:rPr>
            <w:t>(UNCTAD, 2015)</w:t>
          </w:r>
        </w:sdtContent>
      </w:sdt>
      <w:r>
        <w:rPr>
          <w:rFonts w:cs="Times New Roman"/>
          <w:color w:val="000000"/>
        </w:rPr>
        <w:t>.</w:t>
      </w:r>
    </w:p>
    <w:p w14:paraId="79E1444C" w14:textId="6D140B83" w:rsidR="00B0624F" w:rsidRDefault="00B0624F" w:rsidP="00B0624F">
      <w:pPr>
        <w:rPr>
          <w:rFonts w:cs="Times New Roman"/>
          <w:color w:val="000000"/>
        </w:rPr>
      </w:pPr>
      <w:r>
        <w:t xml:space="preserve">Por último, el marco se complementa con instrumentos de naturaleza no vinculante —guías, estándares y recomendaciones— que, pese a carecer de fuerza obligatoria equivalente a la de los tratados, ejercen una influencia notable en la formulación de políticas internas y sirven de referencia para la modernización del régimen y su adecuación a los objetivos públicos contemporáneos </w:t>
      </w:r>
      <w:sdt>
        <w:sdtPr>
          <w:rPr>
            <w:rFonts w:cs="Times New Roman"/>
            <w:color w:val="000000"/>
            <w:highlight w:val="white"/>
          </w:rPr>
          <w:alias w:val="Citation"/>
          <w:tag w:val="{&quot;referencesIds&quot;:[&quot;doc:69660a166976963cbb259801&quot;,&quot;doc:6973312d5ebb28342e7e576d&quot;],&quot;referencesOptions&quot;:{&quot;doc:69660a166976963cbb259801&quot;:{&quot;author&quot;:true,&quot;year&quot;:true,&quot;formatAuthorYear&quot;:false,&quot;pageReplace&quot;:&quot;&quot;,&quot;additionalField&quot;:&quot;&quot;,&quot;additionalValue&quot;:&quot;&quot;,&quot;prefix&quot;:&quot;&quot;,&quot;suffix&quot;:&quot;&quot;},&quot;doc:6973312d5ebb28342e7e576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765277516"/>
          <w:placeholder>
            <w:docPart w:val="B9DC342E51623441B8E88BA5FF26F671"/>
          </w:placeholder>
        </w:sdtPr>
        <w:sdtContent>
          <w:r>
            <w:rPr>
              <w:rFonts w:eastAsia="Times New Roman"/>
              <w:color w:val="000000"/>
            </w:rPr>
            <w:t>(Carlos &amp; Rozas, 2000; UNCTAD, 2015)</w:t>
          </w:r>
        </w:sdtContent>
      </w:sdt>
      <w:r>
        <w:rPr>
          <w:rFonts w:cs="Times New Roman"/>
          <w:color w:val="000000"/>
        </w:rPr>
        <w:t>.</w:t>
      </w:r>
    </w:p>
    <w:p w14:paraId="5777E14F" w14:textId="77777777" w:rsidR="00B0624F" w:rsidRDefault="00B0624F" w:rsidP="00B0624F"/>
    <w:p w14:paraId="3F657D3F" w14:textId="3F58BCB8" w:rsidR="005972A1" w:rsidRDefault="009204D2" w:rsidP="00397887">
      <w:pPr>
        <w:pStyle w:val="Ttulo2"/>
      </w:pPr>
      <w:bookmarkStart w:id="16" w:name="_Toc231223166"/>
      <w:bookmarkEnd w:id="15"/>
      <w:r>
        <w:t>Estándares clásicos de protección del inversor: trato justo y equitativo, trato nacional, nación más favorecida y expropiación</w:t>
      </w:r>
      <w:bookmarkEnd w:id="16"/>
    </w:p>
    <w:p w14:paraId="4B5A619C" w14:textId="413B238A" w:rsidR="005972A1" w:rsidRDefault="005972A1" w:rsidP="005972A1">
      <w:r>
        <w:t xml:space="preserve">El Convenio de Washington de 1965 establece el marco institucional y procedimental para la resolución de controversias derivadas de inversiones internacionales, sin definir por sí mismo los estándares sustantivos de protección. Estos se contienen en los tratados internacionales de inversión, mientras que el Convenio regula el cauce para su exigibilidad ante un foro especializado, condicionado a la existencia de una diferencia jurídica que surja directamente de una inversión entre un Estado contratante y el nacional de otro Estado contratante. El vínculo se articula mediante el consentimiento escrito de las partes para someter la controversia al Centro, y se refuerza por la obligatoriedad del laudo y su ejecución en los Estados contratantes como si se tratara de una sentencia firme de sus propios tribunales, lo que eleva la eficacia práctica del sistema de protección </w:t>
      </w:r>
      <w:sdt>
        <w:sdtPr>
          <w:rPr>
            <w:rFonts w:cs="Times New Roman"/>
            <w:color w:val="000000"/>
            <w:highlight w:val="white"/>
          </w:rPr>
          <w:alias w:val="Citation"/>
          <w:tag w:val="{&quot;referencesIds&quot;:[&quot;doc:6978b0825ebb28342e7ec893&quot;],&quot;referencesOptions&quot;:{&quot;doc:6978b0825ebb28342e7ec893&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
          <w:id w:val="2145763659"/>
          <w:placeholder>
            <w:docPart w:val="F233238EA3944646A5DD3A59DA8F9308"/>
          </w:placeholder>
        </w:sdtPr>
        <w:sdtContent>
          <w:r>
            <w:rPr>
              <w:rFonts w:eastAsia="Times New Roman"/>
              <w:color w:val="000000"/>
            </w:rPr>
            <w:t>(International Bank for Reconstruction and Development, 1965)</w:t>
          </w:r>
        </w:sdtContent>
      </w:sdt>
      <w:r>
        <w:rPr>
          <w:rFonts w:cs="Times New Roman"/>
          <w:color w:val="000000"/>
        </w:rPr>
        <w:t>.</w:t>
      </w:r>
    </w:p>
    <w:p w14:paraId="655F7483" w14:textId="7BF79F30" w:rsidR="005972A1" w:rsidRDefault="005972A1" w:rsidP="005972A1">
      <w:r>
        <w:t xml:space="preserve">El estándar de trato justo y equitativo (TJE) es una de las garantías sustantivas centrales en el régimen de protección del inversor. Su formulación habitual es de carácter abierto, lo que ha llevado a que su contenido se haya perfilado fundamentalmente a través de la </w:t>
      </w:r>
      <w:r>
        <w:lastRenderedPageBreak/>
        <w:t xml:space="preserve">práctica arbitral. En el plano convencional coexisten distintas técnicas de redacción, desde cláusulas autónomas hasta remisiones al derecho internacional consuetudinario o al estándar mínimo de trato. Entre los elementos que la jurisprudencia arbitral ha identificado como propios del TJE, cabe destacar la tutela de las expectativas legítimas del inversor cuando el Estado haya asumido compromisos específicos que indujeron la decisión de invertir, la interdicción de actuaciones arbitrarias o discriminatorias, la exigencia de un procedimiento con las debidas garantías y la prohibición de la denegación de justicia. La apreciación de una infracción depende en todo caso del umbral de gravedad exigible, con especial relevancia cuando el TJE se vincula al estándar mínimo de trato del derecho consuetudinario </w:t>
      </w:r>
      <w:sdt>
        <w:sdtPr>
          <w:rPr>
            <w:rFonts w:cs="Times New Roman"/>
            <w:color w:val="000000"/>
            <w:highlight w:val="white"/>
          </w:rPr>
          <w:alias w:val="Citation"/>
          <w:tag w:val="{&quot;referencesIds&quot;:[&quot;doc:6979baf9abc7e139f4875638&quot;],&quot;referencesOptions&quot;:{&quot;doc:6979baf9abc7e139f487563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828087417"/>
          <w:placeholder>
            <w:docPart w:val="8DD7C959ADCA0840ABC8BA6461B5ED1A"/>
          </w:placeholder>
        </w:sdtPr>
        <w:sdtContent>
          <w:r>
            <w:rPr>
              <w:rFonts w:eastAsia="Times New Roman"/>
              <w:color w:val="000000"/>
            </w:rPr>
            <w:t>(UNCTAD, 2012b)</w:t>
          </w:r>
        </w:sdtContent>
      </w:sdt>
      <w:r>
        <w:rPr>
          <w:rFonts w:cs="Times New Roman"/>
          <w:color w:val="000000"/>
        </w:rPr>
        <w:t>.</w:t>
      </w:r>
    </w:p>
    <w:p w14:paraId="1A05B370" w14:textId="58CCD242" w:rsidR="005972A1" w:rsidRDefault="005972A1" w:rsidP="005972A1">
      <w:r>
        <w:t xml:space="preserve">El trato nacional impone al Estado receptor la obligación de dispensar a los inversores extranjeros y a sus inversiones un trato no menos favorable que el otorgado a los inversores nacionales en circunstancias comparables. Su finalidad es garantizar condiciones de competencia igualitarias en el mercado interno y evitar que la nacionalidad opere como factor de desventaja para los operadores foráneos. La verificación de una eventual vulneración exige un análisis comparativo fundado en el criterio de las circunstancias similares, lo que permite justificar diferencias de trato cuando existan razones objetivas asociadas a la naturaleza de la actividad o al diseño de políticas públicas específicas. En la práctica, el trato nacional suele acompañarse de reservas y excepciones, particularmente en sectores sensibles, lo que refleja la dificultad de extender de forma absoluta la equiparación entre inversores nacionales y extranjeros en todos los sectores de la economía </w:t>
      </w:r>
      <w:sdt>
        <w:sdtPr>
          <w:rPr>
            <w:rFonts w:cs="Times New Roman"/>
            <w:color w:val="000000"/>
            <w:highlight w:val="white"/>
          </w:rPr>
          <w:alias w:val="Citation"/>
          <w:tag w:val="{&quot;referencesIds&quot;:[&quot;doc:6979bbfaabc7e139f487563a&quot;],&quot;referencesOptions&quot;:{&quot;doc:6979bbfaabc7e139f487563a&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78505843"/>
          <w:placeholder>
            <w:docPart w:val="0129D97946E2854A857A9738E4F128A2"/>
          </w:placeholder>
        </w:sdtPr>
        <w:sdtContent>
          <w:r>
            <w:rPr>
              <w:rFonts w:eastAsia="Times New Roman"/>
              <w:color w:val="000000"/>
            </w:rPr>
            <w:t>(UNCTAD, 1999)</w:t>
          </w:r>
        </w:sdtContent>
      </w:sdt>
      <w:r>
        <w:rPr>
          <w:rFonts w:cs="Times New Roman"/>
          <w:color w:val="000000"/>
        </w:rPr>
        <w:t>.</w:t>
      </w:r>
    </w:p>
    <w:p w14:paraId="67C18E1A" w14:textId="3C1BFB33" w:rsidR="005972A1" w:rsidRDefault="005972A1" w:rsidP="005972A1">
      <w:r>
        <w:t xml:space="preserve">La cláusula de nación más favorecida (NMF) tiene por objeto garantizar que el trato dispensado a un inversor extranjero no sea menos favorable que el otorgado a inversores de terceros Estados en situación comparable, evitando así la discriminación por razón de nacionalidad entre inversores extranjeros. Su alcance suscita controversia cuando se invoca para incorporar beneficios previstos en otros tratados, pues esta extensión puede alterar el equilibrio de las concesiones pactadas originalmente entre las partes. Para limitar esta expansión, la práctica recurre a mecanismos como el requisito de comparabilidad de situaciones o la exclusión expresa de las ventajas derivadas de procesos de integración económica regional </w:t>
      </w:r>
      <w:sdt>
        <w:sdtPr>
          <w:rPr>
            <w:rFonts w:cs="Times New Roman"/>
            <w:color w:val="000000"/>
            <w:highlight w:val="white"/>
          </w:rPr>
          <w:alias w:val="Citation"/>
          <w:tag w:val="{&quot;referencesIds&quot;:[&quot;doc:6979bbfaabc7e139f487563a&quot;],&quot;referencesOptions&quot;:{&quot;doc:6979bbfaabc7e139f487563a&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750233666"/>
          <w:placeholder>
            <w:docPart w:val="00DE5FCD53A7BA47B91E2CF0CB77E228"/>
          </w:placeholder>
        </w:sdtPr>
        <w:sdtContent>
          <w:r>
            <w:rPr>
              <w:rFonts w:eastAsia="Times New Roman"/>
              <w:color w:val="000000"/>
            </w:rPr>
            <w:t>(UNCTAD, 1999)</w:t>
          </w:r>
        </w:sdtContent>
      </w:sdt>
      <w:r>
        <w:rPr>
          <w:rFonts w:cs="Times New Roman"/>
          <w:color w:val="000000"/>
        </w:rPr>
        <w:t>.</w:t>
      </w:r>
    </w:p>
    <w:p w14:paraId="0775610D" w14:textId="15789E76" w:rsidR="005972A1" w:rsidRDefault="005972A1" w:rsidP="005972A1">
      <w:r>
        <w:t xml:space="preserve">La protección frente a la expropiación constituye otro de los pilares clásicos del régimen de protección del inversor. La distinción habitual entre expropiación directa —caracterizada por la transferencia formal del título de propiedad o la confiscación— y </w:t>
      </w:r>
      <w:r>
        <w:lastRenderedPageBreak/>
        <w:t xml:space="preserve">expropiación indirecta —que se produce cuando medidas estatales afectan de manera tan sustancial al valor, uso o control de la inversión que producen un efecto equivalente al de una privación— ha sido objeto de un amplio desarrollo jurisprudencial. La licitud de la expropiación suele quedar condicionada al cumplimiento acumulativo de cuatro requisitos: la existencia de una finalidad pública, la ausencia de discriminación, el respeto del debido proceso y el pago de una compensación calculada conforme a criterios de valor de mercado. Este estándar refleja la tensión permanente entre la tutela patrimonial del inversor y la facultad del Estado de adoptar medidas regulatorias en interés general </w:t>
      </w:r>
      <w:sdt>
        <w:sdtPr>
          <w:rPr>
            <w:rFonts w:cs="Times New Roman"/>
            <w:color w:val="000000"/>
            <w:highlight w:val="white"/>
          </w:rPr>
          <w:alias w:val="Citation"/>
          <w:tag w:val="{&quot;referencesIds&quot;:[&quot;doc:6979bc92bf3f3353fff07968&quot;],&quot;referencesOptions&quot;:{&quot;doc:6979bc92bf3f3353fff0796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647972109"/>
          <w:placeholder>
            <w:docPart w:val="7E135B0CC63C3F45ABA38815EB853FC7"/>
          </w:placeholder>
        </w:sdtPr>
        <w:sdtContent>
          <w:r>
            <w:rPr>
              <w:rFonts w:eastAsia="Times New Roman"/>
              <w:color w:val="000000"/>
            </w:rPr>
            <w:t>(UNCTAD, 2012a)</w:t>
          </w:r>
        </w:sdtContent>
      </w:sdt>
      <w:r>
        <w:rPr>
          <w:rFonts w:cs="Times New Roman"/>
          <w:color w:val="000000"/>
        </w:rPr>
        <w:t>.</w:t>
      </w:r>
    </w:p>
    <w:p w14:paraId="28E142D9" w14:textId="0818F7C1" w:rsidR="005972A1" w:rsidRDefault="005972A1" w:rsidP="005972A1">
      <w:r>
        <w:t xml:space="preserve">La evolución más reciente del régimen pone de manifiesto una tendencia hacia acuerdos de nueva generación que buscan reequilibrar la balanza entre la protección del inversor y el derecho del Estado a regular, integrando al mismo tiempo objetivos de desarrollo sostenible. Para ello se emplean técnicas como la acotación del trato justo y equitativo (TJE) y de la expropiación indirecta, la incorporación de excepciones generales y referencias a estándares de conducta empresarial </w:t>
      </w:r>
      <w:sdt>
        <w:sdtPr>
          <w:rPr>
            <w:rFonts w:cs="Times New Roman"/>
            <w:color w:val="000000"/>
            <w:highlight w:val="white"/>
          </w:rPr>
          <w:alias w:val="Citation"/>
          <w:tag w:val="{&quot;referencesIds&quot;:[&quot;doc:69660a166976963cbb259801&quot;],&quot;referencesOptions&quot;:{&quot;doc:69660a166976963cbb25980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218795523"/>
          <w:placeholder>
            <w:docPart w:val="DCEDB25691ED704FB68BB233F84C1DB5"/>
          </w:placeholder>
        </w:sdtPr>
        <w:sdtContent>
          <w:r>
            <w:rPr>
              <w:rFonts w:eastAsia="Times New Roman"/>
              <w:color w:val="000000"/>
            </w:rPr>
            <w:t>(UNCTAD, 2015)</w:t>
          </w:r>
        </w:sdtContent>
      </w:sdt>
      <w:r>
        <w:rPr>
          <w:rFonts w:cs="Times New Roman"/>
          <w:color w:val="000000"/>
        </w:rPr>
        <w:t>.</w:t>
      </w:r>
      <w:r>
        <w:t xml:space="preserve"> </w:t>
      </w:r>
    </w:p>
    <w:p w14:paraId="78F403FD" w14:textId="77777777" w:rsidR="005972A1" w:rsidRDefault="005972A1" w:rsidP="005972A1"/>
    <w:p w14:paraId="2BB84E35" w14:textId="2B5F9E82" w:rsidR="00FA70BA" w:rsidRDefault="009204D2" w:rsidP="00B34DB7">
      <w:pPr>
        <w:pStyle w:val="Ttulo2"/>
      </w:pPr>
      <w:bookmarkStart w:id="17" w:name="_Toc231223167"/>
      <w:r>
        <w:t>El arbitraje internacional como mecanismo de resolución de controversias en materia de inversión</w:t>
      </w:r>
      <w:bookmarkEnd w:id="17"/>
    </w:p>
    <w:p w14:paraId="44A1CE67" w14:textId="1754EC7B" w:rsidR="00FA70BA" w:rsidRDefault="00FA70BA" w:rsidP="00FA70BA">
      <w:r>
        <w:t>El arbitraje internacional constituye el mecanismo central de resolución de controversias en el Derecho Internacional de las Inversiones, al permitir que el inversor extranjero accione directamente frente al Estado receptor ante un tribunal internacional. Su fundamento jurídico principal se encuentra en el Convenio de Washington de 1965, cuyo artículo 25 condiciona la jurisdicción del CIADI al consentimiento escrito de las partes, a la existencia de una controversia jurídica en materia de inversión y a que esta enfrente a un Estado contratante con el nacional de otro Estado contratante. Una vez otorgado, el consentimiento resulta irrevocable unilateralmente y activa un sistema institucionalizado de solución de diferencias</w:t>
      </w:r>
      <w:r>
        <w:rPr>
          <w:rFonts w:cs="Times New Roman"/>
          <w:color w:val="000000"/>
          <w:highlight w:val="white"/>
        </w:rPr>
        <w:t xml:space="preserve"> </w:t>
      </w:r>
      <w:sdt>
        <w:sdtPr>
          <w:rPr>
            <w:rFonts w:cs="Times New Roman"/>
            <w:color w:val="000000"/>
            <w:highlight w:val="white"/>
          </w:rPr>
          <w:alias w:val="Citation"/>
          <w:tag w:val="{&quot;referencesIds&quot;:[&quot;doc:6978b0825ebb28342e7ec893&quot;],&quot;referencesOptions&quot;:{&quot;doc:6978b0825ebb28342e7ec89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044489647"/>
          <w:placeholder>
            <w:docPart w:val="93D17CE502F8C34BA7278E73B44D8A62"/>
          </w:placeholder>
        </w:sdtPr>
        <w:sdtContent>
          <w:r>
            <w:rPr>
              <w:rFonts w:eastAsia="Times New Roman"/>
              <w:color w:val="000000"/>
            </w:rPr>
            <w:t>(International Bank for Reconstruction and Development, 1965)</w:t>
          </w:r>
        </w:sdtContent>
      </w:sdt>
      <w:r>
        <w:rPr>
          <w:rFonts w:cs="Times New Roman"/>
          <w:color w:val="000000"/>
        </w:rPr>
        <w:t>.</w:t>
      </w:r>
    </w:p>
    <w:p w14:paraId="0E78184B" w14:textId="53C392B2" w:rsidR="00FA70BA" w:rsidRDefault="00FA70BA" w:rsidP="00FA70BA">
      <w:r>
        <w:t xml:space="preserve">El sistema CIADI se distingue por su autonomía institucional y por un régimen reforzado de ejecución de laudos. Estos son vinculantes para las partes y no pueden ser objeto de recurso ante tribunales externos, sin perjuicio de los mecanismos internos de revisión previstos en el propio Convenio. Cada Estado contratante queda obligado a reconocer y ejecutar las obligaciones pecuniarias impuestas por el laudo como si se tratara de una </w:t>
      </w:r>
      <w:r>
        <w:lastRenderedPageBreak/>
        <w:t xml:space="preserve">sentencia firme dictada por sus propios órganos jurisdiccionales, sin que quepa un control nacional sobre el fondo de la decisión, salvo las limitaciones que puedan derivarse de la inmunidad de ejecución </w:t>
      </w:r>
      <w:sdt>
        <w:sdtPr>
          <w:rPr>
            <w:rFonts w:cs="Times New Roman"/>
            <w:color w:val="000000"/>
            <w:highlight w:val="white"/>
          </w:rPr>
          <w:alias w:val="Citation"/>
          <w:tag w:val="{&quot;referencesIds&quot;:[&quot;doc:6978b0825ebb28342e7ec893&quot;],&quot;referencesOptions&quot;:{&quot;doc:6978b0825ebb28342e7ec89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368386097"/>
          <w:placeholder>
            <w:docPart w:val="F6623ADF4EA3F448A3D76AECBD7D5AA4"/>
          </w:placeholder>
        </w:sdtPr>
        <w:sdtContent>
          <w:r>
            <w:rPr>
              <w:rFonts w:eastAsia="Times New Roman"/>
              <w:color w:val="000000"/>
            </w:rPr>
            <w:t>(International Bank for Reconstruction and Development, 1965)</w:t>
          </w:r>
        </w:sdtContent>
      </w:sdt>
      <w:r>
        <w:rPr>
          <w:rFonts w:cs="Times New Roman"/>
          <w:color w:val="000000"/>
        </w:rPr>
        <w:t>.</w:t>
      </w:r>
    </w:p>
    <w:p w14:paraId="3048A4AD" w14:textId="1F2613E1" w:rsidR="00FA70BA" w:rsidRDefault="00FA70BA" w:rsidP="00FA70BA">
      <w:r>
        <w:t xml:space="preserve">Junto al CIADI, los tratados de inversión suelen prever el arbitraje conforme al Reglamento de la CNUDMI (UNCITRAL), aplicable tanto a arbitrajes ad hoc como a procedimientos administrados por instituciones como la Corte Permanente de Arbitraje. A diferencia del CIADI, que actúa como centro institucional, el Reglamento UNCITRAL regula aspectos procedimentales como la constitución del tribunal, el nombramiento de árbitros y el desarrollo del procedimiento, ofreciendo mayor flexibilidad estructural. En este caso, la ejecución de los laudos se rige con carácter general por la Convención de Nueva York de 1958, que obliga a los Estados parte a reconocer y ejecutar los laudos extranjeros con arreglo a su derecho procesal interno, admitiendo la denegación únicamente por las causas tasadas en la propia Convención, entre ellas la contrariedad con el orden público o la invalidez del acuerdo arbitral </w:t>
      </w:r>
      <w:sdt>
        <w:sdtPr>
          <w:rPr>
            <w:rFonts w:cs="Times New Roman"/>
            <w:color w:val="000000"/>
            <w:highlight w:val="white"/>
          </w:rPr>
          <w:alias w:val="Citation"/>
          <w:tag w:val="{&quot;referencesIds&quot;:[&quot;doc:69a59b356c23824ee930b2ad&quot;,&quot;doc:69a59b35abbb854afbde93ca&quot;],&quot;referencesOptions&quot;:{&quot;doc:69a59b356c23824ee930b2ad&quot;:{&quot;author&quot;:true,&quot;year&quot;:true,&quot;formatAuthorYear&quot;:false,&quot;pageReplace&quot;:&quot;&quot;,&quot;additionalField&quot;:&quot;&quot;,&quot;additionalValue&quot;:&quot;&quot;,&quot;prefix&quot;:&quot;&quot;,&quot;suffix&quot;:&quot;&quot;},&quot;doc:69a59b35abbb854afbde93ca&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824713349"/>
          <w:placeholder>
            <w:docPart w:val="839AC442A0983C409486A37F65100570"/>
          </w:placeholder>
        </w:sdtPr>
        <w:sdtContent>
          <w:r>
            <w:rPr>
              <w:rFonts w:eastAsia="Times New Roman"/>
              <w:color w:val="000000"/>
            </w:rPr>
            <w:t>(Comision de las Naciones Unidas para el Derecho Mercantil Internacional (CNUDMI), 1958; UNCTAD (Conferencia de las Naciones Unidas sobre Comercio y Desarrollo), 2025)</w:t>
          </w:r>
        </w:sdtContent>
      </w:sdt>
      <w:r>
        <w:rPr>
          <w:rFonts w:cs="Times New Roman"/>
          <w:color w:val="000000"/>
        </w:rPr>
        <w:t>.</w:t>
      </w:r>
    </w:p>
    <w:p w14:paraId="6DE259DC" w14:textId="69E63025" w:rsidR="00FA70BA" w:rsidRDefault="00661F36" w:rsidP="00FA70BA">
      <w:r>
        <w:t xml:space="preserve">No obstante, el sistema ha sido objeto de críticas estructurales a sus costes, la desigualdad de recursos entre las partes y la inconsistencia de los laudos, lo que ha impulsado propuestas de reforma orientadas a reforzar su legitimidad y previsibilidad </w:t>
      </w:r>
      <w:sdt>
        <w:sdtPr>
          <w:rPr>
            <w:rFonts w:cs="Times New Roman"/>
            <w:color w:val="000000"/>
            <w:highlight w:val="white"/>
          </w:rPr>
          <w:alias w:val="Citation"/>
          <w:tag w:val="{&quot;referencesIds&quot;:[&quot;doc:69a59b3553d1710edc199b16&quot;],&quot;referencesOptions&quot;:{&quot;doc:69a59b3553d1710edc199b1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2082862142"/>
          <w:placeholder>
            <w:docPart w:val="1C37CAFA8EE8654982F13657B0026632"/>
          </w:placeholder>
        </w:sdtPr>
        <w:sdtContent>
          <w:r>
            <w:rPr>
              <w:rFonts w:eastAsia="Times New Roman"/>
              <w:color w:val="000000"/>
            </w:rPr>
            <w:t>(Conferencia de las Naciones Unidas sobre Comercio y Desarrollo (UNCTAD), 2003)</w:t>
          </w:r>
        </w:sdtContent>
      </w:sdt>
      <w:r>
        <w:rPr>
          <w:rFonts w:cs="Times New Roman"/>
          <w:color w:val="000000"/>
        </w:rPr>
        <w:t>.</w:t>
      </w:r>
    </w:p>
    <w:p w14:paraId="370FD010" w14:textId="77777777" w:rsidR="00FA70BA" w:rsidRDefault="00FA70BA" w:rsidP="00FA70BA">
      <w:r>
        <w:t xml:space="preserve">En conjunto, el arbitraje internacional constituye el instrumento que garantiza la efectividad práctica de los estándares sustantivos de protección del inversor, y, al tiempo, uno de los más controvertidos del régimen internacional de las inversiones. </w:t>
      </w:r>
    </w:p>
    <w:p w14:paraId="158D7BBB" w14:textId="77777777" w:rsidR="00347DC6" w:rsidRPr="00B34DB7" w:rsidRDefault="00347DC6" w:rsidP="00B34DB7"/>
    <w:p w14:paraId="24CB752E" w14:textId="05F76F5D" w:rsidR="00FA70BA" w:rsidRDefault="009204D2" w:rsidP="00347DC6">
      <w:pPr>
        <w:pStyle w:val="Ttulo2"/>
      </w:pPr>
      <w:bookmarkStart w:id="18" w:name="_Toc231223168"/>
      <w:r>
        <w:t>El papel de las instituciones internacionales: CIADI, UNCITRAL y la CCI</w:t>
      </w:r>
      <w:bookmarkEnd w:id="18"/>
    </w:p>
    <w:p w14:paraId="479CCC3F" w14:textId="1CBAF4D5" w:rsidR="00FA70BA" w:rsidRDefault="00FA70BA" w:rsidP="00FA70BA">
      <w:r>
        <w:t xml:space="preserve">El CIADI, creado por el Convenio de Washington de 1965, es una organización internacional destinada a facilitar la conciliación y el arbitraje de controversias en materia de inversión entre Estados y nacionales de otros Estados. Su estructura se articula en torno al Consejo Administrativo y al Secretariado, y cuenta con listas de árbitros y conciliadores habilitados para intervenir en los procedimientos </w:t>
      </w:r>
      <w:sdt>
        <w:sdtPr>
          <w:rPr>
            <w:rFonts w:cs="Times New Roman"/>
            <w:color w:val="000000"/>
            <w:highlight w:val="white"/>
          </w:rPr>
          <w:alias w:val="Citation"/>
          <w:tag w:val="{&quot;referencesIds&quot;:[&quot;doc:6978b0825ebb28342e7ec893&quot;],&quot;referencesOptions&quot;:{&quot;doc:6978b0825ebb28342e7ec89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221712828"/>
          <w:placeholder>
            <w:docPart w:val="ED1D34E7D18ECB459A859B2DB1B96679"/>
          </w:placeholder>
        </w:sdtPr>
        <w:sdtContent>
          <w:r>
            <w:rPr>
              <w:rFonts w:eastAsia="Times New Roman"/>
              <w:color w:val="000000"/>
            </w:rPr>
            <w:t>(International Bank for Reconstruction and Development, 1965)</w:t>
          </w:r>
        </w:sdtContent>
      </w:sdt>
      <w:r>
        <w:rPr>
          <w:rFonts w:cs="Times New Roman"/>
          <w:color w:val="000000"/>
        </w:rPr>
        <w:t>.</w:t>
      </w:r>
    </w:p>
    <w:p w14:paraId="65546D3E" w14:textId="60DD32A0" w:rsidR="00FA70BA" w:rsidRDefault="00FA70BA" w:rsidP="00FA70BA">
      <w:r>
        <w:lastRenderedPageBreak/>
        <w:t xml:space="preserve">Estas instituciones no solo dan soporte administrativo al mecanismo ISDS; también generan problemas propios. El informe de UNCTAD advierte de los riesgos asociados a formulaciones amplias del consentimiento en leyes internas, a las divergencias interpretativas entre tribunales y a los elevados costes del procedimiento, circunstancias que han impulsado propuestas de mayor precisión normativa y el fomento de mecanismos alternativos de resolución más ágiles y menos costosos </w:t>
      </w:r>
      <w:sdt>
        <w:sdtPr>
          <w:rPr>
            <w:rFonts w:cs="Times New Roman"/>
            <w:color w:val="000000"/>
            <w:highlight w:val="white"/>
          </w:rPr>
          <w:alias w:val="Citation"/>
          <w:tag w:val="{&quot;referencesIds&quot;:[&quot;doc:69a59b356c23824ee930b2ad&quot;],&quot;referencesOptions&quot;:{&quot;doc:69a59b356c23824ee930b2a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038965289"/>
          <w:placeholder>
            <w:docPart w:val="2165F390107C754DA8DA28335C293A1E"/>
          </w:placeholder>
        </w:sdtPr>
        <w:sdtContent>
          <w:r>
            <w:rPr>
              <w:rFonts w:eastAsia="Times New Roman"/>
              <w:color w:val="000000"/>
            </w:rPr>
            <w:t>(UNCTAD (Conferencia de las Naciones Unidas sobre Comercio y Desarrollo), 2025)</w:t>
          </w:r>
        </w:sdtContent>
      </w:sdt>
      <w:r>
        <w:rPr>
          <w:rFonts w:cs="Times New Roman"/>
          <w:color w:val="000000"/>
        </w:rPr>
        <w:t>.</w:t>
      </w:r>
    </w:p>
    <w:p w14:paraId="683CAA4A" w14:textId="4542BE41" w:rsidR="00FA70BA" w:rsidRDefault="00FA70BA" w:rsidP="00FA70BA">
      <w:pPr>
        <w:rPr>
          <w:rFonts w:cs="Times New Roman"/>
          <w:color w:val="000000"/>
        </w:rPr>
      </w:pPr>
      <w:r>
        <w:t xml:space="preserve">En cuanto a la Cámara de Comercio Internacional (CCI), su Corte Internacional de Arbitraje se encarga de la administración de procedimientos arbitrales sin pronunciarse sobre el fondo de las controversias. Ejerce funciones de control relevantes para la calidad del proceso, como el nombramiento y confirmación de árbitros, la gestión de cuestiones preliminares sobre la existencia del convenio arbitral y el examen formal de los laudos antes de su notificación, con el fin de reforzar su ejecutabilidad. De forma complementaria, el Reglamento de Mediación de la CCI establece un cauce flexible de solución negociada, que puede utilizarse como vía previa o paralela al arbitraje </w:t>
      </w:r>
      <w:sdt>
        <w:sdtPr>
          <w:rPr>
            <w:rFonts w:cs="Times New Roman"/>
            <w:color w:val="000000"/>
            <w:highlight w:val="white"/>
          </w:rPr>
          <w:alias w:val="Citation"/>
          <w:tag w:val="{&quot;referencesIds&quot;:[&quot;doc:69a67293abbb854afbdeabdb&quot;],&quot;referencesOptions&quot;:{&quot;doc:69a67293abbb854afbdeabd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373066903"/>
          <w:placeholder>
            <w:docPart w:val="58646907AE33C142BD373761C258E3F7"/>
          </w:placeholder>
        </w:sdtPr>
        <w:sdtContent>
          <w:r>
            <w:rPr>
              <w:rFonts w:eastAsia="Times New Roman"/>
              <w:color w:val="000000"/>
            </w:rPr>
            <w:t>(Cámara de Comercio Internacional, 2022)</w:t>
          </w:r>
        </w:sdtContent>
      </w:sdt>
      <w:r>
        <w:rPr>
          <w:rFonts w:cs="Times New Roman"/>
          <w:color w:val="000000"/>
        </w:rPr>
        <w:t>.</w:t>
      </w:r>
    </w:p>
    <w:p w14:paraId="47DAE73B" w14:textId="77777777" w:rsidR="00961DC2" w:rsidRDefault="00961DC2" w:rsidP="00FA70BA"/>
    <w:p w14:paraId="78FE75CF" w14:textId="277FF286" w:rsidR="00020166" w:rsidRDefault="009204D2" w:rsidP="00207EB4">
      <w:pPr>
        <w:pStyle w:val="Ttulo1"/>
        <w:numPr>
          <w:ilvl w:val="0"/>
          <w:numId w:val="2"/>
        </w:numPr>
      </w:pPr>
      <w:bookmarkStart w:id="19" w:name="_Toc231223169"/>
      <w:r>
        <w:t>El régimen jurídico de protección del inversor en la Unión Europea</w:t>
      </w:r>
      <w:bookmarkEnd w:id="19"/>
    </w:p>
    <w:p w14:paraId="71585473" w14:textId="5995759C" w:rsidR="00FA70BA" w:rsidRPr="00FA70BA" w:rsidRDefault="00FA70BA" w:rsidP="00FA70BA">
      <w:r>
        <w:t>El presente capítulo analiza el modelo de protección del inversor extranjero desarrollado en el ámbito de la Unión Europea, desde sus orígenes descentralizados hasta las reformas más recientes. Con este fin, se examina en primer lugar la evolución del marco europeo de protección de inversores, prestando especial atención al impacto del Tratado de Lisboa en la distribución competencial. A continuación se estudian las consecuencias jurídicas derivadas de la sentencia Achmea y del proceso de terminación de los tratados bilaterales intra-UE, para pasar después al análisis de la propuesta de un Tribunal Multilateral de inversiones (MIC) como respuesta institucional a las deficiencias del sistema anterior. El capítulo continúa con el examen de los acuerdos internacionales de nueva generación más relevantes para la Unión Europea y concluye con una valoración de compatibilidad de arbitraje con el ordenamiento jurídico de la Unión, a la luz de la jurisprudencia del Tribunal de Justicia.</w:t>
      </w:r>
    </w:p>
    <w:p w14:paraId="64786D21" w14:textId="77777777" w:rsidR="007F5399" w:rsidRPr="007F5399" w:rsidRDefault="007F5399" w:rsidP="007F5399"/>
    <w:p w14:paraId="517CB84E" w14:textId="7E553F3F" w:rsidR="005F5473" w:rsidRDefault="009204D2" w:rsidP="006348C7">
      <w:pPr>
        <w:pStyle w:val="Ttulo2"/>
      </w:pPr>
      <w:bookmarkStart w:id="20" w:name="_Toc231223170"/>
      <w:r>
        <w:lastRenderedPageBreak/>
        <w:t>Evolución del modelo europeo de protección de inversiones</w:t>
      </w:r>
      <w:bookmarkEnd w:id="20"/>
    </w:p>
    <w:p w14:paraId="2D983656" w14:textId="41C1BB15" w:rsidR="006348C7" w:rsidRDefault="005F5473" w:rsidP="005F5473">
      <w:pPr>
        <w:rPr>
          <w:rFonts w:cs="Times New Roman"/>
          <w:color w:val="000000"/>
        </w:rPr>
      </w:pPr>
      <w:r>
        <w:t xml:space="preserve">Con anterioridad a la entrada en vigor del Tratado de Lisboa, el modelo europeo de protección de inversiones era marcadamente descentralizado, en el que los Estados miembros desempeñaban el papel protagonista a través de sus propios tratados bilaterales de inversión (TBI) con terceros Estados. Estos instrumentos configuraban el núcleo de la protección sustantiva del inversor e incorporaban habitualmente los estándares clásicos de tutela junto con el mecanismo de arbitraje inversor-Estado (ISDS), lo que dio lugar a un sistema fragmentado y desigual en el que el nivel de protección disponible para el inversor europeo dependía en buena medida de su Estado de origen. La acción de la Unión en este período se orientaba principalmente a la liberalización y al acceso al mercado, sin que existiera una política común integral en materia de inversión </w:t>
      </w:r>
      <w:sdt>
        <w:sdtPr>
          <w:rPr>
            <w:rFonts w:cs="Times New Roman"/>
            <w:color w:val="000000"/>
            <w:highlight w:val="white"/>
          </w:rPr>
          <w:alias w:val="Citation"/>
          <w:tag w:val="{&quot;referencesIds&quot;:[&quot;doc:69b695f26c23824ee93247e9&quot;],&quot;referencesOptions&quot;:{&quot;doc:69b695f26c23824ee93247e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640773404"/>
          <w:placeholder>
            <w:docPart w:val="E5FD7DEA16A66446BCD9A75C2D3D9B08"/>
          </w:placeholder>
        </w:sdtPr>
        <w:sdtContent>
          <w:r>
            <w:rPr>
              <w:rFonts w:eastAsia="Times New Roman"/>
              <w:color w:val="000000"/>
            </w:rPr>
            <w:t>(Stephen Woolcock, 2010)</w:t>
          </w:r>
        </w:sdtContent>
      </w:sdt>
      <w:r>
        <w:rPr>
          <w:rFonts w:cs="Times New Roman"/>
          <w:color w:val="000000"/>
        </w:rPr>
        <w:t>.</w:t>
      </w:r>
    </w:p>
    <w:p w14:paraId="3522E8C2" w14:textId="32D3C483" w:rsidR="006348C7" w:rsidRDefault="005F5473" w:rsidP="006348C7">
      <w:pPr>
        <w:rPr>
          <w:rFonts w:cs="Times New Roman"/>
          <w:color w:val="000000"/>
        </w:rPr>
      </w:pPr>
      <w:r>
        <w:rPr>
          <w:rFonts w:cs="Times New Roman"/>
          <w:color w:val="000000"/>
        </w:rPr>
        <w:t xml:space="preserve">La entrada en vigor del Tratado de Lisboa marcó un giro al incorporar la inversión extranjera directa en el ámbito de la Política Comercial Común, sentando así las bases para el desarrollo de una política europea de inversión de alcance general. La Comisión impulsó a partir de entonces un modelo orientado a superar la fragmentación preexistente mediante un sistema más uniforme, con el objetivo de reforzar la posición competitiva de los operadores europeos y aumentar la capacidad negociadora de la Unión frente a terceros países. En esta línea, se apostó por acuerdos más coherentes y previsibles, con estándares de protección más precisos y mejor alineados con los valores y objetivos de la acción exterior de la Unión </w:t>
      </w:r>
      <w:sdt>
        <w:sdtPr>
          <w:rPr>
            <w:rFonts w:cs="Times New Roman"/>
            <w:color w:val="000000"/>
            <w:highlight w:val="white"/>
          </w:rPr>
          <w:alias w:val="Citation"/>
          <w:tag w:val="{&quot;referencesIds&quot;:[&quot;doc:69b6955653d1710edc1b32ec&quot;],&quot;referencesOptions&quot;:{&quot;doc:69b6955653d1710edc1b32e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419241333"/>
          <w:placeholder>
            <w:docPart w:val="D875713407A5824F95500664D537531C"/>
          </w:placeholder>
        </w:sdtPr>
        <w:sdtContent>
          <w:r>
            <w:rPr>
              <w:rFonts w:eastAsia="Times New Roman"/>
              <w:color w:val="000000"/>
            </w:rPr>
            <w:t>(European Commission, 2010)</w:t>
          </w:r>
        </w:sdtContent>
      </w:sdt>
      <w:r>
        <w:rPr>
          <w:rFonts w:cs="Times New Roman"/>
          <w:color w:val="000000"/>
        </w:rPr>
        <w:t>.</w:t>
      </w:r>
    </w:p>
    <w:p w14:paraId="6077CF8B" w14:textId="0620742C" w:rsidR="006348C7" w:rsidRDefault="005F5473" w:rsidP="006348C7">
      <w:pPr>
        <w:rPr>
          <w:rFonts w:cs="Times New Roman"/>
          <w:color w:val="000000"/>
        </w:rPr>
      </w:pPr>
      <w:r>
        <w:rPr>
          <w:rFonts w:cs="Times New Roman"/>
          <w:color w:val="000000"/>
        </w:rPr>
        <w:t xml:space="preserve">En el plano normativo, la Unión articuló un régimen transitorio para gestionar el conjunto de TBI nacionales con terceros países que continuaban en vigor. El Reglamento (UE) nº 1219/2012 autorizó el mantenimiento temporal de estos acuerdos bajo supervisión de la Comisión, estableciendo obligaciones de notificación y cooperación destinadas a garantizar su compatibilidad con la política común de inversión y a evitar que se convirtieran en un obstáculo para la negociación de acuerdos propios de la Unión. El Reglamento introdujo además obligaciones de coordinación en materia de controversias durante la fase transitoria </w:t>
      </w:r>
      <w:sdt>
        <w:sdtPr>
          <w:rPr>
            <w:rFonts w:cs="Times New Roman"/>
            <w:color w:val="000000"/>
            <w:highlight w:val="white"/>
          </w:rPr>
          <w:alias w:val="Citation"/>
          <w:tag w:val="{&quot;referencesIds&quot;:[&quot;doc:69b6964cabbb854afbe045c7&quot;],&quot;referencesOptions&quot;:{&quot;doc:69b6964cabbb854afbe045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2029165983"/>
          <w:placeholder>
            <w:docPart w:val="95E00E7373D00244A1741F7E1AC96E16"/>
          </w:placeholder>
        </w:sdtPr>
        <w:sdtContent>
          <w:r>
            <w:rPr>
              <w:rFonts w:eastAsia="Times New Roman"/>
              <w:color w:val="000000"/>
            </w:rPr>
            <w:t>(</w:t>
          </w:r>
          <w:r>
            <w:rPr>
              <w:rFonts w:eastAsia="Times New Roman"/>
              <w:i/>
              <w:iCs/>
              <w:color w:val="000000"/>
            </w:rPr>
            <w:t xml:space="preserve">Reglamento (UE) n.º 1219/2012 del parlamento europeo y del consejo, de 12 de diciembre de 2012, por el que se establecen disposiciones transitorias sobre los acuerdos bilaterales de inversión entre estados miembros y terceros países, </w:t>
          </w:r>
          <w:r>
            <w:rPr>
              <w:rFonts w:eastAsia="Times New Roman"/>
              <w:color w:val="000000"/>
            </w:rPr>
            <w:t>2012)</w:t>
          </w:r>
        </w:sdtContent>
      </w:sdt>
      <w:r>
        <w:rPr>
          <w:rFonts w:cs="Times New Roman"/>
          <w:color w:val="000000"/>
        </w:rPr>
        <w:t>.</w:t>
      </w:r>
    </w:p>
    <w:p w14:paraId="68D08E80" w14:textId="253910D9" w:rsidR="00495F8F" w:rsidRDefault="005F5473" w:rsidP="006348C7">
      <w:pPr>
        <w:rPr>
          <w:rFonts w:cs="Times New Roman"/>
          <w:color w:val="000000"/>
        </w:rPr>
      </w:pPr>
      <w:r>
        <w:rPr>
          <w:rFonts w:cs="Times New Roman"/>
          <w:color w:val="000000"/>
        </w:rPr>
        <w:t xml:space="preserve">La delimitación competencial fue precisada posteriormente por el Tribunal de Justicia en el Dictamen 2/15, que confirmó la competencia exclusiva de la Unión respecto de la </w:t>
      </w:r>
      <w:r>
        <w:rPr>
          <w:rFonts w:cs="Times New Roman"/>
          <w:color w:val="000000"/>
        </w:rPr>
        <w:lastRenderedPageBreak/>
        <w:t xml:space="preserve">inversión extranjera directa (tanto en lo relativo a su admisión como a su protección), pero mantuvo como materias de competencia compartida las inversiones distintas de la directa y, de forma especialmente relevante, los mecanismos de ISDS, en la medida en que su operatividad implica sustraer litigios de la jurisdicción de los tribunales nacionales de los Estados miembros. Esta configuración competencial explica por qué determinados acuerdos de nueva generación requieren carácter mixto para su celebración, y constituye el marco de referencia para el posterior análisis del caso Achmea, de la evolución institucional del sistema y de la compatibilidad del arbitraje con el ordenamiento jurídico de la Unión </w:t>
      </w:r>
      <w:sdt>
        <w:sdtPr>
          <w:rPr>
            <w:rFonts w:cs="Times New Roman"/>
            <w:color w:val="000000"/>
            <w:highlight w:val="white"/>
          </w:rPr>
          <w:alias w:val="Citation"/>
          <w:tag w:val="{&quot;referencesIds&quot;:[&quot;doc:69b6973f53d1710edc1b32fb&quot;],&quot;referencesOptions&quot;:{&quot;doc:69b6973f53d1710edc1b32f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447047319"/>
          <w:placeholder>
            <w:docPart w:val="584655F5AA295149AC1F622F84463FD4"/>
          </w:placeholder>
        </w:sdtPr>
        <w:sdtContent>
          <w:r>
            <w:rPr>
              <w:rFonts w:eastAsia="Times New Roman"/>
              <w:color w:val="000000"/>
            </w:rPr>
            <w:t>(Tribunal de Justicia de la Unión Europea, 2017)</w:t>
          </w:r>
        </w:sdtContent>
      </w:sdt>
      <w:r>
        <w:rPr>
          <w:rFonts w:cs="Times New Roman"/>
          <w:color w:val="000000"/>
        </w:rPr>
        <w:t>.</w:t>
      </w:r>
    </w:p>
    <w:p w14:paraId="040889C2" w14:textId="77777777" w:rsidR="005F5473" w:rsidRPr="006348C7" w:rsidRDefault="005F5473" w:rsidP="006348C7"/>
    <w:p w14:paraId="2D11F94B" w14:textId="5CF03A5D" w:rsidR="009204D2" w:rsidRDefault="009204D2" w:rsidP="00F229DB">
      <w:pPr>
        <w:pStyle w:val="Ttulo2"/>
      </w:pPr>
      <w:bookmarkStart w:id="21" w:name="_Toc231223171"/>
      <w:r>
        <w:t>Consecuencias jurídicas del caso Achmea v. Slovakia y la anulación de los tratados bilaterales intra-UE</w:t>
      </w:r>
      <w:bookmarkEnd w:id="21"/>
    </w:p>
    <w:p w14:paraId="6FDFB3F9" w14:textId="77777777" w:rsidR="009A4EA7" w:rsidRDefault="009A4EA7" w:rsidP="009A4EA7">
      <w:r>
        <w:t>La sentencia Achmea (C-284/16) trae causa del arbitraje iniciado por la sociedad neerlandesa Achmea contra Eslovaquia al amparo del artículo 8 del TBI celebrado entre los Países Bajos y Checoslovaquia en 1991, en un contexto que ya era intra-UE tras la adhesión de la República Eslovaca en 2004. El procedimiento llegó al Tribunal de Justicia a través de una cuestión prejudicial planteada por tribunales alemanes en el marco de un recurso de anulación del laudo, en el que el TJUE concentró el análisis en la compatibilidad de la cláusula arbitral con el sistema jurisdiccional de la Unión.</w:t>
      </w:r>
    </w:p>
    <w:p w14:paraId="74083843" w14:textId="77777777" w:rsidR="009A4EA7" w:rsidRDefault="009A4EA7" w:rsidP="009A4EA7">
      <w:r>
        <w:t>El Tribunal declaró la incompatibilidad de dicha cláusula con el Derecho de la Unión por vulnerar los artículos 267 y 344 del TFUE y el principio de autonomía del ordenamiento jurídico europeo. El fundamento esencial de esta conclusión reside en que un tribunal arbitral constituido al amparo de un TBI intra-UE puede verse obligado a interpretar o aplicar normas del Derecho de la Unión, sin que forme parte del sistema jurisdiccional de los Estados miembros ni tenga la posibilidad de plantear una cuestión prejudicial ante el TJUE. Esta circunstancia compromete tanto la interpretación uniforme del Derecho de la Unión como la plena eficacia del mecanismo de cooperación judicial previsto en los Tratados.</w:t>
      </w:r>
    </w:p>
    <w:p w14:paraId="324E359D" w14:textId="6B7B9A4E" w:rsidR="0099380C" w:rsidRDefault="009A4EA7" w:rsidP="009A4EA7">
      <w:pPr>
        <w:rPr>
          <w:rFonts w:cs="Times New Roman"/>
          <w:color w:val="000000"/>
        </w:rPr>
      </w:pPr>
      <w:r>
        <w:t xml:space="preserve">Como consecuencia de esta doctrina, las cláusulas arbitrales contenidas en los TBI intra-UE quedaron privadas de efectos por aplicación del principio de primacía del Derecho de la Unión, correspondiendo a los órganos jurisdiccionales nacionales evitar que produzcan consecuencias jurídicas, ya sea mediante la anulación de los laudos dictados a su amparo o denegando su reconocimiento y ejecución cuando así proceda. En términos prácticos, </w:t>
      </w:r>
      <w:r>
        <w:lastRenderedPageBreak/>
        <w:t xml:space="preserve">la sentencia Achmea redefinió el papel de los tribunales nacionales como garantes de la tutela judicial efectiva dentro del marco establecido por el artículo 267 del TFUE y el sistema de recursos previsto en los Tratados </w:t>
      </w:r>
      <w:sdt>
        <w:sdtPr>
          <w:rPr>
            <w:rFonts w:cs="Times New Roman"/>
            <w:color w:val="000000"/>
            <w:highlight w:val="white"/>
          </w:rPr>
          <w:alias w:val="Citation"/>
          <w:tag w:val="{&quot;referencesIds&quot;:[&quot;doc:69b9199b53d1710edc1b93da&quot;],&quot;referencesOptions&quot;:{&quot;doc:69b9199b53d1710edc1b93da&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612315940"/>
          <w:placeholder>
            <w:docPart w:val="FA922F175441EF4DAFD9049DD7536E3C"/>
          </w:placeholder>
        </w:sdtPr>
        <w:sdtContent>
          <w:r>
            <w:rPr>
              <w:rFonts w:eastAsia="Times New Roman"/>
              <w:color w:val="000000"/>
            </w:rPr>
            <w:t>(Tribunal de Justicia de la Unión Europea (Gran Sala), 2018)</w:t>
          </w:r>
        </w:sdtContent>
      </w:sdt>
      <w:r>
        <w:rPr>
          <w:rFonts w:cs="Times New Roman"/>
          <w:color w:val="000000"/>
        </w:rPr>
        <w:t>.</w:t>
      </w:r>
    </w:p>
    <w:p w14:paraId="4466ED2B" w14:textId="68EC2768" w:rsidR="006D6775" w:rsidRDefault="009A4EA7" w:rsidP="004C6100">
      <w:pPr>
        <w:rPr>
          <w:rFonts w:cs="Times New Roman"/>
          <w:color w:val="000000"/>
        </w:rPr>
      </w:pPr>
      <w:r>
        <w:rPr>
          <w:rFonts w:cs="Times New Roman"/>
          <w:color w:val="000000"/>
        </w:rPr>
        <w:t xml:space="preserve">Esta doctrina se tradujo en el Acuerdo de 2020 sobre terminación de los TBI intra-UE, que extingue los tratados enumerados, neutraliza sus cláusulas de supervivencia y prevé alternativas como el diálogo estructurado o el acceso a tribunales nacionales </w:t>
      </w:r>
      <w:sdt>
        <w:sdtPr>
          <w:rPr>
            <w:rFonts w:cs="Times New Roman"/>
            <w:color w:val="000000"/>
            <w:highlight w:val="white"/>
          </w:rPr>
          <w:alias w:val="Citation"/>
          <w:tag w:val="{&quot;referencesIds&quot;:[&quot;doc:69b91b1153d1710edc1b93eb&quot;],&quot;referencesOptions&quot;:{&quot;doc:69b91b1153d1710edc1b93e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04014683"/>
          <w:placeholder>
            <w:docPart w:val="25C7869DBA402943931E2552642EEA1C"/>
          </w:placeholder>
        </w:sdtPr>
        <w:sdtContent>
          <w:r>
            <w:rPr>
              <w:rFonts w:eastAsia="Times New Roman"/>
              <w:color w:val="000000"/>
            </w:rPr>
            <w:t>(Estados miembros de la Unión Europea, 2020)</w:t>
          </w:r>
        </w:sdtContent>
      </w:sdt>
      <w:r>
        <w:rPr>
          <w:rFonts w:cs="Times New Roman"/>
          <w:color w:val="000000"/>
        </w:rPr>
        <w:t>.</w:t>
      </w:r>
    </w:p>
    <w:p w14:paraId="55716C97" w14:textId="77777777" w:rsidR="00AF6C97" w:rsidRPr="004C6100" w:rsidRDefault="00AF6C97" w:rsidP="004C6100"/>
    <w:p w14:paraId="00B8D2C6" w14:textId="7CF9EC53" w:rsidR="009204D2" w:rsidRDefault="009204D2" w:rsidP="00F229DB">
      <w:pPr>
        <w:pStyle w:val="Ttulo2"/>
      </w:pPr>
      <w:bookmarkStart w:id="22" w:name="_Toc231223172"/>
      <w:r>
        <w:t>El nuevo marco institucional: Propuesta de Tribunal Multilateral de Inversiones (MIC)</w:t>
      </w:r>
      <w:bookmarkEnd w:id="22"/>
    </w:p>
    <w:p w14:paraId="7AA1B060" w14:textId="2F0C29DD" w:rsidR="00AF4A11" w:rsidRDefault="00E672A8" w:rsidP="00AF4A11">
      <w:r>
        <w:t xml:space="preserve">La propuesta de creación de un Tribunal Multilateral de Inversiones (MIC) responde a la voluntad de la Unión Europea de superar las principales deficiencias atribuidas al modelo tradicional de arbitraje inversor-Estado (ISDS), en particular las relativas a la falta de legitimidad y transparencia, a la inconsistencia de la práctica decisoria y a la ausencia de un mecanismo efectivo de revisión de los laudos. La Comisión Europea sostiene que una reforma basada en sistemas bilaterales resulta insuficiente desde un punto de vista estructural y administrativamente compleja, lo que justifica apostar por un mecanismo multilateral con capacidad para proporcionar mayor previsibilidad y confianza pública en el sistema </w:t>
      </w:r>
      <w:sdt>
        <w:sdtPr>
          <w:rPr>
            <w:rFonts w:cs="Times New Roman"/>
            <w:color w:val="000000"/>
            <w:highlight w:val="white"/>
          </w:rPr>
          <w:alias w:val="Citation"/>
          <w:tag w:val="{&quot;referencesIds&quot;:[&quot;doc:69b96575abbb854afbe08a68&quot;],&quot;referencesOptions&quot;:{&quot;doc:69b96575abbb854afbe08a6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242912646"/>
          <w:placeholder>
            <w:docPart w:val="83BF4CD416AB454C8AF3A24DC345CF6C"/>
          </w:placeholder>
        </w:sdtPr>
        <w:sdtContent>
          <w:r>
            <w:rPr>
              <w:rFonts w:eastAsia="Times New Roman"/>
              <w:color w:val="000000"/>
            </w:rPr>
            <w:t>(Comisión Europea, 2017)</w:t>
          </w:r>
        </w:sdtContent>
      </w:sdt>
      <w:r>
        <w:rPr>
          <w:rFonts w:cs="Times New Roman"/>
          <w:color w:val="000000"/>
        </w:rPr>
        <w:t>.</w:t>
      </w:r>
    </w:p>
    <w:p w14:paraId="2267BA58" w14:textId="791EED68" w:rsidR="00AC2C5F" w:rsidRDefault="00E672A8" w:rsidP="00AF4A11">
      <w:pPr>
        <w:rPr>
          <w:rFonts w:cs="Times New Roman"/>
          <w:color w:val="000000"/>
        </w:rPr>
      </w:pPr>
      <w:r>
        <w:t xml:space="preserve">En el marco de los trabajos desarrollados en el seno del Grupo de Trabajo III de UNCITRAL sobre reforma del ISDS, la Unión Europea y sus Estados miembros presentaron el MIC como respuesta institucional a tres problemas estructurales del sistema vigente: la falta de coherencia y previsibilidad en la interpretación de los estándares de protección, las dudas sobre la independencia e imparcialidad de los árbitros derivadas de los incentivos propios del modelo ad hoc, y la excesiva duración y los elevados costes de los procedimientos. Frente a estas deficiencias, se propone una estructura institucionalizada y permanente, capaz de generar una jurisprudencia estable y dotada de mecanismos orientados a reforzar la diversidad y la calidad técnica de quienes ejercen la función adjudicadora </w:t>
      </w:r>
      <w:sdt>
        <w:sdtPr>
          <w:rPr>
            <w:rFonts w:cs="Times New Roman"/>
            <w:color w:val="000000"/>
            <w:highlight w:val="white"/>
          </w:rPr>
          <w:alias w:val="Citation"/>
          <w:tag w:val="{&quot;referencesIds&quot;:[&quot;doc:69b9660b6c23824ee932ff79&quot;],&quot;referencesOptions&quot;:{&quot;doc:69b9660b6c23824ee932ff7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68484741"/>
          <w:placeholder>
            <w:docPart w:val="B9BFE3A12E69D44A96C2212A5712C3E0"/>
          </w:placeholder>
        </w:sdtPr>
        <w:sdtContent>
          <w:r>
            <w:rPr>
              <w:rFonts w:eastAsia="Times New Roman"/>
              <w:color w:val="000000"/>
            </w:rPr>
            <w:t>(United Nations Commission on International Trade Law (UNCITRAL) Working Group III, 2019)</w:t>
          </w:r>
        </w:sdtContent>
      </w:sdt>
      <w:r>
        <w:rPr>
          <w:rFonts w:cs="Times New Roman"/>
          <w:color w:val="000000"/>
        </w:rPr>
        <w:t>.</w:t>
      </w:r>
    </w:p>
    <w:p w14:paraId="0EF8312C" w14:textId="77777777" w:rsidR="00E672A8" w:rsidRPr="00E672A8" w:rsidRDefault="00E672A8" w:rsidP="00E672A8">
      <w:pPr>
        <w:rPr>
          <w:rFonts w:cs="Times New Roman"/>
          <w:color w:val="000000"/>
        </w:rPr>
      </w:pPr>
      <w:r>
        <w:rPr>
          <w:rFonts w:cs="Times New Roman"/>
          <w:color w:val="000000"/>
        </w:rPr>
        <w:t xml:space="preserve">En cuanto a su diseño, el MIC se concibe como un sistema de doble instancia, integrado por un tribunal de primera instancia y un tribunal de apelación que permitiría corregir </w:t>
      </w:r>
      <w:r>
        <w:rPr>
          <w:rFonts w:cs="Times New Roman"/>
          <w:color w:val="000000"/>
        </w:rPr>
        <w:lastRenderedPageBreak/>
        <w:t>errores de derecho y, en determinados supuestos, errores manifiestos en la apreciación de los hechos mediante la incorporación de mecanismos de reenvío. Los adjudicadores tendrían la condición de jueces a tiempo completo, con una remuneración estable, mandatos de larga duración no renovables, prohibición de actividades externas incompatibles con su función y obligaciones estrictas en materia de transparencia. El sistema contempla además un proceso de selección con filtros previos orientados a garantizar la representación geográfica adecuada, y un mecanismo de asignación aleatoria de casos destinado a limitar influencias indebidas y reforzar la imparcialidad.</w:t>
      </w:r>
    </w:p>
    <w:p w14:paraId="732131F7" w14:textId="1E0FDA62" w:rsidR="00331A75" w:rsidRDefault="00E672A8" w:rsidP="00E672A8">
      <w:pPr>
        <w:rPr>
          <w:rFonts w:cs="Times New Roman"/>
          <w:color w:val="000000"/>
        </w:rPr>
      </w:pPr>
      <w:r>
        <w:rPr>
          <w:rFonts w:cs="Times New Roman"/>
          <w:color w:val="000000"/>
        </w:rPr>
        <w:t xml:space="preserve">La implementación del MIC se articularía mediante un convenio multilateral de adhesión voluntaria, que permitiría aplicar el nuevo mecanismo a la red de tratados de inversión ya existentes. Los Estados adheridos notificarían los acuerdos que someten a la jurisdicción del MIC, que sustituiría al mecanismo arbitral previo cuando ambas partes de un tratado hayan efectuado dicha opción. En conjunto, el MIC busca reconfigurar el ISDS en un modelo más judicializado y legítimo, en línea con los acuerdos de nueva generación y con la cuestión de la compatibilidad del sistema con el ordenamiento jurídico de la Unión </w:t>
      </w:r>
      <w:sdt>
        <w:sdtPr>
          <w:rPr>
            <w:rFonts w:cs="Times New Roman"/>
            <w:color w:val="000000"/>
            <w:highlight w:val="white"/>
          </w:rPr>
          <w:alias w:val="Citation"/>
          <w:tag w:val="{&quot;referencesIds&quot;:[&quot;doc:69b9660b6c23824ee932ff79&quot;,&quot;doc:69b96575abbb854afbe08a68&quot;],&quot;referencesOptions&quot;:{&quot;doc:69b9660b6c23824ee932ff79&quot;:{&quot;author&quot;:true,&quot;year&quot;:true,&quot;formatAuthorYear&quot;:false,&quot;pageReplace&quot;:&quot;&quot;,&quot;additionalField&quot;:&quot;&quot;,&quot;additionalValue&quot;:&quot;&quot;,&quot;prefix&quot;:&quot;&quot;,&quot;suffix&quot;:&quot;&quot;},&quot;doc:69b96575abbb854afbe08a6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59383719"/>
          <w:placeholder>
            <w:docPart w:val="A4626C5F3D9B0E42BD6E6B414E0B3BE2"/>
          </w:placeholder>
        </w:sdtPr>
        <w:sdtContent>
          <w:r>
            <w:rPr>
              <w:rFonts w:eastAsia="Times New Roman"/>
              <w:color w:val="000000"/>
            </w:rPr>
            <w:t>(Comisión Europea, 2017; United Nations Commission on International Trade Law (UNCITRAL) Working Group III, 2019)</w:t>
          </w:r>
        </w:sdtContent>
      </w:sdt>
      <w:r>
        <w:rPr>
          <w:rFonts w:cs="Times New Roman"/>
          <w:color w:val="000000"/>
        </w:rPr>
        <w:t>.</w:t>
      </w:r>
    </w:p>
    <w:p w14:paraId="72A2E6A8" w14:textId="77777777" w:rsidR="00AF6C97" w:rsidRPr="00AF4A11" w:rsidRDefault="00AF6C97" w:rsidP="00E672A8"/>
    <w:p w14:paraId="7770A527" w14:textId="19E4D99B" w:rsidR="00AF6C97" w:rsidRDefault="009204D2" w:rsidP="00DD4804">
      <w:pPr>
        <w:pStyle w:val="Ttulo2"/>
      </w:pPr>
      <w:bookmarkStart w:id="23" w:name="_Toc231223173"/>
      <w:r>
        <w:t>Análisis de acuerdos internacionales de nueva generación: CETA y otros instrumentos UE relevantes; UE-Mercosur</w:t>
      </w:r>
      <w:bookmarkEnd w:id="23"/>
    </w:p>
    <w:p w14:paraId="16C72189" w14:textId="77777777" w:rsidR="00AF6C97" w:rsidRDefault="00AF6C97" w:rsidP="00AF6C97">
      <w:r>
        <w:t>El CETA es el principal referente del nuevo modelo impulsado por la Unión Europea en materia de protección de inversiones, al combinar en un único instrumento la liberalización comercial con un régimen de protección más preciso y una reforma profunda del sistema de resolución de controversias. Frente al enfoque tradicional de los TBI, caracterizado por cláusulas de contenido abierto y amplia discrecionalidad interpretativa, el acuerdo persigue reforzar la seguridad jurídica a la vez que delimita con mayor claridad el equilibrio entre la protección de las inversiones y el derecho del Estado a regular.</w:t>
      </w:r>
    </w:p>
    <w:p w14:paraId="705E480D" w14:textId="77777777" w:rsidR="00AF6C97" w:rsidRDefault="00AF6C97" w:rsidP="00AF6C97">
      <w:r>
        <w:t xml:space="preserve">En el plano sustantivo, el CETA incorpora técnicas de precisión normativa orientadas a elevar la previsibilidad del sistema. El trato justo y equitativo se define mediante una lista cerrada de supuestos de infracción (artículo 8.10), mientras que la expropiación indirecta se acota a través de un anexo interpretativo que protege las medidas regulatorias no discriminatorias adoptadas en defensa del interés público, salvo en los casos en que su </w:t>
      </w:r>
      <w:r>
        <w:lastRenderedPageBreak/>
        <w:t>impacto resulte manifiestamente desproporcionado (artículo 8.12 y Anexo 8-A). A ello se añade una reafirmación expresa del derecho a regular (artículo 8.9), que establece que la mera modificación del marco normativo, aunque afecte negativamente al valor de una inversión, no implica por sí sola un incumplimiento del tratado.</w:t>
      </w:r>
    </w:p>
    <w:p w14:paraId="26980ED1" w14:textId="139AF1AB" w:rsidR="008470E6" w:rsidRDefault="00AF6C97" w:rsidP="00AF6C97">
      <w:pPr>
        <w:rPr>
          <w:rFonts w:cs="Times New Roman"/>
          <w:color w:val="000000"/>
        </w:rPr>
      </w:pPr>
      <w:r>
        <w:t xml:space="preserve">La innovación institucional más relevante del CETA es la sustitución del ISDS tradicional por el Sistema de Tribunales de Inversión (ICS por sus siglas en inglés): un órgano permanente integrado por miembros nombrados por las Partes, sometido a reglas reforzadas de independencia, con plena transparencia procesal conforme a los estándares UNCITRAL y dotado de un mecanismo de apelación para corregir errores de derecho y errores manifiestos de hecho. El propio texto del acuerdo contempla además su evolución hacia un eventual tribunal multilateral de inversiones, en coherencia con la propuesta del MIC analizada en el apartado anterior </w:t>
      </w:r>
      <w:sdt>
        <w:sdtPr>
          <w:rPr>
            <w:rFonts w:cs="Times New Roman"/>
            <w:color w:val="000000"/>
            <w:highlight w:val="white"/>
          </w:rPr>
          <w:alias w:val="Citation"/>
          <w:tag w:val="{&quot;referencesIds&quot;:[&quot;doc:69b9a4ca0b7c5e250b8bbbb0&quot;],&quot;referencesOptions&quot;:{&quot;doc:69b9a4ca0b7c5e250b8bbbb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962181146"/>
          <w:placeholder>
            <w:docPart w:val="7FD28DEDDB3F02478E15F52E1F7CF63B"/>
          </w:placeholder>
        </w:sdtPr>
        <w:sdtContent>
          <w:r>
            <w:rPr>
              <w:rFonts w:eastAsia="Times New Roman"/>
              <w:color w:val="000000"/>
            </w:rPr>
            <w:t>(Unión Europea &amp; Canadá, 2017)</w:t>
          </w:r>
        </w:sdtContent>
      </w:sdt>
      <w:r>
        <w:rPr>
          <w:rFonts w:cs="Times New Roman"/>
          <w:color w:val="000000"/>
        </w:rPr>
        <w:t>.</w:t>
      </w:r>
    </w:p>
    <w:p w14:paraId="7810DDF0" w14:textId="2E1D185B" w:rsidR="005228B0" w:rsidRDefault="00AF6C97" w:rsidP="00DD4804">
      <w:pPr>
        <w:rPr>
          <w:rFonts w:cs="Times New Roman"/>
          <w:color w:val="000000"/>
        </w:rPr>
      </w:pPr>
      <w:r>
        <w:rPr>
          <w:rFonts w:cs="Times New Roman"/>
          <w:color w:val="000000"/>
        </w:rPr>
        <w:t xml:space="preserve">El Acuerdo UE-Mercosur presenta, en cambio, un perfil distinto en materia de inversión. Según el Servicio de Estudios del Parlamento Europeo (EPRS), el pilar comercial del acuerdo no incorpora un capítulo de protección de inversiones ni un mecanismo de solución de controversias inversor-Estado, dado que las directrices de negociación del Consejo datan de 1999 y no fueron actualizadas tras la entrada en vigor del Tratado de Lisboa. En su lugar, el texto se centra en disposiciones relativas a los servicios y al establecimiento empresarial, junto con un mecanismo de resolución de controversias Estado-Estado basado en paneles. Esta configuración implica que el inversor carece de acceso directo a una instancia internacional de reclamación y queda remitido a los tribunales nacionales o a la eventual activación del mecanismo por su Estado de origen o por la propia Unión Europea. El carácter de nueva generación del acuerdo se desplaza así hacia otros ámbitos, en particular el capítulo de comercio y desarrollo sostenible, que adquiere especial relevancia en el texto político más reciente </w:t>
      </w:r>
      <w:sdt>
        <w:sdtPr>
          <w:rPr>
            <w:rFonts w:cs="Times New Roman"/>
            <w:color w:val="000000"/>
            <w:highlight w:val="white"/>
          </w:rPr>
          <w:alias w:val="Citation"/>
          <w:tag w:val="{&quot;referencesIds&quot;:[&quot;doc:69b9ac826c23824ee9330926&quot;],&quot;referencesOptions&quot;:{&quot;doc:69b9ac826c23824ee933092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790572315"/>
          <w:placeholder>
            <w:docPart w:val="36318E2E84A56640B5F939A4C4809C51"/>
          </w:placeholder>
        </w:sdtPr>
        <w:sdtContent>
          <w:r>
            <w:rPr>
              <w:rFonts w:eastAsia="Times New Roman"/>
              <w:color w:val="000000"/>
            </w:rPr>
            <w:t>(Grieger, 2025)</w:t>
          </w:r>
        </w:sdtContent>
      </w:sdt>
      <w:r>
        <w:rPr>
          <w:rFonts w:cs="Times New Roman"/>
          <w:color w:val="000000"/>
        </w:rPr>
        <w:t>.</w:t>
      </w:r>
    </w:p>
    <w:p w14:paraId="039BCB7E" w14:textId="3AB53E8F" w:rsidR="00AF6C97" w:rsidRDefault="00AF6C97" w:rsidP="00DD4804">
      <w:pPr>
        <w:rPr>
          <w:rFonts w:cs="Times New Roman"/>
          <w:color w:val="000000"/>
        </w:rPr>
      </w:pPr>
      <w:r>
        <w:rPr>
          <w:rFonts w:cs="Times New Roman"/>
          <w:color w:val="000000"/>
        </w:rPr>
        <w:t>En conjunto, mientras el CETA refleja el modelo europeo de protección judicializado y previsible, el Acuerdo UE-Mercosur muestra un diseño más limitado en materia de inversión: prueba de que el modelo europeo de nueva generación varía según el mandato negociador de cada acuerdo.</w:t>
      </w:r>
    </w:p>
    <w:p w14:paraId="6A9A2AFC" w14:textId="4F90DDDA" w:rsidR="004833E2" w:rsidRPr="00DD4804" w:rsidRDefault="002C414B" w:rsidP="00DD4804">
      <w:r>
        <w:rPr>
          <w:rFonts w:cs="Times New Roman"/>
          <w:color w:val="000000"/>
        </w:rPr>
        <w:t xml:space="preserve"> </w:t>
      </w:r>
    </w:p>
    <w:p w14:paraId="26012D86" w14:textId="4A4570BF" w:rsidR="00AF6C97" w:rsidRDefault="009204D2" w:rsidP="000C1C26">
      <w:pPr>
        <w:pStyle w:val="Ttulo2"/>
      </w:pPr>
      <w:bookmarkStart w:id="24" w:name="_Toc231223174"/>
      <w:r>
        <w:lastRenderedPageBreak/>
        <w:t>Compatibilidad del sistema de arbitraje con el ordenamiento jurídico de la Unión Europea</w:t>
      </w:r>
      <w:bookmarkEnd w:id="24"/>
    </w:p>
    <w:p w14:paraId="2F1340B8" w14:textId="77777777" w:rsidR="00AF6C97" w:rsidRDefault="00AF6C97" w:rsidP="00AF6C97">
      <w:r>
        <w:t>La compatibilidad de los mecanismos de resolución de controversias en materia de inversión con el ordenamiento jurídico de la Unión Europea se examina a partir del principio de autonomía del Derecho de la Unión y de la preservación del sistema jurisdiccional diseñado por los Tratados, cuyo eje central lo constituyen el procedimiento prejudicial del artículo 267 del TFUE y el compromiso de exclusividad jurisdiccional del artículo 344 del TFUE. En este marco, la jurisprudencia del Tribunal de Justicia establece una distinción nítida entre el arbitraje intra-UE derivado de tratados bilaterales entre Estados miembros y los mecanismos previstos en acuerdos celebrados por la Unión con terceros Estados, siempre que estos últimos incorporen las salvaguardas necesarias.</w:t>
      </w:r>
    </w:p>
    <w:p w14:paraId="04991590" w14:textId="37CAD128" w:rsidR="00256852" w:rsidRDefault="00AF6C97" w:rsidP="00AF6C97">
      <w:pPr>
        <w:rPr>
          <w:rFonts w:cs="Times New Roman"/>
          <w:color w:val="000000"/>
        </w:rPr>
      </w:pPr>
      <w:r>
        <w:t>En la sentencia Achmea (C-284/16), el Tribunal de Justicia declaró incompatible con el Derecho de la Unión la cláusula arbitral contenida en un TBI intra-UE, por vulnerar los artículos 267 y 344 del TFUE y, con ello, la autonomía y la interpretación uniforme del ordenamiento jurídico europeo. La incompatibilidad se funda en que el tribunal arbitral no forma parte del sistema jurisdiccional de los Estados miembros ni puede plantear cuestiones prejudiciales, pese a que puede verse obligado a interpretar o aplicar normas del Derecho de la Unión. El control posterior de los laudos por parte de los tribunales nacionales no fue considerado garantía suficiente para preservar la plena eficacia del Derecho de la Unión. En consecuencia, los órganos jurisdiccionales nacionales deben tratar dichas cláusulas como inoperativas y evitar que produzcan efectos, ya sea a través de la anulación de los laudos o de la denegación de su reconocimiento y ejecución</w:t>
      </w:r>
      <w:r>
        <w:rPr>
          <w:rFonts w:cs="Times New Roman"/>
          <w:color w:val="000000"/>
        </w:rPr>
        <w:t xml:space="preserve"> </w:t>
      </w:r>
      <w:sdt>
        <w:sdtPr>
          <w:rPr>
            <w:rFonts w:cs="Times New Roman"/>
            <w:color w:val="000000"/>
            <w:highlight w:val="white"/>
          </w:rPr>
          <w:alias w:val="Citation"/>
          <w:tag w:val="{&quot;referencesIds&quot;:[&quot;doc:69b9199b53d1710edc1b93da&quot;],&quot;referencesOptions&quot;:{&quot;doc:69b9199b53d1710edc1b93da&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435548258"/>
          <w:placeholder>
            <w:docPart w:val="9F9A27B7FE8A4644B3131E2FA50CD990"/>
          </w:placeholder>
        </w:sdtPr>
        <w:sdtContent>
          <w:r>
            <w:rPr>
              <w:rFonts w:eastAsia="Times New Roman"/>
              <w:color w:val="000000"/>
            </w:rPr>
            <w:t>(Tribunal de Justicia de la Unión Europea (Gran Sala), 2018)</w:t>
          </w:r>
        </w:sdtContent>
      </w:sdt>
      <w:r>
        <w:rPr>
          <w:rFonts w:cs="Times New Roman"/>
          <w:color w:val="000000"/>
        </w:rPr>
        <w:t>.</w:t>
      </w:r>
    </w:p>
    <w:p w14:paraId="0585E661" w14:textId="77777777" w:rsidR="006E7A3A" w:rsidRPr="006E7A3A" w:rsidRDefault="006E7A3A" w:rsidP="006E7A3A">
      <w:pPr>
        <w:rPr>
          <w:rFonts w:cs="Times New Roman"/>
          <w:color w:val="000000"/>
        </w:rPr>
      </w:pPr>
      <w:r>
        <w:rPr>
          <w:rFonts w:cs="Times New Roman"/>
          <w:color w:val="000000"/>
        </w:rPr>
        <w:t xml:space="preserve">En sentido contrario, el Dictamen 1/17 concluyó que el sistema ICS previsto en el CETA puede resultar compatible con el ordenamiento de la Unión, siempre que su competencia quede estrictamente circunscrita a la interpretación y aplicación del propio acuerdo internacional a la luz del Derecho Internacional, sin que el tribunal pueda interpretar o aplicar normas del Derecho de la Unión como tales. A estos efectos, el Derecho interno solo puede ser tomado en consideración como elemento de hecho, en los términos establecidos por los órganos jurisdiccionales de la Unión, sin que dicha apreciación vincule a las instituciones o tribunales europeos. Esta delimitación permite preservar la competencia exclusiva del Tribunal de Justicia para la interpretación del Derecho de la </w:t>
      </w:r>
      <w:r>
        <w:rPr>
          <w:rFonts w:cs="Times New Roman"/>
          <w:color w:val="000000"/>
        </w:rPr>
        <w:lastRenderedPageBreak/>
        <w:t>Unión y evita que el tribunal internacional interfiera en el ejercicio de las competencias internas de la Unión.</w:t>
      </w:r>
    </w:p>
    <w:p w14:paraId="5C70DEDF" w14:textId="0B8E4ABB" w:rsidR="00C10156" w:rsidRDefault="006E7A3A" w:rsidP="006E7A3A">
      <w:pPr>
        <w:rPr>
          <w:rFonts w:cs="Times New Roman"/>
          <w:color w:val="000000"/>
        </w:rPr>
      </w:pPr>
      <w:r>
        <w:rPr>
          <w:rFonts w:cs="Times New Roman"/>
          <w:color w:val="000000"/>
        </w:rPr>
        <w:t xml:space="preserve">El Tribunal de Justicia subraya asimismo que el mecanismo internacional no puede obstaculizar el funcionamiento constitucional de la Unión, en particular en lo que respecta al derecho a regular. En este sentido, el Dictamen establece que el ICS no puede cuestionar el nivel de protección de los intereses públicos definido por la Unión ni imponer la modificación de su normativa interna, quedando limitado en todo caso a pronunciamientos de naturaleza pecuniaria. Estas garantías se complementan con la mayor precisión de los estándares sustantivos del acuerdo y con instrumentos de control interpretativo, como la posibilidad de que las Partes adopten interpretaciones vinculantes del texto convencional </w:t>
      </w:r>
      <w:sdt>
        <w:sdtPr>
          <w:rPr>
            <w:rFonts w:cs="Times New Roman"/>
            <w:color w:val="000000"/>
            <w:highlight w:val="white"/>
          </w:rPr>
          <w:alias w:val="Citation"/>
          <w:tag w:val="{&quot;referencesIds&quot;:[&quot;doc:69ba8117abbb854afbe0ae37&quot;],&quot;referencesOptions&quot;:{&quot;doc:69ba8117abbb854afbe0ae3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298647970"/>
          <w:placeholder>
            <w:docPart w:val="D034DCA281F1514FA7BF3F36F4B841C1"/>
          </w:placeholder>
        </w:sdtPr>
        <w:sdtContent>
          <w:r>
            <w:rPr>
              <w:rFonts w:eastAsia="Times New Roman"/>
              <w:color w:val="000000"/>
            </w:rPr>
            <w:t>(Tribunal de Justicia de la Unión Europea (Pleno), 2019)</w:t>
          </w:r>
        </w:sdtContent>
      </w:sdt>
      <w:r>
        <w:rPr>
          <w:rFonts w:cs="Times New Roman"/>
          <w:color w:val="000000"/>
        </w:rPr>
        <w:t>.</w:t>
      </w:r>
    </w:p>
    <w:p w14:paraId="654B8FC0" w14:textId="01639B4A" w:rsidR="006E7A3A" w:rsidRDefault="006E7A3A" w:rsidP="000C1C26">
      <w:pPr>
        <w:rPr>
          <w:rFonts w:cs="Times New Roman"/>
          <w:color w:val="000000"/>
        </w:rPr>
      </w:pPr>
      <w:r>
        <w:rPr>
          <w:rFonts w:cs="Times New Roman"/>
          <w:color w:val="000000"/>
        </w:rPr>
        <w:t>En definitiva, la jurisprudencia del Tribunal de Justicia conduce a un modelo dual: rechazo del arbitraje intra-UE por vulnerar la autonomía del ordenamiento europeo y admisión condicionada de mecanismos externos cuando preserven la competencia del Tribunal de Justicia y el margen regulatorio del Estado.</w:t>
      </w:r>
    </w:p>
    <w:p w14:paraId="697B4901" w14:textId="737186C1" w:rsidR="00AD17FD" w:rsidRPr="00C10156" w:rsidRDefault="00AD17FD" w:rsidP="000C1C26">
      <w:pPr>
        <w:rPr>
          <w:rFonts w:cs="Times New Roman"/>
          <w:color w:val="000000"/>
        </w:rPr>
      </w:pPr>
      <w:r>
        <w:rPr>
          <w:rFonts w:cs="Times New Roman"/>
          <w:color w:val="000000"/>
        </w:rPr>
        <w:t xml:space="preserve"> </w:t>
      </w:r>
    </w:p>
    <w:p w14:paraId="27346AA0" w14:textId="22CF3A32" w:rsidR="009204D2" w:rsidRDefault="009204D2" w:rsidP="00207EB4">
      <w:pPr>
        <w:pStyle w:val="Ttulo1"/>
        <w:numPr>
          <w:ilvl w:val="0"/>
          <w:numId w:val="2"/>
        </w:numPr>
      </w:pPr>
      <w:bookmarkStart w:id="25" w:name="_Toc231223175"/>
      <w:r>
        <w:t>El régimen jurídico de protección del inversor en América Latina</w:t>
      </w:r>
      <w:bookmarkEnd w:id="25"/>
    </w:p>
    <w:p w14:paraId="2CC34FF3" w14:textId="1102F693" w:rsidR="00AD17FD" w:rsidRDefault="00470643" w:rsidP="00AD17FD">
      <w:r>
        <w:t>El presente capítulo examina el régimen de protección del inversor extranjero en América Latina, región de especial relevancia en la evolución del Derecho Internacional de las Inversiones por la intensidad de su práctica arbitral y por las respuestas institucionales que los Estados de la región han articulado frente al sistema ISDS. Con este propósito, se analiza en primer lugar la evolución del marco institucional de protección de inversiones, para continuar con el estudio de los marcos normativos nacionales y la red de tratados bilaterales de inversión. A continuación se examina la jurisprudencia arbitral más significativa en materia de expropiación y trato justo y equitativo, a través de tres casos representativos. El capítulo concluye con un análisis de las reformas recientes y las tendencias hacia la modernización y mayor transparencia del arbitraje en la región.</w:t>
      </w:r>
    </w:p>
    <w:p w14:paraId="6D9A0D00" w14:textId="77777777" w:rsidR="00470643" w:rsidRPr="00AD17FD" w:rsidRDefault="00470643" w:rsidP="00AD17FD"/>
    <w:p w14:paraId="110AE4AD" w14:textId="1183AC78" w:rsidR="00470643" w:rsidRDefault="009204D2" w:rsidP="000A4389">
      <w:pPr>
        <w:pStyle w:val="Ttulo2"/>
      </w:pPr>
      <w:bookmarkStart w:id="26" w:name="_Toc231223176"/>
      <w:r>
        <w:t>Evolución del marco institucional de protección de inversiones en América Latina</w:t>
      </w:r>
      <w:bookmarkEnd w:id="26"/>
    </w:p>
    <w:p w14:paraId="58A0FC29" w14:textId="1A7F8F44" w:rsidR="00FD3A59" w:rsidRDefault="00470643" w:rsidP="000A4389">
      <w:pPr>
        <w:rPr>
          <w:rFonts w:cs="Times New Roman"/>
          <w:color w:val="000000"/>
        </w:rPr>
      </w:pPr>
      <w:r>
        <w:t xml:space="preserve">La trayectoria institucional de América Latina en materia de protección de inversiones va de una incorporación intensa al régimen internacional (mediante la suscripción masiva de </w:t>
      </w:r>
      <w:r>
        <w:lastRenderedPageBreak/>
        <w:t>TBI y el recurso generalizado al arbitraje inversor-Estado) a una fase de contestación y reajuste que se consolida a partir de finales de la primera década del siglo XXI. UNCTAD identifica este giro como respuesta a un conjunto de preocupaciones acumuladas: el notable incremento de reclamaciones arbitrales contra Estados de la región, la percepción de que la interpretación de los estándares de protección resultaba excesivamente favorable al inversor, y los cuestionamientos sobre su legitimidad y su coherencia, reforzados en algunos casos por reformas constitucionales internas que condicionaron o restringieron el sometimiento del Estado al arbitraje internacional.</w:t>
      </w:r>
    </w:p>
    <w:p w14:paraId="58A0FC30" w14:textId="77777777" w:rsidR="00FD3A59" w:rsidRDefault="00470643" w:rsidP="000A4389">
      <w:pPr>
        <w:rPr>
          <w:rFonts w:cs="Times New Roman"/>
          <w:color w:val="000000"/>
        </w:rPr>
      </w:pPr>
      <w:r>
        <w:t>Este proceso de distanciamiento institucional se materializó de forma más visible entre 2007 y 2010. Bolivia fue el primer Estado en notificar su denuncia del Convenio CIADI, en mayo de 2007, y posteriormente aprobó una nueva Constitución en 2009 que prohibía la participación del Estado en arbitrajes internacionales de naturaleza comercial o contractual. Ecuador siguió un camino similar: notificó su denuncia del Convenio en julio de 2009, paralelamente a la adopción de su Constitución de 2008, que introdujo restricciones al arbitraje internacional, y procedió ese mismo año a la terminación de nueve TBI, activando al mismo tiempo mecanismos de control institucional sobre otras cláusulas arbitrales vigentes. En ese mismo período, Venezuela y Nicaragua habían expresado formalmente su intención de retirarse del CIADI, aunque sin materializarla de forma inmediata.</w:t>
      </w:r>
    </w:p>
    <w:p w14:paraId="58A0FC31" w14:textId="77777777" w:rsidR="00FD3A59" w:rsidRDefault="00470643" w:rsidP="000A4389">
      <w:pPr>
        <w:rPr>
          <w:rFonts w:cs="Times New Roman"/>
          <w:color w:val="000000"/>
        </w:rPr>
      </w:pPr>
      <w:r>
        <w:t xml:space="preserve">Con todo, la denuncia del Convenio CIADI y la terminación de TBI no producen una desconexión automática del sistema internacional de protección. UNCTAD subraya que la interacción entre los artículos 71 y 72 del Convenio y la persistencia de las cláusulas de supervivencia contenidas en los TBI puede prolongar la exposición estatal durante períodos considerables, manteniendo abiertas vías de reclamación incluso después de la salida formal del sistema. Esta circunstancia ha llevado a algunos Estados a complementar la denuncia del Convenio con la terminación de sus TBI, con el fin de reducir esa exposición residual. En este contexto, UNCTAD señala una incertidumbre interpretativa en torno al artículo 72 del Convenio CIADI, derivada de la determinación del alcance del consentimiento prestado con anterioridad a la notificación de denuncia. El debate gira en torno a si ese consentimiento debe entenderse como un consentimiento ya perfeccionado o si, por el contrario, basta con que la oferta unilateral de arbitraje contenida en un TBI se encuentre vigente en el momento en que se perfecciona el consentimiento del inversor. Bajo esta segunda interpretación, la denuncia del Convenio no excluiría las nuevas reclamaciones cuando el tratado continúe ofreciendo la vía arbitral CIADI, lo que </w:t>
      </w:r>
      <w:r>
        <w:lastRenderedPageBreak/>
        <w:t>explicaría la decisión de algunos Estados de avanzar también en la terminación de sus TBI</w:t>
      </w:r>
      <w:r>
        <w:rPr>
          <w:rFonts w:cs="Times New Roman"/>
          <w:color w:val="000000"/>
          <w:highlight w:val="white"/>
        </w:rPr>
        <w:t xml:space="preserve"> </w:t>
      </w:r>
      <w:sdt>
        <w:sdtPr>
          <w:rPr>
            <w:rFonts w:cs="Times New Roman"/>
            <w:color w:val="000000"/>
            <w:highlight w:val="white"/>
          </w:rPr>
          <w:alias w:val="Citation"/>
          <w:tag w:val="{&quot;referencesIds&quot;:[&quot;doc:69baf95b0b7c5e250b8c0a4c&quot;],&quot;referencesOptions&quot;:{&quot;doc:69baf95b0b7c5e250b8c0a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723260452"/>
          <w:placeholder>
            <w:docPart w:val="FD85B2E2FF0BF14C87837139491454D7"/>
          </w:placeholder>
        </w:sdtPr>
        <w:sdtContent>
          <w:r>
            <w:rPr>
              <w:rFonts w:eastAsia="Times New Roman"/>
              <w:color w:val="000000"/>
            </w:rPr>
            <w:t>(United Nations Conference on Trade and Development (UNCTAD), 2010)</w:t>
          </w:r>
        </w:sdtContent>
      </w:sdt>
      <w:r>
        <w:rPr>
          <w:rFonts w:cs="Times New Roman"/>
          <w:color w:val="000000"/>
        </w:rPr>
        <w:t>.</w:t>
      </w:r>
    </w:p>
    <w:p w14:paraId="4587D224" w14:textId="0A343DF2" w:rsidR="00890042" w:rsidRDefault="008A49C4" w:rsidP="000A4389">
      <w:pPr>
        <w:rPr>
          <w:rFonts w:cs="Times New Roman"/>
          <w:color w:val="000000"/>
        </w:rPr>
      </w:pPr>
      <w:r>
        <w:rPr>
          <w:rFonts w:cs="Times New Roman"/>
          <w:color w:val="000000"/>
        </w:rPr>
        <w:t xml:space="preserve">CEPAL sostiene que la seguridad jurídica, la previsibilidad regulatoria y la calidad institucional operan como condiciones estructurales determinantes para la atracción de inversión extranjera directa, con una incidencia que supera a la de los incentivos temporales. La decisión de localización responde habitualmente a un proceso en dos etapas en el que el inversor preselecciona jurisdicciones que superan umbrales mínimos de estabilidad antes de valorar incentivos económicos, razón por la cual la discontinuidad política y la debilidad institucional deterioran tanto el volumen como la calidad de la inversión </w:t>
      </w:r>
      <w:sdt>
        <w:sdtPr>
          <w:rPr>
            <w:rFonts w:cs="Times New Roman"/>
            <w:color w:val="000000"/>
            <w:highlight w:val="white"/>
          </w:rPr>
          <w:alias w:val="Citation"/>
          <w:tag w:val="{&quot;referencesIds&quot;:[&quot;doc:69baf9d553d1710edc1bda79&quot;],&quot;referencesOptions&quot;:{&quot;doc:69baf9d553d1710edc1bda7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637621657"/>
          <w:placeholder>
            <w:docPart w:val="AC1568E7C04D8440ABEC48001E9B0ED2"/>
          </w:placeholder>
        </w:sdtPr>
        <w:sdtContent>
          <w:r>
            <w:rPr>
              <w:rFonts w:eastAsia="Times New Roman"/>
              <w:color w:val="000000"/>
            </w:rPr>
            <w:t>(Comisión Económica para América Latina y el Caribe (CEPAL), 2024)</w:t>
          </w:r>
        </w:sdtContent>
      </w:sdt>
      <w:r>
        <w:rPr>
          <w:rFonts w:cs="Times New Roman"/>
          <w:color w:val="000000"/>
        </w:rPr>
        <w:t>.</w:t>
      </w:r>
    </w:p>
    <w:p w14:paraId="4AC46E33" w14:textId="6FE166D2" w:rsidR="00470643" w:rsidRDefault="00470643" w:rsidP="000A4389">
      <w:pPr>
        <w:rPr>
          <w:rFonts w:cs="Times New Roman"/>
          <w:color w:val="000000"/>
        </w:rPr>
      </w:pPr>
      <w:r>
        <w:rPr>
          <w:rFonts w:cs="Times New Roman"/>
          <w:color w:val="000000"/>
        </w:rPr>
        <w:t>En definitiva, la evolución institucional latinoamericana no puede reducirse a una alternativa binaria entre permanencia o salida de los mecanismos internacionales de protección. Lo que refleja es un reajuste del equilibrio entre protección del inversor y espacio regulatorio del Estado, condicionado por la persistencia de las obligaciones convencionales preexistentes y por la búsqueda de alternativas que permitan limitar la exposición al arbitraje sin renunciar a los marcos internacionales de garantía.</w:t>
      </w:r>
    </w:p>
    <w:p w14:paraId="6EFC7A54" w14:textId="77777777" w:rsidR="00470643" w:rsidRPr="006E3A4D" w:rsidRDefault="00470643" w:rsidP="000A4389">
      <w:pPr>
        <w:rPr>
          <w:rFonts w:cs="Times New Roman"/>
          <w:color w:val="000000"/>
        </w:rPr>
      </w:pPr>
    </w:p>
    <w:p w14:paraId="0FC7BE5A" w14:textId="1233CE66" w:rsidR="00470643" w:rsidRDefault="009204D2" w:rsidP="006E3A4D">
      <w:pPr>
        <w:pStyle w:val="Ttulo2"/>
      </w:pPr>
      <w:bookmarkStart w:id="27" w:name="_Toc231223177"/>
      <w:r>
        <w:t>Marcos normativos nacionales y redes de tratados bilaterales de inversión</w:t>
      </w:r>
      <w:bookmarkEnd w:id="27"/>
    </w:p>
    <w:p w14:paraId="34F66770" w14:textId="77777777" w:rsidR="00470643" w:rsidRDefault="00470643" w:rsidP="00470643">
      <w:r>
        <w:t>Desde la perspectiva del ordenamiento interno, CEPAL sostiene que la atracción de inversión extranjera directa depende principalmente de factores institucionales estructurales que operan como base de la seguridad jurídica y condicionan la decisión de inversión con anterioridad a la valoración de cualquier incentivo económico. En este marco, destacan instrumentos como el fortalecimiento de las agencias de promoción de inversiones, la configuración de estructuras de gobernanza al más alto nivel para coordinar políticas y la simplificación administrativa como vía de reducción de los costes de transacción. CEPAL advierte que la discontinuidad política y la debilidad institucional inciden negativamente tanto en el volumen como en la calidad de la inversión, favoreciendo estrategias de corto plazo y una competencia basada en incentivos en detrimento del desarrollo de capacidades estructurales.</w:t>
      </w:r>
    </w:p>
    <w:p w14:paraId="1BB3AD6A" w14:textId="6CEE5AFD" w:rsidR="00360F6B" w:rsidRDefault="00470643" w:rsidP="00470643">
      <w:r>
        <w:t xml:space="preserve">En particular, CEPAL subraya que las agencias de promoción de inversiones resultan más eficaces cuando disponen de recursos suficientes, personal cualificado, autonomía técnica y un mandato claro que les permita actuar con la agilidad necesaria. Recomienda </w:t>
      </w:r>
      <w:r>
        <w:lastRenderedPageBreak/>
        <w:t xml:space="preserve">asimismo su evaluación periódica mediante indicadores de desempeño con el fin de verificar su contribución real a los objetivos nacionales de desarrollo </w:t>
      </w:r>
      <w:sdt>
        <w:sdtPr>
          <w:rPr>
            <w:rFonts w:cs="Times New Roman"/>
            <w:color w:val="000000"/>
            <w:highlight w:val="white"/>
          </w:rPr>
          <w:alias w:val="Citation"/>
          <w:tag w:val="{&quot;referencesIds&quot;:[&quot;doc:69baf9d553d1710edc1bda79&quot;],&quot;referencesOptions&quot;:{&quot;doc:69baf9d553d1710edc1bda7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2075189190"/>
          <w:placeholder>
            <w:docPart w:val="EDA0FE694B220F418137495265517EE1"/>
          </w:placeholder>
        </w:sdtPr>
        <w:sdtContent>
          <w:r>
            <w:rPr>
              <w:rFonts w:eastAsia="Times New Roman"/>
              <w:color w:val="000000"/>
            </w:rPr>
            <w:t>(Comisión Económica para América Latina y el Caribe (CEPAL), 2024)</w:t>
          </w:r>
        </w:sdtContent>
      </w:sdt>
      <w:r>
        <w:rPr>
          <w:rFonts w:cs="Times New Roman"/>
          <w:color w:val="000000"/>
        </w:rPr>
        <w:t>.</w:t>
      </w:r>
    </w:p>
    <w:p w14:paraId="1D12DF35" w14:textId="77777777" w:rsidR="00470643" w:rsidRDefault="00470643" w:rsidP="00470643">
      <w:r>
        <w:t>En el plano internacional, el marco de protección del inversor en la región se ha articulado históricamente mediante una red extensa y heterogénea de acuerdos internacionales de inversión, cuya coexistencia genera solapamientos e inconsistencias y alimenta tensiones entre los estándares protectores y el espacio de políticas disponible para el Estado. UNCTAD describe cómo esta complejidad ha impulsado una transición hacia tratados orientados a reequilibrar la protección con el margen regulatorio, mediante técnicas de diseño normativo como la mayor precisión de los estándares sustantivos, la incorporación de excepciones generales por motivos de interés público, la introducción de reservas sectoriales y la utilización de definiciones más acotadas de inversión.</w:t>
      </w:r>
    </w:p>
    <w:p w14:paraId="58B35E81" w14:textId="0BF2FBD0" w:rsidR="00470643" w:rsidRDefault="00470643" w:rsidP="006E3A4D">
      <w:pPr>
        <w:rPr>
          <w:rFonts w:cs="Times New Roman"/>
          <w:color w:val="000000"/>
        </w:rPr>
      </w:pPr>
      <w:r>
        <w:t xml:space="preserve">UNCTAD caracteriza el régimen internacional de inversión como un sistema altamente atomizado, integrado por cerca de 3.300 tratados, cuya fragmentación y ambigüedad inciden negativamente en la previsibilidad y coherencia de la práctica arbitral. En este contexto, el Marco de Política de Inversión para el Desarrollo Sostenible (IPFSD) elaborado por UNCTAD formula el concepto de espacio de políticas y propone técnicas de modernización orientadas a compatibilizar la protección del inversor con el derecho del Estado a regular: precisión del trato justo y equitativo y de la expropiación indirecta, incorporación de excepciones, uso de reservas sectoriales y definiciones acotadas de inversión que vinculen la protección a criterios de inversión productiva y respeto de la legalidad  </w:t>
      </w:r>
      <w:sdt>
        <w:sdtPr>
          <w:rPr>
            <w:rFonts w:cs="Times New Roman"/>
            <w:color w:val="000000"/>
            <w:highlight w:val="white"/>
          </w:rPr>
          <w:alias w:val="Citation"/>
          <w:tag w:val="{&quot;referencesIds&quot;:[&quot;doc:69660a166976963cbb259801&quot;],&quot;referencesOptions&quot;:{&quot;doc:69660a166976963cbb25980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441755861"/>
          <w:placeholder>
            <w:docPart w:val="0B00D2C5A34FB744B42D24C5E311C03E"/>
          </w:placeholder>
        </w:sdtPr>
        <w:sdtContent>
          <w:r>
            <w:rPr>
              <w:rFonts w:eastAsia="Times New Roman"/>
              <w:color w:val="000000"/>
            </w:rPr>
            <w:t>(UNCTAD, 2015)</w:t>
          </w:r>
        </w:sdtContent>
      </w:sdt>
      <w:r>
        <w:rPr>
          <w:rFonts w:cs="Times New Roman"/>
          <w:color w:val="000000"/>
        </w:rPr>
        <w:t>.</w:t>
      </w:r>
    </w:p>
    <w:p w14:paraId="3DC3D439" w14:textId="57CF9911" w:rsidR="00F646CF" w:rsidRDefault="00470643" w:rsidP="006E3A4D">
      <w:pPr>
        <w:rPr>
          <w:rFonts w:cs="Times New Roman"/>
          <w:color w:val="000000"/>
        </w:rPr>
      </w:pPr>
      <w:r>
        <w:rPr>
          <w:rFonts w:cs="Times New Roman"/>
          <w:color w:val="000000"/>
        </w:rPr>
        <w:t>En definitiva, la seguridad jurídica del inversor en América Latina depende tanto de la calidad del marco normativo interno como de la arquitectura convencional existente, lo que hace del análisis de la jurisprudencia arbitral un elemento decisivo para valorar cómo se aplican en la práctica los estándares de protección y cuál es el alcance real del margen regulatorio del Estado.</w:t>
      </w:r>
    </w:p>
    <w:p w14:paraId="0087F9CF" w14:textId="77777777" w:rsidR="00961DC2" w:rsidRPr="00470643" w:rsidRDefault="00961DC2" w:rsidP="006E3A4D">
      <w:pPr>
        <w:rPr>
          <w:rFonts w:cs="Times New Roman"/>
          <w:color w:val="000000"/>
        </w:rPr>
      </w:pPr>
    </w:p>
    <w:p w14:paraId="46C1C7CF" w14:textId="764F9CDF" w:rsidR="00470643" w:rsidRPr="00470643" w:rsidRDefault="009204D2" w:rsidP="000632EC">
      <w:pPr>
        <w:pStyle w:val="Ttulo2"/>
        <w:rPr>
          <w:i/>
          <w:iCs/>
        </w:rPr>
      </w:pPr>
      <w:bookmarkStart w:id="28" w:name="_Toc231223178"/>
      <w:r>
        <w:t xml:space="preserve">Jurisprudencia arbitral relevante en materia de expropiación y trato justo: </w:t>
      </w:r>
      <w:r>
        <w:rPr>
          <w:i/>
          <w:iCs/>
        </w:rPr>
        <w:t>Repsol v. Argentina, Occidental Petroleum v. Ecuador, Metalclad v. México</w:t>
      </w:r>
      <w:bookmarkEnd w:id="28"/>
    </w:p>
    <w:p w14:paraId="1D9DB5AD" w14:textId="5F9AC1BB" w:rsidR="000632EC" w:rsidRDefault="00470643" w:rsidP="000632EC">
      <w:pPr>
        <w:rPr>
          <w:rFonts w:eastAsiaTheme="majorEastAsia" w:cstheme="majorBidi"/>
          <w:color w:val="000000" w:themeColor="text1"/>
          <w:szCs w:val="24"/>
        </w:rPr>
      </w:pPr>
      <w:r>
        <w:t xml:space="preserve">El presente apartado examina una selección de decisiones arbitrales representativas desde la perspectiva de la práctica decisoria y del alcance efectivo de dos estándares esenciales </w:t>
      </w:r>
      <w:r>
        <w:lastRenderedPageBreak/>
        <w:t>del Derecho Internacional de las Inversiones: el trato justo y equitativo y la protección frente a la expropiación. La elección de estos casos se justifica por su capacidad para ilustrar tres dimensiones decisivas para la seguridad jurídica del inversor en América Latina: la interacción entre distintos niveles de autoridad regulatoria, la distribución de competencias y la previsibilidad del marco normativo; la proyección del principio de proporcionalidad como límite a la potestad sancionadora del Estado y su incidencia en la calificación de la expropiación y en la cuantificación de la reparación; y la dimensión procesal y transaccional del arbitraje de inversiones cuando la controversia se clausura mediante desistimiento y acuerdo entre las partes. En conjunto, el análisis pretende extraer criterios y tensiones recurrentes entre la protección del inversor y el margen regulatorio estatal que resultan relevantes para la evaluación del modelo latinoamericano y su posterior contraste con el europeo</w:t>
      </w:r>
      <w:r>
        <w:rPr>
          <w:rFonts w:eastAsiaTheme="majorEastAsia" w:cstheme="majorBidi"/>
          <w:color w:val="000000" w:themeColor="text1"/>
          <w:szCs w:val="24"/>
        </w:rPr>
        <w:t>.</w:t>
      </w:r>
    </w:p>
    <w:p w14:paraId="5997CF8D" w14:textId="77777777" w:rsidR="00470643" w:rsidRPr="000632EC" w:rsidRDefault="00470643" w:rsidP="000632EC">
      <w:pPr>
        <w:rPr>
          <w:szCs w:val="24"/>
        </w:rPr>
      </w:pPr>
    </w:p>
    <w:p w14:paraId="6A7F0D62" w14:textId="506B99EC" w:rsidR="00470643" w:rsidRDefault="000632EC" w:rsidP="000632EC">
      <w:pPr>
        <w:pStyle w:val="Prrafodelista"/>
        <w:numPr>
          <w:ilvl w:val="2"/>
          <w:numId w:val="2"/>
        </w:numPr>
      </w:pPr>
      <w:r>
        <w:rPr>
          <w:i/>
          <w:iCs/>
        </w:rPr>
        <w:t>Metalclad v. México</w:t>
      </w:r>
      <w:r>
        <w:t>: expropiación indirecta, transparencia regulatoria y control judicial del laudo</w:t>
      </w:r>
    </w:p>
    <w:p w14:paraId="6BCCC9BF" w14:textId="77777777" w:rsidR="00470643" w:rsidRDefault="00470643" w:rsidP="00470643">
      <w:r>
        <w:t>El asunto Metalclad v. México tiene su origen en la inversión realizada por la sociedad estadounidense para la adquisición, construcción y operación de un confinamiento de residuos peligrosos en Guadalcázar, en el Estado de San Luis Potosí. La controversia se inicia con la paralización de las obras ordenada por el ayuntamiento en 1994, motivada en la supuesta falta de licencia municipal, y se consolida con la denegación formal de dicho permiso en diciembre de 1995, basada en consideraciones ambientales que el tribunal arbitral atribuyó al ámbito de competencia federal. La situación quedó definitivamente cerrada con la promulgación del Decreto Ecológico Estatal de 1997, que declaró la zona como reserva natural e imposibilitó de forma definitiva la operación del proyecto.</w:t>
      </w:r>
    </w:p>
    <w:p w14:paraId="2A649C93" w14:textId="77777777" w:rsidR="00470643" w:rsidRDefault="00470643" w:rsidP="00470643">
      <w:r>
        <w:t xml:space="preserve">Desde el punto de vista jurídico, el tribunal centró su análisis en los artículos 1105 y 1110 del Capítulo XI del TLCAN, relativos al trato conforme al derecho internacional (identificado con el trato justo y equitativo) y a la expropiación, respectivamente. En relación con el artículo 1105, el tribunal vinculó la obligación de trato con el objetivo de transparencia regulatoria, concluyendo que los requisitos legales aplicables a la inversión deben ser cognoscibles para el inversor, de modo que se evite incertidumbre sobre las condiciones para establecer y operar el proyecto. Bajo esta lógica, consideró que México no había asegurado un marco normativo suficientemente previsible: pese a las representaciones de las autoridades federales sobre la suficiencia de los permisos </w:t>
      </w:r>
      <w:r>
        <w:lastRenderedPageBreak/>
        <w:t>obtenidos, el ayuntamiento bloqueó la inversión mediante un requisito cuya obligatoriedad y criterios de aplicación no habían sido clarificados adecuadamente.</w:t>
      </w:r>
    </w:p>
    <w:p w14:paraId="2037EBF0" w14:textId="71F5D691" w:rsidR="000632EC" w:rsidRDefault="00470643" w:rsidP="00470643">
      <w:r>
        <w:t xml:space="preserve">En lo relativo al artículo 1110, el tribunal adoptó una concepción amplia de la expropiación, sosteniendo que no se limita a la transferencia formal de la titularidad sino que abarca cualquier medida que prive al inversor del uso o del beneficio económico esperado de su inversión de forma sustancial. Sobre esta base, el tribunal concluyó que el conjunto de actuaciones estatales produjo la frustración completa del proyecto y la pérdida total de la inversión, y apreció además que el Decreto Ecológico constituía por sí mismo una medida equivalente a la expropiación. En materia de reparación, el tribunal declaró la responsabilidad de México por la vulneración de ambos preceptos y ordenó el pago de una indemnización superior a dieciséis millones de dólares, con un tipo de interés del seis por ciento anual </w:t>
      </w:r>
      <w:sdt>
        <w:sdtPr>
          <w:rPr>
            <w:rFonts w:cs="Times New Roman"/>
            <w:color w:val="000000"/>
            <w:highlight w:val="white"/>
          </w:rPr>
          <w:alias w:val="Citation"/>
          <w:tag w:val="{&quot;referencesIds&quot;:[&quot;doc:69bd2373abbb854afbe0f466&quot;],&quot;referencesOptions&quot;:{&quot;doc:69bd2373abbb854afbe0f4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343775576"/>
          <w:placeholder>
            <w:docPart w:val="CD559E05B8CBDA49BAA9DA4AA03195AB"/>
          </w:placeholder>
        </w:sdtPr>
        <w:sdtContent>
          <w:r>
            <w:rPr>
              <w:rFonts w:eastAsia="Times New Roman"/>
              <w:color w:val="000000"/>
            </w:rPr>
            <w:t>(Centro Internacional de Arreglo de Diferencias Relativas a Inversiones (Mecanismo Complementario), 2000)</w:t>
          </w:r>
        </w:sdtContent>
      </w:sdt>
      <w:r>
        <w:rPr>
          <w:rFonts w:cs="Times New Roman"/>
          <w:color w:val="000000"/>
        </w:rPr>
        <w:t>.</w:t>
      </w:r>
    </w:p>
    <w:p w14:paraId="5EBC727F" w14:textId="66A8ED4A" w:rsidR="0041730C" w:rsidRDefault="00470643" w:rsidP="000632EC">
      <w:r>
        <w:t xml:space="preserve">La controversia adquiere una dimensión adicional de interés para la seguridad jurídica por el control judicial del laudo ejercido ante tribunales canadienses. La Corte Suprema de British Columbia aplicó el estándar de intervención mínima previsto en la International Commercial Arbitration Act, subrayando que la revisión judicial no opera como una apelación sobre el fondo, sino como un control excepcional limitado a las causas legales previstas. La Corte procedió a la anulación parcial del laudo con fundamento en la causal de exceso de jurisdicción, anulando las conclusiones relativas a la vulneración del artículo 1105 y a la expropiación anterior al Decreto Ecológico, al considerar que el tribunal arbitral había fundado su razonamiento en una noción de transparencia derivada del Capítulo 18 del TLCAN, fuera del ámbito competencial del Capítulo 11 que delimitaba el objeto del arbitraje inversor-Estado. La Corte mantuvo, en cambio, el hallazgo de expropiación vinculado al Decreto Ecológico, por entender que constituía una base jurídica independiente </w:t>
      </w:r>
      <w:sdt>
        <w:sdtPr>
          <w:rPr>
            <w:rFonts w:cs="Times New Roman"/>
            <w:color w:val="000000"/>
            <w:highlight w:val="white"/>
          </w:rPr>
          <w:alias w:val="Citation"/>
          <w:tag w:val="{&quot;referencesIds&quot;:[&quot;doc:69bd24480b7c5e250b8c3686&quot;],&quot;referencesOptions&quot;:{&quot;doc:69bd24480b7c5e250b8c368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185441221"/>
          <w:placeholder>
            <w:docPart w:val="5A375CAF9F2E374F9C81E6F40CF28130"/>
          </w:placeholder>
        </w:sdtPr>
        <w:sdtContent>
          <w:r>
            <w:rPr>
              <w:rFonts w:eastAsia="Times New Roman"/>
              <w:color w:val="000000"/>
            </w:rPr>
            <w:t>(Supreme Court of British Columbia, 2001)</w:t>
          </w:r>
        </w:sdtContent>
      </w:sdt>
      <w:r>
        <w:rPr>
          <w:rFonts w:cs="Times New Roman"/>
          <w:color w:val="000000"/>
        </w:rPr>
        <w:t>.</w:t>
      </w:r>
    </w:p>
    <w:p w14:paraId="1F55A3CD" w14:textId="48D98D41" w:rsidR="0041730C" w:rsidRDefault="00470643" w:rsidP="000632EC">
      <w:r>
        <w:t>Este proceso judicial ofrece dos lecturas relevantes para la seguridad jurídica: por un lado, refuerza que la previsibilidad del arbitraje internacional descansa en un estándar de revisión nacional restrictivo, orientado a preservar la autonomía del foro elegido; por otro, muestra que el control judicial incide en la seguridad jurídica cuando se aprecia que el tribunal arbitral ha excedido los límites de su competencia.</w:t>
      </w:r>
    </w:p>
    <w:p w14:paraId="5085F9B9" w14:textId="77777777" w:rsidR="00470643" w:rsidRDefault="00470643" w:rsidP="000632EC"/>
    <w:p w14:paraId="7A76434B" w14:textId="4F8B10B4" w:rsidR="007C4EBC" w:rsidRDefault="000632EC" w:rsidP="003A1648">
      <w:pPr>
        <w:pStyle w:val="Prrafodelista"/>
        <w:numPr>
          <w:ilvl w:val="2"/>
          <w:numId w:val="2"/>
        </w:numPr>
      </w:pPr>
      <w:r>
        <w:rPr>
          <w:i/>
          <w:iCs/>
        </w:rPr>
        <w:t>Occidental v. Ecuador</w:t>
      </w:r>
      <w:r>
        <w:t>: proporcionalidad sancionadora, expropiación y cuantificación de daños</w:t>
      </w:r>
    </w:p>
    <w:p w14:paraId="629C0390" w14:textId="77777777" w:rsidR="007C4EBC" w:rsidRDefault="007C4EBC" w:rsidP="007C4EBC">
      <w:r>
        <w:lastRenderedPageBreak/>
        <w:t>Este caso se articula en torno a la terminación unilateral de un contrato de inversión en el sector de los hidrocarburos, en un contexto de intensa intervención regulatoria y contractual. La controversia tiene su origen en un Contrato de Participación celebrado en 1999 entre la sociedad inversora (OPC) y la empresa estatal PetroEcuador para la exploración y explotación del Bloque 15 en la Amazonia ecuatoriana, sometido a la normativa interna y en particular a la Ley de Hidrocarburos, que exigía autorización administrativa previa para cualquier cesión de derechos contractuales. El conflicto se desencadenó a raíz de un acuerdo de farmout mediante el cual OPC cedió el cuarenta por ciento de sus intereses económicos, y alcanzó su punto culminante con el Decreto de Caducidad dictado por el Ministro de Energía y Minas en mayo de 2006, que extinguió el contrato con efecto inmediato e implicó la incautación de todos los activos vinculados a la operación. El inversor activó el arbitraje al amparo del TBI entre Estados Unidos y Ecuador, alegando que la declaración de caducidad fue arbitraria, desproporcionada y equivalente a una expropiación.</w:t>
      </w:r>
    </w:p>
    <w:p w14:paraId="1641999C" w14:textId="77777777" w:rsidR="007C4EBC" w:rsidRDefault="007C4EBC" w:rsidP="007C4EBC">
      <w:r>
        <w:t>Aunque se invocaron múltiples estándares, el tribunal centró el análisis de la responsabilidad estatal en el trato justo y equitativo y en la expropiación, incorporando el principio de proporcionalidad como criterio estructurante de su razonamiento. El tribunal reconoció la infracción cometida por el inversor al no obtener la preceptiva autorización, pero subrayó que la ley atribuía al Estado una amplia discrecionalidad en la respuesta, lo que exigía una ponderación adecuada entre la gravedad de la infracción y la severidad de la sanción. Sobre esta base, concluyó que la pérdida total de la inversión resultaba una reacción desproporcionada en relación con la infracción cometida y con la ausencia de un perjuicio económico real para el Estado, máxime cuando existían alternativas menos lesivas como la imposición de multas o la regularización del acuerdo. En consecuencia, consideró vulnerado el trato justo y equitativo y calificó la medida como equivalente a una expropiación en los términos del tratado.</w:t>
      </w:r>
    </w:p>
    <w:p w14:paraId="7DE0DB00" w14:textId="30769F0B" w:rsidR="003A1648" w:rsidRDefault="007C4EBC" w:rsidP="007C4EBC">
      <w:pPr>
        <w:rPr>
          <w:rFonts w:cs="Times New Roman"/>
          <w:color w:val="000000"/>
        </w:rPr>
      </w:pPr>
      <w:r>
        <w:t xml:space="preserve">En materia de cuantificación de daños, el tribunal aplicó el estándar del valor justo de mercado y utilizó el método del flujo de caja descontado (DCF). No obstante, la conducta del inversor tuvo incidencia directa en la determinación de la reparación: el tribunal calificó su comportamiento como negligente y aplicó un descuento del veinticinco por ciento sobre la indemnización con fundamento en la negligencia contributiva </w:t>
      </w:r>
      <w:sdt>
        <w:sdtPr>
          <w:rPr>
            <w:rFonts w:cs="Times New Roman"/>
            <w:color w:val="000000"/>
            <w:highlight w:val="white"/>
          </w:rPr>
          <w:alias w:val="Citation"/>
          <w:tag w:val="{&quot;referencesIds&quot;:[&quot;doc:69bd24d353d1710edc1c082e&quot;],&quot;referencesOptions&quot;:{&quot;doc:69bd24d353d1710edc1c082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602472704"/>
          <w:placeholder>
            <w:docPart w:val="C2CC8AB0391FC044A395AB0F6553040D"/>
          </w:placeholder>
        </w:sdtPr>
        <w:sdtContent>
          <w:r>
            <w:rPr>
              <w:rFonts w:eastAsia="Times New Roman"/>
              <w:color w:val="000000"/>
            </w:rPr>
            <w:t>(Centro Internacional de Arreglo de Diferencias Relativas a Inversiones, 2012)</w:t>
          </w:r>
        </w:sdtContent>
      </w:sdt>
      <w:r>
        <w:rPr>
          <w:rFonts w:cs="Times New Roman"/>
          <w:color w:val="000000"/>
        </w:rPr>
        <w:t>.</w:t>
      </w:r>
    </w:p>
    <w:p w14:paraId="2D9E27CF" w14:textId="58396A37" w:rsidR="003A1648" w:rsidRDefault="007C4EBC" w:rsidP="003A1648">
      <w:pPr>
        <w:rPr>
          <w:rFonts w:cs="Times New Roman"/>
          <w:color w:val="000000"/>
        </w:rPr>
      </w:pPr>
      <w:r>
        <w:rPr>
          <w:rFonts w:cs="Times New Roman"/>
          <w:color w:val="000000"/>
        </w:rPr>
        <w:t xml:space="preserve">La fase de anulación confirmó en lo sustancial los hallazgos de responsabilidad. Ecuador invocó diversos motivos al amparo del artículo 52 del Convenio CIADI, pero el Comité </w:t>
      </w:r>
      <w:r>
        <w:rPr>
          <w:rFonts w:cs="Times New Roman"/>
          <w:color w:val="000000"/>
        </w:rPr>
        <w:lastRenderedPageBreak/>
        <w:t xml:space="preserve">ad hoc rechazó las objeciones sobre jurisdicción y admisibilidad, así como los intentos de reabrir el análisis sobre proporcionalidad o valoración. Sin embargo, estimó parcialmente la anulación en relación con el denominado caso Andes, al considerar que el tribunal arbitral había incurrido en exceso manifiesto de facultades al incluir en la indemnización el cien por cien de la inversión pese a que el cuarenta por ciento correspondía a un tercero no protegido por el TBI. El efecto fue una reducción sustancial de la cuantía final, manteniéndose el descuento del veinticinco por ciento por negligencia contributiva, con un resultado final superior a mil millones de dólares </w:t>
      </w:r>
      <w:sdt>
        <w:sdtPr>
          <w:rPr>
            <w:rFonts w:cs="Times New Roman"/>
            <w:color w:val="000000"/>
            <w:highlight w:val="white"/>
          </w:rPr>
          <w:alias w:val="Citation"/>
          <w:tag w:val="{&quot;referencesIds&quot;:[&quot;doc:69bd25586c23824ee93361de&quot;],&quot;referencesOptions&quot;:{&quot;doc:69bd25586c23824ee93361d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548330279"/>
          <w:placeholder>
            <w:docPart w:val="D2667AE1F1C25F4BB1EC4686D4292AC7"/>
          </w:placeholder>
        </w:sdtPr>
        <w:sdtContent>
          <w:r>
            <w:rPr>
              <w:rFonts w:eastAsia="Times New Roman"/>
              <w:color w:val="000000"/>
            </w:rPr>
            <w:t>(International Centre for Settlement of Investment Disputes (ICSID), 2012)</w:t>
          </w:r>
        </w:sdtContent>
      </w:sdt>
      <w:r>
        <w:rPr>
          <w:rFonts w:cs="Times New Roman"/>
          <w:color w:val="000000"/>
        </w:rPr>
        <w:t>.</w:t>
      </w:r>
    </w:p>
    <w:p w14:paraId="3134D31C" w14:textId="77777777" w:rsidR="007C4EBC" w:rsidRDefault="007C4EBC" w:rsidP="003A1648">
      <w:r>
        <w:t>Desde la perspectiva de la seguridad jurídica, el caso refuerza dos conclusiones de especial relevancia. En primer lugar, la proporcionalidad opera como límite de racionalidad jurídica frente a sanciones estatales que, bajo apariencia de medida administrativa, producen efectos expropiatorios. En segundo lugar, el control ejercido por el Comité ad hoc del CIADI, aunque no equivale a una apelación sobre el fondo, funciona como salvaguarda estricta de los límites de la jurisdicción derivados de la nacionalidad y de la titularidad beneficiaria de la inversión, contribuyendo a reforzar la previsibilidad y coherencia del sistema.</w:t>
      </w:r>
    </w:p>
    <w:p w14:paraId="30A1FEBF" w14:textId="0ECB8833" w:rsidR="007422C8" w:rsidRPr="003A1648" w:rsidRDefault="007422C8" w:rsidP="003A1648">
      <w:r>
        <w:t xml:space="preserve"> </w:t>
      </w:r>
    </w:p>
    <w:p w14:paraId="71603A48" w14:textId="5D92B458" w:rsidR="007C4EBC" w:rsidRDefault="000632EC" w:rsidP="007E5D8D">
      <w:pPr>
        <w:pStyle w:val="Prrafodelista"/>
        <w:numPr>
          <w:ilvl w:val="2"/>
          <w:numId w:val="2"/>
        </w:numPr>
      </w:pPr>
      <w:r>
        <w:rPr>
          <w:i/>
          <w:iCs/>
        </w:rPr>
        <w:t>Repsol v. Argentina</w:t>
      </w:r>
      <w:r>
        <w:t>: terminación del procedimiento y seguridad jurídica procesal</w:t>
      </w:r>
    </w:p>
    <w:p w14:paraId="70A0787D" w14:textId="77777777" w:rsidR="007C4EBC" w:rsidRDefault="007C4EBC" w:rsidP="007C4EBC">
      <w:r>
        <w:t>El procedimiento Repsol v. Argentina resulta especialmente ilustrativo por mostrar la dimensión no adjudicativa del arbitraje de inversiones. A diferencia de los supuestos anteriores, el expediente arbitral no contiene un pronunciamiento sobre el fondo de la controversia, sino que documenta el inicio de un procedimiento CIADI y su terminación mediante desistimiento acordado entre las partes. La solicitud de arbitraje fue presentada el 3 de diciembre de 2012, el tribunal se constituyó en julio de 2013 y el procedimiento atravesó un incidente de recusación promovido por Argentina que motivó su suspensión temporal.</w:t>
      </w:r>
    </w:p>
    <w:p w14:paraId="3ACDB485" w14:textId="00658553" w:rsidR="007422C8" w:rsidRDefault="007C4EBC" w:rsidP="007C4EBC">
      <w:pPr>
        <w:rPr>
          <w:rFonts w:cs="Times New Roman"/>
          <w:color w:val="000000"/>
        </w:rPr>
      </w:pPr>
      <w:r>
        <w:t xml:space="preserve">La terminación se produjo al amparo de la Regla 44 de las Reglas de Arbitraje CIADI: las demandantes solicitaron la finalización del procedimiento el 9 de mayo de 2014 y Argentina prestó su conformidad el 12 de mayo del mismo año, sin formular objeciones. Desde la perspectiva de la seguridad jurídica, lo relevante es que el desistimiento no opera como un acto unilateral carente de formalidad, sino como una salida procedimentalmente estructurada dentro del marco institucional del CIADI </w:t>
      </w:r>
      <w:sdt>
        <w:sdtPr>
          <w:rPr>
            <w:rFonts w:cs="Times New Roman"/>
            <w:color w:val="000000"/>
            <w:highlight w:val="white"/>
          </w:rPr>
          <w:alias w:val="Citation"/>
          <w:tag w:val="{&quot;referencesIds&quot;:[&quot;doc:69bd26460b7c5e250b8c36df&quot;],&quot;referencesOptions&quot;:{&quot;doc:69bd26460b7c5e250b8c36d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202755087"/>
          <w:placeholder>
            <w:docPart w:val="B6A420077F380845B090E474256E93B9"/>
          </w:placeholder>
        </w:sdtPr>
        <w:sdtContent>
          <w:r>
            <w:rPr>
              <w:rFonts w:eastAsia="Times New Roman"/>
              <w:color w:val="000000"/>
            </w:rPr>
            <w:t>(Tribunal de Arbitraje del CIADI, presidido por el Lic. Claus von Wobeser, 2014)</w:t>
          </w:r>
        </w:sdtContent>
      </w:sdt>
      <w:r>
        <w:rPr>
          <w:rFonts w:cs="Times New Roman"/>
          <w:color w:val="000000"/>
        </w:rPr>
        <w:t>.</w:t>
      </w:r>
    </w:p>
    <w:p w14:paraId="7C17D55B" w14:textId="77777777" w:rsidR="007C4EBC" w:rsidRPr="007C4EBC" w:rsidRDefault="007C4EBC" w:rsidP="007C4EBC">
      <w:pPr>
        <w:rPr>
          <w:rFonts w:cs="Times New Roman"/>
          <w:color w:val="000000"/>
        </w:rPr>
      </w:pPr>
      <w:r>
        <w:rPr>
          <w:rFonts w:cs="Times New Roman"/>
          <w:color w:val="000000"/>
        </w:rPr>
        <w:lastRenderedPageBreak/>
        <w:t>La explicación material de la ausencia de un laudo sobre el fondo se encuentra en el Convenio de Solución Amigable y Avenimiento de Expropiación suscrito para poner fin a la controversia derivada de la expropiación de la participación mayoritaria en YPF S.A. y YPF Gas previamente controladas por Repsol. El acuerdo estableció una compensación global de cinco mil millones de dólares, articulada mediante la entrega de títulos de deuda pública argentina.</w:t>
      </w:r>
    </w:p>
    <w:p w14:paraId="46BEFF0E" w14:textId="61AB3B85" w:rsidR="007422C8" w:rsidRDefault="007C4EBC" w:rsidP="007C4EBC">
      <w:pPr>
        <w:rPr>
          <w:rFonts w:cs="Times New Roman"/>
          <w:color w:val="000000"/>
        </w:rPr>
      </w:pPr>
      <w:r>
        <w:rPr>
          <w:rFonts w:cs="Times New Roman"/>
          <w:color w:val="000000"/>
        </w:rPr>
        <w:t xml:space="preserve">El convenio configuró asimismo un régimen exhaustivo de renuncias y desistimientos recíprocos: Repsol quedó obligada a desistir tanto del derecho como de la acción respecto de todos los procedimientos nacionales e internacionales vinculados a la controversia, identificándose expresamente el arbitraje CIADI ARB/12/38 entre los procedimientos sujetos a desistimiento. El Estado argentino asumió compromisos correlativos de renuncia y desistimiento respecto de las acciones vinculadas a la actuación de Repsol y de sus personas relacionadas. Este caso pone de manifiesto que la seguridad jurídica en el arbitraje de inversiones no se proyecta únicamente como certeza derivada de un laudo, sino también como garantía de cierre efectivo cuando las partes optan por una solución transaccional con efectos de clausura del litigio </w:t>
      </w:r>
      <w:sdt>
        <w:sdtPr>
          <w:rPr>
            <w:rFonts w:cs="Times New Roman"/>
            <w:color w:val="000000"/>
            <w:highlight w:val="white"/>
          </w:rPr>
          <w:alias w:val="Citation"/>
          <w:tag w:val="{&quot;referencesIds&quot;:[&quot;doc:69bd26d56c23824ee933623a&quot;],&quot;referencesOptions&quot;:{&quot;doc:69bd26d56c23824ee933623a&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578756466"/>
          <w:placeholder>
            <w:docPart w:val="AD260E625FBD8D43B5CE78BEC601EBA6"/>
          </w:placeholder>
        </w:sdtPr>
        <w:sdtContent>
          <w:r>
            <w:rPr>
              <w:rFonts w:eastAsia="Times New Roman"/>
              <w:color w:val="000000"/>
            </w:rPr>
            <w:t>(República Argentina y Repsol S.A., 2014)</w:t>
          </w:r>
        </w:sdtContent>
      </w:sdt>
      <w:r>
        <w:rPr>
          <w:rFonts w:cs="Times New Roman"/>
          <w:color w:val="000000"/>
        </w:rPr>
        <w:t>.</w:t>
      </w:r>
    </w:p>
    <w:p w14:paraId="73B34DF2" w14:textId="77777777" w:rsidR="007C4EBC" w:rsidRPr="007422C8" w:rsidRDefault="007C4EBC" w:rsidP="007C4EBC">
      <w:pPr>
        <w:rPr>
          <w:rFonts w:cs="Times New Roman"/>
          <w:color w:val="000000"/>
        </w:rPr>
      </w:pPr>
    </w:p>
    <w:p w14:paraId="6D6AF36E" w14:textId="0BE3D600" w:rsidR="007C4EBC" w:rsidRDefault="00E52F88" w:rsidP="007422C8">
      <w:pPr>
        <w:pStyle w:val="Ttulo2"/>
      </w:pPr>
      <w:bookmarkStart w:id="29" w:name="OLE_LINK10"/>
      <w:bookmarkStart w:id="30" w:name="_Toc231223179"/>
      <w:r>
        <w:t>Reformas recientes y tendencias hacia la modernización y transparencia del arbitraje en la región</w:t>
      </w:r>
      <w:bookmarkEnd w:id="29"/>
      <w:bookmarkEnd w:id="30"/>
    </w:p>
    <w:p w14:paraId="25BB56D3" w14:textId="77777777" w:rsidR="007C4EBC" w:rsidRDefault="007C4EBC" w:rsidP="007C4EBC">
      <w:r>
        <w:t>En los últimos años, el régimen de protección del inversor en América Latina ha experimentado un proceso de reajuste articulado en torno a tres vectores principales. El primero es la restricción y reconfiguración del acceso del inversor al arbitraje internacional en algunos de sus elementos esenciales. El segundo es el desplazamiento parcial hacia modelos de prevención y facilitación, que priorizan las soluciones cooperativas frente al litigio. El tercero es la búsqueda de mayor legitimidad, transparencia y control institucional sobre la adjudicación, en respuesta a las críticas acumuladas sobre los costes, la duración, los posibles conflictos de interés y la inconsistencia decisoria del sistema tradicional. Estas tendencias se materializan de forma diferenciada según el país, el bloque de integración y el contexto político-jurídico de cada caso.</w:t>
      </w:r>
    </w:p>
    <w:p w14:paraId="252F0E63" w14:textId="64532D44" w:rsidR="00931028" w:rsidRDefault="007C4EBC" w:rsidP="007C4EBC">
      <w:pPr>
        <w:rPr>
          <w:rFonts w:cs="Times New Roman"/>
          <w:color w:val="000000"/>
        </w:rPr>
      </w:pPr>
      <w:r>
        <w:t xml:space="preserve">Un ejemplo destacado de restricción del ISDS se observa en la transición del TLCAN al T-MEC, donde el mecanismo inversor-Estado experimentó modificaciones sustanciales. </w:t>
      </w:r>
      <w:r>
        <w:lastRenderedPageBreak/>
        <w:t xml:space="preserve">El cambio más visible es la exclusión de Canadá del ámbito del arbitraje, quedando el mecanismo circunscrito a la relación entre México y Estados Unidos. A ello se añade un endurecimiento de los requisitos procesales: con carácter general, el inversor debe acudir previamente a los tribunales internos y obtener una resolución de última instancia o, en su defecto, aguardar treinta meses desde el inicio del litigio doméstico antes de activar el arbitraje internacional. Este diseño implica una recuperación parcial del papel de la jurisdicción nacional en la gestión inicial de las controversias. No obstante, el tratado incorpora una excepción relevante para determinados sectores considerados protegidos, en los que el inversor puede acudir directamente al arbitraje transcurridos seis meses desde la formulación de la reclamación. Además, se contempla un régimen transitorio que permite iniciar reclamaciones bajo el esquema anterior (TLCAN) durante los tres años siguientes a su terminación, evitando así una ruptura abrupta para las inversiones preexistentes. En el plano de la ejecución y el control, el mecanismo mantiene la opción de acudir tanto al CIADI como a UNCITRAL, con consecuencias diferenciadas: la vía CIADI refuerza la eficacia ejecutiva al concentrar el control dentro del sistema institucional, mientras que la vía UNCITRAL mantiene el control judicial nacional asociado a la Convención de Nueva York. Este rediseño ha suscitado debates de compatibilidad constitucional en México, en particular por la posible tensión con el principio de igualdad y con la Cláusula Calvo, al permitir que determinados inversores extranjeros en sectores estratégicos eludan los tribunales internos </w:t>
      </w:r>
      <w:sdt>
        <w:sdtPr>
          <w:rPr>
            <w:rFonts w:cs="Times New Roman"/>
            <w:color w:val="000000"/>
            <w:highlight w:val="white"/>
          </w:rPr>
          <w:alias w:val="Citation"/>
          <w:tag w:val="{&quot;referencesIds&quot;:[&quot;doc:69c0f3c06c23824ee933b26b&quot;],&quot;referencesOptions&quot;:{&quot;doc:69c0f3c06c23824ee933b2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617867598"/>
          <w:placeholder>
            <w:docPart w:val="DC8FAE346D41D04DA16199DFB8AFE0A1"/>
          </w:placeholder>
        </w:sdtPr>
        <w:sdtContent>
          <w:r>
            <w:rPr>
              <w:rFonts w:eastAsia="Times New Roman"/>
              <w:color w:val="000000"/>
            </w:rPr>
            <w:t>(Saldaña Pérez, 2020)</w:t>
          </w:r>
        </w:sdtContent>
      </w:sdt>
      <w:r>
        <w:rPr>
          <w:rFonts w:cs="Times New Roman"/>
          <w:color w:val="000000"/>
        </w:rPr>
        <w:t>.</w:t>
      </w:r>
    </w:p>
    <w:p w14:paraId="2327A477" w14:textId="6D4D384D" w:rsidR="00931028" w:rsidRDefault="007C4EBC" w:rsidP="007422C8">
      <w:pPr>
        <w:rPr>
          <w:rFonts w:cs="Times New Roman"/>
          <w:color w:val="000000"/>
        </w:rPr>
      </w:pPr>
      <w:r>
        <w:rPr>
          <w:rFonts w:cs="Times New Roman"/>
          <w:color w:val="000000"/>
        </w:rPr>
        <w:t xml:space="preserve">El segundo vector de modernización regional se observa en la consolidación de modelos que sustituyen el litigio inversor-Estado por mecanismos de prevención institucional y solución Estado-Estado, en particular a través de fórmulas inspiradas en el modelo brasileño de Acuerdo de Cooperación y Facilitación de Inversiones (ACFI). En esta línea, el Protocolo de Cooperación y Facilitación de Inversiones del MERCOSUR (PCFI) se desmarca del paradigma clásico de los TBI al priorizar la facilitación y la gestión temprana del conflicto. Su arquitectura refuerza mecanismos institucionales como los Puntos Focales, concebidos como canales formales de comunicación para atender incidencias y evitar la escalada de disputas. De forma determinante, el Protocolo excluye el ISDS y remite la resolución contenciosa al plano Estado-Estado, a través del propio sistema MERCOSUR y con fases de negociación directa. El PCFI busca además elevar la previsibilidad mediante la exclusión de estándares tradicionalmente controvertidos por su interpretación expansiva en el arbitraje, como el trato justo y equitativo en su formulación abierta, la protección y seguridad plenas y la expropiación indirecta. En </w:t>
      </w:r>
      <w:r>
        <w:rPr>
          <w:rFonts w:cs="Times New Roman"/>
          <w:color w:val="000000"/>
        </w:rPr>
        <w:lastRenderedPageBreak/>
        <w:t xml:space="preserve">paralelo, incorpora referencias a obligaciones del inversor y a la responsabilidad social corporativa, persiguiendo un marco más equilibrado y alineado con el espacio regulatorio del Estado. No obstante, este diseño presenta limitaciones relevantes, entre ellas la debilidad de los mecanismos de exigibilidad de algunas de las obligaciones impuestas al inversor </w:t>
      </w:r>
      <w:sdt>
        <w:sdtPr>
          <w:rPr>
            <w:rFonts w:cs="Times New Roman"/>
            <w:color w:val="000000"/>
            <w:highlight w:val="white"/>
          </w:rPr>
          <w:alias w:val="Citation"/>
          <w:tag w:val="{&quot;referencesIds&quot;:[&quot;doc:69c0f4fd6c23824ee933b281&quot;],&quot;referencesOptions&quot;:{&quot;doc:69c0f4fd6c23824ee933b28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325868166"/>
          <w:placeholder>
            <w:docPart w:val="3773054E456F0C438282150AFCFC25CD"/>
          </w:placeholder>
        </w:sdtPr>
        <w:sdtContent>
          <w:r>
            <w:rPr>
              <w:rFonts w:eastAsia="Times New Roman"/>
              <w:color w:val="000000"/>
            </w:rPr>
            <w:t>(</w:t>
          </w:r>
          <w:r>
            <w:rPr>
              <w:rFonts w:eastAsia="Times New Roman"/>
              <w:i/>
              <w:iCs/>
              <w:color w:val="000000"/>
            </w:rPr>
            <w:t xml:space="preserve">The MERCOSUR Protocol on Investment Cooperation and Facilitation: regionalizing an innovative approach to investment agreements, </w:t>
          </w:r>
          <w:r>
            <w:rPr>
              <w:rFonts w:eastAsia="Times New Roman"/>
              <w:color w:val="000000"/>
            </w:rPr>
            <w:t>2017)</w:t>
          </w:r>
        </w:sdtContent>
      </w:sdt>
      <w:r>
        <w:rPr>
          <w:rFonts w:cs="Times New Roman"/>
          <w:color w:val="000000"/>
        </w:rPr>
        <w:t>.</w:t>
      </w:r>
    </w:p>
    <w:p w14:paraId="33890381" w14:textId="6A69871D" w:rsidR="00931028" w:rsidRDefault="007C4EBC" w:rsidP="007422C8">
      <w:pPr>
        <w:rPr>
          <w:rFonts w:cs="Times New Roman"/>
          <w:color w:val="000000"/>
        </w:rPr>
      </w:pPr>
      <w:r>
        <w:rPr>
          <w:rFonts w:cs="Times New Roman"/>
          <w:color w:val="000000"/>
        </w:rPr>
        <w:t xml:space="preserve">El tercer eje de reforma se vincula a iniciativas de regionalización institucional de la solución de controversias, cuyo ejemplo más representativo es el Centro de Solución de Controversias en Materia de Inversiones de la UNASUR. Este proyecto se articula como respuesta a las críticas persistentes sobre la legitimidad, la soberanía, los conflictos de interés, la falta de coherencia y la transparencia del sistema ISDS, así como a la percepción de dependencia respecto de estructuras internacionales ajenas a la región. El proyecto preveía órganos permanentes, listas de árbitros propuestos por los Estados, publicidad de las decisiones y un recurso de apelación más amplio que el del CIADI, aunque encontró importantes dificultades  de implementación por divergencias políticas y técnicas entre los Estados miembros </w:t>
      </w:r>
      <w:sdt>
        <w:sdtPr>
          <w:rPr>
            <w:rFonts w:cs="Times New Roman"/>
            <w:color w:val="000000"/>
            <w:highlight w:val="white"/>
          </w:rPr>
          <w:alias w:val="Citation"/>
          <w:tag w:val="{&quot;referencesIds&quot;:[&quot;doc:69c0f54c6c23824ee933b289&quot;],&quot;referencesOptions&quot;:{&quot;doc:69c0f54c6c23824ee933b28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632859182"/>
          <w:placeholder>
            <w:docPart w:val="B36F503DF5E52441BDF714E6B340AE05"/>
          </w:placeholder>
        </w:sdtPr>
        <w:sdtContent>
          <w:r>
            <w:rPr>
              <w:rFonts w:eastAsia="Times New Roman"/>
              <w:color w:val="000000"/>
            </w:rPr>
            <w:t>(Sarmiento, 2016)</w:t>
          </w:r>
        </w:sdtContent>
      </w:sdt>
      <w:r>
        <w:rPr>
          <w:rFonts w:cs="Times New Roman"/>
          <w:color w:val="000000"/>
        </w:rPr>
        <w:t>.</w:t>
      </w:r>
    </w:p>
    <w:p w14:paraId="545B8713" w14:textId="53AD161B" w:rsidR="00150DE8" w:rsidRDefault="007C4EBC" w:rsidP="007422C8">
      <w:pPr>
        <w:rPr>
          <w:rFonts w:cs="Times New Roman"/>
          <w:color w:val="000000"/>
        </w:rPr>
      </w:pPr>
      <w:r>
        <w:rPr>
          <w:rFonts w:cs="Times New Roman"/>
          <w:color w:val="000000"/>
        </w:rPr>
        <w:t xml:space="preserve">Finalmente, estas tendencias convergen con el giro de Brasil hacia un modelo alternativo a los TBI tradicionales, cuyo eje es el ACFI. Este modelo parte de un diagnóstico de incompatibilidad constitucional y de crítica a la asimetría estructural del ISDS: históricamente se objetó que el arbitraje inversor-Estado afectaba a la soberanía al prescindir del agotamiento de recursos internos y generaba un trato desigual entre inversores extranjeros y nacionales. En respuesta, la lógica litigiosa se sustituye por una estructura institucional de gestión temprana, articulada en torno al Punto Focal como canal operativo de resolución y a un Comité Conjunto con funciones de supervisión, coordinación e interpretación. El sistema prioriza la consulta y la mediación, y cuando la controversia persiste, contempla únicamente el arbitraje Estado-Estado, manteniendo así el control intergubernamental y preservando el espacio regulatorio del Estado. Se incorporan además cláusulas de conducta responsable del inversor y mecanismos de intercambio de información, con participación de actores relevantes cuando resulte posible, buscando atender las críticas clásicas sobre opacidad y costes. Al mismo tiempo, el modelo suscita un debate no resuelto sobre su suficiencia protectora para el inversor extranjero </w:t>
      </w:r>
      <w:sdt>
        <w:sdtPr>
          <w:rPr>
            <w:rFonts w:cs="Times New Roman"/>
            <w:color w:val="000000"/>
            <w:highlight w:val="white"/>
          </w:rPr>
          <w:alias w:val="Citation"/>
          <w:tag w:val="{&quot;referencesIds&quot;:[&quot;doc:69c0f59a6c23824ee933b28b&quot;],&quot;referencesOptions&quot;:{&quot;doc:69c0f59a6c23824ee933b28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261188560"/>
          <w:placeholder>
            <w:docPart w:val="4EAE392554A2D842807647477C0E0396"/>
          </w:placeholder>
        </w:sdtPr>
        <w:sdtContent>
          <w:r>
            <w:rPr>
              <w:rFonts w:eastAsia="Times New Roman"/>
              <w:color w:val="000000"/>
            </w:rPr>
            <w:t>(De Galiza Fernandes Luppi, 2024)</w:t>
          </w:r>
        </w:sdtContent>
      </w:sdt>
      <w:r>
        <w:rPr>
          <w:rFonts w:cs="Times New Roman"/>
          <w:color w:val="000000"/>
        </w:rPr>
        <w:t>.</w:t>
      </w:r>
    </w:p>
    <w:p w14:paraId="4D5B5F5A" w14:textId="2E916CB6" w:rsidR="00FA69EB" w:rsidRDefault="007C4EBC" w:rsidP="007422C8">
      <w:pPr>
        <w:rPr>
          <w:rFonts w:cs="Times New Roman"/>
          <w:color w:val="000000"/>
        </w:rPr>
      </w:pPr>
      <w:r>
        <w:rPr>
          <w:rFonts w:cs="Times New Roman"/>
          <w:color w:val="000000"/>
        </w:rPr>
        <w:t xml:space="preserve">En conjunto, el panorama latinoamericano reciente evidencia una modernización que dista de ser uniforme: coexisten reformas restrictivas del ISDS (T-MEC), modelos de </w:t>
      </w:r>
      <w:r>
        <w:rPr>
          <w:rFonts w:cs="Times New Roman"/>
          <w:color w:val="000000"/>
        </w:rPr>
        <w:lastRenderedPageBreak/>
        <w:t>facilitación con exclusión del arbitraje inversor-Estado (MERCOSUR/ACFI) e iniciativas de institucionalización regional con énfasis en la transparencia y el control (UNASUR). En todos los casos late el mismo objetivo: más previsibilidad y mejor equilibrio entre la protección del inversor y la capacidad regulatoria del Estado.</w:t>
      </w:r>
    </w:p>
    <w:p w14:paraId="6B743843" w14:textId="77777777" w:rsidR="007C4EBC" w:rsidRPr="007422C8" w:rsidRDefault="007C4EBC" w:rsidP="007422C8"/>
    <w:p w14:paraId="156B4E98" w14:textId="4F1320C1" w:rsidR="00FA69EB" w:rsidRPr="00FA69EB" w:rsidRDefault="00E52F88" w:rsidP="00207EB4">
      <w:pPr>
        <w:pStyle w:val="Ttulo1"/>
        <w:numPr>
          <w:ilvl w:val="0"/>
          <w:numId w:val="2"/>
        </w:numPr>
      </w:pPr>
      <w:bookmarkStart w:id="31" w:name="_Toc231223180"/>
      <w:r>
        <w:t>Análisis comparado entre la Unión Europea y América Latina</w:t>
      </w:r>
      <w:bookmarkEnd w:id="31"/>
    </w:p>
    <w:p w14:paraId="4DF027D9" w14:textId="5DF27FE0" w:rsidR="00E52F88" w:rsidRDefault="00E52F88" w:rsidP="00F229DB">
      <w:pPr>
        <w:pStyle w:val="Ttulo2"/>
      </w:pPr>
      <w:bookmarkStart w:id="32" w:name="_Toc231223181"/>
      <w:r>
        <w:t>Divergencias normativas en los estándares de protección y en los procedimientos arbitrales</w:t>
      </w:r>
      <w:bookmarkEnd w:id="32"/>
    </w:p>
    <w:p w14:paraId="432DBD21" w14:textId="4CBD6491" w:rsidR="00D67881" w:rsidRDefault="00BC16C3" w:rsidP="00BC16C3">
      <w:r>
        <w:t>El análisis de los capítulos precedentes permite identificar divergencias sustanciales entre el modelo europeo y el modelo latinoamericano, tanto en los estándares sustantivos de protección del inversor como en los procedimientos arbitrales disponibles para la resolución de controversias. Estas divergencias no responden a diferencias meramente técnicas, sino que reflejan concepciones distintas sobre el equilibrio entre protección y autonomía regulatoria del Estado, y tienen un impacto directo en la seguridad jurídica del inversor extranjero en cada región.</w:t>
      </w:r>
    </w:p>
    <w:p w14:paraId="4A52090E" w14:textId="77777777" w:rsidR="00D67881" w:rsidRPr="00BC16C3" w:rsidRDefault="00D67881" w:rsidP="00BC16C3"/>
    <w:p w14:paraId="77B8E38C" w14:textId="5E335244" w:rsidR="00BC16C3" w:rsidRDefault="00D67881" w:rsidP="00BC16C3">
      <w:pPr>
        <w:pStyle w:val="Prrafodelista"/>
        <w:numPr>
          <w:ilvl w:val="2"/>
          <w:numId w:val="2"/>
        </w:numPr>
      </w:pPr>
      <w:r>
        <w:t>Divergencias en los estándares sustantivos de protección</w:t>
      </w:r>
    </w:p>
    <w:p w14:paraId="0B83DA0C" w14:textId="14C44E3A" w:rsidR="00D67881" w:rsidRDefault="00D67881" w:rsidP="00BC16C3">
      <w:r>
        <w:t>La diferencia más visible entre ambos modelos reside en el grado de precisión normativa con el que se definen los estándares de protección. El modelo europeo de nueva generación, cuyo referente más acabado es el CETA, ha optado por una técnica de acotación deliberada de los estándares clásicos con el fin de elevar la previsibilidad y limitar la discrecionalidad interpretativa de los tribunales. Así, el trato justo y equitativo se define en el artículo 8.10 del CETA mediante una lista cerrada de supuestos de infracción, eliminando la formulación abierta que había caracterizado a los TBI tradicionales y que había dado lugar a interpretaciones expansivas en la práctica arbitral. De forma paralela, la expropiación indirecta se delimita en el Anexo 8-A, que protege expresamente las medidas regulatorias no discriminatorias adoptadas en defensa del interés público salvo en casos de impacto manifiestamente desproporcionado, mientras que el artículo 8.9 reafirma el derecho a regular y establece que la mera modificación del marco normativo no implica por sí sola una infracción del tratado.</w:t>
      </w:r>
    </w:p>
    <w:p w14:paraId="17DAF2E8" w14:textId="77777777" w:rsidR="00D67881" w:rsidRDefault="00D67881" w:rsidP="00D67881">
      <w:r>
        <w:t xml:space="preserve">El modelo latinoamericano presenta, en contraste, una configuración más heterogénea y menos precisa. Los TBI de la región han mantenido históricamente formulaciones </w:t>
      </w:r>
      <w:r>
        <w:lastRenderedPageBreak/>
        <w:t>abiertas del trato justo y equitativo y de la expropiación indirecta, lo que ha generado una práctica arbitral marcada por la inconsistencia interpretativa y por tensiones recurrentes entre la protección del inversor y el espacio regulatorio del Estado. Los casos analizados en el capítulo anterior muestran bien estas tensiones: en Metalclad v. México, el tribunal adoptó una concepción amplia de la expropiación indirecta y vinculó el trato justo y equitativo con obligaciones de transparencia regulatoria que el Estado no había asumido expresamente, mientras que en Occidental v. Ecuador el principio de proporcionalidad hubo de operar como corrector de una sanción estatal que, pese a su base contractual y legal, resultó desproporcionada en relación con la infracción cometida. Esta disparidad interpretativa evidencia que, en ausencia de una definición acotada de los estándares, la seguridad jurídica del inversor queda condicionada en gran medida por el criterio del tribunal arbitral concreto, lo que reduce la previsibilidad del sistema.</w:t>
      </w:r>
    </w:p>
    <w:p w14:paraId="4B7AEB41" w14:textId="22BC0EDD" w:rsidR="00E91380" w:rsidRDefault="00D67881" w:rsidP="00D67881">
      <w:r>
        <w:t>Las reformas más recientes en América Latina apuntan parcialmente en la misma dirección que el modelo europeo, aunque desde una lógica diferente. El PCFI-MERCOSUR opta directamente por excluir los estándares más controvertidos (trato justo y equitativo en su formulación abierta, protección y seguridad plenas y expropiación indirecta), renunciando a su precisión en favor de su eliminación. El modelo ACFI brasileño sigue una senda similar, priorizando la prevención del conflicto sobre la definición de estándares de protección sustantiva. Ambas opciones reducen la litigiosidad pero a costa de una protección sustantiva más limitada para el inversor, lo que genera un equilibrio distinto al europeo aunque igualmente orientado a recuperar el espacio regulatorio del Estado.</w:t>
      </w:r>
    </w:p>
    <w:p w14:paraId="57CEBE9F" w14:textId="77777777" w:rsidR="00D67881" w:rsidRPr="00BC16C3" w:rsidRDefault="00D67881" w:rsidP="00D67881"/>
    <w:p w14:paraId="594CBCD4" w14:textId="68AA0B25" w:rsidR="00BC16C3" w:rsidRDefault="00D67881" w:rsidP="00BC16C3">
      <w:pPr>
        <w:pStyle w:val="Prrafodelista"/>
        <w:numPr>
          <w:ilvl w:val="2"/>
          <w:numId w:val="2"/>
        </w:numPr>
      </w:pPr>
      <w:r>
        <w:t>Divergencias en los procedimientos arbitrales</w:t>
      </w:r>
    </w:p>
    <w:p w14:paraId="3DA6578C" w14:textId="77777777" w:rsidR="00D67881" w:rsidRDefault="00D67881" w:rsidP="00D67881">
      <w:r>
        <w:t xml:space="preserve">Las diferencias entre ambos modelos son igualmente significativas en el plano procedimental. El modelo europeo ha evolucionado hacia una progresiva judicialización de la resolución de controversias. El CETA sustituye el arbitraje ad hoc tradicional por el Sistema de Tribunales de Inversión (ICS), un órgano permanente con miembros nombrados por las Partes, reglas reforzadas de independencia y transparencia, y un mecanismo de apelación para corregir errores de derecho y errores manifiestos de hecho. Esta arquitectura busca dotar al sistema de la coherencia y previsibilidad que el arbitraje ad hoc no garantiza, conectando con la propuesta del MIC como paso hacia un mecanismo multilateral de alcance general. Al mismo tiempo, la sentencia Achmea y el Acuerdo de terminación de los TBI intra-UE de 2020 han eliminado el arbitraje entre inversores y </w:t>
      </w:r>
      <w:r>
        <w:lastRenderedPageBreak/>
        <w:t>Estados miembros dentro de la Unión, remitiendo esas controversias al sistema jurisdiccional interno bajo la tutela del Tribunal de Justicia.</w:t>
      </w:r>
    </w:p>
    <w:p w14:paraId="1DD8111C" w14:textId="3179624A" w:rsidR="00D67881" w:rsidRDefault="00D67881" w:rsidP="00D67881">
      <w:r>
        <w:t>El panorama latinoamericano es más fragmentado y refleja trayectorias divergentes según el país y el instrumento. La denuncia del Convenio CIADI por Bolivia y Ecuador, analizada en el capítulo anterior, supuso una ruptura con el sistema arbitral institucional clásico motivada por las críticas estructurales al ISDS, pero no implicó necesariamente la adopción de un modelo alternativo coherente. El T-MEC ha optado por una restricción procesal del acceso al arbitraje mediante el requisito general de agotamiento previo de recursos internos, recuperando parcialmente el papel de la jurisdicción nacional sin eliminar el mecanismo. El PCFI-MERCOSUR y el modelo ACFI van más lejos al sustituir el arbitraje inversor-Estado por mecanismos Estado-Estado y estructuras institucionales de gestión temprana del conflicto, con Puntos Focales y Comités Conjuntos como canales preferentes de resolución. La propuesta del Centro UNASUR, por su parte, buscaba una institucionalización regional alternativa al CIADI, aunque con dificultades de implementación derivadas de las divergencias políticas entre los Estados miembros.</w:t>
      </w:r>
    </w:p>
    <w:p w14:paraId="33F94D2E" w14:textId="77777777" w:rsidR="00D67881" w:rsidRPr="00727B01" w:rsidRDefault="00D67881" w:rsidP="00D67881"/>
    <w:p w14:paraId="34711AD3" w14:textId="165A10DA" w:rsidR="00D67881" w:rsidRDefault="00D67881" w:rsidP="00D67881">
      <w:pPr>
        <w:pStyle w:val="Prrafodelista"/>
        <w:numPr>
          <w:ilvl w:val="2"/>
          <w:numId w:val="2"/>
        </w:numPr>
      </w:pPr>
      <w:r>
        <w:t xml:space="preserve">Balance comparado </w:t>
      </w:r>
    </w:p>
    <w:p w14:paraId="59D5E66A" w14:textId="74220ABC" w:rsidR="00D67881" w:rsidRDefault="00D67881" w:rsidP="00D67881">
      <w:r>
        <w:t>En conjunto, la divergencia entre ambos modelos puede sintetizarse en dos ejes complementarios. En el plano sustantivo, la Unión Europea apuesta por la precisión normativa como instrumento de previsibilidad, mientras que América Latina tiende hacia la restricción o eliminación de los estándares más controvertidos como vía para recuperar el espacio regulatorio. En el plano procedimental, la Unión Europea avanza hacia la judicialización y la institucionalización permanente del mecanismo de resolución, mientras que América Latina oscila entre la restricción del acceso al arbitraje inversor-Estado, la sustitución por mecanismos Estado-Estado y los intentos de institucionalización regional. Ambos modelos comparten el diagnóstico de que el sistema ISDS tradicional presenta deficiencias estructurales, pero divergen en la respuesta: donde la Unión Europea reforma y judicializa, América Latina restringe o sustituye. Esta divergencia tiene consecuencias directas sobre la seguridad jurídica del inversor, que en el modelo europeo encuentra un marco más previsible y técnicamente elaborado, mientras que en el latinoamericano se enfrenta a una mayor heterogeneidad normativa y a una protección sustantiva más variable según el instrumento y el Estado receptor concretos.</w:t>
      </w:r>
    </w:p>
    <w:p w14:paraId="2CC568AB" w14:textId="77777777" w:rsidR="00D67881" w:rsidRPr="00BC16C3" w:rsidRDefault="00D67881" w:rsidP="00D67881"/>
    <w:p w14:paraId="6ABD687F" w14:textId="1BDFCE36" w:rsidR="00E52F88" w:rsidRDefault="00E52F88" w:rsidP="00F229DB">
      <w:pPr>
        <w:pStyle w:val="Ttulo2"/>
      </w:pPr>
      <w:bookmarkStart w:id="33" w:name="_Toc231223182"/>
      <w:r>
        <w:lastRenderedPageBreak/>
        <w:t>Cumplimiento de laudos y mecanismos de ejecución en ambas regiones</w:t>
      </w:r>
      <w:bookmarkEnd w:id="33"/>
    </w:p>
    <w:p w14:paraId="2675FF41" w14:textId="1721B6C0" w:rsidR="00D67881" w:rsidRDefault="00D67881" w:rsidP="00D67881">
      <w:r>
        <w:t>El análisis comparado del cumplimiento de laudos y de los mecanismos de ejecución disponibles en la Unión Europea y en América Latina revela diferencias estructurales que inciden directamente en la eficacia práctica del sistema de protección del inversor y, por tanto, en la seguridad jurídica del sistema en su conjunto. Un régimen de protección sustantiva sólido resulta insuficiente si los laudos que lo aplican no son ejecutables de forma efectiva.</w:t>
      </w:r>
    </w:p>
    <w:p w14:paraId="7C3C6C56" w14:textId="77777777" w:rsidR="00D67881" w:rsidRDefault="00D67881" w:rsidP="00D67881"/>
    <w:p w14:paraId="2948C9F6" w14:textId="4890232D" w:rsidR="00D67881" w:rsidRDefault="00D67881" w:rsidP="00D67881">
      <w:pPr>
        <w:pStyle w:val="Prrafodelista"/>
        <w:numPr>
          <w:ilvl w:val="2"/>
          <w:numId w:val="2"/>
        </w:numPr>
      </w:pPr>
      <w:r>
        <w:t>El régimen de ejecución en la Unión Europea</w:t>
      </w:r>
    </w:p>
    <w:p w14:paraId="65C8F5AB" w14:textId="77777777" w:rsidR="00D67881" w:rsidRDefault="00D67881" w:rsidP="00D67881">
      <w:r>
        <w:t>En el modelo europeo, el régimen de ejecución de laudos presenta una dualidad derivada de la distinción entre el arbitraje intra-UE y el arbitraje con terceros Estados. En el ámbito intra-UE, la sentencia Achmea y el posterior Acuerdo de terminación de los TBI intra-UE de 2020 han eliminado las cláusulas arbitrales entre inversores y Estados miembros, remitiendo la resolución de estas controversias al sistema jurisdiccional interno de la Unión. Esta reconfiguración implica que el inversor europeo que litiga contra otro Estado miembro queda sujeto al sistema de tutela judicial interna, con acceso al Tribunal de Justicia a través del mecanismo prejudicial del artículo 267 del TFUE, lo que refuerza la coherencia y la uniformidad del Derecho de la Unión pero reduce las garantías específicas que el arbitraje internacional ofrecía al inversor en términos de neutralidad del foro y ejecutabilidad reforzada.</w:t>
      </w:r>
    </w:p>
    <w:p w14:paraId="5505FF28" w14:textId="69857FFA" w:rsidR="00D67881" w:rsidRDefault="00D67881" w:rsidP="00D67881">
      <w:r>
        <w:t>En el ámbito de los acuerdos con terceros Estados, el modelo europeo de nueva generación ha optado por el Sistema de Tribunales de Inversión (ICS) previsto en el CETA, cuyas decisiones se ejecutan conforme al Convenio CIADI cuando ambas partes son signatarias, o bien mediante la Convención de Nueva York de 1958 en los demás casos. El Dictamen 1/17 del Tribunal de Justicia confirmó la compatibilidad de este mecanismo con el ordenamiento de la Unión, siempre que la competencia del tribunal quede estrictamente circunscrita a la interpretación del propio acuerdo sin facultad para interpretar el Derecho de la Unión como tal. Esta configuración ofrece al inversor extranjero que opera en la Unión Europea un marco de ejecución técnicamente sólido, con garantías reforzadas de independencia y un mecanismo de apelación que reduce el riesgo de laudos manifiestamente erróneos.</w:t>
      </w:r>
    </w:p>
    <w:p w14:paraId="5187823D" w14:textId="77777777" w:rsidR="00D67881" w:rsidRDefault="00D67881" w:rsidP="00D67881"/>
    <w:p w14:paraId="04872F61" w14:textId="11B97D5D" w:rsidR="00D67881" w:rsidRDefault="00D67881" w:rsidP="00D67881">
      <w:pPr>
        <w:pStyle w:val="Prrafodelista"/>
        <w:numPr>
          <w:ilvl w:val="2"/>
          <w:numId w:val="2"/>
        </w:numPr>
      </w:pPr>
      <w:r>
        <w:lastRenderedPageBreak/>
        <w:t>El régimen de ejecución en América Latina</w:t>
      </w:r>
    </w:p>
    <w:p w14:paraId="2EDE1B8D" w14:textId="77777777" w:rsidR="00D67881" w:rsidRDefault="00D67881" w:rsidP="00D67881">
      <w:r>
        <w:t>El panorama latinoamericano presenta una mayor heterogeneidad y ha estado marcado históricamente por dificultades en el cumplimiento voluntario de los laudos, especialmente en contextos de alta conflictividad política entre el Estado receptor y el inversor. El sistema CIADI, al que la mayoría de los Estados latinoamericanos estuvieron vinculados durante décadas, ofrece un régimen de ejecución reforzado: los laudos son obligatorios para las partes y cada Estado contratante queda obligado a reconocer y ejecutar las obligaciones pecuniarias impuestas por el laudo como si se tratara de una sentencia firme de sus propios tribunales, sin control judicial nacional sobre el fondo. Este mecanismo ha operado con eficacia en numerosos supuestos, pero ha encontrado resistencias significativas en casos de elevado impacto político o económico.</w:t>
      </w:r>
    </w:p>
    <w:p w14:paraId="19D3BCF4" w14:textId="77777777" w:rsidR="00D67881" w:rsidRDefault="00D67881" w:rsidP="00D67881">
      <w:r>
        <w:t>Los casos analizados en el capítulo anterior ilustran con claridad las distintas formas en que puede resolverse la tensión entre el laudo y su ejecución efectiva. En Occidental v. Ecuador, el proceso de anulación ante el Comité ad hoc del CIADI mostró cómo el propio sistema institucional puede operar como corrector de excesos jurisdiccionales, reduciendo sustancialmente la cuantía indemnizatoria al apreciar un exceso manifiesto de facultades en relación con la titularidad de la inversión, lo que refuerza la legitimidad del sistema pero prolonga considerablemente el procedimiento. En Repsol v. Argentina, la solución no llegó a través de un laudo sino mediante un acuerdo transaccional articulado al margen del procedimiento arbitral, que estableció una compensación global de cinco mil millones de dólares instrumentada mediante títulos de deuda pública. Este caso evidencia que la ejecución forzosa de un laudo no es siempre el desenlace del arbitraje de inversiones, y que la negociación directa entre las partes puede operar como mecanismo alternativo de cierre con plenos efectos de clausura del litigio, aunque condicionado por la capacidad negociadora de cada parte y por el contexto político del momento.</w:t>
      </w:r>
    </w:p>
    <w:p w14:paraId="6B04901D" w14:textId="77777777" w:rsidR="00D67881" w:rsidRDefault="00D67881" w:rsidP="00D67881">
      <w:r>
        <w:t xml:space="preserve">La denuncia del Convenio CIADI por parte de Bolivia y Ecuador introdujo una variable adicional en el análisis. Como se examinó en el capítulo anterior, la interacción entre los artículos 71 y 72 del Convenio y la persistencia de las cláusulas de supervivencia de los TBI puede prolongar la exposición estatal al arbitraje durante períodos considerables incluso tras la denuncia formal, manteniendo abiertas vías de reclamación cuya ejecución queda sujeta, en ausencia del marco CIADI, a la Convención de Nueva York de 1958. Este instrumento, aunque ampliamente ratificado, permite la denegación del reconocimiento y ejecución por causas como la contrariedad con el orden público, causal </w:t>
      </w:r>
      <w:r>
        <w:lastRenderedPageBreak/>
        <w:t>que algunos Estados han invocado de forma expansiva, generando incertidumbre adicional sobre la ejecutabilidad efectiva de los laudos en estos contextos.</w:t>
      </w:r>
    </w:p>
    <w:p w14:paraId="0E843051" w14:textId="2919A092" w:rsidR="00D67881" w:rsidRDefault="00D67881" w:rsidP="00D67881">
      <w:r>
        <w:t>Las reformas más recientes en la región han abordado esta cuestión desde ángulos distintos. El T-MEC mantiene la dualidad CIADI y UNCITRAL con consecuencias diferenciadas en materia de ejecución: la vía CIADI concentra el control dentro del sistema institucional y refuerza la eficacia ejecutiva, mientras que la vía UNCITRAL remite el control a los tribunales nacionales bajo la Convención de Nueva York, con mayor exposición a las causales de denegación del reconocimiento. El PCFI-MERCOSUR y el modelo ACFI, al excluir el arbitraje inversor-Estado y sustituirlo por mecanismos Estado-Estado, desplazan la cuestión del cumplimiento hacia el plano diplomático e intergubernamental, donde la presión política sustituye a la ejecución judicial, con ventajas en términos de flexibilidad pero con una menor certeza para el inversor sobre el resultado final.</w:t>
      </w:r>
    </w:p>
    <w:p w14:paraId="5880B0F7" w14:textId="77777777" w:rsidR="00D67881" w:rsidRDefault="00D67881" w:rsidP="00D67881"/>
    <w:p w14:paraId="00EB74B3" w14:textId="62FA6E9A" w:rsidR="00D67881" w:rsidRDefault="00D67881" w:rsidP="00D67881">
      <w:pPr>
        <w:pStyle w:val="Prrafodelista"/>
        <w:numPr>
          <w:ilvl w:val="2"/>
          <w:numId w:val="2"/>
        </w:numPr>
      </w:pPr>
      <w:r>
        <w:t>Análisis comparado</w:t>
      </w:r>
    </w:p>
    <w:p w14:paraId="1A16B529" w14:textId="44B6DFE5" w:rsidR="00D67881" w:rsidRDefault="00D67881" w:rsidP="00D67881">
      <w:r>
        <w:t>La comparación entre ambos modelos revela una diferencia estructural en la concepción del cumplimiento. En el modelo europeo, la ejecución de laudos en el ámbito externo se inserta en un marco institucional técnicamente elaborado que combina las garantías del Convenio CIADI o de la Convención de Nueva York con las salvaguardas derivadas del ordenamiento jurídico de la Unión, ofreciendo al inversor un nivel de certeza ejecutiva relativamente elevado. En el modelo latinoamericano, la heterogeneidad de instrumentos y la tendencia hacia mecanismos que desplazan la ejecución al plano político generan mayor incertidumbre para el inversor. Esta diferencia tiene una incidencia directa en la seguridad jurídica del inversor, que en el modelo europeo puede confiar en un marco de ejecución más previsible, mientras que en el latinoamericano debe incorporar en su valoración del riesgo la posibilidad de que el laudo favorable no se traduzca automáticamente en una reparación efectiva.</w:t>
      </w:r>
    </w:p>
    <w:p w14:paraId="5ECECB2E" w14:textId="77777777" w:rsidR="00D67881" w:rsidRPr="00D67881" w:rsidRDefault="00D67881" w:rsidP="00D67881"/>
    <w:p w14:paraId="1136A9B0" w14:textId="7A81E279" w:rsidR="00E52F88" w:rsidRDefault="00E52F88" w:rsidP="00F229DB">
      <w:pPr>
        <w:pStyle w:val="Ttulo2"/>
      </w:pPr>
      <w:bookmarkStart w:id="34" w:name="_Toc231223183"/>
      <w:r>
        <w:t>Seguridad jurídica y previsibilidad institucional: factores jurídicos y extrajurídicos</w:t>
      </w:r>
      <w:bookmarkEnd w:id="34"/>
    </w:p>
    <w:p w14:paraId="142CE05B" w14:textId="368763EC" w:rsidR="00D67881" w:rsidRDefault="00D67881" w:rsidP="00D67881">
      <w:r>
        <w:t xml:space="preserve">La seguridad jurídica del inversor extranjero no se agota en el contenido de los estándares sustantivos de protección ni en la eficacia de los mecanismos de ejecución de laudos. Su dimensión más compleja reside en la previsibilidad del entorno institucional en el que la </w:t>
      </w:r>
      <w:r>
        <w:lastRenderedPageBreak/>
        <w:t>inversión se desarrolla, esto es, en la capacidad del inversor para anticipar con razonable certeza el comportamiento futuro del Estado receptor tanto en el plano normativo como en el institucional. Este apartado examina los factores jurídicos y extrajurídicos que condicionan esa previsibilidad en la Unión Europea y en América Latina, a partir de los elementos identificados en los capítulos anteriores.</w:t>
      </w:r>
    </w:p>
    <w:p w14:paraId="42B66BC9" w14:textId="77777777" w:rsidR="00D67881" w:rsidRDefault="00D67881" w:rsidP="00D67881"/>
    <w:p w14:paraId="73AE077A" w14:textId="3C74803E" w:rsidR="00D67881" w:rsidRDefault="00D67881" w:rsidP="00D67881">
      <w:pPr>
        <w:pStyle w:val="Prrafodelista"/>
        <w:numPr>
          <w:ilvl w:val="2"/>
          <w:numId w:val="2"/>
        </w:numPr>
      </w:pPr>
      <w:r>
        <w:t>Factores jurídicos de previsibilidad institucional</w:t>
      </w:r>
    </w:p>
    <w:p w14:paraId="7E8A0AEF" w14:textId="2A86DE51" w:rsidR="00D67881" w:rsidRDefault="00D67881" w:rsidP="00D67881">
      <w:r>
        <w:t xml:space="preserve">En el plano jurídico, la previsibilidad del marco regulatorio depende fundamentalmente de tres elementos: la estabilidad y coherencia del ordenamiento aplicable a la inversión, la calidad técnica de los mecanismos de resolución de controversias disponibles y la capacidad del sistema para generar una práctica decisoria consistente que oriente las expectativas del inversor. El modelo europeo presenta en estos tres aspectos una previsibilidad claramente superior a la latinoamericana. En primer lugar, la integración de la inversión extranjera directa en la Política Comercial Común tras el Tratado de Lisboa ha dotado al marco europeo de una base competencial clara y de una orientación normativa uniforme, sustituida la fragmentación previa de los TBI nacionales por acuerdos negociados por la Unión con estándares más precisos y técnicas normativas orientadas a reducir la discrecionalidad interpretativa. Como se analizó en el capítulo 3, instrumentos como el CETA incorporan definiciones acotadas del trato justo y equitativo y de la expropiación indirecta, cláusulas explícitas de derecho a regular y mecanismos de interpretación vinculante por las Partes, elementos todos ellos que contribuyen directamente a la previsibilidad del marco aplicable. En segundo lugar, la sustitución del arbitraje ad hoc por el ICS permanente del CETA y la propuesta del MIC como paso hacia un mecanismo multilateral buscan generar una jurisprudencia estable y coherente que opere como referencia para inversores y Estados, corrigiendo una de las principales deficiencias del sistema ISDS tradicional: la inconsistencia de los laudos ante supuestos jurídicamente similares. La eliminación del arbitraje intra-UE tras Achmea y su sustitución por el sistema jurisdiccional interno bajo la tutela del Tribunal de Justicia refuerza además la uniformidad interpretativa dentro del espacio europeo, aunque a costa de reducir las garantías específicas que el arbitraje internacional ofrecía al inversor en términos de neutralidad del foro. El modelo latinoamericano presenta, en contraste, una previsibilidad jurídica más limitada y heterogénea. La red de TBI de la región se caracteriza por una elevada fragmentación, con instrumentos de distinta generación y contenido que coexisten sin mecanismos de coordinación efectiva, generando </w:t>
      </w:r>
      <w:r>
        <w:lastRenderedPageBreak/>
        <w:t>solapamientos e inconsistencias que dificultan la determinación del régimen aplicable a una inversión concreta. La práctica arbitral, como ilustran los casos de Metalclad y Occidental, ha mostrado interpretaciones divergentes de los mismos estándares en contextos similares, lo que reduce la capacidad del inversor para anticipar el resultado de una eventual controversia. Las reformas recientes (T-MEC, PCFI-MERCOSUR, modelo ACFI) apuntan hacia una mayor precisión y coherencia, pero su coexistencia con los TBI anteriores prolonga la heterogeneidad del sistema durante un período de transición cuya duración es difícil de prever.</w:t>
      </w:r>
    </w:p>
    <w:p w14:paraId="43F7E2C8" w14:textId="77777777" w:rsidR="00D67881" w:rsidRDefault="00D67881" w:rsidP="00D67881"/>
    <w:p w14:paraId="7426CB02" w14:textId="574B0562" w:rsidR="00D67881" w:rsidRDefault="00D67881" w:rsidP="00D67881">
      <w:pPr>
        <w:pStyle w:val="Prrafodelista"/>
        <w:numPr>
          <w:ilvl w:val="2"/>
          <w:numId w:val="2"/>
        </w:numPr>
      </w:pPr>
      <w:r>
        <w:t>Factores extrajurídicos de previsibilidad institucional</w:t>
      </w:r>
    </w:p>
    <w:p w14:paraId="3DB82B09" w14:textId="77777777" w:rsidR="00D67881" w:rsidRDefault="00D67881" w:rsidP="00D67881">
      <w:r>
        <w:t>Junto a los factores jurídicos, la previsibilidad institucional depende en ambas regiones de un conjunto de elementos extrajurídicos que condicionan de forma determinante la percepción del riesgo por parte del inversor y, en última instancia, las decisiones de localización de la inversión extranjera directa.</w:t>
      </w:r>
    </w:p>
    <w:p w14:paraId="41F4F538" w14:textId="2E14C0C8" w:rsidR="00D67881" w:rsidRDefault="00D67881" w:rsidP="00D67881">
      <w:r>
        <w:t xml:space="preserve">CEPAL ha identificado la estabilidad política, la calidad institucional y la transparencia regulatoria como condiciones estructurales que operan con anterioridad a la valoración de cualquier incentivo económico en el proceso de decisión de inversión. Como se señaló en el capítulo 4, la decisión de localización responde habitualmente a un proceso en dos etapas: el inversor preselecciona jurisdicciones que superan umbrales mínimos de estabilidad institucional y, solo en una segunda fase, valora incentivos fiscales o financieros. Esta secuencia implica que la debilidad institucional actúa como filtro previo que puede excluir a un Estado del conjunto de destinos considerados con independencia de los beneficios económicos que ofrezca </w:t>
      </w:r>
      <w:sdt>
        <w:sdtPr>
          <w:rPr>
            <w:rFonts w:cs="Times New Roman"/>
            <w:color w:val="000000"/>
            <w:highlight w:val="white"/>
          </w:rPr>
          <w:alias w:val="Citation"/>
          <w:tag w:val="{&quot;referencesIds&quot;:[&quot;doc:69baf9d553d1710edc1bda79&quot;],&quot;referencesOptions&quot;:{&quot;doc:69baf9d553d1710edc1bda7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898515319"/>
          <w:placeholder>
            <w:docPart w:val="2DEDF5B34ACC3A4F9DE8B32696F35ABF"/>
          </w:placeholder>
        </w:sdtPr>
        <w:sdtContent>
          <w:r>
            <w:rPr>
              <w:rFonts w:eastAsia="Times New Roman"/>
              <w:color w:val="000000"/>
            </w:rPr>
            <w:t>(Comisión Económica para América Latina y el Caribe (CEPAL), 2024)</w:t>
          </w:r>
        </w:sdtContent>
      </w:sdt>
      <w:r>
        <w:rPr>
          <w:rFonts w:cs="Times New Roman"/>
          <w:color w:val="000000"/>
        </w:rPr>
        <w:t>.</w:t>
      </w:r>
    </w:p>
    <w:p w14:paraId="25E9D2B3" w14:textId="77777777" w:rsidR="00D67881" w:rsidRDefault="00D67881" w:rsidP="00D67881">
      <w:r>
        <w:t>En este plano, la Unión Europea presenta ventajas estructurales derivadas de la integración institucional y de la existencia de mecanismos supranacionales de supervisión y control del Estado de derecho. El marco institucional europeo ofrece al inversor extranjero una base de previsibilidad que trasciende el contenido de los tratados de inversión, al estar respaldada por un ordenamiento jurídico supranacional con primacía y efecto directo, por un sistema jurisdiccional independiente con acceso garantizado y por mecanismos de control de la legalidad de las actuaciones de los Estados miembros. Esta arquitectura institucional reduce significativamente el riesgo de comportamientos estatales arbitrarios o imprevisibles y dota al inversor de un entorno regulatorio cuya estabilidad no depende exclusivamente de la voluntad política del gobierno de turno.</w:t>
      </w:r>
    </w:p>
    <w:p w14:paraId="60ECEA38" w14:textId="77777777" w:rsidR="00D67881" w:rsidRPr="00D67881" w:rsidRDefault="00D67881" w:rsidP="00D67881">
      <w:pPr>
        <w:rPr>
          <w:rFonts w:cs="Times New Roman"/>
          <w:color w:val="000000"/>
        </w:rPr>
      </w:pPr>
      <w:r>
        <w:lastRenderedPageBreak/>
        <w:t xml:space="preserve">América Latina presenta en este plano una situación más compleja y diferenciada. CEPAL advierte que la discontinuidad política, la debilidad regulatoria y la falta de coordinación institucional han deteriorado históricamente tanto el volumen como la calidad de la inversión en la región, favoreciendo dinámicas de competencia fiscal a la baja y limitando la capacidad del Estado para salvaguardar el interés público </w:t>
      </w:r>
      <w:sdt>
        <w:sdtPr>
          <w:rPr>
            <w:rFonts w:cs="Times New Roman"/>
            <w:color w:val="000000"/>
            <w:highlight w:val="white"/>
          </w:rPr>
          <w:alias w:val="Citation"/>
          <w:tag w:val="{&quot;referencesIds&quot;:[&quot;doc:69baf9d553d1710edc1bda79&quot;],&quot;referencesOptions&quot;:{&quot;doc:69baf9d553d1710edc1bda7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349514644"/>
          <w:placeholder>
            <w:docPart w:val="30C3662C4D0E284B9B2DB19684B28D4A"/>
          </w:placeholder>
        </w:sdtPr>
        <w:sdtContent>
          <w:r>
            <w:rPr>
              <w:rFonts w:eastAsia="Times New Roman"/>
              <w:color w:val="000000"/>
            </w:rPr>
            <w:t>(Comisión Económica para América Latina y el Caribe (CEPAL), 2024)</w:t>
          </w:r>
        </w:sdtContent>
      </w:sdt>
      <w:r>
        <w:rPr>
          <w:rFonts w:cs="Times New Roman"/>
          <w:color w:val="000000"/>
        </w:rPr>
        <w:t>. La evolución institucional analizada en el capítulo 4 ilustra cómo estos factores extrajurídicos han incidido directamente en las decisiones de política de inversión de los Estados de la región: las denuncias del Convenio CIADI por Bolivia y Ecuador, las reformas constitucionales que restringieron el arbitraje internacional o los cambios abruptos en los marcos regulatorios sectoriales (como el Decreto de Caducidad en el caso Occidental) son expresión de una discontinuidad institucional que el inversor debe incorporar en su evaluación del riesgo con independencia del contenido formal de los tratados aplicables.</w:t>
      </w:r>
    </w:p>
    <w:p w14:paraId="07C16794" w14:textId="7BE24BB8" w:rsidR="00D67881" w:rsidRDefault="00D67881" w:rsidP="00D67881">
      <w:pPr>
        <w:rPr>
          <w:rFonts w:cs="Times New Roman"/>
          <w:color w:val="000000"/>
        </w:rPr>
      </w:pPr>
      <w:r>
        <w:rPr>
          <w:rFonts w:cs="Times New Roman"/>
          <w:color w:val="000000"/>
        </w:rPr>
        <w:t>No obstante, el análisis no debe conducir a una caracterización homogénea de la región. La heterogeneidad institucional de América Latina es significativa: existen jurisdicciones con marcos regulatorios estables y una trayectoria de cumplimiento de compromisos internacionales consolidada, junto a otras en las que la previsibilidad institucional es más limitada. Esta diversidad interna es en sí misma un factor de incertidumbre para el inversor que opera en la región, al dificultar la formulación de expectativas uniformes sobre el comportamiento regulatorio del Estado receptor.</w:t>
      </w:r>
    </w:p>
    <w:p w14:paraId="4DFF2CE5" w14:textId="2792FC02" w:rsidR="00D67881" w:rsidRDefault="00D67881" w:rsidP="00D67881"/>
    <w:p w14:paraId="78698B3D" w14:textId="057AB38B" w:rsidR="00D67881" w:rsidRDefault="00D67881" w:rsidP="00D67881">
      <w:pPr>
        <w:pStyle w:val="Prrafodelista"/>
        <w:numPr>
          <w:ilvl w:val="2"/>
          <w:numId w:val="2"/>
        </w:numPr>
      </w:pPr>
      <w:r>
        <w:t>La transparencia como elemento transversal de previsibilidad</w:t>
      </w:r>
    </w:p>
    <w:p w14:paraId="10D4ECDD" w14:textId="77777777" w:rsidR="00D67881" w:rsidRDefault="00D67881" w:rsidP="00D67881">
      <w:r>
        <w:t>Un elemento que emerge con especial relevancia en el análisis comparado es la transparencia regulatoria, entendida tanto como obligación sustantiva del Estado en su relación con el inversor como como condición de legitimidad del sistema de resolución de controversias.</w:t>
      </w:r>
    </w:p>
    <w:p w14:paraId="538FA763" w14:textId="77777777" w:rsidR="00D67881" w:rsidRDefault="00D67881" w:rsidP="00D67881">
      <w:r>
        <w:t>En el plano sustantivo, el caso Metalclad ilustró con claridad cómo la ausencia de transparencia en la distribución de competencias regulatorias entre distintos niveles de gobierno puede generar incertidumbre sobre las condiciones reales para establecer y operar una inversión, con independencia de las representaciones efectuadas por las autoridades centrales. El modelo europeo de nueva generación ha incorporado esta lección mediante cláusulas explícitas de transparencia regulatoria y mecanismos de publicación de las medidas aplicables a la inversión, reduciendo el margen de divergencia entre las expectativas del inversor y el marco normativo efectivamente aplicado.</w:t>
      </w:r>
    </w:p>
    <w:p w14:paraId="0DE30FD9" w14:textId="49155748" w:rsidR="00D67881" w:rsidRDefault="00D67881" w:rsidP="00D67881">
      <w:r>
        <w:lastRenderedPageBreak/>
        <w:t>En el plano procedimental, tanto el modelo europeo (ICS del CETA, propuesta del MIC) como las reformas latinoamericanas más recientes (PCFI-MERCOSUR, modelo ACFI, propuesta del Centro UNASUR) convergen en la exigencia de mayor transparencia en los procedimientos de resolución de controversias, mediante la publicidad de las actuaciones, la participación de terceros interesados y la publicación de las decisiones. Esta convergencia, aunque parcial, refleja un reconocimiento compartido de que la legitimidad del sistema de protección del inversor depende en parte de su apertura al escrutinio público, lo que a su vez contribuye a reforzar la previsibilidad del sistema al hacer accesible la práctica decisoria para inversores y Estados.</w:t>
      </w:r>
    </w:p>
    <w:p w14:paraId="275493DF" w14:textId="77777777" w:rsidR="00D67881" w:rsidRDefault="00D67881" w:rsidP="00D67881"/>
    <w:p w14:paraId="3B84C88A" w14:textId="32E531EB" w:rsidR="00D67881" w:rsidRDefault="00D67881" w:rsidP="00D67881">
      <w:pPr>
        <w:pStyle w:val="Prrafodelista"/>
        <w:numPr>
          <w:ilvl w:val="2"/>
          <w:numId w:val="2"/>
        </w:numPr>
      </w:pPr>
      <w:r>
        <w:t>Balance comparado</w:t>
      </w:r>
    </w:p>
    <w:p w14:paraId="55742ED8" w14:textId="36B82783" w:rsidR="00D67881" w:rsidRDefault="00D67881" w:rsidP="00D67881">
      <w:r>
        <w:t xml:space="preserve">En conjunto, la comparación entre ambos modelos en materia de seguridad jurídica y previsibilidad institucional revela una brecha estructural que no puede reducirse exclusivamente a diferencias en el contenido de los tratados de inversión. La Unión Europea ofrece al inversor extranjero un entorno de previsibilidad reforzado por la combinación de un marco normativo técnicamente preciso, un sistema jurisdiccional supranacional independiente y una arquitectura institucional que limita estructuralmente el riesgo de comportamientos estatales arbitrarios. América Latina presenta un entorno más heterogéneo, en el que la previsibilidad jurídica formal coexiste con factores extrajurídicos de riesgo que condicionan de forma determinante la percepción del inversor y que los tratados de inversión, por sí solos, no son capaces de neutralizar. </w:t>
      </w:r>
    </w:p>
    <w:p w14:paraId="3FB49F79" w14:textId="77777777" w:rsidR="00D67881" w:rsidRPr="00D67881" w:rsidRDefault="00D67881" w:rsidP="00D67881"/>
    <w:p w14:paraId="49ABCDA0" w14:textId="045FF94F" w:rsidR="005E6969" w:rsidRDefault="00E52F88" w:rsidP="005E6969">
      <w:pPr>
        <w:pStyle w:val="Ttulo2"/>
      </w:pPr>
      <w:bookmarkStart w:id="35" w:name="_Toc231223184"/>
      <w:r>
        <w:t>Convergencia de modelos: rumbo hacia una armonización global del Derecho de las inversiones internacionales</w:t>
      </w:r>
      <w:bookmarkEnd w:id="35"/>
    </w:p>
    <w:p w14:paraId="2A36F794" w14:textId="77777777" w:rsidR="005E6969" w:rsidRDefault="005E6969" w:rsidP="005E6969">
      <w:r>
        <w:t>El análisis comparado desarrollado en los apartados anteriores permite identificar, junto a las divergencias estructurales entre el modelo europeo y el latinoamericano, una serie de tendencias convergentes que apuntan hacia una reconfiguración progresiva del Derecho Internacional de las Inversiones. Esta convergencia no nace de una armonización formal ni de una voluntad de aproximación entre ambos modelos, sino de un diagnóstico común sobre las deficiencias del sistema ISDS tradicional y de la búsqueda paralela de respuestas más legítimas y equilibradas.</w:t>
      </w:r>
    </w:p>
    <w:p w14:paraId="19C4B425" w14:textId="77777777" w:rsidR="005E6969" w:rsidRDefault="005E6969" w:rsidP="005E6969">
      <w:r>
        <w:t xml:space="preserve">El punto de convergencia más visible es el abandono progresivo del arbitraje ad hoc clásico como mecanismo preferente de resolución de controversias. La Unión Europea lo </w:t>
      </w:r>
      <w:r>
        <w:lastRenderedPageBreak/>
        <w:t>sustituye mediante la judicialización del sistema (ICS del CETA, propuesta del MIC), mientras que América Latina tiende hacia su restricción (T-MEC) o sustitución por mecanismos Estado-Estado (PCFI-MERCOSUR, modelo ACFI). Aunque las soluciones adoptadas responden a lógicas distintas (institucionalización permanente frente a desjudicialización cooperativa), ambas parten de un mismo diagnóstico: el arbitraje ad hoc tradicional no ofrece garantías suficientes de coherencia, independencia y previsibilidad. Esta coincidencia en el diagnóstico, aunque no en la respuesta, constituye una base común sobre la que podría articularse una reforma de mayor alcance.</w:t>
      </w:r>
    </w:p>
    <w:p w14:paraId="2A3FBEF1" w14:textId="77777777" w:rsidR="005E6969" w:rsidRDefault="005E6969" w:rsidP="005E6969">
      <w:r>
        <w:t>Un segundo punto de convergencia está en la incorporación de referencias a la responsabilidad del inversor y a objetivos de desarrollo sostenible en los instrumentos más recientes de ambas regiones. El CETA, el PCFI-MERCOSUR y el modelo ACFI comparten la inclusión de cláusulas de conducta responsable y referencias al derecho a regular, lo que refleja una evolución común hacia un modelo de protección más equilibrado que el de los TBI tradicionales. Esta tendencia encuentra su expresión institucional en el Grupo de Trabajo III de UNCITRAL, foro en el que tanto la Unión Europea como varios Estados latinoamericanos participan activamente en el debate sobre la reforma del ISDS, y que opera como espacio de convergencia normativa entre modelos regionales con puntos de partida distintos.</w:t>
      </w:r>
    </w:p>
    <w:p w14:paraId="579317A2" w14:textId="6A8CF2AC" w:rsidR="005E6969" w:rsidRDefault="005E6969" w:rsidP="005E6969">
      <w:r>
        <w:t>No obstante, las divergencias de fondo limitan el alcance de esta convergencia. El MIC propuesto por la Unión Europea presupone la continuidad del acceso directo del inversor al arbitraje internacional, aunque en un formato judicializado y permanente, lo que resulta difícilmente compatible con los modelos latinoamericanos que han optado por eliminar precisamente ese acceso directo en favor de mecanismos intergubernamentales. Esta diferencia de concepción refleja posiciones distintas sobre la soberanía regulatoria y sobre el papel del inversor como sujeto de derecho internacional, que no son fácilmente reconciliables en el corto plazo. La viabilidad de una armonización global dependerá, en última instancia, de la capacidad de ambas regiones para identificar los elementos de sus modelos respectivos que resultan transferibles a un marco común, asumiendo que dicho marco difícilmente podrá reproducir en su integridad ninguno de los dos modelos existentes.</w:t>
      </w:r>
    </w:p>
    <w:p w14:paraId="0E237E2D" w14:textId="77777777" w:rsidR="00961DC2" w:rsidRPr="005E6969" w:rsidRDefault="00961DC2" w:rsidP="005E6969"/>
    <w:p w14:paraId="25F19251" w14:textId="636B570D" w:rsidR="005E6969" w:rsidRPr="005E6969" w:rsidRDefault="00E52F88" w:rsidP="00207EB4">
      <w:pPr>
        <w:pStyle w:val="Ttulo1"/>
        <w:numPr>
          <w:ilvl w:val="0"/>
          <w:numId w:val="2"/>
        </w:numPr>
      </w:pPr>
      <w:bookmarkStart w:id="36" w:name="_Toc231223185"/>
      <w:r>
        <w:lastRenderedPageBreak/>
        <w:t>Conclusiones</w:t>
      </w:r>
      <w:bookmarkEnd w:id="36"/>
    </w:p>
    <w:p w14:paraId="26FA1123" w14:textId="7FDE3625" w:rsidR="00E52F88" w:rsidRDefault="00E52F88" w:rsidP="00F229DB">
      <w:pPr>
        <w:pStyle w:val="Ttulo2"/>
      </w:pPr>
      <w:bookmarkStart w:id="37" w:name="_Toc231223186"/>
      <w:r>
        <w:t>Principales hallazgos del análisis comparado</w:t>
      </w:r>
      <w:bookmarkEnd w:id="37"/>
    </w:p>
    <w:p w14:paraId="5994ADC0" w14:textId="3CA682BA" w:rsidR="00A34F17" w:rsidRDefault="00A34F17" w:rsidP="00A34F17">
      <w:r>
        <w:t xml:space="preserve">El análisis desarrollado a lo largo del presente trabajo permite ofrecer una respuesta articulada a las dos preguntas planteadas en la introducción, identificando claras divergencias entre los modelos comparados en materia de protección del inversor extranjero y valorando la eficacia y previsibilidad del arbitraje internacional como mecanismo de controversias en ambas regiones. </w:t>
      </w:r>
    </w:p>
    <w:p w14:paraId="0BF798A5" w14:textId="63733549" w:rsidR="00A34F17" w:rsidRDefault="00A34F17" w:rsidP="00A34F17">
      <w:r>
        <w:t>En lo que respecta a la primera pregunta de investigación, el análisis comparado pone de manifiesto que las diferencias entre ambos modelos no solo se reduce al contenido técnico de los estándares sustantivos de protección, sino que expresan concepciones distintas sobre el equilibrio entre la tutela del inversor y la autonomía regulatoria del Estado. El modelo europeo de nueva generación ha hecho de la precisión normativa su principal instrumento de previsibilidad: la acotación del trato justo y equitativo mediante listas cerradas de supuestos de infracción, la delimitación expresa de la expropiación indirecta y la incorporación de cláusulas explícitas de derecho a regular configuran un marco sustantivo técnicamente elaborado que reduce la discrecionalidad interpretativa de los tribunales y ofrece al inversor expectativas más estables respecto al contenido de sus derechos. El modelo latinoamericano, en cambio, ha transitado desde una protección sustantiva amplia pero imprecisa hacia la restricción sustantiva de los estándares más controvertidos, optando en los instrumentos más recientes por excluir el trato justo y equitativo en su formulación abierta y la expropiación indirecta antes que por redefinirlos con mayor precisión. Esta divergencia tiene consecuencias directas sobre la seguridad jurídica: donde el modelo europeo ofrece mayor certeza sobre el contenido de la protección, el latinoamericano recupera espacio regulatorio para el Estado a costa de una protección mucho más limitada e irregular del inversor.</w:t>
      </w:r>
    </w:p>
    <w:p w14:paraId="210FB269" w14:textId="01B5C76C" w:rsidR="000925D2" w:rsidRDefault="00DC11D6" w:rsidP="00A34F17">
      <w:r>
        <w:t xml:space="preserve">En el plano procedimental, la divergencia es igualmente significativa. La Unión Europea ha avanzado de forma decidida hacia la judicialización y la institucionalización permanente de la resolución de controversias, sustituyendo el arbitraje ad hoc por el ICS del CETA y proyectando esa lógica hacia el MIC como mecanismo multilateral de alcance global. América Latina presenta, por el contrario, una pluralidad de respuestas que oscilan entre la restricción procesal del acceso al arbitraje inversor-Estado (T-MEC), la sustitución por mecanismos cooperativos Estado-Estado y los intentos de institucionalización regional alternativa. Esta diversidad refleja la ausencia de un modelo </w:t>
      </w:r>
      <w:r>
        <w:lastRenderedPageBreak/>
        <w:t>regional consolidado generando heterogeneidad normativa que constituye un factor de incertidumbre para el inversor que opera en la región.</w:t>
      </w:r>
    </w:p>
    <w:p w14:paraId="4418624F" w14:textId="2870D840" w:rsidR="00DC11D6" w:rsidRDefault="00DC11D6" w:rsidP="00A34F17">
      <w:r>
        <w:t>En cuanto a la segunda pregunta de investigación, el análisis permite concluir que el arbitraje internacional ha constituido históricamente el mecanismo que garantizó la efectividad práctica de los estándares de protección del inversor, pero que su eficacia y previsibilidad han resultado desiguales en ambas regiones. En la Unión Europea, la eliminación del arbitraje intra-UE tras la sentencia Achmea y su sustitución por el sistema jurisdiccional interno bajo la tutela del Tribunal de Justicia ha reforzado la coherencia interpretativa dentro del espacio europeo, aunque reduciendo la neutralidad del foro disponible para el inversor. En el ámbito externo, el ICS del CETA ofrece un marco procedimental más previsible que el arbitraje ad hoc tradicional, con garantías reforzadas de independencia y un mecanismo de corrección de errores que el sistema clásico no contemplaba. Por otro lado, en América Latina, la práctica arbitral analizada en capítulos anteriores muestra un sistema que ha resultado muy eficaz exigiendo responsabilidad estatal ante vulneraciones graves de los derechos del inversor como ilustran los casos Metalclad y Occidental, pero que ha generado a su vez tensiones recurrentes por la inconsistencia interpretativa, los elevados costes de los procedimientos y las dificultades en la ejecución voluntaria de los laudos. El caso Repsol además evidencia que la efectividad del sistema no depende exclusivamente de la calidad del laudo, sino también de factores políticos y negociadores que condicionan su traducción en una reparación efectiva.</w:t>
      </w:r>
    </w:p>
    <w:p w14:paraId="253F5BCF" w14:textId="77777777" w:rsidR="00961DC2" w:rsidRPr="00A34F17" w:rsidRDefault="00961DC2" w:rsidP="00A34F17"/>
    <w:p w14:paraId="6E2838B4" w14:textId="19CDD34F" w:rsidR="00E52F88" w:rsidRDefault="00E52F88" w:rsidP="00F229DB">
      <w:pPr>
        <w:pStyle w:val="Ttulo2"/>
      </w:pPr>
      <w:bookmarkStart w:id="38" w:name="_Toc231223187"/>
      <w:r>
        <w:t>Evolución de la seguridad jurídica del inversor</w:t>
      </w:r>
      <w:bookmarkEnd w:id="38"/>
    </w:p>
    <w:p w14:paraId="312697EF" w14:textId="1A1A1A37" w:rsidR="00EC15D3" w:rsidRDefault="00EC15D3" w:rsidP="00EC15D3">
      <w:r>
        <w:t>La trayectoria del Derecho Internacional de las Inversiones en las últimas décadas evoluciona desde un sistema centrado en la protección unilateral del inversor mediante estándares amplios y arbitraje ad hoc hacia modelos que incorporan el interés público y la legitimidad institucional como parte del propio régimen de protección.</w:t>
      </w:r>
    </w:p>
    <w:p w14:paraId="3BB3DD30" w14:textId="6BD2E459" w:rsidR="00EC15D3" w:rsidRDefault="00EC15D3" w:rsidP="00EC15D3">
      <w:r>
        <w:t>El punto de partida fue un sistema articulado sobre TBI con formulaciones abiertas de los estándares sustantivos y mecanismos de arbitraje inversor-Estado de acceso directo, cuya principal virtud era garantizar un foro neutral e independiente para el inversor, pero cuyas debilidades estructurales fueron haciéndose progresivamente más visibles a medida que la práctica arbitral se intensificaba y los casos de mayor impacto político generaban reacciones institucionales en los Estados afectados.</w:t>
      </w:r>
    </w:p>
    <w:p w14:paraId="4FBF2537" w14:textId="5A49A871" w:rsidR="00EC15D3" w:rsidRDefault="00EC15D3" w:rsidP="00EC15D3">
      <w:r>
        <w:lastRenderedPageBreak/>
        <w:t>Las respuesta europea ha seguido una lógica de reforma desde dentro del sistema: mantener el acceso directo del inversor a un mecanismo internacional de resolución, pero dotarlo de mayor precisión normativa, independencia institucional y coherencia jurisprudencial. Esta lógica se articula en el ICS del CETA y se proyecta hacia el MIC, y ha sido validada jurídicamente por el Tribunal de Justicia en el Dictamen 1/17, que confirmó la compatibilidad del nuevo modelo con el ordenamiento de la Unión siempre que se preserven la competencia exclusiva del Tribunal de Justicia y el margen regulatorio necesario para la protección del interés público. El resultado es un sistema que ofrece al inversor una seguridad jurídica formalmente más sólida que la del modelo clásico, aunque su eficacia práctica a largo plazo dependerá de la consolidación del ICS y de la eventual puesta en marcha del MIC.</w:t>
      </w:r>
    </w:p>
    <w:p w14:paraId="01957E13" w14:textId="5C77F030" w:rsidR="00EC15D3" w:rsidRDefault="00EC15D3" w:rsidP="00EC15D3">
      <w:r>
        <w:t>La respuesta latinoamericana ha seguido una lógica distinta, orientada a limitar o sustituir mecanismos percibidos como más lesivos para la soberanía regulatoria. La denuncia del Convenio CIADI por Bolivia y Ecuador, las reformas constitucionales que restringieron el arbitraje internacional y la adopción de modelos alternativos como el ACFI reflejan una priorización del espacio regulatorio del Estado sobre la certeza procesal del inversor. Esta evolución ha reducido la exposición de los Estados al arbitraje internacional, pero ha generado una mayor heterogeneidad normativa y una protección sustantiva más variable, lo que no se traduce necesariamente en una mejora de la seguridad jurídica del inversor extranjero en la región.</w:t>
      </w:r>
    </w:p>
    <w:p w14:paraId="7D843E19" w14:textId="77777777" w:rsidR="00961DC2" w:rsidRDefault="00961DC2" w:rsidP="00EC15D3"/>
    <w:p w14:paraId="3B686231" w14:textId="218E6901" w:rsidR="00E52F88" w:rsidRDefault="00E52F88" w:rsidP="00F229DB">
      <w:pPr>
        <w:pStyle w:val="Ttulo2"/>
      </w:pPr>
      <w:bookmarkStart w:id="39" w:name="_Toc231223188"/>
      <w:r>
        <w:t>Implicaciones para el Derecho Mercantil internacional</w:t>
      </w:r>
      <w:bookmarkEnd w:id="39"/>
    </w:p>
    <w:p w14:paraId="3C551B1A" w14:textId="25863C46" w:rsidR="00AD5999" w:rsidRDefault="00AD5999" w:rsidP="00AD5999">
      <w:r>
        <w:t>El análisis desarrollado en el presente trabajo permite identificar una serie de implicaciones de alcance más general para el Derecho Mercantil Internacional, que trascienden el análisis comparado de los dos modelos regionales estudiados y apuntan hacia los desafíos estructurales del régimen internacional de las inversiones en su conjunto.</w:t>
      </w:r>
    </w:p>
    <w:p w14:paraId="3DE502F9" w14:textId="1123CAAB" w:rsidR="00AD5999" w:rsidRDefault="00AD5999" w:rsidP="00AD5999">
      <w:r>
        <w:t xml:space="preserve">La primera es que la tensión entre la protección del inversor extranjero y la soberanía regulatoria del Estado no es una anomalía del sistema, sino uno de sus rasgos definitorios, que ningún modelo regional ha resuelto de forma definitiva. El equilibrio entre ambos no es técnico sino político, y su configuración refleja en cada momento la correlación existente entre los intereses de los Estados exportadores de capital, los Estados receptores y los propios inversores. El Derecho Internacional de las Inversiones opera sobre esta </w:t>
      </w:r>
      <w:r>
        <w:lastRenderedPageBreak/>
        <w:t>contradicción de base y cualquier reforma del sistema que no la tenga en consideración está condenada a reproducir las mismas tensiones bajo otras formas.</w:t>
      </w:r>
    </w:p>
    <w:p w14:paraId="40B173D7" w14:textId="12059590" w:rsidR="00AD5999" w:rsidRDefault="00AD5999" w:rsidP="00AD5999">
      <w:r>
        <w:t>La segunda implicación se refiere al papel del arbitraje internacional como mecanismo de gobernanza transnacional. La evolución analizada sugiere que el arbitraje inversor-Estado ha cumplido una función relevante en la consolidación de un estándar mínimo de protección a escala global, pero que debido a su configuración ha alcanzado los límites de su legitimidad institucional. Las reformas en curso en ambas regiones, aunque divergentes en sus soluciones, comparten el reconocimiento de que un sistema de resolución de controversias que carezca de coherencia, transparencia e independencia estructural no puede sostenerse a largo plazo como base de seguridad jurídica del inversor. Esta coincidencia en el diagnóstico abre una ventana de oportunidad para avanzar hacia un modelo de gobernanza más institucionalizado, cuya materialización dependerá de la capacidad de los actores para superar las divergencias de concepción que se han puesto de manifiesto tras el análisis comparado.</w:t>
      </w:r>
    </w:p>
    <w:p w14:paraId="01127673" w14:textId="5C2CBBA1" w:rsidR="003D5E32" w:rsidRDefault="003D5E32" w:rsidP="00AD5999">
      <w:r>
        <w:t>La tercera implicación apunta hacia la integración progresiva de objetos no comerciales en el Derecho Internacional de las Inversiones como tendencia estructural a largo plazo. La incorporación de cláusulas de desarrollo sostenible, responsabilidad empresarial y derecho a regular en los instrumentos más recientes en ambas regiones refleja una transformación del propio objeto del régimen: de un sistema orientado exclusivamente a la protección patrimonial del inversor hacia un marco de mayor complejidad que busca articular esta protección con objetos de interés público de alcance más amplio. Esta transformación plantea interrogantes relevantes sobre los límites de la protección del inversor, el alcance de las obligaciones de conducta responsable y el papel de los mecanismos internacionales de resolución en la gestión de conflictos que ya no son exclusivamente bilaterales sino que involucran intereses colectivos de terceros y del conjunto de la sociedad.</w:t>
      </w:r>
    </w:p>
    <w:p w14:paraId="62220709" w14:textId="4BE452FD" w:rsidR="003D5E32" w:rsidRDefault="003D5E32" w:rsidP="00AD5999">
      <w:r>
        <w:t xml:space="preserve">En definitiva, el Derecho Internacional de las Inversiones se encuentra en un momento de reconfiguración cuyo desenlace está todavía abierto. La coexistencia de modelos divergentes, la persistencia de un sistema completamente fragmentado y la ausencia de un claro instrumento multilateral que codifique la materia de forma coherente configuran un escenario de transición en el que la seguridad jurídica del inversor sigue siendo incierta y depende en gran medida de la calidad del instrumento convencional aplicable, de la solidez institucional del Estado receptor y de la voluntad política de las partes para respetar los compromisos asumidos. Avanzar hacia un sistema coherente y legítimo es un </w:t>
      </w:r>
      <w:r>
        <w:lastRenderedPageBreak/>
        <w:t>objetivo compartido por ambas regiones, pero su consecución exige un grado de coherencia normativa e institucional que el análisis comparado realizado en este trabajo revela todavía lejano.</w:t>
      </w:r>
    </w:p>
    <w:p w14:paraId="45279A9F" w14:textId="77777777" w:rsidR="00207EB4" w:rsidRPr="00207EB4" w:rsidRDefault="00207EB4" w:rsidP="00207EB4"/>
    <w:p w14:paraId="2B13E3B0" w14:textId="75400DD8" w:rsidR="00267AB0" w:rsidRDefault="00E52F88" w:rsidP="00207EB4">
      <w:pPr>
        <w:pStyle w:val="Ttulo1"/>
        <w:numPr>
          <w:ilvl w:val="0"/>
          <w:numId w:val="2"/>
        </w:numPr>
      </w:pPr>
      <w:bookmarkStart w:id="40" w:name="_Toc231223189"/>
      <w:r>
        <w:t>Bibliografía</w:t>
      </w:r>
      <w:bookmarkEnd w:id="40"/>
    </w:p>
    <w:sdt>
      <w:sdtPr>
        <w:rPr>
          <w:rFonts w:eastAsiaTheme="majorEastAsia" w:cstheme="majorBidi"/>
          <w:b/>
          <w:color w:val="000000" w:themeColor="text1"/>
          <w:sz w:val="28"/>
          <w:szCs w:val="32"/>
          <w:lang w:eastAsia="es-ES" w:bidi="es-ES"/>
        </w:rPr>
        <w:tag w:val="rw.bWnCOutputStyleIdiblio"/>
        <w:id w:val="1416521717"/>
        <w:placeholder>
          <w:docPart w:val="3DE81A2DAB38F241BABD480BA99153A7"/>
        </w:placeholder>
      </w:sdtPr>
      <w:sdtContent>
        <w:p w14:paraId="0CE67B36" w14:textId="77777777" w:rsidR="00D67881" w:rsidRDefault="00D67881">
          <w:pPr>
            <w:pStyle w:val="NormalWeb"/>
            <w:spacing w:line="360" w:lineRule="auto"/>
            <w:jc w:val="center"/>
            <w:rPr>
              <w:color w:val="000000"/>
            </w:rPr>
          </w:pPr>
          <w:r>
            <w:rPr>
              <w:color w:val="000000"/>
            </w:rPr>
            <w:t>References</w:t>
          </w:r>
        </w:p>
        <w:p w14:paraId="0111820A" w14:textId="77777777" w:rsidR="00D67881" w:rsidRDefault="00D67881">
          <w:pPr>
            <w:pStyle w:val="NormalWeb"/>
            <w:spacing w:line="360" w:lineRule="auto"/>
            <w:ind w:left="450" w:hanging="450"/>
            <w:rPr>
              <w:color w:val="000000"/>
            </w:rPr>
          </w:pPr>
          <w:r>
            <w:rPr>
              <w:color w:val="000000"/>
            </w:rPr>
            <w:t xml:space="preserve">Cámara de Comercio Internacional. (2022). </w:t>
          </w:r>
          <w:r>
            <w:rPr>
              <w:i/>
              <w:iCs/>
              <w:color w:val="000000"/>
            </w:rPr>
            <w:t>Reglamento de arbitraje (vigente a partir del 1° de enero de 2021). reglamento de mediación (vigente a partir del 1° de enero de 2014).</w:t>
          </w:r>
        </w:p>
        <w:p w14:paraId="17B66EAF" w14:textId="77777777" w:rsidR="00D67881" w:rsidRDefault="00D67881">
          <w:pPr>
            <w:pStyle w:val="NormalWeb"/>
            <w:spacing w:line="360" w:lineRule="auto"/>
            <w:ind w:left="450" w:hanging="450"/>
            <w:rPr>
              <w:color w:val="000000"/>
            </w:rPr>
          </w:pPr>
          <w:r>
            <w:rPr>
              <w:color w:val="000000"/>
            </w:rPr>
            <w:t>Carlos, J., &amp; Rozas, F. (2000). El derecho del comercio internacional en el contorno de la globalización.</w:t>
          </w:r>
          <w:r>
            <w:rPr>
              <w:i/>
              <w:iCs/>
              <w:color w:val="000000"/>
            </w:rPr>
            <w:t xml:space="preserve"> Escriva. Revista Del Colegio De Notarios Del Estado De México., </w:t>
          </w:r>
          <w:r>
            <w:rPr>
              <w:color w:val="000000"/>
            </w:rPr>
            <w:t xml:space="preserve">(5), 161–230. </w:t>
          </w:r>
        </w:p>
        <w:p w14:paraId="4CC0FA21" w14:textId="77777777" w:rsidR="00D67881" w:rsidRDefault="00D67881">
          <w:pPr>
            <w:pStyle w:val="NormalWeb"/>
            <w:spacing w:line="360" w:lineRule="auto"/>
            <w:ind w:left="450" w:hanging="450"/>
            <w:rPr>
              <w:color w:val="000000"/>
            </w:rPr>
          </w:pPr>
          <w:r>
            <w:rPr>
              <w:color w:val="000000"/>
            </w:rPr>
            <w:t xml:space="preserve">Céline Azémar, &amp; Axèle Giroud. (2023). </w:t>
          </w:r>
          <w:r>
            <w:rPr>
              <w:i/>
              <w:iCs/>
              <w:color w:val="000000"/>
            </w:rPr>
            <w:t>World investment report 2022: International tax reforms and sustainable investment</w:t>
          </w:r>
        </w:p>
        <w:p w14:paraId="22489F11" w14:textId="77777777" w:rsidR="00D67881" w:rsidRDefault="00D67881">
          <w:pPr>
            <w:pStyle w:val="NormalWeb"/>
            <w:spacing w:line="360" w:lineRule="auto"/>
            <w:ind w:left="450" w:hanging="450"/>
            <w:rPr>
              <w:color w:val="000000"/>
            </w:rPr>
          </w:pPr>
          <w:r>
            <w:rPr>
              <w:color w:val="000000"/>
            </w:rPr>
            <w:t xml:space="preserve">Occidental petroleum corporation and occidental exploration and production company v. the republic of ecuador, 1 (Internacional 2012). </w:t>
          </w:r>
        </w:p>
        <w:p w14:paraId="570B0D97" w14:textId="77777777" w:rsidR="00D67881" w:rsidRDefault="00D67881">
          <w:pPr>
            <w:pStyle w:val="NormalWeb"/>
            <w:spacing w:line="360" w:lineRule="auto"/>
            <w:ind w:left="450" w:hanging="450"/>
            <w:rPr>
              <w:color w:val="000000"/>
            </w:rPr>
          </w:pPr>
          <w:r>
            <w:rPr>
              <w:color w:val="000000"/>
            </w:rPr>
            <w:t xml:space="preserve">Metalclad corporation v. the united mexican states. (Internacional 2000). </w:t>
          </w:r>
        </w:p>
        <w:p w14:paraId="5E153F75" w14:textId="77777777" w:rsidR="00D67881" w:rsidRDefault="00D67881">
          <w:pPr>
            <w:pStyle w:val="NormalWeb"/>
            <w:spacing w:line="360" w:lineRule="auto"/>
            <w:ind w:left="450" w:hanging="450"/>
            <w:rPr>
              <w:color w:val="000000"/>
            </w:rPr>
          </w:pPr>
          <w:r>
            <w:rPr>
              <w:color w:val="000000"/>
            </w:rPr>
            <w:t xml:space="preserve">Comision de las Naciones Unidas para el Derecho Mercantil Internacional (CNUDMI). (1958). </w:t>
          </w:r>
          <w:r>
            <w:rPr>
              <w:i/>
              <w:iCs/>
              <w:color w:val="000000"/>
            </w:rPr>
            <w:t>Convención sobre el reconocimiento y la ejecución de las sentencias arbitrales extranjeras.</w:t>
          </w:r>
          <w:r>
            <w:rPr>
              <w:color w:val="000000"/>
            </w:rPr>
            <w:t xml:space="preserve"> Nueva York: </w:t>
          </w:r>
        </w:p>
        <w:p w14:paraId="70305107" w14:textId="77777777" w:rsidR="00D67881" w:rsidRDefault="00D67881">
          <w:pPr>
            <w:pStyle w:val="NormalWeb"/>
            <w:spacing w:line="360" w:lineRule="auto"/>
            <w:ind w:left="450" w:hanging="450"/>
            <w:rPr>
              <w:color w:val="000000"/>
            </w:rPr>
          </w:pPr>
          <w:r>
            <w:rPr>
              <w:color w:val="000000"/>
            </w:rPr>
            <w:t xml:space="preserve">Comisión Económica para América Latina y el Caribe (CEPAL). (2024). </w:t>
          </w:r>
          <w:r>
            <w:rPr>
              <w:i/>
              <w:iCs/>
              <w:color w:val="000000"/>
            </w:rPr>
            <w:t>Foreign direct investment in latin america and the caribbean.</w:t>
          </w:r>
          <w:r>
            <w:rPr>
              <w:color w:val="000000"/>
            </w:rPr>
            <w:t xml:space="preserve"> </w:t>
          </w:r>
          <w:hyperlink r:id="rId9" w:tgtFrame="_blank" w:history="1">
            <w:r>
              <w:rPr>
                <w:rStyle w:val="Hipervnculo"/>
              </w:rPr>
              <w:t>https://978-92-1-122148-0</w:t>
            </w:r>
          </w:hyperlink>
        </w:p>
        <w:p w14:paraId="08A17E78" w14:textId="77777777" w:rsidR="00D67881" w:rsidRDefault="00D67881">
          <w:pPr>
            <w:pStyle w:val="NormalWeb"/>
            <w:spacing w:line="360" w:lineRule="auto"/>
            <w:ind w:left="450" w:hanging="450"/>
            <w:rPr>
              <w:color w:val="000000"/>
            </w:rPr>
          </w:pPr>
          <w:r>
            <w:rPr>
              <w:color w:val="000000"/>
            </w:rPr>
            <w:t xml:space="preserve">Comisión Europea. (2017). </w:t>
          </w:r>
          <w:r>
            <w:rPr>
              <w:i/>
              <w:iCs/>
              <w:color w:val="000000"/>
            </w:rPr>
            <w:t>Recomendación de decisión del consejo por la que se autoriza la apertura de negociaciones sobre un convenio relativo al establecimiento de un tribunal multilateral para la solución de diferencias en materia de inversiones [COM(2017) 493 final]</w:t>
          </w:r>
        </w:p>
        <w:p w14:paraId="367D7DE9" w14:textId="77777777" w:rsidR="00D67881" w:rsidRDefault="00D67881">
          <w:pPr>
            <w:pStyle w:val="NormalWeb"/>
            <w:spacing w:line="360" w:lineRule="auto"/>
            <w:ind w:left="450" w:hanging="450"/>
            <w:rPr>
              <w:color w:val="000000"/>
            </w:rPr>
          </w:pPr>
          <w:r>
            <w:rPr>
              <w:color w:val="000000"/>
            </w:rPr>
            <w:lastRenderedPageBreak/>
            <w:t xml:space="preserve">Conferencia de las Naciones Unidas sobre Comercio y Desarrollo (UNCTAD). (2003). </w:t>
          </w:r>
          <w:r>
            <w:rPr>
              <w:i/>
              <w:iCs/>
              <w:color w:val="000000"/>
            </w:rPr>
            <w:t>Dispute settlement: Investor - state.</w:t>
          </w:r>
          <w:r>
            <w:rPr>
              <w:color w:val="000000"/>
            </w:rPr>
            <w:t xml:space="preserve"> </w:t>
          </w:r>
        </w:p>
        <w:p w14:paraId="075435F4" w14:textId="77777777" w:rsidR="00D67881" w:rsidRDefault="00D67881">
          <w:pPr>
            <w:pStyle w:val="NormalWeb"/>
            <w:spacing w:line="360" w:lineRule="auto"/>
            <w:ind w:left="450" w:hanging="450"/>
            <w:rPr>
              <w:color w:val="000000"/>
            </w:rPr>
          </w:pPr>
          <w:r>
            <w:rPr>
              <w:color w:val="000000"/>
            </w:rPr>
            <w:t>De Galiza Fernandes Luppi, D. T. (2024). Os appri’s e o novo modelo regulatório do brasil: Novidades e desafios da cláusula de solução de controvérsias nos acfi’s.</w:t>
          </w:r>
          <w:r>
            <w:rPr>
              <w:i/>
              <w:iCs/>
              <w:color w:val="000000"/>
            </w:rPr>
            <w:t xml:space="preserve"> Cuadernos De Derecho Transnacional, 16</w:t>
          </w:r>
          <w:r>
            <w:rPr>
              <w:color w:val="000000"/>
            </w:rPr>
            <w:t xml:space="preserve">(1), 174–191. </w:t>
          </w:r>
          <w:hyperlink r:id="rId10" w:tgtFrame="_blank" w:history="1">
            <w:r>
              <w:rPr>
                <w:rStyle w:val="Hipervnculo"/>
              </w:rPr>
              <w:t>https://10.20318/cdt.2024.8419</w:t>
            </w:r>
          </w:hyperlink>
        </w:p>
        <w:p w14:paraId="44A6911B" w14:textId="77777777" w:rsidR="00D67881" w:rsidRDefault="00D67881">
          <w:pPr>
            <w:pStyle w:val="NormalWeb"/>
            <w:spacing w:line="360" w:lineRule="auto"/>
            <w:ind w:left="450" w:hanging="450"/>
            <w:rPr>
              <w:color w:val="000000"/>
            </w:rPr>
          </w:pPr>
          <w:r>
            <w:rPr>
              <w:color w:val="000000"/>
            </w:rPr>
            <w:t xml:space="preserve">Estados miembros de la Unión Europea. (2020). </w:t>
          </w:r>
          <w:r>
            <w:rPr>
              <w:i/>
              <w:iCs/>
              <w:color w:val="000000"/>
            </w:rPr>
            <w:t>Acuerdo para la terminación de los tratados bilaterales de inversión entre los estados miembros de la unión europea.</w:t>
          </w:r>
          <w:r>
            <w:rPr>
              <w:color w:val="000000"/>
            </w:rPr>
            <w:t xml:space="preserve"> </w:t>
          </w:r>
        </w:p>
        <w:p w14:paraId="45198CE1" w14:textId="77777777" w:rsidR="00D67881" w:rsidRDefault="00D67881">
          <w:pPr>
            <w:pStyle w:val="NormalWeb"/>
            <w:spacing w:line="360" w:lineRule="auto"/>
            <w:ind w:left="450" w:hanging="450"/>
            <w:rPr>
              <w:color w:val="000000"/>
            </w:rPr>
          </w:pPr>
          <w:r>
            <w:rPr>
              <w:color w:val="000000"/>
            </w:rPr>
            <w:t xml:space="preserve">European Commission. (2010). </w:t>
          </w:r>
          <w:r>
            <w:rPr>
              <w:i/>
              <w:iCs/>
              <w:color w:val="000000"/>
            </w:rPr>
            <w:t>Communication from the commission to the council, the european parliament, the european economic and social committee and the committee of the regions: Towards a comprehensive european international investment policy.</w:t>
          </w:r>
          <w:r>
            <w:rPr>
              <w:color w:val="000000"/>
            </w:rPr>
            <w:t xml:space="preserve"> </w:t>
          </w:r>
        </w:p>
        <w:p w14:paraId="003E65F0" w14:textId="77777777" w:rsidR="00D67881" w:rsidRDefault="00D67881">
          <w:pPr>
            <w:pStyle w:val="NormalWeb"/>
            <w:spacing w:line="360" w:lineRule="auto"/>
            <w:ind w:left="450" w:hanging="450"/>
            <w:rPr>
              <w:color w:val="000000"/>
            </w:rPr>
          </w:pPr>
          <w:r>
            <w:rPr>
              <w:color w:val="000000"/>
            </w:rPr>
            <w:t xml:space="preserve">Grieger, G. (2025). </w:t>
          </w:r>
          <w:r>
            <w:rPr>
              <w:i/>
              <w:iCs/>
              <w:color w:val="000000"/>
            </w:rPr>
            <w:t>EU-mercosur partnership agreement: Trade pillar.</w:t>
          </w:r>
          <w:r>
            <w:rPr>
              <w:color w:val="000000"/>
            </w:rPr>
            <w:t xml:space="preserve"> </w:t>
          </w:r>
        </w:p>
        <w:p w14:paraId="74D965A0" w14:textId="77777777" w:rsidR="00D67881" w:rsidRDefault="00D67881">
          <w:pPr>
            <w:pStyle w:val="NormalWeb"/>
            <w:spacing w:line="360" w:lineRule="auto"/>
            <w:ind w:left="450" w:hanging="450"/>
            <w:rPr>
              <w:color w:val="000000"/>
            </w:rPr>
          </w:pPr>
          <w:r>
            <w:rPr>
              <w:color w:val="000000"/>
            </w:rPr>
            <w:t xml:space="preserve">Convention on the settlement of investment disputes between states and nationals of other states, TreatyU.S.C. (1965). </w:t>
          </w:r>
        </w:p>
        <w:p w14:paraId="531CA93B" w14:textId="77777777" w:rsidR="00D67881" w:rsidRDefault="00D67881">
          <w:pPr>
            <w:pStyle w:val="NormalWeb"/>
            <w:spacing w:line="360" w:lineRule="auto"/>
            <w:ind w:left="450" w:hanging="450"/>
            <w:rPr>
              <w:color w:val="000000"/>
            </w:rPr>
          </w:pPr>
          <w:r>
            <w:rPr>
              <w:color w:val="000000"/>
            </w:rPr>
            <w:t xml:space="preserve">Occidental petroleum corporation and occidental exploration and production company v. the republic of ecuador, decision on annulment, (Arbitraje Internacional de Inversiones 2012). </w:t>
          </w:r>
        </w:p>
        <w:p w14:paraId="0D951920" w14:textId="77777777" w:rsidR="00D67881" w:rsidRDefault="00D67881">
          <w:pPr>
            <w:pStyle w:val="NormalWeb"/>
            <w:spacing w:line="360" w:lineRule="auto"/>
            <w:ind w:left="450" w:hanging="450"/>
            <w:rPr>
              <w:color w:val="000000"/>
            </w:rPr>
          </w:pPr>
          <w:r>
            <w:rPr>
              <w:color w:val="000000"/>
            </w:rPr>
            <w:t xml:space="preserve">OECD. (1996). </w:t>
          </w:r>
          <w:r>
            <w:rPr>
              <w:i/>
              <w:iCs/>
              <w:color w:val="000000"/>
            </w:rPr>
            <w:t>Benchmark definition of foreign direct investment</w:t>
          </w:r>
        </w:p>
        <w:p w14:paraId="2BF18830" w14:textId="77777777" w:rsidR="00D67881" w:rsidRDefault="00D67881">
          <w:pPr>
            <w:pStyle w:val="NormalWeb"/>
            <w:spacing w:line="360" w:lineRule="auto"/>
            <w:ind w:left="450" w:hanging="450"/>
            <w:rPr>
              <w:color w:val="000000"/>
            </w:rPr>
          </w:pPr>
          <w:r>
            <w:rPr>
              <w:i/>
              <w:iCs/>
              <w:color w:val="000000"/>
            </w:rPr>
            <w:t>Reglamento (UE) n.º 1219/2012 del parlamento europeo y del consejo, de 12 de diciembre de 2012, por el que se establecen disposiciones transitorias sobre los acuerdos bilaterales de inversión entre estados miembros y terceros países</w:t>
          </w:r>
          <w:r>
            <w:rPr>
              <w:color w:val="000000"/>
            </w:rPr>
            <w:t xml:space="preserve"> (2012). </w:t>
          </w:r>
        </w:p>
        <w:p w14:paraId="6C026FAD" w14:textId="77777777" w:rsidR="00D67881" w:rsidRDefault="00D67881">
          <w:pPr>
            <w:pStyle w:val="NormalWeb"/>
            <w:spacing w:line="360" w:lineRule="auto"/>
            <w:ind w:left="450" w:hanging="450"/>
            <w:rPr>
              <w:color w:val="000000"/>
            </w:rPr>
          </w:pPr>
          <w:r>
            <w:rPr>
              <w:color w:val="000000"/>
            </w:rPr>
            <w:t xml:space="preserve">Convenio de solución amigable y avenimiento de expropiación, (República Argentina 2014). </w:t>
          </w:r>
        </w:p>
        <w:p w14:paraId="348342AC" w14:textId="77777777" w:rsidR="00D67881" w:rsidRDefault="00D67881">
          <w:pPr>
            <w:pStyle w:val="NormalWeb"/>
            <w:spacing w:line="360" w:lineRule="auto"/>
            <w:ind w:left="450" w:hanging="450"/>
            <w:rPr>
              <w:color w:val="000000"/>
            </w:rPr>
          </w:pPr>
          <w:r>
            <w:rPr>
              <w:color w:val="000000"/>
            </w:rPr>
            <w:t>Saldaña Pérez, J. M. (2020, -10-30). Arbitraje CIADI méxico estados unidos en el marco del T-MEC.</w:t>
          </w:r>
          <w:r>
            <w:rPr>
              <w:i/>
              <w:iCs/>
              <w:color w:val="000000"/>
            </w:rPr>
            <w:t xml:space="preserve"> Revista De La Facultad De Derecho De México, 70</w:t>
          </w:r>
          <w:hyperlink r:id="rId11" w:tgtFrame="_blank" w:history="1">
            <w:r>
              <w:rPr>
                <w:rStyle w:val="Hipervnculo"/>
              </w:rPr>
              <w:t>https://10.22201/fder.24488933e.2020.278-1.77360</w:t>
            </w:r>
          </w:hyperlink>
        </w:p>
        <w:p w14:paraId="2AA19FDF" w14:textId="77777777" w:rsidR="00D67881" w:rsidRDefault="00D67881">
          <w:pPr>
            <w:pStyle w:val="NormalWeb"/>
            <w:spacing w:line="360" w:lineRule="auto"/>
            <w:ind w:left="450" w:hanging="450"/>
            <w:rPr>
              <w:color w:val="000000"/>
            </w:rPr>
          </w:pPr>
          <w:r>
            <w:rPr>
              <w:color w:val="000000"/>
            </w:rPr>
            <w:lastRenderedPageBreak/>
            <w:t xml:space="preserve">Sarmiento, M. G. (2016). </w:t>
          </w:r>
          <w:r>
            <w:rPr>
              <w:i/>
              <w:iCs/>
              <w:color w:val="000000"/>
            </w:rPr>
            <w:t>Policies stances and strategies of an UNASUR member state. the case of venezuela and the UNASUR centre for the settlement of investment disputes. will both soon see light at the end of the tunnel?</w:t>
          </w:r>
          <w:r>
            <w:rPr>
              <w:color w:val="000000"/>
            </w:rPr>
            <w:t xml:space="preserve"> .S.C. Sarmiento Núñez Consulting. </w:t>
          </w:r>
        </w:p>
        <w:p w14:paraId="157EEA42" w14:textId="77777777" w:rsidR="00D67881" w:rsidRDefault="00D67881">
          <w:pPr>
            <w:pStyle w:val="NormalWeb"/>
            <w:spacing w:line="360" w:lineRule="auto"/>
            <w:ind w:left="450" w:hanging="450"/>
            <w:rPr>
              <w:color w:val="000000"/>
            </w:rPr>
          </w:pPr>
          <w:r>
            <w:rPr>
              <w:color w:val="000000"/>
            </w:rPr>
            <w:t xml:space="preserve">Stephen Woolcock. (2010). </w:t>
          </w:r>
          <w:r>
            <w:rPr>
              <w:i/>
              <w:iCs/>
              <w:color w:val="000000"/>
            </w:rPr>
            <w:t>The EU approach to international investment policy after the lisbon treaty.</w:t>
          </w:r>
          <w:r>
            <w:rPr>
              <w:color w:val="000000"/>
            </w:rPr>
            <w:t xml:space="preserve"> </w:t>
          </w:r>
        </w:p>
        <w:p w14:paraId="40ED9AF3" w14:textId="77777777" w:rsidR="00D67881" w:rsidRDefault="00D67881">
          <w:pPr>
            <w:pStyle w:val="NormalWeb"/>
            <w:spacing w:line="360" w:lineRule="auto"/>
            <w:ind w:left="450" w:hanging="450"/>
            <w:rPr>
              <w:color w:val="000000"/>
            </w:rPr>
          </w:pPr>
          <w:r>
            <w:rPr>
              <w:color w:val="000000"/>
            </w:rPr>
            <w:t xml:space="preserve">The united mexican states v. metalclad corporation, 1 (Canadá, Columbia Británica 2001). </w:t>
          </w:r>
        </w:p>
        <w:p w14:paraId="765E4639" w14:textId="77777777" w:rsidR="00D67881" w:rsidRDefault="00D67881">
          <w:pPr>
            <w:pStyle w:val="NormalWeb"/>
            <w:spacing w:line="360" w:lineRule="auto"/>
            <w:ind w:left="450" w:hanging="450"/>
            <w:rPr>
              <w:color w:val="000000"/>
            </w:rPr>
          </w:pPr>
          <w:r>
            <w:rPr>
              <w:i/>
              <w:iCs/>
              <w:color w:val="000000"/>
            </w:rPr>
            <w:t>The MERCOSUR Protocol on Investment Cooperation and Facilitation: regionalizing an innovative approach to investment agreements</w:t>
          </w:r>
          <w:r>
            <w:rPr>
              <w:color w:val="000000"/>
            </w:rPr>
            <w:t xml:space="preserve">EJIL: Talk!. </w:t>
          </w:r>
          <w:hyperlink r:id="rId12" w:tgtFrame="_blank" w:history="1">
            <w:r>
              <w:rPr>
                <w:rStyle w:val="Hipervnculo"/>
              </w:rPr>
              <w:t>https://www.ejiltalk.org/the-mercosur-protocol-on-investment-cooperation-and-facilitation-regionalizing-an-innovative-approach-to-investment-agreements/</w:t>
            </w:r>
          </w:hyperlink>
        </w:p>
        <w:p w14:paraId="19B8F2C5" w14:textId="77777777" w:rsidR="00D67881" w:rsidRDefault="00D67881">
          <w:pPr>
            <w:pStyle w:val="NormalWeb"/>
            <w:spacing w:line="360" w:lineRule="auto"/>
            <w:ind w:left="450" w:hanging="450"/>
            <w:rPr>
              <w:color w:val="000000"/>
            </w:rPr>
          </w:pPr>
          <w:r>
            <w:rPr>
              <w:color w:val="000000"/>
            </w:rPr>
            <w:t xml:space="preserve">Repsol S.A. y repsol butano S.A. c. república argentina (caso CIADI no. ARB/12/38): Resolución procesal dejando constancia de la terminación del procedimiento de arbitraje. (Internacional 2014). </w:t>
          </w:r>
        </w:p>
        <w:p w14:paraId="67461EFE" w14:textId="77777777" w:rsidR="00D67881" w:rsidRDefault="00D67881">
          <w:pPr>
            <w:pStyle w:val="NormalWeb"/>
            <w:spacing w:line="360" w:lineRule="auto"/>
            <w:ind w:left="450" w:hanging="450"/>
            <w:rPr>
              <w:color w:val="000000"/>
            </w:rPr>
          </w:pPr>
          <w:r>
            <w:rPr>
              <w:color w:val="000000"/>
            </w:rPr>
            <w:t xml:space="preserve">Tribunal de Justicia de la Unión Europea. (2017). </w:t>
          </w:r>
          <w:r>
            <w:rPr>
              <w:i/>
              <w:iCs/>
              <w:color w:val="000000"/>
            </w:rPr>
            <w:t>Dictamen 2/15 (acuerdo de libre comercio entre la unión europea y la república de singapur).</w:t>
          </w:r>
          <w:r>
            <w:rPr>
              <w:color w:val="000000"/>
            </w:rPr>
            <w:t xml:space="preserve"> </w:t>
          </w:r>
        </w:p>
        <w:p w14:paraId="081FF5A8" w14:textId="77777777" w:rsidR="00D67881" w:rsidRDefault="00D67881">
          <w:pPr>
            <w:pStyle w:val="NormalWeb"/>
            <w:spacing w:line="360" w:lineRule="auto"/>
            <w:ind w:left="450" w:hanging="450"/>
            <w:rPr>
              <w:color w:val="000000"/>
            </w:rPr>
          </w:pPr>
          <w:r>
            <w:rPr>
              <w:color w:val="000000"/>
            </w:rPr>
            <w:t xml:space="preserve">Sentencia del tribunal de justicia (gran sala) de 6 de marzo de 2018, slowakische republik contra achmea BV, ECLI:EU:C:2018:158 1 (Unión Europea 2018). </w:t>
          </w:r>
        </w:p>
        <w:p w14:paraId="4D1FD96A" w14:textId="77777777" w:rsidR="00D67881" w:rsidRDefault="00D67881">
          <w:pPr>
            <w:pStyle w:val="NormalWeb"/>
            <w:spacing w:line="360" w:lineRule="auto"/>
            <w:ind w:left="450" w:hanging="450"/>
            <w:rPr>
              <w:color w:val="000000"/>
            </w:rPr>
          </w:pPr>
          <w:r>
            <w:rPr>
              <w:color w:val="000000"/>
            </w:rPr>
            <w:t xml:space="preserve">Tribunal de Justicia de la Unión Europea (Pleno). (2019). </w:t>
          </w:r>
          <w:r>
            <w:rPr>
              <w:i/>
              <w:iCs/>
              <w:color w:val="000000"/>
            </w:rPr>
            <w:t>Dictamen 1/17 (acuerdo CETA UE-canadá) relativo al acuerdo económico y comercial global entre canadá y la UE.</w:t>
          </w:r>
          <w:r>
            <w:rPr>
              <w:color w:val="000000"/>
            </w:rPr>
            <w:t xml:space="preserve"> </w:t>
          </w:r>
          <w:hyperlink r:id="rId13" w:tgtFrame="_blank" w:history="1">
            <w:r>
              <w:rPr>
                <w:rStyle w:val="Hipervnculo"/>
              </w:rPr>
              <w:t>https://ECLI:EU:C:2019:341</w:t>
            </w:r>
          </w:hyperlink>
        </w:p>
        <w:p w14:paraId="59E497DD" w14:textId="77777777" w:rsidR="00D67881" w:rsidRDefault="00D67881">
          <w:pPr>
            <w:pStyle w:val="NormalWeb"/>
            <w:spacing w:line="360" w:lineRule="auto"/>
            <w:ind w:left="450" w:hanging="450"/>
            <w:rPr>
              <w:color w:val="000000"/>
            </w:rPr>
          </w:pPr>
          <w:r>
            <w:rPr>
              <w:color w:val="000000"/>
            </w:rPr>
            <w:t xml:space="preserve">UNCTAD. (1999). </w:t>
          </w:r>
          <w:r>
            <w:rPr>
              <w:i/>
              <w:iCs/>
              <w:color w:val="000000"/>
            </w:rPr>
            <w:t>Most-favoured-nation treatment.</w:t>
          </w:r>
          <w:r>
            <w:rPr>
              <w:color w:val="000000"/>
            </w:rPr>
            <w:t xml:space="preserve"> </w:t>
          </w:r>
        </w:p>
        <w:p w14:paraId="31A2E9C1" w14:textId="77777777" w:rsidR="00D67881" w:rsidRDefault="00D67881">
          <w:pPr>
            <w:pStyle w:val="NormalWeb"/>
            <w:spacing w:line="360" w:lineRule="auto"/>
            <w:ind w:left="450" w:hanging="450"/>
            <w:rPr>
              <w:color w:val="000000"/>
            </w:rPr>
          </w:pPr>
          <w:r>
            <w:rPr>
              <w:color w:val="000000"/>
            </w:rPr>
            <w:t xml:space="preserve">UNCTAD. (2012a). </w:t>
          </w:r>
          <w:r>
            <w:rPr>
              <w:i/>
              <w:iCs/>
              <w:color w:val="000000"/>
            </w:rPr>
            <w:t>Expropriation series on issues in international investment agreements II.</w:t>
          </w:r>
          <w:r>
            <w:rPr>
              <w:color w:val="000000"/>
            </w:rPr>
            <w:t xml:space="preserve"> </w:t>
          </w:r>
        </w:p>
        <w:p w14:paraId="51EE5D3D" w14:textId="77777777" w:rsidR="00D67881" w:rsidRDefault="00D67881">
          <w:pPr>
            <w:pStyle w:val="NormalWeb"/>
            <w:spacing w:line="360" w:lineRule="auto"/>
            <w:ind w:left="450" w:hanging="450"/>
            <w:rPr>
              <w:color w:val="000000"/>
            </w:rPr>
          </w:pPr>
          <w:r>
            <w:rPr>
              <w:color w:val="000000"/>
            </w:rPr>
            <w:t xml:space="preserve">UNCTAD. (2012b). </w:t>
          </w:r>
          <w:r>
            <w:rPr>
              <w:i/>
              <w:iCs/>
              <w:color w:val="000000"/>
            </w:rPr>
            <w:t>Fair and equitable treatment: A sequel</w:t>
          </w:r>
        </w:p>
        <w:p w14:paraId="407BDBFB" w14:textId="77777777" w:rsidR="00D67881" w:rsidRDefault="00D67881">
          <w:pPr>
            <w:pStyle w:val="NormalWeb"/>
            <w:spacing w:line="360" w:lineRule="auto"/>
            <w:ind w:left="450" w:hanging="450"/>
            <w:rPr>
              <w:color w:val="000000"/>
            </w:rPr>
          </w:pPr>
          <w:r>
            <w:rPr>
              <w:color w:val="000000"/>
            </w:rPr>
            <w:lastRenderedPageBreak/>
            <w:t xml:space="preserve">UNCTAD. (2015). </w:t>
          </w:r>
          <w:r>
            <w:rPr>
              <w:i/>
              <w:iCs/>
              <w:color w:val="000000"/>
            </w:rPr>
            <w:t>Investment policy framework for sustainable development</w:t>
          </w:r>
        </w:p>
        <w:p w14:paraId="6AB2F875" w14:textId="77777777" w:rsidR="00D67881" w:rsidRDefault="00D67881">
          <w:pPr>
            <w:pStyle w:val="NormalWeb"/>
            <w:spacing w:line="360" w:lineRule="auto"/>
            <w:ind w:left="450" w:hanging="450"/>
            <w:rPr>
              <w:color w:val="000000"/>
            </w:rPr>
          </w:pPr>
          <w:r>
            <w:rPr>
              <w:color w:val="000000"/>
            </w:rPr>
            <w:t xml:space="preserve">UNCTAD (Conferencia de las Naciones Unidas sobre Comercio y Desarrollo). (2025). </w:t>
          </w:r>
          <w:r>
            <w:rPr>
              <w:i/>
              <w:iCs/>
              <w:color w:val="000000"/>
            </w:rPr>
            <w:t>Investor–State arbitration under investment laws: Risks and policy lessons.</w:t>
          </w:r>
          <w:r>
            <w:rPr>
              <w:color w:val="000000"/>
            </w:rPr>
            <w:t xml:space="preserve"> </w:t>
          </w:r>
        </w:p>
        <w:p w14:paraId="6EF29D42" w14:textId="77777777" w:rsidR="00D67881" w:rsidRDefault="00D67881">
          <w:pPr>
            <w:pStyle w:val="NormalWeb"/>
            <w:spacing w:line="360" w:lineRule="auto"/>
            <w:ind w:left="450" w:hanging="450"/>
            <w:rPr>
              <w:color w:val="000000"/>
            </w:rPr>
          </w:pPr>
          <w:r>
            <w:rPr>
              <w:color w:val="000000"/>
            </w:rPr>
            <w:t xml:space="preserve">Unión Europea, &amp; Canadá. (2017). </w:t>
          </w:r>
          <w:r>
            <w:rPr>
              <w:i/>
              <w:iCs/>
              <w:color w:val="000000"/>
            </w:rPr>
            <w:t>Acuerdo económico y comercial global (CETA) entre canadá, por una parte, y la unión europea y sus estados miembros, por otra</w:t>
          </w:r>
          <w:r>
            <w:rPr>
              <w:color w:val="000000"/>
            </w:rPr>
            <w:t xml:space="preserve">. Diario Oficial de la Unión Europea. </w:t>
          </w:r>
        </w:p>
        <w:p w14:paraId="6C87D75F" w14:textId="77777777" w:rsidR="00D67881" w:rsidRDefault="00D67881">
          <w:pPr>
            <w:pStyle w:val="NormalWeb"/>
            <w:spacing w:line="360" w:lineRule="auto"/>
            <w:ind w:left="450" w:hanging="450"/>
            <w:rPr>
              <w:color w:val="000000"/>
            </w:rPr>
          </w:pPr>
          <w:r>
            <w:rPr>
              <w:color w:val="000000"/>
            </w:rPr>
            <w:t xml:space="preserve">United Nations Commission on International Trade Law (UNCITRAL) Working Group III. (2019). </w:t>
          </w:r>
          <w:r>
            <w:rPr>
              <w:i/>
              <w:iCs/>
              <w:color w:val="000000"/>
            </w:rPr>
            <w:t>Possible reform of investor-state dispute settlement (ISDS): Submission from the european union and its member states (A/CN.9/WG.III/WP.159/add.1).</w:t>
          </w:r>
          <w:r>
            <w:rPr>
              <w:color w:val="000000"/>
            </w:rPr>
            <w:t xml:space="preserve"> </w:t>
          </w:r>
        </w:p>
        <w:p w14:paraId="325E5505" w14:textId="77777777" w:rsidR="00D67881" w:rsidRDefault="00D67881">
          <w:pPr>
            <w:pStyle w:val="NormalWeb"/>
            <w:spacing w:line="360" w:lineRule="auto"/>
            <w:ind w:left="450" w:hanging="450"/>
            <w:rPr>
              <w:color w:val="000000"/>
            </w:rPr>
          </w:pPr>
          <w:r>
            <w:rPr>
              <w:color w:val="000000"/>
            </w:rPr>
            <w:t xml:space="preserve">United Nations Conference on Trade and Development. (2004). </w:t>
          </w:r>
          <w:r>
            <w:rPr>
              <w:i/>
              <w:iCs/>
              <w:color w:val="000000"/>
            </w:rPr>
            <w:t>International investment agreements: Key issues (vol. 2)</w:t>
          </w:r>
        </w:p>
        <w:p w14:paraId="67F05DE1" w14:textId="77777777" w:rsidR="00D67881" w:rsidRDefault="00D67881">
          <w:pPr>
            <w:pStyle w:val="NormalWeb"/>
            <w:spacing w:line="360" w:lineRule="auto"/>
            <w:ind w:left="450" w:hanging="450"/>
            <w:rPr>
              <w:color w:val="000000"/>
            </w:rPr>
          </w:pPr>
          <w:r>
            <w:rPr>
              <w:color w:val="000000"/>
            </w:rPr>
            <w:t xml:space="preserve">United Nations Conference on Trade and Development (UNCTAD). (2010). </w:t>
          </w:r>
          <w:r>
            <w:rPr>
              <w:i/>
              <w:iCs/>
              <w:color w:val="000000"/>
            </w:rPr>
            <w:t>Denunciation of the ICSID convention and BITs: Impact on investor-state claims.</w:t>
          </w:r>
          <w:r>
            <w:rPr>
              <w:color w:val="000000"/>
            </w:rPr>
            <w:t xml:space="preserve"> </w:t>
          </w:r>
        </w:p>
        <w:p w14:paraId="10BA7F0B" w14:textId="79030710" w:rsidR="00207EB4" w:rsidRDefault="00000000" w:rsidP="004D0A4E">
          <w:pPr>
            <w:pStyle w:val="Ttulo1"/>
            <w:numPr>
              <w:ilvl w:val="0"/>
              <w:numId w:val="0"/>
            </w:numPr>
            <w:ind w:left="1080"/>
          </w:pPr>
        </w:p>
      </w:sdtContent>
    </w:sdt>
    <w:p w14:paraId="6242D7F4" w14:textId="77777777" w:rsidR="004D0A4E" w:rsidRDefault="004D0A4E" w:rsidP="004D0A4E">
      <w:pPr>
        <w:pStyle w:val="Ttulo1"/>
        <w:numPr>
          <w:ilvl w:val="0"/>
          <w:numId w:val="2"/>
        </w:numPr>
      </w:pPr>
      <w:bookmarkStart w:id="41" w:name="_Toc231223190"/>
      <w:r>
        <w:t>Anexos</w:t>
      </w:r>
      <w:bookmarkEnd w:id="41"/>
    </w:p>
    <w:p w14:paraId="3963A327" w14:textId="77777777" w:rsidR="004D0A4E" w:rsidRPr="00207EB4" w:rsidRDefault="004D0A4E" w:rsidP="004D0A4E">
      <w:pPr>
        <w:pStyle w:val="Ttulo2"/>
        <w:numPr>
          <w:ilvl w:val="0"/>
          <w:numId w:val="0"/>
        </w:numPr>
      </w:pPr>
      <w:bookmarkStart w:id="42" w:name="_Toc231223191"/>
      <w:r>
        <w:t>ANEXO I</w:t>
      </w:r>
      <w:bookmarkEnd w:id="42"/>
    </w:p>
    <w:p w14:paraId="3E76DE25" w14:textId="77777777" w:rsidR="004D0A4E" w:rsidRDefault="004D0A4E" w:rsidP="004D0A4E">
      <w:pPr>
        <w:spacing w:before="100" w:beforeAutospacing="1" w:after="100" w:afterAutospacing="1" w:line="300" w:lineRule="atLeast"/>
        <w:outlineLvl w:val="2"/>
        <w:rPr>
          <w:rFonts w:ascii="Segoe UI" w:eastAsia="Times New Roman" w:hAnsi="Segoe UI" w:cs="Segoe UI"/>
          <w:b/>
          <w:bCs/>
          <w:szCs w:val="24"/>
        </w:rPr>
      </w:pPr>
      <w:r>
        <w:rPr>
          <w:rFonts w:ascii="Segoe UI" w:eastAsia="Times New Roman" w:hAnsi="Segoe UI" w:cs="Segoe UI"/>
          <w:b/>
          <w:bCs/>
          <w:noProof/>
          <w:szCs w:val="24"/>
        </w:rPr>
        <w:drawing>
          <wp:inline distT="0" distB="0" distL="0" distR="0" wp14:anchorId="023F251B" wp14:editId="4B7F4065">
            <wp:extent cx="1472938" cy="476250"/>
            <wp:effectExtent l="0" t="0" r="0" b="0"/>
            <wp:docPr id="1574440709" name="Imagen 157444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6896" cy="477530"/>
                    </a:xfrm>
                    <a:prstGeom prst="rect">
                      <a:avLst/>
                    </a:prstGeom>
                    <a:noFill/>
                    <a:ln>
                      <a:noFill/>
                    </a:ln>
                  </pic:spPr>
                </pic:pic>
              </a:graphicData>
            </a:graphic>
          </wp:inline>
        </w:drawing>
      </w:r>
      <w:r>
        <w:rPr>
          <w:rFonts w:ascii="Segoe UI" w:eastAsia="Times New Roman" w:hAnsi="Segoe UI" w:cs="Segoe UI"/>
          <w:b/>
          <w:bCs/>
          <w:szCs w:val="24"/>
        </w:rPr>
        <w:t xml:space="preserve"> </w:t>
      </w:r>
      <w:r>
        <w:rPr>
          <w:rFonts w:ascii="Segoe UI" w:eastAsia="Times New Roman" w:hAnsi="Segoe UI" w:cs="Segoe UI"/>
          <w:b/>
          <w:bCs/>
          <w:szCs w:val="24"/>
        </w:rPr>
        <w:tab/>
      </w:r>
      <w:r>
        <w:rPr>
          <w:rFonts w:ascii="Segoe UI" w:eastAsia="Times New Roman" w:hAnsi="Segoe UI" w:cs="Segoe UI"/>
          <w:b/>
          <w:bCs/>
          <w:szCs w:val="24"/>
        </w:rPr>
        <w:tab/>
      </w:r>
      <w:r>
        <w:rPr>
          <w:rFonts w:ascii="Segoe UI" w:eastAsia="Times New Roman" w:hAnsi="Segoe UI" w:cs="Segoe UI"/>
          <w:b/>
          <w:bCs/>
          <w:szCs w:val="24"/>
        </w:rPr>
        <w:tab/>
      </w:r>
      <w:r>
        <w:rPr>
          <w:rFonts w:ascii="Segoe UI" w:eastAsia="Times New Roman" w:hAnsi="Segoe UI" w:cs="Segoe UI"/>
          <w:b/>
          <w:bCs/>
          <w:szCs w:val="24"/>
        </w:rPr>
        <w:tab/>
      </w:r>
      <w:r>
        <w:rPr>
          <w:rFonts w:ascii="Segoe UI" w:eastAsia="Times New Roman" w:hAnsi="Segoe UI" w:cs="Segoe UI"/>
          <w:b/>
          <w:bCs/>
          <w:szCs w:val="24"/>
        </w:rPr>
        <w:tab/>
      </w:r>
      <w:r>
        <w:rPr>
          <w:rFonts w:ascii="Segoe UI" w:eastAsia="Times New Roman" w:hAnsi="Segoe UI" w:cs="Segoe UI"/>
          <w:b/>
          <w:bCs/>
          <w:szCs w:val="24"/>
        </w:rPr>
        <w:tab/>
      </w:r>
      <w:r w:rsidRPr="00165318">
        <w:rPr>
          <w:rFonts w:ascii="Segoe UI" w:eastAsia="Times New Roman" w:hAnsi="Segoe UI" w:cs="Segoe UI"/>
          <w:b/>
          <w:bCs/>
          <w:szCs w:val="24"/>
        </w:rPr>
        <w:t>Curso 20</w:t>
      </w:r>
      <w:r>
        <w:rPr>
          <w:rFonts w:ascii="Segoe UI" w:eastAsia="Times New Roman" w:hAnsi="Segoe UI" w:cs="Segoe UI"/>
          <w:b/>
          <w:bCs/>
          <w:szCs w:val="24"/>
        </w:rPr>
        <w:t>25</w:t>
      </w:r>
      <w:r w:rsidRPr="00165318">
        <w:rPr>
          <w:rFonts w:ascii="Segoe UI" w:eastAsia="Times New Roman" w:hAnsi="Segoe UI" w:cs="Segoe UI"/>
          <w:b/>
          <w:bCs/>
          <w:szCs w:val="24"/>
        </w:rPr>
        <w:t>/</w:t>
      </w:r>
      <w:r>
        <w:rPr>
          <w:rFonts w:ascii="Segoe UI" w:eastAsia="Times New Roman" w:hAnsi="Segoe UI" w:cs="Segoe UI"/>
          <w:b/>
          <w:bCs/>
          <w:szCs w:val="24"/>
        </w:rPr>
        <w:t>26</w:t>
      </w:r>
    </w:p>
    <w:p w14:paraId="7134F626" w14:textId="77777777" w:rsidR="004D0A4E" w:rsidRDefault="004D0A4E" w:rsidP="004D0A4E">
      <w:pPr>
        <w:spacing w:before="100" w:beforeAutospacing="1" w:after="100" w:afterAutospacing="1" w:line="300" w:lineRule="atLeast"/>
        <w:outlineLvl w:val="2"/>
        <w:rPr>
          <w:rFonts w:ascii="Segoe UI" w:eastAsia="Times New Roman" w:hAnsi="Segoe UI" w:cs="Segoe UI"/>
          <w:b/>
          <w:bCs/>
          <w:szCs w:val="24"/>
        </w:rPr>
      </w:pPr>
    </w:p>
    <w:p w14:paraId="17D3FF4D" w14:textId="77777777" w:rsidR="004D0A4E" w:rsidRPr="00165318" w:rsidRDefault="004D0A4E" w:rsidP="004D0A4E">
      <w:pPr>
        <w:spacing w:before="100" w:beforeAutospacing="1" w:after="100" w:afterAutospacing="1" w:line="300" w:lineRule="atLeast"/>
        <w:outlineLvl w:val="2"/>
        <w:rPr>
          <w:rFonts w:ascii="Segoe UI" w:eastAsia="Times New Roman" w:hAnsi="Segoe UI" w:cs="Segoe UI"/>
          <w:b/>
          <w:bCs/>
          <w:szCs w:val="24"/>
        </w:rPr>
      </w:pPr>
      <w:r>
        <w:rPr>
          <w:rFonts w:ascii="Segoe UI" w:eastAsia="Times New Roman" w:hAnsi="Segoe UI" w:cs="Segoe UI"/>
          <w:b/>
          <w:bCs/>
          <w:szCs w:val="24"/>
        </w:rPr>
        <w:t xml:space="preserve">ANEXO: </w:t>
      </w:r>
      <w:r w:rsidRPr="00864DCC">
        <w:rPr>
          <w:rFonts w:ascii="Segoe UI" w:eastAsia="Times New Roman" w:hAnsi="Segoe UI" w:cs="Segoe UI"/>
          <w:b/>
          <w:bCs/>
          <w:szCs w:val="24"/>
        </w:rPr>
        <w:t xml:space="preserve">Declaración de uso de herramientas de </w:t>
      </w:r>
      <w:r>
        <w:rPr>
          <w:rFonts w:ascii="Segoe UI" w:eastAsia="Times New Roman" w:hAnsi="Segoe UI" w:cs="Segoe UI"/>
          <w:b/>
          <w:bCs/>
          <w:szCs w:val="24"/>
        </w:rPr>
        <w:t xml:space="preserve">IA generativa </w:t>
      </w:r>
      <w:r w:rsidRPr="00165318">
        <w:rPr>
          <w:rFonts w:ascii="Segoe UI" w:eastAsia="Times New Roman" w:hAnsi="Segoe UI" w:cs="Segoe UI"/>
          <w:b/>
          <w:bCs/>
          <w:szCs w:val="24"/>
        </w:rPr>
        <w:t xml:space="preserve"> </w:t>
      </w:r>
    </w:p>
    <w:tbl>
      <w:tblPr>
        <w:tblStyle w:val="Tablaconcuadrcula"/>
        <w:tblW w:w="8594" w:type="dxa"/>
        <w:tblLook w:val="04A0" w:firstRow="1" w:lastRow="0" w:firstColumn="1" w:lastColumn="0" w:noHBand="0" w:noVBand="1"/>
      </w:tblPr>
      <w:tblGrid>
        <w:gridCol w:w="3539"/>
        <w:gridCol w:w="5055"/>
      </w:tblGrid>
      <w:tr w:rsidR="004D0A4E" w:rsidRPr="00F355DC" w14:paraId="63FF3E6C" w14:textId="77777777" w:rsidTr="00194A42">
        <w:trPr>
          <w:trHeight w:val="494"/>
        </w:trPr>
        <w:tc>
          <w:tcPr>
            <w:tcW w:w="3539" w:type="dxa"/>
          </w:tcPr>
          <w:p w14:paraId="3AF5EB3D" w14:textId="77777777" w:rsidR="004D0A4E" w:rsidRPr="00F355DC" w:rsidRDefault="004D0A4E" w:rsidP="00194A42">
            <w:pPr>
              <w:spacing w:before="100" w:beforeAutospacing="1" w:after="100" w:afterAutospacing="1" w:line="300" w:lineRule="atLeast"/>
              <w:outlineLvl w:val="2"/>
              <w:rPr>
                <w:rFonts w:ascii="Segoe UI" w:eastAsia="Times New Roman" w:hAnsi="Segoe UI" w:cs="Segoe UI"/>
                <w:b/>
                <w:bCs/>
                <w:sz w:val="20"/>
                <w:szCs w:val="20"/>
              </w:rPr>
            </w:pPr>
            <w:r w:rsidRPr="00F355DC">
              <w:rPr>
                <w:rFonts w:ascii="Segoe UI" w:eastAsia="Times New Roman" w:hAnsi="Segoe UI" w:cs="Segoe UI"/>
                <w:b/>
                <w:bCs/>
                <w:sz w:val="20"/>
                <w:szCs w:val="20"/>
              </w:rPr>
              <w:t>Nombre Grado/Máster:</w:t>
            </w:r>
          </w:p>
        </w:tc>
        <w:tc>
          <w:tcPr>
            <w:tcW w:w="5055" w:type="dxa"/>
          </w:tcPr>
          <w:p w14:paraId="074E5AD4" w14:textId="77777777" w:rsidR="004D0A4E" w:rsidRPr="00F355DC" w:rsidRDefault="004D0A4E" w:rsidP="00194A42">
            <w:pPr>
              <w:spacing w:before="100" w:beforeAutospacing="1" w:after="100" w:afterAutospacing="1" w:line="300" w:lineRule="atLeast"/>
              <w:outlineLvl w:val="2"/>
              <w:rPr>
                <w:rFonts w:ascii="Segoe UI" w:eastAsia="Times New Roman" w:hAnsi="Segoe UI" w:cs="Segoe UI"/>
                <w:b/>
                <w:bCs/>
                <w:sz w:val="20"/>
                <w:szCs w:val="20"/>
              </w:rPr>
            </w:pPr>
            <w:r>
              <w:rPr>
                <w:rFonts w:ascii="Segoe UI" w:eastAsia="Times New Roman" w:hAnsi="Segoe UI" w:cs="Segoe UI"/>
                <w:b/>
                <w:bCs/>
                <w:sz w:val="20"/>
                <w:szCs w:val="20"/>
              </w:rPr>
              <w:t>E6-ANALYTICS</w:t>
            </w:r>
          </w:p>
        </w:tc>
      </w:tr>
      <w:tr w:rsidR="004D0A4E" w:rsidRPr="00F355DC" w14:paraId="7E80D5FE" w14:textId="77777777" w:rsidTr="00194A42">
        <w:trPr>
          <w:trHeight w:val="234"/>
        </w:trPr>
        <w:tc>
          <w:tcPr>
            <w:tcW w:w="3539" w:type="dxa"/>
          </w:tcPr>
          <w:p w14:paraId="520A930B" w14:textId="77777777" w:rsidR="004D0A4E" w:rsidRPr="00F355DC" w:rsidRDefault="004D0A4E" w:rsidP="00194A42">
            <w:pPr>
              <w:spacing w:before="100" w:beforeAutospacing="1" w:after="100" w:afterAutospacing="1" w:line="300" w:lineRule="atLeast"/>
              <w:outlineLvl w:val="2"/>
              <w:rPr>
                <w:rFonts w:ascii="Segoe UI" w:eastAsia="Times New Roman" w:hAnsi="Segoe UI" w:cs="Segoe UI"/>
                <w:b/>
                <w:bCs/>
                <w:sz w:val="20"/>
                <w:szCs w:val="20"/>
              </w:rPr>
            </w:pPr>
            <w:r w:rsidRPr="00F355DC">
              <w:rPr>
                <w:rFonts w:ascii="Segoe UI" w:eastAsia="Times New Roman" w:hAnsi="Segoe UI" w:cs="Segoe UI"/>
                <w:b/>
                <w:bCs/>
                <w:sz w:val="20"/>
                <w:szCs w:val="20"/>
              </w:rPr>
              <w:t xml:space="preserve">Nombre </w:t>
            </w:r>
            <w:r>
              <w:rPr>
                <w:rFonts w:ascii="Segoe UI" w:eastAsia="Times New Roman" w:hAnsi="Segoe UI" w:cs="Segoe UI"/>
                <w:b/>
                <w:bCs/>
                <w:sz w:val="20"/>
                <w:szCs w:val="20"/>
              </w:rPr>
              <w:t>A</w:t>
            </w:r>
            <w:r w:rsidRPr="00F355DC">
              <w:rPr>
                <w:rFonts w:ascii="Segoe UI" w:eastAsia="Times New Roman" w:hAnsi="Segoe UI" w:cs="Segoe UI"/>
                <w:b/>
                <w:bCs/>
                <w:sz w:val="20"/>
                <w:szCs w:val="20"/>
              </w:rPr>
              <w:t>lumno:</w:t>
            </w:r>
          </w:p>
        </w:tc>
        <w:tc>
          <w:tcPr>
            <w:tcW w:w="5055" w:type="dxa"/>
          </w:tcPr>
          <w:p w14:paraId="7AB7F6B7" w14:textId="77777777" w:rsidR="004D0A4E" w:rsidRPr="00F355DC" w:rsidRDefault="004D0A4E" w:rsidP="00194A42">
            <w:pPr>
              <w:spacing w:before="100" w:beforeAutospacing="1" w:after="100" w:afterAutospacing="1" w:line="300" w:lineRule="atLeast"/>
              <w:outlineLvl w:val="2"/>
              <w:rPr>
                <w:rFonts w:ascii="Segoe UI" w:eastAsia="Times New Roman" w:hAnsi="Segoe UI" w:cs="Segoe UI"/>
                <w:b/>
                <w:bCs/>
                <w:sz w:val="20"/>
                <w:szCs w:val="20"/>
              </w:rPr>
            </w:pPr>
            <w:r>
              <w:rPr>
                <w:rFonts w:ascii="Segoe UI" w:eastAsia="Times New Roman" w:hAnsi="Segoe UI" w:cs="Segoe UI"/>
                <w:b/>
                <w:bCs/>
                <w:sz w:val="20"/>
                <w:szCs w:val="20"/>
              </w:rPr>
              <w:t>Álvaro Godoy Marín</w:t>
            </w:r>
          </w:p>
        </w:tc>
      </w:tr>
      <w:tr w:rsidR="004D0A4E" w:rsidRPr="00F355DC" w14:paraId="214D1782" w14:textId="77777777" w:rsidTr="00194A42">
        <w:trPr>
          <w:trHeight w:val="494"/>
        </w:trPr>
        <w:tc>
          <w:tcPr>
            <w:tcW w:w="3539" w:type="dxa"/>
          </w:tcPr>
          <w:p w14:paraId="2F9E79B8" w14:textId="77777777" w:rsidR="004D0A4E" w:rsidRPr="00F355DC" w:rsidRDefault="004D0A4E" w:rsidP="00194A42">
            <w:pPr>
              <w:spacing w:before="100" w:beforeAutospacing="1" w:after="100" w:afterAutospacing="1" w:line="300" w:lineRule="atLeast"/>
              <w:outlineLvl w:val="2"/>
              <w:rPr>
                <w:rFonts w:ascii="Segoe UI" w:eastAsia="Times New Roman" w:hAnsi="Segoe UI" w:cs="Segoe UI"/>
                <w:b/>
                <w:bCs/>
                <w:sz w:val="20"/>
                <w:szCs w:val="20"/>
              </w:rPr>
            </w:pPr>
            <w:r w:rsidRPr="00F355DC">
              <w:rPr>
                <w:rFonts w:ascii="Segoe UI" w:eastAsia="Times New Roman" w:hAnsi="Segoe UI" w:cs="Segoe UI"/>
                <w:b/>
                <w:bCs/>
                <w:sz w:val="20"/>
                <w:szCs w:val="20"/>
              </w:rPr>
              <w:t>Coordinador</w:t>
            </w:r>
            <w:r>
              <w:rPr>
                <w:rFonts w:ascii="Segoe UI" w:eastAsia="Times New Roman" w:hAnsi="Segoe UI" w:cs="Segoe UI"/>
                <w:b/>
                <w:bCs/>
                <w:sz w:val="20"/>
                <w:szCs w:val="20"/>
              </w:rPr>
              <w:t>/a</w:t>
            </w:r>
            <w:r w:rsidRPr="00F355DC">
              <w:rPr>
                <w:rFonts w:ascii="Segoe UI" w:eastAsia="Times New Roman" w:hAnsi="Segoe UI" w:cs="Segoe UI"/>
                <w:b/>
                <w:bCs/>
                <w:sz w:val="20"/>
                <w:szCs w:val="20"/>
              </w:rPr>
              <w:t xml:space="preserve"> TFG/TFM:</w:t>
            </w:r>
          </w:p>
        </w:tc>
        <w:tc>
          <w:tcPr>
            <w:tcW w:w="5055" w:type="dxa"/>
          </w:tcPr>
          <w:p w14:paraId="6DB058D7" w14:textId="77777777" w:rsidR="004D0A4E" w:rsidRPr="00F355DC" w:rsidRDefault="004D0A4E" w:rsidP="00194A42">
            <w:pPr>
              <w:spacing w:before="100" w:beforeAutospacing="1" w:after="100" w:afterAutospacing="1" w:line="300" w:lineRule="atLeast"/>
              <w:outlineLvl w:val="2"/>
              <w:rPr>
                <w:rFonts w:ascii="Segoe UI" w:eastAsia="Times New Roman" w:hAnsi="Segoe UI" w:cs="Segoe UI"/>
                <w:b/>
                <w:bCs/>
                <w:sz w:val="20"/>
                <w:szCs w:val="20"/>
              </w:rPr>
            </w:pPr>
            <w:r>
              <w:rPr>
                <w:rFonts w:ascii="Segoe UI" w:eastAsia="Times New Roman" w:hAnsi="Segoe UI" w:cs="Segoe UI"/>
                <w:b/>
                <w:bCs/>
                <w:sz w:val="20"/>
                <w:szCs w:val="20"/>
              </w:rPr>
              <w:t>Juan Valcárcel Alfaro</w:t>
            </w:r>
          </w:p>
        </w:tc>
      </w:tr>
      <w:tr w:rsidR="004D0A4E" w:rsidRPr="00864DCC" w14:paraId="0BDE3208" w14:textId="77777777" w:rsidTr="00194A42">
        <w:trPr>
          <w:trHeight w:val="482"/>
        </w:trPr>
        <w:tc>
          <w:tcPr>
            <w:tcW w:w="3539" w:type="dxa"/>
          </w:tcPr>
          <w:p w14:paraId="258BA32E" w14:textId="77777777" w:rsidR="004D0A4E" w:rsidRPr="00F355DC" w:rsidRDefault="004D0A4E" w:rsidP="00194A42">
            <w:pPr>
              <w:spacing w:before="100" w:beforeAutospacing="1" w:after="100" w:afterAutospacing="1" w:line="300" w:lineRule="atLeast"/>
              <w:outlineLvl w:val="2"/>
              <w:rPr>
                <w:rFonts w:ascii="Segoe UI" w:eastAsia="Times New Roman" w:hAnsi="Segoe UI" w:cs="Segoe UI"/>
                <w:b/>
                <w:bCs/>
                <w:sz w:val="20"/>
                <w:szCs w:val="20"/>
              </w:rPr>
            </w:pPr>
            <w:r w:rsidRPr="00F355DC">
              <w:rPr>
                <w:rFonts w:ascii="Segoe UI" w:eastAsia="Times New Roman" w:hAnsi="Segoe UI" w:cs="Segoe UI"/>
                <w:b/>
                <w:bCs/>
                <w:sz w:val="20"/>
                <w:szCs w:val="20"/>
              </w:rPr>
              <w:t>Nombre Director</w:t>
            </w:r>
            <w:r>
              <w:rPr>
                <w:rFonts w:ascii="Segoe UI" w:eastAsia="Times New Roman" w:hAnsi="Segoe UI" w:cs="Segoe UI"/>
                <w:b/>
                <w:bCs/>
                <w:sz w:val="20"/>
                <w:szCs w:val="20"/>
              </w:rPr>
              <w:t>/a</w:t>
            </w:r>
            <w:r w:rsidRPr="00F355DC">
              <w:rPr>
                <w:rFonts w:ascii="Segoe UI" w:eastAsia="Times New Roman" w:hAnsi="Segoe UI" w:cs="Segoe UI"/>
                <w:b/>
                <w:bCs/>
                <w:sz w:val="20"/>
                <w:szCs w:val="20"/>
              </w:rPr>
              <w:t xml:space="preserve"> de</w:t>
            </w:r>
            <w:r>
              <w:rPr>
                <w:rFonts w:ascii="Segoe UI" w:eastAsia="Times New Roman" w:hAnsi="Segoe UI" w:cs="Segoe UI"/>
                <w:b/>
                <w:bCs/>
                <w:sz w:val="20"/>
                <w:szCs w:val="20"/>
              </w:rPr>
              <w:t xml:space="preserve"> </w:t>
            </w:r>
            <w:r w:rsidRPr="00F355DC">
              <w:rPr>
                <w:rFonts w:ascii="Segoe UI" w:eastAsia="Times New Roman" w:hAnsi="Segoe UI" w:cs="Segoe UI"/>
                <w:b/>
                <w:bCs/>
                <w:sz w:val="20"/>
                <w:szCs w:val="20"/>
              </w:rPr>
              <w:t>TFG/TFGM:</w:t>
            </w:r>
          </w:p>
        </w:tc>
        <w:tc>
          <w:tcPr>
            <w:tcW w:w="5055" w:type="dxa"/>
          </w:tcPr>
          <w:p w14:paraId="78FFE417" w14:textId="238CA10E" w:rsidR="004D0A4E" w:rsidRPr="00864DCC" w:rsidRDefault="00302F4D" w:rsidP="00194A42">
            <w:pPr>
              <w:spacing w:before="100" w:beforeAutospacing="1" w:after="100" w:afterAutospacing="1" w:line="300" w:lineRule="atLeast"/>
              <w:outlineLvl w:val="2"/>
              <w:rPr>
                <w:rFonts w:ascii="Segoe UI" w:eastAsia="Times New Roman" w:hAnsi="Segoe UI" w:cs="Segoe UI"/>
                <w:b/>
                <w:bCs/>
                <w:sz w:val="20"/>
                <w:szCs w:val="20"/>
              </w:rPr>
            </w:pPr>
            <w:r>
              <w:rPr>
                <w:rFonts w:ascii="Segoe UI" w:eastAsia="Times New Roman" w:hAnsi="Segoe UI" w:cs="Segoe UI"/>
                <w:b/>
                <w:bCs/>
                <w:sz w:val="20"/>
                <w:szCs w:val="20"/>
              </w:rPr>
              <w:t xml:space="preserve">Daniel </w:t>
            </w:r>
            <w:r w:rsidR="004D0A4E" w:rsidRPr="00E8424B">
              <w:rPr>
                <w:rFonts w:ascii="Segoe UI" w:eastAsia="Times New Roman" w:hAnsi="Segoe UI" w:cs="Segoe UI"/>
                <w:b/>
                <w:bCs/>
                <w:sz w:val="20"/>
                <w:szCs w:val="20"/>
              </w:rPr>
              <w:t>Pérez</w:t>
            </w:r>
            <w:r>
              <w:rPr>
                <w:rFonts w:ascii="Segoe UI" w:eastAsia="Times New Roman" w:hAnsi="Segoe UI" w:cs="Segoe UI"/>
                <w:b/>
                <w:bCs/>
                <w:sz w:val="20"/>
                <w:szCs w:val="20"/>
              </w:rPr>
              <w:t xml:space="preserve"> Fernández</w:t>
            </w:r>
          </w:p>
        </w:tc>
      </w:tr>
    </w:tbl>
    <w:p w14:paraId="66321121" w14:textId="77777777" w:rsidR="004D0A4E" w:rsidRDefault="004D0A4E" w:rsidP="004D0A4E">
      <w:pPr>
        <w:spacing w:beforeAutospacing="1" w:after="100" w:afterAutospacing="1" w:line="300" w:lineRule="atLeast"/>
        <w:rPr>
          <w:rFonts w:ascii="Segoe UI" w:eastAsia="Times New Roman" w:hAnsi="Segoe UI" w:cs="Segoe UI"/>
          <w:sz w:val="21"/>
          <w:szCs w:val="21"/>
        </w:rPr>
      </w:pPr>
    </w:p>
    <w:tbl>
      <w:tblPr>
        <w:tblStyle w:val="Tablaconcuadrcula"/>
        <w:tblW w:w="0" w:type="auto"/>
        <w:tblLook w:val="04A0" w:firstRow="1" w:lastRow="0" w:firstColumn="1" w:lastColumn="0" w:noHBand="0" w:noVBand="1"/>
      </w:tblPr>
      <w:tblGrid>
        <w:gridCol w:w="7508"/>
        <w:gridCol w:w="454"/>
        <w:gridCol w:w="532"/>
      </w:tblGrid>
      <w:tr w:rsidR="004D0A4E" w14:paraId="3DBFC35C" w14:textId="77777777" w:rsidTr="00194A42">
        <w:tc>
          <w:tcPr>
            <w:tcW w:w="7508" w:type="dxa"/>
          </w:tcPr>
          <w:p w14:paraId="29C80FFB" w14:textId="77777777" w:rsidR="004D0A4E" w:rsidRDefault="004D0A4E" w:rsidP="00194A42">
            <w:pPr>
              <w:spacing w:before="100" w:beforeAutospacing="1" w:after="100" w:afterAutospacing="1" w:line="300" w:lineRule="atLeast"/>
              <w:rPr>
                <w:rFonts w:ascii="Segoe UI" w:eastAsia="Times New Roman" w:hAnsi="Segoe UI" w:cs="Segoe UI"/>
                <w:sz w:val="21"/>
                <w:szCs w:val="21"/>
              </w:rPr>
            </w:pPr>
            <w:r w:rsidRPr="00864DCC">
              <w:rPr>
                <w:rFonts w:ascii="Segoe UI" w:eastAsia="Times New Roman" w:hAnsi="Segoe UI" w:cs="Segoe UI"/>
                <w:sz w:val="21"/>
                <w:szCs w:val="21"/>
              </w:rPr>
              <w:lastRenderedPageBreak/>
              <w:t>Declaro que para la elaboración del presente Trabajo Fin de Grado / Trabajo Fin de Máster se ha utilizado inteligencia artificial generativa como herramienta de apoyo.</w:t>
            </w:r>
          </w:p>
        </w:tc>
        <w:tc>
          <w:tcPr>
            <w:tcW w:w="454" w:type="dxa"/>
          </w:tcPr>
          <w:p w14:paraId="7B19E6B9" w14:textId="77777777" w:rsidR="004D0A4E" w:rsidRPr="00E8424B" w:rsidRDefault="004D0A4E" w:rsidP="00194A42">
            <w:pPr>
              <w:spacing w:before="100" w:beforeAutospacing="1" w:after="100" w:afterAutospacing="1" w:line="300" w:lineRule="atLeast"/>
              <w:rPr>
                <w:rFonts w:ascii="Segoe UI" w:eastAsia="Times New Roman" w:hAnsi="Segoe UI" w:cs="Segoe UI"/>
                <w:b/>
                <w:bCs/>
                <w:sz w:val="21"/>
                <w:szCs w:val="21"/>
              </w:rPr>
            </w:pPr>
            <w:r w:rsidRPr="00E8424B">
              <w:rPr>
                <w:rFonts w:ascii="Segoe UI" w:eastAsia="Times New Roman" w:hAnsi="Segoe UI" w:cs="Segoe UI"/>
                <w:b/>
                <w:bCs/>
                <w:sz w:val="21"/>
                <w:szCs w:val="21"/>
              </w:rPr>
              <w:t>SÍ</w:t>
            </w:r>
          </w:p>
          <w:p w14:paraId="2BB53F8B" w14:textId="77777777" w:rsidR="004D0A4E" w:rsidRDefault="004D0A4E" w:rsidP="00194A42">
            <w:pPr>
              <w:spacing w:before="100" w:beforeAutospacing="1" w:after="100" w:afterAutospacing="1" w:line="300" w:lineRule="atLeast"/>
              <w:rPr>
                <w:rFonts w:ascii="Segoe UI" w:eastAsia="Times New Roman" w:hAnsi="Segoe UI" w:cs="Segoe UI"/>
                <w:sz w:val="21"/>
                <w:szCs w:val="21"/>
              </w:rPr>
            </w:pPr>
          </w:p>
        </w:tc>
        <w:tc>
          <w:tcPr>
            <w:tcW w:w="532" w:type="dxa"/>
          </w:tcPr>
          <w:p w14:paraId="63538665" w14:textId="77777777" w:rsidR="004D0A4E" w:rsidRDefault="004D0A4E" w:rsidP="00194A42">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NO</w:t>
            </w:r>
          </w:p>
          <w:p w14:paraId="1657B4CC" w14:textId="77777777" w:rsidR="004D0A4E" w:rsidRDefault="004D0A4E" w:rsidP="00194A42">
            <w:pPr>
              <w:spacing w:before="100" w:beforeAutospacing="1" w:after="100" w:afterAutospacing="1" w:line="300" w:lineRule="atLeast"/>
              <w:rPr>
                <w:rFonts w:ascii="Segoe UI" w:eastAsia="Times New Roman" w:hAnsi="Segoe UI" w:cs="Segoe UI"/>
                <w:sz w:val="21"/>
                <w:szCs w:val="21"/>
              </w:rPr>
            </w:pPr>
          </w:p>
        </w:tc>
      </w:tr>
    </w:tbl>
    <w:p w14:paraId="00B684AE" w14:textId="77777777" w:rsidR="004D0A4E" w:rsidRDefault="004D0A4E" w:rsidP="004D0A4E">
      <w:pPr>
        <w:spacing w:before="100" w:beforeAutospacing="1" w:after="100" w:afterAutospacing="1" w:line="300" w:lineRule="atLeast"/>
        <w:rPr>
          <w:rFonts w:ascii="Segoe UI" w:eastAsia="Times New Roman" w:hAnsi="Segoe UI" w:cs="Segoe UI"/>
          <w:sz w:val="21"/>
          <w:szCs w:val="21"/>
        </w:rPr>
      </w:pPr>
    </w:p>
    <w:p w14:paraId="750CBC08" w14:textId="77777777" w:rsidR="004D0A4E" w:rsidRPr="00185854" w:rsidRDefault="004D0A4E" w:rsidP="004D0A4E">
      <w:pPr>
        <w:pStyle w:val="Prrafodelista"/>
        <w:numPr>
          <w:ilvl w:val="0"/>
          <w:numId w:val="4"/>
        </w:numPr>
        <w:spacing w:before="100" w:beforeAutospacing="1" w:after="100" w:afterAutospacing="1" w:line="300" w:lineRule="atLeast"/>
        <w:contextualSpacing/>
        <w:jc w:val="left"/>
        <w:rPr>
          <w:rFonts w:ascii="Segoe UI" w:eastAsia="Times New Roman" w:hAnsi="Segoe UI" w:cs="Segoe UI"/>
          <w:b/>
          <w:bCs/>
          <w:sz w:val="21"/>
          <w:szCs w:val="21"/>
        </w:rPr>
      </w:pPr>
      <w:r w:rsidRPr="00185854">
        <w:rPr>
          <w:rFonts w:ascii="Segoe UI" w:eastAsia="Times New Roman" w:hAnsi="Segoe UI" w:cs="Segoe UI"/>
          <w:b/>
          <w:bCs/>
          <w:sz w:val="21"/>
          <w:szCs w:val="21"/>
        </w:rPr>
        <w:t>Uso de la IA Generativo</w:t>
      </w:r>
    </w:p>
    <w:p w14:paraId="04968149" w14:textId="77777777" w:rsidR="004D0A4E" w:rsidRDefault="004D0A4E" w:rsidP="004D0A4E">
      <w:pPr>
        <w:spacing w:before="100" w:beforeAutospacing="1" w:line="300" w:lineRule="atLeast"/>
        <w:rPr>
          <w:rFonts w:ascii="Segoe UI" w:eastAsia="Times New Roman" w:hAnsi="Segoe UI" w:cs="Segoe UI"/>
          <w:sz w:val="21"/>
          <w:szCs w:val="21"/>
        </w:rPr>
      </w:pPr>
      <w:r>
        <w:rPr>
          <w:rFonts w:ascii="Segoe UI" w:eastAsia="Times New Roman" w:hAnsi="Segoe UI" w:cs="Segoe UI"/>
          <w:sz w:val="21"/>
          <w:szCs w:val="21"/>
        </w:rPr>
        <w:t xml:space="preserve">Si tu respuesta ha sido SÍ, contesta a las siguientes preguntas. Si has contestado NO, pasa al apartado 2. </w:t>
      </w:r>
    </w:p>
    <w:p w14:paraId="1CEA8EA2" w14:textId="77777777" w:rsidR="004D0A4E" w:rsidRPr="00761BD2" w:rsidRDefault="004D0A4E" w:rsidP="004D0A4E">
      <w:pPr>
        <w:spacing w:before="100" w:beforeAutospacing="1" w:line="300" w:lineRule="atLeast"/>
        <w:rPr>
          <w:rFonts w:ascii="Segoe UI" w:eastAsia="Times New Roman" w:hAnsi="Segoe UI" w:cs="Segoe UI"/>
          <w:b/>
          <w:bCs/>
          <w:sz w:val="21"/>
          <w:szCs w:val="21"/>
        </w:rPr>
      </w:pPr>
      <w:r w:rsidRPr="00761BD2">
        <w:rPr>
          <w:rFonts w:ascii="Segoe UI" w:eastAsia="Times New Roman" w:hAnsi="Segoe UI" w:cs="Segoe UI"/>
          <w:b/>
          <w:bCs/>
          <w:sz w:val="21"/>
          <w:szCs w:val="21"/>
        </w:rPr>
        <w:t>Uso ético</w:t>
      </w:r>
    </w:p>
    <w:tbl>
      <w:tblPr>
        <w:tblStyle w:val="Tablaconcuadrcula"/>
        <w:tblW w:w="0" w:type="auto"/>
        <w:tblLook w:val="04A0" w:firstRow="1" w:lastRow="0" w:firstColumn="1" w:lastColumn="0" w:noHBand="0" w:noVBand="1"/>
      </w:tblPr>
      <w:tblGrid>
        <w:gridCol w:w="7508"/>
        <w:gridCol w:w="454"/>
        <w:gridCol w:w="532"/>
      </w:tblGrid>
      <w:tr w:rsidR="004D0A4E" w14:paraId="536A34E9" w14:textId="77777777" w:rsidTr="00194A42">
        <w:tc>
          <w:tcPr>
            <w:tcW w:w="7508" w:type="dxa"/>
            <w:tcBorders>
              <w:top w:val="nil"/>
              <w:left w:val="nil"/>
            </w:tcBorders>
          </w:tcPr>
          <w:p w14:paraId="6D6EB0C5" w14:textId="77777777" w:rsidR="004D0A4E" w:rsidRDefault="004D0A4E" w:rsidP="00194A42">
            <w:pPr>
              <w:spacing w:before="100" w:beforeAutospacing="1" w:after="100" w:afterAutospacing="1" w:line="300" w:lineRule="atLeast"/>
              <w:rPr>
                <w:rFonts w:ascii="Segoe UI" w:eastAsia="Times New Roman" w:hAnsi="Segoe UI" w:cs="Segoe UI"/>
                <w:sz w:val="21"/>
                <w:szCs w:val="21"/>
              </w:rPr>
            </w:pPr>
          </w:p>
        </w:tc>
        <w:tc>
          <w:tcPr>
            <w:tcW w:w="454" w:type="dxa"/>
          </w:tcPr>
          <w:p w14:paraId="4A806030" w14:textId="77777777" w:rsidR="004D0A4E" w:rsidRDefault="004D0A4E" w:rsidP="00194A42">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SÍ</w:t>
            </w:r>
          </w:p>
        </w:tc>
        <w:tc>
          <w:tcPr>
            <w:tcW w:w="532" w:type="dxa"/>
          </w:tcPr>
          <w:p w14:paraId="39F6FD8F" w14:textId="77777777" w:rsidR="004D0A4E" w:rsidRDefault="004D0A4E" w:rsidP="00194A42">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NO</w:t>
            </w:r>
          </w:p>
        </w:tc>
      </w:tr>
      <w:tr w:rsidR="004D0A4E" w14:paraId="4E75AEE8" w14:textId="77777777" w:rsidTr="00194A42">
        <w:tc>
          <w:tcPr>
            <w:tcW w:w="7508" w:type="dxa"/>
          </w:tcPr>
          <w:p w14:paraId="2C7C9FF1" w14:textId="77777777" w:rsidR="004D0A4E" w:rsidRPr="005B408E" w:rsidRDefault="004D0A4E" w:rsidP="00194A42">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 xml:space="preserve">¿A la hora de usar la herramienta IA, en los </w:t>
            </w:r>
            <w:proofErr w:type="spellStart"/>
            <w:r w:rsidRPr="003D55F7">
              <w:rPr>
                <w:rFonts w:ascii="Segoe UI" w:eastAsia="Times New Roman" w:hAnsi="Segoe UI" w:cs="Segoe UI"/>
                <w:i/>
                <w:iCs/>
                <w:sz w:val="21"/>
                <w:szCs w:val="21"/>
              </w:rPr>
              <w:t>prompts</w:t>
            </w:r>
            <w:proofErr w:type="spellEnd"/>
            <w:r>
              <w:rPr>
                <w:rFonts w:ascii="Segoe UI" w:eastAsia="Times New Roman" w:hAnsi="Segoe UI" w:cs="Segoe UI"/>
                <w:sz w:val="21"/>
                <w:szCs w:val="21"/>
              </w:rPr>
              <w:t xml:space="preserve"> utilizados has incluido datos de carácter sensible o de carácter personal (fotos de personas reales, datos personales, etc.)?</w:t>
            </w:r>
            <w:r>
              <w:rPr>
                <w:rFonts w:ascii="Segoe UI" w:eastAsia="Times New Roman" w:hAnsi="Segoe UI" w:cs="Segoe UI"/>
                <w:sz w:val="21"/>
                <w:szCs w:val="21"/>
              </w:rPr>
              <w:br/>
            </w:r>
            <w:r w:rsidRPr="005B408E">
              <w:rPr>
                <w:rFonts w:ascii="Segoe UI" w:eastAsia="Times New Roman" w:hAnsi="Segoe UI" w:cs="Segoe UI"/>
                <w:i/>
                <w:iCs/>
                <w:sz w:val="21"/>
                <w:szCs w:val="21"/>
              </w:rPr>
              <w:t xml:space="preserve">Si tu respuesta es afirmativa especifica cuáles. </w:t>
            </w:r>
          </w:p>
        </w:tc>
        <w:tc>
          <w:tcPr>
            <w:tcW w:w="454" w:type="dxa"/>
          </w:tcPr>
          <w:p w14:paraId="4410BD76" w14:textId="77777777" w:rsidR="004D0A4E" w:rsidRDefault="004D0A4E" w:rsidP="00194A42">
            <w:pPr>
              <w:spacing w:before="100" w:beforeAutospacing="1" w:after="100" w:afterAutospacing="1" w:line="300" w:lineRule="atLeast"/>
              <w:rPr>
                <w:rFonts w:ascii="Segoe UI" w:eastAsia="Times New Roman" w:hAnsi="Segoe UI" w:cs="Segoe UI"/>
                <w:sz w:val="21"/>
                <w:szCs w:val="21"/>
              </w:rPr>
            </w:pPr>
          </w:p>
        </w:tc>
        <w:tc>
          <w:tcPr>
            <w:tcW w:w="532" w:type="dxa"/>
          </w:tcPr>
          <w:p w14:paraId="51413AB2" w14:textId="77777777" w:rsidR="004D0A4E" w:rsidRDefault="004D0A4E" w:rsidP="00194A42">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X</w:t>
            </w:r>
          </w:p>
        </w:tc>
      </w:tr>
      <w:tr w:rsidR="004D0A4E" w14:paraId="252D4259" w14:textId="77777777" w:rsidTr="00194A42">
        <w:tc>
          <w:tcPr>
            <w:tcW w:w="7508" w:type="dxa"/>
          </w:tcPr>
          <w:p w14:paraId="13C3D7DF" w14:textId="77777777" w:rsidR="004D0A4E" w:rsidRDefault="004D0A4E" w:rsidP="00194A42">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¿Has orientado tu uso a suplantar tu trabajo personal sin hacer una revisión crítica de la extraído en la herramienta IA?</w:t>
            </w:r>
            <w:r>
              <w:rPr>
                <w:rFonts w:ascii="Segoe UI" w:eastAsia="Times New Roman" w:hAnsi="Segoe UI" w:cs="Segoe UI"/>
                <w:sz w:val="21"/>
                <w:szCs w:val="21"/>
              </w:rPr>
              <w:br/>
            </w:r>
            <w:r w:rsidRPr="005B408E">
              <w:rPr>
                <w:rFonts w:ascii="Segoe UI" w:eastAsia="Times New Roman" w:hAnsi="Segoe UI" w:cs="Segoe UI"/>
                <w:i/>
                <w:iCs/>
                <w:sz w:val="21"/>
                <w:szCs w:val="21"/>
              </w:rPr>
              <w:t>Si tu respuesta es afirmativa especifica cuáles.</w:t>
            </w:r>
          </w:p>
        </w:tc>
        <w:tc>
          <w:tcPr>
            <w:tcW w:w="454" w:type="dxa"/>
          </w:tcPr>
          <w:p w14:paraId="5B3D3477" w14:textId="77777777" w:rsidR="004D0A4E" w:rsidRDefault="004D0A4E" w:rsidP="00194A42">
            <w:pPr>
              <w:spacing w:before="100" w:beforeAutospacing="1" w:after="100" w:afterAutospacing="1" w:line="300" w:lineRule="atLeast"/>
              <w:rPr>
                <w:rFonts w:ascii="Segoe UI" w:eastAsia="Times New Roman" w:hAnsi="Segoe UI" w:cs="Segoe UI"/>
                <w:sz w:val="21"/>
                <w:szCs w:val="21"/>
              </w:rPr>
            </w:pPr>
          </w:p>
        </w:tc>
        <w:tc>
          <w:tcPr>
            <w:tcW w:w="532" w:type="dxa"/>
          </w:tcPr>
          <w:p w14:paraId="5612AABF" w14:textId="77777777" w:rsidR="004D0A4E" w:rsidRDefault="004D0A4E" w:rsidP="00194A42">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X</w:t>
            </w:r>
          </w:p>
        </w:tc>
      </w:tr>
      <w:tr w:rsidR="004D0A4E" w14:paraId="1705EB1B" w14:textId="77777777" w:rsidTr="00194A42">
        <w:tc>
          <w:tcPr>
            <w:tcW w:w="7508" w:type="dxa"/>
          </w:tcPr>
          <w:p w14:paraId="54570575" w14:textId="77777777" w:rsidR="004D0A4E" w:rsidRDefault="004D0A4E" w:rsidP="00194A42">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¿Has tenido en cuenta las recomendaciones académicas que te han hecho específicamente en el Grado/Máster sobre lo que está permitido o no con la IA?</w:t>
            </w:r>
          </w:p>
        </w:tc>
        <w:tc>
          <w:tcPr>
            <w:tcW w:w="454" w:type="dxa"/>
          </w:tcPr>
          <w:p w14:paraId="29792B07" w14:textId="77777777" w:rsidR="004D0A4E" w:rsidRDefault="004D0A4E" w:rsidP="00194A42">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X</w:t>
            </w:r>
          </w:p>
        </w:tc>
        <w:tc>
          <w:tcPr>
            <w:tcW w:w="532" w:type="dxa"/>
          </w:tcPr>
          <w:p w14:paraId="287476FF" w14:textId="77777777" w:rsidR="004D0A4E" w:rsidRDefault="004D0A4E" w:rsidP="00194A42">
            <w:pPr>
              <w:spacing w:before="100" w:beforeAutospacing="1" w:after="100" w:afterAutospacing="1" w:line="300" w:lineRule="atLeast"/>
              <w:rPr>
                <w:rFonts w:ascii="Segoe UI" w:eastAsia="Times New Roman" w:hAnsi="Segoe UI" w:cs="Segoe UI"/>
                <w:sz w:val="21"/>
                <w:szCs w:val="21"/>
              </w:rPr>
            </w:pPr>
          </w:p>
        </w:tc>
      </w:tr>
    </w:tbl>
    <w:p w14:paraId="591935D0" w14:textId="77777777" w:rsidR="004D0A4E" w:rsidRDefault="004D0A4E" w:rsidP="004D0A4E">
      <w:pPr>
        <w:spacing w:before="100" w:beforeAutospacing="1" w:line="300" w:lineRule="atLeast"/>
        <w:rPr>
          <w:rFonts w:ascii="Segoe UI" w:eastAsia="Times New Roman" w:hAnsi="Segoe UI" w:cs="Segoe UI"/>
          <w:b/>
          <w:bCs/>
          <w:sz w:val="21"/>
          <w:szCs w:val="21"/>
        </w:rPr>
      </w:pPr>
      <w:r w:rsidRPr="00761BD2">
        <w:rPr>
          <w:rFonts w:ascii="Segoe UI" w:eastAsia="Times New Roman" w:hAnsi="Segoe UI" w:cs="Segoe UI"/>
          <w:b/>
          <w:bCs/>
          <w:sz w:val="21"/>
          <w:szCs w:val="21"/>
        </w:rPr>
        <w:t xml:space="preserve">Uso </w:t>
      </w:r>
      <w:r>
        <w:rPr>
          <w:rFonts w:ascii="Segoe UI" w:eastAsia="Times New Roman" w:hAnsi="Segoe UI" w:cs="Segoe UI"/>
          <w:b/>
          <w:bCs/>
          <w:sz w:val="21"/>
          <w:szCs w:val="21"/>
        </w:rPr>
        <w:t xml:space="preserve">técnico </w:t>
      </w:r>
      <w:r w:rsidRPr="00761BD2">
        <w:rPr>
          <w:rFonts w:ascii="Segoe UI" w:eastAsia="Times New Roman" w:hAnsi="Segoe UI" w:cs="Segoe UI"/>
          <w:b/>
          <w:bCs/>
          <w:sz w:val="21"/>
          <w:szCs w:val="21"/>
        </w:rPr>
        <w:t>realizado</w:t>
      </w:r>
      <w:r>
        <w:rPr>
          <w:rFonts w:ascii="Segoe UI" w:eastAsia="Times New Roman" w:hAnsi="Segoe UI" w:cs="Segoe UI"/>
          <w:b/>
          <w:bCs/>
          <w:sz w:val="21"/>
          <w:szCs w:val="21"/>
        </w:rPr>
        <w:t>:</w:t>
      </w:r>
    </w:p>
    <w:p w14:paraId="37323F95" w14:textId="77777777" w:rsidR="004D0A4E" w:rsidRDefault="004D0A4E" w:rsidP="004D0A4E">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¿Qué herramientas has utilizado (</w:t>
      </w:r>
      <w:proofErr w:type="spellStart"/>
      <w:r>
        <w:rPr>
          <w:rFonts w:ascii="Segoe UI" w:eastAsia="Times New Roman" w:hAnsi="Segoe UI" w:cs="Segoe UI"/>
          <w:sz w:val="21"/>
          <w:szCs w:val="21"/>
        </w:rPr>
        <w:t>ChatGPT</w:t>
      </w:r>
      <w:proofErr w:type="spellEnd"/>
      <w:r>
        <w:rPr>
          <w:rFonts w:ascii="Segoe UI" w:eastAsia="Times New Roman" w:hAnsi="Segoe UI" w:cs="Segoe UI"/>
          <w:sz w:val="21"/>
          <w:szCs w:val="21"/>
        </w:rPr>
        <w:t xml:space="preserve">, </w:t>
      </w:r>
      <w:proofErr w:type="spellStart"/>
      <w:r>
        <w:rPr>
          <w:rFonts w:ascii="Segoe UI" w:eastAsia="Times New Roman" w:hAnsi="Segoe UI" w:cs="Segoe UI"/>
          <w:sz w:val="21"/>
          <w:szCs w:val="21"/>
        </w:rPr>
        <w:t>Copilot</w:t>
      </w:r>
      <w:proofErr w:type="spellEnd"/>
      <w:r>
        <w:rPr>
          <w:rFonts w:ascii="Segoe UI" w:eastAsia="Times New Roman" w:hAnsi="Segoe UI" w:cs="Segoe UI"/>
          <w:sz w:val="21"/>
          <w:szCs w:val="21"/>
        </w:rPr>
        <w:t xml:space="preserve">, Claude, Nano </w:t>
      </w:r>
      <w:proofErr w:type="gramStart"/>
      <w:r>
        <w:rPr>
          <w:rFonts w:ascii="Segoe UI" w:eastAsia="Times New Roman" w:hAnsi="Segoe UI" w:cs="Segoe UI"/>
          <w:sz w:val="21"/>
          <w:szCs w:val="21"/>
        </w:rPr>
        <w:t>Banana….</w:t>
      </w:r>
      <w:proofErr w:type="gramEnd"/>
      <w:r>
        <w:rPr>
          <w:rFonts w:ascii="Segoe UI" w:eastAsia="Times New Roman" w:hAnsi="Segoe UI" w:cs="Segoe UI"/>
          <w:sz w:val="21"/>
          <w:szCs w:val="21"/>
        </w:rPr>
        <w:t xml:space="preserve">)? Especifica la versión o tipo de licencia. </w:t>
      </w:r>
    </w:p>
    <w:p w14:paraId="1DBE1ADC" w14:textId="77777777" w:rsidR="004D0A4E" w:rsidRPr="00E8424B" w:rsidRDefault="004D0A4E" w:rsidP="004D0A4E">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He utilizado Claude la versión de pago con los diferentes modelos disponibles a lo largo del tiempo, principalmente las diferentes versiones que han salido de Opus 4.5 y posteriores versiones</w:t>
      </w:r>
      <w:r>
        <w:rPr>
          <w:rFonts w:ascii="Segoe UI" w:eastAsia="Times New Roman" w:hAnsi="Segoe UI" w:cs="Segoe UI"/>
          <w:sz w:val="21"/>
          <w:szCs w:val="21"/>
        </w:rPr>
        <w:br/>
      </w:r>
    </w:p>
    <w:p w14:paraId="21193AB2" w14:textId="77777777" w:rsidR="004D0A4E" w:rsidRPr="00761BD2" w:rsidRDefault="004D0A4E" w:rsidP="004D0A4E">
      <w:pPr>
        <w:spacing w:before="100" w:beforeAutospacing="1" w:line="300" w:lineRule="atLeast"/>
        <w:rPr>
          <w:rFonts w:ascii="Segoe UI" w:eastAsia="Times New Roman" w:hAnsi="Segoe UI" w:cs="Segoe UI"/>
          <w:b/>
          <w:bCs/>
          <w:sz w:val="21"/>
          <w:szCs w:val="21"/>
        </w:rPr>
      </w:pPr>
      <w:r>
        <w:rPr>
          <w:rFonts w:ascii="Segoe UI" w:eastAsia="Times New Roman" w:hAnsi="Segoe UI" w:cs="Segoe UI"/>
          <w:b/>
          <w:bCs/>
          <w:sz w:val="21"/>
          <w:szCs w:val="21"/>
        </w:rPr>
        <w:t>M</w:t>
      </w:r>
      <w:r w:rsidRPr="00761BD2">
        <w:rPr>
          <w:rFonts w:ascii="Segoe UI" w:eastAsia="Times New Roman" w:hAnsi="Segoe UI" w:cs="Segoe UI"/>
          <w:b/>
          <w:bCs/>
          <w:sz w:val="21"/>
          <w:szCs w:val="21"/>
        </w:rPr>
        <w:t>arcar lo que corresponda:</w:t>
      </w:r>
    </w:p>
    <w:p w14:paraId="5FED9129" w14:textId="77777777" w:rsidR="004D0A4E" w:rsidRPr="00761BD2" w:rsidRDefault="00000000" w:rsidP="004D0A4E">
      <w:pPr>
        <w:spacing w:before="100" w:beforeAutospacing="1" w:after="100" w:afterAutospacing="1" w:line="300" w:lineRule="atLeast"/>
        <w:rPr>
          <w:rFonts w:ascii="Segoe UI" w:eastAsia="Times New Roman" w:hAnsi="Segoe UI" w:cs="Segoe UI"/>
          <w:sz w:val="21"/>
          <w:szCs w:val="21"/>
        </w:rPr>
      </w:pPr>
      <w:sdt>
        <w:sdtPr>
          <w:rPr>
            <w:rFonts w:ascii="Segoe UI Symbol" w:eastAsia="Times New Roman" w:hAnsi="Segoe UI Symbol" w:cs="Segoe UI Symbol"/>
            <w:sz w:val="21"/>
            <w:szCs w:val="21"/>
          </w:rPr>
          <w:id w:val="-1791661476"/>
          <w14:checkbox>
            <w14:checked w14:val="0"/>
            <w14:checkedState w14:val="2612" w14:font="MS Gothic"/>
            <w14:uncheckedState w14:val="2610" w14:font="MS Gothic"/>
          </w14:checkbox>
        </w:sdtPr>
        <w:sdtContent>
          <w:r w:rsidR="004D0A4E">
            <w:rPr>
              <w:rFonts w:ascii="MS Gothic" w:eastAsia="MS Gothic" w:hAnsi="MS Gothic" w:cs="Segoe UI Symbol" w:hint="eastAsia"/>
              <w:sz w:val="21"/>
              <w:szCs w:val="21"/>
            </w:rPr>
            <w:t>☐</w:t>
          </w:r>
        </w:sdtContent>
      </w:sdt>
      <w:r w:rsidR="004D0A4E" w:rsidRPr="00761BD2">
        <w:rPr>
          <w:rFonts w:ascii="Segoe UI" w:eastAsia="Times New Roman" w:hAnsi="Segoe UI" w:cs="Segoe UI"/>
          <w:sz w:val="21"/>
          <w:szCs w:val="21"/>
        </w:rPr>
        <w:t xml:space="preserve"> Generación de texto</w:t>
      </w:r>
      <w:r w:rsidR="004D0A4E">
        <w:rPr>
          <w:rFonts w:ascii="Segoe UI" w:eastAsia="Times New Roman" w:hAnsi="Segoe UI" w:cs="Segoe UI"/>
          <w:sz w:val="21"/>
          <w:szCs w:val="21"/>
        </w:rPr>
        <w:t xml:space="preserve"> </w:t>
      </w:r>
      <w:r w:rsidR="004D0A4E" w:rsidRPr="00761BD2">
        <w:rPr>
          <w:rFonts w:ascii="Segoe UI" w:eastAsia="Times New Roman" w:hAnsi="Segoe UI" w:cs="Segoe UI"/>
          <w:i/>
          <w:iCs/>
          <w:sz w:val="21"/>
          <w:szCs w:val="21"/>
        </w:rPr>
        <w:t>(Especificar qué herramientas)</w:t>
      </w:r>
      <w:r w:rsidR="004D0A4E">
        <w:rPr>
          <w:rFonts w:ascii="Segoe UI" w:eastAsia="Times New Roman" w:hAnsi="Segoe UI" w:cs="Segoe UI"/>
          <w:sz w:val="21"/>
          <w:szCs w:val="21"/>
        </w:rPr>
        <w:t xml:space="preserve"> </w:t>
      </w:r>
      <w:r w:rsidR="004D0A4E" w:rsidRPr="00761BD2">
        <w:rPr>
          <w:rFonts w:ascii="Segoe UI" w:eastAsia="Times New Roman" w:hAnsi="Segoe UI" w:cs="Segoe UI"/>
          <w:sz w:val="21"/>
          <w:szCs w:val="21"/>
        </w:rPr>
        <w:sym w:font="Wingdings" w:char="F0E0"/>
      </w:r>
      <w:r w:rsidR="004D0A4E">
        <w:rPr>
          <w:rFonts w:ascii="Segoe UI" w:eastAsia="Times New Roman" w:hAnsi="Segoe UI" w:cs="Segoe UI"/>
          <w:sz w:val="21"/>
          <w:szCs w:val="21"/>
        </w:rPr>
        <w:t xml:space="preserve"> </w:t>
      </w:r>
    </w:p>
    <w:p w14:paraId="37E6AB36" w14:textId="77777777" w:rsidR="004D0A4E" w:rsidRPr="00761BD2" w:rsidRDefault="00000000" w:rsidP="004D0A4E">
      <w:pPr>
        <w:spacing w:before="100" w:beforeAutospacing="1" w:after="100" w:afterAutospacing="1" w:line="300" w:lineRule="atLeast"/>
        <w:rPr>
          <w:rFonts w:ascii="Segoe UI" w:eastAsia="Times New Roman" w:hAnsi="Segoe UI" w:cs="Segoe UI"/>
          <w:sz w:val="21"/>
          <w:szCs w:val="21"/>
        </w:rPr>
      </w:pPr>
      <w:sdt>
        <w:sdtPr>
          <w:rPr>
            <w:rFonts w:ascii="Segoe UI Symbol" w:eastAsia="Times New Roman" w:hAnsi="Segoe UI Symbol" w:cs="Segoe UI Symbol"/>
            <w:sz w:val="21"/>
            <w:szCs w:val="21"/>
          </w:rPr>
          <w:id w:val="-1486537559"/>
          <w14:checkbox>
            <w14:checked w14:val="0"/>
            <w14:checkedState w14:val="2612" w14:font="MS Gothic"/>
            <w14:uncheckedState w14:val="2610" w14:font="MS Gothic"/>
          </w14:checkbox>
        </w:sdtPr>
        <w:sdtContent>
          <w:r w:rsidR="004D0A4E">
            <w:rPr>
              <w:rFonts w:ascii="MS Gothic" w:eastAsia="MS Gothic" w:hAnsi="MS Gothic" w:cs="Segoe UI Symbol" w:hint="eastAsia"/>
              <w:sz w:val="21"/>
              <w:szCs w:val="21"/>
            </w:rPr>
            <w:t>☐</w:t>
          </w:r>
        </w:sdtContent>
      </w:sdt>
      <w:r w:rsidR="004D0A4E" w:rsidRPr="00761BD2">
        <w:rPr>
          <w:rFonts w:ascii="Segoe UI" w:eastAsia="Times New Roman" w:hAnsi="Segoe UI" w:cs="Segoe UI"/>
          <w:sz w:val="21"/>
          <w:szCs w:val="21"/>
        </w:rPr>
        <w:t xml:space="preserve"> Reformulación</w:t>
      </w:r>
      <w:r w:rsidR="004D0A4E">
        <w:rPr>
          <w:rFonts w:ascii="Segoe UI" w:eastAsia="Times New Roman" w:hAnsi="Segoe UI" w:cs="Segoe UI"/>
          <w:sz w:val="21"/>
          <w:szCs w:val="21"/>
        </w:rPr>
        <w:t xml:space="preserve"> </w:t>
      </w:r>
      <w:r w:rsidR="004D0A4E" w:rsidRPr="00761BD2">
        <w:rPr>
          <w:rFonts w:ascii="Segoe UI" w:eastAsia="Times New Roman" w:hAnsi="Segoe UI" w:cs="Segoe UI"/>
          <w:i/>
          <w:iCs/>
          <w:sz w:val="21"/>
          <w:szCs w:val="21"/>
        </w:rPr>
        <w:t>(Especificar qué herramientas)</w:t>
      </w:r>
      <w:r w:rsidR="004D0A4E">
        <w:rPr>
          <w:rFonts w:ascii="Segoe UI" w:eastAsia="Times New Roman" w:hAnsi="Segoe UI" w:cs="Segoe UI"/>
          <w:sz w:val="21"/>
          <w:szCs w:val="21"/>
        </w:rPr>
        <w:t xml:space="preserve"> </w:t>
      </w:r>
      <w:r w:rsidR="004D0A4E" w:rsidRPr="00761BD2">
        <w:rPr>
          <w:rFonts w:ascii="Segoe UI" w:eastAsia="Times New Roman" w:hAnsi="Segoe UI" w:cs="Segoe UI"/>
          <w:sz w:val="21"/>
          <w:szCs w:val="21"/>
        </w:rPr>
        <w:sym w:font="Wingdings" w:char="F0E0"/>
      </w:r>
    </w:p>
    <w:p w14:paraId="2742FDE0" w14:textId="77777777" w:rsidR="004D0A4E" w:rsidRPr="00761BD2" w:rsidRDefault="00000000" w:rsidP="004D0A4E">
      <w:pPr>
        <w:spacing w:before="100" w:beforeAutospacing="1" w:after="100" w:afterAutospacing="1" w:line="300" w:lineRule="atLeast"/>
        <w:rPr>
          <w:rFonts w:ascii="Segoe UI" w:eastAsia="Times New Roman" w:hAnsi="Segoe UI" w:cs="Segoe UI"/>
          <w:sz w:val="21"/>
          <w:szCs w:val="21"/>
        </w:rPr>
      </w:pPr>
      <w:sdt>
        <w:sdtPr>
          <w:rPr>
            <w:rFonts w:ascii="Segoe UI Symbol" w:eastAsia="Times New Roman" w:hAnsi="Segoe UI Symbol" w:cs="Segoe UI Symbol"/>
            <w:sz w:val="21"/>
            <w:szCs w:val="21"/>
          </w:rPr>
          <w:id w:val="-2125294323"/>
          <w14:checkbox>
            <w14:checked w14:val="0"/>
            <w14:checkedState w14:val="2612" w14:font="MS Gothic"/>
            <w14:uncheckedState w14:val="2610" w14:font="MS Gothic"/>
          </w14:checkbox>
        </w:sdtPr>
        <w:sdtContent>
          <w:r w:rsidR="004D0A4E">
            <w:rPr>
              <w:rFonts w:ascii="MS Gothic" w:eastAsia="MS Gothic" w:hAnsi="MS Gothic" w:cs="Segoe UI Symbol" w:hint="eastAsia"/>
              <w:sz w:val="21"/>
              <w:szCs w:val="21"/>
            </w:rPr>
            <w:t>☐</w:t>
          </w:r>
        </w:sdtContent>
      </w:sdt>
      <w:r w:rsidR="004D0A4E" w:rsidRPr="00761BD2">
        <w:rPr>
          <w:rFonts w:ascii="Segoe UI" w:eastAsia="Times New Roman" w:hAnsi="Segoe UI" w:cs="Segoe UI"/>
          <w:sz w:val="21"/>
          <w:szCs w:val="21"/>
        </w:rPr>
        <w:t xml:space="preserve"> Traducción / corrección</w:t>
      </w:r>
      <w:r w:rsidR="004D0A4E">
        <w:rPr>
          <w:rFonts w:ascii="Segoe UI" w:eastAsia="Times New Roman" w:hAnsi="Segoe UI" w:cs="Segoe UI"/>
          <w:sz w:val="21"/>
          <w:szCs w:val="21"/>
        </w:rPr>
        <w:t xml:space="preserve"> </w:t>
      </w:r>
      <w:r w:rsidR="004D0A4E" w:rsidRPr="00761BD2">
        <w:rPr>
          <w:rFonts w:ascii="Segoe UI" w:eastAsia="Times New Roman" w:hAnsi="Segoe UI" w:cs="Segoe UI"/>
          <w:i/>
          <w:iCs/>
          <w:sz w:val="21"/>
          <w:szCs w:val="21"/>
        </w:rPr>
        <w:t>(Especificar qué herramientas)</w:t>
      </w:r>
      <w:r w:rsidR="004D0A4E">
        <w:rPr>
          <w:rFonts w:ascii="Segoe UI" w:eastAsia="Times New Roman" w:hAnsi="Segoe UI" w:cs="Segoe UI"/>
          <w:sz w:val="21"/>
          <w:szCs w:val="21"/>
        </w:rPr>
        <w:t xml:space="preserve"> </w:t>
      </w:r>
      <w:r w:rsidR="004D0A4E" w:rsidRPr="00761BD2">
        <w:rPr>
          <w:rFonts w:ascii="Segoe UI" w:eastAsia="Times New Roman" w:hAnsi="Segoe UI" w:cs="Segoe UI"/>
          <w:sz w:val="21"/>
          <w:szCs w:val="21"/>
        </w:rPr>
        <w:sym w:font="Wingdings" w:char="F0E0"/>
      </w:r>
    </w:p>
    <w:p w14:paraId="50124A3F" w14:textId="77777777" w:rsidR="004D0A4E" w:rsidRPr="00761BD2" w:rsidRDefault="00000000" w:rsidP="004D0A4E">
      <w:pPr>
        <w:spacing w:before="100" w:beforeAutospacing="1" w:after="100" w:afterAutospacing="1" w:line="300" w:lineRule="atLeast"/>
        <w:rPr>
          <w:rFonts w:ascii="Segoe UI" w:eastAsia="Times New Roman" w:hAnsi="Segoe UI" w:cs="Segoe UI"/>
          <w:sz w:val="21"/>
          <w:szCs w:val="21"/>
        </w:rPr>
      </w:pPr>
      <w:sdt>
        <w:sdtPr>
          <w:rPr>
            <w:rFonts w:ascii="Segoe UI Symbol" w:eastAsia="Times New Roman" w:hAnsi="Segoe UI Symbol" w:cs="Segoe UI Symbol"/>
            <w:sz w:val="21"/>
            <w:szCs w:val="21"/>
          </w:rPr>
          <w:id w:val="2047865974"/>
          <w14:checkbox>
            <w14:checked w14:val="1"/>
            <w14:checkedState w14:val="2612" w14:font="MS Gothic"/>
            <w14:uncheckedState w14:val="2610" w14:font="MS Gothic"/>
          </w14:checkbox>
        </w:sdtPr>
        <w:sdtContent>
          <w:r w:rsidR="004D0A4E">
            <w:rPr>
              <w:rFonts w:ascii="MS Gothic" w:eastAsia="MS Gothic" w:hAnsi="MS Gothic" w:cs="Segoe UI Symbol" w:hint="eastAsia"/>
              <w:sz w:val="21"/>
              <w:szCs w:val="21"/>
            </w:rPr>
            <w:t>☒</w:t>
          </w:r>
        </w:sdtContent>
      </w:sdt>
      <w:r w:rsidR="004D0A4E" w:rsidRPr="00761BD2">
        <w:rPr>
          <w:rFonts w:ascii="Segoe UI" w:eastAsia="Times New Roman" w:hAnsi="Segoe UI" w:cs="Segoe UI"/>
          <w:sz w:val="21"/>
          <w:szCs w:val="21"/>
        </w:rPr>
        <w:t xml:space="preserve"> Sugerencia de estructura</w:t>
      </w:r>
      <w:r w:rsidR="004D0A4E">
        <w:rPr>
          <w:rFonts w:ascii="Segoe UI" w:eastAsia="Times New Roman" w:hAnsi="Segoe UI" w:cs="Segoe UI"/>
          <w:sz w:val="21"/>
          <w:szCs w:val="21"/>
        </w:rPr>
        <w:t xml:space="preserve"> </w:t>
      </w:r>
      <w:r w:rsidR="004D0A4E" w:rsidRPr="00761BD2">
        <w:rPr>
          <w:rFonts w:ascii="Segoe UI" w:eastAsia="Times New Roman" w:hAnsi="Segoe UI" w:cs="Segoe UI"/>
          <w:i/>
          <w:iCs/>
          <w:sz w:val="21"/>
          <w:szCs w:val="21"/>
        </w:rPr>
        <w:t>(Especificar qué herramientas)</w:t>
      </w:r>
      <w:r w:rsidR="004D0A4E">
        <w:rPr>
          <w:rFonts w:ascii="Segoe UI" w:eastAsia="Times New Roman" w:hAnsi="Segoe UI" w:cs="Segoe UI"/>
          <w:sz w:val="21"/>
          <w:szCs w:val="21"/>
        </w:rPr>
        <w:t xml:space="preserve"> </w:t>
      </w:r>
      <w:r w:rsidR="004D0A4E" w:rsidRPr="00761BD2">
        <w:rPr>
          <w:rFonts w:ascii="Segoe UI" w:eastAsia="Times New Roman" w:hAnsi="Segoe UI" w:cs="Segoe UI"/>
          <w:sz w:val="21"/>
          <w:szCs w:val="21"/>
        </w:rPr>
        <w:sym w:font="Wingdings" w:char="F0E0"/>
      </w:r>
      <w:r w:rsidR="004D0A4E">
        <w:rPr>
          <w:rFonts w:ascii="Segoe UI" w:eastAsia="Times New Roman" w:hAnsi="Segoe UI" w:cs="Segoe UI"/>
          <w:sz w:val="21"/>
          <w:szCs w:val="21"/>
        </w:rPr>
        <w:t xml:space="preserve"> Claude - Apoyo para proponer un esquema y orden inicial de capítulos y apartados que posteriormente fue reorganizado y decidido por mí</w:t>
      </w:r>
    </w:p>
    <w:p w14:paraId="68B744DA" w14:textId="77777777" w:rsidR="004D0A4E" w:rsidRDefault="00000000" w:rsidP="004D0A4E">
      <w:pPr>
        <w:spacing w:before="100" w:beforeAutospacing="1" w:after="100" w:afterAutospacing="1" w:line="300" w:lineRule="atLeast"/>
        <w:rPr>
          <w:rFonts w:ascii="Segoe UI" w:eastAsia="Times New Roman" w:hAnsi="Segoe UI" w:cs="Segoe UI"/>
          <w:sz w:val="21"/>
          <w:szCs w:val="21"/>
        </w:rPr>
      </w:pPr>
      <w:sdt>
        <w:sdtPr>
          <w:rPr>
            <w:rFonts w:ascii="Segoe UI Symbol" w:eastAsia="Times New Roman" w:hAnsi="Segoe UI Symbol" w:cs="Segoe UI Symbol"/>
            <w:sz w:val="21"/>
            <w:szCs w:val="21"/>
          </w:rPr>
          <w:id w:val="-957720469"/>
          <w14:checkbox>
            <w14:checked w14:val="0"/>
            <w14:checkedState w14:val="2612" w14:font="MS Gothic"/>
            <w14:uncheckedState w14:val="2610" w14:font="MS Gothic"/>
          </w14:checkbox>
        </w:sdtPr>
        <w:sdtContent>
          <w:r w:rsidR="004D0A4E">
            <w:rPr>
              <w:rFonts w:ascii="MS Gothic" w:eastAsia="MS Gothic" w:hAnsi="MS Gothic" w:cs="Segoe UI Symbol" w:hint="eastAsia"/>
              <w:sz w:val="21"/>
              <w:szCs w:val="21"/>
            </w:rPr>
            <w:t>☐</w:t>
          </w:r>
        </w:sdtContent>
      </w:sdt>
      <w:r w:rsidR="004D0A4E" w:rsidRPr="00761BD2">
        <w:rPr>
          <w:rFonts w:ascii="Segoe UI" w:eastAsia="Times New Roman" w:hAnsi="Segoe UI" w:cs="Segoe UI"/>
          <w:sz w:val="21"/>
          <w:szCs w:val="21"/>
        </w:rPr>
        <w:t xml:space="preserve"> Apoyo metodológico</w:t>
      </w:r>
      <w:r w:rsidR="004D0A4E">
        <w:rPr>
          <w:rFonts w:ascii="Segoe UI" w:eastAsia="Times New Roman" w:hAnsi="Segoe UI" w:cs="Segoe UI"/>
          <w:sz w:val="21"/>
          <w:szCs w:val="21"/>
        </w:rPr>
        <w:t xml:space="preserve"> </w:t>
      </w:r>
      <w:r w:rsidR="004D0A4E" w:rsidRPr="00761BD2">
        <w:rPr>
          <w:rFonts w:ascii="Segoe UI" w:eastAsia="Times New Roman" w:hAnsi="Segoe UI" w:cs="Segoe UI"/>
          <w:i/>
          <w:iCs/>
          <w:sz w:val="21"/>
          <w:szCs w:val="21"/>
        </w:rPr>
        <w:t>(Especificar qué herramientas)</w:t>
      </w:r>
      <w:r w:rsidR="004D0A4E">
        <w:rPr>
          <w:rFonts w:ascii="Segoe UI" w:eastAsia="Times New Roman" w:hAnsi="Segoe UI" w:cs="Segoe UI"/>
          <w:sz w:val="21"/>
          <w:szCs w:val="21"/>
        </w:rPr>
        <w:t xml:space="preserve"> </w:t>
      </w:r>
      <w:r w:rsidR="004D0A4E" w:rsidRPr="00761BD2">
        <w:rPr>
          <w:rFonts w:ascii="Segoe UI" w:eastAsia="Times New Roman" w:hAnsi="Segoe UI" w:cs="Segoe UI"/>
          <w:sz w:val="21"/>
          <w:szCs w:val="21"/>
        </w:rPr>
        <w:sym w:font="Wingdings" w:char="F0E0"/>
      </w:r>
    </w:p>
    <w:p w14:paraId="59D94399" w14:textId="34DC0D9D" w:rsidR="004D0A4E" w:rsidRDefault="00000000" w:rsidP="004D0A4E">
      <w:pPr>
        <w:spacing w:before="100" w:beforeAutospacing="1" w:after="100" w:afterAutospacing="1" w:line="300" w:lineRule="atLeast"/>
        <w:rPr>
          <w:rFonts w:ascii="Segoe UI" w:eastAsia="Times New Roman" w:hAnsi="Segoe UI" w:cs="Segoe UI"/>
          <w:sz w:val="21"/>
          <w:szCs w:val="21"/>
        </w:rPr>
      </w:pPr>
      <w:sdt>
        <w:sdtPr>
          <w:rPr>
            <w:rFonts w:ascii="Segoe UI Symbol" w:eastAsia="Times New Roman" w:hAnsi="Segoe UI Symbol" w:cs="Segoe UI Symbol"/>
            <w:sz w:val="21"/>
            <w:szCs w:val="21"/>
          </w:rPr>
          <w:id w:val="1761416752"/>
          <w14:checkbox>
            <w14:checked w14:val="1"/>
            <w14:checkedState w14:val="2612" w14:font="MS Gothic"/>
            <w14:uncheckedState w14:val="2610" w14:font="MS Gothic"/>
          </w14:checkbox>
        </w:sdtPr>
        <w:sdtContent>
          <w:r w:rsidR="004D0A4E">
            <w:rPr>
              <w:rFonts w:ascii="MS Gothic" w:eastAsia="MS Gothic" w:hAnsi="MS Gothic" w:cs="Segoe UI Symbol" w:hint="eastAsia"/>
              <w:sz w:val="21"/>
              <w:szCs w:val="21"/>
            </w:rPr>
            <w:t>☒</w:t>
          </w:r>
        </w:sdtContent>
      </w:sdt>
      <w:r w:rsidR="004D0A4E" w:rsidRPr="00761BD2">
        <w:rPr>
          <w:rFonts w:ascii="Segoe UI" w:eastAsia="Times New Roman" w:hAnsi="Segoe UI" w:cs="Segoe UI"/>
          <w:sz w:val="21"/>
          <w:szCs w:val="21"/>
        </w:rPr>
        <w:t xml:space="preserve"> </w:t>
      </w:r>
      <w:r w:rsidR="004D0A4E">
        <w:rPr>
          <w:rFonts w:ascii="Segoe UI" w:eastAsia="Times New Roman" w:hAnsi="Segoe UI" w:cs="Segoe UI"/>
          <w:sz w:val="21"/>
          <w:szCs w:val="21"/>
        </w:rPr>
        <w:t>Buscar o citar bibliografía</w:t>
      </w:r>
      <w:r w:rsidR="004D0A4E" w:rsidRPr="00761BD2">
        <w:rPr>
          <w:rFonts w:ascii="Segoe UI" w:eastAsia="Times New Roman" w:hAnsi="Segoe UI" w:cs="Segoe UI"/>
          <w:i/>
          <w:iCs/>
          <w:sz w:val="21"/>
          <w:szCs w:val="21"/>
        </w:rPr>
        <w:t xml:space="preserve"> (Especificar qué herramientas)</w:t>
      </w:r>
      <w:r w:rsidR="004D0A4E">
        <w:rPr>
          <w:rFonts w:ascii="Segoe UI" w:eastAsia="Times New Roman" w:hAnsi="Segoe UI" w:cs="Segoe UI"/>
          <w:sz w:val="21"/>
          <w:szCs w:val="21"/>
        </w:rPr>
        <w:t xml:space="preserve"> </w:t>
      </w:r>
      <w:r w:rsidR="004D0A4E" w:rsidRPr="00761BD2">
        <w:rPr>
          <w:rFonts w:ascii="Segoe UI" w:eastAsia="Times New Roman" w:hAnsi="Segoe UI" w:cs="Segoe UI"/>
          <w:sz w:val="21"/>
          <w:szCs w:val="21"/>
        </w:rPr>
        <w:sym w:font="Wingdings" w:char="F0E0"/>
      </w:r>
      <w:r w:rsidR="004D0A4E">
        <w:rPr>
          <w:rFonts w:ascii="Segoe UI" w:eastAsia="Times New Roman" w:hAnsi="Segoe UI" w:cs="Segoe UI"/>
          <w:sz w:val="21"/>
          <w:szCs w:val="21"/>
        </w:rPr>
        <w:t xml:space="preserve">Claude - Apoyo para identificar fuentes y referencias de partida, la selección e identificación posterior es propia </w:t>
      </w:r>
    </w:p>
    <w:p w14:paraId="7F032DB4" w14:textId="77777777" w:rsidR="004D0A4E" w:rsidRPr="00761BD2" w:rsidRDefault="00000000" w:rsidP="004D0A4E">
      <w:pPr>
        <w:spacing w:before="100" w:beforeAutospacing="1" w:after="100" w:afterAutospacing="1" w:line="300" w:lineRule="atLeast"/>
        <w:rPr>
          <w:rFonts w:ascii="Segoe UI" w:eastAsia="Times New Roman" w:hAnsi="Segoe UI" w:cs="Segoe UI"/>
          <w:sz w:val="21"/>
          <w:szCs w:val="21"/>
        </w:rPr>
      </w:pPr>
      <w:sdt>
        <w:sdtPr>
          <w:rPr>
            <w:rFonts w:ascii="Segoe UI Symbol" w:eastAsia="Times New Roman" w:hAnsi="Segoe UI Symbol" w:cs="Segoe UI Symbol"/>
            <w:sz w:val="21"/>
            <w:szCs w:val="21"/>
          </w:rPr>
          <w:id w:val="1867169416"/>
          <w14:checkbox>
            <w14:checked w14:val="0"/>
            <w14:checkedState w14:val="2612" w14:font="MS Gothic"/>
            <w14:uncheckedState w14:val="2610" w14:font="MS Gothic"/>
          </w14:checkbox>
        </w:sdtPr>
        <w:sdtContent>
          <w:r w:rsidR="004D0A4E">
            <w:rPr>
              <w:rFonts w:ascii="MS Gothic" w:eastAsia="MS Gothic" w:hAnsi="MS Gothic" w:cs="Segoe UI Symbol" w:hint="eastAsia"/>
              <w:sz w:val="21"/>
              <w:szCs w:val="21"/>
            </w:rPr>
            <w:t>☐</w:t>
          </w:r>
        </w:sdtContent>
      </w:sdt>
      <w:r w:rsidR="004D0A4E" w:rsidRPr="00761BD2">
        <w:rPr>
          <w:rFonts w:ascii="Segoe UI" w:eastAsia="Times New Roman" w:hAnsi="Segoe UI" w:cs="Segoe UI"/>
          <w:sz w:val="21"/>
          <w:szCs w:val="21"/>
        </w:rPr>
        <w:t xml:space="preserve"> </w:t>
      </w:r>
      <w:r w:rsidR="004D0A4E">
        <w:rPr>
          <w:rFonts w:ascii="Segoe UI" w:eastAsia="Times New Roman" w:hAnsi="Segoe UI" w:cs="Segoe UI"/>
          <w:sz w:val="21"/>
          <w:szCs w:val="21"/>
        </w:rPr>
        <w:t xml:space="preserve">Generar contenido audiovisual (videos, infografías, audios, imágenes, gráficos. </w:t>
      </w:r>
      <w:r w:rsidR="004D0A4E">
        <w:rPr>
          <w:rFonts w:ascii="Segoe UI" w:eastAsia="Times New Roman" w:hAnsi="Segoe UI" w:cs="Segoe UI"/>
          <w:i/>
          <w:iCs/>
          <w:sz w:val="21"/>
          <w:szCs w:val="21"/>
        </w:rPr>
        <w:t>E</w:t>
      </w:r>
      <w:r w:rsidR="004D0A4E" w:rsidRPr="005B408E">
        <w:rPr>
          <w:rFonts w:ascii="Segoe UI" w:eastAsia="Times New Roman" w:hAnsi="Segoe UI" w:cs="Segoe UI"/>
          <w:i/>
          <w:iCs/>
          <w:sz w:val="21"/>
          <w:szCs w:val="21"/>
        </w:rPr>
        <w:t>specifica</w:t>
      </w:r>
      <w:r w:rsidR="004D0A4E">
        <w:rPr>
          <w:rFonts w:ascii="Segoe UI" w:eastAsia="Times New Roman" w:hAnsi="Segoe UI" w:cs="Segoe UI"/>
          <w:i/>
          <w:iCs/>
          <w:sz w:val="21"/>
          <w:szCs w:val="21"/>
        </w:rPr>
        <w:t xml:space="preserve"> en concreto qué contenidos has generado con IA además de citarlo correctamente en el trabajo.</w:t>
      </w:r>
    </w:p>
    <w:p w14:paraId="37FD4C86" w14:textId="77777777" w:rsidR="004D0A4E" w:rsidRPr="00761BD2" w:rsidRDefault="004D0A4E" w:rsidP="004D0A4E">
      <w:pPr>
        <w:spacing w:before="100" w:beforeAutospacing="1" w:after="100" w:afterAutospacing="1" w:line="300" w:lineRule="atLeast"/>
        <w:rPr>
          <w:rFonts w:ascii="Segoe UI" w:eastAsia="Times New Roman" w:hAnsi="Segoe UI" w:cs="Segoe UI"/>
          <w:sz w:val="21"/>
          <w:szCs w:val="21"/>
        </w:rPr>
      </w:pPr>
      <w:r w:rsidRPr="00761BD2">
        <w:rPr>
          <w:rFonts w:ascii="Segoe UI Symbol" w:eastAsia="Times New Roman" w:hAnsi="Segoe UI Symbol" w:cs="Segoe UI Symbol"/>
          <w:sz w:val="21"/>
          <w:szCs w:val="21"/>
        </w:rPr>
        <w:t>☐</w:t>
      </w:r>
      <w:r w:rsidRPr="00761BD2">
        <w:rPr>
          <w:rFonts w:ascii="Segoe UI" w:eastAsia="Times New Roman" w:hAnsi="Segoe UI" w:cs="Segoe UI"/>
          <w:sz w:val="21"/>
          <w:szCs w:val="21"/>
        </w:rPr>
        <w:t xml:space="preserve"> Otros</w:t>
      </w:r>
      <w:r>
        <w:rPr>
          <w:rFonts w:ascii="Segoe UI" w:eastAsia="Times New Roman" w:hAnsi="Segoe UI" w:cs="Segoe UI"/>
          <w:sz w:val="21"/>
          <w:szCs w:val="21"/>
        </w:rPr>
        <w:t xml:space="preserve"> </w:t>
      </w:r>
      <w:r w:rsidRPr="00761BD2">
        <w:rPr>
          <w:rFonts w:ascii="Segoe UI" w:eastAsia="Times New Roman" w:hAnsi="Segoe UI" w:cs="Segoe UI"/>
          <w:i/>
          <w:iCs/>
          <w:sz w:val="21"/>
          <w:szCs w:val="21"/>
        </w:rPr>
        <w:t>(Especificar qué herramientas)</w:t>
      </w:r>
      <w:r>
        <w:rPr>
          <w:rFonts w:ascii="Segoe UI" w:eastAsia="Times New Roman" w:hAnsi="Segoe UI" w:cs="Segoe UI"/>
          <w:sz w:val="21"/>
          <w:szCs w:val="21"/>
        </w:rPr>
        <w:t xml:space="preserve"> </w:t>
      </w:r>
      <w:r w:rsidRPr="00761BD2">
        <w:rPr>
          <w:rFonts w:ascii="Segoe UI" w:eastAsia="Times New Roman" w:hAnsi="Segoe UI" w:cs="Segoe UI"/>
          <w:sz w:val="21"/>
          <w:szCs w:val="21"/>
        </w:rPr>
        <w:sym w:font="Wingdings" w:char="F0E0"/>
      </w:r>
    </w:p>
    <w:p w14:paraId="0B6D8D5F" w14:textId="77777777" w:rsidR="004D0A4E" w:rsidRDefault="004D0A4E" w:rsidP="004D0A4E">
      <w:pPr>
        <w:spacing w:before="100" w:beforeAutospacing="1" w:after="100" w:afterAutospacing="1" w:line="300" w:lineRule="atLeast"/>
        <w:rPr>
          <w:rFonts w:ascii="Segoe UI" w:eastAsia="Times New Roman" w:hAnsi="Segoe UI" w:cs="Segoe UI"/>
          <w:sz w:val="21"/>
          <w:szCs w:val="21"/>
        </w:rPr>
      </w:pPr>
    </w:p>
    <w:p w14:paraId="04D51D14" w14:textId="77777777" w:rsidR="004D0A4E" w:rsidRDefault="004D0A4E" w:rsidP="004D0A4E">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 xml:space="preserve">Confirmo que el </w:t>
      </w:r>
      <w:r w:rsidRPr="00864DCC">
        <w:rPr>
          <w:rFonts w:ascii="Segoe UI" w:eastAsia="Times New Roman" w:hAnsi="Segoe UI" w:cs="Segoe UI"/>
          <w:sz w:val="21"/>
          <w:szCs w:val="21"/>
        </w:rPr>
        <w:t xml:space="preserve">contenido final ha sido revisado, corregido y validado íntegramente por </w:t>
      </w:r>
      <w:r>
        <w:rPr>
          <w:rFonts w:ascii="Segoe UI" w:eastAsia="Times New Roman" w:hAnsi="Segoe UI" w:cs="Segoe UI"/>
          <w:sz w:val="21"/>
          <w:szCs w:val="21"/>
        </w:rPr>
        <w:t>mí como</w:t>
      </w:r>
      <w:r w:rsidRPr="00864DCC">
        <w:rPr>
          <w:rFonts w:ascii="Segoe UI" w:eastAsia="Times New Roman" w:hAnsi="Segoe UI" w:cs="Segoe UI"/>
          <w:sz w:val="21"/>
          <w:szCs w:val="21"/>
        </w:rPr>
        <w:t xml:space="preserve"> autor</w:t>
      </w:r>
      <w:r>
        <w:rPr>
          <w:rFonts w:ascii="Segoe UI" w:eastAsia="Times New Roman" w:hAnsi="Segoe UI" w:cs="Segoe UI"/>
          <w:sz w:val="21"/>
          <w:szCs w:val="21"/>
        </w:rPr>
        <w:t>/a y asumo</w:t>
      </w:r>
      <w:r w:rsidRPr="00864DCC">
        <w:rPr>
          <w:rFonts w:ascii="Segoe UI" w:eastAsia="Times New Roman" w:hAnsi="Segoe UI" w:cs="Segoe UI"/>
          <w:sz w:val="21"/>
          <w:szCs w:val="21"/>
        </w:rPr>
        <w:t xml:space="preserve"> la plena responsabilidad académica del mismo.</w:t>
      </w:r>
    </w:p>
    <w:p w14:paraId="7EC93824" w14:textId="2E1708FE" w:rsidR="004D0A4E" w:rsidRDefault="004D0A4E" w:rsidP="004D0A4E">
      <w:pPr>
        <w:spacing w:before="100" w:beforeAutospacing="1" w:after="100" w:afterAutospacing="1" w:line="300" w:lineRule="atLeast"/>
        <w:rPr>
          <w:rFonts w:ascii="Segoe UI" w:eastAsia="Times New Roman" w:hAnsi="Segoe UI" w:cs="Segoe UI"/>
          <w:sz w:val="21"/>
          <w:szCs w:val="21"/>
        </w:rPr>
      </w:pPr>
      <w:proofErr w:type="spellStart"/>
      <w:r>
        <w:rPr>
          <w:rFonts w:ascii="Segoe UI" w:eastAsia="Times New Roman" w:hAnsi="Segoe UI" w:cs="Segoe UI"/>
          <w:sz w:val="21"/>
          <w:szCs w:val="21"/>
        </w:rPr>
        <w:t>Sí,confirmo</w:t>
      </w:r>
      <w:proofErr w:type="spellEnd"/>
      <w:r w:rsidRPr="00864DCC">
        <w:rPr>
          <w:rFonts w:ascii="Segoe UI" w:eastAsia="Times New Roman" w:hAnsi="Segoe UI" w:cs="Segoe UI"/>
          <w:sz w:val="21"/>
          <w:szCs w:val="21"/>
        </w:rPr>
        <w:br/>
      </w:r>
    </w:p>
    <w:p w14:paraId="087BBFE8" w14:textId="77777777" w:rsidR="004D0A4E" w:rsidRDefault="004D0A4E" w:rsidP="004D0A4E">
      <w:pPr>
        <w:spacing w:before="100" w:beforeAutospacing="1" w:after="100" w:afterAutospacing="1" w:line="300" w:lineRule="atLeast"/>
        <w:rPr>
          <w:rFonts w:ascii="Segoe UI" w:eastAsia="Times New Roman" w:hAnsi="Segoe UI" w:cs="Segoe UI"/>
          <w:sz w:val="21"/>
          <w:szCs w:val="21"/>
        </w:rPr>
      </w:pPr>
      <w:r w:rsidRPr="00864DCC">
        <w:rPr>
          <w:rFonts w:ascii="Segoe UI" w:eastAsia="Times New Roman" w:hAnsi="Segoe UI" w:cs="Segoe UI"/>
          <w:sz w:val="21"/>
          <w:szCs w:val="21"/>
        </w:rPr>
        <w:t>La utilización de la IA no ha sustituido el análisis crítico, la reflexión personal ni el trabajo intelectual propio exigido en un TFG/TFM.</w:t>
      </w:r>
    </w:p>
    <w:p w14:paraId="0E7DE04E" w14:textId="77777777" w:rsidR="004D0A4E" w:rsidRPr="00864DCC" w:rsidRDefault="004D0A4E" w:rsidP="004D0A4E">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Sí, confirmo</w:t>
      </w:r>
    </w:p>
    <w:p w14:paraId="0E12CC95" w14:textId="77777777" w:rsidR="004D0A4E" w:rsidRPr="00864DCC" w:rsidRDefault="004D0A4E" w:rsidP="004D0A4E">
      <w:pPr>
        <w:spacing w:before="100" w:beforeAutospacing="1" w:after="100" w:afterAutospacing="1" w:line="300" w:lineRule="atLeast"/>
        <w:rPr>
          <w:rFonts w:ascii="Segoe UI" w:eastAsia="Times New Roman" w:hAnsi="Segoe UI" w:cs="Segoe UI"/>
          <w:sz w:val="21"/>
          <w:szCs w:val="21"/>
        </w:rPr>
      </w:pPr>
      <w:r w:rsidRPr="00864DCC">
        <w:rPr>
          <w:rFonts w:ascii="Segoe UI" w:eastAsia="Times New Roman" w:hAnsi="Segoe UI" w:cs="Segoe UI"/>
          <w:b/>
          <w:bCs/>
          <w:sz w:val="21"/>
          <w:szCs w:val="21"/>
        </w:rPr>
        <w:t>Firma:</w:t>
      </w:r>
      <w:r>
        <w:rPr>
          <w:rFonts w:ascii="Segoe UI" w:eastAsia="Times New Roman" w:hAnsi="Segoe UI" w:cs="Segoe UI"/>
          <w:b/>
          <w:bCs/>
          <w:sz w:val="21"/>
          <w:szCs w:val="21"/>
        </w:rPr>
        <w:t xml:space="preserve"> Álvaro Godoy Marín</w:t>
      </w:r>
    </w:p>
    <w:p w14:paraId="24E13271" w14:textId="45354E07" w:rsidR="00207EB4" w:rsidRPr="00207EB4" w:rsidRDefault="00207EB4" w:rsidP="00207EB4">
      <w:pPr>
        <w:pStyle w:val="Ttulo1"/>
        <w:numPr>
          <w:ilvl w:val="0"/>
          <w:numId w:val="0"/>
        </w:numPr>
      </w:pPr>
    </w:p>
    <w:sectPr w:rsidR="00207EB4" w:rsidRPr="00207EB4" w:rsidSect="00020166">
      <w:footerReference w:type="even" r:id="rId15"/>
      <w:footerReference w:type="default" r:id="rId16"/>
      <w:type w:val="continuous"/>
      <w:pgSz w:w="11910" w:h="16840"/>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C687" w14:textId="77777777" w:rsidR="00B25E1E" w:rsidRDefault="00B25E1E" w:rsidP="00020166">
      <w:pPr>
        <w:spacing w:line="240" w:lineRule="auto"/>
      </w:pPr>
      <w:r>
        <w:separator/>
      </w:r>
    </w:p>
  </w:endnote>
  <w:endnote w:type="continuationSeparator" w:id="0">
    <w:p w14:paraId="7494EB83" w14:textId="77777777" w:rsidR="00B25E1E" w:rsidRDefault="00B25E1E" w:rsidP="000201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92450957"/>
      <w:docPartObj>
        <w:docPartGallery w:val="Page Numbers (Bottom of Page)"/>
        <w:docPartUnique/>
      </w:docPartObj>
    </w:sdtPr>
    <w:sdtContent>
      <w:p w14:paraId="412D9898" w14:textId="7D3BB984" w:rsidR="00020166" w:rsidRDefault="00020166" w:rsidP="0075081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5AEC956F" w14:textId="77777777" w:rsidR="00020166" w:rsidRDefault="00020166" w:rsidP="0002016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32492525"/>
      <w:docPartObj>
        <w:docPartGallery w:val="Page Numbers (Bottom of Page)"/>
        <w:docPartUnique/>
      </w:docPartObj>
    </w:sdtPr>
    <w:sdtContent>
      <w:p w14:paraId="24048DA3" w14:textId="15DBCCA7" w:rsidR="00020166" w:rsidRDefault="00020166" w:rsidP="0075081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22301B0" w14:textId="77777777" w:rsidR="00020166" w:rsidRDefault="00020166" w:rsidP="0002016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5773" w14:textId="77777777" w:rsidR="00B25E1E" w:rsidRDefault="00B25E1E" w:rsidP="00020166">
      <w:pPr>
        <w:spacing w:line="240" w:lineRule="auto"/>
      </w:pPr>
      <w:r>
        <w:separator/>
      </w:r>
    </w:p>
  </w:footnote>
  <w:footnote w:type="continuationSeparator" w:id="0">
    <w:p w14:paraId="54413323" w14:textId="77777777" w:rsidR="00B25E1E" w:rsidRDefault="00B25E1E" w:rsidP="000201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F67"/>
    <w:multiLevelType w:val="multilevel"/>
    <w:tmpl w:val="C3F641B6"/>
    <w:lvl w:ilvl="0">
      <w:start w:val="1"/>
      <w:numFmt w:val="decimal"/>
      <w:lvlText w:val="%1."/>
      <w:lvlJc w:val="left"/>
      <w:pPr>
        <w:ind w:left="360" w:hanging="360"/>
      </w:pPr>
      <w:rPr>
        <w:rFonts w:hint="default"/>
      </w:rPr>
    </w:lvl>
    <w:lvl w:ilvl="1">
      <w:start w:val="1"/>
      <w:numFmt w:val="decimal"/>
      <w:pStyle w:val="Ttu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495894"/>
    <w:multiLevelType w:val="multilevel"/>
    <w:tmpl w:val="B9348DE4"/>
    <w:lvl w:ilvl="0">
      <w:start w:val="1"/>
      <w:numFmt w:val="decimal"/>
      <w:pStyle w:val="Ttulo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45C264E8"/>
    <w:multiLevelType w:val="hybridMultilevel"/>
    <w:tmpl w:val="A1CA540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21468511">
    <w:abstractNumId w:val="1"/>
  </w:num>
  <w:num w:numId="2" w16cid:durableId="530074379">
    <w:abstractNumId w:val="0"/>
  </w:num>
  <w:num w:numId="3" w16cid:durableId="1008094413">
    <w:abstractNumId w:val="1"/>
  </w:num>
  <w:num w:numId="4" w16cid:durableId="129398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AE"/>
    <w:rsid w:val="00000F4C"/>
    <w:rsid w:val="0001021E"/>
    <w:rsid w:val="00020166"/>
    <w:rsid w:val="000632EC"/>
    <w:rsid w:val="00066F4F"/>
    <w:rsid w:val="000925D2"/>
    <w:rsid w:val="00093683"/>
    <w:rsid w:val="0009474B"/>
    <w:rsid w:val="000A4389"/>
    <w:rsid w:val="000B4AA3"/>
    <w:rsid w:val="000B653E"/>
    <w:rsid w:val="000C0163"/>
    <w:rsid w:val="000C1C26"/>
    <w:rsid w:val="000D0A05"/>
    <w:rsid w:val="000D29AD"/>
    <w:rsid w:val="000F275C"/>
    <w:rsid w:val="001472D1"/>
    <w:rsid w:val="00150DE8"/>
    <w:rsid w:val="00153628"/>
    <w:rsid w:val="001963E2"/>
    <w:rsid w:val="001D36BA"/>
    <w:rsid w:val="001E7FC2"/>
    <w:rsid w:val="00207EB4"/>
    <w:rsid w:val="0022791E"/>
    <w:rsid w:val="0023482F"/>
    <w:rsid w:val="00234DFB"/>
    <w:rsid w:val="002540FF"/>
    <w:rsid w:val="00256852"/>
    <w:rsid w:val="00264E53"/>
    <w:rsid w:val="00267AB0"/>
    <w:rsid w:val="002C414B"/>
    <w:rsid w:val="00302F4D"/>
    <w:rsid w:val="00331149"/>
    <w:rsid w:val="00331A75"/>
    <w:rsid w:val="003337BB"/>
    <w:rsid w:val="00347DC6"/>
    <w:rsid w:val="00356143"/>
    <w:rsid w:val="00360F6B"/>
    <w:rsid w:val="00365853"/>
    <w:rsid w:val="00381545"/>
    <w:rsid w:val="00391BF7"/>
    <w:rsid w:val="00397887"/>
    <w:rsid w:val="00397FBB"/>
    <w:rsid w:val="003A1648"/>
    <w:rsid w:val="003D5E32"/>
    <w:rsid w:val="003E4098"/>
    <w:rsid w:val="003E7578"/>
    <w:rsid w:val="0041730C"/>
    <w:rsid w:val="00443ECA"/>
    <w:rsid w:val="004519CA"/>
    <w:rsid w:val="0045593D"/>
    <w:rsid w:val="00460C79"/>
    <w:rsid w:val="00470643"/>
    <w:rsid w:val="004833E2"/>
    <w:rsid w:val="00495F8F"/>
    <w:rsid w:val="004B7E0E"/>
    <w:rsid w:val="004C1DA5"/>
    <w:rsid w:val="004C6100"/>
    <w:rsid w:val="004D0A4E"/>
    <w:rsid w:val="004E41A2"/>
    <w:rsid w:val="004F7E22"/>
    <w:rsid w:val="00501A26"/>
    <w:rsid w:val="005228B0"/>
    <w:rsid w:val="00526212"/>
    <w:rsid w:val="00540F9C"/>
    <w:rsid w:val="00553F6D"/>
    <w:rsid w:val="00583D8B"/>
    <w:rsid w:val="005972A1"/>
    <w:rsid w:val="005A0964"/>
    <w:rsid w:val="005E6969"/>
    <w:rsid w:val="005F49A7"/>
    <w:rsid w:val="005F5473"/>
    <w:rsid w:val="005F65DD"/>
    <w:rsid w:val="0061277B"/>
    <w:rsid w:val="00613D1E"/>
    <w:rsid w:val="006348C7"/>
    <w:rsid w:val="006431FE"/>
    <w:rsid w:val="00661F36"/>
    <w:rsid w:val="006674A2"/>
    <w:rsid w:val="00677CA6"/>
    <w:rsid w:val="006C08AE"/>
    <w:rsid w:val="006D6775"/>
    <w:rsid w:val="006D6C1F"/>
    <w:rsid w:val="006E09C1"/>
    <w:rsid w:val="006E3A4D"/>
    <w:rsid w:val="006E7A3A"/>
    <w:rsid w:val="00723836"/>
    <w:rsid w:val="00727B01"/>
    <w:rsid w:val="007422C8"/>
    <w:rsid w:val="007431AF"/>
    <w:rsid w:val="007431C4"/>
    <w:rsid w:val="007A34A0"/>
    <w:rsid w:val="007C4EBC"/>
    <w:rsid w:val="007E5D8D"/>
    <w:rsid w:val="007F5399"/>
    <w:rsid w:val="00846051"/>
    <w:rsid w:val="008470E6"/>
    <w:rsid w:val="00877311"/>
    <w:rsid w:val="00890042"/>
    <w:rsid w:val="008A49C4"/>
    <w:rsid w:val="008B4AC5"/>
    <w:rsid w:val="008B57F5"/>
    <w:rsid w:val="008C35B3"/>
    <w:rsid w:val="008C583A"/>
    <w:rsid w:val="008E323C"/>
    <w:rsid w:val="008E7B31"/>
    <w:rsid w:val="009204D2"/>
    <w:rsid w:val="00931028"/>
    <w:rsid w:val="009314AF"/>
    <w:rsid w:val="00961DC2"/>
    <w:rsid w:val="00993303"/>
    <w:rsid w:val="0099380C"/>
    <w:rsid w:val="009A11F8"/>
    <w:rsid w:val="009A4EA7"/>
    <w:rsid w:val="009B71EF"/>
    <w:rsid w:val="009D6ECD"/>
    <w:rsid w:val="00A037C9"/>
    <w:rsid w:val="00A10E2B"/>
    <w:rsid w:val="00A34F17"/>
    <w:rsid w:val="00A51D5F"/>
    <w:rsid w:val="00AC2C5F"/>
    <w:rsid w:val="00AD17FD"/>
    <w:rsid w:val="00AD4724"/>
    <w:rsid w:val="00AD5999"/>
    <w:rsid w:val="00AD765E"/>
    <w:rsid w:val="00AF29A4"/>
    <w:rsid w:val="00AF4A11"/>
    <w:rsid w:val="00AF6C97"/>
    <w:rsid w:val="00B0624F"/>
    <w:rsid w:val="00B25E1E"/>
    <w:rsid w:val="00B34DB7"/>
    <w:rsid w:val="00B454A4"/>
    <w:rsid w:val="00B63540"/>
    <w:rsid w:val="00B853E1"/>
    <w:rsid w:val="00B861D8"/>
    <w:rsid w:val="00B96DF8"/>
    <w:rsid w:val="00BC16C3"/>
    <w:rsid w:val="00BD05BC"/>
    <w:rsid w:val="00C0542B"/>
    <w:rsid w:val="00C10156"/>
    <w:rsid w:val="00C11488"/>
    <w:rsid w:val="00C50C78"/>
    <w:rsid w:val="00C60E55"/>
    <w:rsid w:val="00C72B13"/>
    <w:rsid w:val="00C75AFB"/>
    <w:rsid w:val="00C8170A"/>
    <w:rsid w:val="00C81A77"/>
    <w:rsid w:val="00C81ADB"/>
    <w:rsid w:val="00CA02BC"/>
    <w:rsid w:val="00CA1EA3"/>
    <w:rsid w:val="00CB4132"/>
    <w:rsid w:val="00CD360C"/>
    <w:rsid w:val="00CE4575"/>
    <w:rsid w:val="00D50A3D"/>
    <w:rsid w:val="00D67881"/>
    <w:rsid w:val="00D72A51"/>
    <w:rsid w:val="00D754E6"/>
    <w:rsid w:val="00D75667"/>
    <w:rsid w:val="00D946F5"/>
    <w:rsid w:val="00DC11D6"/>
    <w:rsid w:val="00DD4804"/>
    <w:rsid w:val="00DE4590"/>
    <w:rsid w:val="00DE6B89"/>
    <w:rsid w:val="00DF72B4"/>
    <w:rsid w:val="00E05B64"/>
    <w:rsid w:val="00E25A18"/>
    <w:rsid w:val="00E52F88"/>
    <w:rsid w:val="00E672A8"/>
    <w:rsid w:val="00E865E8"/>
    <w:rsid w:val="00E91380"/>
    <w:rsid w:val="00EA2BE5"/>
    <w:rsid w:val="00EB13EA"/>
    <w:rsid w:val="00EC15D3"/>
    <w:rsid w:val="00EC41C0"/>
    <w:rsid w:val="00ED14A5"/>
    <w:rsid w:val="00EE2326"/>
    <w:rsid w:val="00EE6BB2"/>
    <w:rsid w:val="00F11F18"/>
    <w:rsid w:val="00F224A8"/>
    <w:rsid w:val="00F229DB"/>
    <w:rsid w:val="00F45505"/>
    <w:rsid w:val="00F5407E"/>
    <w:rsid w:val="00F646CF"/>
    <w:rsid w:val="00F82334"/>
    <w:rsid w:val="00F844D7"/>
    <w:rsid w:val="00F97D26"/>
    <w:rsid w:val="00FA69EB"/>
    <w:rsid w:val="00FA70BA"/>
    <w:rsid w:val="00FD3A59"/>
    <w:rsid w:val="00FF58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271D"/>
  <w15:docId w15:val="{84470FEE-82FA-7C45-A5F7-75F06940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0C"/>
    <w:rPr>
      <w:rFonts w:ascii="Times New Roman" w:eastAsia="Arial" w:hAnsi="Times New Roman" w:cs="Arial"/>
      <w:sz w:val="24"/>
      <w:lang w:val="es-ES" w:eastAsia="es-ES" w:bidi="es-ES"/>
    </w:rPr>
  </w:style>
  <w:style w:type="paragraph" w:styleId="Ttulo1">
    <w:name w:val="heading 1"/>
    <w:basedOn w:val="Normal"/>
    <w:next w:val="Normal"/>
    <w:link w:val="Ttulo1Car"/>
    <w:autoRedefine/>
    <w:uiPriority w:val="9"/>
    <w:qFormat/>
    <w:rsid w:val="00207EB4"/>
    <w:pPr>
      <w:keepNext/>
      <w:keepLines/>
      <w:numPr>
        <w:numId w:val="1"/>
      </w:numPr>
      <w:spacing w:before="240"/>
      <w:outlineLvl w:val="0"/>
    </w:pPr>
    <w:rPr>
      <w:rFonts w:eastAsiaTheme="majorEastAsia" w:cstheme="majorBidi"/>
      <w:b/>
      <w:color w:val="000000" w:themeColor="text1"/>
      <w:sz w:val="28"/>
      <w:szCs w:val="32"/>
    </w:rPr>
  </w:style>
  <w:style w:type="paragraph" w:styleId="Ttulo2">
    <w:name w:val="heading 2"/>
    <w:basedOn w:val="Normal"/>
    <w:next w:val="Normal"/>
    <w:link w:val="Ttulo2Car"/>
    <w:autoRedefine/>
    <w:uiPriority w:val="9"/>
    <w:unhideWhenUsed/>
    <w:qFormat/>
    <w:rsid w:val="00F229DB"/>
    <w:pPr>
      <w:keepNext/>
      <w:keepLines/>
      <w:numPr>
        <w:ilvl w:val="1"/>
        <w:numId w:val="2"/>
      </w:numPr>
      <w:spacing w:before="40"/>
      <w:outlineLvl w:val="1"/>
    </w:pPr>
    <w:rPr>
      <w:rFonts w:eastAsiaTheme="majorEastAsia" w:cstheme="majorBidi"/>
      <w:color w:val="000000" w:themeColor="text1"/>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36"/>
      <w:szCs w:val="36"/>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207EB4"/>
    <w:rPr>
      <w:rFonts w:ascii="Times New Roman" w:eastAsiaTheme="majorEastAsia" w:hAnsi="Times New Roman" w:cstheme="majorBidi"/>
      <w:b/>
      <w:color w:val="000000" w:themeColor="text1"/>
      <w:sz w:val="28"/>
      <w:szCs w:val="32"/>
      <w:lang w:val="es-ES" w:eastAsia="es-ES" w:bidi="es-ES"/>
    </w:rPr>
  </w:style>
  <w:style w:type="paragraph" w:styleId="Ttulo">
    <w:name w:val="Title"/>
    <w:basedOn w:val="Normal"/>
    <w:next w:val="Normal"/>
    <w:link w:val="TtuloCar"/>
    <w:autoRedefine/>
    <w:uiPriority w:val="10"/>
    <w:qFormat/>
    <w:rsid w:val="00C11488"/>
    <w:pPr>
      <w:contextualSpacing/>
    </w:pPr>
    <w:rPr>
      <w:rFonts w:eastAsiaTheme="majorEastAsia" w:cstheme="majorBidi"/>
      <w:b/>
      <w:spacing w:val="-10"/>
      <w:kern w:val="28"/>
      <w:sz w:val="28"/>
      <w:szCs w:val="56"/>
    </w:rPr>
  </w:style>
  <w:style w:type="character" w:customStyle="1" w:styleId="TtuloCar">
    <w:name w:val="Título Car"/>
    <w:basedOn w:val="Fuentedeprrafopredeter"/>
    <w:link w:val="Ttulo"/>
    <w:uiPriority w:val="10"/>
    <w:rsid w:val="00C11488"/>
    <w:rPr>
      <w:rFonts w:ascii="Times New Roman" w:eastAsiaTheme="majorEastAsia" w:hAnsi="Times New Roman" w:cstheme="majorBidi"/>
      <w:b/>
      <w:spacing w:val="-10"/>
      <w:kern w:val="28"/>
      <w:sz w:val="28"/>
      <w:szCs w:val="56"/>
      <w:lang w:val="es-ES" w:eastAsia="es-ES" w:bidi="es-ES"/>
    </w:rPr>
  </w:style>
  <w:style w:type="character" w:customStyle="1" w:styleId="Ttulo2Car">
    <w:name w:val="Título 2 Car"/>
    <w:basedOn w:val="Fuentedeprrafopredeter"/>
    <w:link w:val="Ttulo2"/>
    <w:uiPriority w:val="9"/>
    <w:rsid w:val="00F229DB"/>
    <w:rPr>
      <w:rFonts w:ascii="Times New Roman" w:eastAsiaTheme="majorEastAsia" w:hAnsi="Times New Roman" w:cstheme="majorBidi"/>
      <w:color w:val="000000" w:themeColor="text1"/>
      <w:sz w:val="28"/>
      <w:szCs w:val="26"/>
      <w:lang w:val="es-ES" w:eastAsia="es-ES" w:bidi="es-ES"/>
    </w:rPr>
  </w:style>
  <w:style w:type="paragraph" w:styleId="Piedepgina">
    <w:name w:val="footer"/>
    <w:basedOn w:val="Normal"/>
    <w:link w:val="PiedepginaCar"/>
    <w:uiPriority w:val="99"/>
    <w:unhideWhenUsed/>
    <w:rsid w:val="0002016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20166"/>
    <w:rPr>
      <w:rFonts w:ascii="Times New Roman" w:eastAsia="Arial" w:hAnsi="Times New Roman" w:cs="Arial"/>
      <w:sz w:val="24"/>
      <w:lang w:val="es-ES" w:eastAsia="es-ES" w:bidi="es-ES"/>
    </w:rPr>
  </w:style>
  <w:style w:type="character" w:styleId="Nmerodepgina">
    <w:name w:val="page number"/>
    <w:basedOn w:val="Fuentedeprrafopredeter"/>
    <w:uiPriority w:val="99"/>
    <w:semiHidden/>
    <w:unhideWhenUsed/>
    <w:rsid w:val="00020166"/>
  </w:style>
  <w:style w:type="paragraph" w:styleId="TDC1">
    <w:name w:val="toc 1"/>
    <w:basedOn w:val="Normal"/>
    <w:next w:val="Normal"/>
    <w:autoRedefine/>
    <w:uiPriority w:val="39"/>
    <w:unhideWhenUsed/>
    <w:rsid w:val="00F229DB"/>
    <w:pPr>
      <w:spacing w:before="120"/>
      <w:jc w:val="left"/>
    </w:pPr>
    <w:rPr>
      <w:rFonts w:asciiTheme="minorHAnsi" w:hAnsiTheme="minorHAnsi" w:cstheme="minorHAnsi"/>
      <w:b/>
      <w:bCs/>
      <w:i/>
      <w:iCs/>
      <w:szCs w:val="24"/>
    </w:rPr>
  </w:style>
  <w:style w:type="paragraph" w:styleId="TDC2">
    <w:name w:val="toc 2"/>
    <w:basedOn w:val="Normal"/>
    <w:next w:val="Normal"/>
    <w:autoRedefine/>
    <w:uiPriority w:val="39"/>
    <w:unhideWhenUsed/>
    <w:rsid w:val="00F229DB"/>
    <w:pPr>
      <w:spacing w:before="120"/>
      <w:ind w:left="240"/>
      <w:jc w:val="left"/>
    </w:pPr>
    <w:rPr>
      <w:rFonts w:asciiTheme="minorHAnsi" w:hAnsiTheme="minorHAnsi" w:cstheme="minorHAnsi"/>
      <w:b/>
      <w:bCs/>
      <w:sz w:val="22"/>
    </w:rPr>
  </w:style>
  <w:style w:type="paragraph" w:styleId="TDC3">
    <w:name w:val="toc 3"/>
    <w:basedOn w:val="Normal"/>
    <w:next w:val="Normal"/>
    <w:autoRedefine/>
    <w:uiPriority w:val="39"/>
    <w:unhideWhenUsed/>
    <w:rsid w:val="00F229DB"/>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F229DB"/>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F229DB"/>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F229DB"/>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F229DB"/>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F229DB"/>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F229DB"/>
    <w:pPr>
      <w:ind w:left="1920"/>
      <w:jc w:val="left"/>
    </w:pPr>
    <w:rPr>
      <w:rFonts w:asciiTheme="minorHAnsi" w:hAnsiTheme="minorHAnsi" w:cstheme="minorHAnsi"/>
      <w:sz w:val="20"/>
      <w:szCs w:val="20"/>
    </w:rPr>
  </w:style>
  <w:style w:type="character" w:styleId="Hipervnculo">
    <w:name w:val="Hyperlink"/>
    <w:basedOn w:val="Fuentedeprrafopredeter"/>
    <w:uiPriority w:val="99"/>
    <w:unhideWhenUsed/>
    <w:rsid w:val="00F229DB"/>
    <w:rPr>
      <w:color w:val="0000FF" w:themeColor="hyperlink"/>
      <w:u w:val="single"/>
    </w:rPr>
  </w:style>
  <w:style w:type="character" w:styleId="Textodelmarcadordeposicin">
    <w:name w:val="Placeholder Text"/>
    <w:basedOn w:val="Fuentedeprrafopredeter"/>
    <w:uiPriority w:val="99"/>
    <w:semiHidden/>
    <w:rsid w:val="00267AB0"/>
    <w:rPr>
      <w:color w:val="666666"/>
    </w:rPr>
  </w:style>
  <w:style w:type="paragraph" w:styleId="NormalWeb">
    <w:name w:val="Normal (Web)"/>
    <w:basedOn w:val="Normal"/>
    <w:uiPriority w:val="99"/>
    <w:semiHidden/>
    <w:unhideWhenUsed/>
    <w:rsid w:val="00267AB0"/>
    <w:pPr>
      <w:spacing w:before="100" w:beforeAutospacing="1" w:after="100" w:afterAutospacing="1" w:line="240" w:lineRule="auto"/>
      <w:jc w:val="left"/>
    </w:pPr>
    <w:rPr>
      <w:rFonts w:eastAsiaTheme="minorEastAsia" w:cs="Times New Roman"/>
      <w:szCs w:val="24"/>
      <w:lang w:eastAsia="es-ES_tradnl" w:bidi="ar-SA"/>
    </w:rPr>
  </w:style>
  <w:style w:type="character" w:styleId="Refdecomentario">
    <w:name w:val="annotation reference"/>
    <w:basedOn w:val="Fuentedeprrafopredeter"/>
    <w:uiPriority w:val="99"/>
    <w:semiHidden/>
    <w:unhideWhenUsed/>
    <w:rsid w:val="00365853"/>
    <w:rPr>
      <w:sz w:val="16"/>
      <w:szCs w:val="16"/>
    </w:rPr>
  </w:style>
  <w:style w:type="paragraph" w:styleId="Textocomentario">
    <w:name w:val="annotation text"/>
    <w:basedOn w:val="Normal"/>
    <w:link w:val="TextocomentarioCar"/>
    <w:uiPriority w:val="99"/>
    <w:unhideWhenUsed/>
    <w:rsid w:val="00365853"/>
    <w:pPr>
      <w:spacing w:line="240" w:lineRule="auto"/>
    </w:pPr>
    <w:rPr>
      <w:sz w:val="20"/>
      <w:szCs w:val="20"/>
    </w:rPr>
  </w:style>
  <w:style w:type="character" w:customStyle="1" w:styleId="TextocomentarioCar">
    <w:name w:val="Texto comentario Car"/>
    <w:basedOn w:val="Fuentedeprrafopredeter"/>
    <w:link w:val="Textocomentario"/>
    <w:uiPriority w:val="99"/>
    <w:rsid w:val="00365853"/>
    <w:rPr>
      <w:rFonts w:ascii="Times New Roman" w:eastAsia="Arial" w:hAnsi="Times New Roman"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365853"/>
    <w:rPr>
      <w:b/>
      <w:bCs/>
    </w:rPr>
  </w:style>
  <w:style w:type="character" w:customStyle="1" w:styleId="AsuntodelcomentarioCar">
    <w:name w:val="Asunto del comentario Car"/>
    <w:basedOn w:val="TextocomentarioCar"/>
    <w:link w:val="Asuntodelcomentario"/>
    <w:uiPriority w:val="99"/>
    <w:semiHidden/>
    <w:rsid w:val="00365853"/>
    <w:rPr>
      <w:rFonts w:ascii="Times New Roman" w:eastAsia="Arial" w:hAnsi="Times New Roman" w:cs="Arial"/>
      <w:b/>
      <w:bCs/>
      <w:sz w:val="20"/>
      <w:szCs w:val="20"/>
      <w:lang w:val="es-ES" w:eastAsia="es-ES" w:bidi="es-ES"/>
    </w:rPr>
  </w:style>
  <w:style w:type="paragraph" w:styleId="TtuloTDC">
    <w:name w:val="TOC Heading"/>
    <w:basedOn w:val="Ttulo1"/>
    <w:next w:val="Normal"/>
    <w:uiPriority w:val="39"/>
    <w:unhideWhenUsed/>
    <w:qFormat/>
    <w:rsid w:val="00000F4C"/>
    <w:pPr>
      <w:numPr>
        <w:numId w:val="0"/>
      </w:numPr>
      <w:spacing w:before="480" w:line="276" w:lineRule="auto"/>
      <w:jc w:val="left"/>
      <w:outlineLvl w:val="9"/>
    </w:pPr>
    <w:rPr>
      <w:rFonts w:asciiTheme="majorHAnsi" w:hAnsiTheme="majorHAnsi"/>
      <w:bCs/>
      <w:color w:val="365F91" w:themeColor="accent1" w:themeShade="BF"/>
      <w:szCs w:val="28"/>
      <w:lang w:eastAsia="es-ES_tradnl" w:bidi="ar-SA"/>
    </w:rPr>
  </w:style>
  <w:style w:type="table" w:styleId="Tablaconcuadrcula">
    <w:name w:val="Table Grid"/>
    <w:basedOn w:val="Tablanormal"/>
    <w:uiPriority w:val="39"/>
    <w:rsid w:val="00207EB4"/>
    <w:pPr>
      <w:spacing w:line="240" w:lineRule="auto"/>
      <w:jc w:val="left"/>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LI:EU:C:2019:341"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jiltalk.org/the-mercosur-protocol-on-investment-cooperation-and-facilitation-regionalizing-an-innovative-approach-to-investment-agreem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22201/fder.24488933e.2020.278-1.7736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10.20318/cdt.2024.84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978-92-1-122148-0"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E81A2DAB38F241BABD480BA99153A7"/>
        <w:category>
          <w:name w:val="General"/>
          <w:gallery w:val="placeholder"/>
        </w:category>
        <w:types>
          <w:type w:val="bbPlcHdr"/>
        </w:types>
        <w:behaviors>
          <w:behavior w:val="content"/>
        </w:behaviors>
        <w:guid w:val="{2D671D17-938A-5E4C-BD28-57D08FC33821}"/>
      </w:docPartPr>
      <w:docPartBody>
        <w:p w:rsidR="003A3406" w:rsidRDefault="00806C7C">
          <w:r w:rsidRPr="00CA6FE1">
            <w:rPr>
              <w:rStyle w:val="Textodelmarcadordeposicin"/>
            </w:rPr>
            <w:t>Formatting Bibliography...</w:t>
          </w:r>
        </w:p>
      </w:docPartBody>
    </w:docPart>
    <w:docPart>
      <w:docPartPr>
        <w:name w:val="D2A4CBF028D81143A40DDFD0450584F2"/>
        <w:category>
          <w:name w:val="General"/>
          <w:gallery w:val="placeholder"/>
        </w:category>
        <w:types>
          <w:type w:val="bbPlcHdr"/>
        </w:types>
        <w:behaviors>
          <w:behavior w:val="content"/>
        </w:behaviors>
        <w:guid w:val="{BFF4F64B-9910-C148-A1C3-7CDF2A65366A}"/>
      </w:docPartPr>
      <w:docPartBody>
        <w:p w:rsidR="003A3406" w:rsidRDefault="00806C7C">
          <w:r w:rsidRPr="00CA6FE1">
            <w:rPr>
              <w:rStyle w:val="Textodelmarcadordeposicin"/>
            </w:rPr>
            <w:t>Formatting...</w:t>
          </w:r>
        </w:p>
      </w:docPartBody>
    </w:docPart>
    <w:docPart>
      <w:docPartPr>
        <w:name w:val="57825C6A80F8F94E8A9E8B3C10CDE1AB"/>
        <w:category>
          <w:name w:val="General"/>
          <w:gallery w:val="placeholder"/>
        </w:category>
        <w:types>
          <w:type w:val="bbPlcHdr"/>
        </w:types>
        <w:behaviors>
          <w:behavior w:val="content"/>
        </w:behaviors>
        <w:guid w:val="{EA37D06B-2863-9848-80DC-0719335DB381}"/>
      </w:docPartPr>
      <w:docPartBody>
        <w:p w:rsidR="003A3406" w:rsidRDefault="00806C7C">
          <w:r w:rsidRPr="00CA6FE1">
            <w:rPr>
              <w:rStyle w:val="Textodelmarcadordeposicin"/>
            </w:rPr>
            <w:t>Formatting...</w:t>
          </w:r>
        </w:p>
      </w:docPartBody>
    </w:docPart>
    <w:docPart>
      <w:docPartPr>
        <w:name w:val="E5FD7DEA16A66446BCD9A75C2D3D9B08"/>
        <w:category>
          <w:name w:val="General"/>
          <w:gallery w:val="placeholder"/>
        </w:category>
        <w:types>
          <w:type w:val="bbPlcHdr"/>
        </w:types>
        <w:behaviors>
          <w:behavior w:val="content"/>
        </w:behaviors>
        <w:guid w:val="{4EF59468-1111-3A46-A4B4-3DA9E7116EE6}"/>
      </w:docPartPr>
      <w:docPartBody>
        <w:p w:rsidR="00C475F8" w:rsidRDefault="00A267CD">
          <w:r w:rsidRPr="002C77A7">
            <w:rPr>
              <w:rStyle w:val="Textodelmarcadordeposicin"/>
            </w:rPr>
            <w:t>Formatting...</w:t>
          </w:r>
        </w:p>
      </w:docPartBody>
    </w:docPart>
    <w:docPart>
      <w:docPartPr>
        <w:name w:val="D875713407A5824F95500664D537531C"/>
        <w:category>
          <w:name w:val="General"/>
          <w:gallery w:val="placeholder"/>
        </w:category>
        <w:types>
          <w:type w:val="bbPlcHdr"/>
        </w:types>
        <w:behaviors>
          <w:behavior w:val="content"/>
        </w:behaviors>
        <w:guid w:val="{3DD00456-18EB-E546-B3E9-D972A887B12E}"/>
      </w:docPartPr>
      <w:docPartBody>
        <w:p w:rsidR="00C475F8" w:rsidRDefault="00A267CD">
          <w:r w:rsidRPr="002C77A7">
            <w:rPr>
              <w:rStyle w:val="Textodelmarcadordeposicin"/>
            </w:rPr>
            <w:t>Formatting...</w:t>
          </w:r>
        </w:p>
      </w:docPartBody>
    </w:docPart>
    <w:docPart>
      <w:docPartPr>
        <w:name w:val="95E00E7373D00244A1741F7E1AC96E16"/>
        <w:category>
          <w:name w:val="General"/>
          <w:gallery w:val="placeholder"/>
        </w:category>
        <w:types>
          <w:type w:val="bbPlcHdr"/>
        </w:types>
        <w:behaviors>
          <w:behavior w:val="content"/>
        </w:behaviors>
        <w:guid w:val="{7004C738-9F91-9442-8EDC-640BE3E90BAC}"/>
      </w:docPartPr>
      <w:docPartBody>
        <w:p w:rsidR="00C475F8" w:rsidRDefault="00A267CD">
          <w:r w:rsidRPr="002C77A7">
            <w:rPr>
              <w:rStyle w:val="Textodelmarcadordeposicin"/>
            </w:rPr>
            <w:t>Formatting...</w:t>
          </w:r>
        </w:p>
      </w:docPartBody>
    </w:docPart>
    <w:docPart>
      <w:docPartPr>
        <w:name w:val="584655F5AA295149AC1F622F84463FD4"/>
        <w:category>
          <w:name w:val="General"/>
          <w:gallery w:val="placeholder"/>
        </w:category>
        <w:types>
          <w:type w:val="bbPlcHdr"/>
        </w:types>
        <w:behaviors>
          <w:behavior w:val="content"/>
        </w:behaviors>
        <w:guid w:val="{5F2BE81D-D2F5-1D4C-B474-B96CE590E171}"/>
      </w:docPartPr>
      <w:docPartBody>
        <w:p w:rsidR="00C475F8" w:rsidRDefault="00A267CD">
          <w:r w:rsidRPr="002C77A7">
            <w:rPr>
              <w:rStyle w:val="Textodelmarcadordeposicin"/>
            </w:rPr>
            <w:t>Formatting...</w:t>
          </w:r>
        </w:p>
      </w:docPartBody>
    </w:docPart>
    <w:docPart>
      <w:docPartPr>
        <w:name w:val="FA922F175441EF4DAFD9049DD7536E3C"/>
        <w:category>
          <w:name w:val="General"/>
          <w:gallery w:val="placeholder"/>
        </w:category>
        <w:types>
          <w:type w:val="bbPlcHdr"/>
        </w:types>
        <w:behaviors>
          <w:behavior w:val="content"/>
        </w:behaviors>
        <w:guid w:val="{A05A9F7E-D419-3E4C-85B6-5B95AF30C9A3}"/>
      </w:docPartPr>
      <w:docPartBody>
        <w:p w:rsidR="00C475F8" w:rsidRDefault="00A267CD">
          <w:r w:rsidRPr="002C77A7">
            <w:rPr>
              <w:rStyle w:val="Textodelmarcadordeposicin"/>
            </w:rPr>
            <w:t>Formatting...</w:t>
          </w:r>
        </w:p>
      </w:docPartBody>
    </w:docPart>
    <w:docPart>
      <w:docPartPr>
        <w:name w:val="25C7869DBA402943931E2552642EEA1C"/>
        <w:category>
          <w:name w:val="General"/>
          <w:gallery w:val="placeholder"/>
        </w:category>
        <w:types>
          <w:type w:val="bbPlcHdr"/>
        </w:types>
        <w:behaviors>
          <w:behavior w:val="content"/>
        </w:behaviors>
        <w:guid w:val="{FBE0A388-F0FE-1141-9AC7-04B68596694D}"/>
      </w:docPartPr>
      <w:docPartBody>
        <w:p w:rsidR="00C475F8" w:rsidRDefault="00A267CD">
          <w:r w:rsidRPr="002C77A7">
            <w:rPr>
              <w:rStyle w:val="Textodelmarcadordeposicin"/>
            </w:rPr>
            <w:t>Formatting...</w:t>
          </w:r>
        </w:p>
      </w:docPartBody>
    </w:docPart>
    <w:docPart>
      <w:docPartPr>
        <w:name w:val="83BF4CD416AB454C8AF3A24DC345CF6C"/>
        <w:category>
          <w:name w:val="General"/>
          <w:gallery w:val="placeholder"/>
        </w:category>
        <w:types>
          <w:type w:val="bbPlcHdr"/>
        </w:types>
        <w:behaviors>
          <w:behavior w:val="content"/>
        </w:behaviors>
        <w:guid w:val="{E80E76F8-8CB8-0C42-ACF6-83C19E2E4158}"/>
      </w:docPartPr>
      <w:docPartBody>
        <w:p w:rsidR="00C969A7" w:rsidRDefault="00C475F8">
          <w:r w:rsidRPr="002C77A7">
            <w:rPr>
              <w:rStyle w:val="Textodelmarcadordeposicin"/>
            </w:rPr>
            <w:t>Formatting...</w:t>
          </w:r>
        </w:p>
      </w:docPartBody>
    </w:docPart>
    <w:docPart>
      <w:docPartPr>
        <w:name w:val="B9BFE3A12E69D44A96C2212A5712C3E0"/>
        <w:category>
          <w:name w:val="General"/>
          <w:gallery w:val="placeholder"/>
        </w:category>
        <w:types>
          <w:type w:val="bbPlcHdr"/>
        </w:types>
        <w:behaviors>
          <w:behavior w:val="content"/>
        </w:behaviors>
        <w:guid w:val="{D757321F-C0FD-FD47-B5DE-14EFA8EE72BD}"/>
      </w:docPartPr>
      <w:docPartBody>
        <w:p w:rsidR="00C969A7" w:rsidRDefault="00C475F8">
          <w:r w:rsidRPr="002C77A7">
            <w:rPr>
              <w:rStyle w:val="Textodelmarcadordeposicin"/>
            </w:rPr>
            <w:t>Formatting...</w:t>
          </w:r>
        </w:p>
      </w:docPartBody>
    </w:docPart>
    <w:docPart>
      <w:docPartPr>
        <w:name w:val="A4626C5F3D9B0E42BD6E6B414E0B3BE2"/>
        <w:category>
          <w:name w:val="General"/>
          <w:gallery w:val="placeholder"/>
        </w:category>
        <w:types>
          <w:type w:val="bbPlcHdr"/>
        </w:types>
        <w:behaviors>
          <w:behavior w:val="content"/>
        </w:behaviors>
        <w:guid w:val="{084E084F-D8BE-9643-B7C0-9A4027601115}"/>
      </w:docPartPr>
      <w:docPartBody>
        <w:p w:rsidR="00C969A7" w:rsidRDefault="00C475F8">
          <w:r w:rsidRPr="002C77A7">
            <w:rPr>
              <w:rStyle w:val="Textodelmarcadordeposicin"/>
            </w:rPr>
            <w:t>Formatting...</w:t>
          </w:r>
        </w:p>
      </w:docPartBody>
    </w:docPart>
    <w:docPart>
      <w:docPartPr>
        <w:name w:val="7FD28DEDDB3F02478E15F52E1F7CF63B"/>
        <w:category>
          <w:name w:val="General"/>
          <w:gallery w:val="placeholder"/>
        </w:category>
        <w:types>
          <w:type w:val="bbPlcHdr"/>
        </w:types>
        <w:behaviors>
          <w:behavior w:val="content"/>
        </w:behaviors>
        <w:guid w:val="{F433EDF3-7937-BF48-958B-088825E04DEA}"/>
      </w:docPartPr>
      <w:docPartBody>
        <w:p w:rsidR="00C969A7" w:rsidRDefault="00C475F8">
          <w:r w:rsidRPr="002C77A7">
            <w:rPr>
              <w:rStyle w:val="Textodelmarcadordeposicin"/>
            </w:rPr>
            <w:t>Formatting...</w:t>
          </w:r>
        </w:p>
      </w:docPartBody>
    </w:docPart>
    <w:docPart>
      <w:docPartPr>
        <w:name w:val="36318E2E84A56640B5F939A4C4809C51"/>
        <w:category>
          <w:name w:val="General"/>
          <w:gallery w:val="placeholder"/>
        </w:category>
        <w:types>
          <w:type w:val="bbPlcHdr"/>
        </w:types>
        <w:behaviors>
          <w:behavior w:val="content"/>
        </w:behaviors>
        <w:guid w:val="{66626E75-C760-D44C-B7CF-1EBF799A6B90}"/>
      </w:docPartPr>
      <w:docPartBody>
        <w:p w:rsidR="00C969A7" w:rsidRDefault="00C475F8">
          <w:r w:rsidRPr="002C77A7">
            <w:rPr>
              <w:rStyle w:val="Textodelmarcadordeposicin"/>
            </w:rPr>
            <w:t>Formatting...</w:t>
          </w:r>
        </w:p>
      </w:docPartBody>
    </w:docPart>
    <w:docPart>
      <w:docPartPr>
        <w:name w:val="9F9A27B7FE8A4644B3131E2FA50CD990"/>
        <w:category>
          <w:name w:val="General"/>
          <w:gallery w:val="placeholder"/>
        </w:category>
        <w:types>
          <w:type w:val="bbPlcHdr"/>
        </w:types>
        <w:behaviors>
          <w:behavior w:val="content"/>
        </w:behaviors>
        <w:guid w:val="{45247825-510D-854A-B697-513BA30EDD71}"/>
      </w:docPartPr>
      <w:docPartBody>
        <w:p w:rsidR="00C969A7" w:rsidRDefault="00C475F8">
          <w:r w:rsidRPr="002C77A7">
            <w:rPr>
              <w:rStyle w:val="Textodelmarcadordeposicin"/>
            </w:rPr>
            <w:t>Formatting...</w:t>
          </w:r>
        </w:p>
      </w:docPartBody>
    </w:docPart>
    <w:docPart>
      <w:docPartPr>
        <w:name w:val="D034DCA281F1514FA7BF3F36F4B841C1"/>
        <w:category>
          <w:name w:val="General"/>
          <w:gallery w:val="placeholder"/>
        </w:category>
        <w:types>
          <w:type w:val="bbPlcHdr"/>
        </w:types>
        <w:behaviors>
          <w:behavior w:val="content"/>
        </w:behaviors>
        <w:guid w:val="{DE867BC6-66D1-6B49-B8B5-FC681B3DC37F}"/>
      </w:docPartPr>
      <w:docPartBody>
        <w:p w:rsidR="00C969A7" w:rsidRDefault="00C475F8">
          <w:r w:rsidRPr="002C77A7">
            <w:rPr>
              <w:rStyle w:val="Textodelmarcadordeposicin"/>
            </w:rPr>
            <w:t>Formatting...</w:t>
          </w:r>
        </w:p>
      </w:docPartBody>
    </w:docPart>
    <w:docPart>
      <w:docPartPr>
        <w:name w:val="AC1568E7C04D8440ABEC48001E9B0ED2"/>
        <w:category>
          <w:name w:val="General"/>
          <w:gallery w:val="placeholder"/>
        </w:category>
        <w:types>
          <w:type w:val="bbPlcHdr"/>
        </w:types>
        <w:behaviors>
          <w:behavior w:val="content"/>
        </w:behaviors>
        <w:guid w:val="{2021BE89-0BC2-CF4A-9127-FE4F3FE36CEE}"/>
      </w:docPartPr>
      <w:docPartBody>
        <w:p w:rsidR="00C969A7" w:rsidRDefault="00C475F8">
          <w:r w:rsidRPr="002C77A7">
            <w:rPr>
              <w:rStyle w:val="Textodelmarcadordeposicin"/>
            </w:rPr>
            <w:t>Formatting...</w:t>
          </w:r>
        </w:p>
      </w:docPartBody>
    </w:docPart>
    <w:docPart>
      <w:docPartPr>
        <w:name w:val="0B00D2C5A34FB744B42D24C5E311C03E"/>
        <w:category>
          <w:name w:val="General"/>
          <w:gallery w:val="placeholder"/>
        </w:category>
        <w:types>
          <w:type w:val="bbPlcHdr"/>
        </w:types>
        <w:behaviors>
          <w:behavior w:val="content"/>
        </w:behaviors>
        <w:guid w:val="{794BBAD0-88CB-3544-80C6-318473C5996A}"/>
      </w:docPartPr>
      <w:docPartBody>
        <w:p w:rsidR="00C969A7" w:rsidRDefault="00C475F8">
          <w:r w:rsidRPr="002C77A7">
            <w:rPr>
              <w:rStyle w:val="Textodelmarcadordeposicin"/>
            </w:rPr>
            <w:t>Formatting...</w:t>
          </w:r>
        </w:p>
      </w:docPartBody>
    </w:docPart>
    <w:docPart>
      <w:docPartPr>
        <w:name w:val="FD85B2E2FF0BF14C87837139491454D7"/>
        <w:category>
          <w:name w:val="General"/>
          <w:gallery w:val="placeholder"/>
        </w:category>
        <w:types>
          <w:type w:val="bbPlcHdr"/>
        </w:types>
        <w:behaviors>
          <w:behavior w:val="content"/>
        </w:behaviors>
        <w:guid w:val="{746E723E-4958-574C-A2A8-665BB4E35106}"/>
      </w:docPartPr>
      <w:docPartBody>
        <w:p w:rsidR="00C969A7" w:rsidRDefault="00C475F8" w:rsidP="00C475F8">
          <w:pPr>
            <w:pStyle w:val="FD85B2E2FF0BF14C87837139491454D7"/>
          </w:pPr>
          <w:r w:rsidRPr="002C77A7">
            <w:rPr>
              <w:rStyle w:val="Textodelmarcadordeposicin"/>
            </w:rPr>
            <w:t>Formatting...</w:t>
          </w:r>
        </w:p>
      </w:docPartBody>
    </w:docPart>
    <w:docPart>
      <w:docPartPr>
        <w:name w:val="EDA0FE694B220F418137495265517EE1"/>
        <w:category>
          <w:name w:val="General"/>
          <w:gallery w:val="placeholder"/>
        </w:category>
        <w:types>
          <w:type w:val="bbPlcHdr"/>
        </w:types>
        <w:behaviors>
          <w:behavior w:val="content"/>
        </w:behaviors>
        <w:guid w:val="{F70E5698-FC50-3241-9C4B-511581BCC7A3}"/>
      </w:docPartPr>
      <w:docPartBody>
        <w:p w:rsidR="00C969A7" w:rsidRDefault="00C475F8">
          <w:r w:rsidRPr="002C77A7">
            <w:rPr>
              <w:rStyle w:val="Textodelmarcadordeposicin"/>
            </w:rPr>
            <w:t>Formatting...</w:t>
          </w:r>
        </w:p>
      </w:docPartBody>
    </w:docPart>
    <w:docPart>
      <w:docPartPr>
        <w:name w:val="CD559E05B8CBDA49BAA9DA4AA03195AB"/>
        <w:category>
          <w:name w:val="General"/>
          <w:gallery w:val="placeholder"/>
        </w:category>
        <w:types>
          <w:type w:val="bbPlcHdr"/>
        </w:types>
        <w:behaviors>
          <w:behavior w:val="content"/>
        </w:behaviors>
        <w:guid w:val="{D14856D5-2E8B-6C4D-B30B-9D3C635A17C7}"/>
      </w:docPartPr>
      <w:docPartBody>
        <w:p w:rsidR="00C969A7" w:rsidRDefault="00C475F8">
          <w:r w:rsidRPr="002C77A7">
            <w:rPr>
              <w:rStyle w:val="Textodelmarcadordeposicin"/>
            </w:rPr>
            <w:t>Formatting...</w:t>
          </w:r>
        </w:p>
      </w:docPartBody>
    </w:docPart>
    <w:docPart>
      <w:docPartPr>
        <w:name w:val="5A375CAF9F2E374F9C81E6F40CF28130"/>
        <w:category>
          <w:name w:val="General"/>
          <w:gallery w:val="placeholder"/>
        </w:category>
        <w:types>
          <w:type w:val="bbPlcHdr"/>
        </w:types>
        <w:behaviors>
          <w:behavior w:val="content"/>
        </w:behaviors>
        <w:guid w:val="{82B45184-8A8B-BC4B-84EB-8DC5A983E56F}"/>
      </w:docPartPr>
      <w:docPartBody>
        <w:p w:rsidR="00C969A7" w:rsidRDefault="00C475F8" w:rsidP="00C475F8">
          <w:pPr>
            <w:pStyle w:val="5A375CAF9F2E374F9C81E6F40CF28130"/>
          </w:pPr>
          <w:r w:rsidRPr="002C77A7">
            <w:rPr>
              <w:rStyle w:val="Textodelmarcadordeposicin"/>
            </w:rPr>
            <w:t>Formatting...</w:t>
          </w:r>
        </w:p>
      </w:docPartBody>
    </w:docPart>
    <w:docPart>
      <w:docPartPr>
        <w:name w:val="C2CC8AB0391FC044A395AB0F6553040D"/>
        <w:category>
          <w:name w:val="General"/>
          <w:gallery w:val="placeholder"/>
        </w:category>
        <w:types>
          <w:type w:val="bbPlcHdr"/>
        </w:types>
        <w:behaviors>
          <w:behavior w:val="content"/>
        </w:behaviors>
        <w:guid w:val="{2354392C-EC90-4542-ADE6-AA6A7909CA41}"/>
      </w:docPartPr>
      <w:docPartBody>
        <w:p w:rsidR="00C969A7" w:rsidRDefault="00C475F8">
          <w:r w:rsidRPr="002C77A7">
            <w:rPr>
              <w:rStyle w:val="Textodelmarcadordeposicin"/>
            </w:rPr>
            <w:t>Formatting...</w:t>
          </w:r>
        </w:p>
      </w:docPartBody>
    </w:docPart>
    <w:docPart>
      <w:docPartPr>
        <w:name w:val="D2667AE1F1C25F4BB1EC4686D4292AC7"/>
        <w:category>
          <w:name w:val="General"/>
          <w:gallery w:val="placeholder"/>
        </w:category>
        <w:types>
          <w:type w:val="bbPlcHdr"/>
        </w:types>
        <w:behaviors>
          <w:behavior w:val="content"/>
        </w:behaviors>
        <w:guid w:val="{CDF9D932-93EE-B541-976B-78CEACAB9E97}"/>
      </w:docPartPr>
      <w:docPartBody>
        <w:p w:rsidR="00C969A7" w:rsidRDefault="00C475F8">
          <w:r w:rsidRPr="002C77A7">
            <w:rPr>
              <w:rStyle w:val="Textodelmarcadordeposicin"/>
            </w:rPr>
            <w:t>Formatting...</w:t>
          </w:r>
        </w:p>
      </w:docPartBody>
    </w:docPart>
    <w:docPart>
      <w:docPartPr>
        <w:name w:val="B6A420077F380845B090E474256E93B9"/>
        <w:category>
          <w:name w:val="General"/>
          <w:gallery w:val="placeholder"/>
        </w:category>
        <w:types>
          <w:type w:val="bbPlcHdr"/>
        </w:types>
        <w:behaviors>
          <w:behavior w:val="content"/>
        </w:behaviors>
        <w:guid w:val="{8859B658-B387-F74D-B27E-552E97E5F5D6}"/>
      </w:docPartPr>
      <w:docPartBody>
        <w:p w:rsidR="00C969A7" w:rsidRDefault="00C475F8">
          <w:r w:rsidRPr="002C77A7">
            <w:rPr>
              <w:rStyle w:val="Textodelmarcadordeposicin"/>
            </w:rPr>
            <w:t>Formatting...</w:t>
          </w:r>
        </w:p>
      </w:docPartBody>
    </w:docPart>
    <w:docPart>
      <w:docPartPr>
        <w:name w:val="AD260E625FBD8D43B5CE78BEC601EBA6"/>
        <w:category>
          <w:name w:val="General"/>
          <w:gallery w:val="placeholder"/>
        </w:category>
        <w:types>
          <w:type w:val="bbPlcHdr"/>
        </w:types>
        <w:behaviors>
          <w:behavior w:val="content"/>
        </w:behaviors>
        <w:guid w:val="{15A629CF-C1CE-944B-86AA-0DC1395B6EBC}"/>
      </w:docPartPr>
      <w:docPartBody>
        <w:p w:rsidR="00C969A7" w:rsidRDefault="00C475F8">
          <w:r w:rsidRPr="002C77A7">
            <w:rPr>
              <w:rStyle w:val="Textodelmarcadordeposicin"/>
            </w:rPr>
            <w:t>Formatting...</w:t>
          </w:r>
        </w:p>
      </w:docPartBody>
    </w:docPart>
    <w:docPart>
      <w:docPartPr>
        <w:name w:val="DC8FAE346D41D04DA16199DFB8AFE0A1"/>
        <w:category>
          <w:name w:val="General"/>
          <w:gallery w:val="placeholder"/>
        </w:category>
        <w:types>
          <w:type w:val="bbPlcHdr"/>
        </w:types>
        <w:behaviors>
          <w:behavior w:val="content"/>
        </w:behaviors>
        <w:guid w:val="{484AAA6C-A640-0B40-BF90-227B49C7268A}"/>
      </w:docPartPr>
      <w:docPartBody>
        <w:p w:rsidR="00C969A7" w:rsidRDefault="00C475F8">
          <w:r w:rsidRPr="002C77A7">
            <w:rPr>
              <w:rStyle w:val="Textodelmarcadordeposicin"/>
            </w:rPr>
            <w:t>Formatting...</w:t>
          </w:r>
        </w:p>
      </w:docPartBody>
    </w:docPart>
    <w:docPart>
      <w:docPartPr>
        <w:name w:val="3773054E456F0C438282150AFCFC25CD"/>
        <w:category>
          <w:name w:val="General"/>
          <w:gallery w:val="placeholder"/>
        </w:category>
        <w:types>
          <w:type w:val="bbPlcHdr"/>
        </w:types>
        <w:behaviors>
          <w:behavior w:val="content"/>
        </w:behaviors>
        <w:guid w:val="{66437D58-7BE4-5249-A0DF-A969E8590CCB}"/>
      </w:docPartPr>
      <w:docPartBody>
        <w:p w:rsidR="00C969A7" w:rsidRDefault="00C475F8">
          <w:r w:rsidRPr="002C77A7">
            <w:rPr>
              <w:rStyle w:val="Textodelmarcadordeposicin"/>
            </w:rPr>
            <w:t>Formatting...</w:t>
          </w:r>
        </w:p>
      </w:docPartBody>
    </w:docPart>
    <w:docPart>
      <w:docPartPr>
        <w:name w:val="B36F503DF5E52441BDF714E6B340AE05"/>
        <w:category>
          <w:name w:val="General"/>
          <w:gallery w:val="placeholder"/>
        </w:category>
        <w:types>
          <w:type w:val="bbPlcHdr"/>
        </w:types>
        <w:behaviors>
          <w:behavior w:val="content"/>
        </w:behaviors>
        <w:guid w:val="{D1E10F32-4CD3-6E49-8F9C-7AF816DCA236}"/>
      </w:docPartPr>
      <w:docPartBody>
        <w:p w:rsidR="00C969A7" w:rsidRDefault="00C475F8">
          <w:r w:rsidRPr="002C77A7">
            <w:rPr>
              <w:rStyle w:val="Textodelmarcadordeposicin"/>
            </w:rPr>
            <w:t>Formatting...</w:t>
          </w:r>
        </w:p>
      </w:docPartBody>
    </w:docPart>
    <w:docPart>
      <w:docPartPr>
        <w:name w:val="4EAE392554A2D842807647477C0E0396"/>
        <w:category>
          <w:name w:val="General"/>
          <w:gallery w:val="placeholder"/>
        </w:category>
        <w:types>
          <w:type w:val="bbPlcHdr"/>
        </w:types>
        <w:behaviors>
          <w:behavior w:val="content"/>
        </w:behaviors>
        <w:guid w:val="{68FB7B6C-F155-A848-A91C-DDDD551413AB}"/>
      </w:docPartPr>
      <w:docPartBody>
        <w:p w:rsidR="00C969A7" w:rsidRDefault="00C475F8">
          <w:r w:rsidRPr="002C77A7">
            <w:rPr>
              <w:rStyle w:val="Textodelmarcadordeposicin"/>
            </w:rPr>
            <w:t>Formatting...</w:t>
          </w:r>
        </w:p>
      </w:docPartBody>
    </w:docPart>
    <w:docPart>
      <w:docPartPr>
        <w:name w:val="09627424769BAE4BA0CA73B91026140F"/>
        <w:category>
          <w:name w:val="General"/>
          <w:gallery w:val="placeholder"/>
        </w:category>
        <w:types>
          <w:type w:val="bbPlcHdr"/>
        </w:types>
        <w:behaviors>
          <w:behavior w:val="content"/>
        </w:behaviors>
        <w:guid w:val="{622D39F9-186E-8244-9D22-4DE5EA55E2F3}"/>
      </w:docPartPr>
      <w:docPartBody>
        <w:p w:rsidR="000A38AE" w:rsidRDefault="00C969A7" w:rsidP="00C969A7">
          <w:pPr>
            <w:pStyle w:val="09627424769BAE4BA0CA73B91026140F"/>
          </w:pPr>
          <w:r w:rsidRPr="00CA6FE1">
            <w:rPr>
              <w:rStyle w:val="Textodelmarcadordeposicin"/>
            </w:rPr>
            <w:t>Formatting...</w:t>
          </w:r>
        </w:p>
      </w:docPartBody>
    </w:docPart>
    <w:docPart>
      <w:docPartPr>
        <w:name w:val="FFBD5DAC8F9E0B4A846027F0BC270310"/>
        <w:category>
          <w:name w:val="General"/>
          <w:gallery w:val="placeholder"/>
        </w:category>
        <w:types>
          <w:type w:val="bbPlcHdr"/>
        </w:types>
        <w:behaviors>
          <w:behavior w:val="content"/>
        </w:behaviors>
        <w:guid w:val="{92F5A8F7-EC0B-124C-B336-C5F862336025}"/>
      </w:docPartPr>
      <w:docPartBody>
        <w:p w:rsidR="000A38AE" w:rsidRDefault="00C969A7" w:rsidP="00C969A7">
          <w:pPr>
            <w:pStyle w:val="FFBD5DAC8F9E0B4A846027F0BC270310"/>
          </w:pPr>
          <w:r w:rsidRPr="00CA6FE1">
            <w:rPr>
              <w:rStyle w:val="Textodelmarcadordeposicin"/>
            </w:rPr>
            <w:t>Formatting...</w:t>
          </w:r>
        </w:p>
      </w:docPartBody>
    </w:docPart>
    <w:docPart>
      <w:docPartPr>
        <w:name w:val="970AB653DEA9E0468B2106007CEE0992"/>
        <w:category>
          <w:name w:val="General"/>
          <w:gallery w:val="placeholder"/>
        </w:category>
        <w:types>
          <w:type w:val="bbPlcHdr"/>
        </w:types>
        <w:behaviors>
          <w:behavior w:val="content"/>
        </w:behaviors>
        <w:guid w:val="{4FCE4357-3DB6-9D4B-BC24-6DC48DC5C610}"/>
      </w:docPartPr>
      <w:docPartBody>
        <w:p w:rsidR="000A38AE" w:rsidRDefault="00C969A7" w:rsidP="00C969A7">
          <w:pPr>
            <w:pStyle w:val="970AB653DEA9E0468B2106007CEE0992"/>
          </w:pPr>
          <w:r w:rsidRPr="009B324F">
            <w:rPr>
              <w:rStyle w:val="Textodelmarcadordeposicin"/>
              <w:lang w:val="en-US" w:eastAsia="en-US"/>
            </w:rPr>
            <w:t>Formatting...</w:t>
          </w:r>
        </w:p>
      </w:docPartBody>
    </w:docPart>
    <w:docPart>
      <w:docPartPr>
        <w:name w:val="2121C5196B60B746B1F5FE430D02091A"/>
        <w:category>
          <w:name w:val="General"/>
          <w:gallery w:val="placeholder"/>
        </w:category>
        <w:types>
          <w:type w:val="bbPlcHdr"/>
        </w:types>
        <w:behaviors>
          <w:behavior w:val="content"/>
        </w:behaviors>
        <w:guid w:val="{E504AC42-3B48-FB4E-8A52-C8CBA8C098D0}"/>
      </w:docPartPr>
      <w:docPartBody>
        <w:p w:rsidR="000A38AE" w:rsidRDefault="00C969A7" w:rsidP="00C969A7">
          <w:pPr>
            <w:pStyle w:val="2121C5196B60B746B1F5FE430D02091A"/>
          </w:pPr>
          <w:r w:rsidRPr="009B324F">
            <w:rPr>
              <w:rStyle w:val="Textodelmarcadordeposicin"/>
              <w:lang w:val="en-US" w:eastAsia="en-US"/>
            </w:rPr>
            <w:t>Formatting...</w:t>
          </w:r>
        </w:p>
      </w:docPartBody>
    </w:docPart>
    <w:docPart>
      <w:docPartPr>
        <w:name w:val="B3A9D21E5F9EC34AB8474D7007BD6BAF"/>
        <w:category>
          <w:name w:val="General"/>
          <w:gallery w:val="placeholder"/>
        </w:category>
        <w:types>
          <w:type w:val="bbPlcHdr"/>
        </w:types>
        <w:behaviors>
          <w:behavior w:val="content"/>
        </w:behaviors>
        <w:guid w:val="{9298C377-61F2-DA41-A96D-677575714254}"/>
      </w:docPartPr>
      <w:docPartBody>
        <w:p w:rsidR="000A38AE" w:rsidRDefault="00C969A7" w:rsidP="00C969A7">
          <w:pPr>
            <w:pStyle w:val="B3A9D21E5F9EC34AB8474D7007BD6BAF"/>
          </w:pPr>
          <w:r w:rsidRPr="009B324F">
            <w:rPr>
              <w:rStyle w:val="Textodelmarcadordeposicin"/>
              <w:lang w:val="en-US" w:eastAsia="en-US"/>
            </w:rPr>
            <w:t>Formatting...</w:t>
          </w:r>
        </w:p>
      </w:docPartBody>
    </w:docPart>
    <w:docPart>
      <w:docPartPr>
        <w:name w:val="DAB839DB53809B40B4A36E91A9B636D0"/>
        <w:category>
          <w:name w:val="General"/>
          <w:gallery w:val="placeholder"/>
        </w:category>
        <w:types>
          <w:type w:val="bbPlcHdr"/>
        </w:types>
        <w:behaviors>
          <w:behavior w:val="content"/>
        </w:behaviors>
        <w:guid w:val="{FD2BD2F1-F545-1545-AA61-730339591385}"/>
      </w:docPartPr>
      <w:docPartBody>
        <w:p w:rsidR="000A38AE" w:rsidRDefault="00C969A7" w:rsidP="00C969A7">
          <w:pPr>
            <w:pStyle w:val="DAB839DB53809B40B4A36E91A9B636D0"/>
          </w:pPr>
          <w:r w:rsidRPr="009B324F">
            <w:rPr>
              <w:rStyle w:val="Textodelmarcadordeposicin"/>
              <w:lang w:val="en-US" w:eastAsia="en-US"/>
            </w:rPr>
            <w:t>Formatting...</w:t>
          </w:r>
        </w:p>
      </w:docPartBody>
    </w:docPart>
    <w:docPart>
      <w:docPartPr>
        <w:name w:val="A321195056EB1F4DB655E4651D32059C"/>
        <w:category>
          <w:name w:val="General"/>
          <w:gallery w:val="placeholder"/>
        </w:category>
        <w:types>
          <w:type w:val="bbPlcHdr"/>
        </w:types>
        <w:behaviors>
          <w:behavior w:val="content"/>
        </w:behaviors>
        <w:guid w:val="{6245B671-EF62-AB45-A97C-62437BA9D5B5}"/>
      </w:docPartPr>
      <w:docPartBody>
        <w:p w:rsidR="000A38AE" w:rsidRDefault="00C969A7" w:rsidP="00C969A7">
          <w:pPr>
            <w:pStyle w:val="A321195056EB1F4DB655E4651D32059C"/>
          </w:pPr>
          <w:r w:rsidRPr="009B324F">
            <w:rPr>
              <w:rStyle w:val="Textodelmarcadordeposicin"/>
              <w:lang w:val="en-US" w:eastAsia="en-US"/>
            </w:rPr>
            <w:t>Formatting...</w:t>
          </w:r>
        </w:p>
      </w:docPartBody>
    </w:docPart>
    <w:docPart>
      <w:docPartPr>
        <w:name w:val="7546C0E806242848A463F0E143A8FC6B"/>
        <w:category>
          <w:name w:val="General"/>
          <w:gallery w:val="placeholder"/>
        </w:category>
        <w:types>
          <w:type w:val="bbPlcHdr"/>
        </w:types>
        <w:behaviors>
          <w:behavior w:val="content"/>
        </w:behaviors>
        <w:guid w:val="{1E09BAFE-B31C-7246-9918-A7F7BCC6AC88}"/>
      </w:docPartPr>
      <w:docPartBody>
        <w:p w:rsidR="000A38AE" w:rsidRDefault="00C969A7" w:rsidP="00C969A7">
          <w:pPr>
            <w:pStyle w:val="7546C0E806242848A463F0E143A8FC6B"/>
          </w:pPr>
          <w:r w:rsidRPr="009B324F">
            <w:rPr>
              <w:rStyle w:val="Textodelmarcadordeposicin"/>
              <w:lang w:val="en-US" w:eastAsia="en-US"/>
            </w:rPr>
            <w:t>Formatting...</w:t>
          </w:r>
        </w:p>
      </w:docPartBody>
    </w:docPart>
    <w:docPart>
      <w:docPartPr>
        <w:name w:val="B9DC342E51623441B8E88BA5FF26F671"/>
        <w:category>
          <w:name w:val="General"/>
          <w:gallery w:val="placeholder"/>
        </w:category>
        <w:types>
          <w:type w:val="bbPlcHdr"/>
        </w:types>
        <w:behaviors>
          <w:behavior w:val="content"/>
        </w:behaviors>
        <w:guid w:val="{66B13ECD-DD58-9443-A51B-F7DE97995501}"/>
      </w:docPartPr>
      <w:docPartBody>
        <w:p w:rsidR="000A38AE" w:rsidRDefault="00C969A7" w:rsidP="00C969A7">
          <w:pPr>
            <w:pStyle w:val="B9DC342E51623441B8E88BA5FF26F671"/>
          </w:pPr>
          <w:r w:rsidRPr="009B324F">
            <w:rPr>
              <w:rStyle w:val="Textodelmarcadordeposicin"/>
              <w:lang w:val="en-US" w:eastAsia="en-US"/>
            </w:rPr>
            <w:t>Formatting...</w:t>
          </w:r>
        </w:p>
      </w:docPartBody>
    </w:docPart>
    <w:docPart>
      <w:docPartPr>
        <w:name w:val="F233238EA3944646A5DD3A59DA8F9308"/>
        <w:category>
          <w:name w:val="General"/>
          <w:gallery w:val="placeholder"/>
        </w:category>
        <w:types>
          <w:type w:val="bbPlcHdr"/>
        </w:types>
        <w:behaviors>
          <w:behavior w:val="content"/>
        </w:behaviors>
        <w:guid w:val="{4DF3558F-EDD0-5C43-A39E-B6B993EAFFEB}"/>
      </w:docPartPr>
      <w:docPartBody>
        <w:p w:rsidR="000A38AE" w:rsidRDefault="00C969A7" w:rsidP="00C969A7">
          <w:pPr>
            <w:pStyle w:val="F233238EA3944646A5DD3A59DA8F9308"/>
          </w:pPr>
          <w:r w:rsidRPr="002C77A7">
            <w:rPr>
              <w:rStyle w:val="Textodelmarcadordeposicin"/>
            </w:rPr>
            <w:t>Formatting...</w:t>
          </w:r>
        </w:p>
      </w:docPartBody>
    </w:docPart>
    <w:docPart>
      <w:docPartPr>
        <w:name w:val="8DD7C959ADCA0840ABC8BA6461B5ED1A"/>
        <w:category>
          <w:name w:val="General"/>
          <w:gallery w:val="placeholder"/>
        </w:category>
        <w:types>
          <w:type w:val="bbPlcHdr"/>
        </w:types>
        <w:behaviors>
          <w:behavior w:val="content"/>
        </w:behaviors>
        <w:guid w:val="{1F78C6F9-5E75-1844-8477-95CD3A6E0575}"/>
      </w:docPartPr>
      <w:docPartBody>
        <w:p w:rsidR="000A38AE" w:rsidRDefault="00C969A7" w:rsidP="00C969A7">
          <w:pPr>
            <w:pStyle w:val="8DD7C959ADCA0840ABC8BA6461B5ED1A"/>
          </w:pPr>
          <w:r w:rsidRPr="002C77A7">
            <w:rPr>
              <w:rStyle w:val="Textodelmarcadordeposicin"/>
            </w:rPr>
            <w:t>Formatting...</w:t>
          </w:r>
        </w:p>
      </w:docPartBody>
    </w:docPart>
    <w:docPart>
      <w:docPartPr>
        <w:name w:val="0129D97946E2854A857A9738E4F128A2"/>
        <w:category>
          <w:name w:val="General"/>
          <w:gallery w:val="placeholder"/>
        </w:category>
        <w:types>
          <w:type w:val="bbPlcHdr"/>
        </w:types>
        <w:behaviors>
          <w:behavior w:val="content"/>
        </w:behaviors>
        <w:guid w:val="{18DA8E73-D07E-744A-A5EA-DCD9C522BA23}"/>
      </w:docPartPr>
      <w:docPartBody>
        <w:p w:rsidR="000A38AE" w:rsidRDefault="00C969A7" w:rsidP="00C969A7">
          <w:pPr>
            <w:pStyle w:val="0129D97946E2854A857A9738E4F128A2"/>
          </w:pPr>
          <w:r w:rsidRPr="002C77A7">
            <w:rPr>
              <w:rStyle w:val="Textodelmarcadordeposicin"/>
            </w:rPr>
            <w:t>Formatting...</w:t>
          </w:r>
        </w:p>
      </w:docPartBody>
    </w:docPart>
    <w:docPart>
      <w:docPartPr>
        <w:name w:val="00DE5FCD53A7BA47B91E2CF0CB77E228"/>
        <w:category>
          <w:name w:val="General"/>
          <w:gallery w:val="placeholder"/>
        </w:category>
        <w:types>
          <w:type w:val="bbPlcHdr"/>
        </w:types>
        <w:behaviors>
          <w:behavior w:val="content"/>
        </w:behaviors>
        <w:guid w:val="{094368E4-B743-BC46-B38D-5420FC129E21}"/>
      </w:docPartPr>
      <w:docPartBody>
        <w:p w:rsidR="000A38AE" w:rsidRDefault="00C969A7" w:rsidP="00C969A7">
          <w:pPr>
            <w:pStyle w:val="00DE5FCD53A7BA47B91E2CF0CB77E228"/>
          </w:pPr>
          <w:r w:rsidRPr="002C77A7">
            <w:rPr>
              <w:rStyle w:val="Textodelmarcadordeposicin"/>
            </w:rPr>
            <w:t>Formatting...</w:t>
          </w:r>
        </w:p>
      </w:docPartBody>
    </w:docPart>
    <w:docPart>
      <w:docPartPr>
        <w:name w:val="7E135B0CC63C3F45ABA38815EB853FC7"/>
        <w:category>
          <w:name w:val="General"/>
          <w:gallery w:val="placeholder"/>
        </w:category>
        <w:types>
          <w:type w:val="bbPlcHdr"/>
        </w:types>
        <w:behaviors>
          <w:behavior w:val="content"/>
        </w:behaviors>
        <w:guid w:val="{98D2EECA-38CA-C345-BAC5-816C80C82286}"/>
      </w:docPartPr>
      <w:docPartBody>
        <w:p w:rsidR="000A38AE" w:rsidRDefault="00C969A7" w:rsidP="00C969A7">
          <w:pPr>
            <w:pStyle w:val="7E135B0CC63C3F45ABA38815EB853FC7"/>
          </w:pPr>
          <w:r w:rsidRPr="002C77A7">
            <w:rPr>
              <w:rStyle w:val="Textodelmarcadordeposicin"/>
            </w:rPr>
            <w:t>Formatting...</w:t>
          </w:r>
        </w:p>
      </w:docPartBody>
    </w:docPart>
    <w:docPart>
      <w:docPartPr>
        <w:name w:val="DCEDB25691ED704FB68BB233F84C1DB5"/>
        <w:category>
          <w:name w:val="General"/>
          <w:gallery w:val="placeholder"/>
        </w:category>
        <w:types>
          <w:type w:val="bbPlcHdr"/>
        </w:types>
        <w:behaviors>
          <w:behavior w:val="content"/>
        </w:behaviors>
        <w:guid w:val="{59FF52F8-B5EE-224A-BB0E-76177C22D725}"/>
      </w:docPartPr>
      <w:docPartBody>
        <w:p w:rsidR="000A38AE" w:rsidRDefault="00C969A7" w:rsidP="00C969A7">
          <w:pPr>
            <w:pStyle w:val="DCEDB25691ED704FB68BB233F84C1DB5"/>
          </w:pPr>
          <w:r w:rsidRPr="002C77A7">
            <w:rPr>
              <w:rStyle w:val="Textodelmarcadordeposicin"/>
            </w:rPr>
            <w:t>Formatting...</w:t>
          </w:r>
        </w:p>
      </w:docPartBody>
    </w:docPart>
    <w:docPart>
      <w:docPartPr>
        <w:name w:val="93D17CE502F8C34BA7278E73B44D8A62"/>
        <w:category>
          <w:name w:val="General"/>
          <w:gallery w:val="placeholder"/>
        </w:category>
        <w:types>
          <w:type w:val="bbPlcHdr"/>
        </w:types>
        <w:behaviors>
          <w:behavior w:val="content"/>
        </w:behaviors>
        <w:guid w:val="{A4FC8133-AF1A-8E45-8AE8-A5C18D4EBFDF}"/>
      </w:docPartPr>
      <w:docPartBody>
        <w:p w:rsidR="000A38AE" w:rsidRDefault="00C969A7" w:rsidP="00C969A7">
          <w:pPr>
            <w:pStyle w:val="93D17CE502F8C34BA7278E73B44D8A62"/>
          </w:pPr>
          <w:r w:rsidRPr="002C77A7">
            <w:rPr>
              <w:rStyle w:val="Textodelmarcadordeposicin"/>
            </w:rPr>
            <w:t>Formatting...</w:t>
          </w:r>
        </w:p>
      </w:docPartBody>
    </w:docPart>
    <w:docPart>
      <w:docPartPr>
        <w:name w:val="F6623ADF4EA3F448A3D76AECBD7D5AA4"/>
        <w:category>
          <w:name w:val="General"/>
          <w:gallery w:val="placeholder"/>
        </w:category>
        <w:types>
          <w:type w:val="bbPlcHdr"/>
        </w:types>
        <w:behaviors>
          <w:behavior w:val="content"/>
        </w:behaviors>
        <w:guid w:val="{630A5DDC-FA9D-A34E-BA68-4E769A3A2D2C}"/>
      </w:docPartPr>
      <w:docPartBody>
        <w:p w:rsidR="000A38AE" w:rsidRDefault="00C969A7" w:rsidP="00C969A7">
          <w:pPr>
            <w:pStyle w:val="F6623ADF4EA3F448A3D76AECBD7D5AA4"/>
          </w:pPr>
          <w:r w:rsidRPr="002C77A7">
            <w:rPr>
              <w:rStyle w:val="Textodelmarcadordeposicin"/>
            </w:rPr>
            <w:t>Formatting...</w:t>
          </w:r>
        </w:p>
      </w:docPartBody>
    </w:docPart>
    <w:docPart>
      <w:docPartPr>
        <w:name w:val="839AC442A0983C409486A37F65100570"/>
        <w:category>
          <w:name w:val="General"/>
          <w:gallery w:val="placeholder"/>
        </w:category>
        <w:types>
          <w:type w:val="bbPlcHdr"/>
        </w:types>
        <w:behaviors>
          <w:behavior w:val="content"/>
        </w:behaviors>
        <w:guid w:val="{EA988CFB-44E2-6E4E-8841-27CDA1C71431}"/>
      </w:docPartPr>
      <w:docPartBody>
        <w:p w:rsidR="000A38AE" w:rsidRDefault="00C969A7" w:rsidP="00C969A7">
          <w:pPr>
            <w:pStyle w:val="839AC442A0983C409486A37F65100570"/>
          </w:pPr>
          <w:r w:rsidRPr="002C77A7">
            <w:rPr>
              <w:rStyle w:val="Textodelmarcadordeposicin"/>
            </w:rPr>
            <w:t>Formatting...</w:t>
          </w:r>
        </w:p>
      </w:docPartBody>
    </w:docPart>
    <w:docPart>
      <w:docPartPr>
        <w:name w:val="1C37CAFA8EE8654982F13657B0026632"/>
        <w:category>
          <w:name w:val="General"/>
          <w:gallery w:val="placeholder"/>
        </w:category>
        <w:types>
          <w:type w:val="bbPlcHdr"/>
        </w:types>
        <w:behaviors>
          <w:behavior w:val="content"/>
        </w:behaviors>
        <w:guid w:val="{91621BA6-2ABC-5249-9ADA-EEFDF3DD086C}"/>
      </w:docPartPr>
      <w:docPartBody>
        <w:p w:rsidR="000A38AE" w:rsidRDefault="00C969A7" w:rsidP="00C969A7">
          <w:pPr>
            <w:pStyle w:val="1C37CAFA8EE8654982F13657B0026632"/>
          </w:pPr>
          <w:r w:rsidRPr="002C77A7">
            <w:rPr>
              <w:rStyle w:val="Textodelmarcadordeposicin"/>
            </w:rPr>
            <w:t>Formatting...</w:t>
          </w:r>
        </w:p>
      </w:docPartBody>
    </w:docPart>
    <w:docPart>
      <w:docPartPr>
        <w:name w:val="ED1D34E7D18ECB459A859B2DB1B96679"/>
        <w:category>
          <w:name w:val="General"/>
          <w:gallery w:val="placeholder"/>
        </w:category>
        <w:types>
          <w:type w:val="bbPlcHdr"/>
        </w:types>
        <w:behaviors>
          <w:behavior w:val="content"/>
        </w:behaviors>
        <w:guid w:val="{6ECD6CF7-1CCB-7144-BDF6-7B0D9F6716D1}"/>
      </w:docPartPr>
      <w:docPartBody>
        <w:p w:rsidR="000A38AE" w:rsidRDefault="00C969A7" w:rsidP="00C969A7">
          <w:pPr>
            <w:pStyle w:val="ED1D34E7D18ECB459A859B2DB1B96679"/>
          </w:pPr>
          <w:r w:rsidRPr="002C77A7">
            <w:rPr>
              <w:rStyle w:val="Textodelmarcadordeposicin"/>
            </w:rPr>
            <w:t>Formatting...</w:t>
          </w:r>
        </w:p>
      </w:docPartBody>
    </w:docPart>
    <w:docPart>
      <w:docPartPr>
        <w:name w:val="2165F390107C754DA8DA28335C293A1E"/>
        <w:category>
          <w:name w:val="General"/>
          <w:gallery w:val="placeholder"/>
        </w:category>
        <w:types>
          <w:type w:val="bbPlcHdr"/>
        </w:types>
        <w:behaviors>
          <w:behavior w:val="content"/>
        </w:behaviors>
        <w:guid w:val="{681B48A5-6517-804B-97BA-52DBD415C0D7}"/>
      </w:docPartPr>
      <w:docPartBody>
        <w:p w:rsidR="000A38AE" w:rsidRDefault="00C969A7" w:rsidP="00C969A7">
          <w:pPr>
            <w:pStyle w:val="2165F390107C754DA8DA28335C293A1E"/>
          </w:pPr>
          <w:r w:rsidRPr="002C77A7">
            <w:rPr>
              <w:rStyle w:val="Textodelmarcadordeposicin"/>
            </w:rPr>
            <w:t>Formatting...</w:t>
          </w:r>
        </w:p>
      </w:docPartBody>
    </w:docPart>
    <w:docPart>
      <w:docPartPr>
        <w:name w:val="58646907AE33C142BD373761C258E3F7"/>
        <w:category>
          <w:name w:val="General"/>
          <w:gallery w:val="placeholder"/>
        </w:category>
        <w:types>
          <w:type w:val="bbPlcHdr"/>
        </w:types>
        <w:behaviors>
          <w:behavior w:val="content"/>
        </w:behaviors>
        <w:guid w:val="{E75072E8-D896-7842-B95B-B119BFDB2297}"/>
      </w:docPartPr>
      <w:docPartBody>
        <w:p w:rsidR="000A38AE" w:rsidRDefault="00C969A7" w:rsidP="00C969A7">
          <w:pPr>
            <w:pStyle w:val="58646907AE33C142BD373761C258E3F7"/>
          </w:pPr>
          <w:r w:rsidRPr="002C77A7">
            <w:rPr>
              <w:rStyle w:val="Textodelmarcadordeposicin"/>
            </w:rPr>
            <w:t>Formatting...</w:t>
          </w:r>
        </w:p>
      </w:docPartBody>
    </w:docPart>
    <w:docPart>
      <w:docPartPr>
        <w:name w:val="2DEDF5B34ACC3A4F9DE8B32696F35ABF"/>
        <w:category>
          <w:name w:val="General"/>
          <w:gallery w:val="placeholder"/>
        </w:category>
        <w:types>
          <w:type w:val="bbPlcHdr"/>
        </w:types>
        <w:behaviors>
          <w:behavior w:val="content"/>
        </w:behaviors>
        <w:guid w:val="{B46DD318-3D86-2F49-AD2E-42528D7C9885}"/>
      </w:docPartPr>
      <w:docPartBody>
        <w:p w:rsidR="000A38AE" w:rsidRDefault="00C969A7">
          <w:r w:rsidRPr="002C77A7">
            <w:rPr>
              <w:rStyle w:val="Textodelmarcadordeposicin"/>
            </w:rPr>
            <w:t>Formatting...</w:t>
          </w:r>
        </w:p>
      </w:docPartBody>
    </w:docPart>
    <w:docPart>
      <w:docPartPr>
        <w:name w:val="30C3662C4D0E284B9B2DB19684B28D4A"/>
        <w:category>
          <w:name w:val="General"/>
          <w:gallery w:val="placeholder"/>
        </w:category>
        <w:types>
          <w:type w:val="bbPlcHdr"/>
        </w:types>
        <w:behaviors>
          <w:behavior w:val="content"/>
        </w:behaviors>
        <w:guid w:val="{BC1D5C65-9BAE-264E-9C47-4D9AF1E5CFE3}"/>
      </w:docPartPr>
      <w:docPartBody>
        <w:p w:rsidR="000A38AE" w:rsidRDefault="00C969A7">
          <w:r w:rsidRPr="002C77A7">
            <w:rPr>
              <w:rStyle w:val="Textodelmarcadordeposicin"/>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7C"/>
    <w:rsid w:val="000A38AE"/>
    <w:rsid w:val="000B1338"/>
    <w:rsid w:val="000D0A05"/>
    <w:rsid w:val="001827D2"/>
    <w:rsid w:val="002431A4"/>
    <w:rsid w:val="00273DCF"/>
    <w:rsid w:val="003222CB"/>
    <w:rsid w:val="003A3406"/>
    <w:rsid w:val="0041685C"/>
    <w:rsid w:val="00420A78"/>
    <w:rsid w:val="004C1DA5"/>
    <w:rsid w:val="0052436B"/>
    <w:rsid w:val="00674A40"/>
    <w:rsid w:val="006F06E6"/>
    <w:rsid w:val="00806C7C"/>
    <w:rsid w:val="009B2675"/>
    <w:rsid w:val="00A267CD"/>
    <w:rsid w:val="00AC0304"/>
    <w:rsid w:val="00B454A4"/>
    <w:rsid w:val="00B96DF8"/>
    <w:rsid w:val="00C475F8"/>
    <w:rsid w:val="00C656ED"/>
    <w:rsid w:val="00C969A7"/>
    <w:rsid w:val="00CD7872"/>
    <w:rsid w:val="00D859A5"/>
    <w:rsid w:val="00D946F5"/>
    <w:rsid w:val="00E27834"/>
    <w:rsid w:val="00F16D69"/>
    <w:rsid w:val="00FC30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_trad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969A7"/>
    <w:rPr>
      <w:color w:val="666666"/>
    </w:rPr>
  </w:style>
  <w:style w:type="paragraph" w:customStyle="1" w:styleId="FD85B2E2FF0BF14C87837139491454D7">
    <w:name w:val="FD85B2E2FF0BF14C87837139491454D7"/>
    <w:rsid w:val="00C475F8"/>
  </w:style>
  <w:style w:type="paragraph" w:customStyle="1" w:styleId="5A375CAF9F2E374F9C81E6F40CF28130">
    <w:name w:val="5A375CAF9F2E374F9C81E6F40CF28130"/>
    <w:rsid w:val="00C475F8"/>
  </w:style>
  <w:style w:type="paragraph" w:customStyle="1" w:styleId="09627424769BAE4BA0CA73B91026140F">
    <w:name w:val="09627424769BAE4BA0CA73B91026140F"/>
    <w:rsid w:val="00C969A7"/>
  </w:style>
  <w:style w:type="paragraph" w:customStyle="1" w:styleId="FFBD5DAC8F9E0B4A846027F0BC270310">
    <w:name w:val="FFBD5DAC8F9E0B4A846027F0BC270310"/>
    <w:rsid w:val="00C969A7"/>
  </w:style>
  <w:style w:type="paragraph" w:customStyle="1" w:styleId="970AB653DEA9E0468B2106007CEE0992">
    <w:name w:val="970AB653DEA9E0468B2106007CEE0992"/>
    <w:rsid w:val="00C969A7"/>
  </w:style>
  <w:style w:type="paragraph" w:customStyle="1" w:styleId="2121C5196B60B746B1F5FE430D02091A">
    <w:name w:val="2121C5196B60B746B1F5FE430D02091A"/>
    <w:rsid w:val="00C969A7"/>
  </w:style>
  <w:style w:type="paragraph" w:customStyle="1" w:styleId="B3A9D21E5F9EC34AB8474D7007BD6BAF">
    <w:name w:val="B3A9D21E5F9EC34AB8474D7007BD6BAF"/>
    <w:rsid w:val="00C969A7"/>
  </w:style>
  <w:style w:type="paragraph" w:customStyle="1" w:styleId="DAB839DB53809B40B4A36E91A9B636D0">
    <w:name w:val="DAB839DB53809B40B4A36E91A9B636D0"/>
    <w:rsid w:val="00C969A7"/>
  </w:style>
  <w:style w:type="paragraph" w:customStyle="1" w:styleId="A321195056EB1F4DB655E4651D32059C">
    <w:name w:val="A321195056EB1F4DB655E4651D32059C"/>
    <w:rsid w:val="00C969A7"/>
  </w:style>
  <w:style w:type="paragraph" w:customStyle="1" w:styleId="7546C0E806242848A463F0E143A8FC6B">
    <w:name w:val="7546C0E806242848A463F0E143A8FC6B"/>
    <w:rsid w:val="00C969A7"/>
  </w:style>
  <w:style w:type="paragraph" w:customStyle="1" w:styleId="B9DC342E51623441B8E88BA5FF26F671">
    <w:name w:val="B9DC342E51623441B8E88BA5FF26F671"/>
    <w:rsid w:val="00C969A7"/>
  </w:style>
  <w:style w:type="paragraph" w:customStyle="1" w:styleId="F233238EA3944646A5DD3A59DA8F9308">
    <w:name w:val="F233238EA3944646A5DD3A59DA8F9308"/>
    <w:rsid w:val="00C969A7"/>
  </w:style>
  <w:style w:type="paragraph" w:customStyle="1" w:styleId="8DD7C959ADCA0840ABC8BA6461B5ED1A">
    <w:name w:val="8DD7C959ADCA0840ABC8BA6461B5ED1A"/>
    <w:rsid w:val="00C969A7"/>
  </w:style>
  <w:style w:type="paragraph" w:customStyle="1" w:styleId="0129D97946E2854A857A9738E4F128A2">
    <w:name w:val="0129D97946E2854A857A9738E4F128A2"/>
    <w:rsid w:val="00C969A7"/>
  </w:style>
  <w:style w:type="paragraph" w:customStyle="1" w:styleId="00DE5FCD53A7BA47B91E2CF0CB77E228">
    <w:name w:val="00DE5FCD53A7BA47B91E2CF0CB77E228"/>
    <w:rsid w:val="00C969A7"/>
  </w:style>
  <w:style w:type="paragraph" w:customStyle="1" w:styleId="7E135B0CC63C3F45ABA38815EB853FC7">
    <w:name w:val="7E135B0CC63C3F45ABA38815EB853FC7"/>
    <w:rsid w:val="00C969A7"/>
  </w:style>
  <w:style w:type="paragraph" w:customStyle="1" w:styleId="DCEDB25691ED704FB68BB233F84C1DB5">
    <w:name w:val="DCEDB25691ED704FB68BB233F84C1DB5"/>
    <w:rsid w:val="00C969A7"/>
  </w:style>
  <w:style w:type="paragraph" w:customStyle="1" w:styleId="93D17CE502F8C34BA7278E73B44D8A62">
    <w:name w:val="93D17CE502F8C34BA7278E73B44D8A62"/>
    <w:rsid w:val="00C969A7"/>
  </w:style>
  <w:style w:type="paragraph" w:customStyle="1" w:styleId="F6623ADF4EA3F448A3D76AECBD7D5AA4">
    <w:name w:val="F6623ADF4EA3F448A3D76AECBD7D5AA4"/>
    <w:rsid w:val="00C969A7"/>
  </w:style>
  <w:style w:type="paragraph" w:customStyle="1" w:styleId="839AC442A0983C409486A37F65100570">
    <w:name w:val="839AC442A0983C409486A37F65100570"/>
    <w:rsid w:val="00C969A7"/>
  </w:style>
  <w:style w:type="paragraph" w:customStyle="1" w:styleId="1C37CAFA8EE8654982F13657B0026632">
    <w:name w:val="1C37CAFA8EE8654982F13657B0026632"/>
    <w:rsid w:val="00C969A7"/>
  </w:style>
  <w:style w:type="paragraph" w:customStyle="1" w:styleId="ED1D34E7D18ECB459A859B2DB1B96679">
    <w:name w:val="ED1D34E7D18ECB459A859B2DB1B96679"/>
    <w:rsid w:val="00C969A7"/>
  </w:style>
  <w:style w:type="paragraph" w:customStyle="1" w:styleId="2165F390107C754DA8DA28335C293A1E">
    <w:name w:val="2165F390107C754DA8DA28335C293A1E"/>
    <w:rsid w:val="00C969A7"/>
  </w:style>
  <w:style w:type="paragraph" w:customStyle="1" w:styleId="58646907AE33C142BD373761C258E3F7">
    <w:name w:val="58646907AE33C142BD373761C258E3F7"/>
    <w:rsid w:val="00C969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DF1754-1B91-1948-8DD0-2BF415456909}">
  <we:reference id="8c1c3d44-57e9-40d7-86e4-4adf88fea1dd" version="3.0.0.0" store="EXCatalog" storeType="EXCatalog"/>
  <we:alternateReferences>
    <we:reference id="WA200007520" version="3.0.0.0" store="es-ES" storeType="OMEX"/>
  </we:alternateReferences>
  <we:properties>
    <we:property name="bibliographyEnabled" value="&quot;bibliographyEnabled&quot;"/>
    <we:property name="citations" value="{&quot;24608224&quot;:{&quot;referencesIds&quot;:[&quot;doc:6973391c5ebb28342e7e57dd&quot;],&quot;referencesOptions&quot;:{&quot;doc:6973391c5ebb28342e7e57d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4608224,&quot;citationText&quot;:&quot;&lt;span style=\&quot;font-family:Times New Roman;font-size:16px;color:#000000\&quot;&gt;(Céline Azémar &amp;amp; Axèle Giroud, 2023)&lt;/span&gt;&quot;},&quot;59383719&quot;:{&quot;referencesIds&quot;:[&quot;doc:69b9660b6c23824ee932ff79&quot;,&quot;doc:69b96575abbb854afbe08a68&quot;],&quot;referencesOptions&quot;:{&quot;doc:69b9660b6c23824ee932ff79&quot;:{&quot;author&quot;:true,&quot;year&quot;:true,&quot;formatAuthorYear&quot;:false,&quot;pageReplace&quot;:&quot;&quot;,&quot;additionalField&quot;:&quot;&quot;,&quot;additionalValue&quot;:&quot;&quot;,&quot;prefix&quot;:&quot;&quot;,&quot;suffix&quot;:&quot;&quot;},&quot;doc:69b96575abbb854afbe08a6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9383719,&quot;citationText&quot;:&quot;&lt;span style=\&quot;font-family:Times New Roman;font-size:16px;color:#000000\&quot;&gt;(Comisión Europea, 2017; United Nations Commission on International Trade Law (UNCITRAL) Working Group III, 2019)&lt;/span&gt;&quot;},&quot;104014683&quot;:{&quot;referencesIds&quot;:[&quot;doc:69b91b1153d1710edc1b93eb&quot;],&quot;referencesOptions&quot;:{&quot;doc:69b91b1153d1710edc1b93e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4014683,&quot;citationText&quot;:&quot;&lt;span style=\&quot;font-family:Times New Roman;font-size:16px;color:#000000\&quot;&gt;(Estados miembros de la Unión Europea, 2020)&lt;/span&gt;&quot;},&quot;202755087&quot;:{&quot;referencesIds&quot;:[&quot;doc:69bd26460b7c5e250b8c36df&quot;],&quot;referencesOptions&quot;:{&quot;doc:69bd26460b7c5e250b8c36d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2755087,&quot;citationText&quot;:&quot;&lt;span style=\&quot;font-family:Times New Roman;font-size:16px;color:#000000\&quot;&gt;(Tribunal de Arbitraje del CIADI, presidido por el Lic. Claus von Wobeser, 2014)&lt;/span&gt;&quot;},&quot;218795523&quot;:{&quot;referencesIds&quot;:[&quot;doc:69660a166976963cbb259801&quot;],&quot;referencesOptions&quot;:{&quot;doc:69660a166976963cbb25980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8795523,&quot;citationText&quot;:&quot;&lt;span style=\&quot;font-family:Times New Roman;font-size:16px;color:#000000\&quot;&gt;(UNCTAD, 2015)&lt;/span&gt;&quot;},&quot;325868166&quot;:{&quot;referencesIds&quot;:[&quot;doc:69c0f4fd6c23824ee933b281&quot;],&quot;referencesOptions&quot;:{&quot;doc:69c0f4fd6c23824ee933b28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25868166,&quot;citationText&quot;:&quot;&lt;span style=\&quot;font-family:Times New Roman;font-size:16px;color:#000000\&quot;&gt;(&lt;i&gt;The MERCOSUR Protocol on Investment Cooperation and Facilitation: regionalizing an innovative approach to investment agreements, &lt;/i&gt;2017)&lt;/span&gt;&quot;},&quot;447047319&quot;:{&quot;referencesIds&quot;:[&quot;doc:69b6973f53d1710edc1b32fb&quot;],&quot;referencesOptions&quot;:{&quot;doc:69b6973f53d1710edc1b32f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47047319,&quot;citationText&quot;:&quot;&lt;span style=\&quot;font-family:Times New Roman;font-size:16px;color:#000000\&quot;&gt;(Tribunal de Justicia de la Unión Europea, 2017)&lt;/span&gt;&quot;},&quot;467410051&quot;:{&quot;referencesIds&quot;:[&quot;doc:697330595ebb28342e7e572e&quot;],&quot;referencesOptions&quot;:{&quot;doc:697330595ebb28342e7e572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67410051,&quot;citationText&quot;:&quot;&lt;span style=\&quot;font-family:Times New Roman;font-size:16px;color:#000000\&quot;&gt;(United Nations Conference on Trade and Development, 2004)&lt;/span&gt;&quot;},&quot;602472704&quot;:{&quot;referencesIds&quot;:[&quot;doc:69bd24d353d1710edc1c082e&quot;],&quot;referencesOptions&quot;:{&quot;doc:69bd24d353d1710edc1c082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02472704,&quot;citationText&quot;:&quot;&lt;span style=\&quot;font-family:Times New Roman;font-size:16px;color:#000000\&quot;&gt;(Centro Internacional de Arreglo de Diferencias Relativas a Inversiones, 2012)&lt;/span&gt;&quot;},&quot;637621657&quot;:{&quot;referencesIds&quot;:[&quot;doc:69baf9d553d1710edc1bda79&quot;],&quot;referencesOptions&quot;:{&quot;doc:69baf9d553d1710edc1bda7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7621657,&quot;citationText&quot;:&quot;&lt;span style=\&quot;font-family:Times New Roman;font-size:16px;color:#000000\&quot;&gt;(Comisión Económica para América Latina y el Caribe (CEPAL), 2024)&lt;/span&gt;&quot;},&quot;723260452&quot;:{&quot;referencesIds&quot;:[&quot;doc:69baf95b0b7c5e250b8c0a4c&quot;],&quot;referencesOptions&quot;:{&quot;doc:69baf95b0b7c5e250b8c0a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23260452,&quot;citationText&quot;:&quot;&lt;span style=\&quot;font-family:Times New Roman;font-size:16px;color:#000000\&quot;&gt;(United Nations Conference on Trade and Development (UNCTAD), 2010)&lt;/span&gt;&quot;},&quot;750233666&quot;:{&quot;referencesIds&quot;:[&quot;doc:6979bbfaabc7e139f487563a&quot;],&quot;referencesOptions&quot;:{&quot;doc:6979bbfaabc7e139f487563a&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50233666,&quot;citationText&quot;:&quot;&lt;span style=\&quot;font-family:Times New Roman;font-size:16px;color:#000000\&quot;&gt;(UNCTAD, 1999)&lt;/span&gt;&quot;},&quot;765277516&quot;:{&quot;referencesIds&quot;:[&quot;doc:69660a166976963cbb259801&quot;,&quot;doc:6973312d5ebb28342e7e576d&quot;],&quot;referencesOptions&quot;:{&quot;doc:69660a166976963cbb259801&quot;:{&quot;author&quot;:true,&quot;year&quot;:true,&quot;formatAuthorYear&quot;:false,&quot;pageReplace&quot;:&quot;&quot;,&quot;additionalField&quot;:&quot;&quot;,&quot;additionalValue&quot;:&quot;&quot;,&quot;prefix&quot;:&quot;&quot;,&quot;suffix&quot;:&quot;&quot;},&quot;doc:6973312d5ebb28342e7e576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65277516,&quot;citationText&quot;:&quot;&lt;span style=\&quot;font-family:Times New Roman;font-size:16px;color:#000000\&quot;&gt;(Carlos &amp;amp; Rozas, 2000; UNCTAD, 2015)&lt;/span&gt;&quot;},&quot;824713349&quot;:{&quot;referencesIds&quot;:[&quot;doc:69a59b356c23824ee930b2ad&quot;,&quot;doc:69a59b35abbb854afbde93ca&quot;],&quot;referencesOptions&quot;:{&quot;doc:69a59b356c23824ee930b2ad&quot;:{&quot;author&quot;:true,&quot;year&quot;:true,&quot;formatAuthorYear&quot;:false,&quot;pageReplace&quot;:&quot;&quot;,&quot;additionalField&quot;:&quot;&quot;,&quot;additionalValue&quot;:&quot;&quot;,&quot;prefix&quot;:&quot;&quot;,&quot;suffix&quot;:&quot;&quot;},&quot;doc:69a59b35abbb854afbde93ca&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24713349,&quot;citationText&quot;:&quot;&lt;span style=\&quot;font-family:Times New Roman;font-size:16px;color:#000000\&quot;&gt;(Comision de las Naciones Unidas para el Derecho Mercantil Internacional (CNUDMI), 1958; UNCTAD (Conferencia de las Naciones Unidas sobre Comercio y Desarrollo), 2025)&lt;/span&gt;&quot;},&quot;945116597&quot;:{&quot;referencesIds&quot;:[&quot;doc:6973312d5ebb28342e7e576d&quot;],&quot;referencesOptions&quot;:{&quot;doc:6973312d5ebb28342e7e576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45116597,&quot;citationText&quot;:&quot;&lt;span style=\&quot;font-family:Times New Roman;font-size:16px;color:#000000\&quot;&gt;(Carlos &amp;amp; Rozas, 2000)&lt;/span&gt;&quot;},&quot;1044489647&quot;:{&quot;referencesIds&quot;:[&quot;doc:6978b0825ebb28342e7ec893&quot;],&quot;referencesOptions&quot;:{&quot;doc:6978b0825ebb28342e7ec89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44489647,&quot;citationText&quot;:&quot;&lt;span style=\&quot;font-family:Times New Roman;font-size:16px;color:#000000\&quot;&gt;(International Bank for Reconstruction and Development, 1965)&lt;/span&gt;&quot;},&quot;1221712828&quot;:{&quot;referencesIds&quot;:[&quot;doc:6978b0825ebb28342e7ec893&quot;],&quot;referencesOptions&quot;:{&quot;doc:6978b0825ebb28342e7ec89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21712828,&quot;citationText&quot;:&quot;&lt;span style=\&quot;font-family:Times New Roman;font-size:16px;color:#000000\&quot;&gt;(International Bank for Reconstruction and Development, 1965)&lt;/span&gt;&quot;},&quot;1242912646&quot;:{&quot;referencesIds&quot;:[&quot;doc:69b96575abbb854afbe08a68&quot;],&quot;referencesOptions&quot;:{&quot;doc:69b96575abbb854afbe08a6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42912646,&quot;citationText&quot;:&quot;&lt;span style=\&quot;font-family:Times New Roman;font-size:16px;color:#000000\&quot;&gt;(Comisión Europea, 2017)&lt;/span&gt;&quot;},&quot;1261188560&quot;:{&quot;referencesIds&quot;:[&quot;doc:69c0f59a6c23824ee933b28b&quot;],&quot;referencesOptions&quot;:{&quot;doc:69c0f59a6c23824ee933b28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61188560,&quot;citationText&quot;:&quot;&lt;span style=\&quot;font-family:Times New Roman;font-size:16px;color:#000000\&quot;&gt;(De Galiza Fernandes Luppi, 2024)&lt;/span&gt;&quot;},&quot;1298647970&quot;:{&quot;referencesIds&quot;:[&quot;doc:69ba8117abbb854afbe0ae37&quot;],&quot;referencesOptions&quot;:{&quot;doc:69ba8117abbb854afbe0ae3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98647970,&quot;citationText&quot;:&quot;&lt;span style=\&quot;font-family:Times New Roman;font-size:16px;color:#000000\&quot;&gt;(Tribunal de Justicia de la Unión Europea (Pleno), 2019)&lt;/span&gt;&quot;},&quot;1349514644&quot;:{&quot;referencesIds&quot;:[&quot;doc:69baf9d553d1710edc1bda79&quot;],&quot;referencesOptions&quot;:{&quot;doc:69baf9d553d1710edc1bda7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49514644,&quot;citationText&quot;:&quot;&lt;span style=\&quot;font-family:Times New Roman;font-size:16px;color:#000000\&quot;&gt;(Comisión Económica para América Latina y el Caribe (CEPAL), 2024)&lt;/span&gt;&quot;},&quot;1435548258&quot;:{&quot;referencesIds&quot;:[&quot;doc:69b9199b53d1710edc1b93da&quot;],&quot;referencesOptions&quot;:{&quot;doc:69b9199b53d1710edc1b93da&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35548258,&quot;citationText&quot;:&quot;&lt;span style=\&quot;font-family:Times New Roman;font-size:16px;color:#000000\&quot;&gt;(Tribunal de Justicia de la Unión Europea (Gran Sala), 2018)&lt;/span&gt;&quot;},&quot;1548330279&quot;:{&quot;referencesIds&quot;:[&quot;doc:69bd25586c23824ee93361de&quot;],&quot;referencesOptions&quot;:{&quot;doc:69bd25586c23824ee93361d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48330279,&quot;citationText&quot;:&quot;&lt;span style=\&quot;font-family:Times New Roman;font-size:16px;color:#000000\&quot;&gt;(International Centre for Settlement of Investment Disputes (ICSID), 2012)&lt;/span&gt;&quot;},&quot;1612315940&quot;:{&quot;referencesIds&quot;:[&quot;doc:69b9199b53d1710edc1b93da&quot;],&quot;referencesOptions&quot;:{&quot;doc:69b9199b53d1710edc1b93da&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12315940,&quot;citationText&quot;:&quot;&lt;span style=\&quot;font-family:Times New Roman;font-size:16px;color:#000000\&quot;&gt;(Tribunal de Justicia de la Unión Europea (Gran Sala), 2018)&lt;/span&gt;&quot;},&quot;1617867598&quot;:{&quot;referencesIds&quot;:[&quot;doc:69c0f3c06c23824ee933b26b&quot;],&quot;referencesOptions&quot;:{&quot;doc:69c0f3c06c23824ee933b2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17867598,&quot;citationText&quot;:&quot;&lt;span style=\&quot;font-family:Times New Roman;font-size:16px;color:#000000\&quot;&gt;(Saldaña Pérez, 2020)&lt;/span&gt;&quot;},&quot;1640773404&quot;:{&quot;referencesIds&quot;:[&quot;doc:69b695f26c23824ee93247e9&quot;],&quot;referencesOptions&quot;:{&quot;doc:69b695f26c23824ee93247e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40773404,&quot;citationText&quot;:&quot;&lt;span style=\&quot;font-family:Times New Roman;font-size:16px;color:#000000\&quot;&gt;(Stephen Woolcock, 2010)&lt;/span&gt;&quot;},&quot;1828087417&quot;:{&quot;referencesIds&quot;:[&quot;doc:6979baf9abc7e139f4875638&quot;],&quot;referencesOptions&quot;:{&quot;doc:6979baf9abc7e139f487563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28087417,&quot;citationText&quot;:&quot;&lt;span style=\&quot;font-family:Times New Roman;font-size:16px;color:#000000\&quot;&gt;(UNCTAD, 2012b)&lt;/span&gt;&quot;},&quot;1886442673&quot;:{&quot;referencesIds&quot;:[&quot;doc:697330595ebb28342e7e572e&quot;],&quot;referencesOptions&quot;:{&quot;doc:697330595ebb28342e7e572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86442673,&quot;citationText&quot;:&quot;&lt;span style=\&quot;font-family:Times New Roman;font-size:16px;color:#000000\&quot;&gt;(United Nations Conference on Trade and Development, 2004)&lt;/span&gt;&quot;},&quot;2034294142&quot;:{&quot;referencesIds&quot;:[&quot;doc:697330595ebb28342e7e572e&quot;],&quot;referencesOptions&quot;:{&quot;doc:697330595ebb28342e7e572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4294142,&quot;citationText&quot;:&quot;&lt;span style=\&quot;font-family:Times New Roman;font-size:16px;color:#000000\&quot;&gt;(United Nations Conference on Trade and Development, 2004)&lt;/span&gt;&quot;},&quot;2082862142&quot;:{&quot;referencesIds&quot;:[&quot;doc:69a59b3553d1710edc199b16&quot;],&quot;referencesOptions&quot;:{&quot;doc:69a59b3553d1710edc199b1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82862142,&quot;citationText&quot;:&quot;&lt;span style=\&quot;font-family:Times New Roman;font-size:16px;color:#000000\&quot;&gt;(Conferencia de las Naciones Unidas sobre Comercio y Desarrollo (UNCTAD), 2003)&lt;/span&gt;&quot;},&quot;2145763659&quot;:{&quot;referencesIds&quot;:[&quot;doc:6978b0825ebb28342e7ec893&quot;],&quot;referencesOptions&quot;:{&quot;doc:6978b0825ebb28342e7ec893&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quot;id&quot;:2145763659,&quot;citationText&quot;:&quot;&lt;span style=\&quot;font-family:Times New Roman;font-size:16px;color:#000000\&quot;&gt;(International Bank for Reconstruction and Development, 1965)&lt;/span&gt;&quot;},&quot;-2036645048&quot;:{&quot;referencesIds&quot;:[&quot;doc:69660a166976963cbb259801&quot;],&quot;referencesOptions&quot;:{&quot;doc:69660a166976963cbb25980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6645048,&quot;citationText&quot;:&quot;&lt;span style=\&quot;font-family:Times New Roman;font-size:16px;color:#000000\&quot;&gt;(UNCTAD, 2015)&lt;/span&gt;&quot;},&quot;-11305999&quot;:{&quot;referencesIds&quot;:[&quot;doc:6966073a7d51ae13acc259d7&quot;],&quot;referencesOptions&quot;:{&quot;doc:6966073a7d51ae13acc259d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305999,&quot;citationText&quot;:&quot;&lt;span style=\&quot;font-family:Times New Roman;font-size:16px;color:#000000\&quot;&gt;(OECD, 1996)&lt;/span&gt;&quot;},&quot;-1345549200&quot;:{&quot;referencesIds&quot;:[&quot;doc:69660a166976963cbb259801&quot;],&quot;referencesOptions&quot;:{&quot;doc:69660a166976963cbb25980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45549200,&quot;citationText&quot;:&quot;&lt;span style=\&quot;font-family:Times New Roman;font-size:16px;color:#000000\&quot;&gt;(UNCTAD, 2015)&lt;/span&gt;&quot;},&quot;-935828885&quot;:{&quot;referencesIds&quot;:[&quot;doc:69660a166976963cbb259801&quot;],&quot;referencesOptions&quot;:{&quot;doc:69660a166976963cbb25980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35828885,&quot;citationText&quot;:&quot;&lt;span style=\&quot;font-family:Times New Roman;font-size:16px;color:#000000\&quot;&gt;(UNCTAD, 2015)&lt;/span&gt;&quot;},&quot;-2068247090&quot;:{&quot;referencesIds&quot;:[&quot;doc:697330595ebb28342e7e572e&quot;],&quot;referencesOptions&quot;:{&quot;doc:697330595ebb28342e7e572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68247090,&quot;citationText&quot;:&quot;&lt;span style=\&quot;font-family:Times New Roman;font-size:16px;color:#000000\&quot;&gt;(United Nations Conference on Trade and Development, 2004)&lt;/span&gt;&quot;},&quot;-314577501&quot;:{&quot;referencesIds&quot;:[&quot;doc:69660a166976963cbb259801&quot;],&quot;referencesOptions&quot;:{&quot;doc:69660a166976963cbb259801&quot;:{&quot;author&quot;:true,&quot;year&quot;:true,&quot;formatAuthorYear&quot;:false,&quot;additionalField&quot;:&quot;Page&quot;,&quot;additionalValue&quot;:&quot;&quot;,&quot;prefix&quot;:&quot;&quot;,&quot;suffix&quot;:&quot;&quot;}},&quot;hasBrokenReferences&quot;:false,&quot;hasManualEdits&quot;:false,&quot;isEmpty&quot;:false,&quot;citationType&quot;:&quot;inline&quot;,&quot;id&quot;:-314577501,&quot;citationText&quot;:&quot;&lt;span style=\&quot;font-family:Times New Roman;font-size:16px;color:#000000\&quot;&gt;(UNCTAD, 2015)&lt;/span&gt;&quot;},&quot;-178505843&quot;:{&quot;referencesIds&quot;:[&quot;doc:6979bbfaabc7e139f487563a&quot;],&quot;referencesOptions&quot;:{&quot;doc:6979bbfaabc7e139f487563a&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505843,&quot;citationText&quot;:&quot;&lt;span style=\&quot;font-family:Times New Roman;font-size:16px;color:#000000\&quot;&gt;(UNCTAD, 1999)&lt;/span&gt;&quot;},&quot;-1647972109&quot;:{&quot;referencesIds&quot;:[&quot;doc:6979bc92bf3f3353fff07968&quot;],&quot;referencesOptions&quot;:{&quot;doc:6979bc92bf3f3353fff0796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47972109,&quot;citationText&quot;:&quot;&lt;span style=\&quot;font-family:Times New Roman;font-size:16px;color:#000000\&quot;&gt;(UNCTAD, 2012a)&lt;/span&gt;&quot;},&quot;-368386097&quot;:{&quot;referencesIds&quot;:[&quot;doc:6978b0825ebb28342e7ec893&quot;],&quot;referencesOptions&quot;:{&quot;doc:6978b0825ebb28342e7ec89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68386097,&quot;citationText&quot;:&quot;&lt;span style=\&quot;font-family:Times New Roman;font-size:16px;color:#000000\&quot;&gt;(International Bank for Reconstruction and Development, 1965)&lt;/span&gt;&quot;},&quot;-1038965289&quot;:{&quot;referencesIds&quot;:[&quot;doc:69a59b356c23824ee930b2ad&quot;],&quot;referencesOptions&quot;:{&quot;doc:69a59b356c23824ee930b2a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38965289,&quot;citationText&quot;:&quot;&lt;span style=\&quot;font-family:Times New Roman;font-size:16px;color:#000000\&quot;&gt;(UNCTAD (Conferencia de las Naciones Unidas sobre Comercio y Desarrollo), 2025)&lt;/span&gt;&quot;},&quot;-1373066903&quot;:{&quot;referencesIds&quot;:[&quot;doc:69a67293abbb854afbdeabdb&quot;],&quot;referencesOptions&quot;:{&quot;doc:69a67293abbb854afbdeabd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73066903,&quot;citationText&quot;:&quot;&lt;span style=\&quot;font-family:Times New Roman;font-size:16px;color:#000000\&quot;&gt;(Cámara de Comercio Internacional, 2022)&lt;/span&gt;&quot;},&quot;-1419241333&quot;:{&quot;referencesIds&quot;:[&quot;doc:69b6955653d1710edc1b32ec&quot;],&quot;referencesOptions&quot;:{&quot;doc:69b6955653d1710edc1b32e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19241333,&quot;citationText&quot;:&quot;&lt;span style=\&quot;font-family:Times New Roman;font-size:16px;color:#000000\&quot;&gt;(European Commission, 2010)&lt;/span&gt;&quot;},&quot;-2029165983&quot;:{&quot;referencesIds&quot;:[&quot;doc:69b6964cabbb854afbe045c7&quot;],&quot;referencesOptions&quot;:{&quot;doc:69b6964cabbb854afbe045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29165983,&quot;citationText&quot;:&quot;&lt;span style=\&quot;font-family:Times New Roman;font-size:16px;color:#000000\&quot;&gt;(&lt;i&gt;Reglamento (UE) n.º 1219/2012 del parlamento europeo y del consejo, de 12 de diciembre de 2012, por el que se establecen disposiciones transitorias sobre los acuerdos bilaterales de inversión entre estados miembros y terceros países, &lt;/i&gt;2012)&lt;/span&gt;&quot;},&quot;-168484741&quot;:{&quot;referencesIds&quot;:[&quot;doc:69b9660b6c23824ee932ff79&quot;],&quot;referencesOptions&quot;:{&quot;doc:69b9660b6c23824ee932ff7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8484741,&quot;citationText&quot;:&quot;&lt;span style=\&quot;font-family:Times New Roman;font-size:16px;color:#000000\&quot;&gt;(United Nations Commission on International Trade Law (UNCITRAL) Working Group III, 2019)&lt;/span&gt;&quot;},&quot;-1962181146&quot;:{&quot;referencesIds&quot;:[&quot;doc:69b9a4ca0b7c5e250b8bbbb0&quot;],&quot;referencesOptions&quot;:{&quot;doc:69b9a4ca0b7c5e250b8bbbb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2181146,&quot;citationText&quot;:&quot;&lt;span style=\&quot;font-family:Times New Roman;font-size:16px;color:#000000\&quot;&gt;(Unión Europea &amp;amp; Canadá, 2017)&lt;/span&gt;&quot;},&quot;-1790572315&quot;:{&quot;referencesIds&quot;:[&quot;doc:69b9ac826c23824ee9330926&quot;],&quot;referencesOptions&quot;:{&quot;doc:69b9ac826c23824ee933092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90572315,&quot;citationText&quot;:&quot;&lt;span style=\&quot;font-family:Times New Roman;font-size:16px;color:#000000\&quot;&gt;(Grieger, 2025)&lt;/span&gt;&quot;},&quot;-2075189190&quot;:{&quot;referencesIds&quot;:[&quot;doc:69baf9d553d1710edc1bda79&quot;],&quot;referencesOptions&quot;:{&quot;doc:69baf9d553d1710edc1bda7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75189190,&quot;citationText&quot;:&quot;&lt;span style=\&quot;font-family:Times New Roman;font-size:16px;color:#000000\&quot;&gt;(Comisión Económica para América Latina y el Caribe (CEPAL), 2024)&lt;/span&gt;&quot;},&quot;-1441755861&quot;:{&quot;referencesIds&quot;:[&quot;doc:69660a166976963cbb259801&quot;],&quot;referencesOptions&quot;:{&quot;doc:69660a166976963cbb25980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41755861,&quot;citationText&quot;:&quot;&lt;span style=\&quot;font-family:Times New Roman;font-size:16px;color:#000000\&quot;&gt;(UNCTAD, 2015)&lt;/span&gt;&quot;},&quot;-1343775576&quot;:{&quot;referencesIds&quot;:[&quot;doc:69bd2373abbb854afbe0f466&quot;],&quot;referencesOptions&quot;:{&quot;doc:69bd2373abbb854afbe0f4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43775576,&quot;citationText&quot;:&quot;&lt;span style=\&quot;font-family:Times New Roman;font-size:16px;color:#000000\&quot;&gt;(Centro Internacional de Arreglo de Diferencias Relativas a Inversiones (Mecanismo Complementario), 2000)&lt;/span&gt;&quot;},&quot;-1185441221&quot;:{&quot;referencesIds&quot;:[&quot;doc:69bd24480b7c5e250b8c3686&quot;],&quot;referencesOptions&quot;:{&quot;doc:69bd24480b7c5e250b8c368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85441221,&quot;citationText&quot;:&quot;&lt;span style=\&quot;font-family:Times New Roman;font-size:16px;color:#000000\&quot;&gt;(Supreme Court of British Columbia, 2001)&lt;/span&gt;&quot;},&quot;-578756466&quot;:{&quot;referencesIds&quot;:[&quot;doc:69bd26d56c23824ee933623a&quot;],&quot;referencesOptions&quot;:{&quot;doc:69bd26d56c23824ee933623a&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8756466,&quot;citationText&quot;:&quot;&lt;span style=\&quot;font-family:Times New Roman;font-size:16px;color:#000000\&quot;&gt;(República Argentina y Repsol S.A., 2014)&lt;/span&gt;&quot;},&quot;-1632859182&quot;:{&quot;referencesIds&quot;:[&quot;doc:69c0f54c6c23824ee933b289&quot;],&quot;referencesOptions&quot;:{&quot;doc:69c0f54c6c23824ee933b28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32859182,&quot;citationText&quot;:&quot;&lt;span style=\&quot;font-family:Times New Roman;font-size:16px;color:#000000\&quot;&gt;(Sarmiento, 2016)&lt;/span&gt;&quot;},&quot;-898515319&quot;:{&quot;referencesIds&quot;:[&quot;doc:69baf9d553d1710edc1bda79&quot;],&quot;referencesOptions&quot;:{&quot;doc:69baf9d553d1710edc1bda7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98515319,&quot;citationText&quot;:&quot;&lt;span style=\&quot;font-family:Times New Roman;font-size:16px;color:#000000\&quot;&gt;(Comisión Económica para América Latina y el Caribe (CEPAL), 2024)&lt;/span&gt;&quot;}}"/>
    <we:property name="currentFolder" value="{&quot;depth&quot;:0,&quot;id&quot;:&quot;all&quot;,&quot;name&quot;:&quot;All references&quot;,&quot;parentId&quot;:null,&quot;position&quot;:-2,&quot;isShared&quot;:false}"/>
    <we:property name="currentStyle" value="{&quot;id&quot;:&quot;rwuserstyle:634fa5051abb1e0854a1ead0&quot;,&quot;styleType&quot;:&quot;refworks&quot;,&quot;name&quot;:&quot;APA 7th - CIHS&quot;,&quot;userId&quot;:&quot;user:532710a367b1db6a9b060642&quot;,&quot;isInstitutional&quot;:false,&quot;citeStyle&quot;:&quot;INTEXT_ONLY&quot;,&quot;isSorted&quot;:true,&quot;usesNumbers&quot;:false,&quot;authorDisambiguation&quot;:&quot;surname_firstname&quot;}"/>
    <we:property name="rcm.version" value="2"/>
    <we:property name="rw.officeVersion" value="&quot;1.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A5C12-817B-3C41-BB95-F4CF69CF5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54</Pages>
  <Words>18832</Words>
  <Characters>110174</Characters>
  <Application>Microsoft Office Word</Application>
  <DocSecurity>0</DocSecurity>
  <Lines>1777</Lines>
  <Paragraphs>383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 Saenz Rotko</dc:creator>
  <cp:lastModifiedBy>Álvaro Godoy Marín</cp:lastModifiedBy>
  <cp:revision>7</cp:revision>
  <dcterms:created xsi:type="dcterms:W3CDTF">2026-06-01T13:49:00Z</dcterms:created>
  <dcterms:modified xsi:type="dcterms:W3CDTF">2026-06-02T07:51:00Z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Microsoft® Word 2016</vt:lpwstr>
  </property>
  <property fmtid="{D5CDD505-2E9C-101B-9397-08002B2CF9AE}" pid="4" name="LastSaved">
    <vt:filetime>2020-05-02T00:00:00Z</vt:filetime>
  </property>
</Properties>
</file>