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7C30F" w14:textId="77777777" w:rsidR="00CC07FD" w:rsidRDefault="00000000">
      <w:pPr>
        <w:spacing w:after="0" w:line="240" w:lineRule="auto"/>
        <w:ind w:left="-30"/>
        <w:jc w:val="center"/>
        <w:textAlignment w:val="baseline"/>
      </w:pPr>
      <w:r>
        <w:rPr>
          <w:rFonts w:ascii="Segoe UI" w:eastAsia="Times New Roman" w:hAnsi="Segoe UI" w:cs="Segoe UI"/>
          <w:noProof/>
          <w:color w:val="000000"/>
          <w:kern w:val="0"/>
          <w:sz w:val="18"/>
          <w:szCs w:val="18"/>
          <w:lang w:eastAsia="es-ES"/>
        </w:rPr>
        <w:drawing>
          <wp:inline distT="0" distB="0" distL="0" distR="0" wp14:anchorId="5020EE7B" wp14:editId="1A69CA10">
            <wp:extent cx="4136388" cy="2917192"/>
            <wp:effectExtent l="0" t="0" r="0" b="0"/>
            <wp:docPr id="1664559656" name="Imagen 11" descr="Logotipo, nombre de la empres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rcRect/>
                    <a:stretch>
                      <a:fillRect/>
                    </a:stretch>
                  </pic:blipFill>
                  <pic:spPr>
                    <a:xfrm>
                      <a:off x="0" y="0"/>
                      <a:ext cx="4136388" cy="2917192"/>
                    </a:xfrm>
                    <a:prstGeom prst="rect">
                      <a:avLst/>
                    </a:prstGeom>
                    <a:noFill/>
                    <a:ln>
                      <a:noFill/>
                      <a:prstDash/>
                    </a:ln>
                  </pic:spPr>
                </pic:pic>
              </a:graphicData>
            </a:graphic>
          </wp:inline>
        </w:drawing>
      </w:r>
      <w:r>
        <w:rPr>
          <w:rFonts w:ascii="Times New Roman" w:eastAsia="Times New Roman" w:hAnsi="Times New Roman"/>
          <w:kern w:val="0"/>
          <w:lang w:eastAsia="es-ES"/>
        </w:rPr>
        <w:t> </w:t>
      </w:r>
    </w:p>
    <w:p w14:paraId="3D92E593" w14:textId="77777777" w:rsidR="00CC07FD" w:rsidRDefault="00000000">
      <w:pPr>
        <w:spacing w:after="0" w:line="240" w:lineRule="auto"/>
        <w:ind w:left="-30"/>
        <w:jc w:val="center"/>
        <w:textAlignment w:val="baseline"/>
      </w:pPr>
      <w:r>
        <w:rPr>
          <w:rFonts w:ascii="Times New Roman" w:eastAsia="Times New Roman" w:hAnsi="Times New Roman"/>
          <w:kern w:val="0"/>
          <w:lang w:eastAsia="es-ES"/>
        </w:rPr>
        <w:t> </w:t>
      </w:r>
    </w:p>
    <w:p w14:paraId="477E0B0C" w14:textId="77777777" w:rsidR="00CC07FD" w:rsidRDefault="00000000">
      <w:pPr>
        <w:spacing w:after="0" w:line="240" w:lineRule="auto"/>
        <w:ind w:left="-30"/>
        <w:jc w:val="center"/>
        <w:textAlignment w:val="baseline"/>
      </w:pPr>
      <w:r>
        <w:rPr>
          <w:rFonts w:ascii="Times New Roman" w:eastAsia="Times New Roman" w:hAnsi="Times New Roman"/>
          <w:kern w:val="0"/>
          <w:lang w:eastAsia="es-ES"/>
        </w:rPr>
        <w:t> </w:t>
      </w:r>
    </w:p>
    <w:p w14:paraId="497AB29C" w14:textId="77777777" w:rsidR="00CC07FD" w:rsidRDefault="00000000">
      <w:pPr>
        <w:spacing w:after="0" w:line="240" w:lineRule="auto"/>
        <w:jc w:val="center"/>
        <w:textAlignment w:val="baseline"/>
        <w:rPr>
          <w:rFonts w:ascii="Times New Roman" w:eastAsia="Times New Roman" w:hAnsi="Times New Roman"/>
          <w:kern w:val="0"/>
          <w:sz w:val="44"/>
          <w:szCs w:val="44"/>
          <w:lang w:eastAsia="es-ES"/>
        </w:rPr>
      </w:pPr>
      <w:r>
        <w:rPr>
          <w:rFonts w:ascii="Times New Roman" w:eastAsia="Times New Roman" w:hAnsi="Times New Roman"/>
          <w:kern w:val="0"/>
          <w:sz w:val="44"/>
          <w:szCs w:val="44"/>
          <w:lang w:eastAsia="es-ES"/>
        </w:rPr>
        <w:t>FACULTAD DE CIENCIAS HUMANAS Y SOCIALES</w:t>
      </w:r>
    </w:p>
    <w:p w14:paraId="0322F00E" w14:textId="77777777" w:rsidR="00CC07FD" w:rsidRDefault="00CC07FD">
      <w:pPr>
        <w:spacing w:after="0" w:line="240" w:lineRule="auto"/>
        <w:jc w:val="center"/>
        <w:textAlignment w:val="baseline"/>
        <w:rPr>
          <w:rFonts w:ascii="Segoe UI" w:eastAsia="Times New Roman" w:hAnsi="Segoe UI" w:cs="Segoe UI"/>
          <w:color w:val="000000"/>
          <w:kern w:val="0"/>
          <w:sz w:val="18"/>
          <w:szCs w:val="18"/>
          <w:lang w:eastAsia="es-ES"/>
        </w:rPr>
      </w:pPr>
    </w:p>
    <w:p w14:paraId="6E5FF358" w14:textId="77777777" w:rsidR="00CC07FD" w:rsidRDefault="00CC07FD">
      <w:pPr>
        <w:spacing w:after="0" w:line="240" w:lineRule="auto"/>
        <w:ind w:left="-30"/>
        <w:jc w:val="center"/>
        <w:textAlignment w:val="baseline"/>
        <w:rPr>
          <w:rFonts w:ascii="Segoe UI" w:eastAsia="Times New Roman" w:hAnsi="Segoe UI" w:cs="Segoe UI"/>
          <w:color w:val="000000"/>
          <w:kern w:val="0"/>
          <w:sz w:val="18"/>
          <w:szCs w:val="18"/>
          <w:lang w:eastAsia="es-ES"/>
        </w:rPr>
      </w:pPr>
    </w:p>
    <w:p w14:paraId="720761E4" w14:textId="77777777" w:rsidR="00CC07FD" w:rsidRDefault="00000000">
      <w:pPr>
        <w:spacing w:after="0" w:line="240" w:lineRule="auto"/>
        <w:ind w:left="-30"/>
        <w:jc w:val="center"/>
        <w:textAlignment w:val="baseline"/>
        <w:rPr>
          <w:rFonts w:ascii="Times New Roman" w:eastAsia="Times New Roman" w:hAnsi="Times New Roman"/>
          <w:color w:val="000000"/>
          <w:kern w:val="0"/>
          <w:sz w:val="44"/>
          <w:szCs w:val="44"/>
          <w:lang w:eastAsia="es-ES"/>
        </w:rPr>
      </w:pPr>
      <w:r>
        <w:rPr>
          <w:rFonts w:ascii="Times New Roman" w:eastAsia="Times New Roman" w:hAnsi="Times New Roman"/>
          <w:color w:val="000000"/>
          <w:kern w:val="0"/>
          <w:sz w:val="44"/>
          <w:szCs w:val="44"/>
          <w:lang w:eastAsia="es-ES"/>
        </w:rPr>
        <w:t>Temas principales en el duelo de familiares adultos por suicidio: Revisión bibliográfica de estudios cualitativos.</w:t>
      </w:r>
    </w:p>
    <w:p w14:paraId="20436064" w14:textId="77777777" w:rsidR="00CC07FD" w:rsidRDefault="00CC07FD">
      <w:pPr>
        <w:spacing w:after="0" w:line="240" w:lineRule="auto"/>
        <w:ind w:left="-30"/>
        <w:jc w:val="center"/>
        <w:textAlignment w:val="baseline"/>
        <w:rPr>
          <w:rFonts w:ascii="Segoe UI" w:eastAsia="Times New Roman" w:hAnsi="Segoe UI" w:cs="Segoe UI"/>
          <w:color w:val="000000"/>
          <w:kern w:val="0"/>
          <w:sz w:val="18"/>
          <w:szCs w:val="18"/>
          <w:lang w:eastAsia="es-ES"/>
        </w:rPr>
      </w:pPr>
    </w:p>
    <w:p w14:paraId="53D599D8" w14:textId="77777777" w:rsidR="00CC07FD" w:rsidRDefault="00000000">
      <w:pPr>
        <w:spacing w:after="0" w:line="240" w:lineRule="auto"/>
        <w:ind w:left="-30"/>
        <w:jc w:val="center"/>
        <w:textAlignment w:val="baseline"/>
        <w:rPr>
          <w:rFonts w:ascii="Times New Roman" w:eastAsia="Times New Roman" w:hAnsi="Times New Roman"/>
          <w:kern w:val="0"/>
          <w:sz w:val="36"/>
          <w:szCs w:val="36"/>
          <w:lang w:eastAsia="es-ES"/>
        </w:rPr>
      </w:pPr>
      <w:r>
        <w:rPr>
          <w:rFonts w:ascii="Times New Roman" w:eastAsia="Times New Roman" w:hAnsi="Times New Roman"/>
          <w:kern w:val="0"/>
          <w:sz w:val="36"/>
          <w:szCs w:val="36"/>
          <w:lang w:eastAsia="es-ES"/>
        </w:rPr>
        <w:t>Autora: Ana Campos de Palacios</w:t>
      </w:r>
    </w:p>
    <w:p w14:paraId="447BD22E" w14:textId="77777777" w:rsidR="00CC07FD" w:rsidRDefault="00CC07FD">
      <w:pPr>
        <w:spacing w:after="0" w:line="240" w:lineRule="auto"/>
        <w:ind w:left="-30"/>
        <w:jc w:val="center"/>
        <w:textAlignment w:val="baseline"/>
        <w:rPr>
          <w:rFonts w:ascii="Segoe UI" w:eastAsia="Times New Roman" w:hAnsi="Segoe UI" w:cs="Segoe UI"/>
          <w:color w:val="000000"/>
          <w:kern w:val="0"/>
          <w:sz w:val="18"/>
          <w:szCs w:val="18"/>
          <w:lang w:eastAsia="es-ES"/>
        </w:rPr>
      </w:pPr>
    </w:p>
    <w:p w14:paraId="5D3AF8F7" w14:textId="77777777" w:rsidR="00CC07FD" w:rsidRDefault="00000000">
      <w:pPr>
        <w:spacing w:after="0" w:line="240" w:lineRule="auto"/>
        <w:ind w:left="-30"/>
        <w:jc w:val="center"/>
        <w:textAlignment w:val="baseline"/>
        <w:rPr>
          <w:rFonts w:ascii="Times New Roman" w:eastAsia="Times New Roman" w:hAnsi="Times New Roman"/>
          <w:kern w:val="0"/>
          <w:sz w:val="36"/>
          <w:szCs w:val="36"/>
          <w:lang w:eastAsia="es-ES"/>
        </w:rPr>
      </w:pPr>
      <w:r>
        <w:rPr>
          <w:rFonts w:ascii="Times New Roman" w:eastAsia="Times New Roman" w:hAnsi="Times New Roman"/>
          <w:kern w:val="0"/>
          <w:sz w:val="36"/>
          <w:szCs w:val="36"/>
          <w:lang w:eastAsia="es-ES"/>
        </w:rPr>
        <w:t>Directora: Paula Collazo Castiñeira</w:t>
      </w:r>
    </w:p>
    <w:p w14:paraId="3A6DF5CC" w14:textId="77777777" w:rsidR="00CC07FD" w:rsidRDefault="00CC07FD">
      <w:pPr>
        <w:spacing w:after="0" w:line="240" w:lineRule="auto"/>
        <w:ind w:left="-30"/>
        <w:jc w:val="center"/>
        <w:textAlignment w:val="baseline"/>
        <w:rPr>
          <w:rFonts w:ascii="Times New Roman" w:eastAsia="Times New Roman" w:hAnsi="Times New Roman"/>
          <w:kern w:val="0"/>
          <w:sz w:val="36"/>
          <w:szCs w:val="36"/>
          <w:lang w:eastAsia="es-ES"/>
        </w:rPr>
      </w:pPr>
    </w:p>
    <w:p w14:paraId="277B5353" w14:textId="77777777" w:rsidR="00CC07FD" w:rsidRDefault="00CC07FD">
      <w:pPr>
        <w:spacing w:after="0" w:line="240" w:lineRule="auto"/>
        <w:ind w:left="-30"/>
        <w:jc w:val="center"/>
        <w:textAlignment w:val="baseline"/>
        <w:rPr>
          <w:rFonts w:ascii="Segoe UI" w:eastAsia="Times New Roman" w:hAnsi="Segoe UI" w:cs="Segoe UI"/>
          <w:color w:val="000000"/>
          <w:kern w:val="0"/>
          <w:sz w:val="18"/>
          <w:szCs w:val="18"/>
          <w:lang w:eastAsia="es-ES"/>
        </w:rPr>
      </w:pPr>
    </w:p>
    <w:p w14:paraId="4138642E" w14:textId="77777777" w:rsidR="00CC07FD" w:rsidRDefault="00CC07FD">
      <w:pPr>
        <w:spacing w:after="0" w:line="240" w:lineRule="auto"/>
        <w:ind w:left="-30"/>
        <w:jc w:val="center"/>
        <w:textAlignment w:val="baseline"/>
        <w:rPr>
          <w:rFonts w:ascii="Segoe UI" w:eastAsia="Times New Roman" w:hAnsi="Segoe UI" w:cs="Segoe UI"/>
          <w:color w:val="000000"/>
          <w:kern w:val="0"/>
          <w:sz w:val="18"/>
          <w:szCs w:val="18"/>
          <w:lang w:eastAsia="es-ES"/>
        </w:rPr>
      </w:pPr>
    </w:p>
    <w:p w14:paraId="2B680810" w14:textId="77777777" w:rsidR="00CC07FD" w:rsidRDefault="00000000">
      <w:pPr>
        <w:spacing w:after="0" w:line="240" w:lineRule="auto"/>
        <w:ind w:left="-30"/>
        <w:jc w:val="center"/>
        <w:textAlignment w:val="baseline"/>
        <w:rPr>
          <w:rFonts w:ascii="Times New Roman" w:eastAsia="Times New Roman" w:hAnsi="Times New Roman"/>
          <w:kern w:val="0"/>
          <w:sz w:val="36"/>
          <w:szCs w:val="36"/>
          <w:lang w:eastAsia="es-ES"/>
        </w:rPr>
      </w:pPr>
      <w:r>
        <w:rPr>
          <w:rFonts w:ascii="Times New Roman" w:eastAsia="Times New Roman" w:hAnsi="Times New Roman"/>
          <w:kern w:val="0"/>
          <w:sz w:val="36"/>
          <w:szCs w:val="36"/>
          <w:lang w:eastAsia="es-ES"/>
        </w:rPr>
        <w:t>Madrid</w:t>
      </w:r>
    </w:p>
    <w:p w14:paraId="510A0F00" w14:textId="77777777" w:rsidR="00CC07FD" w:rsidRDefault="00CC07FD">
      <w:pPr>
        <w:spacing w:after="0" w:line="240" w:lineRule="auto"/>
        <w:ind w:left="-30"/>
        <w:jc w:val="center"/>
        <w:textAlignment w:val="baseline"/>
        <w:rPr>
          <w:rFonts w:ascii="Segoe UI" w:eastAsia="Times New Roman" w:hAnsi="Segoe UI" w:cs="Segoe UI"/>
          <w:color w:val="000000"/>
          <w:kern w:val="0"/>
          <w:sz w:val="18"/>
          <w:szCs w:val="18"/>
          <w:lang w:eastAsia="es-ES"/>
        </w:rPr>
      </w:pPr>
    </w:p>
    <w:p w14:paraId="09EE4DE4" w14:textId="77777777" w:rsidR="00CC07FD" w:rsidRDefault="00000000">
      <w:pPr>
        <w:spacing w:after="0" w:line="240" w:lineRule="auto"/>
        <w:ind w:left="-30"/>
        <w:jc w:val="center"/>
        <w:textAlignment w:val="baseline"/>
      </w:pPr>
      <w:r>
        <w:rPr>
          <w:rFonts w:ascii="Times New Roman" w:eastAsia="Times New Roman" w:hAnsi="Times New Roman"/>
          <w:kern w:val="0"/>
          <w:sz w:val="36"/>
          <w:szCs w:val="36"/>
          <w:lang w:eastAsia="es-ES"/>
        </w:rPr>
        <w:t>2025/2026</w:t>
      </w:r>
    </w:p>
    <w:p w14:paraId="162EE3F8" w14:textId="77777777" w:rsidR="00CC07FD" w:rsidRDefault="00CC07FD">
      <w:pPr>
        <w:pageBreakBefore/>
        <w:suppressAutoHyphens w:val="0"/>
      </w:pPr>
    </w:p>
    <w:p w14:paraId="1FEC6727" w14:textId="77777777" w:rsidR="00CC07FD" w:rsidRDefault="00000000">
      <w:pPr>
        <w:pStyle w:val="TtuloTDC"/>
        <w:spacing w:line="360" w:lineRule="auto"/>
        <w:ind w:hanging="709"/>
        <w:jc w:val="both"/>
        <w:outlineLvl w:val="9"/>
      </w:pPr>
      <w:proofErr w:type="spellStart"/>
      <w:r>
        <w:rPr>
          <w:rFonts w:ascii="Calibri" w:hAnsi="Calibri" w:cs="Calibri"/>
          <w:b/>
          <w:bCs/>
          <w:color w:val="auto"/>
          <w:sz w:val="24"/>
          <w:szCs w:val="24"/>
        </w:rPr>
        <w:t>Indice</w:t>
      </w:r>
      <w:proofErr w:type="spellEnd"/>
    </w:p>
    <w:p w14:paraId="4B3E16A3" w14:textId="77777777" w:rsidR="00CC07FD" w:rsidRDefault="00000000">
      <w:pPr>
        <w:pStyle w:val="TDC1"/>
        <w:spacing w:line="360" w:lineRule="auto"/>
        <w:ind w:hanging="709"/>
      </w:pPr>
      <w:r>
        <w:rPr>
          <w:rFonts w:ascii="Aptos Display" w:eastAsia="Times New Roman" w:hAnsi="Aptos Display" w:cs="Times New Roman"/>
          <w:b w:val="0"/>
          <w:bCs w:val="0"/>
          <w:color w:val="0F4761"/>
          <w:kern w:val="0"/>
          <w:sz w:val="32"/>
          <w:szCs w:val="32"/>
        </w:rPr>
        <w:fldChar w:fldCharType="begin"/>
      </w:r>
      <w:r>
        <w:instrText xml:space="preserve"> TOC \o "1-3" \u \h </w:instrText>
      </w:r>
      <w:r>
        <w:rPr>
          <w:rFonts w:ascii="Aptos Display" w:eastAsia="Times New Roman" w:hAnsi="Aptos Display" w:cs="Times New Roman"/>
          <w:b w:val="0"/>
          <w:bCs w:val="0"/>
          <w:color w:val="0F4761"/>
          <w:kern w:val="0"/>
          <w:sz w:val="32"/>
          <w:szCs w:val="32"/>
        </w:rPr>
        <w:fldChar w:fldCharType="separate"/>
      </w:r>
      <w:hyperlink r:id="rId7" w:history="1">
        <w:r>
          <w:rPr>
            <w:rStyle w:val="Hipervnculo"/>
            <w:b w:val="0"/>
            <w:bCs w:val="0"/>
          </w:rPr>
          <w:t>Resumen</w:t>
        </w:r>
        <w:r>
          <w:rPr>
            <w:b w:val="0"/>
            <w:bCs w:val="0"/>
          </w:rPr>
          <w:tab/>
          <w:t>4</w:t>
        </w:r>
      </w:hyperlink>
    </w:p>
    <w:p w14:paraId="27F75265" w14:textId="77777777" w:rsidR="00CC07FD" w:rsidRDefault="00000000">
      <w:pPr>
        <w:pStyle w:val="TDC1"/>
        <w:spacing w:line="360" w:lineRule="auto"/>
        <w:ind w:hanging="709"/>
      </w:pPr>
      <w:hyperlink r:id="rId8" w:history="1">
        <w:r>
          <w:rPr>
            <w:rStyle w:val="Hipervnculo"/>
            <w:b w:val="0"/>
            <w:bCs w:val="0"/>
          </w:rPr>
          <w:t>Abstract</w:t>
        </w:r>
        <w:r>
          <w:rPr>
            <w:b w:val="0"/>
            <w:bCs w:val="0"/>
          </w:rPr>
          <w:tab/>
          <w:t>5</w:t>
        </w:r>
      </w:hyperlink>
    </w:p>
    <w:p w14:paraId="5620A4BD" w14:textId="77777777" w:rsidR="00CC07FD" w:rsidRDefault="00000000">
      <w:pPr>
        <w:pStyle w:val="TDC1"/>
        <w:spacing w:line="360" w:lineRule="auto"/>
        <w:ind w:hanging="709"/>
      </w:pPr>
      <w:hyperlink r:id="rId9" w:history="1">
        <w:r>
          <w:rPr>
            <w:rStyle w:val="Hipervnculo"/>
            <w:b w:val="0"/>
            <w:bCs w:val="0"/>
          </w:rPr>
          <w:t>1. Introducción</w:t>
        </w:r>
        <w:r>
          <w:rPr>
            <w:b w:val="0"/>
            <w:bCs w:val="0"/>
          </w:rPr>
          <w:tab/>
          <w:t>6</w:t>
        </w:r>
      </w:hyperlink>
    </w:p>
    <w:p w14:paraId="3D5CBB68" w14:textId="77777777" w:rsidR="00CC07FD" w:rsidRDefault="00000000">
      <w:pPr>
        <w:pStyle w:val="TDC1"/>
        <w:spacing w:line="360" w:lineRule="auto"/>
        <w:ind w:hanging="709"/>
      </w:pPr>
      <w:hyperlink r:id="rId10" w:history="1">
        <w:r>
          <w:rPr>
            <w:rStyle w:val="Hipervnculo"/>
            <w:b w:val="0"/>
            <w:bCs w:val="0"/>
          </w:rPr>
          <w:t>2.  Metodología</w:t>
        </w:r>
        <w:r>
          <w:rPr>
            <w:b w:val="0"/>
            <w:bCs w:val="0"/>
          </w:rPr>
          <w:tab/>
          <w:t>8</w:t>
        </w:r>
      </w:hyperlink>
    </w:p>
    <w:p w14:paraId="298E48F8" w14:textId="77777777" w:rsidR="00CC07FD" w:rsidRDefault="00000000">
      <w:pPr>
        <w:pStyle w:val="TDC2"/>
        <w:ind w:hanging="709"/>
      </w:pPr>
      <w:hyperlink r:id="rId11" w:history="1">
        <w:r>
          <w:rPr>
            <w:rStyle w:val="Hipervnculo"/>
            <w:rFonts w:ascii="Calibri" w:hAnsi="Calibri" w:cs="Calibri"/>
            <w:lang w:eastAsia="es-ES"/>
          </w:rPr>
          <w:t>2.1 Tipo de investigación.</w:t>
        </w:r>
        <w:r>
          <w:tab/>
          <w:t>8</w:t>
        </w:r>
      </w:hyperlink>
    </w:p>
    <w:p w14:paraId="529210CF" w14:textId="77777777" w:rsidR="00CC07FD" w:rsidRDefault="00000000">
      <w:pPr>
        <w:pStyle w:val="TDC2"/>
        <w:ind w:hanging="709"/>
      </w:pPr>
      <w:hyperlink r:id="rId12" w:history="1">
        <w:r>
          <w:rPr>
            <w:rStyle w:val="Hipervnculo"/>
            <w:rFonts w:ascii="Calibri" w:hAnsi="Calibri" w:cs="Calibri"/>
            <w:lang w:eastAsia="es-ES"/>
          </w:rPr>
          <w:t>2.2 Criterios de inclusión/exclusión.</w:t>
        </w:r>
        <w:r>
          <w:tab/>
          <w:t>8</w:t>
        </w:r>
      </w:hyperlink>
    </w:p>
    <w:p w14:paraId="489BB050" w14:textId="77777777" w:rsidR="00CC07FD" w:rsidRDefault="00000000">
      <w:pPr>
        <w:pStyle w:val="TDC2"/>
        <w:ind w:hanging="709"/>
      </w:pPr>
      <w:hyperlink r:id="rId13" w:history="1">
        <w:r>
          <w:rPr>
            <w:rStyle w:val="Hipervnculo"/>
            <w:rFonts w:ascii="Calibri" w:hAnsi="Calibri" w:cs="Calibri"/>
            <w:lang w:eastAsia="es-ES"/>
          </w:rPr>
          <w:t>2.3 Estrategia de búsqueda.</w:t>
        </w:r>
        <w:r>
          <w:tab/>
          <w:t>9</w:t>
        </w:r>
      </w:hyperlink>
    </w:p>
    <w:p w14:paraId="17C7C21C" w14:textId="77777777" w:rsidR="00CC07FD" w:rsidRDefault="00000000">
      <w:pPr>
        <w:pStyle w:val="TDC2"/>
        <w:ind w:hanging="709"/>
      </w:pPr>
      <w:hyperlink r:id="rId14" w:history="1">
        <w:r>
          <w:rPr>
            <w:rStyle w:val="Hipervnculo"/>
            <w:rFonts w:ascii="Calibri" w:hAnsi="Calibri" w:cs="Calibri"/>
            <w:lang w:eastAsia="es-ES"/>
          </w:rPr>
          <w:t>2.4 Screening y Extracción</w:t>
        </w:r>
        <w:r>
          <w:tab/>
          <w:t>10</w:t>
        </w:r>
      </w:hyperlink>
    </w:p>
    <w:p w14:paraId="656E65DD" w14:textId="77777777" w:rsidR="00CC07FD" w:rsidRDefault="00000000">
      <w:pPr>
        <w:pStyle w:val="TDC2"/>
        <w:ind w:hanging="709"/>
      </w:pPr>
      <w:hyperlink r:id="rId15" w:history="1">
        <w:r>
          <w:rPr>
            <w:rStyle w:val="Hipervnculo"/>
            <w:rFonts w:ascii="Calibri" w:hAnsi="Calibri" w:cs="Calibri"/>
            <w:lang w:eastAsia="es-ES"/>
          </w:rPr>
          <w:t>2.5 Análisis</w:t>
        </w:r>
        <w:r>
          <w:tab/>
          <w:t>10</w:t>
        </w:r>
      </w:hyperlink>
    </w:p>
    <w:p w14:paraId="5746CA3E" w14:textId="77777777" w:rsidR="00CC07FD" w:rsidRDefault="00000000">
      <w:pPr>
        <w:pStyle w:val="TDC1"/>
        <w:spacing w:line="360" w:lineRule="auto"/>
        <w:ind w:hanging="709"/>
      </w:pPr>
      <w:hyperlink r:id="rId16" w:history="1">
        <w:r>
          <w:rPr>
            <w:rStyle w:val="Hipervnculo"/>
            <w:b w:val="0"/>
            <w:bCs w:val="0"/>
          </w:rPr>
          <w:t>3. Resultados</w:t>
        </w:r>
        <w:r>
          <w:rPr>
            <w:b w:val="0"/>
            <w:bCs w:val="0"/>
          </w:rPr>
          <w:tab/>
          <w:t>11</w:t>
        </w:r>
      </w:hyperlink>
    </w:p>
    <w:p w14:paraId="51C98922" w14:textId="77777777" w:rsidR="00CC07FD" w:rsidRDefault="00000000">
      <w:pPr>
        <w:pStyle w:val="TDC2"/>
        <w:ind w:hanging="709"/>
      </w:pPr>
      <w:hyperlink r:id="rId17" w:history="1">
        <w:r>
          <w:rPr>
            <w:rStyle w:val="Hipervnculo"/>
            <w:rFonts w:ascii="Calibri" w:hAnsi="Calibri" w:cs="Calibri"/>
            <w:lang w:eastAsia="es-ES"/>
          </w:rPr>
          <w:t>3.1 Espiritualidad</w:t>
        </w:r>
        <w:r>
          <w:tab/>
          <w:t>12</w:t>
        </w:r>
      </w:hyperlink>
    </w:p>
    <w:p w14:paraId="3B9ECAAC" w14:textId="77777777" w:rsidR="00CC07FD" w:rsidRDefault="00000000">
      <w:pPr>
        <w:pStyle w:val="TDC3"/>
        <w:tabs>
          <w:tab w:val="right" w:leader="dot" w:pos="8494"/>
        </w:tabs>
        <w:spacing w:line="360" w:lineRule="auto"/>
        <w:ind w:hanging="709"/>
        <w:jc w:val="both"/>
      </w:pPr>
      <w:hyperlink r:id="rId18" w:history="1">
        <w:r>
          <w:rPr>
            <w:rStyle w:val="Hipervnculo"/>
            <w:rFonts w:ascii="Calibri" w:hAnsi="Calibri" w:cs="Calibri"/>
            <w:lang w:eastAsia="es-ES"/>
          </w:rPr>
          <w:t>3.1.1 La búsqueda de una conexión espiritual y la creencia de que existe vida después de la muerte</w:t>
        </w:r>
        <w:r>
          <w:tab/>
          <w:t>13</w:t>
        </w:r>
      </w:hyperlink>
    </w:p>
    <w:p w14:paraId="55D202D9" w14:textId="77777777" w:rsidR="00CC07FD" w:rsidRDefault="00000000">
      <w:pPr>
        <w:pStyle w:val="TDC2"/>
        <w:ind w:hanging="709"/>
      </w:pPr>
      <w:hyperlink r:id="rId19" w:history="1">
        <w:r>
          <w:rPr>
            <w:rStyle w:val="Hipervnculo"/>
            <w:rFonts w:ascii="Calibri" w:hAnsi="Calibri" w:cs="Calibri"/>
            <w:lang w:eastAsia="es-ES"/>
          </w:rPr>
          <w:t>3.2 Estigma</w:t>
        </w:r>
        <w:r>
          <w:tab/>
          <w:t>15</w:t>
        </w:r>
      </w:hyperlink>
    </w:p>
    <w:p w14:paraId="74C41AEA" w14:textId="77777777" w:rsidR="00CC07FD" w:rsidRDefault="00000000">
      <w:pPr>
        <w:pStyle w:val="TDC3"/>
        <w:tabs>
          <w:tab w:val="right" w:leader="dot" w:pos="8494"/>
        </w:tabs>
        <w:spacing w:line="360" w:lineRule="auto"/>
        <w:ind w:hanging="709"/>
        <w:jc w:val="both"/>
      </w:pPr>
      <w:hyperlink r:id="rId20" w:history="1">
        <w:r>
          <w:rPr>
            <w:rStyle w:val="Hipervnculo"/>
            <w:rFonts w:ascii="Calibri" w:hAnsi="Calibri" w:cs="Calibri"/>
            <w:lang w:eastAsia="es-ES"/>
          </w:rPr>
          <w:t>3.2.1 La presión social por mostrarse fuerte</w:t>
        </w:r>
        <w:r>
          <w:tab/>
          <w:t>15</w:t>
        </w:r>
      </w:hyperlink>
    </w:p>
    <w:p w14:paraId="22498C47" w14:textId="77777777" w:rsidR="00CC07FD" w:rsidRDefault="00000000">
      <w:pPr>
        <w:pStyle w:val="TDC3"/>
        <w:tabs>
          <w:tab w:val="right" w:leader="dot" w:pos="8494"/>
        </w:tabs>
        <w:spacing w:line="360" w:lineRule="auto"/>
        <w:ind w:hanging="709"/>
        <w:jc w:val="both"/>
      </w:pPr>
      <w:hyperlink r:id="rId21" w:history="1">
        <w:r>
          <w:rPr>
            <w:rStyle w:val="Hipervnculo"/>
            <w:rFonts w:ascii="Calibri" w:hAnsi="Calibri" w:cs="Calibri"/>
            <w:lang w:eastAsia="es-ES"/>
          </w:rPr>
          <w:t>3.2.2 Autoestigma</w:t>
        </w:r>
        <w:r>
          <w:tab/>
          <w:t>16</w:t>
        </w:r>
      </w:hyperlink>
    </w:p>
    <w:p w14:paraId="7A9750A3" w14:textId="77777777" w:rsidR="00CC07FD" w:rsidRDefault="00000000">
      <w:pPr>
        <w:pStyle w:val="TDC3"/>
        <w:tabs>
          <w:tab w:val="right" w:leader="dot" w:pos="8494"/>
        </w:tabs>
        <w:spacing w:line="360" w:lineRule="auto"/>
        <w:ind w:hanging="709"/>
        <w:jc w:val="both"/>
      </w:pPr>
      <w:hyperlink r:id="rId22" w:history="1">
        <w:r>
          <w:rPr>
            <w:rStyle w:val="Hipervnculo"/>
            <w:rFonts w:ascii="Calibri" w:hAnsi="Calibri" w:cs="Calibri"/>
            <w:lang w:eastAsia="es-ES"/>
          </w:rPr>
          <w:t>3.2.3 Atribución de responsabilidad</w:t>
        </w:r>
        <w:r>
          <w:tab/>
          <w:t>17</w:t>
        </w:r>
      </w:hyperlink>
    </w:p>
    <w:p w14:paraId="19FD7D0C" w14:textId="77777777" w:rsidR="00CC07FD" w:rsidRDefault="00000000">
      <w:pPr>
        <w:pStyle w:val="TDC3"/>
        <w:tabs>
          <w:tab w:val="right" w:leader="dot" w:pos="8494"/>
        </w:tabs>
        <w:spacing w:line="360" w:lineRule="auto"/>
        <w:ind w:hanging="709"/>
        <w:jc w:val="both"/>
      </w:pPr>
      <w:hyperlink r:id="rId23" w:history="1">
        <w:r>
          <w:rPr>
            <w:rStyle w:val="Hipervnculo"/>
            <w:rFonts w:ascii="Calibri" w:hAnsi="Calibri" w:cs="Calibri"/>
            <w:lang w:eastAsia="es-ES"/>
          </w:rPr>
          <w:t>3.2.4 Rechazo interpersonal, pérdida de vínculos y aislamiento social</w:t>
        </w:r>
        <w:r>
          <w:tab/>
          <w:t>19</w:t>
        </w:r>
      </w:hyperlink>
    </w:p>
    <w:p w14:paraId="2CB2E457" w14:textId="77777777" w:rsidR="00CC07FD" w:rsidRDefault="00000000">
      <w:pPr>
        <w:pStyle w:val="TDC3"/>
        <w:tabs>
          <w:tab w:val="right" w:leader="dot" w:pos="8494"/>
        </w:tabs>
        <w:spacing w:line="360" w:lineRule="auto"/>
        <w:ind w:hanging="709"/>
        <w:jc w:val="both"/>
      </w:pPr>
      <w:hyperlink r:id="rId24" w:history="1">
        <w:r>
          <w:rPr>
            <w:rStyle w:val="Hipervnculo"/>
            <w:rFonts w:ascii="Calibri" w:hAnsi="Calibri" w:cs="Calibri"/>
            <w:lang w:eastAsia="es-ES"/>
          </w:rPr>
          <w:t>3.2.5 Ocultación del suicidio y silenciamiento emocional</w:t>
        </w:r>
        <w:r>
          <w:tab/>
          <w:t>19</w:t>
        </w:r>
      </w:hyperlink>
    </w:p>
    <w:p w14:paraId="65EEB32C" w14:textId="77777777" w:rsidR="00CC07FD" w:rsidRDefault="00000000">
      <w:pPr>
        <w:pStyle w:val="TDC2"/>
        <w:ind w:hanging="709"/>
      </w:pPr>
      <w:hyperlink r:id="rId25" w:history="1">
        <w:r>
          <w:rPr>
            <w:rStyle w:val="Hipervnculo"/>
            <w:rFonts w:ascii="Calibri" w:hAnsi="Calibri" w:cs="Calibri"/>
            <w:lang w:eastAsia="es-ES"/>
          </w:rPr>
          <w:t>3.3 Factores que ayudan</w:t>
        </w:r>
        <w:r>
          <w:tab/>
          <w:t>20</w:t>
        </w:r>
      </w:hyperlink>
    </w:p>
    <w:p w14:paraId="115C8976" w14:textId="77777777" w:rsidR="00CC07FD" w:rsidRDefault="00000000">
      <w:pPr>
        <w:pStyle w:val="TDC2"/>
        <w:ind w:hanging="709"/>
      </w:pPr>
      <w:hyperlink r:id="rId26" w:history="1">
        <w:r>
          <w:rPr>
            <w:rStyle w:val="Hipervnculo"/>
            <w:rFonts w:ascii="Calibri" w:hAnsi="Calibri" w:cs="Calibri"/>
            <w:lang w:eastAsia="es-ES"/>
          </w:rPr>
          <w:t>3.4 Crecimiento postraumático</w:t>
        </w:r>
        <w:r>
          <w:tab/>
          <w:t>21</w:t>
        </w:r>
      </w:hyperlink>
    </w:p>
    <w:p w14:paraId="26122B9E" w14:textId="77777777" w:rsidR="00CC07FD" w:rsidRDefault="00000000">
      <w:pPr>
        <w:pStyle w:val="TDC3"/>
        <w:tabs>
          <w:tab w:val="right" w:leader="dot" w:pos="8494"/>
        </w:tabs>
        <w:spacing w:line="360" w:lineRule="auto"/>
        <w:ind w:hanging="709"/>
        <w:jc w:val="both"/>
      </w:pPr>
      <w:hyperlink r:id="rId27" w:history="1">
        <w:r>
          <w:rPr>
            <w:rStyle w:val="Hipervnculo"/>
            <w:rFonts w:ascii="Calibri" w:hAnsi="Calibri" w:cs="Calibri"/>
            <w:lang w:eastAsia="es-ES"/>
          </w:rPr>
          <w:t>3.4.1 El redescubrimiento de lo verdaderamente importante en la vida</w:t>
        </w:r>
        <w:r>
          <w:tab/>
          <w:t>22</w:t>
        </w:r>
      </w:hyperlink>
    </w:p>
    <w:p w14:paraId="22200545" w14:textId="77777777" w:rsidR="00CC07FD" w:rsidRDefault="00000000">
      <w:pPr>
        <w:pStyle w:val="TDC3"/>
        <w:tabs>
          <w:tab w:val="right" w:leader="dot" w:pos="8494"/>
        </w:tabs>
        <w:spacing w:line="360" w:lineRule="auto"/>
        <w:ind w:hanging="709"/>
        <w:jc w:val="both"/>
      </w:pPr>
      <w:hyperlink r:id="rId28" w:history="1">
        <w:r>
          <w:rPr>
            <w:rStyle w:val="Hipervnculo"/>
            <w:rFonts w:ascii="Calibri" w:hAnsi="Calibri" w:cs="Calibri"/>
            <w:lang w:eastAsia="es-ES"/>
          </w:rPr>
          <w:t>3.4.2 El reconocimiento de la importancia de las relaciones cercanas</w:t>
        </w:r>
        <w:r>
          <w:tab/>
          <w:t>22</w:t>
        </w:r>
      </w:hyperlink>
    </w:p>
    <w:p w14:paraId="4176FCBC" w14:textId="77777777" w:rsidR="00CC07FD" w:rsidRDefault="00000000">
      <w:pPr>
        <w:pStyle w:val="TDC3"/>
        <w:tabs>
          <w:tab w:val="right" w:leader="dot" w:pos="8494"/>
        </w:tabs>
        <w:spacing w:line="360" w:lineRule="auto"/>
        <w:ind w:hanging="709"/>
        <w:jc w:val="both"/>
      </w:pPr>
      <w:hyperlink r:id="rId29" w:history="1">
        <w:r>
          <w:rPr>
            <w:rStyle w:val="Hipervnculo"/>
            <w:rFonts w:ascii="Calibri" w:hAnsi="Calibri" w:cs="Calibri"/>
            <w:lang w:eastAsia="es-ES"/>
          </w:rPr>
          <w:t>3.4.3 La búsqueda de sentido</w:t>
        </w:r>
        <w:r>
          <w:tab/>
          <w:t>23</w:t>
        </w:r>
      </w:hyperlink>
    </w:p>
    <w:p w14:paraId="0CCA9BE1" w14:textId="77777777" w:rsidR="00CC07FD" w:rsidRDefault="00000000">
      <w:pPr>
        <w:pStyle w:val="TDC1"/>
        <w:spacing w:line="360" w:lineRule="auto"/>
        <w:ind w:hanging="709"/>
      </w:pPr>
      <w:hyperlink r:id="rId30" w:history="1">
        <w:r>
          <w:rPr>
            <w:rStyle w:val="Hipervnculo"/>
            <w:b w:val="0"/>
            <w:bCs w:val="0"/>
          </w:rPr>
          <w:t>4. Discusión</w:t>
        </w:r>
        <w:r>
          <w:rPr>
            <w:b w:val="0"/>
            <w:bCs w:val="0"/>
          </w:rPr>
          <w:tab/>
          <w:t>24</w:t>
        </w:r>
      </w:hyperlink>
    </w:p>
    <w:p w14:paraId="53CAC993" w14:textId="77777777" w:rsidR="00CC07FD" w:rsidRDefault="00000000">
      <w:pPr>
        <w:pStyle w:val="TDC1"/>
        <w:spacing w:line="360" w:lineRule="auto"/>
        <w:ind w:hanging="709"/>
      </w:pPr>
      <w:hyperlink r:id="rId31" w:history="1">
        <w:r>
          <w:rPr>
            <w:rStyle w:val="Hipervnculo"/>
            <w:b w:val="0"/>
            <w:bCs w:val="0"/>
          </w:rPr>
          <w:t>5. Limitaciones</w:t>
        </w:r>
        <w:r>
          <w:rPr>
            <w:b w:val="0"/>
            <w:bCs w:val="0"/>
          </w:rPr>
          <w:tab/>
          <w:t>28</w:t>
        </w:r>
      </w:hyperlink>
    </w:p>
    <w:p w14:paraId="25A3E724" w14:textId="77777777" w:rsidR="00CC07FD" w:rsidRDefault="00000000">
      <w:pPr>
        <w:pStyle w:val="TDC2"/>
        <w:ind w:hanging="709"/>
      </w:pPr>
      <w:hyperlink r:id="rId32" w:history="1">
        <w:r>
          <w:rPr>
            <w:rStyle w:val="Hipervnculo"/>
            <w:rFonts w:ascii="Calibri" w:hAnsi="Calibri" w:cs="Calibri"/>
            <w:lang w:eastAsia="es-ES"/>
          </w:rPr>
          <w:t>5.1 Limitaciones de los estudios primarios</w:t>
        </w:r>
        <w:r>
          <w:tab/>
          <w:t>28</w:t>
        </w:r>
      </w:hyperlink>
    </w:p>
    <w:p w14:paraId="1BE728A5" w14:textId="77777777" w:rsidR="00CC07FD" w:rsidRDefault="00000000">
      <w:pPr>
        <w:pStyle w:val="TDC2"/>
        <w:ind w:hanging="709"/>
      </w:pPr>
      <w:hyperlink r:id="rId33" w:history="1">
        <w:r>
          <w:rPr>
            <w:rStyle w:val="Hipervnculo"/>
            <w:rFonts w:ascii="Calibri" w:hAnsi="Calibri" w:cs="Calibri"/>
            <w:lang w:eastAsia="es-ES"/>
          </w:rPr>
          <w:t>5.2 Limitaciones propias</w:t>
        </w:r>
        <w:r>
          <w:tab/>
          <w:t>28</w:t>
        </w:r>
      </w:hyperlink>
    </w:p>
    <w:p w14:paraId="0E0F103F" w14:textId="77777777" w:rsidR="00CC07FD" w:rsidRDefault="00000000">
      <w:pPr>
        <w:pStyle w:val="TDC1"/>
        <w:spacing w:line="360" w:lineRule="auto"/>
        <w:ind w:hanging="709"/>
      </w:pPr>
      <w:hyperlink r:id="rId34" w:history="1">
        <w:r>
          <w:rPr>
            <w:rStyle w:val="Hipervnculo"/>
            <w:b w:val="0"/>
            <w:bCs w:val="0"/>
          </w:rPr>
          <w:t>6. Futuras líneas de investigación</w:t>
        </w:r>
        <w:r>
          <w:rPr>
            <w:b w:val="0"/>
            <w:bCs w:val="0"/>
          </w:rPr>
          <w:tab/>
          <w:t>29</w:t>
        </w:r>
      </w:hyperlink>
    </w:p>
    <w:p w14:paraId="72EEED3E" w14:textId="77777777" w:rsidR="00CC07FD" w:rsidRDefault="00000000">
      <w:pPr>
        <w:pStyle w:val="TDC2"/>
        <w:ind w:hanging="709"/>
      </w:pPr>
      <w:hyperlink r:id="rId35" w:history="1">
        <w:r>
          <w:rPr>
            <w:rStyle w:val="Hipervnculo"/>
            <w:rFonts w:ascii="Calibri" w:hAnsi="Calibri" w:cs="Calibri"/>
            <w:lang w:eastAsia="es-ES"/>
          </w:rPr>
          <w:t>6.1 Perspectiva de género</w:t>
        </w:r>
        <w:r>
          <w:tab/>
          <w:t>29</w:t>
        </w:r>
      </w:hyperlink>
    </w:p>
    <w:p w14:paraId="531051BE" w14:textId="77777777" w:rsidR="00CC07FD" w:rsidRDefault="00000000">
      <w:pPr>
        <w:pStyle w:val="TDC2"/>
        <w:ind w:hanging="709"/>
      </w:pPr>
      <w:hyperlink r:id="rId36" w:history="1">
        <w:r>
          <w:rPr>
            <w:rStyle w:val="Hipervnculo"/>
            <w:rFonts w:ascii="Calibri" w:hAnsi="Calibri" w:cs="Calibri"/>
            <w:lang w:eastAsia="es-ES"/>
          </w:rPr>
          <w:t>6.2 Religión</w:t>
        </w:r>
        <w:r>
          <w:tab/>
          <w:t>31</w:t>
        </w:r>
      </w:hyperlink>
    </w:p>
    <w:p w14:paraId="341CC75B" w14:textId="77777777" w:rsidR="00CC07FD" w:rsidRDefault="00000000">
      <w:pPr>
        <w:pStyle w:val="TDC1"/>
        <w:spacing w:line="360" w:lineRule="auto"/>
        <w:ind w:hanging="709"/>
      </w:pPr>
      <w:hyperlink r:id="rId37" w:history="1">
        <w:r>
          <w:rPr>
            <w:rStyle w:val="Hipervnculo"/>
            <w:b w:val="0"/>
            <w:bCs w:val="0"/>
          </w:rPr>
          <w:t>7. Formas de intervención</w:t>
        </w:r>
        <w:r>
          <w:rPr>
            <w:b w:val="0"/>
            <w:bCs w:val="0"/>
          </w:rPr>
          <w:tab/>
          <w:t>31</w:t>
        </w:r>
      </w:hyperlink>
    </w:p>
    <w:p w14:paraId="4F18C606" w14:textId="77777777" w:rsidR="00CC07FD" w:rsidRDefault="00000000">
      <w:pPr>
        <w:pStyle w:val="TDC2"/>
        <w:ind w:hanging="709"/>
      </w:pPr>
      <w:hyperlink r:id="rId38" w:history="1">
        <w:r>
          <w:rPr>
            <w:rStyle w:val="Hipervnculo"/>
            <w:rFonts w:ascii="Calibri" w:hAnsi="Calibri" w:cs="Calibri"/>
            <w:lang w:eastAsia="es-ES"/>
          </w:rPr>
          <w:t>7.1 Fortalecimiento de grupos de apoyo específicos</w:t>
        </w:r>
        <w:r>
          <w:tab/>
          <w:t>31</w:t>
        </w:r>
      </w:hyperlink>
    </w:p>
    <w:p w14:paraId="0471B777" w14:textId="77777777" w:rsidR="00CC07FD" w:rsidRDefault="00000000">
      <w:pPr>
        <w:pStyle w:val="TDC2"/>
        <w:ind w:hanging="709"/>
      </w:pPr>
      <w:hyperlink r:id="rId39" w:history="1">
        <w:r>
          <w:rPr>
            <w:rStyle w:val="Hipervnculo"/>
            <w:rFonts w:ascii="Calibri" w:hAnsi="Calibri" w:cs="Calibri"/>
            <w:lang w:eastAsia="es-ES"/>
          </w:rPr>
          <w:t>7.2 Papel de la sociedad: campañas de sensibilización</w:t>
        </w:r>
        <w:r>
          <w:tab/>
          <w:t>32</w:t>
        </w:r>
      </w:hyperlink>
    </w:p>
    <w:p w14:paraId="1997F732" w14:textId="77777777" w:rsidR="00CC07FD" w:rsidRDefault="00000000">
      <w:pPr>
        <w:pStyle w:val="TDC1"/>
        <w:spacing w:line="360" w:lineRule="auto"/>
        <w:ind w:hanging="709"/>
      </w:pPr>
      <w:hyperlink r:id="rId40" w:history="1">
        <w:r>
          <w:rPr>
            <w:rStyle w:val="Hipervnculo"/>
            <w:b w:val="0"/>
            <w:bCs w:val="0"/>
          </w:rPr>
          <w:t>8. Conclusiones</w:t>
        </w:r>
        <w:r>
          <w:rPr>
            <w:b w:val="0"/>
            <w:bCs w:val="0"/>
          </w:rPr>
          <w:tab/>
          <w:t>33</w:t>
        </w:r>
      </w:hyperlink>
    </w:p>
    <w:p w14:paraId="75F2FE05" w14:textId="77777777" w:rsidR="00CC07FD" w:rsidRDefault="00000000">
      <w:pPr>
        <w:pStyle w:val="TDC1"/>
        <w:spacing w:line="360" w:lineRule="auto"/>
        <w:ind w:hanging="709"/>
      </w:pPr>
      <w:hyperlink r:id="rId41" w:history="1">
        <w:r>
          <w:rPr>
            <w:rStyle w:val="Hipervnculo"/>
            <w:b w:val="0"/>
            <w:bCs w:val="0"/>
          </w:rPr>
          <w:t>9. Bibliografía</w:t>
        </w:r>
        <w:r>
          <w:rPr>
            <w:b w:val="0"/>
            <w:bCs w:val="0"/>
          </w:rPr>
          <w:tab/>
          <w:t>34</w:t>
        </w:r>
      </w:hyperlink>
    </w:p>
    <w:p w14:paraId="06080340" w14:textId="77777777" w:rsidR="00CC07FD" w:rsidRDefault="00000000">
      <w:pPr>
        <w:spacing w:line="360" w:lineRule="auto"/>
        <w:ind w:hanging="709"/>
        <w:jc w:val="both"/>
      </w:pPr>
      <w:r>
        <w:rPr>
          <w:rFonts w:ascii="Calibri" w:hAnsi="Calibri" w:cs="Calibri"/>
          <w:b/>
          <w:bCs/>
          <w:lang w:eastAsia="es-ES"/>
        </w:rPr>
        <w:fldChar w:fldCharType="end"/>
      </w:r>
      <w:bookmarkStart w:id="0" w:name="_Toc226667007"/>
    </w:p>
    <w:p w14:paraId="7C71646B" w14:textId="77777777" w:rsidR="00CC07FD" w:rsidRDefault="00CC07FD">
      <w:pPr>
        <w:pageBreakBefore/>
        <w:suppressAutoHyphens w:val="0"/>
      </w:pPr>
    </w:p>
    <w:p w14:paraId="25266997" w14:textId="77777777" w:rsidR="00CC07FD" w:rsidRDefault="00000000">
      <w:pPr>
        <w:spacing w:line="360" w:lineRule="auto"/>
        <w:jc w:val="both"/>
      </w:pPr>
      <w:r>
        <w:rPr>
          <w:rFonts w:ascii="Calibri" w:hAnsi="Calibri" w:cs="Calibri"/>
          <w:b/>
          <w:bCs/>
          <w:lang w:eastAsia="es-ES"/>
        </w:rPr>
        <w:t>Resumen</w:t>
      </w:r>
      <w:bookmarkEnd w:id="0"/>
      <w:r>
        <w:rPr>
          <w:rFonts w:ascii="Calibri" w:hAnsi="Calibri" w:cs="Calibri"/>
          <w:b/>
          <w:bCs/>
          <w:lang w:eastAsia="es-ES"/>
        </w:rPr>
        <w:t> </w:t>
      </w:r>
    </w:p>
    <w:p w14:paraId="4DAD7E20"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El suicidio constituye una de las principales causas de muerte a nivel mundial, con un impacto que se extiende más allá del propio fallecimiento. Cada muerte por suicidio afecta directamente a un gran número de personas del entorno de la persona fallecida, entre las cuales los familiares directos —parejas, padres, hijos y hermanos— son especialmente vulnerables a desarrollar duelo complicado, depresión, ansiedad y riesgo de conducta suicida. A pesar de la magnitud de este fenómeno, la experiencia subjetiva de estos familiares ha recibido una atención científica relativamente limitada, y no se habían identificado revisiones que integraran de forma conjunta los principales temas cualitativos presentes en la literatura especializada.</w:t>
      </w:r>
    </w:p>
    <w:p w14:paraId="13CC7B47"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El objetivo principal de este trabajo fue identificar y analizar los temas más relevantes descritos en la literatura cualitativa sobre el duelo de familiares adultos tras el suicidio de un ser querido. Para ello, se realizó una revisión bibliográfica en la base de datos PubMed, empleando una estrategia de búsqueda específica y criterios de inclusión y exclusión predefinidos. Finalmente, se seleccionaron siete estudios que cumplían los requisitos establecidos, los cuales fueron analizados mediante síntesis cualitativa inductiva.</w:t>
      </w:r>
    </w:p>
    <w:p w14:paraId="26A20A9E"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 xml:space="preserve">Los resultados se organizaron en torno a cuatro grandes áreas temáticas: la espiritualidad —la búsqueda de una conexión espiritual y la creencia en la vida después de la muerte; la disposición y apertura a recibir ayuda de líderes religiosos y comunidades—, el estigma —la presión social por mostrarse fuerte, el </w:t>
      </w:r>
      <w:proofErr w:type="spellStart"/>
      <w:r>
        <w:rPr>
          <w:rFonts w:ascii="Calibri" w:eastAsia="Times New Roman" w:hAnsi="Calibri" w:cs="Calibri"/>
          <w:color w:val="000000"/>
          <w:kern w:val="0"/>
          <w:lang w:eastAsia="es-ES"/>
        </w:rPr>
        <w:t>autoestigma</w:t>
      </w:r>
      <w:proofErr w:type="spellEnd"/>
      <w:r>
        <w:rPr>
          <w:rFonts w:ascii="Calibri" w:eastAsia="Times New Roman" w:hAnsi="Calibri" w:cs="Calibri"/>
          <w:color w:val="000000"/>
          <w:kern w:val="0"/>
          <w:lang w:eastAsia="es-ES"/>
        </w:rPr>
        <w:t>, la atribución de responsabilidad, el rechazo interpersonal, la pérdida de vínculos y el aislamiento social, la ocultación del suicidio y el silenciamiento emocional—, los factores que ayudan —la terapia especializada, el apoyo de personas cercanas y los grupos de apoyo entre iguales—, y el crecimiento postraumático —la reevaluación de prioridades y valores, el fortalecimiento de los vínculos con familiares y personas significativas y la búsqueda activa de sentido—.</w:t>
      </w:r>
    </w:p>
    <w:p w14:paraId="317E0F3D" w14:textId="77777777" w:rsidR="00CC07FD" w:rsidRDefault="00000000">
      <w:pPr>
        <w:spacing w:after="220" w:line="360" w:lineRule="auto"/>
        <w:ind w:left="-170" w:right="6" w:firstLine="709"/>
        <w:jc w:val="both"/>
        <w:textAlignment w:val="baseline"/>
      </w:pPr>
      <w:r>
        <w:rPr>
          <w:rFonts w:ascii="Calibri" w:eastAsia="Times New Roman" w:hAnsi="Calibri" w:cs="Calibri"/>
          <w:b/>
          <w:bCs/>
          <w:color w:val="000000"/>
          <w:kern w:val="0"/>
          <w:lang w:eastAsia="es-ES"/>
        </w:rPr>
        <w:t>Palabras Clave: </w:t>
      </w:r>
      <w:r>
        <w:rPr>
          <w:rFonts w:ascii="Calibri" w:eastAsia="Times New Roman" w:hAnsi="Calibri" w:cs="Calibri"/>
          <w:color w:val="000000"/>
          <w:kern w:val="0"/>
          <w:lang w:eastAsia="es-ES"/>
        </w:rPr>
        <w:t>duelo por suicidio, familiares supervivientes, estigma, crecimiento postraumático, religión.</w:t>
      </w:r>
    </w:p>
    <w:p w14:paraId="4C1B67B5" w14:textId="77777777" w:rsidR="00CC07FD" w:rsidRDefault="00000000">
      <w:pPr>
        <w:pStyle w:val="Ttulo1"/>
        <w:spacing w:line="360" w:lineRule="auto"/>
        <w:jc w:val="both"/>
        <w:rPr>
          <w:rFonts w:ascii="Calibri" w:hAnsi="Calibri" w:cs="Calibri"/>
          <w:b/>
          <w:bCs/>
          <w:color w:val="auto"/>
          <w:sz w:val="24"/>
          <w:szCs w:val="24"/>
          <w:lang w:val="en-US" w:eastAsia="es-ES"/>
        </w:rPr>
      </w:pPr>
      <w:bookmarkStart w:id="1" w:name="_Toc226667008"/>
      <w:r>
        <w:rPr>
          <w:rFonts w:ascii="Calibri" w:hAnsi="Calibri" w:cs="Calibri"/>
          <w:b/>
          <w:bCs/>
          <w:color w:val="auto"/>
          <w:sz w:val="24"/>
          <w:szCs w:val="24"/>
          <w:lang w:val="en-US" w:eastAsia="es-ES"/>
        </w:rPr>
        <w:lastRenderedPageBreak/>
        <w:t>Abstract</w:t>
      </w:r>
      <w:bookmarkEnd w:id="1"/>
      <w:r>
        <w:rPr>
          <w:rFonts w:ascii="Calibri" w:hAnsi="Calibri" w:cs="Calibri"/>
          <w:b/>
          <w:bCs/>
          <w:color w:val="auto"/>
          <w:sz w:val="24"/>
          <w:szCs w:val="24"/>
          <w:lang w:val="en-US" w:eastAsia="es-ES"/>
        </w:rPr>
        <w:t>  </w:t>
      </w:r>
    </w:p>
    <w:p w14:paraId="52666EB5"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val="en-US" w:eastAsia="es-ES"/>
        </w:rPr>
      </w:pPr>
      <w:r>
        <w:rPr>
          <w:rFonts w:ascii="Calibri" w:eastAsia="Times New Roman" w:hAnsi="Calibri" w:cs="Calibri"/>
          <w:color w:val="000000"/>
          <w:kern w:val="0"/>
          <w:lang w:val="en-US" w:eastAsia="es-ES"/>
        </w:rPr>
        <w:t xml:space="preserve"> Suicide is one of the leading causes of death worldwide, with an impact that extends far beyond the death itself. Each suicide directly affects </w:t>
      </w:r>
      <w:proofErr w:type="gramStart"/>
      <w:r>
        <w:rPr>
          <w:rFonts w:ascii="Calibri" w:eastAsia="Times New Roman" w:hAnsi="Calibri" w:cs="Calibri"/>
          <w:color w:val="000000"/>
          <w:kern w:val="0"/>
          <w:lang w:val="en-US" w:eastAsia="es-ES"/>
        </w:rPr>
        <w:t>a large number of</w:t>
      </w:r>
      <w:proofErr w:type="gramEnd"/>
      <w:r>
        <w:rPr>
          <w:rFonts w:ascii="Calibri" w:eastAsia="Times New Roman" w:hAnsi="Calibri" w:cs="Calibri"/>
          <w:color w:val="000000"/>
          <w:kern w:val="0"/>
          <w:lang w:val="en-US" w:eastAsia="es-ES"/>
        </w:rPr>
        <w:t xml:space="preserve"> people in the deceased's environment, among whom immediate family members —partners, parents, children and siblings— are particularly vulnerable to developing complicated grief, depression, anxiety and increased suicide risk. Despite the scale of this phenomenon, the subjective experience of these family members has received relatively limited scientific attention, and no reviews </w:t>
      </w:r>
      <w:proofErr w:type="gramStart"/>
      <w:r>
        <w:rPr>
          <w:rFonts w:ascii="Calibri" w:eastAsia="Times New Roman" w:hAnsi="Calibri" w:cs="Calibri"/>
          <w:color w:val="000000"/>
          <w:kern w:val="0"/>
          <w:lang w:val="en-US" w:eastAsia="es-ES"/>
        </w:rPr>
        <w:t>had</w:t>
      </w:r>
      <w:proofErr w:type="gramEnd"/>
      <w:r>
        <w:rPr>
          <w:rFonts w:ascii="Calibri" w:eastAsia="Times New Roman" w:hAnsi="Calibri" w:cs="Calibri"/>
          <w:color w:val="000000"/>
          <w:kern w:val="0"/>
          <w:lang w:val="en-US" w:eastAsia="es-ES"/>
        </w:rPr>
        <w:t xml:space="preserve"> been identified that jointly integrated the main qualitative themes present in the specialized literature.</w:t>
      </w:r>
    </w:p>
    <w:p w14:paraId="3EB1FB6F"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val="en-US" w:eastAsia="es-ES"/>
        </w:rPr>
      </w:pPr>
      <w:r>
        <w:rPr>
          <w:rFonts w:ascii="Calibri" w:eastAsia="Times New Roman" w:hAnsi="Calibri" w:cs="Calibri"/>
          <w:color w:val="000000"/>
          <w:kern w:val="0"/>
          <w:lang w:val="en-US" w:eastAsia="es-ES"/>
        </w:rPr>
        <w:t>The primary aim of this study was to identify and analyze the key themes and experiences described in qualitative literature concerning the grief of adult family members following the suicide of a loved one. To this end, a bibliographic review was conducted in the PubMed database, using a specific search strategy and predefined inclusion and exclusion criteria. A total of seven studies meeting the established requirements were selected and analyzed through inductive qualitative synthesis.</w:t>
      </w:r>
    </w:p>
    <w:p w14:paraId="4D079775"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val="en-US" w:eastAsia="es-ES"/>
        </w:rPr>
      </w:pPr>
      <w:r>
        <w:rPr>
          <w:rFonts w:ascii="Calibri" w:eastAsia="Times New Roman" w:hAnsi="Calibri" w:cs="Calibri"/>
          <w:color w:val="000000"/>
          <w:kern w:val="0"/>
          <w:lang w:val="en-US" w:eastAsia="es-ES"/>
        </w:rPr>
        <w:t>The results were organized around four major thematic areas: spirituality —the search for a spiritual connection and the belief in life after death; the openness to receiving help from religious leaders and communities—, stigma —the social pressure to appear strong, self-stigma, attribution of responsibility, interpersonal rejection, loss of social bonds and social isolation, concealment of the suicide and emotional silencing—, helpful factors —specialized therapy, support from close ones and peer support groups—, and posttraumatic growth —the reassessment of priorities and values, the strengthening of bonds with family members and significant others, and the active search for meaning—</w:t>
      </w:r>
    </w:p>
    <w:p w14:paraId="374A3DF1"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b/>
          <w:bCs/>
          <w:color w:val="000000"/>
          <w:kern w:val="0"/>
          <w:lang w:val="en-US" w:eastAsia="es-ES"/>
        </w:rPr>
        <w:t>Keywords:</w:t>
      </w:r>
      <w:r>
        <w:rPr>
          <w:rFonts w:ascii="Calibri" w:eastAsia="Times New Roman" w:hAnsi="Calibri" w:cs="Calibri"/>
          <w:color w:val="000000"/>
          <w:kern w:val="0"/>
          <w:lang w:val="en-US" w:eastAsia="es-ES"/>
        </w:rPr>
        <w:t xml:space="preserve"> suicide bereavement, suicide loss survivors, stigma, posttraumatic growth, religion.</w:t>
      </w:r>
    </w:p>
    <w:p w14:paraId="3637299B" w14:textId="77777777" w:rsidR="00CC07FD" w:rsidRDefault="00CC07FD">
      <w:pPr>
        <w:suppressAutoHyphens w:val="0"/>
        <w:rPr>
          <w:lang w:val="en-US"/>
        </w:rPr>
      </w:pPr>
      <w:bookmarkStart w:id="2" w:name="_Toc226667009"/>
    </w:p>
    <w:p w14:paraId="7D43FE17" w14:textId="77777777" w:rsidR="00CC07FD" w:rsidRDefault="00000000">
      <w:pPr>
        <w:pStyle w:val="Ttulo1"/>
        <w:pageBreakBefore/>
        <w:spacing w:line="360" w:lineRule="auto"/>
        <w:jc w:val="both"/>
        <w:rPr>
          <w:rFonts w:ascii="Calibri" w:hAnsi="Calibri" w:cs="Calibri"/>
          <w:b/>
          <w:bCs/>
          <w:color w:val="auto"/>
          <w:sz w:val="24"/>
          <w:szCs w:val="24"/>
          <w:lang w:eastAsia="es-ES"/>
        </w:rPr>
      </w:pPr>
      <w:r>
        <w:rPr>
          <w:rFonts w:ascii="Calibri" w:hAnsi="Calibri" w:cs="Calibri"/>
          <w:b/>
          <w:bCs/>
          <w:color w:val="auto"/>
          <w:sz w:val="24"/>
          <w:szCs w:val="24"/>
          <w:lang w:eastAsia="es-ES"/>
        </w:rPr>
        <w:lastRenderedPageBreak/>
        <w:t>1. Introducción</w:t>
      </w:r>
      <w:bookmarkEnd w:id="2"/>
      <w:r>
        <w:rPr>
          <w:rFonts w:ascii="Calibri" w:hAnsi="Calibri" w:cs="Calibri"/>
          <w:b/>
          <w:bCs/>
          <w:color w:val="auto"/>
          <w:sz w:val="24"/>
          <w:szCs w:val="24"/>
          <w:lang w:eastAsia="es-ES"/>
        </w:rPr>
        <w:t>  </w:t>
      </w:r>
    </w:p>
    <w:p w14:paraId="3477AFF1"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El suicidio es definido por la Organización Mundial de la Salud (OMS, 2019) como el acto deliberado de quitarse la vida. Sin embargo, un informe de la OMS puntualiza que la mayoría de las personas que intentan suicidarse no persiguen la muerte, sino poner fin al sufrimiento que experimentan (UNICEF, 2019). No existe una causa única que explique este fenómeno ya que el suicidio se trata de una vivencia compleja, multidimensional y multicausal (Rocamora, 2022). </w:t>
      </w:r>
    </w:p>
    <w:p w14:paraId="6EA5867E"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eastAsia="es-ES"/>
        </w:rPr>
        <w:t>Según el Ministerio de Sanidad (2025), en España 3,</w:t>
      </w:r>
      <w:r>
        <w:rPr>
          <w:rFonts w:ascii="Calibri" w:eastAsia="Times New Roman" w:hAnsi="Calibri" w:cs="Calibri"/>
          <w:kern w:val="0"/>
          <w:lang w:eastAsia="es-ES"/>
        </w:rPr>
        <w:t>95</w:t>
      </w:r>
      <w:r>
        <w:rPr>
          <w:rFonts w:ascii="Calibri" w:eastAsia="Times New Roman" w:hAnsi="Calibri" w:cs="Calibri"/>
          <w:color w:val="000000"/>
          <w:kern w:val="0"/>
          <w:lang w:eastAsia="es-ES"/>
        </w:rPr>
        <w:t>3 personas fallecieron en 2024 por suicidio. A nivel mundial, se estima que 727.000 personas fallecieron por suicidio en 2021, siendo esta la tercera causa principal de muerte entre jóvenes de 15 a 29 años (WHO, 2001). Dichos datos evidencian la magnitud y persistencia de esta problemática global. </w:t>
      </w:r>
    </w:p>
    <w:p w14:paraId="5F2576B9"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eastAsia="es-ES"/>
        </w:rPr>
        <w:t>Cerel et al. (2019), utilizando una muestra representativa de 1.736 adultos estadounidenses, estimaron que cada suicidio afecta directamente a unas 135 personas que conocían a la persona fallecida, cifra que evidencia el alcance del impacto social y emocional del suicidio. </w:t>
      </w:r>
      <w:r>
        <w:rPr>
          <w:rFonts w:ascii="Calibri" w:eastAsia="Times New Roman" w:hAnsi="Calibri" w:cs="Calibri"/>
          <w:color w:val="000000"/>
          <w:kern w:val="0"/>
          <w:shd w:val="clear" w:color="auto" w:fill="FFFFFF"/>
          <w:lang w:eastAsia="es-ES"/>
        </w:rPr>
        <w:t>A estas personas se las denomina </w:t>
      </w:r>
      <w:r>
        <w:rPr>
          <w:rFonts w:ascii="Calibri" w:eastAsia="Times New Roman" w:hAnsi="Calibri" w:cs="Calibri"/>
          <w:i/>
          <w:iCs/>
          <w:color w:val="000000"/>
          <w:kern w:val="0"/>
          <w:shd w:val="clear" w:color="auto" w:fill="FFFFFF"/>
          <w:lang w:eastAsia="es-ES"/>
        </w:rPr>
        <w:t>suicide </w:t>
      </w:r>
      <w:proofErr w:type="spellStart"/>
      <w:r>
        <w:rPr>
          <w:rFonts w:ascii="Calibri" w:eastAsia="Times New Roman" w:hAnsi="Calibri" w:cs="Calibri"/>
          <w:i/>
          <w:iCs/>
          <w:color w:val="000000"/>
          <w:kern w:val="0"/>
          <w:shd w:val="clear" w:color="auto" w:fill="FFFFFF"/>
          <w:lang w:eastAsia="es-ES"/>
        </w:rPr>
        <w:t>loss</w:t>
      </w:r>
      <w:proofErr w:type="spellEnd"/>
      <w:r>
        <w:rPr>
          <w:rFonts w:ascii="Calibri" w:eastAsia="Times New Roman" w:hAnsi="Calibri" w:cs="Calibri"/>
          <w:i/>
          <w:iCs/>
          <w:color w:val="000000"/>
          <w:kern w:val="0"/>
          <w:shd w:val="clear" w:color="auto" w:fill="FFFFFF"/>
          <w:lang w:eastAsia="es-ES"/>
        </w:rPr>
        <w:t> </w:t>
      </w:r>
      <w:proofErr w:type="spellStart"/>
      <w:r>
        <w:rPr>
          <w:rFonts w:ascii="Calibri" w:eastAsia="Times New Roman" w:hAnsi="Calibri" w:cs="Calibri"/>
          <w:i/>
          <w:iCs/>
          <w:color w:val="000000"/>
          <w:kern w:val="0"/>
          <w:shd w:val="clear" w:color="auto" w:fill="FFFFFF"/>
          <w:lang w:eastAsia="es-ES"/>
        </w:rPr>
        <w:t>survivors</w:t>
      </w:r>
      <w:proofErr w:type="spellEnd"/>
      <w:r>
        <w:rPr>
          <w:rFonts w:ascii="Calibri" w:eastAsia="Times New Roman" w:hAnsi="Calibri" w:cs="Calibri"/>
          <w:i/>
          <w:iCs/>
          <w:color w:val="000000"/>
          <w:kern w:val="0"/>
          <w:shd w:val="clear" w:color="auto" w:fill="FFFFFF"/>
          <w:lang w:eastAsia="es-ES"/>
        </w:rPr>
        <w:t>,</w:t>
      </w:r>
      <w:r>
        <w:rPr>
          <w:rFonts w:ascii="Calibri" w:eastAsia="Times New Roman" w:hAnsi="Calibri" w:cs="Calibri"/>
          <w:color w:val="000000"/>
          <w:kern w:val="0"/>
          <w:shd w:val="clear" w:color="auto" w:fill="FFFFFF"/>
          <w:lang w:eastAsia="es-ES"/>
        </w:rPr>
        <w:t> </w:t>
      </w:r>
      <w:r>
        <w:rPr>
          <w:rFonts w:ascii="Calibri" w:eastAsia="Times New Roman" w:hAnsi="Calibri" w:cs="Calibri"/>
          <w:color w:val="000000"/>
          <w:kern w:val="0"/>
          <w:lang w:eastAsia="es-ES"/>
        </w:rPr>
        <w:t>ya que, tras la tragedia, deben afrontar un proceso de supervivencia centrado principalmente en la reconstrucción emocional. </w:t>
      </w:r>
      <w:r>
        <w:rPr>
          <w:rFonts w:ascii="Calibri" w:eastAsia="Times New Roman" w:hAnsi="Calibri" w:cs="Calibri"/>
          <w:color w:val="444E69"/>
          <w:kern w:val="0"/>
          <w:lang w:eastAsia="es-ES"/>
        </w:rPr>
        <w:t> </w:t>
      </w:r>
      <w:r>
        <w:rPr>
          <w:rFonts w:ascii="Calibri" w:eastAsia="Times New Roman" w:hAnsi="Calibri" w:cs="Calibri"/>
          <w:kern w:val="0"/>
          <w:lang w:eastAsia="es-ES"/>
        </w:rPr>
        <w:t>Según la OMS (2000) se considera “superviviente” a cualquier persona que se vea afectada, de forma negativa y significativa, por la muerte por suicidio de esa persona.</w:t>
      </w:r>
      <w:r>
        <w:rPr>
          <w:rFonts w:ascii="Calibri" w:eastAsia="Times New Roman" w:hAnsi="Calibri" w:cs="Calibri"/>
          <w:color w:val="D13438"/>
          <w:kern w:val="0"/>
          <w:lang w:eastAsia="es-ES"/>
        </w:rPr>
        <w:t> </w:t>
      </w:r>
    </w:p>
    <w:p w14:paraId="3B48873A"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 xml:space="preserve">Algunos estudios muestran que uno de los factores clave en el impacto de esta pérdida en suicide los </w:t>
      </w:r>
      <w:proofErr w:type="spellStart"/>
      <w:r>
        <w:rPr>
          <w:rFonts w:ascii="Calibri" w:eastAsia="Times New Roman" w:hAnsi="Calibri" w:cs="Calibri"/>
          <w:color w:val="000000"/>
          <w:kern w:val="0"/>
          <w:lang w:eastAsia="es-ES"/>
        </w:rPr>
        <w:t>survivors</w:t>
      </w:r>
      <w:proofErr w:type="spellEnd"/>
      <w:r>
        <w:rPr>
          <w:rFonts w:ascii="Calibri" w:eastAsia="Times New Roman" w:hAnsi="Calibri" w:cs="Calibri"/>
          <w:color w:val="000000"/>
          <w:kern w:val="0"/>
          <w:lang w:eastAsia="es-ES"/>
        </w:rPr>
        <w:t> es</w:t>
      </w:r>
      <w:r>
        <w:rPr>
          <w:rFonts w:ascii="Calibri" w:eastAsia="Times New Roman" w:hAnsi="Calibri" w:cs="Calibri"/>
          <w:color w:val="D13438"/>
          <w:kern w:val="0"/>
          <w:u w:val="single"/>
          <w:lang w:eastAsia="es-ES"/>
        </w:rPr>
        <w:t> </w:t>
      </w:r>
      <w:r>
        <w:rPr>
          <w:rFonts w:ascii="Calibri" w:eastAsia="Times New Roman" w:hAnsi="Calibri" w:cs="Calibri"/>
          <w:color w:val="000000"/>
          <w:kern w:val="0"/>
          <w:lang w:eastAsia="es-ES"/>
        </w:rPr>
        <w:t>el grado de cercanía afectiva con la víctima. Una mayor cercanía predice un duelo más prolongado, depresión, ansiedad y Trastorno por Estrés Postraumático (TEPT), que el vínculo de parentesco (Brown et al., 2024). Entre las personas más cercanas, los familiares de primer grado (pareja, padres, hijos, hermanos) tienen, en promedio, mayor riesgo de sufrir un duelo complicado y problemas de salud mental que personas menos cercanas (Spillane et al., 2018). Dicha afirmación fue apoyada por Jang et al. (2022)</w:t>
      </w:r>
      <w:r>
        <w:rPr>
          <w:rFonts w:ascii="Calibri" w:eastAsia="Times New Roman" w:hAnsi="Calibri" w:cs="Calibri"/>
          <w:b/>
          <w:bCs/>
          <w:color w:val="000000"/>
          <w:kern w:val="0"/>
          <w:lang w:eastAsia="es-ES"/>
        </w:rPr>
        <w:t>, </w:t>
      </w:r>
      <w:r>
        <w:rPr>
          <w:rFonts w:ascii="Calibri" w:eastAsia="Times New Roman" w:hAnsi="Calibri" w:cs="Calibri"/>
          <w:color w:val="000000"/>
          <w:kern w:val="0"/>
          <w:lang w:eastAsia="es-ES"/>
        </w:rPr>
        <w:t xml:space="preserve">cuya investigación concluyó que los familiares de personas que murieron por suicidio tuvieron un riesgo de suicidio 3 veces mayor que </w:t>
      </w:r>
      <w:r>
        <w:rPr>
          <w:rFonts w:ascii="Calibri" w:eastAsia="Times New Roman" w:hAnsi="Calibri" w:cs="Calibri"/>
          <w:color w:val="000000"/>
          <w:kern w:val="0"/>
          <w:lang w:eastAsia="es-ES"/>
        </w:rPr>
        <w:lastRenderedPageBreak/>
        <w:t>familiares de muertes por otras causas, encontrándose el mayor riesgo en las esposas de hombres que se suicidaron. </w:t>
      </w:r>
    </w:p>
    <w:p w14:paraId="687884C0" w14:textId="77777777" w:rsidR="00CC07FD" w:rsidRDefault="00000000">
      <w:pPr>
        <w:shd w:val="clear" w:color="auto" w:fill="FFFFFF"/>
        <w:spacing w:after="220" w:line="360" w:lineRule="auto"/>
        <w:ind w:left="-170" w:right="6" w:firstLine="709"/>
        <w:jc w:val="both"/>
        <w:textAlignment w:val="baseline"/>
      </w:pPr>
      <w:r>
        <w:rPr>
          <w:rFonts w:ascii="Calibri" w:hAnsi="Calibri" w:cs="Calibri"/>
        </w:rPr>
        <w:t>Comprender en profundidad estas experiencias resulta de gran utilidad para orientar el diseño de intervenciones psicológicas adaptadas a este colectivo, así como para visibilizar vivencias que con frecuencia permanecen silenciadas por el estigma social asociado a este tipo de pérdida. La literatura cualitativa ha comenzado a explorar dimensiones del duelo de los supervivientes por suicidio tales como la influencia del estigma, el papel de la religiosidad o la posibilidad de crecimiento postraumático, entre otros temas (</w:t>
      </w:r>
      <w:proofErr w:type="spellStart"/>
      <w:r>
        <w:rPr>
          <w:rFonts w:ascii="Calibri" w:hAnsi="Calibri" w:cs="Calibri"/>
        </w:rPr>
        <w:t>Creuzé</w:t>
      </w:r>
      <w:proofErr w:type="spellEnd"/>
      <w:r>
        <w:rPr>
          <w:rFonts w:ascii="Calibri" w:hAnsi="Calibri" w:cs="Calibri"/>
        </w:rPr>
        <w:t xml:space="preserve"> et al., 2022; Nilsson et al., 2022; </w:t>
      </w:r>
      <w:proofErr w:type="spellStart"/>
      <w:r>
        <w:rPr>
          <w:rFonts w:ascii="Calibri" w:hAnsi="Calibri" w:cs="Calibri"/>
        </w:rPr>
        <w:t>Zavrou</w:t>
      </w:r>
      <w:proofErr w:type="spellEnd"/>
      <w:r>
        <w:rPr>
          <w:rFonts w:ascii="Calibri" w:hAnsi="Calibri" w:cs="Calibri"/>
        </w:rPr>
        <w:t xml:space="preserve"> et al., 2022; Whittaker et al., 2025). Sin embargo, no se han identificado revisiones que integren de forma conjunta estos hallazgos, lo que justifica la necesidad de la presente revisión.</w:t>
      </w:r>
    </w:p>
    <w:p w14:paraId="72899AEE"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eastAsia="es-ES"/>
        </w:rPr>
        <w:t>Visto todo lo anteriormente citado, el objetivo principal de este estudio será identificar y analizar los principales temas y experiencias presentes en la literatura cualitativa sobre el duelo tras el suicidio de un familiar. El presente trabajo dará respuesta a cuestiones clave tales como: ¿Cuáles son los principales temas y experiencias que describen los familiares adultos que han perdido a un ser querido según investigaciones cualitativas?. Se trata de una revisión bibliográfica que utiliza los estudios cualitativos sobre </w:t>
      </w:r>
      <w:r>
        <w:rPr>
          <w:rFonts w:ascii="Calibri" w:eastAsia="Times New Roman" w:hAnsi="Calibri" w:cs="Calibri"/>
          <w:i/>
          <w:iCs/>
          <w:color w:val="000000"/>
          <w:kern w:val="0"/>
          <w:lang w:eastAsia="es-ES"/>
        </w:rPr>
        <w:t>suicide </w:t>
      </w:r>
      <w:proofErr w:type="spellStart"/>
      <w:r>
        <w:rPr>
          <w:rFonts w:ascii="Calibri" w:eastAsia="Times New Roman" w:hAnsi="Calibri" w:cs="Calibri"/>
          <w:i/>
          <w:iCs/>
          <w:color w:val="000000"/>
          <w:kern w:val="0"/>
          <w:lang w:eastAsia="es-ES"/>
        </w:rPr>
        <w:t>loss</w:t>
      </w:r>
      <w:proofErr w:type="spellEnd"/>
      <w:r>
        <w:rPr>
          <w:rFonts w:ascii="Calibri" w:eastAsia="Times New Roman" w:hAnsi="Calibri" w:cs="Calibri"/>
          <w:i/>
          <w:iCs/>
          <w:color w:val="000000"/>
          <w:kern w:val="0"/>
          <w:lang w:eastAsia="es-ES"/>
        </w:rPr>
        <w:t> </w:t>
      </w:r>
      <w:proofErr w:type="spellStart"/>
      <w:r>
        <w:rPr>
          <w:rFonts w:ascii="Calibri" w:eastAsia="Times New Roman" w:hAnsi="Calibri" w:cs="Calibri"/>
          <w:i/>
          <w:iCs/>
          <w:color w:val="000000"/>
          <w:kern w:val="0"/>
          <w:lang w:eastAsia="es-ES"/>
        </w:rPr>
        <w:t>survivors</w:t>
      </w:r>
      <w:proofErr w:type="spellEnd"/>
      <w:r>
        <w:rPr>
          <w:rFonts w:ascii="Calibri" w:eastAsia="Times New Roman" w:hAnsi="Calibri" w:cs="Calibri"/>
          <w:i/>
          <w:iCs/>
          <w:color w:val="000000"/>
          <w:kern w:val="0"/>
          <w:lang w:eastAsia="es-ES"/>
        </w:rPr>
        <w:t> </w:t>
      </w:r>
      <w:r>
        <w:rPr>
          <w:rFonts w:ascii="Calibri" w:eastAsia="Times New Roman" w:hAnsi="Calibri" w:cs="Calibri"/>
          <w:color w:val="000000"/>
          <w:kern w:val="0"/>
          <w:lang w:eastAsia="es-ES"/>
        </w:rPr>
        <w:t>como marco de análisis para dar respuesta al propósito del estudio.  </w:t>
      </w:r>
    </w:p>
    <w:p w14:paraId="24098CDB"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eastAsia="es-ES"/>
        </w:rPr>
        <w:t>Este trabajo resulta relevante porque posibilita comprender en profundidad los factores que más afectan a los familiares en duelo por suicidio y la forma en que estos inciden en su proceso para hacer frente a la pérdida. Asimismo, apoyarse en investigaciones cualitativas en lugar de cuantitativas posibilita captar la experiencia de los </w:t>
      </w:r>
      <w:r>
        <w:rPr>
          <w:rFonts w:ascii="Calibri" w:eastAsia="Times New Roman" w:hAnsi="Calibri" w:cs="Calibri"/>
          <w:i/>
          <w:iCs/>
          <w:color w:val="000000"/>
          <w:kern w:val="0"/>
          <w:lang w:eastAsia="es-ES"/>
        </w:rPr>
        <w:t>suicide </w:t>
      </w:r>
      <w:proofErr w:type="spellStart"/>
      <w:r>
        <w:rPr>
          <w:rFonts w:ascii="Calibri" w:eastAsia="Times New Roman" w:hAnsi="Calibri" w:cs="Calibri"/>
          <w:i/>
          <w:iCs/>
          <w:color w:val="000000"/>
          <w:kern w:val="0"/>
          <w:lang w:eastAsia="es-ES"/>
        </w:rPr>
        <w:t>loss</w:t>
      </w:r>
      <w:proofErr w:type="spellEnd"/>
      <w:r>
        <w:rPr>
          <w:rFonts w:ascii="Calibri" w:eastAsia="Times New Roman" w:hAnsi="Calibri" w:cs="Calibri"/>
          <w:i/>
          <w:iCs/>
          <w:color w:val="000000"/>
          <w:kern w:val="0"/>
          <w:lang w:eastAsia="es-ES"/>
        </w:rPr>
        <w:t> </w:t>
      </w:r>
      <w:proofErr w:type="spellStart"/>
      <w:r>
        <w:rPr>
          <w:rFonts w:ascii="Calibri" w:eastAsia="Times New Roman" w:hAnsi="Calibri" w:cs="Calibri"/>
          <w:i/>
          <w:iCs/>
          <w:color w:val="000000"/>
          <w:kern w:val="0"/>
          <w:lang w:eastAsia="es-ES"/>
        </w:rPr>
        <w:t>survivors</w:t>
      </w:r>
      <w:proofErr w:type="spellEnd"/>
      <w:r>
        <w:rPr>
          <w:rFonts w:ascii="Calibri" w:eastAsia="Times New Roman" w:hAnsi="Calibri" w:cs="Calibri"/>
          <w:i/>
          <w:iCs/>
          <w:color w:val="000000"/>
          <w:kern w:val="0"/>
          <w:lang w:eastAsia="es-ES"/>
        </w:rPr>
        <w:t> </w:t>
      </w:r>
      <w:r>
        <w:rPr>
          <w:rFonts w:ascii="Calibri" w:eastAsia="Times New Roman" w:hAnsi="Calibri" w:cs="Calibri"/>
          <w:color w:val="000000"/>
          <w:kern w:val="0"/>
          <w:lang w:eastAsia="es-ES"/>
        </w:rPr>
        <w:t>desde su propia perspectiva, identificando los temas recurrentes en su experiencia de duelo y las barreras sociales, como el estigma, que pueden afectar su proceso de adaptación.</w:t>
      </w:r>
    </w:p>
    <w:p w14:paraId="1D6D72B8" w14:textId="77777777" w:rsidR="00CC07FD" w:rsidRDefault="00000000">
      <w:pPr>
        <w:pStyle w:val="Ttulo1"/>
        <w:spacing w:line="360" w:lineRule="auto"/>
        <w:jc w:val="both"/>
        <w:rPr>
          <w:rFonts w:ascii="Calibri" w:hAnsi="Calibri" w:cs="Calibri"/>
          <w:b/>
          <w:bCs/>
          <w:color w:val="auto"/>
          <w:sz w:val="24"/>
          <w:szCs w:val="24"/>
          <w:lang w:eastAsia="es-ES"/>
        </w:rPr>
      </w:pPr>
      <w:bookmarkStart w:id="3" w:name="_Toc226667010"/>
      <w:r>
        <w:rPr>
          <w:rFonts w:ascii="Calibri" w:hAnsi="Calibri" w:cs="Calibri"/>
          <w:b/>
          <w:bCs/>
          <w:color w:val="auto"/>
          <w:sz w:val="24"/>
          <w:szCs w:val="24"/>
          <w:lang w:eastAsia="es-ES"/>
        </w:rPr>
        <w:lastRenderedPageBreak/>
        <w:t>2.  Metodología</w:t>
      </w:r>
      <w:bookmarkEnd w:id="3"/>
      <w:r>
        <w:rPr>
          <w:rFonts w:ascii="Calibri" w:hAnsi="Calibri" w:cs="Calibri"/>
          <w:b/>
          <w:bCs/>
          <w:color w:val="auto"/>
          <w:sz w:val="24"/>
          <w:szCs w:val="24"/>
          <w:lang w:eastAsia="es-ES"/>
        </w:rPr>
        <w:t>  </w:t>
      </w:r>
    </w:p>
    <w:p w14:paraId="0AD6C96D" w14:textId="77777777" w:rsidR="00CC07FD" w:rsidRDefault="00000000">
      <w:pPr>
        <w:pStyle w:val="Ttulo2"/>
        <w:spacing w:line="360" w:lineRule="auto"/>
        <w:jc w:val="both"/>
      </w:pPr>
      <w:bookmarkStart w:id="4" w:name="_Toc226667011"/>
      <w:r>
        <w:rPr>
          <w:rFonts w:ascii="Calibri" w:hAnsi="Calibri" w:cs="Calibri"/>
          <w:b/>
          <w:bCs/>
          <w:color w:val="auto"/>
          <w:sz w:val="24"/>
          <w:szCs w:val="24"/>
          <w:lang w:eastAsia="es-ES"/>
        </w:rPr>
        <w:t>2.1 Tipo de investigación.</w:t>
      </w:r>
      <w:bookmarkEnd w:id="4"/>
      <w:r>
        <w:rPr>
          <w:rFonts w:ascii="Calibri" w:hAnsi="Calibri" w:cs="Calibri"/>
          <w:b/>
          <w:bCs/>
          <w:color w:val="auto"/>
          <w:sz w:val="24"/>
          <w:szCs w:val="24"/>
          <w:lang w:eastAsia="es-ES"/>
        </w:rPr>
        <w:t> </w:t>
      </w:r>
    </w:p>
    <w:p w14:paraId="6CFA0022"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eastAsia="es-ES"/>
        </w:rPr>
        <w:t>El presente trabajo es una revisión bibliográfica basada en el análisis de artículos científicos publicados en la base de datos PubMed</w:t>
      </w:r>
      <w:r>
        <w:rPr>
          <w:rFonts w:ascii="Calibri" w:eastAsia="Times New Roman" w:hAnsi="Calibri" w:cs="Calibri"/>
          <w:color w:val="000000"/>
          <w:kern w:val="0"/>
          <w:shd w:val="clear" w:color="auto" w:fill="FFFFFF"/>
          <w:lang w:eastAsia="es-ES"/>
        </w:rPr>
        <w:t xml:space="preserve">. La pregunta de investigación es: ¿Cuáles son los principales temas descritos en la literatura científica, tanto en estudios cualitativos </w:t>
      </w:r>
      <w:r>
        <w:rPr>
          <w:rFonts w:ascii="Calibri" w:eastAsia="Times New Roman" w:hAnsi="Calibri" w:cs="Calibri"/>
          <w:color w:val="000000"/>
          <w:kern w:val="0"/>
          <w:lang w:eastAsia="es-ES"/>
        </w:rPr>
        <w:t>como revisiones sistemáticas y meta-síntesis,</w:t>
      </w:r>
      <w:r>
        <w:rPr>
          <w:rFonts w:ascii="Calibri" w:eastAsia="Times New Roman" w:hAnsi="Calibri" w:cs="Calibri"/>
          <w:color w:val="000000"/>
          <w:kern w:val="0"/>
          <w:shd w:val="clear" w:color="auto" w:fill="FFFFFF"/>
          <w:lang w:eastAsia="es-ES"/>
        </w:rPr>
        <w:t> sobre las experiencias de duelo de familiares adultos que han perdido a un ser querido por suicidio?</w:t>
      </w:r>
      <w:r>
        <w:rPr>
          <w:rFonts w:ascii="Calibri" w:eastAsia="Times New Roman" w:hAnsi="Calibri" w:cs="Calibri"/>
          <w:color w:val="000000"/>
          <w:kern w:val="0"/>
          <w:lang w:eastAsia="es-ES"/>
        </w:rPr>
        <w:t>.</w:t>
      </w:r>
    </w:p>
    <w:p w14:paraId="4DE418A1" w14:textId="77777777" w:rsidR="00CC07FD" w:rsidRDefault="00000000">
      <w:pPr>
        <w:pStyle w:val="Ttulo2"/>
        <w:spacing w:line="360" w:lineRule="auto"/>
        <w:jc w:val="both"/>
        <w:rPr>
          <w:rFonts w:ascii="Calibri" w:hAnsi="Calibri" w:cs="Calibri"/>
          <w:b/>
          <w:bCs/>
          <w:color w:val="auto"/>
          <w:sz w:val="24"/>
          <w:szCs w:val="24"/>
          <w:lang w:eastAsia="es-ES"/>
        </w:rPr>
      </w:pPr>
      <w:bookmarkStart w:id="5" w:name="_Toc226667012"/>
      <w:r>
        <w:rPr>
          <w:rFonts w:ascii="Calibri" w:hAnsi="Calibri" w:cs="Calibri"/>
          <w:b/>
          <w:bCs/>
          <w:color w:val="auto"/>
          <w:sz w:val="24"/>
          <w:szCs w:val="24"/>
          <w:lang w:eastAsia="es-ES"/>
        </w:rPr>
        <w:t>2.2 Criterios de inclusión/exclusión.</w:t>
      </w:r>
      <w:bookmarkEnd w:id="5"/>
      <w:r>
        <w:rPr>
          <w:rFonts w:ascii="Calibri" w:hAnsi="Calibri" w:cs="Calibri"/>
          <w:b/>
          <w:bCs/>
          <w:color w:val="auto"/>
          <w:sz w:val="24"/>
          <w:szCs w:val="24"/>
          <w:lang w:eastAsia="es-ES"/>
        </w:rPr>
        <w:t>  </w:t>
      </w:r>
    </w:p>
    <w:p w14:paraId="4291B121" w14:textId="77777777" w:rsidR="00CC07FD" w:rsidRDefault="00000000">
      <w:pPr>
        <w:spacing w:after="220" w:line="360" w:lineRule="auto"/>
        <w:ind w:left="-170" w:right="6" w:firstLine="709"/>
        <w:jc w:val="both"/>
        <w:textAlignment w:val="baseline"/>
      </w:pPr>
      <w:r>
        <w:rPr>
          <w:rFonts w:ascii="Calibri" w:hAnsi="Calibri" w:cs="Calibri"/>
        </w:rPr>
        <w:t xml:space="preserve">La población objeto de estudio está compuesta por </w:t>
      </w:r>
      <w:r>
        <w:rPr>
          <w:rFonts w:ascii="Calibri" w:hAnsi="Calibri" w:cs="Calibri"/>
          <w:i/>
          <w:iCs/>
        </w:rPr>
        <w:t xml:space="preserve">suicide </w:t>
      </w:r>
      <w:proofErr w:type="spellStart"/>
      <w:r>
        <w:rPr>
          <w:rFonts w:ascii="Calibri" w:hAnsi="Calibri" w:cs="Calibri"/>
          <w:i/>
          <w:iCs/>
        </w:rPr>
        <w:t>loss</w:t>
      </w:r>
      <w:proofErr w:type="spellEnd"/>
      <w:r>
        <w:rPr>
          <w:rFonts w:ascii="Calibri" w:hAnsi="Calibri" w:cs="Calibri"/>
          <w:i/>
          <w:iCs/>
        </w:rPr>
        <w:t xml:space="preserve"> </w:t>
      </w:r>
      <w:proofErr w:type="spellStart"/>
      <w:r>
        <w:rPr>
          <w:rFonts w:ascii="Calibri" w:hAnsi="Calibri" w:cs="Calibri"/>
          <w:i/>
          <w:iCs/>
        </w:rPr>
        <w:t>survivors</w:t>
      </w:r>
      <w:proofErr w:type="spellEnd"/>
      <w:r>
        <w:rPr>
          <w:rFonts w:ascii="Calibri" w:hAnsi="Calibri" w:cs="Calibri"/>
        </w:rPr>
        <w:t>, definidos como personas que han experimentado la pérdida de un familiar por suicidio. Se incluirán estudios cuyos participantes mantengan un vínculo familiar directo con la persona fallecida, incluyendo padres, hijos, hermanos y pareja o cónyuge. Se considerarán investigaciones realizadas con población adulta (≥18 años). No obstante, se incluirán revisiones sistemáticas que incorporen estudios con población menor de edad, siempre que sea posible extraer de forma independiente los resultados correspondientes a participantes adultos.</w:t>
      </w:r>
      <w:r>
        <w:t xml:space="preserve"> </w:t>
      </w:r>
      <w:r>
        <w:rPr>
          <w:rFonts w:ascii="Calibri" w:hAnsi="Calibri" w:cs="Calibri"/>
        </w:rPr>
        <w:t>En cuanto al diseño metodológico, se incluirán estudios cualitativos, así como revisiones sistemáticas que integren evidencia cualitativa, aun cuando estas incluyan de forma secundaria estudios cuantitativos o longitudinales, extrayendo únicamente los resultados que cumplen los criterios de diseño y población.</w:t>
      </w:r>
    </w:p>
    <w:p w14:paraId="6A451441"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shd w:val="clear" w:color="auto" w:fill="FFFFFF"/>
          <w:lang w:eastAsia="es-ES"/>
        </w:rPr>
        <w:t>La revisión se limita a artículos científicos publicados en revistas académicas y obtenidos a través de la base de datos PubMe</w:t>
      </w:r>
      <w:r>
        <w:rPr>
          <w:rFonts w:ascii="Calibri" w:eastAsia="Times New Roman" w:hAnsi="Calibri" w:cs="Calibri"/>
          <w:color w:val="000000"/>
          <w:kern w:val="0"/>
          <w:lang w:eastAsia="es-ES"/>
        </w:rPr>
        <w:t>d</w:t>
      </w:r>
      <w:r>
        <w:rPr>
          <w:rFonts w:ascii="Calibri" w:hAnsi="Calibri" w:cs="Calibri"/>
        </w:rPr>
        <w:t xml:space="preserve">. </w:t>
      </w:r>
      <w:r>
        <w:rPr>
          <w:rFonts w:ascii="Calibri" w:eastAsia="Times New Roman" w:hAnsi="Calibri" w:cs="Calibri"/>
          <w:color w:val="000000"/>
          <w:kern w:val="0"/>
          <w:lang w:eastAsia="es-ES"/>
        </w:rPr>
        <w:t>En cuanto a los criterios de idioma, se incluyen únicamente estudios publicados en inglés. </w:t>
      </w:r>
      <w:r>
        <w:rPr>
          <w:rFonts w:ascii="Calibri" w:hAnsi="Calibri" w:cs="Calibri"/>
        </w:rPr>
        <w:t>Por último, se establecieron restricciones temporales, por lo que se incluyeron estudios publicados hasta el 2 de enero de 2026, fecha en la que se realizó la búsqueda.</w:t>
      </w:r>
    </w:p>
    <w:p w14:paraId="7726F693" w14:textId="77777777" w:rsidR="00CC07FD" w:rsidRDefault="00000000">
      <w:pPr>
        <w:spacing w:after="220" w:line="360" w:lineRule="auto"/>
        <w:ind w:left="-170" w:right="6" w:firstLine="709"/>
        <w:jc w:val="both"/>
        <w:textAlignment w:val="baseline"/>
      </w:pPr>
      <w:r>
        <w:rPr>
          <w:rFonts w:ascii="Calibri" w:hAnsi="Calibri" w:cs="Calibri"/>
        </w:rPr>
        <w:t xml:space="preserve">Se excluyeron estudios cuyos participantes no mantuviesen una relación familiar directa con la persona fallecida, como amigos u otros vínculos sociales. Asimismo, se excluirán investigaciones centradas exclusivamente en población menor de edad. </w:t>
      </w:r>
      <w:r>
        <w:rPr>
          <w:rFonts w:ascii="Calibri" w:eastAsia="Times New Roman" w:hAnsi="Calibri" w:cs="Calibri"/>
          <w:color w:val="000000"/>
          <w:kern w:val="0"/>
          <w:shd w:val="clear" w:color="auto" w:fill="FFFFFF"/>
          <w:lang w:eastAsia="es-ES"/>
        </w:rPr>
        <w:t>Del mismo modo, quedarán excluidos estudios cuantitativos</w:t>
      </w:r>
      <w:r>
        <w:rPr>
          <w:rFonts w:ascii="Calibri" w:hAnsi="Calibri" w:cs="Calibri"/>
        </w:rPr>
        <w:t xml:space="preserve"> primarios o mixtos, salvo en el caso de revisiones sistemáticas que incluyan evidencia cualitativa relevante. Finalmente, </w:t>
      </w:r>
      <w:r>
        <w:rPr>
          <w:rFonts w:ascii="Calibri" w:hAnsi="Calibri" w:cs="Calibri"/>
        </w:rPr>
        <w:lastRenderedPageBreak/>
        <w:t xml:space="preserve">se excluirán </w:t>
      </w:r>
      <w:r>
        <w:rPr>
          <w:rFonts w:ascii="Calibri" w:eastAsia="Times New Roman" w:hAnsi="Calibri" w:cs="Calibri"/>
          <w:color w:val="000000"/>
          <w:kern w:val="0"/>
          <w:shd w:val="clear" w:color="auto" w:fill="FFFFFF"/>
          <w:lang w:eastAsia="es-ES"/>
        </w:rPr>
        <w:t>trabajos académicos no publicados en formato de artículo científico, tales como tesis doctorales, trabajos de fin de grado o de máster</w:t>
      </w:r>
      <w:r>
        <w:rPr>
          <w:rFonts w:ascii="Calibri" w:hAnsi="Calibri" w:cs="Calibri"/>
        </w:rPr>
        <w:t>. El proceso de selección se ilustra en la Figura 1 a través de un diagrama PRISMA.</w:t>
      </w:r>
      <w:r>
        <w:rPr>
          <w:rFonts w:ascii="Calibri" w:eastAsia="Times New Roman" w:hAnsi="Calibri" w:cs="Calibri"/>
          <w:color w:val="000000"/>
          <w:kern w:val="0"/>
          <w:lang w:eastAsia="es-ES"/>
        </w:rPr>
        <w:t> </w:t>
      </w:r>
    </w:p>
    <w:p w14:paraId="2CCE53FF" w14:textId="77777777" w:rsidR="00CC07FD" w:rsidRDefault="00000000">
      <w:pPr>
        <w:pStyle w:val="Ttulo2"/>
        <w:spacing w:line="360" w:lineRule="auto"/>
        <w:jc w:val="both"/>
        <w:rPr>
          <w:rFonts w:ascii="Calibri" w:hAnsi="Calibri" w:cs="Calibri"/>
          <w:b/>
          <w:bCs/>
          <w:color w:val="auto"/>
          <w:sz w:val="24"/>
          <w:szCs w:val="24"/>
          <w:lang w:eastAsia="es-ES"/>
        </w:rPr>
      </w:pPr>
      <w:bookmarkStart w:id="6" w:name="_Toc226667013"/>
      <w:r>
        <w:rPr>
          <w:rFonts w:ascii="Calibri" w:hAnsi="Calibri" w:cs="Calibri"/>
          <w:b/>
          <w:bCs/>
          <w:color w:val="auto"/>
          <w:sz w:val="24"/>
          <w:szCs w:val="24"/>
          <w:lang w:eastAsia="es-ES"/>
        </w:rPr>
        <w:t>2.3 Estrategia de búsqueda.</w:t>
      </w:r>
      <w:bookmarkEnd w:id="6"/>
      <w:r>
        <w:rPr>
          <w:rFonts w:ascii="Calibri" w:hAnsi="Calibri" w:cs="Calibri"/>
          <w:b/>
          <w:bCs/>
          <w:color w:val="auto"/>
          <w:sz w:val="24"/>
          <w:szCs w:val="24"/>
          <w:lang w:eastAsia="es-ES"/>
        </w:rPr>
        <w:t> </w:t>
      </w:r>
    </w:p>
    <w:p w14:paraId="02793B60"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shd w:val="clear" w:color="auto" w:fill="FFFFFF"/>
          <w:lang w:eastAsia="es-ES"/>
        </w:rPr>
        <w:t>La búsqueda fue realizada el 2 de enero de 2026</w:t>
      </w:r>
      <w:r>
        <w:rPr>
          <w:rFonts w:ascii="Calibri" w:eastAsia="Times New Roman" w:hAnsi="Calibri" w:cs="Calibri"/>
          <w:color w:val="000000"/>
          <w:kern w:val="0"/>
          <w:lang w:eastAsia="es-ES"/>
        </w:rPr>
        <w:t xml:space="preserve"> en </w:t>
      </w:r>
      <w:proofErr w:type="spellStart"/>
      <w:r>
        <w:rPr>
          <w:rFonts w:ascii="Calibri" w:eastAsia="Times New Roman" w:hAnsi="Calibri" w:cs="Calibri"/>
          <w:color w:val="000000"/>
          <w:kern w:val="0"/>
          <w:lang w:eastAsia="es-ES"/>
        </w:rPr>
        <w:t>Pubmed</w:t>
      </w:r>
      <w:proofErr w:type="spellEnd"/>
      <w:r>
        <w:rPr>
          <w:rFonts w:ascii="Calibri" w:eastAsia="Times New Roman" w:hAnsi="Calibri" w:cs="Calibri"/>
          <w:color w:val="000000"/>
          <w:kern w:val="0"/>
          <w:lang w:eastAsia="es-ES"/>
        </w:rPr>
        <w:t xml:space="preserve"> e incluyó los siguientes términos y estructura: </w:t>
      </w:r>
    </w:p>
    <w:p w14:paraId="7FE78E43"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((("suicide"[Title/Abstract]) AND ("loss"[Title/Abstract])) AND ("survivor*"[Title/Abstract])) AND ("qualitative"[Title/Abstract]).</w:t>
      </w:r>
    </w:p>
    <w:p w14:paraId="7149AFFA" w14:textId="77777777" w:rsidR="00CC07FD" w:rsidRDefault="00000000">
      <w:pPr>
        <w:spacing w:after="220" w:line="360" w:lineRule="auto"/>
        <w:ind w:left="-170" w:right="6" w:firstLine="709"/>
        <w:jc w:val="both"/>
        <w:textAlignment w:val="baseline"/>
      </w:pPr>
      <w:r>
        <w:rPr>
          <w:rFonts w:ascii="Calibri" w:eastAsia="Times New Roman" w:hAnsi="Calibri" w:cs="Calibri"/>
          <w:noProof/>
          <w:color w:val="000000"/>
          <w:kern w:val="0"/>
          <w:lang w:eastAsia="es-ES"/>
        </w:rPr>
        <w:drawing>
          <wp:inline distT="0" distB="0" distL="0" distR="0" wp14:anchorId="6779986F" wp14:editId="3ED9C53F">
            <wp:extent cx="4680584" cy="5203192"/>
            <wp:effectExtent l="0" t="0" r="5716" b="0"/>
            <wp:docPr id="755027871" name="Imagen 10" descr="Diagrama&#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rcRect/>
                    <a:stretch>
                      <a:fillRect/>
                    </a:stretch>
                  </pic:blipFill>
                  <pic:spPr>
                    <a:xfrm>
                      <a:off x="0" y="0"/>
                      <a:ext cx="4680584" cy="5203192"/>
                    </a:xfrm>
                    <a:prstGeom prst="rect">
                      <a:avLst/>
                    </a:prstGeom>
                    <a:noFill/>
                    <a:ln>
                      <a:noFill/>
                      <a:prstDash/>
                    </a:ln>
                  </pic:spPr>
                </pic:pic>
              </a:graphicData>
            </a:graphic>
          </wp:inline>
        </w:drawing>
      </w:r>
      <w:r>
        <w:rPr>
          <w:rFonts w:ascii="Calibri" w:eastAsia="Times New Roman" w:hAnsi="Calibri" w:cs="Calibri"/>
          <w:kern w:val="0"/>
          <w:lang w:eastAsia="es-ES"/>
        </w:rPr>
        <w:t> </w:t>
      </w:r>
    </w:p>
    <w:p w14:paraId="32F10288" w14:textId="77777777" w:rsidR="00CC07FD" w:rsidRDefault="00000000">
      <w:pPr>
        <w:spacing w:after="220" w:line="360" w:lineRule="auto"/>
        <w:ind w:left="539" w:right="6"/>
        <w:jc w:val="both"/>
        <w:textAlignment w:val="baseline"/>
      </w:pPr>
      <w:r>
        <w:rPr>
          <w:rFonts w:ascii="Calibri" w:eastAsia="Times New Roman" w:hAnsi="Calibri" w:cs="Calibri"/>
          <w:b/>
          <w:bCs/>
          <w:kern w:val="0"/>
          <w:lang w:eastAsia="es-ES"/>
        </w:rPr>
        <w:t>Figura 1. Diagrama PRISMA.</w:t>
      </w:r>
    </w:p>
    <w:p w14:paraId="62FAE6DB" w14:textId="77777777" w:rsidR="00CC07FD" w:rsidRDefault="00000000">
      <w:pPr>
        <w:pStyle w:val="Ttulo2"/>
        <w:spacing w:line="360" w:lineRule="auto"/>
        <w:jc w:val="both"/>
        <w:rPr>
          <w:rFonts w:ascii="Calibri" w:hAnsi="Calibri" w:cs="Calibri"/>
          <w:b/>
          <w:bCs/>
          <w:color w:val="auto"/>
          <w:sz w:val="24"/>
          <w:szCs w:val="24"/>
          <w:lang w:eastAsia="es-ES"/>
        </w:rPr>
      </w:pPr>
      <w:r>
        <w:rPr>
          <w:rFonts w:ascii="Calibri" w:hAnsi="Calibri" w:cs="Calibri"/>
          <w:b/>
          <w:bCs/>
          <w:color w:val="auto"/>
          <w:sz w:val="24"/>
          <w:szCs w:val="24"/>
          <w:lang w:eastAsia="es-ES"/>
        </w:rPr>
        <w:lastRenderedPageBreak/>
        <w:t> </w:t>
      </w:r>
      <w:bookmarkStart w:id="7" w:name="_Toc226667014"/>
      <w:r>
        <w:rPr>
          <w:rFonts w:ascii="Calibri" w:hAnsi="Calibri" w:cs="Calibri"/>
          <w:b/>
          <w:bCs/>
          <w:color w:val="auto"/>
          <w:sz w:val="24"/>
          <w:szCs w:val="24"/>
          <w:lang w:eastAsia="es-ES"/>
        </w:rPr>
        <w:t>2.4 Screening y Extracción</w:t>
      </w:r>
      <w:bookmarkEnd w:id="7"/>
      <w:r>
        <w:rPr>
          <w:rFonts w:ascii="Calibri" w:hAnsi="Calibri" w:cs="Calibri"/>
          <w:b/>
          <w:bCs/>
          <w:color w:val="auto"/>
          <w:sz w:val="24"/>
          <w:szCs w:val="24"/>
          <w:lang w:eastAsia="es-ES"/>
        </w:rPr>
        <w:t xml:space="preserve"> </w:t>
      </w:r>
    </w:p>
    <w:p w14:paraId="4E775C63"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kern w:val="0"/>
          <w:lang w:eastAsia="es-ES"/>
        </w:rPr>
      </w:pPr>
      <w:r>
        <w:rPr>
          <w:rFonts w:ascii="Calibri" w:eastAsia="Times New Roman" w:hAnsi="Calibri" w:cs="Calibri"/>
          <w:kern w:val="0"/>
          <w:lang w:eastAsia="es-ES"/>
        </w:rPr>
        <w:t>La selección de los estudios se llevó a cabo en varias fases, tal y como refleja la Figura 1. A partir de la búsqueda realizada el 2 de enero de 2026 en PubMed, se identificaron inicialmente 35 registros. Antes de comenzar el proceso de selección, se eliminaron 12 registros por razones diversas, principalmente por no ajustarse al tema de estudio, lo que dejó un total de 23 artículos para su revisión.</w:t>
      </w:r>
    </w:p>
    <w:p w14:paraId="54203355"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kern w:val="0"/>
          <w:lang w:eastAsia="es-ES"/>
        </w:rPr>
        <w:t>En la primera fase de cribado, se realizó una lectura del título y del resumen (</w:t>
      </w:r>
      <w:proofErr w:type="spellStart"/>
      <w:r>
        <w:rPr>
          <w:rFonts w:ascii="Calibri" w:eastAsia="Times New Roman" w:hAnsi="Calibri" w:cs="Calibri"/>
          <w:i/>
          <w:iCs/>
          <w:kern w:val="0"/>
          <w:lang w:eastAsia="es-ES"/>
        </w:rPr>
        <w:t>abstract</w:t>
      </w:r>
      <w:proofErr w:type="spellEnd"/>
      <w:r>
        <w:rPr>
          <w:rFonts w:ascii="Calibri" w:eastAsia="Times New Roman" w:hAnsi="Calibri" w:cs="Calibri"/>
          <w:kern w:val="0"/>
          <w:lang w:eastAsia="es-ES"/>
        </w:rPr>
        <w:t xml:space="preserve">) de cada uno de los 23 registros, aplicando los criterios de inclusión y exclusión previamente definidos. Tras este proceso, se excluyeron 13 artículos que no cumplían los criterios definidos para la revisión. Como resultado, 10 artículos fueron considerados potencialmente elegibles y se procedió a la recuperación de sus textos completos. </w:t>
      </w:r>
    </w:p>
    <w:p w14:paraId="725E16E6"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kern w:val="0"/>
          <w:lang w:eastAsia="es-ES"/>
        </w:rPr>
      </w:pPr>
      <w:r>
        <w:rPr>
          <w:rFonts w:ascii="Calibri" w:eastAsia="Times New Roman" w:hAnsi="Calibri" w:cs="Calibri"/>
          <w:kern w:val="0"/>
          <w:lang w:eastAsia="es-ES"/>
        </w:rPr>
        <w:t>En la segunda fase del proceso de selección, se llevó a cabo la lectura completa de los 10 artículos. Tras esta revisión en profundidad, se excluyeron 13 registros adicionales por los siguientes motivos: ocho por incluir amigos u otras personas sin vínculo familiar directo con el fallecido en la muestra (n = 8), uno por tratarse de un estudio de diseño cuantitativo (n = 1), y cuatro por encontrarse bajo acceso restringido de pago sin posibilidad de acceso al texto completo (n = 4). Finalmente, un total de 7 estudios cumplieron todos los criterios de inclusión y fueron incorporados a la revisión.</w:t>
      </w:r>
    </w:p>
    <w:p w14:paraId="1EA15949"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kern w:val="0"/>
          <w:lang w:eastAsia="es-ES"/>
        </w:rPr>
      </w:pPr>
      <w:r>
        <w:rPr>
          <w:rFonts w:ascii="Calibri" w:eastAsia="Times New Roman" w:hAnsi="Calibri" w:cs="Calibri"/>
          <w:kern w:val="0"/>
          <w:lang w:eastAsia="es-ES"/>
        </w:rPr>
        <w:t>En cuanto a la extracción de datos, de cada uno de los artículos incluidos se recopiló la siguiente información: referencia completa (autores y año de publicación), diseño metodológico, país de pertenencia de los participantes, tamaño muestral y sexo de los participantes, religión de los participantes, año de publicación y temática principal abordada. Esta información se organizó en la Tabla 1, lo que permite obtener una visión comparativa del conjunto de estudios seleccionados.</w:t>
      </w:r>
    </w:p>
    <w:p w14:paraId="2EEB165E" w14:textId="77777777" w:rsidR="00CC07FD" w:rsidRDefault="00000000">
      <w:pPr>
        <w:pStyle w:val="Ttulo2"/>
        <w:spacing w:line="360" w:lineRule="auto"/>
        <w:jc w:val="both"/>
        <w:rPr>
          <w:rFonts w:ascii="Calibri" w:hAnsi="Calibri" w:cs="Calibri"/>
          <w:b/>
          <w:bCs/>
          <w:color w:val="auto"/>
          <w:sz w:val="24"/>
          <w:szCs w:val="24"/>
          <w:lang w:eastAsia="es-ES"/>
        </w:rPr>
      </w:pPr>
      <w:bookmarkStart w:id="8" w:name="_Toc226667015"/>
      <w:r>
        <w:rPr>
          <w:rFonts w:ascii="Calibri" w:hAnsi="Calibri" w:cs="Calibri"/>
          <w:b/>
          <w:bCs/>
          <w:color w:val="auto"/>
          <w:sz w:val="24"/>
          <w:szCs w:val="24"/>
          <w:lang w:eastAsia="es-ES"/>
        </w:rPr>
        <w:t>2.5 Análisis</w:t>
      </w:r>
      <w:bookmarkEnd w:id="8"/>
      <w:r>
        <w:rPr>
          <w:rFonts w:ascii="Calibri" w:hAnsi="Calibri" w:cs="Calibri"/>
          <w:b/>
          <w:bCs/>
          <w:color w:val="auto"/>
          <w:sz w:val="24"/>
          <w:szCs w:val="24"/>
          <w:lang w:eastAsia="es-ES"/>
        </w:rPr>
        <w:tab/>
      </w:r>
    </w:p>
    <w:p w14:paraId="0BC5ED9E" w14:textId="77777777" w:rsidR="00CC07FD" w:rsidRDefault="00000000">
      <w:pPr>
        <w:shd w:val="clear" w:color="auto" w:fill="FFFFFF"/>
        <w:tabs>
          <w:tab w:val="left" w:pos="3394"/>
        </w:tabs>
        <w:spacing w:after="220" w:line="360" w:lineRule="auto"/>
        <w:ind w:left="-170" w:right="6" w:firstLine="709"/>
        <w:jc w:val="both"/>
        <w:textAlignment w:val="baseline"/>
        <w:rPr>
          <w:rFonts w:ascii="Calibri" w:eastAsia="Times New Roman" w:hAnsi="Calibri" w:cs="Calibri"/>
          <w:kern w:val="0"/>
          <w:lang w:eastAsia="es-ES"/>
        </w:rPr>
      </w:pPr>
      <w:r>
        <w:rPr>
          <w:rFonts w:ascii="Calibri" w:eastAsia="Times New Roman" w:hAnsi="Calibri" w:cs="Calibri"/>
          <w:kern w:val="0"/>
          <w:lang w:eastAsia="es-ES"/>
        </w:rPr>
        <w:t xml:space="preserve">La síntesis de los resultados se realizó mediante un análisis cualitativo de los estudios incluidos, orientado a identificar los temas recurrentes descritos en la literatura sobre el duelo de familiares adultos tras el suicidio. Para ello, se llevó a cabo una lectura detallada de los apartados de resultados, discusión y conclusiones de cada artículo, </w:t>
      </w:r>
      <w:r>
        <w:rPr>
          <w:rFonts w:ascii="Calibri" w:eastAsia="Times New Roman" w:hAnsi="Calibri" w:cs="Calibri"/>
          <w:kern w:val="0"/>
          <w:lang w:eastAsia="es-ES"/>
        </w:rPr>
        <w:lastRenderedPageBreak/>
        <w:t>prestando especial atención a las experiencias subjetivas reportadas por los participantes y a las interpretaciones propuestas por los autores.</w:t>
      </w:r>
    </w:p>
    <w:p w14:paraId="4339753B" w14:textId="77777777" w:rsidR="00CC07FD" w:rsidRDefault="00000000">
      <w:pPr>
        <w:shd w:val="clear" w:color="auto" w:fill="FFFFFF"/>
        <w:tabs>
          <w:tab w:val="left" w:pos="3394"/>
        </w:tabs>
        <w:spacing w:after="220" w:line="360" w:lineRule="auto"/>
        <w:ind w:left="-170" w:right="6" w:firstLine="709"/>
        <w:jc w:val="both"/>
        <w:textAlignment w:val="baseline"/>
        <w:rPr>
          <w:rFonts w:ascii="Calibri" w:eastAsia="Times New Roman" w:hAnsi="Calibri" w:cs="Calibri"/>
          <w:kern w:val="0"/>
          <w:lang w:eastAsia="es-ES"/>
        </w:rPr>
      </w:pPr>
      <w:r>
        <w:rPr>
          <w:rFonts w:ascii="Calibri" w:eastAsia="Times New Roman" w:hAnsi="Calibri" w:cs="Calibri"/>
          <w:kern w:val="0"/>
          <w:lang w:eastAsia="es-ES"/>
        </w:rPr>
        <w:t>A partir de este proceso, se extrajeron las ideas principales y se procedió a su comparación entre los distintos estudios con el fin de detectar patrones comunes. Posteriormente, los hallazgos se agruparon en categorías temáticas en función de su contenido y de las similitudes observadas. Esta agrupación se realizó de manera inductiva, es decir, partiendo de la información presente en los artículos y no de una clasificación establecida previamente.</w:t>
      </w:r>
    </w:p>
    <w:p w14:paraId="0E532012" w14:textId="77777777" w:rsidR="00CC07FD" w:rsidRDefault="00000000">
      <w:pPr>
        <w:shd w:val="clear" w:color="auto" w:fill="FFFFFF"/>
        <w:tabs>
          <w:tab w:val="left" w:pos="3394"/>
        </w:tabs>
        <w:spacing w:after="220" w:line="360" w:lineRule="auto"/>
        <w:ind w:left="-170" w:right="6" w:firstLine="709"/>
        <w:jc w:val="both"/>
        <w:textAlignment w:val="baseline"/>
        <w:rPr>
          <w:rFonts w:ascii="Calibri" w:eastAsia="Times New Roman" w:hAnsi="Calibri" w:cs="Calibri"/>
          <w:kern w:val="0"/>
          <w:lang w:eastAsia="es-ES"/>
        </w:rPr>
      </w:pPr>
      <w:r>
        <w:rPr>
          <w:rFonts w:ascii="Calibri" w:eastAsia="Times New Roman" w:hAnsi="Calibri" w:cs="Calibri"/>
          <w:kern w:val="0"/>
          <w:lang w:eastAsia="es-ES"/>
        </w:rPr>
        <w:t>Como resultado de este proceso de síntesis cualitativa, se identificaron cuatro grandes áreas temáticas que estructuran los resultados de la presente revisión: la espiritualidad, el estigma, los factores que ayudan y el crecimiento postraumático. Estas categorías permitieron organizar la evidencia disponible y facilitar una exposición sistemática de los hallazgos, que se desarrollan en los apartados siguientes.</w:t>
      </w:r>
    </w:p>
    <w:p w14:paraId="2601F888" w14:textId="77777777" w:rsidR="00CC07FD" w:rsidRDefault="00CC07FD">
      <w:pPr>
        <w:shd w:val="clear" w:color="auto" w:fill="FFFFFF"/>
        <w:tabs>
          <w:tab w:val="left" w:pos="3394"/>
        </w:tabs>
        <w:spacing w:after="220" w:line="360" w:lineRule="auto"/>
        <w:ind w:left="-170" w:right="6" w:firstLine="709"/>
        <w:jc w:val="both"/>
        <w:textAlignment w:val="baseline"/>
        <w:rPr>
          <w:rFonts w:ascii="Calibri" w:eastAsia="Times New Roman" w:hAnsi="Calibri" w:cs="Calibri"/>
          <w:kern w:val="0"/>
          <w:lang w:eastAsia="es-ES"/>
        </w:rPr>
      </w:pPr>
    </w:p>
    <w:p w14:paraId="34A83068" w14:textId="77777777" w:rsidR="00CC07FD" w:rsidRDefault="00000000">
      <w:pPr>
        <w:pStyle w:val="Ttulo1"/>
        <w:rPr>
          <w:rFonts w:ascii="Calibri" w:hAnsi="Calibri" w:cs="Calibri"/>
          <w:b/>
          <w:bCs/>
          <w:color w:val="auto"/>
          <w:sz w:val="24"/>
          <w:szCs w:val="24"/>
          <w:lang w:eastAsia="es-ES"/>
        </w:rPr>
      </w:pPr>
      <w:bookmarkStart w:id="9" w:name="_Toc226667016"/>
      <w:r>
        <w:rPr>
          <w:rFonts w:ascii="Calibri" w:hAnsi="Calibri" w:cs="Calibri"/>
          <w:b/>
          <w:bCs/>
          <w:color w:val="auto"/>
          <w:sz w:val="24"/>
          <w:szCs w:val="24"/>
          <w:lang w:eastAsia="es-ES"/>
        </w:rPr>
        <w:t>3. Resultados</w:t>
      </w:r>
      <w:bookmarkEnd w:id="9"/>
    </w:p>
    <w:p w14:paraId="3355C5B2" w14:textId="77777777" w:rsidR="00CC07FD" w:rsidRDefault="00000000">
      <w:r>
        <w:rPr>
          <w:rFonts w:ascii="Calibri" w:eastAsia="Times New Roman" w:hAnsi="Calibri" w:cs="Calibri"/>
          <w:b/>
          <w:bCs/>
          <w:color w:val="000000"/>
          <w:kern w:val="0"/>
          <w:lang w:eastAsia="es-ES"/>
        </w:rPr>
        <w:t xml:space="preserve">Tabla 1. Características de los estudios incluidos </w:t>
      </w:r>
    </w:p>
    <w:tbl>
      <w:tblPr>
        <w:tblW w:w="10345" w:type="dxa"/>
        <w:tblLayout w:type="fixed"/>
        <w:tblCellMar>
          <w:left w:w="10" w:type="dxa"/>
          <w:right w:w="10" w:type="dxa"/>
        </w:tblCellMar>
        <w:tblLook w:val="04A0" w:firstRow="1" w:lastRow="0" w:firstColumn="1" w:lastColumn="0" w:noHBand="0" w:noVBand="1"/>
      </w:tblPr>
      <w:tblGrid>
        <w:gridCol w:w="1635"/>
        <w:gridCol w:w="1146"/>
        <w:gridCol w:w="1506"/>
        <w:gridCol w:w="955"/>
        <w:gridCol w:w="992"/>
        <w:gridCol w:w="1985"/>
        <w:gridCol w:w="992"/>
        <w:gridCol w:w="1134"/>
      </w:tblGrid>
      <w:tr w:rsidR="00CC07FD" w14:paraId="425093F5" w14:textId="77777777">
        <w:tblPrEx>
          <w:tblCellMar>
            <w:top w:w="0" w:type="dxa"/>
            <w:bottom w:w="0" w:type="dxa"/>
          </w:tblCellMar>
        </w:tblPrEx>
        <w:trPr>
          <w:trHeight w:val="420"/>
          <w:tblHeader/>
        </w:trPr>
        <w:tc>
          <w:tcPr>
            <w:tcW w:w="1635" w:type="dxa"/>
            <w:tcBorders>
              <w:top w:val="single" w:sz="4" w:space="0" w:color="000000"/>
              <w:bottom w:val="single" w:sz="4" w:space="0" w:color="000000"/>
            </w:tcBorders>
            <w:tcMar>
              <w:top w:w="80" w:type="dxa"/>
              <w:left w:w="120" w:type="dxa"/>
              <w:bottom w:w="80" w:type="dxa"/>
              <w:right w:w="120" w:type="dxa"/>
            </w:tcMar>
            <w:vAlign w:val="center"/>
          </w:tcPr>
          <w:p w14:paraId="7C8E152D" w14:textId="77777777" w:rsidR="00CC07FD" w:rsidRDefault="00000000">
            <w:pPr>
              <w:spacing w:after="220" w:line="360" w:lineRule="auto"/>
              <w:ind w:right="6" w:firstLine="22"/>
              <w:jc w:val="both"/>
            </w:pPr>
            <w:r>
              <w:rPr>
                <w:rFonts w:ascii="Calibri" w:eastAsia="Arial" w:hAnsi="Calibri" w:cs="Calibri"/>
                <w:b/>
                <w:bCs/>
                <w:color w:val="000000"/>
                <w:sz w:val="18"/>
                <w:szCs w:val="18"/>
              </w:rPr>
              <w:t>Artículo</w:t>
            </w:r>
          </w:p>
        </w:tc>
        <w:tc>
          <w:tcPr>
            <w:tcW w:w="1146" w:type="dxa"/>
            <w:tcBorders>
              <w:top w:val="single" w:sz="4" w:space="0" w:color="000000"/>
              <w:bottom w:val="single" w:sz="4" w:space="0" w:color="000000"/>
            </w:tcBorders>
            <w:tcMar>
              <w:top w:w="80" w:type="dxa"/>
              <w:left w:w="120" w:type="dxa"/>
              <w:bottom w:w="80" w:type="dxa"/>
              <w:right w:w="120" w:type="dxa"/>
            </w:tcMar>
            <w:vAlign w:val="center"/>
          </w:tcPr>
          <w:p w14:paraId="71CF658B" w14:textId="77777777" w:rsidR="00CC07FD" w:rsidRDefault="00000000">
            <w:pPr>
              <w:spacing w:after="220" w:line="360" w:lineRule="auto"/>
              <w:ind w:right="6" w:hanging="13"/>
              <w:jc w:val="both"/>
            </w:pPr>
            <w:r>
              <w:rPr>
                <w:rFonts w:ascii="Calibri" w:hAnsi="Calibri" w:cs="Calibri"/>
                <w:b/>
                <w:bCs/>
                <w:color w:val="000000"/>
                <w:sz w:val="18"/>
                <w:szCs w:val="18"/>
              </w:rPr>
              <w:t>Diseño</w:t>
            </w:r>
          </w:p>
        </w:tc>
        <w:tc>
          <w:tcPr>
            <w:tcW w:w="1506" w:type="dxa"/>
            <w:tcBorders>
              <w:top w:val="single" w:sz="4" w:space="0" w:color="000000"/>
              <w:bottom w:val="single" w:sz="4" w:space="0" w:color="000000"/>
            </w:tcBorders>
            <w:tcMar>
              <w:top w:w="80" w:type="dxa"/>
              <w:left w:w="120" w:type="dxa"/>
              <w:bottom w:w="80" w:type="dxa"/>
              <w:right w:w="120" w:type="dxa"/>
            </w:tcMar>
            <w:vAlign w:val="center"/>
          </w:tcPr>
          <w:p w14:paraId="3C776BA0" w14:textId="77777777" w:rsidR="00CC07FD" w:rsidRDefault="00000000">
            <w:pPr>
              <w:spacing w:after="220" w:line="360" w:lineRule="auto"/>
              <w:ind w:left="155" w:right="6" w:hanging="29"/>
              <w:jc w:val="both"/>
            </w:pPr>
            <w:r>
              <w:rPr>
                <w:rFonts w:ascii="Calibri" w:eastAsia="Arial" w:hAnsi="Calibri" w:cs="Calibri"/>
                <w:b/>
                <w:bCs/>
                <w:color w:val="000000"/>
                <w:sz w:val="18"/>
                <w:szCs w:val="18"/>
              </w:rPr>
              <w:t>País</w:t>
            </w:r>
          </w:p>
        </w:tc>
        <w:tc>
          <w:tcPr>
            <w:tcW w:w="955" w:type="dxa"/>
            <w:tcBorders>
              <w:top w:val="single" w:sz="4" w:space="0" w:color="000000"/>
              <w:bottom w:val="single" w:sz="4" w:space="0" w:color="000000"/>
            </w:tcBorders>
            <w:tcMar>
              <w:top w:w="80" w:type="dxa"/>
              <w:left w:w="120" w:type="dxa"/>
              <w:bottom w:w="80" w:type="dxa"/>
              <w:right w:w="120" w:type="dxa"/>
            </w:tcMar>
            <w:vAlign w:val="center"/>
          </w:tcPr>
          <w:p w14:paraId="4C68A2C7" w14:textId="77777777" w:rsidR="00CC07FD" w:rsidRDefault="00000000">
            <w:pPr>
              <w:spacing w:after="220" w:line="360" w:lineRule="auto"/>
              <w:ind w:right="6"/>
              <w:jc w:val="both"/>
            </w:pPr>
            <w:r>
              <w:rPr>
                <w:rFonts w:ascii="Calibri" w:eastAsia="Arial" w:hAnsi="Calibri" w:cs="Calibri"/>
                <w:b/>
                <w:bCs/>
                <w:color w:val="000000"/>
                <w:sz w:val="18"/>
                <w:szCs w:val="18"/>
              </w:rPr>
              <w:t>Mujeres</w:t>
            </w:r>
          </w:p>
        </w:tc>
        <w:tc>
          <w:tcPr>
            <w:tcW w:w="992" w:type="dxa"/>
            <w:tcBorders>
              <w:top w:val="single" w:sz="4" w:space="0" w:color="000000"/>
              <w:bottom w:val="single" w:sz="4" w:space="0" w:color="000000"/>
            </w:tcBorders>
            <w:tcMar>
              <w:top w:w="80" w:type="dxa"/>
              <w:left w:w="120" w:type="dxa"/>
              <w:bottom w:w="80" w:type="dxa"/>
              <w:right w:w="120" w:type="dxa"/>
            </w:tcMar>
            <w:vAlign w:val="center"/>
          </w:tcPr>
          <w:p w14:paraId="65399B56" w14:textId="77777777" w:rsidR="00CC07FD" w:rsidRDefault="00000000">
            <w:pPr>
              <w:spacing w:after="220" w:line="360" w:lineRule="auto"/>
              <w:ind w:right="6" w:firstLine="9"/>
              <w:jc w:val="both"/>
            </w:pPr>
            <w:r>
              <w:rPr>
                <w:rFonts w:ascii="Calibri" w:eastAsia="Arial" w:hAnsi="Calibri" w:cs="Calibri"/>
                <w:b/>
                <w:bCs/>
                <w:color w:val="000000"/>
                <w:sz w:val="18"/>
                <w:szCs w:val="18"/>
              </w:rPr>
              <w:t>Hombres</w:t>
            </w:r>
          </w:p>
        </w:tc>
        <w:tc>
          <w:tcPr>
            <w:tcW w:w="1985" w:type="dxa"/>
            <w:tcBorders>
              <w:top w:val="single" w:sz="4" w:space="0" w:color="000000"/>
              <w:bottom w:val="single" w:sz="4" w:space="0" w:color="000000"/>
            </w:tcBorders>
            <w:tcMar>
              <w:top w:w="80" w:type="dxa"/>
              <w:left w:w="120" w:type="dxa"/>
              <w:bottom w:w="80" w:type="dxa"/>
              <w:right w:w="120" w:type="dxa"/>
            </w:tcMar>
            <w:vAlign w:val="center"/>
          </w:tcPr>
          <w:p w14:paraId="6E09136C" w14:textId="77777777" w:rsidR="00CC07FD" w:rsidRDefault="00000000">
            <w:pPr>
              <w:spacing w:after="220" w:line="360" w:lineRule="auto"/>
              <w:ind w:left="-5" w:right="6" w:firstLine="5"/>
              <w:jc w:val="both"/>
            </w:pPr>
            <w:r>
              <w:rPr>
                <w:rFonts w:ascii="Calibri" w:eastAsia="Arial" w:hAnsi="Calibri" w:cs="Calibri"/>
                <w:b/>
                <w:bCs/>
                <w:color w:val="000000"/>
                <w:sz w:val="18"/>
                <w:szCs w:val="18"/>
              </w:rPr>
              <w:t xml:space="preserve">Religión </w:t>
            </w:r>
          </w:p>
        </w:tc>
        <w:tc>
          <w:tcPr>
            <w:tcW w:w="992" w:type="dxa"/>
            <w:tcBorders>
              <w:top w:val="single" w:sz="4" w:space="0" w:color="000000"/>
              <w:bottom w:val="single" w:sz="4" w:space="0" w:color="000000"/>
            </w:tcBorders>
            <w:tcMar>
              <w:top w:w="80" w:type="dxa"/>
              <w:left w:w="120" w:type="dxa"/>
              <w:bottom w:w="80" w:type="dxa"/>
              <w:right w:w="120" w:type="dxa"/>
            </w:tcMar>
            <w:vAlign w:val="center"/>
          </w:tcPr>
          <w:p w14:paraId="6D3B06A0" w14:textId="77777777" w:rsidR="00CC07FD" w:rsidRDefault="00000000">
            <w:pPr>
              <w:spacing w:after="220" w:line="360" w:lineRule="auto"/>
              <w:ind w:left="-120" w:right="6"/>
              <w:jc w:val="both"/>
            </w:pPr>
            <w:r>
              <w:rPr>
                <w:rFonts w:ascii="Calibri" w:eastAsia="Arial" w:hAnsi="Calibri" w:cs="Calibri"/>
                <w:b/>
                <w:bCs/>
                <w:color w:val="000000"/>
                <w:sz w:val="18"/>
                <w:szCs w:val="18"/>
              </w:rPr>
              <w:t>Año</w:t>
            </w:r>
          </w:p>
        </w:tc>
        <w:tc>
          <w:tcPr>
            <w:tcW w:w="1134" w:type="dxa"/>
            <w:tcBorders>
              <w:top w:val="single" w:sz="4" w:space="0" w:color="000000"/>
              <w:bottom w:val="single" w:sz="4" w:space="0" w:color="000000"/>
            </w:tcBorders>
            <w:tcMar>
              <w:top w:w="80" w:type="dxa"/>
              <w:left w:w="120" w:type="dxa"/>
              <w:bottom w:w="80" w:type="dxa"/>
              <w:right w:w="120" w:type="dxa"/>
            </w:tcMar>
            <w:vAlign w:val="center"/>
          </w:tcPr>
          <w:p w14:paraId="0C7A13A7" w14:textId="77777777" w:rsidR="00CC07FD" w:rsidRDefault="00000000">
            <w:pPr>
              <w:spacing w:after="220" w:line="360" w:lineRule="auto"/>
              <w:ind w:left="22" w:right="418" w:firstLine="3"/>
              <w:jc w:val="both"/>
            </w:pPr>
            <w:r>
              <w:rPr>
                <w:rFonts w:ascii="Calibri" w:eastAsia="Arial" w:hAnsi="Calibri" w:cs="Calibri"/>
                <w:b/>
                <w:bCs/>
                <w:color w:val="000000"/>
                <w:sz w:val="18"/>
                <w:szCs w:val="18"/>
              </w:rPr>
              <w:t>Tema</w:t>
            </w:r>
          </w:p>
        </w:tc>
      </w:tr>
      <w:tr w:rsidR="00CC07FD" w14:paraId="4D656812" w14:textId="77777777">
        <w:tblPrEx>
          <w:tblCellMar>
            <w:top w:w="0" w:type="dxa"/>
            <w:bottom w:w="0" w:type="dxa"/>
          </w:tblCellMar>
        </w:tblPrEx>
        <w:trPr>
          <w:trHeight w:val="1667"/>
        </w:trPr>
        <w:tc>
          <w:tcPr>
            <w:tcW w:w="1635" w:type="dxa"/>
            <w:tcBorders>
              <w:top w:val="single" w:sz="4" w:space="0" w:color="000000"/>
            </w:tcBorders>
            <w:tcMar>
              <w:top w:w="80" w:type="dxa"/>
              <w:left w:w="120" w:type="dxa"/>
              <w:bottom w:w="80" w:type="dxa"/>
              <w:right w:w="120" w:type="dxa"/>
            </w:tcMar>
            <w:vAlign w:val="center"/>
          </w:tcPr>
          <w:p w14:paraId="2848F0E0" w14:textId="77777777" w:rsidR="00CC07FD" w:rsidRDefault="00000000">
            <w:pPr>
              <w:spacing w:after="220" w:line="360" w:lineRule="auto"/>
              <w:ind w:right="6" w:firstLine="22"/>
              <w:jc w:val="both"/>
            </w:pPr>
            <w:proofErr w:type="spellStart"/>
            <w:r>
              <w:rPr>
                <w:rFonts w:ascii="Calibri" w:eastAsia="Arial" w:hAnsi="Calibri" w:cs="Calibri"/>
                <w:color w:val="000000"/>
                <w:sz w:val="16"/>
                <w:szCs w:val="16"/>
                <w:lang w:val="en-US"/>
              </w:rPr>
              <w:t>Goulah</w:t>
            </w:r>
            <w:proofErr w:type="spellEnd"/>
            <w:r>
              <w:rPr>
                <w:rFonts w:ascii="Calibri" w:eastAsia="Arial" w:hAnsi="Calibri" w:cs="Calibri"/>
                <w:color w:val="000000"/>
                <w:sz w:val="16"/>
                <w:szCs w:val="16"/>
                <w:lang w:val="en-US"/>
              </w:rPr>
              <w:t xml:space="preserve">-Pabst (2021) </w:t>
            </w:r>
          </w:p>
        </w:tc>
        <w:tc>
          <w:tcPr>
            <w:tcW w:w="1146" w:type="dxa"/>
            <w:tcBorders>
              <w:top w:val="single" w:sz="4" w:space="0" w:color="000000"/>
            </w:tcBorders>
            <w:tcMar>
              <w:top w:w="80" w:type="dxa"/>
              <w:left w:w="120" w:type="dxa"/>
              <w:bottom w:w="80" w:type="dxa"/>
              <w:right w:w="120" w:type="dxa"/>
            </w:tcMar>
            <w:vAlign w:val="center"/>
          </w:tcPr>
          <w:p w14:paraId="114D972C" w14:textId="77777777" w:rsidR="00CC07FD" w:rsidRDefault="00000000">
            <w:pPr>
              <w:spacing w:after="220" w:line="360" w:lineRule="auto"/>
              <w:ind w:right="6" w:hanging="13"/>
              <w:jc w:val="both"/>
            </w:pPr>
            <w:r>
              <w:rPr>
                <w:rFonts w:ascii="Calibri" w:eastAsia="Arial" w:hAnsi="Calibri" w:cs="Calibri"/>
                <w:color w:val="000000"/>
                <w:sz w:val="16"/>
                <w:szCs w:val="16"/>
              </w:rPr>
              <w:t>Cualitativo</w:t>
            </w:r>
          </w:p>
        </w:tc>
        <w:tc>
          <w:tcPr>
            <w:tcW w:w="1506" w:type="dxa"/>
            <w:tcBorders>
              <w:top w:val="single" w:sz="4" w:space="0" w:color="000000"/>
            </w:tcBorders>
            <w:tcMar>
              <w:top w:w="80" w:type="dxa"/>
              <w:left w:w="120" w:type="dxa"/>
              <w:bottom w:w="80" w:type="dxa"/>
              <w:right w:w="120" w:type="dxa"/>
            </w:tcMar>
            <w:vAlign w:val="center"/>
          </w:tcPr>
          <w:p w14:paraId="68AD25A2" w14:textId="77777777" w:rsidR="00CC07FD" w:rsidRDefault="00000000">
            <w:pPr>
              <w:spacing w:after="220" w:line="360" w:lineRule="auto"/>
              <w:ind w:left="155" w:right="6" w:hanging="29"/>
              <w:jc w:val="both"/>
            </w:pPr>
            <w:proofErr w:type="gramStart"/>
            <w:r>
              <w:rPr>
                <w:rFonts w:ascii="Calibri" w:eastAsia="Arial" w:hAnsi="Calibri" w:cs="Calibri"/>
                <w:color w:val="000000"/>
                <w:sz w:val="16"/>
                <w:szCs w:val="16"/>
              </w:rPr>
              <w:t>EE.UU.</w:t>
            </w:r>
            <w:proofErr w:type="gramEnd"/>
            <w:r>
              <w:rPr>
                <w:rFonts w:ascii="Calibri" w:eastAsia="Arial" w:hAnsi="Calibri" w:cs="Calibri"/>
                <w:color w:val="000000"/>
                <w:sz w:val="16"/>
                <w:szCs w:val="16"/>
              </w:rPr>
              <w:t xml:space="preserve"> (Los Ángeles, CA)</w:t>
            </w:r>
          </w:p>
        </w:tc>
        <w:tc>
          <w:tcPr>
            <w:tcW w:w="955" w:type="dxa"/>
            <w:tcBorders>
              <w:top w:val="single" w:sz="4" w:space="0" w:color="000000"/>
            </w:tcBorders>
            <w:tcMar>
              <w:top w:w="80" w:type="dxa"/>
              <w:left w:w="120" w:type="dxa"/>
              <w:bottom w:w="80" w:type="dxa"/>
              <w:right w:w="120" w:type="dxa"/>
            </w:tcMar>
            <w:vAlign w:val="center"/>
          </w:tcPr>
          <w:p w14:paraId="5589AFF6" w14:textId="77777777" w:rsidR="00CC07FD" w:rsidRDefault="00000000">
            <w:pPr>
              <w:spacing w:after="220" w:line="360" w:lineRule="auto"/>
              <w:ind w:right="6"/>
              <w:jc w:val="both"/>
            </w:pPr>
            <w:r>
              <w:rPr>
                <w:rFonts w:ascii="Calibri" w:eastAsia="Arial" w:hAnsi="Calibri" w:cs="Calibri"/>
                <w:color w:val="000000"/>
                <w:sz w:val="16"/>
                <w:szCs w:val="16"/>
              </w:rPr>
              <w:t>9</w:t>
            </w:r>
          </w:p>
        </w:tc>
        <w:tc>
          <w:tcPr>
            <w:tcW w:w="992" w:type="dxa"/>
            <w:tcBorders>
              <w:top w:val="single" w:sz="4" w:space="0" w:color="000000"/>
            </w:tcBorders>
            <w:tcMar>
              <w:top w:w="80" w:type="dxa"/>
              <w:left w:w="120" w:type="dxa"/>
              <w:bottom w:w="80" w:type="dxa"/>
              <w:right w:w="120" w:type="dxa"/>
            </w:tcMar>
            <w:vAlign w:val="center"/>
          </w:tcPr>
          <w:p w14:paraId="1E3050BA" w14:textId="77777777" w:rsidR="00CC07FD" w:rsidRDefault="00000000">
            <w:pPr>
              <w:tabs>
                <w:tab w:val="left" w:pos="242"/>
              </w:tabs>
              <w:spacing w:after="220" w:line="360" w:lineRule="auto"/>
              <w:ind w:left="19" w:right="6"/>
              <w:jc w:val="both"/>
            </w:pPr>
            <w:r>
              <w:rPr>
                <w:rFonts w:ascii="Calibri" w:eastAsia="Arial" w:hAnsi="Calibri" w:cs="Calibri"/>
                <w:color w:val="000000"/>
                <w:sz w:val="16"/>
                <w:szCs w:val="16"/>
              </w:rPr>
              <w:t>5</w:t>
            </w:r>
          </w:p>
        </w:tc>
        <w:tc>
          <w:tcPr>
            <w:tcW w:w="1985" w:type="dxa"/>
            <w:tcBorders>
              <w:top w:val="single" w:sz="4" w:space="0" w:color="000000"/>
            </w:tcBorders>
            <w:tcMar>
              <w:top w:w="80" w:type="dxa"/>
              <w:left w:w="120" w:type="dxa"/>
              <w:bottom w:w="80" w:type="dxa"/>
              <w:right w:w="120" w:type="dxa"/>
            </w:tcMar>
            <w:vAlign w:val="center"/>
          </w:tcPr>
          <w:p w14:paraId="3E95B9AD" w14:textId="77777777" w:rsidR="00CC07FD" w:rsidRDefault="00000000">
            <w:pPr>
              <w:spacing w:after="220" w:line="360" w:lineRule="auto"/>
              <w:ind w:left="-5" w:right="6" w:firstLine="5"/>
              <w:jc w:val="both"/>
            </w:pPr>
            <w:r>
              <w:rPr>
                <w:rFonts w:ascii="Calibri" w:eastAsia="Arial" w:hAnsi="Calibri" w:cs="Calibri"/>
                <w:color w:val="000000"/>
                <w:sz w:val="16"/>
                <w:szCs w:val="16"/>
              </w:rPr>
              <w:t>Diversa (ninguna, atea, católica no practicante, Wicca, judía, cristiana, luterana, agnóstica, Unity Church)</w:t>
            </w:r>
          </w:p>
        </w:tc>
        <w:tc>
          <w:tcPr>
            <w:tcW w:w="992" w:type="dxa"/>
            <w:tcBorders>
              <w:top w:val="single" w:sz="4" w:space="0" w:color="000000"/>
            </w:tcBorders>
            <w:tcMar>
              <w:top w:w="80" w:type="dxa"/>
              <w:left w:w="120" w:type="dxa"/>
              <w:bottom w:w="80" w:type="dxa"/>
              <w:right w:w="120" w:type="dxa"/>
            </w:tcMar>
            <w:vAlign w:val="center"/>
          </w:tcPr>
          <w:p w14:paraId="1100EDFA" w14:textId="77777777" w:rsidR="00CC07FD" w:rsidRDefault="00000000">
            <w:pPr>
              <w:spacing w:after="220" w:line="360" w:lineRule="auto"/>
              <w:ind w:left="-120" w:right="6"/>
              <w:jc w:val="both"/>
            </w:pPr>
            <w:r>
              <w:rPr>
                <w:rFonts w:ascii="Calibri" w:eastAsia="Arial" w:hAnsi="Calibri" w:cs="Calibri"/>
                <w:color w:val="000000"/>
                <w:sz w:val="16"/>
                <w:szCs w:val="16"/>
              </w:rPr>
              <w:t>2021</w:t>
            </w:r>
          </w:p>
        </w:tc>
        <w:tc>
          <w:tcPr>
            <w:tcW w:w="1134" w:type="dxa"/>
            <w:tcBorders>
              <w:top w:val="single" w:sz="4" w:space="0" w:color="000000"/>
            </w:tcBorders>
            <w:tcMar>
              <w:top w:w="80" w:type="dxa"/>
              <w:left w:w="120" w:type="dxa"/>
              <w:bottom w:w="80" w:type="dxa"/>
              <w:right w:w="120" w:type="dxa"/>
            </w:tcMar>
            <w:vAlign w:val="center"/>
          </w:tcPr>
          <w:p w14:paraId="6BB65846" w14:textId="77777777" w:rsidR="00CC07FD" w:rsidRDefault="00000000">
            <w:pPr>
              <w:spacing w:after="220" w:line="360" w:lineRule="auto"/>
              <w:ind w:left="22" w:right="418" w:firstLine="3"/>
              <w:jc w:val="both"/>
            </w:pPr>
            <w:r>
              <w:rPr>
                <w:rFonts w:ascii="Calibri" w:eastAsia="Arial" w:hAnsi="Calibri" w:cs="Calibri"/>
                <w:color w:val="000000"/>
                <w:sz w:val="16"/>
                <w:szCs w:val="16"/>
              </w:rPr>
              <w:t>Estigma</w:t>
            </w:r>
          </w:p>
        </w:tc>
      </w:tr>
      <w:tr w:rsidR="00CC07FD" w14:paraId="1CF5DB20" w14:textId="77777777">
        <w:tblPrEx>
          <w:tblCellMar>
            <w:top w:w="0" w:type="dxa"/>
            <w:bottom w:w="0" w:type="dxa"/>
          </w:tblCellMar>
        </w:tblPrEx>
        <w:trPr>
          <w:trHeight w:val="1232"/>
        </w:trPr>
        <w:tc>
          <w:tcPr>
            <w:tcW w:w="1635" w:type="dxa"/>
            <w:tcMar>
              <w:top w:w="80" w:type="dxa"/>
              <w:left w:w="120" w:type="dxa"/>
              <w:bottom w:w="80" w:type="dxa"/>
              <w:right w:w="120" w:type="dxa"/>
            </w:tcMar>
            <w:vAlign w:val="center"/>
          </w:tcPr>
          <w:p w14:paraId="46565115" w14:textId="77777777" w:rsidR="00CC07FD" w:rsidRDefault="00000000">
            <w:pPr>
              <w:spacing w:after="220" w:line="360" w:lineRule="auto"/>
              <w:ind w:right="6" w:firstLine="22"/>
              <w:jc w:val="both"/>
            </w:pPr>
            <w:r>
              <w:rPr>
                <w:rFonts w:ascii="Calibri" w:eastAsia="Arial" w:hAnsi="Calibri" w:cs="Calibri"/>
                <w:color w:val="000000"/>
                <w:sz w:val="16"/>
                <w:szCs w:val="16"/>
                <w:lang w:val="en-US"/>
              </w:rPr>
              <w:t>Sheehan et al. (2016)</w:t>
            </w:r>
          </w:p>
        </w:tc>
        <w:tc>
          <w:tcPr>
            <w:tcW w:w="1146" w:type="dxa"/>
            <w:tcMar>
              <w:top w:w="80" w:type="dxa"/>
              <w:left w:w="120" w:type="dxa"/>
              <w:bottom w:w="80" w:type="dxa"/>
              <w:right w:w="120" w:type="dxa"/>
            </w:tcMar>
            <w:vAlign w:val="center"/>
          </w:tcPr>
          <w:p w14:paraId="78716499" w14:textId="77777777" w:rsidR="00CC07FD" w:rsidRDefault="00000000">
            <w:pPr>
              <w:spacing w:after="220" w:line="360" w:lineRule="auto"/>
              <w:ind w:right="6" w:hanging="13"/>
              <w:jc w:val="both"/>
            </w:pPr>
            <w:r>
              <w:rPr>
                <w:rFonts w:ascii="Calibri" w:eastAsia="Arial" w:hAnsi="Calibri" w:cs="Calibri"/>
                <w:color w:val="000000"/>
                <w:sz w:val="16"/>
                <w:szCs w:val="16"/>
              </w:rPr>
              <w:t>Cualitativo</w:t>
            </w:r>
          </w:p>
        </w:tc>
        <w:tc>
          <w:tcPr>
            <w:tcW w:w="1506" w:type="dxa"/>
            <w:tcMar>
              <w:top w:w="80" w:type="dxa"/>
              <w:left w:w="120" w:type="dxa"/>
              <w:bottom w:w="80" w:type="dxa"/>
              <w:right w:w="120" w:type="dxa"/>
            </w:tcMar>
            <w:vAlign w:val="center"/>
          </w:tcPr>
          <w:p w14:paraId="312D36D9" w14:textId="77777777" w:rsidR="00CC07FD" w:rsidRDefault="00000000">
            <w:pPr>
              <w:spacing w:after="220" w:line="360" w:lineRule="auto"/>
              <w:ind w:left="155" w:right="6" w:hanging="29"/>
              <w:jc w:val="both"/>
            </w:pPr>
            <w:proofErr w:type="gramStart"/>
            <w:r>
              <w:rPr>
                <w:rFonts w:ascii="Calibri" w:eastAsia="Arial" w:hAnsi="Calibri" w:cs="Calibri"/>
                <w:color w:val="000000"/>
                <w:sz w:val="16"/>
                <w:szCs w:val="16"/>
              </w:rPr>
              <w:t>EE.UU.</w:t>
            </w:r>
            <w:proofErr w:type="gramEnd"/>
            <w:r>
              <w:rPr>
                <w:rFonts w:ascii="Calibri" w:eastAsia="Arial" w:hAnsi="Calibri" w:cs="Calibri"/>
                <w:color w:val="000000"/>
                <w:sz w:val="16"/>
                <w:szCs w:val="16"/>
              </w:rPr>
              <w:t xml:space="preserve"> (Chicago, IL)</w:t>
            </w:r>
          </w:p>
        </w:tc>
        <w:tc>
          <w:tcPr>
            <w:tcW w:w="955" w:type="dxa"/>
            <w:tcMar>
              <w:top w:w="80" w:type="dxa"/>
              <w:left w:w="120" w:type="dxa"/>
              <w:bottom w:w="80" w:type="dxa"/>
              <w:right w:w="120" w:type="dxa"/>
            </w:tcMar>
            <w:vAlign w:val="center"/>
          </w:tcPr>
          <w:p w14:paraId="2E9DE0A6" w14:textId="77777777" w:rsidR="00CC07FD" w:rsidRDefault="00000000">
            <w:pPr>
              <w:spacing w:after="220" w:line="360" w:lineRule="auto"/>
              <w:ind w:right="6"/>
              <w:jc w:val="both"/>
            </w:pPr>
            <w:r>
              <w:rPr>
                <w:rFonts w:ascii="Calibri" w:eastAsia="Arial" w:hAnsi="Calibri" w:cs="Calibri"/>
                <w:color w:val="000000"/>
                <w:sz w:val="16"/>
                <w:szCs w:val="16"/>
              </w:rPr>
              <w:t>~30</w:t>
            </w:r>
          </w:p>
        </w:tc>
        <w:tc>
          <w:tcPr>
            <w:tcW w:w="992" w:type="dxa"/>
            <w:tcMar>
              <w:top w:w="80" w:type="dxa"/>
              <w:left w:w="120" w:type="dxa"/>
              <w:bottom w:w="80" w:type="dxa"/>
              <w:right w:w="120" w:type="dxa"/>
            </w:tcMar>
            <w:vAlign w:val="center"/>
          </w:tcPr>
          <w:p w14:paraId="79C01485" w14:textId="77777777" w:rsidR="00CC07FD" w:rsidRDefault="00000000">
            <w:pPr>
              <w:spacing w:after="220" w:line="360" w:lineRule="auto"/>
              <w:ind w:right="6" w:firstLine="19"/>
              <w:jc w:val="both"/>
            </w:pPr>
            <w:r>
              <w:rPr>
                <w:rFonts w:ascii="Calibri" w:eastAsia="Arial" w:hAnsi="Calibri" w:cs="Calibri"/>
                <w:color w:val="000000"/>
                <w:sz w:val="16"/>
                <w:szCs w:val="16"/>
              </w:rPr>
              <w:t>~32</w:t>
            </w:r>
          </w:p>
        </w:tc>
        <w:tc>
          <w:tcPr>
            <w:tcW w:w="1985" w:type="dxa"/>
            <w:tcMar>
              <w:top w:w="80" w:type="dxa"/>
              <w:left w:w="120" w:type="dxa"/>
              <w:bottom w:w="80" w:type="dxa"/>
              <w:right w:w="120" w:type="dxa"/>
            </w:tcMar>
            <w:vAlign w:val="center"/>
          </w:tcPr>
          <w:p w14:paraId="58E038D0" w14:textId="77777777" w:rsidR="00CC07FD" w:rsidRDefault="00000000">
            <w:pPr>
              <w:spacing w:after="220" w:line="360" w:lineRule="auto"/>
              <w:ind w:left="-5" w:right="6" w:firstLine="5"/>
              <w:jc w:val="both"/>
            </w:pPr>
            <w:r>
              <w:rPr>
                <w:rFonts w:ascii="Calibri" w:eastAsia="Arial" w:hAnsi="Calibri" w:cs="Calibri"/>
                <w:color w:val="000000"/>
                <w:sz w:val="16"/>
                <w:szCs w:val="16"/>
              </w:rPr>
              <w:t>No especificada</w:t>
            </w:r>
          </w:p>
        </w:tc>
        <w:tc>
          <w:tcPr>
            <w:tcW w:w="992" w:type="dxa"/>
            <w:tcMar>
              <w:top w:w="80" w:type="dxa"/>
              <w:left w:w="120" w:type="dxa"/>
              <w:bottom w:w="80" w:type="dxa"/>
              <w:right w:w="120" w:type="dxa"/>
            </w:tcMar>
            <w:vAlign w:val="center"/>
          </w:tcPr>
          <w:p w14:paraId="2CF05F34" w14:textId="77777777" w:rsidR="00CC07FD" w:rsidRDefault="00000000">
            <w:pPr>
              <w:spacing w:after="220" w:line="360" w:lineRule="auto"/>
              <w:ind w:left="-120" w:right="6"/>
              <w:jc w:val="both"/>
            </w:pPr>
            <w:r>
              <w:rPr>
                <w:rFonts w:ascii="Calibri" w:eastAsia="Arial" w:hAnsi="Calibri" w:cs="Calibri"/>
                <w:color w:val="000000"/>
                <w:sz w:val="16"/>
                <w:szCs w:val="16"/>
              </w:rPr>
              <w:t>2016</w:t>
            </w:r>
          </w:p>
        </w:tc>
        <w:tc>
          <w:tcPr>
            <w:tcW w:w="1134" w:type="dxa"/>
            <w:tcMar>
              <w:top w:w="80" w:type="dxa"/>
              <w:left w:w="120" w:type="dxa"/>
              <w:bottom w:w="80" w:type="dxa"/>
              <w:right w:w="120" w:type="dxa"/>
            </w:tcMar>
            <w:vAlign w:val="center"/>
          </w:tcPr>
          <w:p w14:paraId="1C8106FD" w14:textId="77777777" w:rsidR="00CC07FD" w:rsidRDefault="00000000">
            <w:pPr>
              <w:spacing w:after="220" w:line="360" w:lineRule="auto"/>
              <w:ind w:left="22" w:right="418" w:firstLine="3"/>
              <w:jc w:val="both"/>
            </w:pPr>
            <w:r>
              <w:rPr>
                <w:rFonts w:ascii="Calibri" w:eastAsia="Arial" w:hAnsi="Calibri" w:cs="Calibri"/>
                <w:color w:val="000000"/>
                <w:sz w:val="16"/>
                <w:szCs w:val="16"/>
              </w:rPr>
              <w:t>Estigma</w:t>
            </w:r>
          </w:p>
        </w:tc>
      </w:tr>
      <w:tr w:rsidR="00CC07FD" w14:paraId="6DFA91BD" w14:textId="77777777">
        <w:tblPrEx>
          <w:tblCellMar>
            <w:top w:w="0" w:type="dxa"/>
            <w:bottom w:w="0" w:type="dxa"/>
          </w:tblCellMar>
        </w:tblPrEx>
        <w:trPr>
          <w:trHeight w:val="1232"/>
        </w:trPr>
        <w:tc>
          <w:tcPr>
            <w:tcW w:w="1635" w:type="dxa"/>
            <w:tcMar>
              <w:top w:w="80" w:type="dxa"/>
              <w:left w:w="120" w:type="dxa"/>
              <w:bottom w:w="80" w:type="dxa"/>
              <w:right w:w="120" w:type="dxa"/>
            </w:tcMar>
            <w:vAlign w:val="center"/>
          </w:tcPr>
          <w:p w14:paraId="1EE40B7B" w14:textId="77777777" w:rsidR="00CC07FD" w:rsidRDefault="00000000">
            <w:pPr>
              <w:spacing w:after="220" w:line="360" w:lineRule="auto"/>
              <w:ind w:right="6" w:firstLine="22"/>
              <w:jc w:val="both"/>
            </w:pPr>
            <w:proofErr w:type="spellStart"/>
            <w:r>
              <w:rPr>
                <w:rFonts w:ascii="Calibri" w:eastAsia="Arial" w:hAnsi="Calibri" w:cs="Calibri"/>
                <w:color w:val="000000"/>
                <w:sz w:val="16"/>
                <w:szCs w:val="16"/>
                <w:lang w:val="en-US"/>
              </w:rPr>
              <w:t>Zavrou</w:t>
            </w:r>
            <w:proofErr w:type="spellEnd"/>
            <w:r>
              <w:rPr>
                <w:rFonts w:ascii="Calibri" w:eastAsia="Arial" w:hAnsi="Calibri" w:cs="Calibri"/>
                <w:color w:val="000000"/>
                <w:sz w:val="16"/>
                <w:szCs w:val="16"/>
                <w:lang w:val="en-US"/>
              </w:rPr>
              <w:t xml:space="preserve"> et al. (2022)</w:t>
            </w:r>
          </w:p>
        </w:tc>
        <w:tc>
          <w:tcPr>
            <w:tcW w:w="1146" w:type="dxa"/>
            <w:tcMar>
              <w:top w:w="80" w:type="dxa"/>
              <w:left w:w="120" w:type="dxa"/>
              <w:bottom w:w="80" w:type="dxa"/>
              <w:right w:w="120" w:type="dxa"/>
            </w:tcMar>
            <w:vAlign w:val="center"/>
          </w:tcPr>
          <w:p w14:paraId="2D9931A5" w14:textId="77777777" w:rsidR="00CC07FD" w:rsidRDefault="00000000">
            <w:pPr>
              <w:spacing w:after="220" w:line="360" w:lineRule="auto"/>
              <w:ind w:right="6" w:hanging="13"/>
              <w:jc w:val="both"/>
              <w:rPr>
                <w:rFonts w:ascii="Calibri" w:eastAsia="Arial" w:hAnsi="Calibri" w:cs="Calibri"/>
                <w:color w:val="000000"/>
                <w:sz w:val="16"/>
                <w:szCs w:val="16"/>
              </w:rPr>
            </w:pPr>
            <w:r>
              <w:rPr>
                <w:rFonts w:ascii="Calibri" w:eastAsia="Arial" w:hAnsi="Calibri" w:cs="Calibri"/>
                <w:color w:val="000000"/>
                <w:sz w:val="16"/>
                <w:szCs w:val="16"/>
              </w:rPr>
              <w:t>Meta-síntesis</w:t>
            </w:r>
          </w:p>
        </w:tc>
        <w:tc>
          <w:tcPr>
            <w:tcW w:w="1506" w:type="dxa"/>
            <w:tcMar>
              <w:top w:w="80" w:type="dxa"/>
              <w:left w:w="120" w:type="dxa"/>
              <w:bottom w:w="80" w:type="dxa"/>
              <w:right w:w="120" w:type="dxa"/>
            </w:tcMar>
            <w:vAlign w:val="center"/>
          </w:tcPr>
          <w:p w14:paraId="6912571D" w14:textId="77777777" w:rsidR="00CC07FD" w:rsidRDefault="00000000">
            <w:pPr>
              <w:spacing w:after="220" w:line="360" w:lineRule="auto"/>
              <w:ind w:left="155" w:right="6" w:hanging="29"/>
              <w:jc w:val="both"/>
            </w:pPr>
            <w:r>
              <w:rPr>
                <w:rFonts w:ascii="Calibri" w:eastAsia="Arial" w:hAnsi="Calibri" w:cs="Calibri"/>
                <w:color w:val="000000"/>
                <w:sz w:val="16"/>
                <w:szCs w:val="16"/>
              </w:rPr>
              <w:t>Multinacional</w:t>
            </w:r>
          </w:p>
        </w:tc>
        <w:tc>
          <w:tcPr>
            <w:tcW w:w="955" w:type="dxa"/>
            <w:tcMar>
              <w:top w:w="80" w:type="dxa"/>
              <w:left w:w="120" w:type="dxa"/>
              <w:bottom w:w="80" w:type="dxa"/>
              <w:right w:w="120" w:type="dxa"/>
            </w:tcMar>
            <w:vAlign w:val="center"/>
          </w:tcPr>
          <w:p w14:paraId="7FA4DB02" w14:textId="77777777" w:rsidR="00CC07FD" w:rsidRDefault="00000000">
            <w:pPr>
              <w:spacing w:after="220" w:line="360" w:lineRule="auto"/>
              <w:ind w:right="6"/>
              <w:jc w:val="both"/>
            </w:pPr>
            <w:r>
              <w:rPr>
                <w:rFonts w:ascii="Calibri" w:eastAsia="Arial" w:hAnsi="Calibri" w:cs="Calibri"/>
                <w:color w:val="000000"/>
                <w:sz w:val="16"/>
                <w:szCs w:val="16"/>
              </w:rPr>
              <w:t>~187</w:t>
            </w:r>
          </w:p>
        </w:tc>
        <w:tc>
          <w:tcPr>
            <w:tcW w:w="992" w:type="dxa"/>
            <w:tcMar>
              <w:top w:w="80" w:type="dxa"/>
              <w:left w:w="120" w:type="dxa"/>
              <w:bottom w:w="80" w:type="dxa"/>
              <w:right w:w="120" w:type="dxa"/>
            </w:tcMar>
            <w:vAlign w:val="center"/>
          </w:tcPr>
          <w:p w14:paraId="7272D602" w14:textId="77777777" w:rsidR="00CC07FD" w:rsidRDefault="00000000">
            <w:pPr>
              <w:spacing w:after="220" w:line="360" w:lineRule="auto"/>
              <w:ind w:right="6" w:firstLine="19"/>
              <w:jc w:val="both"/>
            </w:pPr>
            <w:r>
              <w:rPr>
                <w:rFonts w:ascii="Calibri" w:eastAsia="Arial" w:hAnsi="Calibri" w:cs="Calibri"/>
                <w:color w:val="000000"/>
                <w:sz w:val="16"/>
                <w:szCs w:val="16"/>
              </w:rPr>
              <w:t>~58</w:t>
            </w:r>
          </w:p>
        </w:tc>
        <w:tc>
          <w:tcPr>
            <w:tcW w:w="1985" w:type="dxa"/>
            <w:tcMar>
              <w:top w:w="80" w:type="dxa"/>
              <w:left w:w="120" w:type="dxa"/>
              <w:bottom w:w="80" w:type="dxa"/>
              <w:right w:w="120" w:type="dxa"/>
            </w:tcMar>
            <w:vAlign w:val="center"/>
          </w:tcPr>
          <w:p w14:paraId="3A88F55A" w14:textId="77777777" w:rsidR="00CC07FD" w:rsidRDefault="00000000">
            <w:pPr>
              <w:spacing w:after="220" w:line="360" w:lineRule="auto"/>
              <w:ind w:left="-5" w:right="6" w:firstLine="5"/>
              <w:jc w:val="both"/>
            </w:pPr>
            <w:r>
              <w:rPr>
                <w:rFonts w:ascii="Calibri" w:eastAsia="Arial" w:hAnsi="Calibri" w:cs="Calibri"/>
                <w:color w:val="000000"/>
                <w:sz w:val="16"/>
                <w:szCs w:val="16"/>
              </w:rPr>
              <w:t>No especificada</w:t>
            </w:r>
          </w:p>
        </w:tc>
        <w:tc>
          <w:tcPr>
            <w:tcW w:w="992" w:type="dxa"/>
            <w:tcMar>
              <w:top w:w="80" w:type="dxa"/>
              <w:left w:w="120" w:type="dxa"/>
              <w:bottom w:w="80" w:type="dxa"/>
              <w:right w:w="120" w:type="dxa"/>
            </w:tcMar>
            <w:vAlign w:val="center"/>
          </w:tcPr>
          <w:p w14:paraId="33394374" w14:textId="77777777" w:rsidR="00CC07FD" w:rsidRDefault="00000000">
            <w:pPr>
              <w:spacing w:after="220" w:line="360" w:lineRule="auto"/>
              <w:ind w:left="-120" w:right="6"/>
              <w:jc w:val="both"/>
            </w:pPr>
            <w:r>
              <w:rPr>
                <w:rFonts w:ascii="Calibri" w:eastAsia="Arial" w:hAnsi="Calibri" w:cs="Calibri"/>
                <w:color w:val="000000"/>
                <w:sz w:val="16"/>
                <w:szCs w:val="16"/>
              </w:rPr>
              <w:t>2022</w:t>
            </w:r>
          </w:p>
        </w:tc>
        <w:tc>
          <w:tcPr>
            <w:tcW w:w="1134" w:type="dxa"/>
            <w:tcMar>
              <w:top w:w="80" w:type="dxa"/>
              <w:left w:w="120" w:type="dxa"/>
              <w:bottom w:w="80" w:type="dxa"/>
              <w:right w:w="120" w:type="dxa"/>
            </w:tcMar>
            <w:vAlign w:val="center"/>
          </w:tcPr>
          <w:p w14:paraId="36DD971A" w14:textId="77777777" w:rsidR="00CC07FD" w:rsidRDefault="00000000">
            <w:pPr>
              <w:spacing w:after="220" w:line="360" w:lineRule="auto"/>
              <w:ind w:left="22" w:right="418" w:firstLine="3"/>
              <w:jc w:val="both"/>
            </w:pPr>
            <w:r>
              <w:rPr>
                <w:rFonts w:ascii="Calibri" w:eastAsia="Arial" w:hAnsi="Calibri" w:cs="Calibri"/>
                <w:color w:val="000000"/>
                <w:sz w:val="16"/>
                <w:szCs w:val="16"/>
              </w:rPr>
              <w:t>Factores que ayudan</w:t>
            </w:r>
          </w:p>
        </w:tc>
      </w:tr>
      <w:tr w:rsidR="00CC07FD" w14:paraId="2E5A3B14" w14:textId="77777777">
        <w:tblPrEx>
          <w:tblCellMar>
            <w:top w:w="0" w:type="dxa"/>
            <w:bottom w:w="0" w:type="dxa"/>
          </w:tblCellMar>
        </w:tblPrEx>
        <w:trPr>
          <w:trHeight w:val="1652"/>
        </w:trPr>
        <w:tc>
          <w:tcPr>
            <w:tcW w:w="1635" w:type="dxa"/>
            <w:tcMar>
              <w:top w:w="80" w:type="dxa"/>
              <w:left w:w="120" w:type="dxa"/>
              <w:bottom w:w="80" w:type="dxa"/>
              <w:right w:w="120" w:type="dxa"/>
            </w:tcMar>
            <w:vAlign w:val="center"/>
          </w:tcPr>
          <w:p w14:paraId="40B602EF" w14:textId="77777777" w:rsidR="00CC07FD" w:rsidRDefault="00000000">
            <w:pPr>
              <w:spacing w:after="220" w:line="360" w:lineRule="auto"/>
              <w:ind w:right="6" w:firstLine="22"/>
              <w:jc w:val="both"/>
            </w:pPr>
            <w:r>
              <w:rPr>
                <w:rFonts w:ascii="Calibri" w:eastAsia="Arial" w:hAnsi="Calibri" w:cs="Calibri"/>
                <w:color w:val="000000"/>
                <w:sz w:val="16"/>
                <w:szCs w:val="16"/>
              </w:rPr>
              <w:lastRenderedPageBreak/>
              <w:t xml:space="preserve">Alexandre Silva de Almeida et al. </w:t>
            </w:r>
            <w:r>
              <w:rPr>
                <w:rFonts w:ascii="Calibri" w:eastAsia="Arial" w:hAnsi="Calibri" w:cs="Calibri"/>
                <w:color w:val="000000"/>
                <w:sz w:val="16"/>
                <w:szCs w:val="16"/>
                <w:lang w:val="en-US"/>
              </w:rPr>
              <w:t xml:space="preserve">(2025) </w:t>
            </w:r>
          </w:p>
        </w:tc>
        <w:tc>
          <w:tcPr>
            <w:tcW w:w="1146" w:type="dxa"/>
            <w:tcMar>
              <w:top w:w="80" w:type="dxa"/>
              <w:left w:w="120" w:type="dxa"/>
              <w:bottom w:w="80" w:type="dxa"/>
              <w:right w:w="120" w:type="dxa"/>
            </w:tcMar>
            <w:vAlign w:val="center"/>
          </w:tcPr>
          <w:p w14:paraId="219B6DA8" w14:textId="77777777" w:rsidR="00CC07FD" w:rsidRDefault="00000000">
            <w:pPr>
              <w:spacing w:after="220" w:line="360" w:lineRule="auto"/>
              <w:ind w:right="6" w:hanging="13"/>
              <w:jc w:val="both"/>
              <w:rPr>
                <w:rFonts w:ascii="Calibri" w:eastAsia="Arial" w:hAnsi="Calibri" w:cs="Calibri"/>
                <w:color w:val="000000"/>
                <w:sz w:val="16"/>
                <w:szCs w:val="16"/>
              </w:rPr>
            </w:pPr>
            <w:r>
              <w:rPr>
                <w:rFonts w:ascii="Calibri" w:eastAsia="Arial" w:hAnsi="Calibri" w:cs="Calibri"/>
                <w:color w:val="000000"/>
                <w:sz w:val="16"/>
                <w:szCs w:val="16"/>
              </w:rPr>
              <w:t>Revisión sistemática</w:t>
            </w:r>
          </w:p>
          <w:p w14:paraId="62CA8FE9" w14:textId="77777777" w:rsidR="00CC07FD" w:rsidRDefault="00000000">
            <w:pPr>
              <w:spacing w:after="220" w:line="360" w:lineRule="auto"/>
              <w:ind w:right="6" w:hanging="13"/>
              <w:jc w:val="both"/>
            </w:pPr>
            <w:r>
              <w:rPr>
                <w:rFonts w:ascii="Calibri" w:eastAsia="Arial" w:hAnsi="Calibri" w:cs="Calibri"/>
                <w:color w:val="000000"/>
                <w:sz w:val="16"/>
                <w:szCs w:val="16"/>
              </w:rPr>
              <w:t>((cualitativo (</w:t>
            </w:r>
            <w:r>
              <w:rPr>
                <w:rFonts w:ascii="Calibri" w:eastAsia="Arial" w:hAnsi="Calibri" w:cs="Calibri"/>
                <w:i/>
                <w:iCs/>
                <w:color w:val="000000"/>
                <w:sz w:val="16"/>
                <w:szCs w:val="16"/>
              </w:rPr>
              <w:t>n</w:t>
            </w:r>
            <w:r>
              <w:rPr>
                <w:rFonts w:ascii="Calibri" w:eastAsia="Arial" w:hAnsi="Calibri" w:cs="Calibri"/>
                <w:color w:val="000000"/>
                <w:sz w:val="16"/>
                <w:szCs w:val="16"/>
              </w:rPr>
              <w:t> = 9), cuantitativo (</w:t>
            </w:r>
            <w:r>
              <w:rPr>
                <w:rFonts w:ascii="Calibri" w:eastAsia="Arial" w:hAnsi="Calibri" w:cs="Calibri"/>
                <w:i/>
                <w:iCs/>
                <w:color w:val="000000"/>
                <w:sz w:val="16"/>
                <w:szCs w:val="16"/>
              </w:rPr>
              <w:t>n</w:t>
            </w:r>
            <w:r>
              <w:rPr>
                <w:rFonts w:ascii="Calibri" w:eastAsia="Arial" w:hAnsi="Calibri" w:cs="Calibri"/>
                <w:color w:val="000000"/>
                <w:sz w:val="16"/>
                <w:szCs w:val="16"/>
              </w:rPr>
              <w:t> = 1), y longitudinal (</w:t>
            </w:r>
            <w:r>
              <w:rPr>
                <w:rFonts w:ascii="Calibri" w:eastAsia="Arial" w:hAnsi="Calibri" w:cs="Calibri"/>
                <w:i/>
                <w:iCs/>
                <w:color w:val="000000"/>
                <w:sz w:val="16"/>
                <w:szCs w:val="16"/>
              </w:rPr>
              <w:t>n</w:t>
            </w:r>
            <w:r>
              <w:rPr>
                <w:rFonts w:ascii="Calibri" w:eastAsia="Arial" w:hAnsi="Calibri" w:cs="Calibri"/>
                <w:color w:val="000000"/>
                <w:sz w:val="16"/>
                <w:szCs w:val="16"/>
              </w:rPr>
              <w:t> = 1))</w:t>
            </w:r>
          </w:p>
        </w:tc>
        <w:tc>
          <w:tcPr>
            <w:tcW w:w="1506" w:type="dxa"/>
            <w:tcMar>
              <w:top w:w="80" w:type="dxa"/>
              <w:left w:w="120" w:type="dxa"/>
              <w:bottom w:w="80" w:type="dxa"/>
              <w:right w:w="120" w:type="dxa"/>
            </w:tcMar>
            <w:vAlign w:val="center"/>
          </w:tcPr>
          <w:p w14:paraId="0FFFBB3C" w14:textId="77777777" w:rsidR="00CC07FD" w:rsidRDefault="00000000">
            <w:pPr>
              <w:spacing w:after="220" w:line="360" w:lineRule="auto"/>
              <w:ind w:left="155" w:right="6" w:hanging="29"/>
              <w:jc w:val="both"/>
            </w:pPr>
            <w:r>
              <w:rPr>
                <w:rFonts w:ascii="Calibri" w:eastAsia="Arial" w:hAnsi="Calibri" w:cs="Calibri"/>
                <w:color w:val="000000"/>
                <w:sz w:val="16"/>
                <w:szCs w:val="16"/>
              </w:rPr>
              <w:t xml:space="preserve">Multinacional (mayoría </w:t>
            </w:r>
            <w:proofErr w:type="gramStart"/>
            <w:r>
              <w:rPr>
                <w:rFonts w:ascii="Calibri" w:eastAsia="Arial" w:hAnsi="Calibri" w:cs="Calibri"/>
                <w:color w:val="000000"/>
                <w:sz w:val="16"/>
                <w:szCs w:val="16"/>
              </w:rPr>
              <w:t>EE.UU.</w:t>
            </w:r>
            <w:proofErr w:type="gramEnd"/>
            <w:r>
              <w:rPr>
                <w:rFonts w:ascii="Calibri" w:eastAsia="Arial" w:hAnsi="Calibri" w:cs="Calibri"/>
                <w:color w:val="000000"/>
                <w:sz w:val="16"/>
                <w:szCs w:val="16"/>
              </w:rPr>
              <w:t>; Lituania, Canadá, Suiza)</w:t>
            </w:r>
          </w:p>
        </w:tc>
        <w:tc>
          <w:tcPr>
            <w:tcW w:w="955" w:type="dxa"/>
            <w:tcMar>
              <w:top w:w="80" w:type="dxa"/>
              <w:left w:w="120" w:type="dxa"/>
              <w:bottom w:w="80" w:type="dxa"/>
              <w:right w:w="120" w:type="dxa"/>
            </w:tcMar>
            <w:vAlign w:val="center"/>
          </w:tcPr>
          <w:p w14:paraId="60BE9B40" w14:textId="77777777" w:rsidR="00CC07FD" w:rsidRDefault="00000000">
            <w:pPr>
              <w:spacing w:after="220" w:line="360" w:lineRule="auto"/>
              <w:ind w:right="6"/>
              <w:jc w:val="both"/>
            </w:pPr>
            <w:r>
              <w:rPr>
                <w:rFonts w:ascii="Calibri" w:eastAsia="Arial" w:hAnsi="Calibri" w:cs="Calibri"/>
                <w:color w:val="000000"/>
                <w:sz w:val="16"/>
                <w:szCs w:val="16"/>
              </w:rPr>
              <w:t>~2.080</w:t>
            </w:r>
          </w:p>
        </w:tc>
        <w:tc>
          <w:tcPr>
            <w:tcW w:w="992" w:type="dxa"/>
            <w:tcMar>
              <w:top w:w="80" w:type="dxa"/>
              <w:left w:w="120" w:type="dxa"/>
              <w:bottom w:w="80" w:type="dxa"/>
              <w:right w:w="120" w:type="dxa"/>
            </w:tcMar>
            <w:vAlign w:val="center"/>
          </w:tcPr>
          <w:p w14:paraId="0B56D7C5" w14:textId="77777777" w:rsidR="00CC07FD" w:rsidRDefault="00000000">
            <w:pPr>
              <w:spacing w:after="220" w:line="360" w:lineRule="auto"/>
              <w:ind w:right="6" w:firstLine="19"/>
              <w:jc w:val="both"/>
            </w:pPr>
            <w:r>
              <w:rPr>
                <w:rFonts w:ascii="Calibri" w:eastAsia="Arial" w:hAnsi="Calibri" w:cs="Calibri"/>
                <w:color w:val="000000"/>
                <w:sz w:val="16"/>
                <w:szCs w:val="16"/>
              </w:rPr>
              <w:t>~159</w:t>
            </w:r>
          </w:p>
        </w:tc>
        <w:tc>
          <w:tcPr>
            <w:tcW w:w="1985" w:type="dxa"/>
            <w:tcMar>
              <w:top w:w="80" w:type="dxa"/>
              <w:left w:w="120" w:type="dxa"/>
              <w:bottom w:w="80" w:type="dxa"/>
              <w:right w:w="120" w:type="dxa"/>
            </w:tcMar>
            <w:vAlign w:val="center"/>
          </w:tcPr>
          <w:p w14:paraId="1DA05B2A" w14:textId="77777777" w:rsidR="00CC07FD" w:rsidRDefault="00000000">
            <w:pPr>
              <w:spacing w:after="220" w:line="360" w:lineRule="auto"/>
              <w:ind w:left="-5" w:right="6" w:firstLine="5"/>
              <w:jc w:val="both"/>
            </w:pPr>
            <w:r>
              <w:rPr>
                <w:rFonts w:ascii="Calibri" w:eastAsia="Arial" w:hAnsi="Calibri" w:cs="Calibri"/>
                <w:color w:val="000000"/>
                <w:sz w:val="16"/>
                <w:szCs w:val="16"/>
              </w:rPr>
              <w:t>Mayoritariamente cristiana; también espiritualidad no practicante, no religiosa y casos aislados de budismo</w:t>
            </w:r>
          </w:p>
        </w:tc>
        <w:tc>
          <w:tcPr>
            <w:tcW w:w="992" w:type="dxa"/>
            <w:tcMar>
              <w:top w:w="80" w:type="dxa"/>
              <w:left w:w="120" w:type="dxa"/>
              <w:bottom w:w="80" w:type="dxa"/>
              <w:right w:w="120" w:type="dxa"/>
            </w:tcMar>
            <w:vAlign w:val="center"/>
          </w:tcPr>
          <w:p w14:paraId="2BD60F62" w14:textId="77777777" w:rsidR="00CC07FD" w:rsidRDefault="00000000">
            <w:pPr>
              <w:spacing w:after="220" w:line="360" w:lineRule="auto"/>
              <w:ind w:left="-120" w:right="6"/>
              <w:jc w:val="both"/>
            </w:pPr>
            <w:r>
              <w:rPr>
                <w:rFonts w:ascii="Calibri" w:eastAsia="Arial" w:hAnsi="Calibri" w:cs="Calibri"/>
                <w:color w:val="000000"/>
                <w:sz w:val="16"/>
                <w:szCs w:val="16"/>
              </w:rPr>
              <w:t>2025</w:t>
            </w:r>
          </w:p>
        </w:tc>
        <w:tc>
          <w:tcPr>
            <w:tcW w:w="1134" w:type="dxa"/>
            <w:tcMar>
              <w:top w:w="80" w:type="dxa"/>
              <w:left w:w="120" w:type="dxa"/>
              <w:bottom w:w="80" w:type="dxa"/>
              <w:right w:w="120" w:type="dxa"/>
            </w:tcMar>
            <w:vAlign w:val="center"/>
          </w:tcPr>
          <w:p w14:paraId="4E18F41F" w14:textId="77777777" w:rsidR="00CC07FD" w:rsidRDefault="00000000">
            <w:pPr>
              <w:spacing w:after="220" w:line="360" w:lineRule="auto"/>
              <w:ind w:left="22" w:right="418" w:firstLine="3"/>
              <w:jc w:val="both"/>
            </w:pPr>
            <w:r>
              <w:rPr>
                <w:rFonts w:ascii="Calibri" w:eastAsia="Arial" w:hAnsi="Calibri" w:cs="Calibri"/>
                <w:color w:val="000000"/>
                <w:sz w:val="16"/>
                <w:szCs w:val="16"/>
              </w:rPr>
              <w:t>Espiritualidad</w:t>
            </w:r>
          </w:p>
        </w:tc>
      </w:tr>
      <w:tr w:rsidR="00CC07FD" w14:paraId="2A842BCE" w14:textId="77777777">
        <w:tblPrEx>
          <w:tblCellMar>
            <w:top w:w="0" w:type="dxa"/>
            <w:bottom w:w="0" w:type="dxa"/>
          </w:tblCellMar>
        </w:tblPrEx>
        <w:trPr>
          <w:trHeight w:val="1878"/>
        </w:trPr>
        <w:tc>
          <w:tcPr>
            <w:tcW w:w="1635" w:type="dxa"/>
            <w:tcMar>
              <w:top w:w="80" w:type="dxa"/>
              <w:left w:w="120" w:type="dxa"/>
              <w:bottom w:w="80" w:type="dxa"/>
              <w:right w:w="120" w:type="dxa"/>
            </w:tcMar>
            <w:vAlign w:val="center"/>
          </w:tcPr>
          <w:p w14:paraId="569944BB" w14:textId="77777777" w:rsidR="00CC07FD" w:rsidRDefault="00000000">
            <w:pPr>
              <w:spacing w:after="220" w:line="360" w:lineRule="auto"/>
              <w:ind w:right="6" w:firstLine="22"/>
              <w:jc w:val="both"/>
            </w:pPr>
            <w:r>
              <w:rPr>
                <w:rFonts w:ascii="Calibri" w:eastAsia="Arial" w:hAnsi="Calibri" w:cs="Calibri"/>
                <w:color w:val="000000"/>
                <w:sz w:val="16"/>
                <w:szCs w:val="16"/>
                <w:lang w:val="en-US"/>
              </w:rPr>
              <w:t>Peters et al. (2016)</w:t>
            </w:r>
          </w:p>
        </w:tc>
        <w:tc>
          <w:tcPr>
            <w:tcW w:w="1146" w:type="dxa"/>
            <w:tcMar>
              <w:top w:w="80" w:type="dxa"/>
              <w:left w:w="120" w:type="dxa"/>
              <w:bottom w:w="80" w:type="dxa"/>
              <w:right w:w="120" w:type="dxa"/>
            </w:tcMar>
            <w:vAlign w:val="center"/>
          </w:tcPr>
          <w:p w14:paraId="50EEAB4D" w14:textId="77777777" w:rsidR="00CC07FD" w:rsidRDefault="00000000">
            <w:pPr>
              <w:spacing w:after="220" w:line="360" w:lineRule="auto"/>
              <w:ind w:right="6" w:hanging="13"/>
              <w:jc w:val="both"/>
            </w:pPr>
            <w:r>
              <w:rPr>
                <w:rFonts w:ascii="Calibri" w:eastAsia="Arial" w:hAnsi="Calibri" w:cs="Calibri"/>
                <w:color w:val="000000"/>
                <w:sz w:val="16"/>
                <w:szCs w:val="16"/>
              </w:rPr>
              <w:t>Cualitativo</w:t>
            </w:r>
          </w:p>
        </w:tc>
        <w:tc>
          <w:tcPr>
            <w:tcW w:w="1506" w:type="dxa"/>
            <w:tcMar>
              <w:top w:w="80" w:type="dxa"/>
              <w:left w:w="120" w:type="dxa"/>
              <w:bottom w:w="80" w:type="dxa"/>
              <w:right w:w="120" w:type="dxa"/>
            </w:tcMar>
            <w:vAlign w:val="center"/>
          </w:tcPr>
          <w:p w14:paraId="6F2E7BFE" w14:textId="77777777" w:rsidR="00CC07FD" w:rsidRDefault="00000000">
            <w:pPr>
              <w:spacing w:after="220" w:line="360" w:lineRule="auto"/>
              <w:ind w:left="155" w:right="6" w:hanging="29"/>
              <w:jc w:val="both"/>
            </w:pPr>
            <w:r>
              <w:rPr>
                <w:rFonts w:ascii="Calibri" w:eastAsia="Arial" w:hAnsi="Calibri" w:cs="Calibri"/>
                <w:color w:val="000000"/>
                <w:sz w:val="16"/>
                <w:szCs w:val="16"/>
              </w:rPr>
              <w:t>Australia</w:t>
            </w:r>
          </w:p>
        </w:tc>
        <w:tc>
          <w:tcPr>
            <w:tcW w:w="955" w:type="dxa"/>
            <w:tcMar>
              <w:top w:w="80" w:type="dxa"/>
              <w:left w:w="120" w:type="dxa"/>
              <w:bottom w:w="80" w:type="dxa"/>
              <w:right w:w="120" w:type="dxa"/>
            </w:tcMar>
            <w:vAlign w:val="center"/>
          </w:tcPr>
          <w:p w14:paraId="6557A300" w14:textId="77777777" w:rsidR="00CC07FD" w:rsidRDefault="00000000">
            <w:pPr>
              <w:spacing w:after="220" w:line="360" w:lineRule="auto"/>
              <w:ind w:left="-16" w:right="6" w:firstLine="16"/>
              <w:jc w:val="both"/>
            </w:pPr>
            <w:r>
              <w:rPr>
                <w:rFonts w:ascii="Calibri" w:eastAsia="Arial" w:hAnsi="Calibri" w:cs="Calibri"/>
                <w:color w:val="000000"/>
                <w:sz w:val="16"/>
                <w:szCs w:val="16"/>
              </w:rPr>
              <w:t>7</w:t>
            </w:r>
          </w:p>
        </w:tc>
        <w:tc>
          <w:tcPr>
            <w:tcW w:w="992" w:type="dxa"/>
            <w:tcMar>
              <w:top w:w="80" w:type="dxa"/>
              <w:left w:w="120" w:type="dxa"/>
              <w:bottom w:w="80" w:type="dxa"/>
              <w:right w:w="120" w:type="dxa"/>
            </w:tcMar>
            <w:vAlign w:val="center"/>
          </w:tcPr>
          <w:p w14:paraId="6E152E35" w14:textId="77777777" w:rsidR="00CC07FD" w:rsidRDefault="00000000">
            <w:pPr>
              <w:spacing w:after="220" w:line="360" w:lineRule="auto"/>
              <w:ind w:left="19" w:right="6"/>
              <w:jc w:val="both"/>
            </w:pPr>
            <w:r>
              <w:rPr>
                <w:rFonts w:ascii="Calibri" w:eastAsia="Arial" w:hAnsi="Calibri" w:cs="Calibri"/>
                <w:color w:val="000000"/>
                <w:sz w:val="16"/>
                <w:szCs w:val="16"/>
              </w:rPr>
              <w:t>3</w:t>
            </w:r>
          </w:p>
        </w:tc>
        <w:tc>
          <w:tcPr>
            <w:tcW w:w="1985" w:type="dxa"/>
            <w:tcMar>
              <w:top w:w="80" w:type="dxa"/>
              <w:left w:w="120" w:type="dxa"/>
              <w:bottom w:w="80" w:type="dxa"/>
              <w:right w:w="120" w:type="dxa"/>
            </w:tcMar>
            <w:vAlign w:val="center"/>
          </w:tcPr>
          <w:p w14:paraId="3D9AA715" w14:textId="77777777" w:rsidR="00CC07FD" w:rsidRDefault="00000000">
            <w:pPr>
              <w:spacing w:after="220" w:line="360" w:lineRule="auto"/>
              <w:ind w:left="-5" w:right="6" w:firstLine="5"/>
              <w:jc w:val="both"/>
            </w:pPr>
            <w:r>
              <w:rPr>
                <w:rFonts w:ascii="Calibri" w:eastAsia="Arial" w:hAnsi="Calibri" w:cs="Calibri"/>
                <w:color w:val="000000"/>
                <w:sz w:val="16"/>
                <w:szCs w:val="16"/>
              </w:rPr>
              <w:t>No especificada</w:t>
            </w:r>
          </w:p>
        </w:tc>
        <w:tc>
          <w:tcPr>
            <w:tcW w:w="992" w:type="dxa"/>
            <w:tcMar>
              <w:top w:w="80" w:type="dxa"/>
              <w:left w:w="120" w:type="dxa"/>
              <w:bottom w:w="80" w:type="dxa"/>
              <w:right w:w="120" w:type="dxa"/>
            </w:tcMar>
            <w:vAlign w:val="center"/>
          </w:tcPr>
          <w:p w14:paraId="7108A5F8" w14:textId="77777777" w:rsidR="00CC07FD" w:rsidRDefault="00000000">
            <w:pPr>
              <w:spacing w:after="220" w:line="360" w:lineRule="auto"/>
              <w:ind w:left="-120" w:right="6"/>
              <w:jc w:val="both"/>
            </w:pPr>
            <w:r>
              <w:rPr>
                <w:rFonts w:ascii="Calibri" w:eastAsia="Arial" w:hAnsi="Calibri" w:cs="Calibri"/>
                <w:color w:val="000000"/>
                <w:sz w:val="16"/>
                <w:szCs w:val="16"/>
              </w:rPr>
              <w:t>2016</w:t>
            </w:r>
          </w:p>
        </w:tc>
        <w:tc>
          <w:tcPr>
            <w:tcW w:w="1134" w:type="dxa"/>
            <w:tcMar>
              <w:top w:w="80" w:type="dxa"/>
              <w:left w:w="120" w:type="dxa"/>
              <w:bottom w:w="80" w:type="dxa"/>
              <w:right w:w="120" w:type="dxa"/>
            </w:tcMar>
            <w:vAlign w:val="center"/>
          </w:tcPr>
          <w:p w14:paraId="73D41706" w14:textId="77777777" w:rsidR="00CC07FD" w:rsidRDefault="00000000">
            <w:pPr>
              <w:spacing w:after="220" w:line="360" w:lineRule="auto"/>
              <w:ind w:left="22" w:right="418" w:firstLine="3"/>
              <w:jc w:val="both"/>
            </w:pPr>
            <w:r>
              <w:rPr>
                <w:rFonts w:ascii="Calibri" w:eastAsia="Arial" w:hAnsi="Calibri" w:cs="Calibri"/>
                <w:color w:val="000000"/>
                <w:sz w:val="16"/>
                <w:szCs w:val="16"/>
              </w:rPr>
              <w:t>Estigma</w:t>
            </w:r>
          </w:p>
        </w:tc>
      </w:tr>
      <w:tr w:rsidR="00CC07FD" w14:paraId="2BB79151" w14:textId="77777777">
        <w:tblPrEx>
          <w:tblCellMar>
            <w:top w:w="0" w:type="dxa"/>
            <w:bottom w:w="0" w:type="dxa"/>
          </w:tblCellMar>
        </w:tblPrEx>
        <w:trPr>
          <w:trHeight w:val="1863"/>
        </w:trPr>
        <w:tc>
          <w:tcPr>
            <w:tcW w:w="1635" w:type="dxa"/>
            <w:tcMar>
              <w:top w:w="80" w:type="dxa"/>
              <w:left w:w="120" w:type="dxa"/>
              <w:bottom w:w="80" w:type="dxa"/>
              <w:right w:w="120" w:type="dxa"/>
            </w:tcMar>
            <w:vAlign w:val="center"/>
          </w:tcPr>
          <w:p w14:paraId="2B914399" w14:textId="77777777" w:rsidR="00CC07FD" w:rsidRDefault="00000000">
            <w:pPr>
              <w:spacing w:after="220" w:line="360" w:lineRule="auto"/>
              <w:ind w:right="6" w:firstLine="22"/>
              <w:jc w:val="both"/>
            </w:pPr>
            <w:r>
              <w:rPr>
                <w:rFonts w:ascii="Calibri" w:eastAsia="Arial" w:hAnsi="Calibri" w:cs="Calibri"/>
                <w:color w:val="000000"/>
                <w:sz w:val="16"/>
                <w:szCs w:val="16"/>
                <w:lang w:val="en-US"/>
              </w:rPr>
              <w:t>Lee et al. (2019)</w:t>
            </w:r>
          </w:p>
        </w:tc>
        <w:tc>
          <w:tcPr>
            <w:tcW w:w="1146" w:type="dxa"/>
            <w:tcMar>
              <w:top w:w="80" w:type="dxa"/>
              <w:left w:w="120" w:type="dxa"/>
              <w:bottom w:w="80" w:type="dxa"/>
              <w:right w:w="120" w:type="dxa"/>
            </w:tcMar>
            <w:vAlign w:val="center"/>
          </w:tcPr>
          <w:p w14:paraId="7EDAFC2D" w14:textId="77777777" w:rsidR="00CC07FD" w:rsidRDefault="00000000">
            <w:pPr>
              <w:spacing w:after="220" w:line="360" w:lineRule="auto"/>
              <w:ind w:right="6" w:hanging="13"/>
              <w:jc w:val="both"/>
            </w:pPr>
            <w:r>
              <w:rPr>
                <w:rFonts w:ascii="Calibri" w:eastAsia="Arial" w:hAnsi="Calibri" w:cs="Calibri"/>
                <w:color w:val="000000"/>
                <w:sz w:val="16"/>
                <w:szCs w:val="16"/>
              </w:rPr>
              <w:t>Cualitativo</w:t>
            </w:r>
          </w:p>
        </w:tc>
        <w:tc>
          <w:tcPr>
            <w:tcW w:w="1506" w:type="dxa"/>
            <w:tcMar>
              <w:top w:w="80" w:type="dxa"/>
              <w:left w:w="120" w:type="dxa"/>
              <w:bottom w:w="80" w:type="dxa"/>
              <w:right w:w="120" w:type="dxa"/>
            </w:tcMar>
            <w:vAlign w:val="center"/>
          </w:tcPr>
          <w:p w14:paraId="32094202" w14:textId="77777777" w:rsidR="00CC07FD" w:rsidRDefault="00000000">
            <w:pPr>
              <w:spacing w:after="220" w:line="360" w:lineRule="auto"/>
              <w:ind w:left="155" w:right="6" w:hanging="29"/>
              <w:jc w:val="both"/>
            </w:pPr>
            <w:r>
              <w:rPr>
                <w:rFonts w:ascii="Calibri" w:eastAsia="Arial" w:hAnsi="Calibri" w:cs="Calibri"/>
                <w:color w:val="000000"/>
                <w:sz w:val="16"/>
                <w:szCs w:val="16"/>
              </w:rPr>
              <w:t>Corea del Sur</w:t>
            </w:r>
          </w:p>
        </w:tc>
        <w:tc>
          <w:tcPr>
            <w:tcW w:w="955" w:type="dxa"/>
            <w:tcMar>
              <w:top w:w="80" w:type="dxa"/>
              <w:left w:w="120" w:type="dxa"/>
              <w:bottom w:w="80" w:type="dxa"/>
              <w:right w:w="120" w:type="dxa"/>
            </w:tcMar>
            <w:vAlign w:val="center"/>
          </w:tcPr>
          <w:p w14:paraId="283623B7" w14:textId="77777777" w:rsidR="00CC07FD" w:rsidRDefault="00000000">
            <w:pPr>
              <w:spacing w:after="220" w:line="360" w:lineRule="auto"/>
              <w:ind w:right="6"/>
              <w:jc w:val="both"/>
            </w:pPr>
            <w:r>
              <w:rPr>
                <w:rFonts w:ascii="Calibri" w:eastAsia="Arial" w:hAnsi="Calibri" w:cs="Calibri"/>
                <w:color w:val="000000"/>
                <w:sz w:val="16"/>
                <w:szCs w:val="16"/>
              </w:rPr>
              <w:t>9</w:t>
            </w:r>
          </w:p>
        </w:tc>
        <w:tc>
          <w:tcPr>
            <w:tcW w:w="992" w:type="dxa"/>
            <w:tcMar>
              <w:top w:w="80" w:type="dxa"/>
              <w:left w:w="120" w:type="dxa"/>
              <w:bottom w:w="80" w:type="dxa"/>
              <w:right w:w="120" w:type="dxa"/>
            </w:tcMar>
            <w:vAlign w:val="center"/>
          </w:tcPr>
          <w:p w14:paraId="4004E6EB" w14:textId="77777777" w:rsidR="00CC07FD" w:rsidRDefault="00000000">
            <w:pPr>
              <w:spacing w:after="220" w:line="360" w:lineRule="auto"/>
              <w:ind w:right="6" w:firstLine="19"/>
              <w:jc w:val="both"/>
            </w:pPr>
            <w:r>
              <w:rPr>
                <w:rFonts w:ascii="Calibri" w:eastAsia="Arial" w:hAnsi="Calibri" w:cs="Calibri"/>
                <w:color w:val="000000"/>
                <w:sz w:val="16"/>
                <w:szCs w:val="16"/>
              </w:rPr>
              <w:t>2</w:t>
            </w:r>
          </w:p>
        </w:tc>
        <w:tc>
          <w:tcPr>
            <w:tcW w:w="1985" w:type="dxa"/>
            <w:tcMar>
              <w:top w:w="80" w:type="dxa"/>
              <w:left w:w="120" w:type="dxa"/>
              <w:bottom w:w="80" w:type="dxa"/>
              <w:right w:w="120" w:type="dxa"/>
            </w:tcMar>
            <w:vAlign w:val="center"/>
          </w:tcPr>
          <w:p w14:paraId="171B8B22" w14:textId="77777777" w:rsidR="00CC07FD" w:rsidRDefault="00000000">
            <w:pPr>
              <w:spacing w:after="220" w:line="360" w:lineRule="auto"/>
              <w:ind w:left="-5" w:right="6" w:firstLine="5"/>
              <w:jc w:val="both"/>
            </w:pPr>
            <w:r>
              <w:rPr>
                <w:rFonts w:ascii="Calibri" w:eastAsia="Arial" w:hAnsi="Calibri" w:cs="Calibri"/>
                <w:color w:val="000000"/>
                <w:sz w:val="16"/>
                <w:szCs w:val="16"/>
              </w:rPr>
              <w:t>No especificada</w:t>
            </w:r>
          </w:p>
        </w:tc>
        <w:tc>
          <w:tcPr>
            <w:tcW w:w="992" w:type="dxa"/>
            <w:tcMar>
              <w:top w:w="80" w:type="dxa"/>
              <w:left w:w="120" w:type="dxa"/>
              <w:bottom w:w="80" w:type="dxa"/>
              <w:right w:w="120" w:type="dxa"/>
            </w:tcMar>
            <w:vAlign w:val="center"/>
          </w:tcPr>
          <w:p w14:paraId="16B54EF4" w14:textId="77777777" w:rsidR="00CC07FD" w:rsidRDefault="00000000">
            <w:pPr>
              <w:spacing w:after="220" w:line="360" w:lineRule="auto"/>
              <w:ind w:left="-120" w:right="6"/>
              <w:jc w:val="both"/>
            </w:pPr>
            <w:r>
              <w:rPr>
                <w:rFonts w:ascii="Calibri" w:eastAsia="Arial" w:hAnsi="Calibri" w:cs="Calibri"/>
                <w:color w:val="000000"/>
                <w:sz w:val="16"/>
                <w:szCs w:val="16"/>
              </w:rPr>
              <w:t>2019</w:t>
            </w:r>
          </w:p>
        </w:tc>
        <w:tc>
          <w:tcPr>
            <w:tcW w:w="1134" w:type="dxa"/>
            <w:tcMar>
              <w:top w:w="80" w:type="dxa"/>
              <w:left w:w="120" w:type="dxa"/>
              <w:bottom w:w="80" w:type="dxa"/>
              <w:right w:w="120" w:type="dxa"/>
            </w:tcMar>
            <w:vAlign w:val="center"/>
          </w:tcPr>
          <w:p w14:paraId="44A29193" w14:textId="77777777" w:rsidR="00CC07FD" w:rsidRDefault="00000000">
            <w:pPr>
              <w:spacing w:after="220" w:line="360" w:lineRule="auto"/>
              <w:ind w:left="22" w:right="418" w:firstLine="3"/>
              <w:jc w:val="both"/>
            </w:pPr>
            <w:r>
              <w:rPr>
                <w:rFonts w:ascii="Calibri" w:eastAsia="Arial" w:hAnsi="Calibri" w:cs="Calibri"/>
                <w:color w:val="000000"/>
                <w:sz w:val="16"/>
                <w:szCs w:val="16"/>
              </w:rPr>
              <w:t>Crecimiento postraumático</w:t>
            </w:r>
          </w:p>
        </w:tc>
      </w:tr>
      <w:tr w:rsidR="00CC07FD" w14:paraId="5DDDA8A4" w14:textId="77777777">
        <w:tblPrEx>
          <w:tblCellMar>
            <w:top w:w="0" w:type="dxa"/>
            <w:bottom w:w="0" w:type="dxa"/>
          </w:tblCellMar>
        </w:tblPrEx>
        <w:trPr>
          <w:trHeight w:val="1378"/>
        </w:trPr>
        <w:tc>
          <w:tcPr>
            <w:tcW w:w="1635" w:type="dxa"/>
            <w:tcBorders>
              <w:bottom w:val="single" w:sz="4" w:space="0" w:color="000000"/>
            </w:tcBorders>
            <w:tcMar>
              <w:top w:w="80" w:type="dxa"/>
              <w:left w:w="120" w:type="dxa"/>
              <w:bottom w:w="80" w:type="dxa"/>
              <w:right w:w="120" w:type="dxa"/>
            </w:tcMar>
            <w:vAlign w:val="center"/>
          </w:tcPr>
          <w:p w14:paraId="3C4E8CE5" w14:textId="77777777" w:rsidR="00CC07FD" w:rsidRDefault="00000000">
            <w:pPr>
              <w:spacing w:after="220" w:line="360" w:lineRule="auto"/>
              <w:ind w:right="6" w:firstLine="22"/>
              <w:jc w:val="both"/>
            </w:pPr>
            <w:r>
              <w:rPr>
                <w:rFonts w:ascii="Calibri" w:eastAsia="Arial" w:hAnsi="Calibri" w:cs="Calibri"/>
                <w:color w:val="000000"/>
                <w:sz w:val="16"/>
                <w:szCs w:val="16"/>
                <w:lang w:val="en-US"/>
              </w:rPr>
              <w:t xml:space="preserve">Lee, E. (2022) </w:t>
            </w:r>
          </w:p>
        </w:tc>
        <w:tc>
          <w:tcPr>
            <w:tcW w:w="1146" w:type="dxa"/>
            <w:tcBorders>
              <w:bottom w:val="single" w:sz="4" w:space="0" w:color="000000"/>
            </w:tcBorders>
            <w:tcMar>
              <w:top w:w="80" w:type="dxa"/>
              <w:left w:w="120" w:type="dxa"/>
              <w:bottom w:w="80" w:type="dxa"/>
              <w:right w:w="120" w:type="dxa"/>
            </w:tcMar>
            <w:vAlign w:val="center"/>
          </w:tcPr>
          <w:p w14:paraId="2C7FF712" w14:textId="77777777" w:rsidR="00CC07FD" w:rsidRDefault="00000000">
            <w:pPr>
              <w:spacing w:after="220" w:line="360" w:lineRule="auto"/>
              <w:ind w:right="6" w:hanging="13"/>
              <w:jc w:val="both"/>
            </w:pPr>
            <w:r>
              <w:rPr>
                <w:rFonts w:ascii="Calibri" w:eastAsia="Arial" w:hAnsi="Calibri" w:cs="Calibri"/>
                <w:color w:val="000000"/>
                <w:sz w:val="16"/>
                <w:szCs w:val="16"/>
              </w:rPr>
              <w:t>Cualitativo</w:t>
            </w:r>
          </w:p>
        </w:tc>
        <w:tc>
          <w:tcPr>
            <w:tcW w:w="1506" w:type="dxa"/>
            <w:tcBorders>
              <w:bottom w:val="single" w:sz="4" w:space="0" w:color="000000"/>
            </w:tcBorders>
            <w:tcMar>
              <w:top w:w="80" w:type="dxa"/>
              <w:left w:w="120" w:type="dxa"/>
              <w:bottom w:w="80" w:type="dxa"/>
              <w:right w:w="120" w:type="dxa"/>
            </w:tcMar>
            <w:vAlign w:val="center"/>
          </w:tcPr>
          <w:p w14:paraId="44364B20" w14:textId="77777777" w:rsidR="00CC07FD" w:rsidRDefault="00000000">
            <w:pPr>
              <w:spacing w:after="220" w:line="360" w:lineRule="auto"/>
              <w:ind w:left="155" w:right="6" w:hanging="29"/>
              <w:jc w:val="both"/>
            </w:pPr>
            <w:r>
              <w:rPr>
                <w:rFonts w:ascii="Calibri" w:eastAsia="Arial" w:hAnsi="Calibri" w:cs="Calibri"/>
                <w:color w:val="000000"/>
                <w:sz w:val="16"/>
                <w:szCs w:val="16"/>
              </w:rPr>
              <w:t>Corea del Sur (</w:t>
            </w:r>
            <w:proofErr w:type="spellStart"/>
            <w:r>
              <w:rPr>
                <w:rFonts w:ascii="Calibri" w:eastAsia="Arial" w:hAnsi="Calibri" w:cs="Calibri"/>
                <w:color w:val="000000"/>
                <w:sz w:val="16"/>
                <w:szCs w:val="16"/>
              </w:rPr>
              <w:t>Changwon</w:t>
            </w:r>
            <w:proofErr w:type="spellEnd"/>
            <w:r>
              <w:rPr>
                <w:rFonts w:ascii="Calibri" w:eastAsia="Arial" w:hAnsi="Calibri" w:cs="Calibri"/>
                <w:color w:val="000000"/>
                <w:sz w:val="16"/>
                <w:szCs w:val="16"/>
              </w:rPr>
              <w:t>)</w:t>
            </w:r>
          </w:p>
        </w:tc>
        <w:tc>
          <w:tcPr>
            <w:tcW w:w="955" w:type="dxa"/>
            <w:tcBorders>
              <w:bottom w:val="single" w:sz="4" w:space="0" w:color="000000"/>
            </w:tcBorders>
            <w:tcMar>
              <w:top w:w="80" w:type="dxa"/>
              <w:left w:w="120" w:type="dxa"/>
              <w:bottom w:w="80" w:type="dxa"/>
              <w:right w:w="120" w:type="dxa"/>
            </w:tcMar>
            <w:vAlign w:val="center"/>
          </w:tcPr>
          <w:p w14:paraId="71ECDF71" w14:textId="77777777" w:rsidR="00CC07FD" w:rsidRDefault="00000000">
            <w:pPr>
              <w:spacing w:after="220" w:line="360" w:lineRule="auto"/>
              <w:ind w:right="6"/>
              <w:jc w:val="both"/>
            </w:pPr>
            <w:r>
              <w:rPr>
                <w:rFonts w:ascii="Calibri" w:eastAsia="Arial" w:hAnsi="Calibri" w:cs="Calibri"/>
                <w:color w:val="000000"/>
                <w:sz w:val="16"/>
                <w:szCs w:val="16"/>
              </w:rPr>
              <w:t>4</w:t>
            </w:r>
          </w:p>
        </w:tc>
        <w:tc>
          <w:tcPr>
            <w:tcW w:w="992" w:type="dxa"/>
            <w:tcBorders>
              <w:bottom w:val="single" w:sz="4" w:space="0" w:color="000000"/>
            </w:tcBorders>
            <w:tcMar>
              <w:top w:w="80" w:type="dxa"/>
              <w:left w:w="120" w:type="dxa"/>
              <w:bottom w:w="80" w:type="dxa"/>
              <w:right w:w="120" w:type="dxa"/>
            </w:tcMar>
            <w:vAlign w:val="center"/>
          </w:tcPr>
          <w:p w14:paraId="2744E392" w14:textId="77777777" w:rsidR="00CC07FD" w:rsidRDefault="00000000">
            <w:pPr>
              <w:spacing w:after="220" w:line="360" w:lineRule="auto"/>
              <w:ind w:left="19" w:right="6"/>
              <w:jc w:val="both"/>
            </w:pPr>
            <w:r>
              <w:rPr>
                <w:rFonts w:ascii="Calibri" w:eastAsia="Arial" w:hAnsi="Calibri" w:cs="Calibri"/>
                <w:color w:val="000000"/>
                <w:sz w:val="16"/>
                <w:szCs w:val="16"/>
              </w:rPr>
              <w:t>3</w:t>
            </w:r>
          </w:p>
        </w:tc>
        <w:tc>
          <w:tcPr>
            <w:tcW w:w="1985" w:type="dxa"/>
            <w:tcBorders>
              <w:bottom w:val="single" w:sz="4" w:space="0" w:color="000000"/>
            </w:tcBorders>
            <w:tcMar>
              <w:top w:w="80" w:type="dxa"/>
              <w:left w:w="120" w:type="dxa"/>
              <w:bottom w:w="80" w:type="dxa"/>
              <w:right w:w="120" w:type="dxa"/>
            </w:tcMar>
            <w:vAlign w:val="center"/>
          </w:tcPr>
          <w:p w14:paraId="18DB12B6" w14:textId="77777777" w:rsidR="00CC07FD" w:rsidRDefault="00000000">
            <w:pPr>
              <w:spacing w:after="220" w:line="360" w:lineRule="auto"/>
              <w:ind w:left="-5" w:right="6" w:firstLine="5"/>
              <w:jc w:val="both"/>
            </w:pPr>
            <w:r>
              <w:rPr>
                <w:rFonts w:ascii="Calibri" w:eastAsia="Arial" w:hAnsi="Calibri" w:cs="Calibri"/>
                <w:color w:val="000000"/>
                <w:sz w:val="16"/>
                <w:szCs w:val="16"/>
              </w:rPr>
              <w:t>Budista (4 participantes); sin religión (3 participantes)</w:t>
            </w:r>
          </w:p>
        </w:tc>
        <w:tc>
          <w:tcPr>
            <w:tcW w:w="992" w:type="dxa"/>
            <w:tcBorders>
              <w:bottom w:val="single" w:sz="4" w:space="0" w:color="000000"/>
            </w:tcBorders>
            <w:tcMar>
              <w:top w:w="80" w:type="dxa"/>
              <w:left w:w="120" w:type="dxa"/>
              <w:bottom w:w="80" w:type="dxa"/>
              <w:right w:w="120" w:type="dxa"/>
            </w:tcMar>
            <w:vAlign w:val="center"/>
          </w:tcPr>
          <w:p w14:paraId="27698C36" w14:textId="77777777" w:rsidR="00CC07FD" w:rsidRDefault="00000000">
            <w:pPr>
              <w:spacing w:after="220" w:line="360" w:lineRule="auto"/>
              <w:ind w:left="-120" w:right="6"/>
              <w:jc w:val="both"/>
            </w:pPr>
            <w:r>
              <w:rPr>
                <w:rFonts w:ascii="Calibri" w:eastAsia="Arial" w:hAnsi="Calibri" w:cs="Calibri"/>
                <w:color w:val="000000"/>
                <w:sz w:val="16"/>
                <w:szCs w:val="16"/>
              </w:rPr>
              <w:t>2022</w:t>
            </w:r>
          </w:p>
        </w:tc>
        <w:tc>
          <w:tcPr>
            <w:tcW w:w="1134" w:type="dxa"/>
            <w:tcBorders>
              <w:bottom w:val="single" w:sz="4" w:space="0" w:color="000000"/>
            </w:tcBorders>
            <w:tcMar>
              <w:top w:w="80" w:type="dxa"/>
              <w:left w:w="120" w:type="dxa"/>
              <w:bottom w:w="80" w:type="dxa"/>
              <w:right w:w="120" w:type="dxa"/>
            </w:tcMar>
            <w:vAlign w:val="center"/>
          </w:tcPr>
          <w:p w14:paraId="1734C105" w14:textId="77777777" w:rsidR="00CC07FD" w:rsidRDefault="00000000">
            <w:pPr>
              <w:spacing w:after="220" w:line="360" w:lineRule="auto"/>
              <w:ind w:left="22" w:right="418" w:firstLine="3"/>
              <w:jc w:val="both"/>
            </w:pPr>
            <w:r>
              <w:rPr>
                <w:rFonts w:ascii="Calibri" w:eastAsia="Arial" w:hAnsi="Calibri" w:cs="Calibri"/>
                <w:color w:val="000000"/>
                <w:sz w:val="16"/>
                <w:szCs w:val="16"/>
              </w:rPr>
              <w:t>Estigma</w:t>
            </w:r>
          </w:p>
        </w:tc>
      </w:tr>
    </w:tbl>
    <w:p w14:paraId="1B9B94E4" w14:textId="77777777" w:rsidR="00CC07FD" w:rsidRDefault="00CC07FD">
      <w:pPr>
        <w:pStyle w:val="Ttulo2"/>
        <w:spacing w:line="360" w:lineRule="auto"/>
        <w:jc w:val="both"/>
        <w:rPr>
          <w:rFonts w:ascii="Calibri" w:hAnsi="Calibri" w:cs="Calibri"/>
          <w:b/>
          <w:bCs/>
          <w:color w:val="auto"/>
          <w:sz w:val="24"/>
          <w:szCs w:val="24"/>
          <w:lang w:eastAsia="es-ES"/>
        </w:rPr>
      </w:pPr>
      <w:bookmarkStart w:id="10" w:name="_Toc226667017"/>
    </w:p>
    <w:p w14:paraId="3AABA53A" w14:textId="77777777" w:rsidR="00CC07FD" w:rsidRDefault="00000000">
      <w:pPr>
        <w:pStyle w:val="Ttulo2"/>
        <w:spacing w:line="360" w:lineRule="auto"/>
        <w:jc w:val="both"/>
      </w:pPr>
      <w:r>
        <w:rPr>
          <w:rFonts w:ascii="Calibri" w:hAnsi="Calibri" w:cs="Calibri"/>
          <w:b/>
          <w:bCs/>
          <w:color w:val="auto"/>
          <w:sz w:val="24"/>
          <w:szCs w:val="24"/>
          <w:lang w:eastAsia="es-ES"/>
        </w:rPr>
        <w:t>3.1 Espiritualidad</w:t>
      </w:r>
      <w:bookmarkEnd w:id="10"/>
      <w:r>
        <w:rPr>
          <w:rFonts w:ascii="Calibri" w:hAnsi="Calibri" w:cs="Calibri"/>
          <w:b/>
          <w:bCs/>
          <w:color w:val="auto"/>
          <w:sz w:val="24"/>
          <w:szCs w:val="24"/>
          <w:lang w:eastAsia="es-ES"/>
        </w:rPr>
        <w:t xml:space="preserve"> </w:t>
      </w:r>
    </w:p>
    <w:p w14:paraId="65EE76F6"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Según Silva de Almeida et al. (2025), la religiosidad/espiritualidad fueron descritas por los participantes como recursos vitales durante el período de duelo, proporcionándoles apoyo y orientación. Asimismo, muchos reportaron la creencia en la vida después de la muerte y buscaron mantener una conexión con el fallecido a través de prácticas espirituales como la oración o la meditación.</w:t>
      </w:r>
    </w:p>
    <w:p w14:paraId="0856B3DB" w14:textId="77777777" w:rsidR="00CC07FD" w:rsidRDefault="00000000">
      <w:pPr>
        <w:pStyle w:val="Ttulo3"/>
        <w:spacing w:line="360" w:lineRule="auto"/>
        <w:jc w:val="both"/>
      </w:pPr>
      <w:bookmarkStart w:id="11" w:name="_Toc226667018"/>
      <w:r>
        <w:rPr>
          <w:rFonts w:ascii="Calibri" w:hAnsi="Calibri" w:cs="Calibri"/>
          <w:b/>
          <w:bCs/>
          <w:color w:val="auto"/>
          <w:sz w:val="24"/>
          <w:szCs w:val="24"/>
          <w:lang w:eastAsia="es-ES"/>
        </w:rPr>
        <w:lastRenderedPageBreak/>
        <w:t>3.1.1 La búsqueda de una conexión espiritual y la creencia de que existe vida después de la muerte</w:t>
      </w:r>
      <w:bookmarkEnd w:id="11"/>
      <w:r>
        <w:rPr>
          <w:rFonts w:ascii="Calibri" w:hAnsi="Calibri" w:cs="Calibri"/>
          <w:b/>
          <w:bCs/>
          <w:color w:val="auto"/>
          <w:sz w:val="24"/>
          <w:szCs w:val="24"/>
          <w:lang w:eastAsia="es-ES"/>
        </w:rPr>
        <w:t> </w:t>
      </w:r>
    </w:p>
    <w:p w14:paraId="013E8F09"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Según Silva de Almeida et al. (2025), siendo su muestra mayoritariamente cristiana, un tema predominante identificado fue la búsqueda de una conexión espiritual durante el proceso de duelo</w:t>
      </w:r>
      <w:r>
        <w:rPr>
          <w:rFonts w:ascii="Calibri" w:eastAsia="Times New Roman" w:hAnsi="Calibri" w:cs="Calibri"/>
          <w:i/>
          <w:iCs/>
          <w:color w:val="000000"/>
          <w:kern w:val="0"/>
          <w:lang w:eastAsia="es-ES"/>
        </w:rPr>
        <w:t> </w:t>
      </w:r>
      <w:r>
        <w:rPr>
          <w:rFonts w:ascii="Calibri" w:eastAsia="Times New Roman" w:hAnsi="Calibri" w:cs="Calibri"/>
          <w:color w:val="000000"/>
          <w:kern w:val="0"/>
          <w:lang w:eastAsia="es-ES"/>
        </w:rPr>
        <w:t>mediante prácticas que incluyen la oración, la asistencia a misa, el mantenimiento del contacto con grupos religiosos y la meditación. Los participantes afirmaron que su fe y las actividades relacionadas con la religión posteriores a la pérdida les ayudaron a sobrellevar la situación y a establecer un nuevo vínculo con su ser querido que no resultara traumatizante (Silva de Almeida et al., 2025). Por ejemplo, un participante de Japón habló de la importancia de la espiritualidad para superar el dolor diario:</w:t>
      </w:r>
      <w:r>
        <w:rPr>
          <w:rFonts w:ascii="Calibri" w:eastAsia="Times New Roman" w:hAnsi="Calibri" w:cs="Calibri"/>
          <w:i/>
          <w:iCs/>
          <w:color w:val="000000"/>
          <w:kern w:val="0"/>
          <w:lang w:eastAsia="es-ES"/>
        </w:rPr>
        <w:t> “Una adivina me dijo que mi hijo ya no es mi hijo. Está en algún lugar observándome desde arriba. Sentí como si esa historia me hubiera salvado” </w:t>
      </w:r>
      <w:r>
        <w:rPr>
          <w:rFonts w:ascii="Calibri" w:eastAsia="Times New Roman" w:hAnsi="Calibri" w:cs="Calibri"/>
          <w:color w:val="000000"/>
          <w:kern w:val="0"/>
          <w:lang w:eastAsia="es-ES"/>
        </w:rPr>
        <w:t>(Lee et al., 2019, p. 367).  </w:t>
      </w:r>
    </w:p>
    <w:p w14:paraId="580201C4"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Estos hallazgos se respaldan con lo observado en los estudios cualitativos en los que todos los participantes pertenecían al budismo (Lee, 2022). Desde esta perspectiva, el suicidio puede interpretarse como una vía hacia la comprensión de la realidad y la experiencia de la compasión, vinculada al espíritu del </w:t>
      </w:r>
      <w:proofErr w:type="spellStart"/>
      <w:r>
        <w:rPr>
          <w:rFonts w:ascii="Calibri" w:eastAsia="Times New Roman" w:hAnsi="Calibri" w:cs="Calibri"/>
          <w:color w:val="000000"/>
          <w:kern w:val="0"/>
          <w:lang w:eastAsia="es-ES"/>
        </w:rPr>
        <w:t>bodhisattva</w:t>
      </w:r>
      <w:proofErr w:type="spellEnd"/>
      <w:r>
        <w:rPr>
          <w:rFonts w:ascii="Calibri" w:eastAsia="Times New Roman" w:hAnsi="Calibri" w:cs="Calibri"/>
          <w:color w:val="000000"/>
          <w:kern w:val="0"/>
          <w:lang w:eastAsia="es-ES"/>
        </w:rPr>
        <w:t> y en la noción de abandonar el propio cuerpo para superar los sufrimientos de la vida, trascendiendo así el dolor y la muerte. Además, el budismo ofrece recursos para afrontar la pérdida por suicidio a través de prácticas como la meditación y el acompañamiento espiritual. Tras el suceso, algunas personas reforzaron su dependencia de la figura de Buda, mientras que otras optaron por desarrollar su fortaleza personal de forma más autónoma (Lee, 2022).  </w:t>
      </w:r>
    </w:p>
    <w:p w14:paraId="600AB091"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Este tema está estrechamente relacionado con otro identificado, que es la creencia en la vida después de la muerte, la cual, junto con experiencias espirituales y rituales religiosos, fomenta</w:t>
      </w:r>
      <w:r>
        <w:rPr>
          <w:rFonts w:ascii="Calibri" w:eastAsia="Times New Roman" w:hAnsi="Calibri" w:cs="Calibri"/>
          <w:b/>
          <w:bCs/>
          <w:color w:val="000000"/>
          <w:kern w:val="0"/>
          <w:lang w:eastAsia="es-ES"/>
        </w:rPr>
        <w:t> </w:t>
      </w:r>
      <w:r>
        <w:rPr>
          <w:rFonts w:ascii="Calibri" w:eastAsia="Times New Roman" w:hAnsi="Calibri" w:cs="Calibri"/>
          <w:color w:val="000000"/>
          <w:kern w:val="0"/>
          <w:lang w:eastAsia="es-ES"/>
        </w:rPr>
        <w:t>la existencia y el mantenimiento de vínculos continuos con el fallecido, proporcionando de forma general consuelo y esperanza (Silva de Almeida et al., 2025).  </w:t>
      </w:r>
    </w:p>
    <w:p w14:paraId="1524935B" w14:textId="77777777" w:rsidR="00CC07FD" w:rsidRDefault="00000000">
      <w:pPr>
        <w:shd w:val="clear" w:color="auto" w:fill="FFFFFF"/>
        <w:spacing w:after="220" w:line="360" w:lineRule="auto"/>
        <w:ind w:left="-170" w:right="6"/>
        <w:jc w:val="both"/>
        <w:textAlignment w:val="baseline"/>
        <w:rPr>
          <w:rFonts w:ascii="Calibri" w:eastAsia="Times New Roman" w:hAnsi="Calibri" w:cs="Calibri"/>
          <w:b/>
          <w:bCs/>
          <w:lang w:eastAsia="es-ES"/>
        </w:rPr>
      </w:pPr>
      <w:r>
        <w:rPr>
          <w:rFonts w:ascii="Calibri" w:eastAsia="Times New Roman" w:hAnsi="Calibri" w:cs="Calibri"/>
          <w:b/>
          <w:bCs/>
          <w:lang w:eastAsia="es-ES"/>
        </w:rPr>
        <w:t>3.1.2 La disposición y apertura a recibir ayuda de sus líderes religiosos y comunidades </w:t>
      </w:r>
    </w:p>
    <w:p w14:paraId="3735B405"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Asimismo, en la religión cristiana se reconoce como un tema común la disposición y apertura a recibir ayuda de sus líderes religiosos y comunidades</w:t>
      </w:r>
      <w:r>
        <w:rPr>
          <w:rFonts w:ascii="Calibri" w:eastAsia="Times New Roman" w:hAnsi="Calibri" w:cs="Calibri"/>
          <w:color w:val="980000"/>
          <w:kern w:val="0"/>
          <w:lang w:eastAsia="es-ES"/>
        </w:rPr>
        <w:t> </w:t>
      </w:r>
      <w:r>
        <w:rPr>
          <w:rFonts w:ascii="Calibri" w:eastAsia="Times New Roman" w:hAnsi="Calibri" w:cs="Calibri"/>
          <w:color w:val="000000"/>
          <w:kern w:val="0"/>
          <w:lang w:eastAsia="es-ES"/>
        </w:rPr>
        <w:t xml:space="preserve">tras la pérdida. Este </w:t>
      </w:r>
      <w:r>
        <w:rPr>
          <w:rFonts w:ascii="Calibri" w:eastAsia="Times New Roman" w:hAnsi="Calibri" w:cs="Calibri"/>
          <w:color w:val="000000"/>
          <w:kern w:val="0"/>
          <w:lang w:eastAsia="es-ES"/>
        </w:rPr>
        <w:lastRenderedPageBreak/>
        <w:t>apoyo se produce mayoritariamente en los días posteriores al suicidio e incluye ayuda económica para los servicios funerarios, apoyo emocional, ayuda para limpiar el lugar donde ocurrió el suicidio y orientación ante dudas teológicas sobre el destino del alma tras el suicidio y el apoyo de Dios, tanto para las personas en duelo como para el alma del fallecido (Silva de Almeida et al., 2025).   </w:t>
      </w:r>
    </w:p>
    <w:p w14:paraId="2247F2DE"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Los beneficios de este apoyo también se confirman en los testimonios de dos participantes que recurrieron a sus creencias religiosas y a la oración para reevaluar sus vidas y pérdidas (Sheehan et al., 2016). Uno de ellos, que perdió a su tío, pertenecía al movimiento de la Iglesia de la Unidad y señaló: </w:t>
      </w:r>
      <w:r>
        <w:rPr>
          <w:rFonts w:ascii="Calibri" w:eastAsia="Times New Roman" w:hAnsi="Calibri" w:cs="Calibri"/>
          <w:i/>
          <w:iCs/>
          <w:color w:val="000000"/>
          <w:kern w:val="0"/>
          <w:lang w:eastAsia="es-ES"/>
        </w:rPr>
        <w:t>"Inmediatamente acudí a mi pastor, a mi líder espiritual y a dos capellanes de oración... y eso me brinda mucho apoyo" </w:t>
      </w:r>
      <w:r>
        <w:rPr>
          <w:rFonts w:ascii="Calibri" w:eastAsia="Times New Roman" w:hAnsi="Calibri" w:cs="Calibri"/>
          <w:color w:val="000000"/>
          <w:kern w:val="0"/>
          <w:lang w:eastAsia="es-ES"/>
        </w:rPr>
        <w:t>(Goulah-Pabst, 2021, p. 782). Por su parte, el otro participante, perdió a su hijo, como pastor de la religión luterana, recurrió a su fe, declarando: </w:t>
      </w:r>
      <w:r>
        <w:rPr>
          <w:rFonts w:ascii="Calibri" w:eastAsia="Times New Roman" w:hAnsi="Calibri" w:cs="Calibri"/>
          <w:i/>
          <w:iCs/>
          <w:color w:val="000000"/>
          <w:kern w:val="0"/>
          <w:lang w:eastAsia="es-ES"/>
        </w:rPr>
        <w:t> "Esto no mató mi fe... despertó otras facetas de ella, especialmente la de la confianza. Crecí más profundamente y más fuerte" (</w:t>
      </w:r>
      <w:r>
        <w:rPr>
          <w:rFonts w:ascii="Calibri" w:eastAsia="Times New Roman" w:hAnsi="Calibri" w:cs="Calibri"/>
          <w:color w:val="000000"/>
          <w:kern w:val="0"/>
          <w:lang w:eastAsia="es-ES"/>
        </w:rPr>
        <w:t>Goulah-Pabst, 2021, p. 782). </w:t>
      </w:r>
    </w:p>
    <w:p w14:paraId="3D3CFA54" w14:textId="77777777" w:rsidR="00CC07FD" w:rsidRDefault="00000000">
      <w:pPr>
        <w:shd w:val="clear" w:color="auto" w:fill="FFFFFF"/>
        <w:spacing w:after="220" w:line="360" w:lineRule="auto"/>
        <w:ind w:left="-170" w:right="6"/>
        <w:jc w:val="both"/>
        <w:textAlignment w:val="baseline"/>
        <w:rPr>
          <w:rFonts w:ascii="Calibri" w:eastAsia="Times New Roman" w:hAnsi="Calibri" w:cs="Calibri"/>
          <w:b/>
          <w:bCs/>
          <w:lang w:eastAsia="es-ES"/>
        </w:rPr>
      </w:pPr>
      <w:r>
        <w:rPr>
          <w:rFonts w:ascii="Calibri" w:eastAsia="Times New Roman" w:hAnsi="Calibri" w:cs="Calibri"/>
          <w:b/>
          <w:bCs/>
          <w:lang w:eastAsia="es-ES"/>
        </w:rPr>
        <w:t>3.1.3 Obstáculos </w:t>
      </w:r>
    </w:p>
    <w:p w14:paraId="675C2D86"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Sin embargo, respecto a los obstáculos que pueden presentarse en este contexto, en la religión cristiana,</w:t>
      </w:r>
      <w:r>
        <w:rPr>
          <w:rFonts w:ascii="Calibri" w:eastAsia="Times New Roman" w:hAnsi="Calibri" w:cs="Calibri"/>
          <w:b/>
          <w:bCs/>
          <w:color w:val="000000"/>
          <w:kern w:val="0"/>
          <w:lang w:eastAsia="es-ES"/>
        </w:rPr>
        <w:t xml:space="preserve"> </w:t>
      </w:r>
      <w:r>
        <w:rPr>
          <w:rFonts w:ascii="Calibri" w:eastAsia="Times New Roman" w:hAnsi="Calibri" w:cs="Calibri"/>
          <w:color w:val="000000"/>
          <w:kern w:val="0"/>
          <w:lang w:eastAsia="es-ES"/>
        </w:rPr>
        <w:t xml:space="preserve">se observó la ocurrencia de conflictos religiosos internos tales como la preocupación sobre la percepción de la religión respecto al suicidio y las posibles consecuencias espirituales que podrían afectar a los seres queridos fallecidos por esta causa </w:t>
      </w:r>
      <w:r>
        <w:rPr>
          <w:rFonts w:ascii="Calibri" w:eastAsia="Times New Roman" w:hAnsi="Calibri" w:cs="Calibri"/>
          <w:kern w:val="0"/>
          <w:lang w:eastAsia="es-ES"/>
        </w:rPr>
        <w:t>(Silva de Almeida et al., 2025).</w:t>
      </w:r>
      <w:r>
        <w:rPr>
          <w:rFonts w:ascii="Calibri" w:eastAsia="Times New Roman" w:hAnsi="Calibri" w:cs="Calibri"/>
          <w:i/>
          <w:iCs/>
          <w:kern w:val="0"/>
          <w:lang w:eastAsia="es-ES"/>
        </w:rPr>
        <w:t> </w:t>
      </w:r>
      <w:r>
        <w:rPr>
          <w:rFonts w:ascii="Calibri" w:eastAsia="Times New Roman" w:hAnsi="Calibri" w:cs="Calibri"/>
          <w:color w:val="000000"/>
          <w:kern w:val="0"/>
          <w:lang w:eastAsia="es-ES"/>
        </w:rPr>
        <w:t>Otra dificultad observada fue que la reticencia para confesar a otras personas la causa de la muerte se extendía a la comunidad religiosa. Asimismo, tanto en la religión cristiana como en la budista, se expresaron sentimientos de rechazo hacia Dios debido a la creencia de que fue algo que permitió que sucediera (Silva de Almeida et al., 2025). Por ejemplo, un participante budista expresa:</w:t>
      </w:r>
      <w:r>
        <w:rPr>
          <w:rFonts w:ascii="Calibri" w:eastAsia="Times New Roman" w:hAnsi="Calibri" w:cs="Calibri"/>
          <w:i/>
          <w:iCs/>
          <w:color w:val="000000"/>
          <w:kern w:val="0"/>
          <w:lang w:eastAsia="es-ES"/>
        </w:rPr>
        <w:t> “¿Es verdad que existe un Buda? La gente mala vive bien, entonces ¿por qué Buda me pone una prueba que no puedo superar?” (Lee, 2022, p. 5). </w:t>
      </w:r>
      <w:r>
        <w:rPr>
          <w:rFonts w:ascii="Calibri" w:eastAsia="Times New Roman" w:hAnsi="Calibri" w:cs="Calibri"/>
          <w:color w:val="000000"/>
          <w:kern w:val="0"/>
          <w:lang w:eastAsia="es-ES"/>
        </w:rPr>
        <w:t> </w:t>
      </w:r>
    </w:p>
    <w:p w14:paraId="564B52AF"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 xml:space="preserve">Igualmente, respecto a la religión cristiana, algunas familias revelaron haber sentido falta de apoyo por parte de instituciones religiosas. Por ejemplo, un miembro del clero se negó a realizar el funeral en la iglesia cuando la causa de muerte fue suicidio. </w:t>
      </w:r>
      <w:r>
        <w:rPr>
          <w:rFonts w:ascii="Calibri" w:eastAsia="Times New Roman" w:hAnsi="Calibri" w:cs="Calibri"/>
          <w:color w:val="000000"/>
          <w:kern w:val="0"/>
          <w:lang w:eastAsia="es-ES"/>
        </w:rPr>
        <w:lastRenderedPageBreak/>
        <w:t>Asimismo, la satisfacción con el apoyo religioso se experimentaba mayormente a corto plazo y no se mantenía en el tiempo (Silva de Almeida et al., 2025).  </w:t>
      </w:r>
    </w:p>
    <w:p w14:paraId="22AFD7B9" w14:textId="77777777" w:rsidR="00CC07FD" w:rsidRDefault="00CC07FD">
      <w:pPr>
        <w:shd w:val="clear" w:color="auto" w:fill="FFFFFF"/>
        <w:spacing w:after="220" w:line="360" w:lineRule="auto"/>
        <w:ind w:left="-170" w:right="6" w:firstLine="709"/>
        <w:jc w:val="both"/>
        <w:textAlignment w:val="baseline"/>
      </w:pPr>
    </w:p>
    <w:p w14:paraId="4EF38702" w14:textId="77777777" w:rsidR="00CC07FD" w:rsidRDefault="00000000">
      <w:pPr>
        <w:pStyle w:val="Ttulo2"/>
        <w:spacing w:line="360" w:lineRule="auto"/>
        <w:jc w:val="both"/>
      </w:pPr>
      <w:bookmarkStart w:id="12" w:name="_Toc226667019"/>
      <w:r>
        <w:rPr>
          <w:rFonts w:ascii="Calibri" w:hAnsi="Calibri" w:cs="Calibri"/>
          <w:b/>
          <w:bCs/>
          <w:color w:val="auto"/>
          <w:sz w:val="24"/>
          <w:szCs w:val="24"/>
          <w:lang w:eastAsia="es-ES"/>
        </w:rPr>
        <w:t>3.2 Estigma</w:t>
      </w:r>
      <w:bookmarkEnd w:id="12"/>
      <w:r>
        <w:rPr>
          <w:rFonts w:ascii="Calibri" w:hAnsi="Calibri" w:cs="Calibri"/>
          <w:b/>
          <w:bCs/>
          <w:color w:val="auto"/>
          <w:sz w:val="24"/>
          <w:szCs w:val="24"/>
          <w:lang w:eastAsia="es-ES"/>
        </w:rPr>
        <w:t> </w:t>
      </w:r>
    </w:p>
    <w:p w14:paraId="6F8F3768"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Weiss et al. (2006), citados en Peters et al. (2016), definen el estigma como un proceso social en el cual se realizan juicios desfavorables, anticipados o experimentados, sobre individuos o grupos, lo que resulta en exclusión social, rechazo y degradación. Cuando se asocia con el suicidio, el estigma puede hacer que los supervivientes se sientan excluidos y aislados de sus comunidades. Esto puede impedir que busquen intervenciones de apoyo que los ayuden en su duelo, prolongando así el proceso de luto y retrasando la recuperación de la funcionalidad y la normalidad.  </w:t>
      </w:r>
    </w:p>
    <w:p w14:paraId="644D8F42" w14:textId="77777777" w:rsidR="00CC07FD" w:rsidRDefault="00000000">
      <w:pPr>
        <w:pStyle w:val="Ttulo3"/>
        <w:spacing w:line="360" w:lineRule="auto"/>
        <w:jc w:val="both"/>
      </w:pPr>
      <w:bookmarkStart w:id="13" w:name="_Toc226667020"/>
      <w:r>
        <w:rPr>
          <w:rFonts w:ascii="Calibri" w:hAnsi="Calibri" w:cs="Calibri"/>
          <w:b/>
          <w:bCs/>
          <w:color w:val="auto"/>
          <w:sz w:val="24"/>
          <w:szCs w:val="24"/>
          <w:lang w:eastAsia="es-ES"/>
        </w:rPr>
        <w:t>3.2.1 La presión social por mostrarse fuerte</w:t>
      </w:r>
      <w:bookmarkEnd w:id="13"/>
      <w:r>
        <w:rPr>
          <w:rFonts w:ascii="Calibri" w:hAnsi="Calibri" w:cs="Calibri"/>
          <w:b/>
          <w:bCs/>
          <w:color w:val="auto"/>
          <w:sz w:val="24"/>
          <w:szCs w:val="24"/>
          <w:lang w:eastAsia="es-ES"/>
        </w:rPr>
        <w:t> </w:t>
      </w:r>
    </w:p>
    <w:p w14:paraId="0E7DC832"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Uno de los temas predominantes en torno al estigma que surge en los testimonios es la necesidad de mostrarse fuerte para sostener a los demás,</w:t>
      </w:r>
      <w:r>
        <w:rPr>
          <w:rFonts w:ascii="Calibri" w:eastAsia="Times New Roman" w:hAnsi="Calibri" w:cs="Calibri"/>
          <w:b/>
          <w:bCs/>
          <w:color w:val="000000"/>
          <w:kern w:val="0"/>
          <w:lang w:eastAsia="es-ES"/>
        </w:rPr>
        <w:t> </w:t>
      </w:r>
      <w:r>
        <w:rPr>
          <w:rFonts w:ascii="Calibri" w:eastAsia="Times New Roman" w:hAnsi="Calibri" w:cs="Calibri"/>
          <w:color w:val="000000"/>
          <w:kern w:val="0"/>
          <w:lang w:eastAsia="es-ES"/>
        </w:rPr>
        <w:t>generando un conflicto entre el propio dolor y la obligación social de mantener esa imagen. Este fenómeno se relaciona directamente con el concepto de trabajo emocional propuesto por Hochschild (1979), citado en el artículo de Goulah-Pabst (2021), que implica modificar o suprimir los propios sentimientos para adaptarse a las expectativas sociales. Un ejemplo es una madre, que, tras la pérdida de su hijo, asumió un rol para sostener emocionalmente a su familia que difería de su vivencia interna de dolor: “</w:t>
      </w:r>
      <w:r>
        <w:rPr>
          <w:rFonts w:ascii="Calibri" w:eastAsia="Times New Roman" w:hAnsi="Calibri" w:cs="Calibri"/>
          <w:i/>
          <w:iCs/>
          <w:color w:val="000000"/>
          <w:kern w:val="0"/>
          <w:lang w:eastAsia="es-ES"/>
        </w:rPr>
        <w:t>Simplemente me presentaba como una persona llena de gratitud, aceptación y fortaleza… sentía que necesitaba ser eso para mi madre y mis hermanos”</w:t>
      </w:r>
      <w:r>
        <w:rPr>
          <w:rFonts w:ascii="Calibri" w:eastAsia="Times New Roman" w:hAnsi="Calibri" w:cs="Calibri"/>
          <w:color w:val="000000"/>
          <w:kern w:val="0"/>
          <w:lang w:eastAsia="es-ES"/>
        </w:rPr>
        <w:t> (Goulah-Pabst, 2021, p. 779). </w:t>
      </w:r>
    </w:p>
    <w:p w14:paraId="0A75EB40"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Así, la sociedad tiene una percepción de las familias como especialmente valientes o fuertes, reforzando estos roles a través de elogios (Sheehan et al., 2016).  Otra madre</w:t>
      </w:r>
      <w:r>
        <w:rPr>
          <w:rFonts w:ascii="Calibri" w:eastAsia="Times New Roman" w:hAnsi="Calibri" w:cs="Calibri"/>
          <w:b/>
          <w:bCs/>
          <w:color w:val="000000"/>
          <w:kern w:val="0"/>
          <w:lang w:eastAsia="es-ES"/>
        </w:rPr>
        <w:t xml:space="preserve"> </w:t>
      </w:r>
      <w:r>
        <w:rPr>
          <w:rFonts w:ascii="Calibri" w:eastAsia="Times New Roman" w:hAnsi="Calibri" w:cs="Calibri"/>
          <w:color w:val="000000"/>
          <w:kern w:val="0"/>
          <w:lang w:eastAsia="es-ES"/>
        </w:rPr>
        <w:t>expresó su resentimiento hacia los comentarios de otros sobre su fortaleza</w:t>
      </w:r>
      <w:r>
        <w:rPr>
          <w:rFonts w:ascii="Calibri" w:eastAsia="Times New Roman" w:hAnsi="Calibri" w:cs="Calibri"/>
          <w:i/>
          <w:iCs/>
          <w:color w:val="000000"/>
          <w:kern w:val="0"/>
          <w:lang w:eastAsia="es-ES"/>
        </w:rPr>
        <w:t> “Otras personas me decían: ‘¡Debes de ser una persona muy fuerte! ¿Cómo puedes seguir adelante?’ Y yo pensaba que debía haber algo mal en mí porque podía pasar por esto. Pero, por supuesto, yo no hice cola para vivir esto” </w:t>
      </w:r>
      <w:r>
        <w:rPr>
          <w:rFonts w:ascii="Calibri" w:eastAsia="Times New Roman" w:hAnsi="Calibri" w:cs="Calibri"/>
          <w:color w:val="000000"/>
          <w:kern w:val="0"/>
          <w:lang w:eastAsia="es-ES"/>
        </w:rPr>
        <w:t>(Sheehan et al., 2016, p. 337).</w:t>
      </w:r>
      <w:r>
        <w:rPr>
          <w:rFonts w:ascii="Calibri" w:eastAsia="Times New Roman" w:hAnsi="Calibri" w:cs="Calibri"/>
          <w:i/>
          <w:iCs/>
          <w:color w:val="000000"/>
          <w:kern w:val="0"/>
          <w:lang w:eastAsia="es-ES"/>
        </w:rPr>
        <w:t> </w:t>
      </w:r>
      <w:r>
        <w:rPr>
          <w:rFonts w:ascii="Calibri" w:eastAsia="Times New Roman" w:hAnsi="Calibri" w:cs="Calibri"/>
          <w:color w:val="000000"/>
          <w:kern w:val="0"/>
          <w:lang w:eastAsia="es-ES"/>
        </w:rPr>
        <w:t xml:space="preserve">Este tipo </w:t>
      </w:r>
      <w:r>
        <w:rPr>
          <w:rFonts w:ascii="Calibri" w:eastAsia="Times New Roman" w:hAnsi="Calibri" w:cs="Calibri"/>
          <w:color w:val="000000"/>
          <w:kern w:val="0"/>
          <w:lang w:eastAsia="es-ES"/>
        </w:rPr>
        <w:lastRenderedPageBreak/>
        <w:t>de comentarios generan una presión adicional para cumplir con el estereotipo de la “persona fuerte”.     </w:t>
      </w:r>
    </w:p>
    <w:p w14:paraId="68CEBBDB"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Además, los supervivientes experimentan un conflicto entre su propia necesidad de apoyo y consuelo, y las respuestas incómodas de los otros (Peters et al., 2016). Sienten la carga de malestar de los demás, sintiendo la necesidad de eliminar la incomodidad ajena. Una participante cuyo marido falleció por esta causa relató:  </w:t>
      </w:r>
    </w:p>
    <w:p w14:paraId="5E09B6F2"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i/>
          <w:iCs/>
          <w:color w:val="000000"/>
          <w:kern w:val="0"/>
          <w:lang w:eastAsia="es-ES"/>
        </w:rPr>
        <w:t>Aún recuerdo las caras de las personas, el duelo y el shock y el horror en sus rostros. En realidad, eso me molesta más que a mí misma porque recuerdo pensar, ¿cómo puedo ayudarlos? No sé cómo ayudar a estas personas que solo están tratando de asimilarlo. </w:t>
      </w:r>
      <w:r>
        <w:rPr>
          <w:rFonts w:ascii="Calibri" w:eastAsia="Times New Roman" w:hAnsi="Calibri" w:cs="Calibri"/>
          <w:color w:val="000000"/>
          <w:kern w:val="0"/>
          <w:lang w:eastAsia="es-ES"/>
        </w:rPr>
        <w:t>(Peters et al., 2016, p. 255) </w:t>
      </w:r>
    </w:p>
    <w:p w14:paraId="35BC3B74"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 xml:space="preserve">A pesar de este peso, otras personas encuentran fuente de fuerza y esperanza en la responsabilidad hacia otros, concretamente respecto a la familia superviviente (Lee, 2022). El consuelo y apoyo mutuo actúan como motor para seguir adelante. </w:t>
      </w:r>
    </w:p>
    <w:p w14:paraId="1141AD4E"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Una participante que perdió a su hijo por suicidio declara:</w:t>
      </w:r>
    </w:p>
    <w:p w14:paraId="1FA24CD9"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i/>
          <w:iCs/>
          <w:color w:val="000000"/>
          <w:kern w:val="0"/>
          <w:lang w:eastAsia="es-ES"/>
        </w:rPr>
        <w:t>Estoy más preocupada por el padre de mi hijo que por mí misma… Pero todavía tenemos un segundo hijo, así que intentamos fortalecernos.” </w:t>
      </w:r>
      <w:r>
        <w:rPr>
          <w:rFonts w:ascii="Calibri" w:eastAsia="Times New Roman" w:hAnsi="Calibri" w:cs="Calibri"/>
          <w:color w:val="000000"/>
          <w:kern w:val="0"/>
          <w:lang w:eastAsia="es-ES"/>
        </w:rPr>
        <w:t>(Lee, 2022, </w:t>
      </w:r>
      <w:r>
        <w:rPr>
          <w:rFonts w:ascii="Calibri" w:eastAsia="Times New Roman" w:hAnsi="Calibri" w:cs="Calibri"/>
          <w:i/>
          <w:iCs/>
          <w:color w:val="000000"/>
          <w:kern w:val="0"/>
          <w:lang w:eastAsia="es-ES"/>
        </w:rPr>
        <w:t>p. 9)</w:t>
      </w:r>
      <w:r>
        <w:rPr>
          <w:rFonts w:ascii="Calibri" w:eastAsia="Times New Roman" w:hAnsi="Calibri" w:cs="Calibri"/>
          <w:color w:val="000000"/>
          <w:kern w:val="0"/>
          <w:lang w:eastAsia="es-ES"/>
        </w:rPr>
        <w:t> </w:t>
      </w:r>
    </w:p>
    <w:p w14:paraId="306AED8F"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 xml:space="preserve">Por otro lado, un hombre que perdió a su mujer por esta causa confiesa: </w:t>
      </w:r>
    </w:p>
    <w:p w14:paraId="112860CB"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i/>
          <w:iCs/>
          <w:color w:val="000000"/>
          <w:kern w:val="0"/>
          <w:lang w:eastAsia="es-ES"/>
        </w:rPr>
        <w:t>“Cuando mi esposa estaba viva, planeaba pasar tiempo con ella cuando me jubilara, pero ahora me pregunto cómo sobreviviré el resto de mi vida… Planeo trabajar más y trabajar con mi hijo en el futuro.” </w:t>
      </w:r>
      <w:r>
        <w:rPr>
          <w:rFonts w:ascii="Calibri" w:eastAsia="Times New Roman" w:hAnsi="Calibri" w:cs="Calibri"/>
          <w:color w:val="000000"/>
          <w:kern w:val="0"/>
          <w:lang w:eastAsia="es-ES"/>
        </w:rPr>
        <w:t>(Lee, 2022, </w:t>
      </w:r>
      <w:r>
        <w:rPr>
          <w:rFonts w:ascii="Calibri" w:eastAsia="Times New Roman" w:hAnsi="Calibri" w:cs="Calibri"/>
          <w:i/>
          <w:iCs/>
          <w:color w:val="000000"/>
          <w:kern w:val="0"/>
          <w:lang w:eastAsia="es-ES"/>
        </w:rPr>
        <w:t>p. 9)</w:t>
      </w:r>
      <w:r>
        <w:rPr>
          <w:rFonts w:ascii="Calibri" w:eastAsia="Times New Roman" w:hAnsi="Calibri" w:cs="Calibri"/>
          <w:color w:val="000000"/>
          <w:kern w:val="0"/>
          <w:lang w:eastAsia="es-ES"/>
        </w:rPr>
        <w:t> </w:t>
      </w:r>
    </w:p>
    <w:p w14:paraId="5515F70E" w14:textId="77777777" w:rsidR="00CC07FD" w:rsidRDefault="00000000">
      <w:pPr>
        <w:pStyle w:val="Ttulo3"/>
        <w:spacing w:line="360" w:lineRule="auto"/>
        <w:jc w:val="both"/>
        <w:rPr>
          <w:rFonts w:ascii="Calibri" w:hAnsi="Calibri" w:cs="Calibri"/>
          <w:b/>
          <w:bCs/>
          <w:color w:val="auto"/>
          <w:sz w:val="24"/>
          <w:szCs w:val="24"/>
          <w:lang w:eastAsia="es-ES"/>
        </w:rPr>
      </w:pPr>
      <w:bookmarkStart w:id="14" w:name="_Toc226667021"/>
      <w:r>
        <w:rPr>
          <w:rFonts w:ascii="Calibri" w:hAnsi="Calibri" w:cs="Calibri"/>
          <w:b/>
          <w:bCs/>
          <w:color w:val="auto"/>
          <w:sz w:val="24"/>
          <w:szCs w:val="24"/>
          <w:lang w:eastAsia="es-ES"/>
        </w:rPr>
        <w:t>3.2.2 </w:t>
      </w:r>
      <w:proofErr w:type="spellStart"/>
      <w:r>
        <w:rPr>
          <w:rFonts w:ascii="Calibri" w:hAnsi="Calibri" w:cs="Calibri"/>
          <w:b/>
          <w:bCs/>
          <w:color w:val="auto"/>
          <w:sz w:val="24"/>
          <w:szCs w:val="24"/>
          <w:lang w:eastAsia="es-ES"/>
        </w:rPr>
        <w:t>Autoestigma</w:t>
      </w:r>
      <w:bookmarkEnd w:id="14"/>
      <w:proofErr w:type="spellEnd"/>
      <w:r>
        <w:rPr>
          <w:rFonts w:ascii="Calibri" w:hAnsi="Calibri" w:cs="Calibri"/>
          <w:b/>
          <w:bCs/>
          <w:color w:val="auto"/>
          <w:sz w:val="24"/>
          <w:szCs w:val="24"/>
          <w:lang w:eastAsia="es-ES"/>
        </w:rPr>
        <w:t> </w:t>
      </w:r>
    </w:p>
    <w:p w14:paraId="46B3AD7A"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Otro de los temas principales identificados es la evaluación negativa de uno mismo, también denominado </w:t>
      </w:r>
      <w:proofErr w:type="spellStart"/>
      <w:r>
        <w:rPr>
          <w:rFonts w:ascii="Calibri" w:eastAsia="Times New Roman" w:hAnsi="Calibri" w:cs="Calibri"/>
          <w:color w:val="000000"/>
          <w:kern w:val="0"/>
          <w:lang w:eastAsia="es-ES"/>
        </w:rPr>
        <w:t>autoestigma</w:t>
      </w:r>
      <w:proofErr w:type="spellEnd"/>
      <w:r>
        <w:rPr>
          <w:rFonts w:ascii="Calibri" w:eastAsia="Times New Roman" w:hAnsi="Calibri" w:cs="Calibri"/>
          <w:color w:val="000000"/>
          <w:kern w:val="0"/>
          <w:lang w:eastAsia="es-ES"/>
        </w:rPr>
        <w:t>. Este fenómeno hace referencia a la internalización del estigma social, incorporándose a la propia identidad y creyendo que se poseen los atributos negativos que otros asumen de uno (Sheehan et al., 2016).  </w:t>
      </w:r>
    </w:p>
    <w:p w14:paraId="7612EF8B"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 xml:space="preserve">Los supervivientes pueden experimentar sentimientos de vergüenza, culpa, inutilidad o percepción de no ser socialmente válidos, lo que a su vez debilita sus vínculos </w:t>
      </w:r>
      <w:r>
        <w:rPr>
          <w:rFonts w:ascii="Calibri" w:eastAsia="Times New Roman" w:hAnsi="Calibri" w:cs="Calibri"/>
          <w:color w:val="000000"/>
          <w:kern w:val="0"/>
          <w:lang w:eastAsia="es-ES"/>
        </w:rPr>
        <w:lastRenderedPageBreak/>
        <w:t>sociales. Esto se refleja a través de testimonios como</w:t>
      </w:r>
      <w:r>
        <w:rPr>
          <w:rFonts w:ascii="Calibri" w:eastAsia="Times New Roman" w:hAnsi="Calibri" w:cs="Calibri"/>
          <w:i/>
          <w:iCs/>
          <w:color w:val="000000"/>
          <w:kern w:val="0"/>
          <w:lang w:eastAsia="es-ES"/>
        </w:rPr>
        <w:t> “Creo que el estigma te bloquea…el juicio que viene con ello…no ser digno" o</w:t>
      </w:r>
      <w:r>
        <w:rPr>
          <w:rFonts w:ascii="Calibri" w:eastAsia="Times New Roman" w:hAnsi="Calibri" w:cs="Calibri"/>
          <w:color w:val="000000"/>
          <w:kern w:val="0"/>
          <w:lang w:eastAsia="es-ES"/>
        </w:rPr>
        <w:t> </w:t>
      </w:r>
      <w:r>
        <w:rPr>
          <w:rFonts w:ascii="Calibri" w:eastAsia="Times New Roman" w:hAnsi="Calibri" w:cs="Calibri"/>
          <w:i/>
          <w:iCs/>
          <w:color w:val="000000"/>
          <w:kern w:val="0"/>
          <w:lang w:eastAsia="es-ES"/>
        </w:rPr>
        <w:t>“Sentía que era una mala terapeuta porque ¿cómo no pude salvar a mi propio hijo?” </w:t>
      </w:r>
      <w:r>
        <w:rPr>
          <w:rFonts w:ascii="Calibri" w:eastAsia="Times New Roman" w:hAnsi="Calibri" w:cs="Calibri"/>
          <w:color w:val="000000"/>
          <w:kern w:val="0"/>
          <w:lang w:eastAsia="es-ES"/>
        </w:rPr>
        <w:t>(Goulah-Pabst, 2021,</w:t>
      </w:r>
      <w:r>
        <w:rPr>
          <w:rFonts w:ascii="Calibri" w:eastAsia="Times New Roman" w:hAnsi="Calibri" w:cs="Calibri"/>
          <w:b/>
          <w:bCs/>
          <w:color w:val="1155CC"/>
          <w:kern w:val="0"/>
          <w:lang w:eastAsia="es-ES"/>
        </w:rPr>
        <w:t> </w:t>
      </w:r>
      <w:r>
        <w:rPr>
          <w:rFonts w:ascii="Calibri" w:eastAsia="Times New Roman" w:hAnsi="Calibri" w:cs="Calibri"/>
          <w:i/>
          <w:iCs/>
          <w:color w:val="000000"/>
          <w:kern w:val="0"/>
          <w:lang w:eastAsia="es-ES"/>
        </w:rPr>
        <w:t>p. 780). </w:t>
      </w:r>
      <w:r>
        <w:rPr>
          <w:rFonts w:ascii="Calibri" w:eastAsia="Times New Roman" w:hAnsi="Calibri" w:cs="Calibri"/>
          <w:color w:val="000000"/>
          <w:kern w:val="0"/>
          <w:lang w:eastAsia="es-ES"/>
        </w:rPr>
        <w:t>Este proceso se relaciona con la teoría de la vergüenza de Scheff (2000), mencionada en el artículo de Goulah-Pabst (2021), que sostiene que la vergüenza surge cuando la persona percibe que otros la evalúan negativamente, generando una amenaza a sus vínculos sociales.  </w:t>
      </w:r>
    </w:p>
    <w:p w14:paraId="4F7C999C"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 Estos sentimientos pueden intensificarse cuando los familiares perciben que su identidad queda definida por la forma de muerte del ser querido, como refleja el testimonio: </w:t>
      </w:r>
      <w:r>
        <w:rPr>
          <w:rFonts w:ascii="Calibri" w:eastAsia="Times New Roman" w:hAnsi="Calibri" w:cs="Calibri"/>
          <w:i/>
          <w:iCs/>
          <w:color w:val="000000"/>
          <w:kern w:val="0"/>
          <w:lang w:eastAsia="es-ES"/>
        </w:rPr>
        <w:t>“Todos me conocen por las razones equivocadas…la chica cuyo esposo se suicidó”</w:t>
      </w:r>
      <w:r>
        <w:rPr>
          <w:rFonts w:ascii="Calibri" w:eastAsia="Times New Roman" w:hAnsi="Calibri" w:cs="Calibri"/>
          <w:color w:val="000000"/>
          <w:kern w:val="0"/>
          <w:lang w:eastAsia="es-ES"/>
        </w:rPr>
        <w:t> (Peters et al., 2016, p. 254).   </w:t>
      </w:r>
    </w:p>
    <w:p w14:paraId="7A1DE816" w14:textId="77777777" w:rsidR="00CC07FD" w:rsidRDefault="00000000">
      <w:pPr>
        <w:pStyle w:val="Ttulo3"/>
        <w:spacing w:line="360" w:lineRule="auto"/>
        <w:jc w:val="both"/>
        <w:rPr>
          <w:rFonts w:ascii="Calibri" w:hAnsi="Calibri" w:cs="Calibri"/>
          <w:b/>
          <w:bCs/>
          <w:color w:val="auto"/>
          <w:sz w:val="24"/>
          <w:szCs w:val="24"/>
          <w:lang w:eastAsia="es-ES"/>
        </w:rPr>
      </w:pPr>
      <w:bookmarkStart w:id="15" w:name="_Toc226667022"/>
      <w:r>
        <w:rPr>
          <w:rFonts w:ascii="Calibri" w:hAnsi="Calibri" w:cs="Calibri"/>
          <w:b/>
          <w:bCs/>
          <w:color w:val="auto"/>
          <w:sz w:val="24"/>
          <w:szCs w:val="24"/>
          <w:lang w:eastAsia="es-ES"/>
        </w:rPr>
        <w:t>3.2.3 Atribución de responsabilidad</w:t>
      </w:r>
      <w:bookmarkEnd w:id="15"/>
      <w:r>
        <w:rPr>
          <w:rFonts w:ascii="Calibri" w:hAnsi="Calibri" w:cs="Calibri"/>
          <w:b/>
          <w:bCs/>
          <w:color w:val="auto"/>
          <w:sz w:val="24"/>
          <w:szCs w:val="24"/>
          <w:lang w:eastAsia="es-ES"/>
        </w:rPr>
        <w:t> </w:t>
      </w:r>
    </w:p>
    <w:p w14:paraId="685D7BD7"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Otro tema que aparece de forma recurrente en relación con el estigma es</w:t>
      </w:r>
      <w:r>
        <w:rPr>
          <w:rFonts w:ascii="Calibri" w:eastAsia="Times New Roman" w:hAnsi="Calibri" w:cs="Calibri"/>
          <w:b/>
          <w:bCs/>
          <w:color w:val="000000"/>
          <w:kern w:val="0"/>
          <w:lang w:eastAsia="es-ES"/>
        </w:rPr>
        <w:t> </w:t>
      </w:r>
      <w:r>
        <w:rPr>
          <w:rFonts w:ascii="Calibri" w:eastAsia="Times New Roman" w:hAnsi="Calibri" w:cs="Calibri"/>
          <w:color w:val="000000"/>
          <w:kern w:val="0"/>
          <w:lang w:eastAsia="es-ES"/>
        </w:rPr>
        <w:t>la atribución de responsabilidad a los familiares por la muerte por suicidio. </w:t>
      </w:r>
    </w:p>
    <w:p w14:paraId="6564DE04"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Los participantes dijeron que existe una necesidad social de encontrar una explicación, que se proyecta hacia la familia como estereotipos. Como dijo un participante:</w:t>
      </w:r>
      <w:r>
        <w:rPr>
          <w:rFonts w:ascii="Calibri" w:eastAsia="Times New Roman" w:hAnsi="Calibri" w:cs="Calibri"/>
          <w:i/>
          <w:iCs/>
          <w:color w:val="000000"/>
          <w:kern w:val="0"/>
          <w:lang w:eastAsia="es-ES"/>
        </w:rPr>
        <w:t> “Ellos [el público] están buscando una razón de por qué la persona lo hizo [se suicidó]. Están buscando externamente”</w:t>
      </w:r>
      <w:r>
        <w:rPr>
          <w:rFonts w:ascii="Calibri" w:eastAsia="Times New Roman" w:hAnsi="Calibri" w:cs="Calibri"/>
          <w:color w:val="FF0000"/>
          <w:kern w:val="0"/>
          <w:lang w:eastAsia="es-ES"/>
        </w:rPr>
        <w:t> </w:t>
      </w:r>
      <w:r>
        <w:rPr>
          <w:rFonts w:ascii="Calibri" w:eastAsia="Times New Roman" w:hAnsi="Calibri" w:cs="Calibri"/>
          <w:color w:val="000000"/>
          <w:kern w:val="0"/>
          <w:lang w:eastAsia="es-ES"/>
        </w:rPr>
        <w:t>(Sheehan et al., 2016, p.335). </w:t>
      </w:r>
    </w:p>
    <w:p w14:paraId="69A62368" w14:textId="77777777" w:rsidR="00CC07FD" w:rsidRDefault="00000000">
      <w:pPr>
        <w:shd w:val="clear" w:color="auto" w:fill="FFFFFF"/>
        <w:spacing w:after="220" w:line="360" w:lineRule="auto"/>
        <w:ind w:left="-170" w:right="6" w:firstLine="709"/>
        <w:jc w:val="both"/>
        <w:textAlignment w:val="baseline"/>
        <w:rPr>
          <w:rFonts w:ascii="Calibri" w:hAnsi="Calibri" w:cs="Calibri"/>
        </w:rPr>
      </w:pPr>
      <w:r>
        <w:rPr>
          <w:rFonts w:ascii="Calibri" w:hAnsi="Calibri" w:cs="Calibri"/>
        </w:rPr>
        <w:t>Este estereotipo está ligado a otros dos identificados por Sheehan et al. (2016): por un lado, la percepción de que los familiares ignoraron las señales de alerta previas al suicidio y, por otro, la de que no hicieron lo suficiente para salvar a la persona. Ambos estereotipos convergen en una misma idea: la responsabilización de la familia por no haber prevenido la tragedia.</w:t>
      </w:r>
    </w:p>
    <w:p w14:paraId="25A93276"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También se atribuye la responsabilidad a otros factores como la disfunción familiar, violencia, adicciones, rechazo o incluso presión, como relata una participante que perdió a su hijo: </w:t>
      </w:r>
      <w:r>
        <w:rPr>
          <w:rFonts w:ascii="Calibri" w:eastAsia="Times New Roman" w:hAnsi="Calibri" w:cs="Calibri"/>
          <w:i/>
          <w:iCs/>
          <w:color w:val="000000"/>
          <w:kern w:val="0"/>
          <w:lang w:eastAsia="es-ES"/>
        </w:rPr>
        <w:t>“La gente piensa… podría haber sido yo; podría haberlo impulsado”</w:t>
      </w:r>
      <w:r>
        <w:rPr>
          <w:rFonts w:ascii="Calibri" w:eastAsia="Times New Roman" w:hAnsi="Calibri" w:cs="Calibri"/>
          <w:color w:val="000000"/>
          <w:kern w:val="0"/>
          <w:lang w:eastAsia="es-ES"/>
        </w:rPr>
        <w:t> (Peters et al., 2016</w:t>
      </w:r>
      <w:r>
        <w:rPr>
          <w:rFonts w:ascii="Calibri" w:eastAsia="Times New Roman" w:hAnsi="Calibri" w:cs="Calibri"/>
          <w:i/>
          <w:iCs/>
          <w:color w:val="000000"/>
          <w:kern w:val="0"/>
          <w:lang w:eastAsia="es-ES"/>
        </w:rPr>
        <w:t>, p. 253</w:t>
      </w:r>
      <w:r>
        <w:rPr>
          <w:rFonts w:ascii="Calibri" w:eastAsia="Times New Roman" w:hAnsi="Calibri" w:cs="Calibri"/>
          <w:color w:val="000000"/>
          <w:kern w:val="0"/>
          <w:lang w:eastAsia="es-ES"/>
        </w:rPr>
        <w:t>). </w:t>
      </w:r>
    </w:p>
    <w:p w14:paraId="67019EFF"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La narrativa de otra participante muestra que, además de la carga de la vergüenza y sentirse culpada por otros, se sentía responsable por la muerte de su esposo y creía que podría haberse prevenido si hubiera actuado de otra manera: “</w:t>
      </w:r>
      <w:r>
        <w:rPr>
          <w:rFonts w:ascii="Calibri" w:eastAsia="Times New Roman" w:hAnsi="Calibri" w:cs="Calibri"/>
          <w:i/>
          <w:iCs/>
          <w:color w:val="000000"/>
          <w:kern w:val="0"/>
          <w:lang w:eastAsia="es-ES"/>
        </w:rPr>
        <w:t xml:space="preserve">Así que hay culpa, </w:t>
      </w:r>
      <w:r>
        <w:rPr>
          <w:rFonts w:ascii="Calibri" w:eastAsia="Times New Roman" w:hAnsi="Calibri" w:cs="Calibri"/>
          <w:i/>
          <w:iCs/>
          <w:color w:val="000000"/>
          <w:kern w:val="0"/>
          <w:lang w:eastAsia="es-ES"/>
        </w:rPr>
        <w:lastRenderedPageBreak/>
        <w:t>confusión, pero es solo la culpa, eso te mata porque ellos eligieron irse y ¿qué hice yo? ¿Qué hice yo que no merecía estar ahí? Sé eso, no sé lo que sienten otras personas, tal vez sienten lo mismo, pero como esposa, eso es lo que seguía pasando por mi cabeza” </w:t>
      </w:r>
      <w:r>
        <w:rPr>
          <w:rFonts w:ascii="Calibri" w:eastAsia="Times New Roman" w:hAnsi="Calibri" w:cs="Calibri"/>
          <w:color w:val="000000"/>
          <w:kern w:val="0"/>
          <w:lang w:eastAsia="es-ES"/>
        </w:rPr>
        <w:t>(Peters et al., 2016, p. 254). </w:t>
      </w:r>
    </w:p>
    <w:p w14:paraId="443D9D70"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La atribución de responsabilidad se relaciona con el estereotipo del secretismo familiar, según el cual las familias en duelo son vistas como engañosas o como si ocultaran algo. Un superviviente relató que cuando reveló a sus amigos el suicidio de su hermana, le dijeron</w:t>
      </w:r>
      <w:r>
        <w:rPr>
          <w:rFonts w:ascii="Calibri" w:eastAsia="Times New Roman" w:hAnsi="Calibri" w:cs="Calibri"/>
          <w:i/>
          <w:iCs/>
          <w:color w:val="000000"/>
          <w:kern w:val="0"/>
          <w:lang w:eastAsia="es-ES"/>
        </w:rPr>
        <w:t xml:space="preserve"> “Cualquiera puede mirarte y decir que pareces venir de una familia perfectamente normal” </w:t>
      </w:r>
      <w:r>
        <w:rPr>
          <w:rFonts w:ascii="Calibri" w:eastAsia="Times New Roman" w:hAnsi="Calibri" w:cs="Calibri"/>
          <w:color w:val="000000"/>
          <w:kern w:val="0"/>
          <w:lang w:eastAsia="es-ES"/>
        </w:rPr>
        <w:t>(Sheehan et al., 2016, p. 337). </w:t>
      </w:r>
    </w:p>
    <w:p w14:paraId="0ACDB4BF"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eastAsia="es-ES"/>
        </w:rPr>
        <w:t>Los propios familiares también sienten la necesidad de encontrar una explicación que dé sentido al suicidio, y si ninguna explicación es satisfactoria, tienden a dirigir la culpa hacia diferentes personas o instancias (</w:t>
      </w:r>
      <w:proofErr w:type="spellStart"/>
      <w:r>
        <w:rPr>
          <w:rFonts w:ascii="Calibri" w:eastAsia="Times New Roman" w:hAnsi="Calibri" w:cs="Calibri"/>
          <w:color w:val="000000"/>
          <w:kern w:val="0"/>
          <w:lang w:eastAsia="es-ES"/>
        </w:rPr>
        <w:t>Zavrou</w:t>
      </w:r>
      <w:proofErr w:type="spellEnd"/>
      <w:r>
        <w:rPr>
          <w:rFonts w:ascii="Calibri" w:eastAsia="Times New Roman" w:hAnsi="Calibri" w:cs="Calibri"/>
          <w:color w:val="000000"/>
          <w:kern w:val="0"/>
          <w:lang w:eastAsia="es-ES"/>
        </w:rPr>
        <w:t> et al., 2023). En muchos casos, la culpa se vuelve hacia sí mismos, especialmente en el caso de madres y padres, quienes asumen la responsabilidad por no haber prevenido la muerte: </w:t>
      </w:r>
      <w:r>
        <w:rPr>
          <w:rFonts w:ascii="Calibri" w:eastAsia="Times New Roman" w:hAnsi="Calibri" w:cs="Calibri"/>
          <w:i/>
          <w:iCs/>
          <w:color w:val="000000"/>
          <w:kern w:val="0"/>
          <w:lang w:eastAsia="es-ES"/>
        </w:rPr>
        <w:t>“Sucedió porque no hice lo suficiente”</w:t>
      </w:r>
      <w:r>
        <w:rPr>
          <w:rFonts w:ascii="Calibri" w:eastAsia="Times New Roman" w:hAnsi="Calibri" w:cs="Calibri"/>
          <w:color w:val="000000"/>
          <w:kern w:val="0"/>
          <w:lang w:eastAsia="es-ES"/>
        </w:rPr>
        <w:t> (Tzeng et al., 2010, p. 192) o “</w:t>
      </w:r>
      <w:r>
        <w:rPr>
          <w:rFonts w:ascii="Calibri" w:eastAsia="Times New Roman" w:hAnsi="Calibri" w:cs="Calibri"/>
          <w:i/>
          <w:iCs/>
          <w:color w:val="000000"/>
          <w:kern w:val="0"/>
          <w:lang w:eastAsia="es-ES"/>
        </w:rPr>
        <w:t>Yo, su madre. No pude salvar su vida […], nunca me perdonaré”</w:t>
      </w:r>
      <w:r>
        <w:rPr>
          <w:rFonts w:ascii="Calibri" w:eastAsia="Times New Roman" w:hAnsi="Calibri" w:cs="Calibri"/>
          <w:color w:val="000000"/>
          <w:kern w:val="0"/>
          <w:lang w:eastAsia="es-ES"/>
        </w:rPr>
        <w:t xml:space="preserve"> (Kawashima &amp; Kawano, 2017, pp. 364–365). </w:t>
      </w:r>
    </w:p>
    <w:p w14:paraId="109BBBD0" w14:textId="77777777" w:rsidR="00CC07FD" w:rsidRDefault="00000000">
      <w:pPr>
        <w:spacing w:after="220" w:line="360" w:lineRule="auto"/>
        <w:ind w:left="-170" w:right="6" w:firstLine="709"/>
        <w:jc w:val="both"/>
        <w:textAlignment w:val="baseline"/>
      </w:pPr>
      <w:r>
        <w:rPr>
          <w:rFonts w:ascii="Calibri" w:hAnsi="Calibri" w:cs="Calibri"/>
        </w:rPr>
        <w:t xml:space="preserve">Esta autocrítica relacionada con no haber prevenido el suicidio aparece como un elemento central en numerosos testimonios. Un participante cuya mujer falleció por suicidio expresó: </w:t>
      </w:r>
      <w:r>
        <w:rPr>
          <w:rFonts w:ascii="Calibri" w:hAnsi="Calibri" w:cs="Calibri"/>
          <w:i/>
          <w:iCs/>
        </w:rPr>
        <w:t xml:space="preserve">“¿Por qué no lo supe? Lamento mi comportamiento.” </w:t>
      </w:r>
      <w:r>
        <w:rPr>
          <w:rFonts w:ascii="Calibri" w:hAnsi="Calibri" w:cs="Calibri"/>
        </w:rPr>
        <w:t>(Lee, 2022, p. 6).</w:t>
      </w:r>
    </w:p>
    <w:p w14:paraId="4180C56C"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eastAsia="es-ES"/>
        </w:rPr>
        <w:t>En otras ocasiones, la responsabilidad se atribuye a otros miembros de la familia, como refleja el testimonio que perdió a su hermano por suicidio:</w:t>
      </w:r>
      <w:r>
        <w:rPr>
          <w:rFonts w:ascii="Calibri" w:eastAsia="Times New Roman" w:hAnsi="Calibri" w:cs="Calibri"/>
          <w:i/>
          <w:iCs/>
          <w:color w:val="000000"/>
          <w:kern w:val="0"/>
          <w:lang w:eastAsia="es-ES"/>
        </w:rPr>
        <w:t> “Mi padre era muy terco. Le imponía mucha presión a mi hermano y lo hacía sentir restringido […].”</w:t>
      </w:r>
      <w:r>
        <w:rPr>
          <w:rFonts w:ascii="Calibri" w:eastAsia="Times New Roman" w:hAnsi="Calibri" w:cs="Calibri"/>
          <w:color w:val="000000"/>
          <w:kern w:val="0"/>
          <w:lang w:eastAsia="es-ES"/>
        </w:rPr>
        <w:t> (Tzeng et al., 2010, p. 192). Asimismo, algunos participantes señalaron a familiares que se habían suicidado previamente, atribuyéndoles una influencia catastrófica dentro del sistema familiar. Por último, otros participantes señalaron al sistema sanitario como responsable por su insuficiente atención: </w:t>
      </w:r>
      <w:r>
        <w:rPr>
          <w:rFonts w:ascii="Calibri" w:eastAsia="Times New Roman" w:hAnsi="Calibri" w:cs="Calibri"/>
          <w:i/>
          <w:iCs/>
          <w:color w:val="000000"/>
          <w:kern w:val="0"/>
          <w:lang w:eastAsia="es-ES"/>
        </w:rPr>
        <w:t>“Siento que fue descuidado. Creo que fue la medicación que tomaba la que causó toda esa agitación.”</w:t>
      </w:r>
      <w:r>
        <w:rPr>
          <w:rFonts w:ascii="Calibri" w:eastAsia="Times New Roman" w:hAnsi="Calibri" w:cs="Calibri"/>
          <w:color w:val="000000"/>
          <w:kern w:val="0"/>
          <w:lang w:eastAsia="es-ES"/>
        </w:rPr>
        <w:t xml:space="preserve"> (Shields et al., 2019, p. 9). </w:t>
      </w:r>
    </w:p>
    <w:p w14:paraId="0422962E" w14:textId="77777777" w:rsidR="00CC07FD" w:rsidRDefault="00000000">
      <w:pPr>
        <w:pStyle w:val="Ttulo3"/>
        <w:spacing w:line="360" w:lineRule="auto"/>
        <w:jc w:val="both"/>
        <w:rPr>
          <w:rFonts w:ascii="Calibri" w:hAnsi="Calibri" w:cs="Calibri"/>
          <w:b/>
          <w:bCs/>
          <w:color w:val="auto"/>
          <w:sz w:val="24"/>
          <w:szCs w:val="24"/>
          <w:lang w:eastAsia="es-ES"/>
        </w:rPr>
      </w:pPr>
      <w:bookmarkStart w:id="16" w:name="_Toc226667023"/>
      <w:r>
        <w:rPr>
          <w:rFonts w:ascii="Calibri" w:hAnsi="Calibri" w:cs="Calibri"/>
          <w:b/>
          <w:bCs/>
          <w:color w:val="auto"/>
          <w:sz w:val="24"/>
          <w:szCs w:val="24"/>
          <w:lang w:eastAsia="es-ES"/>
        </w:rPr>
        <w:lastRenderedPageBreak/>
        <w:t>3.2.4 Rechazo interpersonal, pérdida de vínculos y aislamiento social</w:t>
      </w:r>
      <w:bookmarkEnd w:id="16"/>
      <w:r>
        <w:rPr>
          <w:rFonts w:ascii="Calibri" w:hAnsi="Calibri" w:cs="Calibri"/>
          <w:b/>
          <w:bCs/>
          <w:color w:val="auto"/>
          <w:sz w:val="24"/>
          <w:szCs w:val="24"/>
          <w:lang w:eastAsia="es-ES"/>
        </w:rPr>
        <w:t> </w:t>
      </w:r>
    </w:p>
    <w:p w14:paraId="3DE8234D"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eastAsia="es-ES"/>
        </w:rPr>
        <w:t>Otro tema central es el deterioro de las relaciones sociales tras la pérdida. Los supervivientes relatan sufrir conductas discriminatorias, como evitación social, ruptura de relaciones y exclusión en espacios sociales (Sheehan et al., 2016). Por ejemplo, una terapeuta explicó: </w:t>
      </w:r>
      <w:r>
        <w:rPr>
          <w:rFonts w:ascii="Calibri" w:eastAsia="Times New Roman" w:hAnsi="Calibri" w:cs="Calibri"/>
          <w:i/>
          <w:iCs/>
          <w:color w:val="000000"/>
          <w:kern w:val="0"/>
          <w:lang w:eastAsia="es-ES"/>
        </w:rPr>
        <w:t>“En el supermercado, un vecino te ve y se va por otro pasillo… no quieren saber cómo estás” </w:t>
      </w:r>
      <w:r>
        <w:rPr>
          <w:rFonts w:ascii="Calibri" w:eastAsia="Times New Roman" w:hAnsi="Calibri" w:cs="Calibri"/>
          <w:color w:val="000000"/>
          <w:kern w:val="0"/>
          <w:lang w:eastAsia="es-ES"/>
        </w:rPr>
        <w:t>(Sheehan et al., 2016, p. 339). También una madre que perdió a su hijo dijo: </w:t>
      </w:r>
      <w:r>
        <w:rPr>
          <w:rFonts w:ascii="Calibri" w:eastAsia="Times New Roman" w:hAnsi="Calibri" w:cs="Calibri"/>
          <w:i/>
          <w:iCs/>
          <w:color w:val="000000"/>
          <w:kern w:val="0"/>
          <w:lang w:eastAsia="es-ES"/>
        </w:rPr>
        <w:t>“La gente no vino al velatorio ni al funeral de mi hijo” </w:t>
      </w:r>
      <w:r>
        <w:rPr>
          <w:rFonts w:ascii="Calibri" w:eastAsia="Times New Roman" w:hAnsi="Calibri" w:cs="Calibri"/>
          <w:color w:val="000000"/>
          <w:kern w:val="0"/>
          <w:lang w:eastAsia="es-ES"/>
        </w:rPr>
        <w:t>(Sheehan et al., 2016, p. 339). Algunos testimonios reflejan la desaparición de relaciones cercanas tras el suicidio. Por ejemplo, una participante cuyo esposo se suicidó expresó: </w:t>
      </w:r>
      <w:r>
        <w:rPr>
          <w:rFonts w:ascii="Calibri" w:eastAsia="Times New Roman" w:hAnsi="Calibri" w:cs="Calibri"/>
          <w:i/>
          <w:iCs/>
          <w:color w:val="000000"/>
          <w:kern w:val="0"/>
          <w:lang w:eastAsia="es-ES"/>
        </w:rPr>
        <w:t>“Piensas que tienes amigos cercanos y simplemente desaparecen” </w:t>
      </w:r>
      <w:r>
        <w:rPr>
          <w:rFonts w:ascii="Calibri" w:eastAsia="Times New Roman" w:hAnsi="Calibri" w:cs="Calibri"/>
          <w:color w:val="000000"/>
          <w:kern w:val="0"/>
          <w:lang w:eastAsia="es-ES"/>
        </w:rPr>
        <w:t>(Peters et al., 2016, </w:t>
      </w:r>
      <w:r>
        <w:rPr>
          <w:rFonts w:ascii="Calibri" w:eastAsia="Times New Roman" w:hAnsi="Calibri" w:cs="Calibri"/>
          <w:i/>
          <w:iCs/>
          <w:color w:val="000000"/>
          <w:kern w:val="0"/>
          <w:lang w:eastAsia="es-ES"/>
        </w:rPr>
        <w:t>p. 254).</w:t>
      </w:r>
      <w:r>
        <w:rPr>
          <w:rFonts w:ascii="Calibri" w:eastAsia="Times New Roman" w:hAnsi="Calibri" w:cs="Calibri"/>
          <w:color w:val="000000"/>
          <w:kern w:val="0"/>
          <w:lang w:eastAsia="es-ES"/>
        </w:rPr>
        <w:t> </w:t>
      </w:r>
    </w:p>
    <w:p w14:paraId="0D9F0A7B"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eastAsia="es-ES"/>
        </w:rPr>
        <w:t>Por otro lado, la pérdida de energía emocional, junto con la vergüenza social y la búsqueda de evitar conductas discriminatorias, lleva a otras familias a aislarse voluntariamente. Un hombre que perdió a su mujer afirmó de forma directa: </w:t>
      </w:r>
      <w:r>
        <w:rPr>
          <w:rFonts w:ascii="Calibri" w:eastAsia="Times New Roman" w:hAnsi="Calibri" w:cs="Calibri"/>
          <w:i/>
          <w:iCs/>
          <w:color w:val="000000"/>
          <w:kern w:val="0"/>
          <w:lang w:eastAsia="es-ES"/>
        </w:rPr>
        <w:t>“No me reúno con nadie” </w:t>
      </w:r>
      <w:r>
        <w:rPr>
          <w:rFonts w:ascii="Calibri" w:eastAsia="Times New Roman" w:hAnsi="Calibri" w:cs="Calibri"/>
          <w:color w:val="000000"/>
          <w:kern w:val="0"/>
          <w:lang w:eastAsia="es-ES"/>
        </w:rPr>
        <w:t>(Lee, 2022, p. 7). </w:t>
      </w:r>
    </w:p>
    <w:p w14:paraId="2961CB6E"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eastAsia="es-ES"/>
        </w:rPr>
        <w:t>Asimismo, el rechazo social está ligado a la idea de </w:t>
      </w:r>
      <w:r>
        <w:rPr>
          <w:rFonts w:ascii="Calibri" w:eastAsia="Times New Roman" w:hAnsi="Calibri" w:cs="Calibri"/>
          <w:i/>
          <w:iCs/>
          <w:color w:val="000000"/>
          <w:kern w:val="0"/>
          <w:lang w:eastAsia="es-ES"/>
        </w:rPr>
        <w:t>contaminación,</w:t>
      </w:r>
      <w:r>
        <w:rPr>
          <w:rFonts w:ascii="Calibri" w:eastAsia="Times New Roman" w:hAnsi="Calibri" w:cs="Calibri"/>
          <w:color w:val="000000"/>
          <w:kern w:val="0"/>
          <w:lang w:eastAsia="es-ES"/>
        </w:rPr>
        <w:t xml:space="preserve"> según la cual las familias quedan socialmente marcadas por su relación con la persona fallecida (Sheehan et al., 2016). Las familias en duelo temían que otros los percibieran como inestables o con mayor riesgo de suicidio, debido a factores genéticos, al trauma vivido o a la creencia de que el suicidio “mancha” a la familia, llegando incluso a verse como una especie de “maldición generacional” que podría extenderse a otros (Sheehan et al., 2016). Como ejemplo, una madre que había perdido a su hija por suicidio dijo: </w:t>
      </w:r>
      <w:r>
        <w:rPr>
          <w:rFonts w:ascii="Calibri" w:eastAsia="Times New Roman" w:hAnsi="Calibri" w:cs="Calibri"/>
          <w:i/>
          <w:iCs/>
          <w:color w:val="000000"/>
          <w:kern w:val="0"/>
          <w:lang w:eastAsia="es-ES"/>
        </w:rPr>
        <w:t>“Los padres intentaban darnos condolencias, pero parecía que otros padres no querían que yo viera a sus hijas porque podría infectarlas con lo que fuera que tuviera nuestra hija” </w:t>
      </w:r>
      <w:r>
        <w:rPr>
          <w:rFonts w:ascii="Calibri" w:eastAsia="Times New Roman" w:hAnsi="Calibri" w:cs="Calibri"/>
          <w:color w:val="000000"/>
          <w:kern w:val="0"/>
          <w:lang w:eastAsia="es-ES"/>
        </w:rPr>
        <w:t>(Sheehan et al., 2016, p. 337).  </w:t>
      </w:r>
    </w:p>
    <w:p w14:paraId="27C5FE06" w14:textId="77777777" w:rsidR="00CC07FD" w:rsidRDefault="00000000">
      <w:pPr>
        <w:pStyle w:val="Ttulo3"/>
        <w:spacing w:line="360" w:lineRule="auto"/>
        <w:jc w:val="both"/>
        <w:rPr>
          <w:rFonts w:ascii="Calibri" w:hAnsi="Calibri" w:cs="Calibri"/>
          <w:b/>
          <w:bCs/>
          <w:color w:val="auto"/>
          <w:sz w:val="24"/>
          <w:szCs w:val="24"/>
          <w:lang w:eastAsia="es-ES"/>
        </w:rPr>
      </w:pPr>
      <w:bookmarkStart w:id="17" w:name="_Toc226667024"/>
      <w:r>
        <w:rPr>
          <w:rFonts w:ascii="Calibri" w:hAnsi="Calibri" w:cs="Calibri"/>
          <w:b/>
          <w:bCs/>
          <w:color w:val="auto"/>
          <w:sz w:val="24"/>
          <w:szCs w:val="24"/>
          <w:lang w:eastAsia="es-ES"/>
        </w:rPr>
        <w:t>3.2.5 Ocultación del suicidio y silenciamiento emocional</w:t>
      </w:r>
      <w:bookmarkEnd w:id="17"/>
      <w:r>
        <w:rPr>
          <w:rFonts w:ascii="Calibri" w:hAnsi="Calibri" w:cs="Calibri"/>
          <w:b/>
          <w:bCs/>
          <w:color w:val="auto"/>
          <w:sz w:val="24"/>
          <w:szCs w:val="24"/>
          <w:lang w:eastAsia="es-ES"/>
        </w:rPr>
        <w:t> </w:t>
      </w:r>
    </w:p>
    <w:p w14:paraId="71AEF575"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Otro de los fenómenos predominantes asociados al estigma es la ocultación del suicidio y el silenciamiento emocional.  Ambos aparecen estrechamente relacionados, ya que el miedo al juicio social lleva a ocultar información sobre la muerte y a restringir la expresión pública del dolor. </w:t>
      </w:r>
    </w:p>
    <w:p w14:paraId="600B7C11"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eastAsia="es-ES"/>
        </w:rPr>
        <w:lastRenderedPageBreak/>
        <w:t>Los participantes reportaron que se les negaba la oportunidad de hablar sobre su duelo debido al estigma asociado al suicidio y a la incapacidad o falta de disposición de otros para escuchar y responder con sensibilidad, considerando este un tema tabú. Por ejemplo, un testimonio señala:</w:t>
      </w:r>
      <w:r>
        <w:rPr>
          <w:rFonts w:ascii="Calibri" w:eastAsia="Times New Roman" w:hAnsi="Calibri" w:cs="Calibri"/>
          <w:i/>
          <w:iCs/>
          <w:color w:val="000000"/>
          <w:kern w:val="0"/>
          <w:lang w:eastAsia="es-ES"/>
        </w:rPr>
        <w:t> “Me dijeron que lo mantuviera dentro de casa, que nadie de fuera podía enterarse” </w:t>
      </w:r>
      <w:r>
        <w:rPr>
          <w:rFonts w:ascii="Calibri" w:eastAsia="Times New Roman" w:hAnsi="Calibri" w:cs="Calibri"/>
          <w:color w:val="000000"/>
          <w:kern w:val="0"/>
          <w:lang w:eastAsia="es-ES"/>
        </w:rPr>
        <w:t>(Peters et al., 2016, p. 339)</w:t>
      </w:r>
      <w:r>
        <w:rPr>
          <w:rFonts w:ascii="Calibri" w:eastAsia="Times New Roman" w:hAnsi="Calibri" w:cs="Calibri"/>
          <w:i/>
          <w:iCs/>
          <w:color w:val="000000"/>
          <w:kern w:val="0"/>
          <w:lang w:eastAsia="es-ES"/>
        </w:rPr>
        <w:t>.  </w:t>
      </w:r>
      <w:r>
        <w:rPr>
          <w:rFonts w:ascii="Calibri" w:eastAsia="Times New Roman" w:hAnsi="Calibri" w:cs="Calibri"/>
          <w:color w:val="000000"/>
          <w:kern w:val="0"/>
          <w:lang w:eastAsia="es-ES"/>
        </w:rPr>
        <w:t> </w:t>
      </w:r>
    </w:p>
    <w:p w14:paraId="33A38E0A"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Por lo tanto, los supervivientes evitan hablar del suicidio o lo sustituyen por otras explicaciones médicas para proteger la identidad familiar y reducir el riesgo de rechazo social. En algunos casos, los familiares señalaron que se comunicaba que la muerte había sido causada por enfermedades físicas para evitar el estigma social asociado al suicidio. Esta estrategia refleja la percepción social del suicidio como un hecho socialmente vergonzoso o moralmente reprobable (Peters et al., 2016). </w:t>
      </w:r>
    </w:p>
    <w:p w14:paraId="248CE4C2"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 </w:t>
      </w:r>
    </w:p>
    <w:p w14:paraId="4C30B91F" w14:textId="77777777" w:rsidR="00CC07FD" w:rsidRDefault="00000000">
      <w:pPr>
        <w:pStyle w:val="Ttulo2"/>
        <w:spacing w:line="360" w:lineRule="auto"/>
        <w:jc w:val="both"/>
      </w:pPr>
      <w:bookmarkStart w:id="18" w:name="_Toc226667025"/>
      <w:r>
        <w:rPr>
          <w:rFonts w:ascii="Calibri" w:hAnsi="Calibri" w:cs="Calibri"/>
          <w:b/>
          <w:bCs/>
          <w:color w:val="auto"/>
          <w:sz w:val="24"/>
          <w:szCs w:val="24"/>
          <w:lang w:eastAsia="es-ES"/>
        </w:rPr>
        <w:t>3.3 Factores que ayudan</w:t>
      </w:r>
      <w:bookmarkEnd w:id="18"/>
      <w:r>
        <w:rPr>
          <w:rFonts w:ascii="Calibri" w:hAnsi="Calibri" w:cs="Calibri"/>
          <w:b/>
          <w:bCs/>
          <w:color w:val="auto"/>
          <w:sz w:val="24"/>
          <w:szCs w:val="24"/>
          <w:lang w:eastAsia="es-ES"/>
        </w:rPr>
        <w:t> </w:t>
      </w:r>
    </w:p>
    <w:p w14:paraId="043AC184"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 xml:space="preserve">Los participantes identifican estrategias que facilitan la recuperación emocional, las cuales son vividas de forma diferente según las características individuales y el contexto sociocultural de la persona.   </w:t>
      </w:r>
    </w:p>
    <w:p w14:paraId="5D1EA3F7"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En la mayoría de los casos, las estrategias de afrontamiento reflejaban la necesidad de mantener un vínculo con la persona fallecida, como por ejemplo visitar la tumba o a través de su fe y actividades religiosas (Silva de Almeida et al., 2025). </w:t>
      </w:r>
    </w:p>
    <w:p w14:paraId="7B8531B7"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Además, los participantes que recibieron apoyo temprano de familiares, amigos y personas significativas lo consideraron un factor útil en su proceso de duelo. </w:t>
      </w:r>
    </w:p>
    <w:p w14:paraId="3FD12467"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Retomar la vida cotidiana y el trabajo ayudó a algunos supervivientes a recuperar estabilidad emocional. Esto se refleja en declaraciones como </w:t>
      </w:r>
      <w:r>
        <w:rPr>
          <w:rFonts w:ascii="Calibri" w:eastAsia="Times New Roman" w:hAnsi="Calibri" w:cs="Calibri"/>
          <w:i/>
          <w:iCs/>
          <w:color w:val="000000"/>
          <w:kern w:val="0"/>
          <w:lang w:eastAsia="es-ES"/>
        </w:rPr>
        <w:t>“volver a implicarme en mi trabajo… volver a implicarme en la vida…y estar presente en cosas que me gustan mucho hacer, hizo que la vida volviera a ser mejor” </w:t>
      </w:r>
      <w:r>
        <w:rPr>
          <w:rFonts w:ascii="Calibri" w:eastAsia="Times New Roman" w:hAnsi="Calibri" w:cs="Calibri"/>
          <w:color w:val="000000"/>
          <w:kern w:val="0"/>
          <w:lang w:eastAsia="es-ES"/>
        </w:rPr>
        <w:t>(Goulah-Pabst, 2021, p. 782). Esto se relaciona con la teoría de la energía emocional de Collins (1990), señalada en el artículo de Goulah-Pabst (2021), que plantea que la reintegración en actividades sociales y laborales aumenta la solidaridad grupal y la energía emocional, reduciendo la depresión y los sentimientos negativos hacia uno mismo.  </w:t>
      </w:r>
    </w:p>
    <w:p w14:paraId="556E650C"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lastRenderedPageBreak/>
        <w:t>Los supervivientes narran que las estrategias de afrontamiento que más les ayudaron en su duelo</w:t>
      </w:r>
      <w:r>
        <w:rPr>
          <w:rFonts w:ascii="Calibri" w:eastAsia="Times New Roman" w:hAnsi="Calibri" w:cs="Calibri"/>
          <w:color w:val="EE0000"/>
          <w:kern w:val="0"/>
          <w:lang w:eastAsia="es-ES"/>
        </w:rPr>
        <w:t xml:space="preserve"> </w:t>
      </w:r>
      <w:r>
        <w:rPr>
          <w:rFonts w:ascii="Calibri" w:eastAsia="Times New Roman" w:hAnsi="Calibri" w:cs="Calibri"/>
          <w:color w:val="000000"/>
          <w:kern w:val="0"/>
          <w:lang w:eastAsia="es-ES"/>
        </w:rPr>
        <w:t>incluyeron la terapia privada y los grupos de apoyo específicos. La terapia profesional se percibe como fundamental para la recuperación emocional, evidenciada en testimonios como </w:t>
      </w:r>
      <w:r>
        <w:rPr>
          <w:rFonts w:ascii="Calibri" w:eastAsia="Times New Roman" w:hAnsi="Calibri" w:cs="Calibri"/>
          <w:i/>
          <w:iCs/>
          <w:color w:val="000000"/>
          <w:kern w:val="0"/>
          <w:lang w:eastAsia="es-ES"/>
        </w:rPr>
        <w:t>“El terapeuta me salvó la vida” </w:t>
      </w:r>
      <w:r>
        <w:rPr>
          <w:rFonts w:ascii="Calibri" w:eastAsia="Times New Roman" w:hAnsi="Calibri" w:cs="Calibri"/>
          <w:color w:val="000000"/>
          <w:kern w:val="0"/>
          <w:lang w:eastAsia="es-ES"/>
        </w:rPr>
        <w:t>(Goulah-Pabst, 2021, p. 781) o </w:t>
      </w:r>
      <w:r>
        <w:rPr>
          <w:rFonts w:ascii="Calibri" w:eastAsia="Times New Roman" w:hAnsi="Calibri" w:cs="Calibri"/>
          <w:i/>
          <w:iCs/>
          <w:color w:val="000000"/>
          <w:kern w:val="0"/>
          <w:lang w:eastAsia="es-ES"/>
        </w:rPr>
        <w:t>“No creo que hubiera sobrevivido a lo que pasé sin ella” </w:t>
      </w:r>
      <w:r>
        <w:rPr>
          <w:rFonts w:ascii="Calibri" w:eastAsia="Times New Roman" w:hAnsi="Calibri" w:cs="Calibri"/>
          <w:color w:val="000000"/>
          <w:kern w:val="0"/>
          <w:lang w:eastAsia="es-ES"/>
        </w:rPr>
        <w:t>(Goulah-Pabst, 2021, p. 781)</w:t>
      </w:r>
      <w:r>
        <w:rPr>
          <w:rFonts w:ascii="Calibri" w:eastAsia="Times New Roman" w:hAnsi="Calibri" w:cs="Calibri"/>
          <w:i/>
          <w:iCs/>
          <w:color w:val="000000"/>
          <w:kern w:val="0"/>
          <w:lang w:eastAsia="es-ES"/>
        </w:rPr>
        <w:t>, </w:t>
      </w:r>
      <w:r>
        <w:rPr>
          <w:rFonts w:ascii="Calibri" w:eastAsia="Times New Roman" w:hAnsi="Calibri" w:cs="Calibri"/>
          <w:color w:val="000000"/>
          <w:kern w:val="0"/>
          <w:lang w:eastAsia="es-ES"/>
        </w:rPr>
        <w:t>destacando el impacto positivo del apoyo terapéutico de profesionales especializados en el duelo por suicidio.  </w:t>
      </w:r>
    </w:p>
    <w:p w14:paraId="07277134"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Por otro lado, los grupos de apoyo proporcionan un espacio para reducir el estigma y construir una red social. Los participantes valoran poder expresar experiencias y recibir respuestas desde la empatía, validación y </w:t>
      </w:r>
      <w:proofErr w:type="spellStart"/>
      <w:r>
        <w:rPr>
          <w:rFonts w:ascii="Calibri" w:eastAsia="Times New Roman" w:hAnsi="Calibri" w:cs="Calibri"/>
          <w:color w:val="000000"/>
          <w:kern w:val="0"/>
          <w:lang w:eastAsia="es-ES"/>
        </w:rPr>
        <w:t>desestigmatización</w:t>
      </w:r>
      <w:proofErr w:type="spellEnd"/>
      <w:r>
        <w:rPr>
          <w:rFonts w:ascii="Calibri" w:eastAsia="Times New Roman" w:hAnsi="Calibri" w:cs="Calibri"/>
          <w:color w:val="000000"/>
          <w:kern w:val="0"/>
          <w:lang w:eastAsia="es-ES"/>
        </w:rPr>
        <w:t>, reflejado en comentarios como </w:t>
      </w:r>
      <w:r>
        <w:rPr>
          <w:rFonts w:ascii="Calibri" w:eastAsia="Times New Roman" w:hAnsi="Calibri" w:cs="Calibri"/>
          <w:i/>
          <w:iCs/>
          <w:color w:val="000000"/>
          <w:kern w:val="0"/>
          <w:lang w:eastAsia="es-ES"/>
        </w:rPr>
        <w:t>“Participar en el grupo de apoyo… quitó mucha presión”</w:t>
      </w:r>
      <w:r>
        <w:rPr>
          <w:rFonts w:ascii="Calibri" w:eastAsia="Times New Roman" w:hAnsi="Calibri" w:cs="Calibri"/>
          <w:color w:val="000000"/>
          <w:kern w:val="0"/>
          <w:lang w:eastAsia="es-ES"/>
        </w:rPr>
        <w:t> y </w:t>
      </w:r>
      <w:r>
        <w:rPr>
          <w:rFonts w:ascii="Calibri" w:eastAsia="Times New Roman" w:hAnsi="Calibri" w:cs="Calibri"/>
          <w:i/>
          <w:iCs/>
          <w:color w:val="000000"/>
          <w:kern w:val="0"/>
          <w:lang w:eastAsia="es-ES"/>
        </w:rPr>
        <w:t>“podíamos hablar de cosas que nunca podrías hablar con otras personas” </w:t>
      </w:r>
      <w:r>
        <w:rPr>
          <w:rFonts w:ascii="Calibri" w:eastAsia="Times New Roman" w:hAnsi="Calibri" w:cs="Calibri"/>
          <w:color w:val="000000"/>
          <w:kern w:val="0"/>
          <w:lang w:eastAsia="es-ES"/>
        </w:rPr>
        <w:t>(Goulah-Pabst, 2021, p. 782)</w:t>
      </w:r>
      <w:r>
        <w:rPr>
          <w:rFonts w:ascii="Calibri" w:eastAsia="Times New Roman" w:hAnsi="Calibri" w:cs="Calibri"/>
          <w:i/>
          <w:iCs/>
          <w:color w:val="000000"/>
          <w:kern w:val="0"/>
          <w:lang w:eastAsia="es-ES"/>
        </w:rPr>
        <w:t>.</w:t>
      </w:r>
      <w:r>
        <w:rPr>
          <w:rFonts w:ascii="Calibri" w:eastAsia="Times New Roman" w:hAnsi="Calibri" w:cs="Calibri"/>
          <w:color w:val="000000"/>
          <w:kern w:val="0"/>
          <w:lang w:eastAsia="es-ES"/>
        </w:rPr>
        <w:t> </w:t>
      </w:r>
    </w:p>
    <w:p w14:paraId="0F2E8454"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Según Collins (1990), citado en el artículo de Goulah-Pabst (2021), estos grupos fomentan la solidaridad, aumentan la energía emocional y ayudan a reconstruir la identidad desde la aceptación en lugar del estigma. También otorgan un sentido de pertenencia que funciona como un sistema amortiguador frente a la soledad, descrita como consecuencia del suicidio en los familiares en duelo. John reconocía que había explorado “áreas enteras” de su vida que nunca habría imaginado antes de la pérdida, mientras que Roye afirmaba haber conocido “personas maravillosas” gracias a su implicación en estas redes (Goulah-Pabst, 2021, p. 781). </w:t>
      </w:r>
    </w:p>
    <w:p w14:paraId="069732FB" w14:textId="77777777" w:rsidR="00CC07FD" w:rsidRDefault="00CC07FD">
      <w:pPr>
        <w:shd w:val="clear" w:color="auto" w:fill="FFFFFF"/>
        <w:spacing w:after="220" w:line="360" w:lineRule="auto"/>
        <w:ind w:left="-170" w:right="6" w:firstLine="709"/>
        <w:jc w:val="both"/>
        <w:textAlignment w:val="baseline"/>
      </w:pPr>
    </w:p>
    <w:p w14:paraId="718B7DF4" w14:textId="77777777" w:rsidR="00CC07FD" w:rsidRDefault="00000000">
      <w:pPr>
        <w:pStyle w:val="Ttulo2"/>
        <w:spacing w:line="360" w:lineRule="auto"/>
        <w:jc w:val="both"/>
        <w:rPr>
          <w:rFonts w:ascii="Calibri" w:hAnsi="Calibri" w:cs="Calibri"/>
          <w:b/>
          <w:bCs/>
          <w:color w:val="auto"/>
          <w:sz w:val="24"/>
          <w:szCs w:val="24"/>
          <w:lang w:eastAsia="es-ES"/>
        </w:rPr>
      </w:pPr>
      <w:bookmarkStart w:id="19" w:name="_Toc226667026"/>
      <w:r>
        <w:rPr>
          <w:rFonts w:ascii="Calibri" w:hAnsi="Calibri" w:cs="Calibri"/>
          <w:b/>
          <w:bCs/>
          <w:color w:val="auto"/>
          <w:sz w:val="24"/>
          <w:szCs w:val="24"/>
          <w:lang w:eastAsia="es-ES"/>
        </w:rPr>
        <w:t>3.4 Crecimiento postraumático</w:t>
      </w:r>
      <w:bookmarkEnd w:id="19"/>
      <w:r>
        <w:rPr>
          <w:rFonts w:ascii="Calibri" w:hAnsi="Calibri" w:cs="Calibri"/>
          <w:b/>
          <w:bCs/>
          <w:color w:val="auto"/>
          <w:sz w:val="24"/>
          <w:szCs w:val="24"/>
          <w:lang w:eastAsia="es-ES"/>
        </w:rPr>
        <w:t>  </w:t>
      </w:r>
    </w:p>
    <w:p w14:paraId="0F6BF161"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El crecimiento postraumático es un término que describe la capacidad de las personas que han sufrido un trauma de ir más allá de simplemente resistir sus efectos negativos, experimentando cambios positivos a raíz de una experiencia adversa o traumática (Tedeschi &amp; Calhoun, 2004, citado por Lee et al., 2019).</w:t>
      </w:r>
    </w:p>
    <w:p w14:paraId="3B17D3E8"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Lee et al. (2019) identificó tres resultados positivos a partir de los testimonios de los participantes: "Ahora sé cuál es lo más importante en la vida", "Las relaciones cálidas e íntimas importan" y "La búsqueda de significado de los supervivientes de suicidio".</w:t>
      </w:r>
    </w:p>
    <w:p w14:paraId="1C293191" w14:textId="77777777" w:rsidR="00CC07FD" w:rsidRDefault="00000000">
      <w:pPr>
        <w:pStyle w:val="Ttulo3"/>
        <w:spacing w:line="360" w:lineRule="auto"/>
        <w:jc w:val="both"/>
      </w:pPr>
      <w:bookmarkStart w:id="20" w:name="_Toc226667027"/>
      <w:r>
        <w:rPr>
          <w:rFonts w:ascii="Calibri" w:hAnsi="Calibri" w:cs="Calibri"/>
          <w:b/>
          <w:bCs/>
          <w:color w:val="auto"/>
          <w:sz w:val="24"/>
          <w:szCs w:val="24"/>
          <w:lang w:eastAsia="es-ES"/>
        </w:rPr>
        <w:lastRenderedPageBreak/>
        <w:t>3.4.1 El redescubrimiento de lo verdaderamente importante en la vida</w:t>
      </w:r>
      <w:bookmarkEnd w:id="20"/>
    </w:p>
    <w:p w14:paraId="735F49AF"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Uno de los cambios más destacados es la reevaluación de prioridades y valores. El sufrimiento derivado del suicidio lleva a cuestionar metas previamente centradas en el éxito material o el reconocimiento social y remplazarlas por el cuidado de las relaciones y la aceptación de uno mismo (Lee et al., 2019). </w:t>
      </w:r>
    </w:p>
    <w:p w14:paraId="299ABFC1"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Un participante que perdió a su marido expresó con claridad esta transformación: </w:t>
      </w:r>
      <w:r>
        <w:rPr>
          <w:rFonts w:ascii="Calibri" w:eastAsia="Times New Roman" w:hAnsi="Calibri" w:cs="Calibri"/>
          <w:i/>
          <w:iCs/>
          <w:color w:val="000000"/>
          <w:kern w:val="0"/>
          <w:lang w:eastAsia="es-ES"/>
        </w:rPr>
        <w:t>“Cuesta la matrícula más cara, la muerte de un ser querido, para aprender cuál es el valor más importante en la vida. Amar y cuidar a los demás es más importante que cualquier otra cosa” (Lee et al., 2019, p. 423)</w:t>
      </w:r>
      <w:r>
        <w:rPr>
          <w:rFonts w:ascii="Calibri" w:eastAsia="Times New Roman" w:hAnsi="Calibri" w:cs="Calibri"/>
          <w:color w:val="000000"/>
          <w:kern w:val="0"/>
          <w:lang w:eastAsia="es-ES"/>
        </w:rPr>
        <w:t>.  </w:t>
      </w:r>
    </w:p>
    <w:p w14:paraId="30BB0849"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Asimismo, la misma participante extendió esta noción de aceptación a sí misma:</w:t>
      </w:r>
      <w:r>
        <w:rPr>
          <w:rFonts w:ascii="Calibri" w:eastAsia="Times New Roman" w:hAnsi="Calibri" w:cs="Calibri"/>
          <w:i/>
          <w:iCs/>
          <w:color w:val="000000"/>
          <w:kern w:val="0"/>
          <w:lang w:eastAsia="es-ES"/>
        </w:rPr>
        <w:t xml:space="preserve"> "Antes daba prioridad a la ambición y a los logros intelectuales, pero me di cuenta de que es importante respetarme a mí misma tal como soy. Ahora estoy más satisfecha conmigo misma” (Lee et al., 2019, p. 423)</w:t>
      </w:r>
      <w:r>
        <w:rPr>
          <w:rFonts w:ascii="Calibri" w:eastAsia="Times New Roman" w:hAnsi="Calibri" w:cs="Calibri"/>
          <w:color w:val="000000"/>
          <w:kern w:val="0"/>
          <w:lang w:eastAsia="es-ES"/>
        </w:rPr>
        <w:t xml:space="preserve">. </w:t>
      </w:r>
    </w:p>
    <w:p w14:paraId="1239A2B4"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Este cambio de mentalidad pasa a la acción y se traduce en conductas concretas en la vida cotidiana. Un participante relató cómo, tras la muerte de su esposo, decidió priorizar la relación con su hijo: </w:t>
      </w:r>
      <w:r>
        <w:rPr>
          <w:rFonts w:ascii="Calibri" w:eastAsia="Times New Roman" w:hAnsi="Calibri" w:cs="Calibri"/>
          <w:i/>
          <w:iCs/>
          <w:color w:val="000000"/>
          <w:kern w:val="0"/>
          <w:lang w:eastAsia="es-ES"/>
        </w:rPr>
        <w:t>“Antes criticaba a mi hijo, ahora intento comprenderlo y verlo tal como es”</w:t>
      </w:r>
      <w:r>
        <w:rPr>
          <w:rFonts w:ascii="Calibri" w:eastAsia="Times New Roman" w:hAnsi="Calibri" w:cs="Calibri"/>
          <w:color w:val="000000"/>
          <w:kern w:val="0"/>
          <w:lang w:eastAsia="es-ES"/>
        </w:rPr>
        <w:t> </w:t>
      </w:r>
      <w:r>
        <w:rPr>
          <w:rFonts w:ascii="Calibri" w:eastAsia="Times New Roman" w:hAnsi="Calibri" w:cs="Calibri"/>
          <w:i/>
          <w:iCs/>
          <w:color w:val="000000"/>
          <w:kern w:val="0"/>
          <w:lang w:eastAsia="es-ES"/>
        </w:rPr>
        <w:t>(Lee et al., 2019, p. 424).</w:t>
      </w:r>
      <w:r>
        <w:rPr>
          <w:rFonts w:ascii="Calibri" w:eastAsia="Times New Roman" w:hAnsi="Calibri" w:cs="Calibri"/>
          <w:color w:val="000000"/>
          <w:kern w:val="0"/>
          <w:lang w:eastAsia="es-ES"/>
        </w:rPr>
        <w:t> </w:t>
      </w:r>
    </w:p>
    <w:p w14:paraId="4823801F" w14:textId="77777777" w:rsidR="00CC07FD" w:rsidRDefault="00000000">
      <w:pPr>
        <w:pStyle w:val="Ttulo3"/>
        <w:spacing w:line="360" w:lineRule="auto"/>
        <w:jc w:val="both"/>
        <w:rPr>
          <w:rFonts w:ascii="Calibri" w:hAnsi="Calibri" w:cs="Calibri"/>
          <w:b/>
          <w:bCs/>
          <w:color w:val="auto"/>
          <w:sz w:val="24"/>
          <w:szCs w:val="24"/>
          <w:lang w:eastAsia="es-ES"/>
        </w:rPr>
      </w:pPr>
      <w:bookmarkStart w:id="21" w:name="_Toc226667028"/>
      <w:r>
        <w:rPr>
          <w:rFonts w:ascii="Calibri" w:hAnsi="Calibri" w:cs="Calibri"/>
          <w:b/>
          <w:bCs/>
          <w:color w:val="auto"/>
          <w:sz w:val="24"/>
          <w:szCs w:val="24"/>
          <w:lang w:eastAsia="es-ES"/>
        </w:rPr>
        <w:t>3.4.2 El reconocimiento de la importancia de las relaciones cercanas</w:t>
      </w:r>
      <w:bookmarkEnd w:id="21"/>
    </w:p>
    <w:p w14:paraId="14F70FF6"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En estrecha relación con lo anterior, se describe un fortalecimiento de los vínculos con los familiares y personas significativas, fomentando relaciones más cercanas y de apoyo. </w:t>
      </w:r>
    </w:p>
    <w:p w14:paraId="652C1D04"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Otro participante señalaba que, tras el suicidio de su madre, su relación con su esposo se fortaleció: </w:t>
      </w:r>
      <w:r>
        <w:rPr>
          <w:rFonts w:ascii="Calibri" w:eastAsia="Times New Roman" w:hAnsi="Calibri" w:cs="Calibri"/>
          <w:i/>
          <w:iCs/>
          <w:color w:val="000000"/>
          <w:kern w:val="0"/>
          <w:lang w:eastAsia="es-ES"/>
        </w:rPr>
        <w:t>“Nuestra relación siempre fue buena, pero ahora estamos aún más unidos gracias a la pérdida. Es muy importante tener a alguien a quien recurrir” (Lee et al., 2019, p. 425)</w:t>
      </w:r>
      <w:r>
        <w:rPr>
          <w:rFonts w:ascii="Calibri" w:eastAsia="Times New Roman" w:hAnsi="Calibri" w:cs="Calibri"/>
          <w:color w:val="000000"/>
          <w:kern w:val="0"/>
          <w:lang w:eastAsia="es-ES"/>
        </w:rPr>
        <w:t>. Del mismo modo, </w:t>
      </w:r>
      <w:proofErr w:type="spellStart"/>
      <w:r>
        <w:rPr>
          <w:rFonts w:ascii="Calibri" w:eastAsia="Times New Roman" w:hAnsi="Calibri" w:cs="Calibri"/>
          <w:color w:val="000000"/>
          <w:kern w:val="0"/>
          <w:lang w:eastAsia="es-ES"/>
        </w:rPr>
        <w:t>Junghwa</w:t>
      </w:r>
      <w:proofErr w:type="spellEnd"/>
      <w:r>
        <w:rPr>
          <w:rFonts w:ascii="Calibri" w:eastAsia="Times New Roman" w:hAnsi="Calibri" w:cs="Calibri"/>
          <w:color w:val="000000"/>
          <w:kern w:val="0"/>
          <w:lang w:eastAsia="es-ES"/>
        </w:rPr>
        <w:t> destacó el papel fundamental de la paciencia y la ausencia de juicios de su cuñada: </w:t>
      </w:r>
      <w:r>
        <w:rPr>
          <w:rFonts w:ascii="Calibri" w:eastAsia="Times New Roman" w:hAnsi="Calibri" w:cs="Calibri"/>
          <w:i/>
          <w:iCs/>
          <w:color w:val="000000"/>
          <w:kern w:val="0"/>
          <w:lang w:eastAsia="es-ES"/>
        </w:rPr>
        <w:t>“Siempre repetía lo mismo, pero ella escuchaba como si fuera la primera vez… Su amor incondicional y su escucha me ayudaron a sanar” (Lee et al., 2019, p. 425)</w:t>
      </w:r>
      <w:r>
        <w:rPr>
          <w:rFonts w:ascii="Calibri" w:eastAsia="Times New Roman" w:hAnsi="Calibri" w:cs="Calibri"/>
          <w:color w:val="000000"/>
          <w:kern w:val="0"/>
          <w:lang w:eastAsia="es-ES"/>
        </w:rPr>
        <w:t>. </w:t>
      </w:r>
    </w:p>
    <w:p w14:paraId="68621BAF"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lastRenderedPageBreak/>
        <w:t>No obstante, los autores señalan que la falta de apoyo social provoca un daño adicional que se suma al de la pérdida. Sin embargo, cuando el entorno responde con solidaridad y apoyo emocional, los supervivientes lo incorporan como estrategia para afrontar el dolor y priorizan la construcción de vínculos más sólidos con familia y su círculo cercano </w:t>
      </w:r>
      <w:r>
        <w:rPr>
          <w:rFonts w:ascii="Calibri" w:eastAsia="Times New Roman" w:hAnsi="Calibri" w:cs="Calibri"/>
          <w:i/>
          <w:iCs/>
          <w:color w:val="000000"/>
          <w:kern w:val="0"/>
          <w:lang w:eastAsia="es-ES"/>
        </w:rPr>
        <w:t>(Lee et al., 2019)</w:t>
      </w:r>
      <w:r>
        <w:rPr>
          <w:rFonts w:ascii="Calibri" w:eastAsia="Times New Roman" w:hAnsi="Calibri" w:cs="Calibri"/>
          <w:color w:val="000000"/>
          <w:kern w:val="0"/>
          <w:lang w:eastAsia="es-ES"/>
        </w:rPr>
        <w:t>. </w:t>
      </w:r>
    </w:p>
    <w:p w14:paraId="16CD04BC" w14:textId="77777777" w:rsidR="00CC07FD" w:rsidRDefault="00000000">
      <w:pPr>
        <w:pStyle w:val="Ttulo3"/>
        <w:spacing w:line="360" w:lineRule="auto"/>
        <w:jc w:val="both"/>
        <w:rPr>
          <w:rFonts w:ascii="Calibri" w:hAnsi="Calibri" w:cs="Calibri"/>
          <w:b/>
          <w:bCs/>
          <w:color w:val="auto"/>
          <w:sz w:val="24"/>
          <w:szCs w:val="24"/>
          <w:lang w:eastAsia="es-ES"/>
        </w:rPr>
      </w:pPr>
      <w:bookmarkStart w:id="22" w:name="_Toc226667029"/>
      <w:r>
        <w:rPr>
          <w:rFonts w:ascii="Calibri" w:hAnsi="Calibri" w:cs="Calibri"/>
          <w:b/>
          <w:bCs/>
          <w:color w:val="auto"/>
          <w:sz w:val="24"/>
          <w:szCs w:val="24"/>
          <w:lang w:eastAsia="es-ES"/>
        </w:rPr>
        <w:t>3.4.3 La búsqueda de sentido</w:t>
      </w:r>
      <w:bookmarkEnd w:id="22"/>
      <w:r>
        <w:rPr>
          <w:rFonts w:ascii="Calibri" w:hAnsi="Calibri" w:cs="Calibri"/>
          <w:b/>
          <w:bCs/>
          <w:color w:val="auto"/>
          <w:sz w:val="24"/>
          <w:szCs w:val="24"/>
          <w:lang w:eastAsia="es-ES"/>
        </w:rPr>
        <w:t> </w:t>
      </w:r>
    </w:p>
    <w:p w14:paraId="523B52F3"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 Otro eje central del crecimiento postraumático es la búsqueda activa de sentido. Tras la muerte de un familiar por suicidio, los participantes reflexionan sobre el significado de su propia vida y de sus pérdidas, adentrándose en un proceso de búsqueda de sentido que incluye la ayuda a otros y la prevención de suicidios futuros </w:t>
      </w:r>
      <w:r>
        <w:rPr>
          <w:rFonts w:ascii="Calibri" w:eastAsia="Times New Roman" w:hAnsi="Calibri" w:cs="Calibri"/>
          <w:i/>
          <w:iCs/>
          <w:color w:val="000000"/>
          <w:kern w:val="0"/>
          <w:lang w:eastAsia="es-ES"/>
        </w:rPr>
        <w:t>(Lee et al., 2019)</w:t>
      </w:r>
      <w:r>
        <w:rPr>
          <w:rFonts w:ascii="Calibri" w:eastAsia="Times New Roman" w:hAnsi="Calibri" w:cs="Calibri"/>
          <w:color w:val="000000"/>
          <w:kern w:val="0"/>
          <w:lang w:eastAsia="es-ES"/>
        </w:rPr>
        <w:t>.  </w:t>
      </w:r>
    </w:p>
    <w:p w14:paraId="48EA0606"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kern w:val="0"/>
          <w:lang w:eastAsia="es-ES"/>
        </w:rPr>
        <w:t>En primer lugar, la experiencia de haber sido sostenido, especialmente en grupos de apoyo, impulsa a convertirse en sostén para otros, generando una cadena de apoyo que mitiga el estigma y el aislamiento. </w:t>
      </w:r>
      <w:proofErr w:type="spellStart"/>
      <w:r>
        <w:rPr>
          <w:rFonts w:ascii="Calibri" w:eastAsia="Times New Roman" w:hAnsi="Calibri" w:cs="Calibri"/>
          <w:kern w:val="0"/>
          <w:lang w:eastAsia="es-ES"/>
        </w:rPr>
        <w:t>Junghwa</w:t>
      </w:r>
      <w:proofErr w:type="spellEnd"/>
      <w:r>
        <w:rPr>
          <w:rFonts w:ascii="Calibri" w:eastAsia="Times New Roman" w:hAnsi="Calibri" w:cs="Calibri"/>
          <w:kern w:val="0"/>
          <w:lang w:eastAsia="es-ES"/>
        </w:rPr>
        <w:t> explicaba: </w:t>
      </w:r>
      <w:r>
        <w:rPr>
          <w:rFonts w:ascii="Calibri" w:eastAsia="Times New Roman" w:hAnsi="Calibri" w:cs="Calibri"/>
          <w:i/>
          <w:iCs/>
          <w:kern w:val="0"/>
          <w:lang w:eastAsia="es-ES"/>
        </w:rPr>
        <w:t>“Recibí ayuda de otros supervivientes de suicidio… así que quiero ayudar a otros supervivientes” (Lee et al., 2019, p. 427)</w:t>
      </w:r>
      <w:r>
        <w:rPr>
          <w:rFonts w:ascii="Calibri" w:eastAsia="Times New Roman" w:hAnsi="Calibri" w:cs="Calibri"/>
          <w:kern w:val="0"/>
          <w:lang w:eastAsia="es-ES"/>
        </w:rPr>
        <w:t>. Nana, por su parte, afirmaba: </w:t>
      </w:r>
      <w:r>
        <w:rPr>
          <w:rFonts w:ascii="Calibri" w:eastAsia="Times New Roman" w:hAnsi="Calibri" w:cs="Calibri"/>
          <w:i/>
          <w:iCs/>
          <w:kern w:val="0"/>
          <w:lang w:eastAsia="es-ES"/>
        </w:rPr>
        <w:t>“Cuando me siento con recursos para apoyarme a mí misma, me gustaría ayudar a los demás” (Lee et al., 2019, p. 427)</w:t>
      </w:r>
      <w:r>
        <w:rPr>
          <w:rFonts w:ascii="Calibri" w:eastAsia="Times New Roman" w:hAnsi="Calibri" w:cs="Calibri"/>
          <w:kern w:val="0"/>
          <w:lang w:eastAsia="es-ES"/>
        </w:rPr>
        <w:t>. Algunos participantes han llegado a convertirse en líderes activos en grupos de apoyo para la pérdida por suicidio e incluso han fundado sus propias organizaciones sin ánimo de lucro. </w:t>
      </w:r>
    </w:p>
    <w:p w14:paraId="54F5F489"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kern w:val="0"/>
          <w:lang w:eastAsia="es-ES"/>
        </w:rPr>
      </w:pPr>
      <w:r>
        <w:rPr>
          <w:rFonts w:ascii="Calibri" w:eastAsia="Times New Roman" w:hAnsi="Calibri" w:cs="Calibri"/>
          <w:kern w:val="0"/>
          <w:lang w:eastAsia="es-ES"/>
        </w:rPr>
        <w:t>Así, el impacto positivo de ayudar a otros se triplica, facilitando el crecimiento personal y la construcción de significado en torno a la pérdida, convirtiéndose en un medio para el auto perdón y el perdón hacia la persona fallecida y permitiendo la liberación de la culpa y la autoacusación, generando alivio (</w:t>
      </w:r>
      <w:proofErr w:type="spellStart"/>
      <w:r>
        <w:rPr>
          <w:rFonts w:ascii="Calibri" w:eastAsia="Times New Roman" w:hAnsi="Calibri" w:cs="Calibri"/>
          <w:kern w:val="0"/>
          <w:lang w:eastAsia="es-ES"/>
        </w:rPr>
        <w:t>Zavrou</w:t>
      </w:r>
      <w:proofErr w:type="spellEnd"/>
      <w:r>
        <w:rPr>
          <w:rFonts w:ascii="Calibri" w:eastAsia="Times New Roman" w:hAnsi="Calibri" w:cs="Calibri"/>
          <w:kern w:val="0"/>
          <w:lang w:eastAsia="es-ES"/>
        </w:rPr>
        <w:t> et al., 2023). </w:t>
      </w:r>
    </w:p>
    <w:p w14:paraId="7AB31C3C"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kern w:val="0"/>
          <w:lang w:eastAsia="es-ES"/>
        </w:rPr>
      </w:pPr>
      <w:r>
        <w:rPr>
          <w:rFonts w:ascii="Calibri" w:eastAsia="Times New Roman" w:hAnsi="Calibri" w:cs="Calibri"/>
          <w:kern w:val="0"/>
          <w:lang w:eastAsia="es-ES"/>
        </w:rPr>
        <w:t>Por el contrario, quienes no recibieron ningún tipo de apoyo tendieron a desarrollar un duelo disfuncional, aislándose para evitar ser juzgados y avergonzados por los demás y descuidando sus actividades cotidianas, incapaces de aceptar su pérdida (Peters et al., 2016). </w:t>
      </w:r>
    </w:p>
    <w:p w14:paraId="444F1C4A"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En segundo lugar, el sentido también se articula en torno a la responsabilidad hacia las generaciones futuras. Wonbin expresaba que intentaba vivir con mayor alegría por su hijo y por su esposa fallecida: </w:t>
      </w:r>
      <w:r>
        <w:rPr>
          <w:rFonts w:ascii="Calibri" w:eastAsia="Times New Roman" w:hAnsi="Calibri" w:cs="Calibri"/>
          <w:i/>
          <w:iCs/>
          <w:color w:val="000000"/>
          <w:kern w:val="0"/>
          <w:lang w:eastAsia="es-ES"/>
        </w:rPr>
        <w:t xml:space="preserve">“Intento sonreír más y vivir una vida diaria feliz por mi hijo </w:t>
      </w:r>
      <w:r>
        <w:rPr>
          <w:rFonts w:ascii="Calibri" w:eastAsia="Times New Roman" w:hAnsi="Calibri" w:cs="Calibri"/>
          <w:i/>
          <w:iCs/>
          <w:color w:val="000000"/>
          <w:kern w:val="0"/>
          <w:lang w:eastAsia="es-ES"/>
        </w:rPr>
        <w:lastRenderedPageBreak/>
        <w:t>y mi esposa” (Lee et al., 2019, p .428)</w:t>
      </w:r>
      <w:r>
        <w:rPr>
          <w:rFonts w:ascii="Calibri" w:eastAsia="Times New Roman" w:hAnsi="Calibri" w:cs="Calibri"/>
          <w:color w:val="000000"/>
          <w:kern w:val="0"/>
          <w:lang w:eastAsia="es-ES"/>
        </w:rPr>
        <w:t>. </w:t>
      </w:r>
      <w:proofErr w:type="spellStart"/>
      <w:r>
        <w:rPr>
          <w:rFonts w:ascii="Calibri" w:eastAsia="Times New Roman" w:hAnsi="Calibri" w:cs="Calibri"/>
          <w:color w:val="000000"/>
          <w:kern w:val="0"/>
          <w:lang w:eastAsia="es-ES"/>
        </w:rPr>
        <w:t>Junghwa</w:t>
      </w:r>
      <w:proofErr w:type="spellEnd"/>
      <w:r>
        <w:rPr>
          <w:rFonts w:ascii="Calibri" w:eastAsia="Times New Roman" w:hAnsi="Calibri" w:cs="Calibri"/>
          <w:color w:val="000000"/>
          <w:kern w:val="0"/>
          <w:lang w:eastAsia="es-ES"/>
        </w:rPr>
        <w:t>, quien llegó a experimentar ideación suicida, decidió vivir para que el dolor no continuara en su generación: </w:t>
      </w:r>
      <w:r>
        <w:rPr>
          <w:rFonts w:ascii="Calibri" w:eastAsia="Times New Roman" w:hAnsi="Calibri" w:cs="Calibri"/>
          <w:i/>
          <w:iCs/>
          <w:color w:val="000000"/>
          <w:kern w:val="0"/>
          <w:lang w:eastAsia="es-ES"/>
        </w:rPr>
        <w:t>“Resolví vivir para que la vida de mi esposo no fuera en vano y para que el dolor se detuviera en nuestra generación”</w:t>
      </w:r>
      <w:r>
        <w:rPr>
          <w:rFonts w:ascii="Calibri" w:eastAsia="Times New Roman" w:hAnsi="Calibri" w:cs="Calibri"/>
          <w:color w:val="000000"/>
          <w:kern w:val="0"/>
          <w:lang w:eastAsia="es-ES"/>
        </w:rPr>
        <w:t> </w:t>
      </w:r>
      <w:r>
        <w:rPr>
          <w:rFonts w:ascii="Calibri" w:eastAsia="Times New Roman" w:hAnsi="Calibri" w:cs="Calibri"/>
          <w:i/>
          <w:iCs/>
          <w:color w:val="000000"/>
          <w:kern w:val="0"/>
          <w:lang w:eastAsia="es-ES"/>
        </w:rPr>
        <w:t>(Lee et al., 2019, p. 428).</w:t>
      </w:r>
      <w:r>
        <w:rPr>
          <w:rFonts w:ascii="Calibri" w:eastAsia="Times New Roman" w:hAnsi="Calibri" w:cs="Calibri"/>
          <w:color w:val="000000"/>
          <w:kern w:val="0"/>
          <w:lang w:eastAsia="es-ES"/>
        </w:rPr>
        <w:t>  </w:t>
      </w:r>
    </w:p>
    <w:p w14:paraId="29FD0B57" w14:textId="77777777" w:rsidR="00CC07FD" w:rsidRDefault="00CC07FD">
      <w:pPr>
        <w:shd w:val="clear" w:color="auto" w:fill="FFFFFF"/>
        <w:spacing w:after="220" w:line="360" w:lineRule="auto"/>
        <w:ind w:left="-170" w:right="6" w:firstLine="709"/>
        <w:jc w:val="both"/>
        <w:textAlignment w:val="baseline"/>
      </w:pPr>
    </w:p>
    <w:p w14:paraId="6BA8D4E1" w14:textId="77777777" w:rsidR="00CC07FD" w:rsidRDefault="00000000">
      <w:pPr>
        <w:pStyle w:val="Ttulo1"/>
        <w:spacing w:line="360" w:lineRule="auto"/>
        <w:jc w:val="both"/>
      </w:pPr>
      <w:bookmarkStart w:id="23" w:name="_Toc226667030"/>
      <w:r>
        <w:rPr>
          <w:rFonts w:ascii="Calibri" w:hAnsi="Calibri" w:cs="Calibri"/>
          <w:b/>
          <w:bCs/>
          <w:color w:val="auto"/>
          <w:sz w:val="24"/>
          <w:szCs w:val="24"/>
          <w:lang w:eastAsia="es-ES"/>
        </w:rPr>
        <w:t>4. Discusión</w:t>
      </w:r>
      <w:bookmarkEnd w:id="23"/>
      <w:r>
        <w:rPr>
          <w:rFonts w:ascii="Calibri" w:hAnsi="Calibri" w:cs="Calibri"/>
          <w:b/>
          <w:bCs/>
          <w:color w:val="auto"/>
          <w:sz w:val="24"/>
          <w:szCs w:val="24"/>
          <w:lang w:eastAsia="es-ES"/>
        </w:rPr>
        <w:t> </w:t>
      </w:r>
    </w:p>
    <w:p w14:paraId="46FBB87E"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 Uno de los resultados más sólidos de la presente revisión es la relevancia estructural del estigma en la vivencia de los familiares adultos en duelo por suicidio. Este fenómeno emerge como uno de los elementos más recurrentes y, a la vez, más complejos dentro de las narrativas recogidas en la literatura cualitativa especializada.</w:t>
      </w:r>
    </w:p>
    <w:p w14:paraId="41E1A43F"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 xml:space="preserve">El estigma opera en distintos niveles. En el plano interpersonal, se manifiesta en conductas discriminatorias de evitación y ruptura de vínculos, así como la persistencia de mitos tales como la idea del “contagio” o el supuesto “secretismo familiar”. En el plano intrapsíquico, el estigma se internaliza y adopta la forma de </w:t>
      </w:r>
      <w:proofErr w:type="spellStart"/>
      <w:r>
        <w:rPr>
          <w:rFonts w:ascii="Calibri" w:eastAsia="Times New Roman" w:hAnsi="Calibri" w:cs="Calibri"/>
          <w:color w:val="000000"/>
          <w:kern w:val="0"/>
          <w:lang w:eastAsia="es-ES"/>
        </w:rPr>
        <w:t>autoestigma</w:t>
      </w:r>
      <w:proofErr w:type="spellEnd"/>
      <w:r>
        <w:rPr>
          <w:rFonts w:ascii="Calibri" w:eastAsia="Times New Roman" w:hAnsi="Calibri" w:cs="Calibri"/>
          <w:color w:val="000000"/>
          <w:kern w:val="0"/>
          <w:lang w:eastAsia="es-ES"/>
        </w:rPr>
        <w:t>, generando sentimientos de vergüenza, culpabilidad, sensación de fracaso o identidad deteriorada, junto con la presión por mostrarse fuerte y sostener emocionalmente a los demás. Finalmente, en el plano colectivo, puede observarse en respuestas religiosas o comunitarias que refuerzan la idea de transgresión moral, intensificando la vivencia de señalamiento, lo que evidencia su carácter multidimensional y su papel estructurante en la experiencia de duelo (</w:t>
      </w:r>
      <w:proofErr w:type="spellStart"/>
      <w:r>
        <w:rPr>
          <w:rFonts w:ascii="Calibri" w:eastAsia="Times New Roman" w:hAnsi="Calibri" w:cs="Calibri"/>
          <w:color w:val="000000"/>
          <w:kern w:val="0"/>
          <w:lang w:eastAsia="es-ES"/>
        </w:rPr>
        <w:t>Čepulienė</w:t>
      </w:r>
      <w:proofErr w:type="spellEnd"/>
      <w:r>
        <w:rPr>
          <w:rFonts w:ascii="Calibri" w:eastAsia="Times New Roman" w:hAnsi="Calibri" w:cs="Calibri"/>
          <w:color w:val="000000"/>
          <w:kern w:val="0"/>
          <w:lang w:eastAsia="es-ES"/>
        </w:rPr>
        <w:t xml:space="preserve"> et al., 2021; Bottomley et al., 2025).</w:t>
      </w:r>
    </w:p>
    <w:p w14:paraId="0866E300"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Además, el estigma no actúa de forma independiente, sino que atraviesa y condiciona las demás dimensiones identificadas en la revisión: religión, crecimiento postraumático y estrategias de afrontamiento.</w:t>
      </w:r>
    </w:p>
    <w:p w14:paraId="6E1F2FDE"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 xml:space="preserve">En primer lugar, en el ámbito religioso, según los artículos analizados, la fe puede intensificar el estigma cuando el suicidio es interpretado como pecado o transgresión moral, generando conductas de rechazo o apoyo insuficiente por parte de las comunidades religiosas y dificultando compartir la causa de la muerte incluso dentro de este entorno, lo que obstaculiza el acceso a ayuda y agrava el aislamiento y el silencio. Asimismo, pueden surgir conflictos teológicos sobre el destino del ser querido, </w:t>
      </w:r>
      <w:r>
        <w:rPr>
          <w:rFonts w:ascii="Calibri" w:eastAsia="Times New Roman" w:hAnsi="Calibri" w:cs="Calibri"/>
          <w:color w:val="000000"/>
          <w:kern w:val="0"/>
          <w:lang w:eastAsia="es-ES"/>
        </w:rPr>
        <w:lastRenderedPageBreak/>
        <w:t xml:space="preserve">incrementando los sentimientos de culpa y la angustia espiritual (Silva de Almeida et al., 2025). En esta línea, si la comunidad concibe el suicidio como un pecado y mantiene actitudes estigmatizantes, esto desemboca en aislamiento, crisis espirituales y sentimientos de culpa, vergüenza, ira y tristeza; por el contrario, el apoyo religioso puede actuar como amortiguador frente a la </w:t>
      </w:r>
      <w:proofErr w:type="spellStart"/>
      <w:r>
        <w:rPr>
          <w:rFonts w:ascii="Calibri" w:eastAsia="Times New Roman" w:hAnsi="Calibri" w:cs="Calibri"/>
          <w:color w:val="000000"/>
          <w:kern w:val="0"/>
          <w:lang w:eastAsia="es-ES"/>
        </w:rPr>
        <w:t>autoestigmatización</w:t>
      </w:r>
      <w:proofErr w:type="spellEnd"/>
      <w:r>
        <w:rPr>
          <w:rFonts w:ascii="Calibri" w:eastAsia="Times New Roman" w:hAnsi="Calibri" w:cs="Calibri"/>
          <w:color w:val="000000"/>
          <w:kern w:val="0"/>
          <w:lang w:eastAsia="es-ES"/>
        </w:rPr>
        <w:t xml:space="preserve"> y ayudar a superar la tendencia al autoaislamiento (</w:t>
      </w:r>
      <w:proofErr w:type="spellStart"/>
      <w:r>
        <w:rPr>
          <w:rFonts w:ascii="Calibri" w:eastAsia="Times New Roman" w:hAnsi="Calibri" w:cs="Calibri"/>
          <w:color w:val="000000"/>
          <w:kern w:val="0"/>
          <w:lang w:eastAsia="es-ES"/>
        </w:rPr>
        <w:t>Čepulienė</w:t>
      </w:r>
      <w:proofErr w:type="spellEnd"/>
      <w:r>
        <w:rPr>
          <w:rFonts w:ascii="Calibri" w:eastAsia="Times New Roman" w:hAnsi="Calibri" w:cs="Calibri"/>
          <w:color w:val="000000"/>
          <w:kern w:val="0"/>
          <w:lang w:eastAsia="es-ES"/>
        </w:rPr>
        <w:t xml:space="preserve"> et al., 2021).</w:t>
      </w:r>
    </w:p>
    <w:p w14:paraId="3D7C52AE"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 xml:space="preserve">En relación con las estrategias de afrontamiento, las estrategias desadaptativas surgen cuando la persona siente que la sociedad le ha dado la espalda, teme la evaluación social negativa, carece de una red social de apoyo y asume la responsabilidad de la muerte, entrando en una espiral de pensamientos depresivos y </w:t>
      </w:r>
      <w:proofErr w:type="spellStart"/>
      <w:r>
        <w:rPr>
          <w:rFonts w:ascii="Calibri" w:eastAsia="Times New Roman" w:hAnsi="Calibri" w:cs="Calibri"/>
          <w:color w:val="000000"/>
          <w:kern w:val="0"/>
          <w:lang w:eastAsia="es-ES"/>
        </w:rPr>
        <w:t>rumiativos</w:t>
      </w:r>
      <w:proofErr w:type="spellEnd"/>
      <w:r>
        <w:rPr>
          <w:rFonts w:ascii="Calibri" w:eastAsia="Times New Roman" w:hAnsi="Calibri" w:cs="Calibri"/>
          <w:color w:val="000000"/>
          <w:kern w:val="0"/>
          <w:lang w:eastAsia="es-ES"/>
        </w:rPr>
        <w:t xml:space="preserve"> (</w:t>
      </w:r>
      <w:proofErr w:type="spellStart"/>
      <w:r>
        <w:rPr>
          <w:rFonts w:ascii="Calibri" w:eastAsia="Times New Roman" w:hAnsi="Calibri" w:cs="Calibri"/>
          <w:color w:val="000000"/>
          <w:kern w:val="0"/>
          <w:lang w:eastAsia="es-ES"/>
        </w:rPr>
        <w:t>Zavrou</w:t>
      </w:r>
      <w:proofErr w:type="spellEnd"/>
      <w:r>
        <w:rPr>
          <w:rFonts w:ascii="Calibri" w:eastAsia="Times New Roman" w:hAnsi="Calibri" w:cs="Calibri"/>
          <w:color w:val="000000"/>
          <w:kern w:val="0"/>
          <w:lang w:eastAsia="es-ES"/>
        </w:rPr>
        <w:t xml:space="preserve"> et al., 2023). Por el contrario, cuando la persona dispone de espacios sociales como el apoyo social y los grupos de apoyo, la estigmatización pierde peso, facilitando la validación emocional, la reconstrucción identitaria, la reconstrucción de la red social y la deslegitimación de presiones sociales y mitos acerca de los familiares en duelo. Por consiguiente, las personas que participan en grupos de apoyo generalmente muestran una reducción de sentimientos desagradables, un incremento de percepciones positivas y el desarrollo de habilidades adaptativas para resolver problemas en comparación con quienes no recurren a ningún apoyo (Andriessen et al., 2019).</w:t>
      </w:r>
    </w:p>
    <w:p w14:paraId="657CC0F0"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 xml:space="preserve">A partir de los relatos de los participantes, puede inferirse que el mecanismo por el cual los grupos de apoyo reducen el estigma puede explicarse, en primer lugar, a través de su impacto sobre el </w:t>
      </w:r>
      <w:proofErr w:type="spellStart"/>
      <w:r>
        <w:rPr>
          <w:rFonts w:ascii="Calibri" w:eastAsia="Times New Roman" w:hAnsi="Calibri" w:cs="Calibri"/>
          <w:color w:val="000000"/>
          <w:kern w:val="0"/>
          <w:lang w:eastAsia="es-ES"/>
        </w:rPr>
        <w:t>autoestigma</w:t>
      </w:r>
      <w:proofErr w:type="spellEnd"/>
      <w:r>
        <w:rPr>
          <w:rFonts w:ascii="Calibri" w:eastAsia="Times New Roman" w:hAnsi="Calibri" w:cs="Calibri"/>
          <w:color w:val="000000"/>
          <w:kern w:val="0"/>
          <w:lang w:eastAsia="es-ES"/>
        </w:rPr>
        <w:t xml:space="preserve">. Este surge cuando los familiares internalizan los juicios sociales negativos asociados al suicidio. De esta forma, incorporan a su identidad sentimientos de culpa, vergüenza y fracaso, cuestionando reiteradamente qué hicieron o dejaron de hacer. Esta autocrítica se alimenta de un contexto social que busca explicaciones y proyecta responsabilidad hacia la familia. El grupo interviene interrumpiendo ese círculo mediante la empatía, la validación y la normalización, junto con la experiencia compartida. De esta manera, la identidad puede reconstruirse desde la aceptación en lugar del estigma.  De hecho, es descrito por sus miembros un procesamiento del duelo de carácter colectivo que implica humanizar la experiencia del duelo y, posteriormente, afrontar el cuestionamiento y la culpa para avanzar hacia un estado de mayor autocompasión y aceptación. (O’Connell et al., 2024). Sin embargo, la </w:t>
      </w:r>
      <w:r>
        <w:rPr>
          <w:rFonts w:ascii="Calibri" w:eastAsia="Times New Roman" w:hAnsi="Calibri" w:cs="Calibri"/>
          <w:color w:val="000000"/>
          <w:kern w:val="0"/>
          <w:lang w:eastAsia="es-ES"/>
        </w:rPr>
        <w:lastRenderedPageBreak/>
        <w:t>exposición a las experiencias de otras personas puede resultar desafiante en algunos momentos, aunque los participantes señalan que esto no disminuye el valor del grupo, sino que gestionan su participación en función de su estado emocional (O’Connell et al., 2024).</w:t>
      </w:r>
    </w:p>
    <w:p w14:paraId="7E02AE52"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Por otro lado, ante la presión social de parecer fuertes, los grupos de autoayuda ofrecen un espacio seguro donde la vulnerabilidad es legítima en el que expresarse sin temor al juicio moral ni a la incomodidad de los demás. Esto facilita que bajen la guardia, disminuyan la necesidad de proyectar fortaleza y vivan el duelo con mayor libertad, manifestando sus emociones de forma sincera, permitiéndose llorar y confrontar los aspectos más dolorosos de sus pérdidas (Shields et al., 2019).</w:t>
      </w:r>
    </w:p>
    <w:p w14:paraId="47E678A6"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eastAsia="es-ES"/>
        </w:rPr>
        <w:t>Asimismo, los grupos favorecen la reconstrucción identitaria. Frente a una identidad social deteriorada, marcada por etiquetas mencionadas por los participantes como “</w:t>
      </w:r>
      <w:r>
        <w:rPr>
          <w:rFonts w:ascii="Calibri" w:eastAsia="Times New Roman" w:hAnsi="Calibri" w:cs="Calibri"/>
          <w:i/>
          <w:iCs/>
          <w:color w:val="000000"/>
          <w:kern w:val="0"/>
          <w:lang w:eastAsia="es-ES"/>
        </w:rPr>
        <w:t>la chica cuyo esposo se suicidó”</w:t>
      </w:r>
      <w:r>
        <w:rPr>
          <w:rFonts w:ascii="Calibri" w:eastAsia="Times New Roman" w:hAnsi="Calibri" w:cs="Calibri"/>
          <w:color w:val="000000"/>
          <w:kern w:val="0"/>
          <w:lang w:eastAsia="es-ES"/>
        </w:rPr>
        <w:t>, el espacio grupal permite transitar hacia una identidad compartida basada en la resiliencia y la comprensión mutua. Así, la narrativa personal comienza a ampliarse más allá de la causa de la muerte familiar. Las personas que pueden hablar sobre la pérdida por suicidio en contextos con experiencias similares reportan un fortalecimiento de sus recursos de afrontamiento cotidiano, una mayor capacidad para otorgar significado a lo sucedido y una reconstrucción retrospectiva marcada por procesos de autocompasión, disminución de la culpa y resignificación de las recriminaciones personales (Shields et al., 2019).</w:t>
      </w:r>
    </w:p>
    <w:p w14:paraId="6FAF51B1"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Por otro lado, los grupos ayudan a reconstruir las redes sociales deterioradas tras la pérdida. El sentimiento de pertenencia que se genera compensa las pérdidas sociales previas y facilita la cohesión y la solidaridad. En este sentido, algunos participantes describen el grupo de apoyo como una “familia” y destacan el valor de la reciprocidad entre los miembros como promotora de un vínculo de apoyo entre iguales (Urdanivia Kozima, 2019).</w:t>
      </w:r>
    </w:p>
    <w:p w14:paraId="33DDE7E4"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 xml:space="preserve">Finalmente, estos espacios favorecen la ruptura del secretismo, permitiendo hablar abiertamente sobre el suicidio sin eufemismos. Esta oportunidad legitima la experiencia y alivia la carga del silencio familiar, lo que motiva a las familias a buscar estos grupos ante la invalidación emocional de su entorno y la necesidad de compartir su </w:t>
      </w:r>
      <w:r>
        <w:rPr>
          <w:rFonts w:ascii="Calibri" w:eastAsia="Times New Roman" w:hAnsi="Calibri" w:cs="Calibri"/>
          <w:color w:val="000000"/>
          <w:kern w:val="0"/>
          <w:lang w:eastAsia="es-ES"/>
        </w:rPr>
        <w:lastRenderedPageBreak/>
        <w:t>experiencia con personas en situaciones similares. Este deseo se fundamenta en la necesidad de reconocer que no son los únicos que atraviesan esa situación, lo que es un propulsor para integrarse a un grupo que comparta la misma experiencia de pérdida (Urdanivia Kozima, 2019).</w:t>
      </w:r>
    </w:p>
    <w:p w14:paraId="6315E194"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 xml:space="preserve">Además, el apoyo grupal tiene un efecto dinámico. Numerosos testimonios muestran cómo quienes inicialmente reciben ayuda desarrollan posteriormente el deseo de ofrecérsela a otros. Este paso de receptor a agente activo fortalece la autoestima y contribuye al crecimiento postraumático, al convertir la experiencia de pérdida en una fuente de sentido y compromiso. De este modo, el grupo no solo reduce el </w:t>
      </w:r>
      <w:proofErr w:type="spellStart"/>
      <w:r>
        <w:rPr>
          <w:rFonts w:ascii="Calibri" w:eastAsia="Times New Roman" w:hAnsi="Calibri" w:cs="Calibri"/>
          <w:color w:val="000000"/>
          <w:kern w:val="0"/>
          <w:lang w:eastAsia="es-ES"/>
        </w:rPr>
        <w:t>autoestigma</w:t>
      </w:r>
      <w:proofErr w:type="spellEnd"/>
      <w:r>
        <w:rPr>
          <w:rFonts w:ascii="Calibri" w:eastAsia="Times New Roman" w:hAnsi="Calibri" w:cs="Calibri"/>
          <w:color w:val="000000"/>
          <w:kern w:val="0"/>
          <w:lang w:eastAsia="es-ES"/>
        </w:rPr>
        <w:t>, sino que permite que sus miembros salgan fortalecidos y transformados positivamente por la experiencia traumática (Urdanivia Kozima, 2019).</w:t>
      </w:r>
    </w:p>
    <w:p w14:paraId="597BDD1B" w14:textId="77777777" w:rsidR="00CC07FD" w:rsidRDefault="00000000">
      <w:pPr>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 xml:space="preserve">En este sentido, los resultados del presente trabajo evidencian que la posibilidad de crecimiento postraumático parece estar condicionada por la disminución del </w:t>
      </w:r>
      <w:proofErr w:type="spellStart"/>
      <w:r>
        <w:rPr>
          <w:rFonts w:ascii="Calibri" w:eastAsia="Times New Roman" w:hAnsi="Calibri" w:cs="Calibri"/>
          <w:color w:val="000000"/>
          <w:kern w:val="0"/>
          <w:lang w:eastAsia="es-ES"/>
        </w:rPr>
        <w:t>autoestigma</w:t>
      </w:r>
      <w:proofErr w:type="spellEnd"/>
      <w:r>
        <w:rPr>
          <w:rFonts w:ascii="Calibri" w:eastAsia="Times New Roman" w:hAnsi="Calibri" w:cs="Calibri"/>
          <w:color w:val="000000"/>
          <w:kern w:val="0"/>
          <w:lang w:eastAsia="es-ES"/>
        </w:rPr>
        <w:t xml:space="preserve"> y el apoyo recibido. Esto se debe a que el </w:t>
      </w:r>
      <w:proofErr w:type="spellStart"/>
      <w:r>
        <w:rPr>
          <w:rFonts w:ascii="Calibri" w:eastAsia="Times New Roman" w:hAnsi="Calibri" w:cs="Calibri"/>
          <w:color w:val="000000"/>
          <w:kern w:val="0"/>
          <w:lang w:eastAsia="es-ES"/>
        </w:rPr>
        <w:t>autoestigma</w:t>
      </w:r>
      <w:proofErr w:type="spellEnd"/>
      <w:r>
        <w:rPr>
          <w:rFonts w:ascii="Calibri" w:eastAsia="Times New Roman" w:hAnsi="Calibri" w:cs="Calibri"/>
          <w:color w:val="000000"/>
          <w:kern w:val="0"/>
          <w:lang w:eastAsia="es-ES"/>
        </w:rPr>
        <w:t xml:space="preserve"> genera una espiral de pensamientos depresivos que dificulta el afrontamiento adaptativo y la búsqueda de apoyo, principales propulsores del crecimiento postraumático (</w:t>
      </w:r>
      <w:proofErr w:type="spellStart"/>
      <w:r>
        <w:rPr>
          <w:rFonts w:ascii="Calibri" w:eastAsia="Times New Roman" w:hAnsi="Calibri" w:cs="Calibri"/>
          <w:color w:val="000000"/>
          <w:kern w:val="0"/>
          <w:lang w:eastAsia="es-ES"/>
        </w:rPr>
        <w:t>Zavrou</w:t>
      </w:r>
      <w:proofErr w:type="spellEnd"/>
      <w:r>
        <w:rPr>
          <w:rFonts w:ascii="Calibri" w:eastAsia="Times New Roman" w:hAnsi="Calibri" w:cs="Calibri"/>
          <w:color w:val="000000"/>
          <w:kern w:val="0"/>
          <w:lang w:eastAsia="es-ES"/>
        </w:rPr>
        <w:t xml:space="preserve"> et al., 2023). Las tres dimensiones vinculadas al crecimiento postraumático: el redescubrimiento de lo verdaderamente importante en la vida, el reconocimiento de la importancia de las relaciones cercanas y la búsqueda de sentido, no son procesos independientes, sino que se encuentran estrechamente interrelacionadas. Fortalecer relaciones o encontrar sentido se ve obstaculizado cuando la persona sigue atrapada en la vergüenza y el aislamiento (</w:t>
      </w:r>
      <w:proofErr w:type="spellStart"/>
      <w:r>
        <w:rPr>
          <w:rFonts w:ascii="Calibri" w:eastAsia="Times New Roman" w:hAnsi="Calibri" w:cs="Calibri"/>
          <w:color w:val="000000"/>
          <w:kern w:val="0"/>
          <w:lang w:eastAsia="es-ES"/>
        </w:rPr>
        <w:t>Zavrou</w:t>
      </w:r>
      <w:proofErr w:type="spellEnd"/>
      <w:r>
        <w:rPr>
          <w:rFonts w:ascii="Calibri" w:eastAsia="Times New Roman" w:hAnsi="Calibri" w:cs="Calibri"/>
          <w:color w:val="000000"/>
          <w:kern w:val="0"/>
          <w:lang w:eastAsia="es-ES"/>
        </w:rPr>
        <w:t xml:space="preserve"> et al., 2023). En cambio, cuando el estigma pierde fuerza y el dolor puede compartirse, se crean las condiciones necesarias para que el sufrimiento, sin dejar de serlo, pueda transformarse en una experiencia transformadora y, en algunos casos, en una oportunidad de crecimiento postraumático. Por lo tanto, el apoyo social reduce el estigma y promueve sentimientos de conexión y pertenencia, asociándose con niveles más altos de crecimiento postraumático (Creegan et al., 2024), que puede manifestarse en mayor resiliencia personal, reevaluación de prioridades, mejoras en las relaciones, aumento de la compasión y mayor aprecio por la vida (OMS, 2025).</w:t>
      </w:r>
    </w:p>
    <w:p w14:paraId="7FDE35B0" w14:textId="77777777" w:rsidR="00CC07FD" w:rsidRDefault="00000000">
      <w:pPr>
        <w:pStyle w:val="Ttulo1"/>
        <w:spacing w:line="360" w:lineRule="auto"/>
        <w:jc w:val="both"/>
        <w:rPr>
          <w:rFonts w:ascii="Calibri" w:hAnsi="Calibri" w:cs="Calibri"/>
          <w:b/>
          <w:bCs/>
          <w:color w:val="auto"/>
          <w:sz w:val="24"/>
          <w:szCs w:val="24"/>
          <w:lang w:eastAsia="es-ES"/>
        </w:rPr>
      </w:pPr>
      <w:bookmarkStart w:id="24" w:name="_Toc226667031"/>
      <w:r>
        <w:rPr>
          <w:rFonts w:ascii="Calibri" w:hAnsi="Calibri" w:cs="Calibri"/>
          <w:b/>
          <w:bCs/>
          <w:color w:val="auto"/>
          <w:sz w:val="24"/>
          <w:szCs w:val="24"/>
          <w:lang w:eastAsia="es-ES"/>
        </w:rPr>
        <w:lastRenderedPageBreak/>
        <w:t>5. Limitaciones</w:t>
      </w:r>
      <w:bookmarkEnd w:id="24"/>
    </w:p>
    <w:p w14:paraId="0ABE9BD3" w14:textId="77777777" w:rsidR="00CC07FD" w:rsidRDefault="00000000">
      <w:pPr>
        <w:pStyle w:val="Ttulo2"/>
        <w:spacing w:line="360" w:lineRule="auto"/>
        <w:jc w:val="both"/>
      </w:pPr>
      <w:bookmarkStart w:id="25" w:name="_Toc226667032"/>
      <w:r>
        <w:rPr>
          <w:rFonts w:ascii="Calibri" w:hAnsi="Calibri" w:cs="Calibri"/>
          <w:b/>
          <w:bCs/>
          <w:color w:val="auto"/>
          <w:sz w:val="24"/>
          <w:szCs w:val="24"/>
          <w:lang w:eastAsia="es-ES"/>
        </w:rPr>
        <w:t>5.1 Limitaciones de los estudios primarios</w:t>
      </w:r>
      <w:bookmarkEnd w:id="25"/>
      <w:r>
        <w:rPr>
          <w:rFonts w:ascii="Calibri" w:hAnsi="Calibri" w:cs="Calibri"/>
          <w:b/>
          <w:bCs/>
          <w:color w:val="auto"/>
          <w:sz w:val="24"/>
          <w:szCs w:val="24"/>
          <w:lang w:eastAsia="es-ES"/>
        </w:rPr>
        <w:t> </w:t>
      </w:r>
    </w:p>
    <w:p w14:paraId="4D6C9CEE"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El presente trabajo presenta limitaciones derivadas de los propios estudios incluidos en esta revisión. La mayoría emplea muestras reducidas, lo cual es inherente al enfoque cualitativo y permite explorar en profundidad las experiencias de los participantes, pero dificulta la generalización de los resultados. A esto se suma que varias muestras están compuestas predominantemente por mujeres y por personas de contextos occidentales, con tradiciones religiosas principalmente cristianas o budistas, lo que limita la representatividad cultural y sociodemográfica de los hallazgos. </w:t>
      </w:r>
    </w:p>
    <w:p w14:paraId="5ACD47E7"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En lo que respecta a la religiosidad y la espiritualidad, ningún estudio las aborda como eje central, sino como aspectos secundarios, por lo que las conclusiones en este ámbito deben interpretarse con cautela. Algo similar ocurre con el estigma: algunos estudios cuentan con muestras pequeñas y geográficamente acotadas, e incluyeron únicamente a personas cuya pérdida había ocurrido hace al menos dos años, lo que impide conocer las necesidades en la fase aguda del duelo. Además, la variabilidad en el tiempo transcurrido entre la pérdida y la entrevista puede haber influido tanto en la memoria de los participantes como en su forma de narrar la experiencia. </w:t>
      </w:r>
    </w:p>
    <w:p w14:paraId="104C42E9"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También es posible que exista un sesgo de selección, dado que quienes accedieron a participar mostraban con frecuencia una motivación explícita por ayudar a otros supervivientes, lo que podría indicar un mayor grado de elaboración del duelo respecto a quienes no participaron. Por último, se observa una escasez de estudios centrados en figuras familiares concretas, como hermanos o padres, así como una ausencia de diseños longitudinales que permitan analizar cómo evoluciona el proceso de adaptación con el tiempo. </w:t>
      </w:r>
    </w:p>
    <w:p w14:paraId="58AF9DE3" w14:textId="77777777" w:rsidR="00CC07FD" w:rsidRDefault="00000000">
      <w:pPr>
        <w:pStyle w:val="Ttulo2"/>
        <w:spacing w:line="360" w:lineRule="auto"/>
        <w:jc w:val="both"/>
        <w:rPr>
          <w:rFonts w:ascii="Calibri" w:hAnsi="Calibri" w:cs="Calibri"/>
          <w:b/>
          <w:bCs/>
          <w:color w:val="auto"/>
          <w:sz w:val="24"/>
          <w:szCs w:val="24"/>
          <w:lang w:eastAsia="es-ES"/>
        </w:rPr>
      </w:pPr>
      <w:bookmarkStart w:id="26" w:name="_Toc226667033"/>
      <w:r>
        <w:rPr>
          <w:rFonts w:ascii="Calibri" w:hAnsi="Calibri" w:cs="Calibri"/>
          <w:b/>
          <w:bCs/>
          <w:color w:val="auto"/>
          <w:sz w:val="24"/>
          <w:szCs w:val="24"/>
          <w:lang w:eastAsia="es-ES"/>
        </w:rPr>
        <w:t>5.2 Limitaciones propias</w:t>
      </w:r>
      <w:bookmarkEnd w:id="26"/>
      <w:r>
        <w:rPr>
          <w:rFonts w:ascii="Calibri" w:hAnsi="Calibri" w:cs="Calibri"/>
          <w:b/>
          <w:bCs/>
          <w:color w:val="auto"/>
          <w:sz w:val="24"/>
          <w:szCs w:val="24"/>
          <w:lang w:eastAsia="es-ES"/>
        </w:rPr>
        <w:t> </w:t>
      </w:r>
    </w:p>
    <w:p w14:paraId="644904F9"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Este trabajo presenta limitaciones propias que conviene tener en cuenta al interpretar los resultados. En primer lugar, la revisión se limita a artículos publicados en inglés, por lo que es posible que se hayan dejado fuera investigaciones relevantes publicadas en otros idiomas que podrían aportar perspectivas culturales diferentes. </w:t>
      </w:r>
    </w:p>
    <w:p w14:paraId="6050B9CB"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lastRenderedPageBreak/>
        <w:t>Otra limitación que considerar tiene que ver con la base de datos empleada. Restringir la búsqueda a PubMed, aunque resulta adecuado para garantizar la calidad de los artículos recuperados, inevitablemente deja fuera investigaciones indexadas en otras plataformas que podrían haber enriquecido los resultados. En la misma línea, el hecho de haber incluido únicamente estudios cualitativos y revisiones sistemáticas supone renunciar a la información que ofrecen los diseños cuantitativos o de métodos mixtos, los cuales, si bien escapan al enfoque de esta revisión, podrían aportar una visión más completa del fenómeno del duelo tras una pérdida por suicidio. </w:t>
      </w:r>
    </w:p>
    <w:p w14:paraId="13F48BD2"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Respecto a la población de estudio, centrarse exclusivamente en adultos con vínculo familiar directo, incluyendo parejas y cónyuges, deja al margen las vivencias de personas jóvenes que también pueden atravesar un duelo intenso tras el suicidio de un ser querido, así como las de aquellas personas que, sin mantener un lazo de parentesco, mantenían una relación estrecha con el fallecido. Estas experiencias, igualmente válidas y significativas, quedan fuera del alcance de esta revisión. </w:t>
      </w:r>
    </w:p>
    <w:p w14:paraId="27A4C06C"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Finalmente, la decisión de incluir únicamente artículos publicados en revistas científicas, excluyendo tesis doctorales, trabajos de fin de grado o de máster, responde a criterios de rigor metodológico, aunque reconociendo que dicha elección puede haber dejado fuera aportaciones de interés. A esto se suma la ausencia de límite temporal en la búsqueda, que, si bien amplía el volumen de estudios disponibles, introduce una mayor variabilidad entre ellos en cuanto al contexto histórico en el que fueron desarrollados. </w:t>
      </w:r>
    </w:p>
    <w:p w14:paraId="7676AD7F" w14:textId="77777777" w:rsidR="00CC07FD" w:rsidRDefault="00CC07FD">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p>
    <w:p w14:paraId="41EADF2B" w14:textId="77777777" w:rsidR="00CC07FD" w:rsidRDefault="00000000">
      <w:pPr>
        <w:pStyle w:val="Ttulo1"/>
        <w:spacing w:line="360" w:lineRule="auto"/>
        <w:jc w:val="both"/>
      </w:pPr>
      <w:bookmarkStart w:id="27" w:name="_Toc226667034"/>
      <w:r>
        <w:rPr>
          <w:rFonts w:ascii="Calibri" w:hAnsi="Calibri" w:cs="Calibri"/>
          <w:b/>
          <w:bCs/>
          <w:color w:val="auto"/>
          <w:sz w:val="24"/>
          <w:szCs w:val="24"/>
          <w:lang w:eastAsia="es-ES"/>
        </w:rPr>
        <w:t>6. Futuras líneas de investigación</w:t>
      </w:r>
      <w:bookmarkEnd w:id="27"/>
      <w:r>
        <w:rPr>
          <w:rFonts w:ascii="Calibri" w:hAnsi="Calibri" w:cs="Calibri"/>
          <w:b/>
          <w:bCs/>
          <w:color w:val="auto"/>
          <w:sz w:val="24"/>
          <w:szCs w:val="24"/>
          <w:lang w:eastAsia="es-ES"/>
        </w:rPr>
        <w:t> </w:t>
      </w:r>
    </w:p>
    <w:p w14:paraId="6A803C2D" w14:textId="77777777" w:rsidR="00CC07FD" w:rsidRDefault="00000000">
      <w:pPr>
        <w:pStyle w:val="Ttulo2"/>
        <w:spacing w:line="360" w:lineRule="auto"/>
        <w:jc w:val="both"/>
        <w:rPr>
          <w:rFonts w:ascii="Calibri" w:hAnsi="Calibri" w:cs="Calibri"/>
          <w:b/>
          <w:bCs/>
          <w:color w:val="auto"/>
          <w:sz w:val="24"/>
          <w:szCs w:val="24"/>
          <w:lang w:eastAsia="es-ES"/>
        </w:rPr>
      </w:pPr>
      <w:bookmarkStart w:id="28" w:name="_Toc226667035"/>
      <w:r>
        <w:rPr>
          <w:rFonts w:ascii="Calibri" w:hAnsi="Calibri" w:cs="Calibri"/>
          <w:b/>
          <w:bCs/>
          <w:color w:val="auto"/>
          <w:sz w:val="24"/>
          <w:szCs w:val="24"/>
          <w:lang w:eastAsia="es-ES"/>
        </w:rPr>
        <w:t>6.1 Perspectiva de género</w:t>
      </w:r>
      <w:bookmarkEnd w:id="28"/>
      <w:r>
        <w:rPr>
          <w:rFonts w:ascii="Calibri" w:hAnsi="Calibri" w:cs="Calibri"/>
          <w:b/>
          <w:bCs/>
          <w:color w:val="auto"/>
          <w:sz w:val="24"/>
          <w:szCs w:val="24"/>
          <w:lang w:eastAsia="es-ES"/>
        </w:rPr>
        <w:t xml:space="preserve">  </w:t>
      </w:r>
    </w:p>
    <w:p w14:paraId="54917618"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Otro aspecto que requiere mayor exploración es el papel del género en la presión social para proyectar fortaleza tras el suicidio de un familiar. En la investigación revisada, un tema predominante es que, incluso en situaciones de duelo profundo, persiste una expectativa implícita de sostener emocionalmente a otros miembros de la familia. Esta exigencia podría estar estrechamente vinculada a la internalización de roles de género presentes en el contexto familiar. </w:t>
      </w:r>
    </w:p>
    <w:p w14:paraId="6B6C5833"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lastRenderedPageBreak/>
        <w:t xml:space="preserve">En esta línea, la propia composición de las muestras analizadas apunta en esa dirección. Tal y como se recoge en la Tabla 1, se observa un claro predominio de participantes mujeres frente a hombres (por ejemplo, en el estudio de </w:t>
      </w:r>
      <w:proofErr w:type="spellStart"/>
      <w:r>
        <w:rPr>
          <w:rFonts w:ascii="Calibri" w:eastAsia="Times New Roman" w:hAnsi="Calibri" w:cs="Calibri"/>
          <w:color w:val="000000"/>
          <w:kern w:val="0"/>
          <w:lang w:eastAsia="es-ES"/>
        </w:rPr>
        <w:t>Zavrou</w:t>
      </w:r>
      <w:proofErr w:type="spellEnd"/>
      <w:r>
        <w:rPr>
          <w:rFonts w:ascii="Calibri" w:eastAsia="Times New Roman" w:hAnsi="Calibri" w:cs="Calibri"/>
          <w:color w:val="000000"/>
          <w:kern w:val="0"/>
          <w:lang w:eastAsia="es-ES"/>
        </w:rPr>
        <w:t xml:space="preserve"> et al. se incluyen aproximadamente 187 mujeres frente a 58 hombres, y en el de Silva de Almeida et al. alrededor de 2.080 mujeres frente a 159 hombres), lo que sugiere que gran parte del conocimiento disponible se construye principalmente a partir de experiencias femeninas. Este desequilibrio no solo limita la representatividad de los resultados, sino que también puede estar influyendo en los temas que emergen con mayor fuerza, como el cuidado de los demás o la asunción de responsabilidades emocionales dentro de la familia.</w:t>
      </w:r>
    </w:p>
    <w:p w14:paraId="3680826E"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En este sentido, futuras investigaciones de carácter cualitativo</w:t>
      </w:r>
      <w:r>
        <w:rPr>
          <w:rFonts w:ascii="Calibri" w:eastAsia="Times New Roman" w:hAnsi="Calibri" w:cs="Calibri"/>
          <w:b/>
          <w:bCs/>
          <w:color w:val="000000"/>
          <w:kern w:val="0"/>
          <w:lang w:eastAsia="es-ES"/>
        </w:rPr>
        <w:t> </w:t>
      </w:r>
      <w:r>
        <w:rPr>
          <w:rFonts w:ascii="Calibri" w:eastAsia="Times New Roman" w:hAnsi="Calibri" w:cs="Calibri"/>
          <w:color w:val="000000"/>
          <w:kern w:val="0"/>
          <w:lang w:eastAsia="es-ES"/>
        </w:rPr>
        <w:t>en esta área podrían analizar la conexión entre este fenómeno y los procesos de socialización diferencial de género en hombres y mujeres. Por ejemplo, se podría explorar si sobre los hombres recae la expectativa de mantener una imagen de autocontención y estabilidad; y,  paralelamente, si en las mujeres, en línea con el rol tradicional de cuidadoras, se refuerza la prioridad del bienestar de los demás sobre el suyo propio, como sugieren Gordon y McElvaney (2022), quienes destacan que las mujeres en duelo por el suicidio de un familiar masculino a menudo enfrentan la necesidad de equilibrar el cuidado de los demás con sus propias necesidades de apoyo. </w:t>
      </w:r>
    </w:p>
    <w:p w14:paraId="7B1890FF"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Asimismo, en la literatura revisada, los testimonios relativos al rol familiar de protección corresponden exclusivamente a mujeres, lo que constituye una limitación señalada también en el estudio de Gordon y McElvaney (2022), por lo que resultaría especialmente relevante profundizar en la experiencia de los hombres también, para comprobar si este patrón se reproduce o no, y analizar qué diferencias emergen en función del género. </w:t>
      </w:r>
    </w:p>
    <w:p w14:paraId="787F7B12"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Esta línea de investigación podría contribuir al diseño de intervenciones sensibles al género que tengan en cuenta cómo las normas y expectativas influyen en el proceso personal de duelo y en la dinámica familiar tras la pérdida. </w:t>
      </w:r>
    </w:p>
    <w:p w14:paraId="4DA16C3B" w14:textId="77777777" w:rsidR="00CC07FD" w:rsidRDefault="00000000">
      <w:pPr>
        <w:pStyle w:val="Ttulo2"/>
        <w:spacing w:line="360" w:lineRule="auto"/>
        <w:jc w:val="both"/>
        <w:rPr>
          <w:rFonts w:ascii="Calibri" w:hAnsi="Calibri" w:cs="Calibri"/>
          <w:b/>
          <w:bCs/>
          <w:color w:val="auto"/>
          <w:sz w:val="24"/>
          <w:szCs w:val="24"/>
          <w:lang w:eastAsia="es-ES"/>
        </w:rPr>
      </w:pPr>
      <w:bookmarkStart w:id="29" w:name="_Toc226667036"/>
      <w:r>
        <w:rPr>
          <w:rFonts w:ascii="Calibri" w:hAnsi="Calibri" w:cs="Calibri"/>
          <w:b/>
          <w:bCs/>
          <w:color w:val="auto"/>
          <w:sz w:val="24"/>
          <w:szCs w:val="24"/>
          <w:lang w:eastAsia="es-ES"/>
        </w:rPr>
        <w:lastRenderedPageBreak/>
        <w:t>6.2 Religión</w:t>
      </w:r>
      <w:bookmarkEnd w:id="29"/>
      <w:r>
        <w:rPr>
          <w:rFonts w:ascii="Calibri" w:hAnsi="Calibri" w:cs="Calibri"/>
          <w:b/>
          <w:bCs/>
          <w:color w:val="auto"/>
          <w:sz w:val="24"/>
          <w:szCs w:val="24"/>
          <w:lang w:eastAsia="es-ES"/>
        </w:rPr>
        <w:t> </w:t>
      </w:r>
    </w:p>
    <w:p w14:paraId="44C1F5AA"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Otra posible</w:t>
      </w:r>
      <w:r>
        <w:rPr>
          <w:rFonts w:ascii="Calibri" w:eastAsia="Times New Roman" w:hAnsi="Calibri" w:cs="Calibri"/>
          <w:b/>
          <w:bCs/>
          <w:color w:val="000000"/>
          <w:kern w:val="0"/>
          <w:lang w:eastAsia="es-ES"/>
        </w:rPr>
        <w:t> </w:t>
      </w:r>
      <w:r>
        <w:rPr>
          <w:rFonts w:ascii="Calibri" w:eastAsia="Times New Roman" w:hAnsi="Calibri" w:cs="Calibri"/>
          <w:color w:val="000000"/>
          <w:kern w:val="0"/>
          <w:lang w:eastAsia="es-ES"/>
        </w:rPr>
        <w:t>propuesta de estudio cualitativo</w:t>
      </w:r>
      <w:r>
        <w:rPr>
          <w:rFonts w:ascii="Calibri" w:eastAsia="Times New Roman" w:hAnsi="Calibri" w:cs="Calibri"/>
          <w:b/>
          <w:bCs/>
          <w:color w:val="000000"/>
          <w:kern w:val="0"/>
          <w:lang w:eastAsia="es-ES"/>
        </w:rPr>
        <w:t> </w:t>
      </w:r>
      <w:r>
        <w:rPr>
          <w:rFonts w:ascii="Calibri" w:eastAsia="Times New Roman" w:hAnsi="Calibri" w:cs="Calibri"/>
          <w:color w:val="000000"/>
          <w:kern w:val="0"/>
          <w:lang w:eastAsia="es-ES"/>
        </w:rPr>
        <w:t>podría ser cómo cada religión interpreta el suicidio y de qué manera esa interpretación moldea la experiencia subjetiva del duelo en los familiares supervivientes y el apoyo recibido. El presente trabajo ha reflejado que la religiosidad puede actuar tanto como factor protector como fuente de malestar adicional, y esta dualidad debe entenderse junto al contenido teológico concreto de cada fe, lo cual también ha sido observado por </w:t>
      </w:r>
      <w:proofErr w:type="spellStart"/>
      <w:r>
        <w:rPr>
          <w:rFonts w:ascii="Calibri" w:eastAsia="Times New Roman" w:hAnsi="Calibri" w:cs="Calibri"/>
          <w:color w:val="000000"/>
          <w:kern w:val="0"/>
          <w:lang w:eastAsia="es-ES"/>
        </w:rPr>
        <w:t>Čepulienė</w:t>
      </w:r>
      <w:proofErr w:type="spellEnd"/>
      <w:r>
        <w:rPr>
          <w:rFonts w:ascii="Calibri" w:eastAsia="Times New Roman" w:hAnsi="Calibri" w:cs="Calibri"/>
          <w:color w:val="000000"/>
          <w:kern w:val="0"/>
          <w:lang w:eastAsia="es-ES"/>
        </w:rPr>
        <w:t> et al. (2021). </w:t>
      </w:r>
    </w:p>
    <w:p w14:paraId="5FFA599E"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La proposición consistiría en estudiar como cada religión concibe el suicidio, si como un pecado o un acto moralmente reprobable, o si, por el contrario, no es interpretado de forma negativa, como se ha visto en testimonios de miembros de la comunidad budista, que lo interpreta como el abandono del propio cuerpo para trascender el sufrimiento. </w:t>
      </w:r>
    </w:p>
    <w:p w14:paraId="224CDA97"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Como se ha señalado anteriormente, esta diferencia doctrinal tiene implicaciones directas sobre aspectos como la preocupación por el destino del alma del ser querido, la disposición a hablar abiertamente de la causa de la muerte dentro de la propia comunidad religiosa y el grado en que la institución religiosa refuerza el estigma o, por el contrario, ofrece un marco de comprensión que facilita el duelo. </w:t>
      </w:r>
    </w:p>
    <w:p w14:paraId="796AA4AD" w14:textId="77777777" w:rsidR="00CC07FD" w:rsidRDefault="00CC07FD">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p>
    <w:p w14:paraId="0B3C682D" w14:textId="77777777" w:rsidR="00CC07FD" w:rsidRDefault="00000000">
      <w:pPr>
        <w:pStyle w:val="Ttulo1"/>
        <w:spacing w:line="360" w:lineRule="auto"/>
        <w:jc w:val="both"/>
      </w:pPr>
      <w:bookmarkStart w:id="30" w:name="_Toc226667037"/>
      <w:r>
        <w:rPr>
          <w:rFonts w:ascii="Calibri" w:hAnsi="Calibri" w:cs="Calibri"/>
          <w:b/>
          <w:bCs/>
          <w:color w:val="auto"/>
          <w:sz w:val="24"/>
          <w:szCs w:val="24"/>
          <w:lang w:eastAsia="es-ES"/>
        </w:rPr>
        <w:t>7. Formas de intervención</w:t>
      </w:r>
      <w:bookmarkEnd w:id="30"/>
      <w:r>
        <w:rPr>
          <w:rFonts w:ascii="Calibri" w:hAnsi="Calibri" w:cs="Calibri"/>
          <w:b/>
          <w:bCs/>
          <w:color w:val="auto"/>
          <w:sz w:val="24"/>
          <w:szCs w:val="24"/>
          <w:lang w:eastAsia="es-ES"/>
        </w:rPr>
        <w:t> </w:t>
      </w:r>
    </w:p>
    <w:p w14:paraId="27754C68" w14:textId="77777777" w:rsidR="00CC07FD" w:rsidRDefault="00000000">
      <w:pPr>
        <w:pStyle w:val="Ttulo2"/>
        <w:spacing w:line="360" w:lineRule="auto"/>
        <w:jc w:val="both"/>
      </w:pPr>
      <w:bookmarkStart w:id="31" w:name="_Toc226667038"/>
      <w:r>
        <w:rPr>
          <w:rFonts w:ascii="Calibri" w:hAnsi="Calibri" w:cs="Calibri"/>
          <w:b/>
          <w:bCs/>
          <w:color w:val="auto"/>
          <w:sz w:val="24"/>
          <w:szCs w:val="24"/>
          <w:lang w:eastAsia="es-ES"/>
        </w:rPr>
        <w:t>7.1 Fortalecimiento de grupos de apoyo específicos</w:t>
      </w:r>
      <w:bookmarkEnd w:id="31"/>
      <w:r>
        <w:rPr>
          <w:rFonts w:ascii="Calibri" w:hAnsi="Calibri" w:cs="Calibri"/>
          <w:b/>
          <w:bCs/>
          <w:color w:val="auto"/>
          <w:sz w:val="24"/>
          <w:szCs w:val="24"/>
          <w:lang w:eastAsia="es-ES"/>
        </w:rPr>
        <w:t> </w:t>
      </w:r>
    </w:p>
    <w:p w14:paraId="5A010540"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Los estudios analizados evidencian la efectividad de los grupos de apoyo entre iguales en el proceso de duelo, e incluso en el fomento del crecimiento postraumático. Estos espacios, libres de estigma, permiten a los participantes expresarse sin miedo al juicio, ser validados y recibir un acompañamiento empático. Además, rompen el aislamiento al crear una red social y un sentido de pertenencia.  </w:t>
      </w:r>
    </w:p>
    <w:p w14:paraId="74334F6C"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 xml:space="preserve">Por ello, impulsar la creación de más grupos de apoyo específicos para supervivientes de suicidio, tanto en el ámbito público como en colaboración con asociaciones, garantizaría su acceso a todos sin que los recursos económicos supusieran </w:t>
      </w:r>
      <w:r>
        <w:rPr>
          <w:rFonts w:ascii="Calibri" w:eastAsia="Times New Roman" w:hAnsi="Calibri" w:cs="Calibri"/>
          <w:color w:val="000000"/>
          <w:kern w:val="0"/>
          <w:lang w:eastAsia="es-ES"/>
        </w:rPr>
        <w:lastRenderedPageBreak/>
        <w:t>un impedimento. Estos espacios deberían estar coordinados por profesionales formados, pero dando protagonismo a la experiencia compartida.  </w:t>
      </w:r>
    </w:p>
    <w:p w14:paraId="6F7AE701"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Finalmente, considerando los posibles obstáculos que podrían dificultar el acceso, como las barreras geográficas o personales, se podrían incluir modalidades online para personas que viven en zonas rurales o que no se sienten preparadas para asistir presencialmente. Asimismo, para facilitar su conocimiento y participación, se podrían implementar diversas estrategias de difusión, tales como campañas en redes sociales, colaboración con centros de salud y profesionales que puedan derivar a los interesados, inclusión en páginas web especializadas, y alianzas con asociaciones y comunidades locales para llegar a quienes más lo necesitan. </w:t>
      </w:r>
    </w:p>
    <w:p w14:paraId="58FD0C78"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La efectividad de los grupos online ha sido demostrada en el estudio de O’Connell et al. (2024), quienes consideraron esta modalidad como una forma de aumentar el acceso a los grupos. Aunque los grupos presenciales fueron percibidos como superiores en términos de conexión y de la atmósfera generada en la sala, otros participantes destacaron que la modalidad online les permitió unirse más rápido y con menor inseguridad. Asimismo, señalaron que los grupos online facilitaban la participación de personas de otras áreas geográficas, quienes de otro modo no habrían tenido acceso. </w:t>
      </w:r>
    </w:p>
    <w:p w14:paraId="7ED44237" w14:textId="77777777" w:rsidR="00CC07FD" w:rsidRDefault="00000000">
      <w:pPr>
        <w:pStyle w:val="Ttulo2"/>
        <w:spacing w:line="360" w:lineRule="auto"/>
        <w:jc w:val="both"/>
        <w:rPr>
          <w:rFonts w:ascii="Calibri" w:hAnsi="Calibri" w:cs="Calibri"/>
          <w:b/>
          <w:bCs/>
          <w:color w:val="auto"/>
          <w:sz w:val="24"/>
          <w:szCs w:val="24"/>
          <w:lang w:eastAsia="es-ES"/>
        </w:rPr>
      </w:pPr>
      <w:bookmarkStart w:id="32" w:name="_Toc226667039"/>
      <w:r>
        <w:rPr>
          <w:rFonts w:ascii="Calibri" w:hAnsi="Calibri" w:cs="Calibri"/>
          <w:b/>
          <w:bCs/>
          <w:color w:val="auto"/>
          <w:sz w:val="24"/>
          <w:szCs w:val="24"/>
          <w:lang w:eastAsia="es-ES"/>
        </w:rPr>
        <w:t>7.2 Papel de la sociedad: campañas de sensibilización</w:t>
      </w:r>
      <w:bookmarkEnd w:id="32"/>
      <w:r>
        <w:rPr>
          <w:rFonts w:ascii="Calibri" w:hAnsi="Calibri" w:cs="Calibri"/>
          <w:b/>
          <w:bCs/>
          <w:color w:val="auto"/>
          <w:sz w:val="24"/>
          <w:szCs w:val="24"/>
          <w:lang w:eastAsia="es-ES"/>
        </w:rPr>
        <w:t> </w:t>
      </w:r>
    </w:p>
    <w:p w14:paraId="2FFD2407"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El estigma aparece como uno de los factores que más intensifican el sufrimiento de las familias. Esto se manifiesta mediante comentarios inapropiados, evitación social, mitos como el “contagio” o el “secretismo familiar” o la atribución de la responsabilidad del suicidio, generando un dolor añadido al proceso personal de duelo. Por lo tanto, es necesario que una estrategia de prevención del estigma social incluya acciones dirigidas a la sociedad en general. </w:t>
      </w:r>
    </w:p>
    <w:p w14:paraId="1D5BF7B0" w14:textId="77777777" w:rsidR="00CC07FD" w:rsidRDefault="00000000">
      <w:pPr>
        <w:shd w:val="clear" w:color="auto" w:fill="FFFFFF"/>
        <w:spacing w:after="220" w:line="360" w:lineRule="auto"/>
        <w:ind w:left="-170" w:right="6" w:firstLine="709"/>
        <w:jc w:val="both"/>
        <w:textAlignment w:val="baseline"/>
      </w:pPr>
      <w:r>
        <w:rPr>
          <w:rFonts w:ascii="Calibri" w:eastAsia="Times New Roman" w:hAnsi="Calibri" w:cs="Calibri"/>
          <w:color w:val="000000"/>
          <w:kern w:val="0"/>
          <w:lang w:eastAsia="es-ES"/>
        </w:rPr>
        <w:t>Para ello, resulta fundamental promover campañas de sensibilización que expliquen qué implica el duelo por suicidio, desmonten falsas creencias y fomenten respuestas más empáticas. Dichas campañas podrían desarrollarse en medios de comunicación, redes sociales, centros educativos y espacios comunitarios. Un ejemplo de este tipo de iniciativas es la campaña </w:t>
      </w:r>
      <w:r>
        <w:rPr>
          <w:rFonts w:ascii="Calibri" w:eastAsia="Times New Roman" w:hAnsi="Calibri" w:cs="Calibri"/>
          <w:i/>
          <w:iCs/>
          <w:color w:val="000000"/>
          <w:kern w:val="0"/>
          <w:lang w:eastAsia="es-ES"/>
        </w:rPr>
        <w:t>Creando esperanza a través de la acción</w:t>
      </w:r>
      <w:r>
        <w:rPr>
          <w:rFonts w:ascii="Calibri" w:eastAsia="Times New Roman" w:hAnsi="Calibri" w:cs="Calibri"/>
          <w:color w:val="000000"/>
          <w:kern w:val="0"/>
          <w:lang w:eastAsia="es-ES"/>
        </w:rPr>
        <w:t xml:space="preserve">, promovida en el marco del Día Mundial para la Prevención del Suicidio, cuyo objetivo es aumentar la </w:t>
      </w:r>
      <w:r>
        <w:rPr>
          <w:rFonts w:ascii="Calibri" w:eastAsia="Times New Roman" w:hAnsi="Calibri" w:cs="Calibri"/>
          <w:color w:val="000000"/>
          <w:kern w:val="0"/>
          <w:lang w:eastAsia="es-ES"/>
        </w:rPr>
        <w:lastRenderedPageBreak/>
        <w:t>conciencia social sobre el suicidio, reducir el estigma y promover conductas de apoyo hacia las personas afectadas (International </w:t>
      </w:r>
      <w:proofErr w:type="spellStart"/>
      <w:r>
        <w:rPr>
          <w:rFonts w:ascii="Calibri" w:eastAsia="Times New Roman" w:hAnsi="Calibri" w:cs="Calibri"/>
          <w:color w:val="000000"/>
          <w:kern w:val="0"/>
          <w:lang w:eastAsia="es-ES"/>
        </w:rPr>
        <w:t>Association</w:t>
      </w:r>
      <w:proofErr w:type="spellEnd"/>
      <w:r>
        <w:rPr>
          <w:rFonts w:ascii="Calibri" w:eastAsia="Times New Roman" w:hAnsi="Calibri" w:cs="Calibri"/>
          <w:color w:val="000000"/>
          <w:kern w:val="0"/>
          <w:lang w:eastAsia="es-ES"/>
        </w:rPr>
        <w:t> </w:t>
      </w:r>
      <w:proofErr w:type="spellStart"/>
      <w:r>
        <w:rPr>
          <w:rFonts w:ascii="Calibri" w:eastAsia="Times New Roman" w:hAnsi="Calibri" w:cs="Calibri"/>
          <w:color w:val="000000"/>
          <w:kern w:val="0"/>
          <w:lang w:eastAsia="es-ES"/>
        </w:rPr>
        <w:t>for</w:t>
      </w:r>
      <w:proofErr w:type="spellEnd"/>
      <w:r>
        <w:rPr>
          <w:rFonts w:ascii="Calibri" w:eastAsia="Times New Roman" w:hAnsi="Calibri" w:cs="Calibri"/>
          <w:color w:val="000000"/>
          <w:kern w:val="0"/>
          <w:lang w:eastAsia="es-ES"/>
        </w:rPr>
        <w:t> Suicide </w:t>
      </w:r>
      <w:proofErr w:type="spellStart"/>
      <w:r>
        <w:rPr>
          <w:rFonts w:ascii="Calibri" w:eastAsia="Times New Roman" w:hAnsi="Calibri" w:cs="Calibri"/>
          <w:color w:val="000000"/>
          <w:kern w:val="0"/>
          <w:lang w:eastAsia="es-ES"/>
        </w:rPr>
        <w:t>Prevention</w:t>
      </w:r>
      <w:proofErr w:type="spellEnd"/>
      <w:r>
        <w:rPr>
          <w:rFonts w:ascii="Calibri" w:eastAsia="Times New Roman" w:hAnsi="Calibri" w:cs="Calibri"/>
          <w:color w:val="000000"/>
          <w:kern w:val="0"/>
          <w:lang w:eastAsia="es-ES"/>
        </w:rPr>
        <w:t>, 2022). De esta forma, se contribuiría a reducir el estigma, disminuyendo así el impacto de uno de los principales obstáculos a los que se enfrentan las familias en duelo y favoreciendo que pidan ayuda sin miedo al juicio. </w:t>
      </w:r>
    </w:p>
    <w:p w14:paraId="6C39D7ED" w14:textId="77777777" w:rsidR="00CC07FD" w:rsidRDefault="00000000">
      <w:pPr>
        <w:shd w:val="clear" w:color="auto" w:fill="FFFFFF"/>
        <w:spacing w:after="220" w:line="360" w:lineRule="auto"/>
        <w:ind w:left="-170" w:right="6" w:firstLine="709"/>
        <w:jc w:val="both"/>
        <w:textAlignment w:val="baseline"/>
        <w:rPr>
          <w:rFonts w:ascii="Calibri" w:eastAsia="Times New Roman" w:hAnsi="Calibri" w:cs="Calibri"/>
          <w:color w:val="000000"/>
          <w:kern w:val="0"/>
          <w:lang w:eastAsia="es-ES"/>
        </w:rPr>
      </w:pPr>
      <w:r>
        <w:rPr>
          <w:rFonts w:ascii="Calibri" w:eastAsia="Times New Roman" w:hAnsi="Calibri" w:cs="Calibri"/>
          <w:color w:val="000000"/>
          <w:kern w:val="0"/>
          <w:lang w:eastAsia="es-ES"/>
        </w:rPr>
        <w:t>  </w:t>
      </w:r>
    </w:p>
    <w:p w14:paraId="021D99C2" w14:textId="77777777" w:rsidR="00CC07FD" w:rsidRDefault="00000000">
      <w:pPr>
        <w:pStyle w:val="Ttulo1"/>
        <w:spacing w:line="360" w:lineRule="auto"/>
        <w:jc w:val="both"/>
      </w:pPr>
      <w:bookmarkStart w:id="33" w:name="_Toc226667040"/>
      <w:r>
        <w:rPr>
          <w:rFonts w:ascii="Calibri" w:hAnsi="Calibri" w:cs="Calibri"/>
          <w:b/>
          <w:bCs/>
          <w:color w:val="auto"/>
          <w:sz w:val="24"/>
          <w:szCs w:val="24"/>
          <w:lang w:eastAsia="es-ES"/>
        </w:rPr>
        <w:t>8. Conclusiones</w:t>
      </w:r>
      <w:bookmarkEnd w:id="33"/>
      <w:r>
        <w:rPr>
          <w:rFonts w:ascii="Calibri" w:hAnsi="Calibri" w:cs="Calibri"/>
          <w:b/>
          <w:bCs/>
          <w:color w:val="auto"/>
          <w:sz w:val="24"/>
          <w:szCs w:val="24"/>
          <w:lang w:eastAsia="es-ES"/>
        </w:rPr>
        <w:t> </w:t>
      </w:r>
    </w:p>
    <w:p w14:paraId="44A0684A" w14:textId="77777777" w:rsidR="00CC07FD" w:rsidRDefault="00000000">
      <w:pPr>
        <w:shd w:val="clear" w:color="auto" w:fill="FFFFFF"/>
        <w:spacing w:after="220" w:line="360" w:lineRule="auto"/>
        <w:ind w:left="-170" w:right="6" w:firstLine="709"/>
        <w:jc w:val="both"/>
        <w:textAlignment w:val="baseline"/>
      </w:pPr>
      <w:r>
        <w:rPr>
          <w:rFonts w:ascii="Calibri" w:hAnsi="Calibri" w:cs="Calibri"/>
          <w:b/>
          <w:bCs/>
        </w:rPr>
        <w:t>1º</w:t>
      </w:r>
      <w:r>
        <w:rPr>
          <w:rFonts w:ascii="Calibri" w:hAnsi="Calibri" w:cs="Calibri"/>
        </w:rPr>
        <w:t xml:space="preserve"> El análisis de los principales temas descritos en la literatura cualitativa sobre el duelo de familiares adultos por suicidio señala que las experiencias de estos familiares se organizan en torno a cuatro grandes áreas temáticas: la espiritualidad, factores que ayudan, el crecimiento postraumático y el estigma, siendo el último el tema más recurrente en las narrativas de los participantes en los estudios analizados.</w:t>
      </w:r>
    </w:p>
    <w:p w14:paraId="58CDBD4B" w14:textId="77777777" w:rsidR="00CC07FD" w:rsidRDefault="00000000">
      <w:pPr>
        <w:shd w:val="clear" w:color="auto" w:fill="FFFFFF"/>
        <w:spacing w:after="220" w:line="360" w:lineRule="auto"/>
        <w:ind w:left="-170" w:right="6" w:firstLine="709"/>
        <w:jc w:val="both"/>
        <w:textAlignment w:val="baseline"/>
      </w:pPr>
      <w:r>
        <w:rPr>
          <w:rFonts w:ascii="Calibri" w:hAnsi="Calibri" w:cs="Calibri"/>
          <w:b/>
          <w:bCs/>
        </w:rPr>
        <w:t>2º</w:t>
      </w:r>
      <w:r>
        <w:rPr>
          <w:rFonts w:ascii="Calibri" w:hAnsi="Calibri" w:cs="Calibri"/>
        </w:rPr>
        <w:t xml:space="preserve"> El estigma asociado al duelo por suicidio se expresó por los participantes como presión social por mostrarse fuerte, </w:t>
      </w:r>
      <w:proofErr w:type="spellStart"/>
      <w:r>
        <w:rPr>
          <w:rFonts w:ascii="Calibri" w:hAnsi="Calibri" w:cs="Calibri"/>
        </w:rPr>
        <w:t>autoestigma</w:t>
      </w:r>
      <w:proofErr w:type="spellEnd"/>
      <w:r>
        <w:rPr>
          <w:rFonts w:ascii="Calibri" w:hAnsi="Calibri" w:cs="Calibri"/>
        </w:rPr>
        <w:t>, atribución de responsabilidad, rechazo interpersonal y aislamiento social, y ocultación de la causa del fallecimiento.</w:t>
      </w:r>
    </w:p>
    <w:p w14:paraId="67E3D1FE" w14:textId="77777777" w:rsidR="00CC07FD" w:rsidRDefault="00000000">
      <w:pPr>
        <w:shd w:val="clear" w:color="auto" w:fill="FFFFFF"/>
        <w:spacing w:after="220" w:line="360" w:lineRule="auto"/>
        <w:ind w:left="-170" w:right="6" w:firstLine="709"/>
        <w:jc w:val="both"/>
        <w:textAlignment w:val="baseline"/>
      </w:pPr>
      <w:r>
        <w:rPr>
          <w:rFonts w:ascii="Calibri" w:hAnsi="Calibri" w:cs="Calibri"/>
          <w:b/>
          <w:bCs/>
        </w:rPr>
        <w:t>3º</w:t>
      </w:r>
      <w:r>
        <w:rPr>
          <w:rFonts w:ascii="Calibri" w:hAnsi="Calibri" w:cs="Calibri"/>
        </w:rPr>
        <w:t xml:space="preserve"> La espiritualidad, entendida en los estudios como prácticas de fe tales como la oración, la meditación o la asistencia a comunidades religiosas, construyeron para los participantes tanto un recurso de apoyo y conexión con el fallecido como una fuente de conflicto, al emerger dudas teológicas sobre el destino del alma y dificultades para revelar la causa de la muerte dentro de la propia comunidad de fe.</w:t>
      </w:r>
    </w:p>
    <w:p w14:paraId="29FBDEC2" w14:textId="77777777" w:rsidR="00CC07FD" w:rsidRDefault="00000000">
      <w:pPr>
        <w:shd w:val="clear" w:color="auto" w:fill="FFFFFF"/>
        <w:spacing w:after="220" w:line="360" w:lineRule="auto"/>
        <w:ind w:left="-170" w:right="6" w:firstLine="709"/>
        <w:jc w:val="both"/>
        <w:textAlignment w:val="baseline"/>
      </w:pPr>
      <w:r>
        <w:rPr>
          <w:rFonts w:ascii="Calibri" w:hAnsi="Calibri" w:cs="Calibri"/>
          <w:b/>
          <w:bCs/>
        </w:rPr>
        <w:t>4º</w:t>
      </w:r>
      <w:r>
        <w:rPr>
          <w:rFonts w:ascii="Calibri" w:hAnsi="Calibri" w:cs="Calibri"/>
        </w:rPr>
        <w:t xml:space="preserve"> Entre los factores que ayudaron a los familiares en su proceso de duelo se identificaron la búsqueda de </w:t>
      </w:r>
      <w:r>
        <w:rPr>
          <w:rFonts w:ascii="Calibri" w:eastAsia="Times New Roman" w:hAnsi="Calibri" w:cs="Calibri"/>
          <w:color w:val="000000"/>
          <w:kern w:val="0"/>
          <w:lang w:eastAsia="es-ES"/>
        </w:rPr>
        <w:t xml:space="preserve">mantener un vínculo con la persona fallecida, </w:t>
      </w:r>
      <w:r>
        <w:rPr>
          <w:rFonts w:ascii="Calibri" w:hAnsi="Calibri" w:cs="Calibri"/>
        </w:rPr>
        <w:t>el apoyo temprano de personas cercanas, la retoma de la vida cotidiana y laboral, la terapia psicológica especializada y los grupos de apoyo entre iguales, siendo estos dos últimos los más valorados por los participantes por ofrecer un espacio libre de estigma donde expresarse y ser validados.</w:t>
      </w:r>
    </w:p>
    <w:p w14:paraId="3E9D7804" w14:textId="77777777" w:rsidR="00CC07FD" w:rsidRDefault="00000000">
      <w:pPr>
        <w:shd w:val="clear" w:color="auto" w:fill="FFFFFF"/>
        <w:spacing w:after="220" w:line="360" w:lineRule="auto"/>
        <w:ind w:left="-170" w:right="6" w:firstLine="709"/>
        <w:jc w:val="both"/>
        <w:textAlignment w:val="baseline"/>
      </w:pPr>
      <w:r>
        <w:rPr>
          <w:rFonts w:ascii="Calibri" w:hAnsi="Calibri" w:cs="Calibri"/>
          <w:b/>
          <w:bCs/>
        </w:rPr>
        <w:t>5º</w:t>
      </w:r>
      <w:r>
        <w:rPr>
          <w:rFonts w:ascii="Calibri" w:hAnsi="Calibri" w:cs="Calibri"/>
        </w:rPr>
        <w:t xml:space="preserve"> El crecimiento postraumático fue identificado como un resultado posible del duelo por suicidio, manifestándose a través del redescubrimiento de lo verdaderamente </w:t>
      </w:r>
      <w:r>
        <w:rPr>
          <w:rFonts w:ascii="Calibri" w:hAnsi="Calibri" w:cs="Calibri"/>
        </w:rPr>
        <w:lastRenderedPageBreak/>
        <w:t>importante en la vida, el fortalecimiento de los vínculos con personas cercanas y la búsqueda activa de sentido, que en varios casos se tradujo en el deseo de ayudar a otras personas supervivientes o en la implicación en actividades de prevención del suicidio.</w:t>
      </w:r>
    </w:p>
    <w:p w14:paraId="3A120C7E" w14:textId="77777777" w:rsidR="00CC07FD" w:rsidRDefault="00000000">
      <w:pPr>
        <w:shd w:val="clear" w:color="auto" w:fill="FFFFFF"/>
        <w:spacing w:after="220" w:line="360" w:lineRule="auto"/>
        <w:ind w:left="-170" w:right="6" w:firstLine="709"/>
        <w:jc w:val="both"/>
        <w:textAlignment w:val="baseline"/>
      </w:pPr>
      <w:r>
        <w:rPr>
          <w:rFonts w:ascii="Calibri" w:hAnsi="Calibri" w:cs="Calibri"/>
          <w:b/>
          <w:bCs/>
        </w:rPr>
        <w:t>6º</w:t>
      </w:r>
      <w:r>
        <w:rPr>
          <w:rFonts w:ascii="Calibri" w:hAnsi="Calibri" w:cs="Calibri"/>
        </w:rPr>
        <w:t xml:space="preserve"> A partir de los testimonios analizados se identificó la necesidad de impulsar grupos de apoyo específicos para familiares en duelo por suicidio, tanto presenciales como online, y de promover campañas de sensibilización social que desmontaran los mitos asociados al suicidio y fomentaran respuestas más empáticas del entorno, con el objetivo de reducir el estigma como principal obstáculo al que se enfrentaron las familias en duelo.</w:t>
      </w:r>
    </w:p>
    <w:p w14:paraId="61760BD9" w14:textId="77777777" w:rsidR="00CC07FD" w:rsidRDefault="00000000">
      <w:pPr>
        <w:tabs>
          <w:tab w:val="left" w:pos="720"/>
        </w:tabs>
        <w:spacing w:after="220" w:line="360" w:lineRule="auto"/>
        <w:ind w:left="-170" w:right="6" w:firstLine="709"/>
        <w:jc w:val="both"/>
        <w:textAlignment w:val="baseline"/>
      </w:pPr>
      <w:r>
        <w:rPr>
          <w:rFonts w:ascii="Calibri" w:eastAsia="Times New Roman" w:hAnsi="Calibri" w:cs="Calibri"/>
          <w:color w:val="000000"/>
          <w:kern w:val="0"/>
          <w:lang w:eastAsia="es-ES"/>
        </w:rPr>
        <w:t> </w:t>
      </w:r>
    </w:p>
    <w:p w14:paraId="08B16804" w14:textId="77777777" w:rsidR="00CC07FD" w:rsidRPr="00420CC8" w:rsidRDefault="00000000">
      <w:pPr>
        <w:pStyle w:val="Ttulo1"/>
        <w:spacing w:line="360" w:lineRule="auto"/>
        <w:jc w:val="both"/>
        <w:rPr>
          <w:lang w:val="en-US"/>
        </w:rPr>
      </w:pPr>
      <w:bookmarkStart w:id="34" w:name="_Toc226667041"/>
      <w:r>
        <w:rPr>
          <w:rFonts w:ascii="Calibri" w:hAnsi="Calibri" w:cs="Calibri"/>
          <w:b/>
          <w:bCs/>
          <w:color w:val="auto"/>
          <w:sz w:val="24"/>
          <w:szCs w:val="24"/>
          <w:lang w:val="en-US" w:eastAsia="es-ES"/>
        </w:rPr>
        <w:t xml:space="preserve">9. </w:t>
      </w:r>
      <w:proofErr w:type="spellStart"/>
      <w:r>
        <w:rPr>
          <w:rFonts w:ascii="Calibri" w:hAnsi="Calibri" w:cs="Calibri"/>
          <w:b/>
          <w:bCs/>
          <w:color w:val="auto"/>
          <w:sz w:val="24"/>
          <w:szCs w:val="24"/>
          <w:lang w:val="en-US" w:eastAsia="es-ES"/>
        </w:rPr>
        <w:t>Bibliografía</w:t>
      </w:r>
      <w:bookmarkEnd w:id="34"/>
      <w:proofErr w:type="spellEnd"/>
    </w:p>
    <w:p w14:paraId="18F00F50" w14:textId="77777777" w:rsidR="00CC07FD" w:rsidRPr="00420CC8" w:rsidRDefault="00000000">
      <w:pPr>
        <w:tabs>
          <w:tab w:val="left" w:pos="720"/>
        </w:tabs>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 xml:space="preserve">Andriessen, K., </w:t>
      </w:r>
      <w:proofErr w:type="spellStart"/>
      <w:r>
        <w:rPr>
          <w:rFonts w:ascii="Calibri" w:eastAsia="Times New Roman" w:hAnsi="Calibri" w:cs="Calibri"/>
          <w:color w:val="000000"/>
          <w:kern w:val="0"/>
          <w:lang w:val="en-US" w:eastAsia="es-ES"/>
        </w:rPr>
        <w:t>Krysinska</w:t>
      </w:r>
      <w:proofErr w:type="spellEnd"/>
      <w:r>
        <w:rPr>
          <w:rFonts w:ascii="Calibri" w:eastAsia="Times New Roman" w:hAnsi="Calibri" w:cs="Calibri"/>
          <w:color w:val="000000"/>
          <w:kern w:val="0"/>
          <w:lang w:val="en-US" w:eastAsia="es-ES"/>
        </w:rPr>
        <w:t xml:space="preserve">, K., Hill, N. T. M., </w:t>
      </w:r>
      <w:proofErr w:type="spellStart"/>
      <w:r>
        <w:rPr>
          <w:rFonts w:ascii="Calibri" w:eastAsia="Times New Roman" w:hAnsi="Calibri" w:cs="Calibri"/>
          <w:color w:val="000000"/>
          <w:kern w:val="0"/>
          <w:lang w:val="en-US" w:eastAsia="es-ES"/>
        </w:rPr>
        <w:t>Reifels</w:t>
      </w:r>
      <w:proofErr w:type="spellEnd"/>
      <w:r>
        <w:rPr>
          <w:rFonts w:ascii="Calibri" w:eastAsia="Times New Roman" w:hAnsi="Calibri" w:cs="Calibri"/>
          <w:color w:val="000000"/>
          <w:kern w:val="0"/>
          <w:lang w:val="en-US" w:eastAsia="es-ES"/>
        </w:rPr>
        <w:t xml:space="preserve">, L., Robinson, J., Reavley, N., &amp; </w:t>
      </w:r>
      <w:proofErr w:type="spellStart"/>
      <w:proofErr w:type="gramStart"/>
      <w:r>
        <w:rPr>
          <w:rFonts w:ascii="Calibri" w:eastAsia="Times New Roman" w:hAnsi="Calibri" w:cs="Calibri"/>
          <w:color w:val="000000"/>
          <w:kern w:val="0"/>
          <w:lang w:val="en-US" w:eastAsia="es-ES"/>
        </w:rPr>
        <w:t>Pirkis</w:t>
      </w:r>
      <w:proofErr w:type="spellEnd"/>
      <w:r>
        <w:rPr>
          <w:rFonts w:ascii="Calibri" w:eastAsia="Times New Roman" w:hAnsi="Calibri" w:cs="Calibri"/>
          <w:color w:val="000000"/>
          <w:kern w:val="0"/>
          <w:lang w:val="en-US" w:eastAsia="es-ES"/>
        </w:rPr>
        <w:t>,(</w:t>
      </w:r>
      <w:proofErr w:type="gramEnd"/>
      <w:r>
        <w:rPr>
          <w:rFonts w:ascii="Calibri" w:eastAsia="Times New Roman" w:hAnsi="Calibri" w:cs="Calibri"/>
          <w:color w:val="000000"/>
          <w:kern w:val="0"/>
          <w:lang w:val="en-US" w:eastAsia="es-ES"/>
        </w:rPr>
        <w:t xml:space="preserve">2019). Effectiveness of interventions for people bereaved through suicide: A systematic review of controlled studies of grief, psychosocial and suicide-related outcomes. </w:t>
      </w:r>
      <w:r>
        <w:rPr>
          <w:rFonts w:ascii="Calibri" w:eastAsia="Times New Roman" w:hAnsi="Calibri" w:cs="Calibri"/>
          <w:i/>
          <w:iCs/>
          <w:color w:val="000000"/>
          <w:kern w:val="0"/>
          <w:lang w:val="en-US" w:eastAsia="es-ES"/>
        </w:rPr>
        <w:t>BMC Psychiatry, 19</w:t>
      </w:r>
      <w:r>
        <w:rPr>
          <w:rFonts w:ascii="Calibri" w:eastAsia="Times New Roman" w:hAnsi="Calibri" w:cs="Calibri"/>
          <w:color w:val="000000"/>
          <w:kern w:val="0"/>
          <w:lang w:val="en-US" w:eastAsia="es-ES"/>
        </w:rPr>
        <w:t xml:space="preserve">(49). </w:t>
      </w:r>
      <w:r>
        <w:fldChar w:fldCharType="begin"/>
      </w:r>
      <w:r w:rsidRPr="00420CC8">
        <w:rPr>
          <w:lang w:val="en-US"/>
        </w:rPr>
        <w:instrText xml:space="preserve"> HYPERLINK  "https://doi.org/10.1186/s12888-019-2020-z" </w:instrText>
      </w:r>
      <w:r>
        <w:fldChar w:fldCharType="separate"/>
      </w:r>
      <w:r>
        <w:rPr>
          <w:rFonts w:ascii="Calibri" w:eastAsia="Times New Roman" w:hAnsi="Calibri" w:cs="Calibri"/>
          <w:color w:val="0563C1"/>
          <w:kern w:val="0"/>
          <w:u w:val="single"/>
          <w:lang w:val="en-US" w:eastAsia="es-ES"/>
        </w:rPr>
        <w:t>https://doi.org/10.1186/s12888-019-2020-z</w:t>
      </w:r>
      <w:r>
        <w:fldChar w:fldCharType="end"/>
      </w:r>
    </w:p>
    <w:p w14:paraId="4C8829D5" w14:textId="77777777" w:rsidR="00CC07FD" w:rsidRPr="00420CC8" w:rsidRDefault="00000000">
      <w:pPr>
        <w:spacing w:after="220" w:line="360" w:lineRule="auto"/>
        <w:ind w:left="-170" w:right="6" w:firstLine="709"/>
        <w:jc w:val="both"/>
        <w:textAlignment w:val="baseline"/>
        <w:rPr>
          <w:lang w:val="en-US"/>
        </w:rPr>
      </w:pPr>
      <w:r>
        <w:rPr>
          <w:rFonts w:ascii="Calibri" w:hAnsi="Calibri" w:cs="Calibri"/>
          <w:lang w:val="en-US"/>
        </w:rPr>
        <w:t xml:space="preserve">Bottomley, J. S., Campbell, K. W., Feigelman, W., Schamber, E. L., &amp; Rheingold, A. A. (2025). Prospective relations between stigma, guilt, shame, posttraumatic stress and prolonged grief symptoms among overdose and suicide loss survivors. </w:t>
      </w:r>
      <w:r>
        <w:rPr>
          <w:rFonts w:ascii="Calibri" w:hAnsi="Calibri" w:cs="Calibri"/>
          <w:i/>
          <w:iCs/>
          <w:lang w:val="en-US"/>
        </w:rPr>
        <w:t>Journal of Affective Disorders</w:t>
      </w:r>
      <w:r>
        <w:rPr>
          <w:rFonts w:ascii="Calibri" w:hAnsi="Calibri" w:cs="Calibri"/>
          <w:lang w:val="en-US"/>
        </w:rPr>
        <w:t xml:space="preserve">, </w:t>
      </w:r>
      <w:r>
        <w:rPr>
          <w:rFonts w:ascii="Calibri" w:hAnsi="Calibri" w:cs="Calibri"/>
          <w:i/>
          <w:iCs/>
          <w:lang w:val="en-US"/>
        </w:rPr>
        <w:t>379</w:t>
      </w:r>
      <w:r>
        <w:rPr>
          <w:rFonts w:ascii="Calibri" w:hAnsi="Calibri" w:cs="Calibri"/>
          <w:lang w:val="en-US"/>
        </w:rPr>
        <w:t xml:space="preserve">, 223–231. </w:t>
      </w:r>
      <w:r>
        <w:fldChar w:fldCharType="begin"/>
      </w:r>
      <w:r w:rsidRPr="00420CC8">
        <w:rPr>
          <w:lang w:val="en-US"/>
        </w:rPr>
        <w:instrText xml:space="preserve"> HYPERLINK  "https://doi.org/10.1016/j.jad.2025.02.102" \o "Persistent link using digital object identifier" </w:instrText>
      </w:r>
      <w:r>
        <w:fldChar w:fldCharType="separate"/>
      </w:r>
      <w:r>
        <w:rPr>
          <w:rStyle w:val="Hipervnculo"/>
          <w:rFonts w:ascii="Calibri" w:hAnsi="Calibri" w:cs="Calibri"/>
          <w:lang w:val="en-US"/>
        </w:rPr>
        <w:t>https://doi.org/10.1016/j.jad.2025.02.102</w:t>
      </w:r>
      <w:r>
        <w:fldChar w:fldCharType="end"/>
      </w:r>
    </w:p>
    <w:p w14:paraId="1EB9ABF2" w14:textId="77777777" w:rsidR="00CC07FD" w:rsidRPr="00420CC8" w:rsidRDefault="00000000">
      <w:pPr>
        <w:spacing w:after="220" w:line="360" w:lineRule="auto"/>
        <w:ind w:left="-170" w:right="6" w:firstLine="709"/>
        <w:jc w:val="both"/>
        <w:textAlignment w:val="baseline"/>
        <w:rPr>
          <w:lang w:val="en-US"/>
        </w:rPr>
      </w:pPr>
      <w:proofErr w:type="spellStart"/>
      <w:r>
        <w:rPr>
          <w:rFonts w:ascii="Calibri" w:eastAsia="Times New Roman" w:hAnsi="Calibri" w:cs="Calibri"/>
          <w:color w:val="000000"/>
          <w:kern w:val="0"/>
          <w:lang w:val="en-US" w:eastAsia="es-ES"/>
        </w:rPr>
        <w:t>Čepulienė</w:t>
      </w:r>
      <w:proofErr w:type="spellEnd"/>
      <w:r>
        <w:rPr>
          <w:rFonts w:ascii="Calibri" w:eastAsia="Times New Roman" w:hAnsi="Calibri" w:cs="Calibri"/>
          <w:color w:val="000000"/>
          <w:kern w:val="0"/>
          <w:lang w:val="en-US" w:eastAsia="es-ES"/>
        </w:rPr>
        <w:t xml:space="preserve">, A. A., </w:t>
      </w:r>
      <w:proofErr w:type="spellStart"/>
      <w:r>
        <w:rPr>
          <w:rFonts w:ascii="Calibri" w:eastAsia="Times New Roman" w:hAnsi="Calibri" w:cs="Calibri"/>
          <w:color w:val="000000"/>
          <w:kern w:val="0"/>
          <w:lang w:val="en-US" w:eastAsia="es-ES"/>
        </w:rPr>
        <w:t>Pučinskaitė</w:t>
      </w:r>
      <w:proofErr w:type="spellEnd"/>
      <w:r>
        <w:rPr>
          <w:rFonts w:ascii="Calibri" w:eastAsia="Times New Roman" w:hAnsi="Calibri" w:cs="Calibri"/>
          <w:color w:val="000000"/>
          <w:kern w:val="0"/>
          <w:lang w:val="en-US" w:eastAsia="es-ES"/>
        </w:rPr>
        <w:t xml:space="preserve">, B., </w:t>
      </w:r>
      <w:proofErr w:type="spellStart"/>
      <w:r>
        <w:rPr>
          <w:rFonts w:ascii="Calibri" w:eastAsia="Times New Roman" w:hAnsi="Calibri" w:cs="Calibri"/>
          <w:color w:val="000000"/>
          <w:kern w:val="0"/>
          <w:lang w:val="en-US" w:eastAsia="es-ES"/>
        </w:rPr>
        <w:t>Spangelytė</w:t>
      </w:r>
      <w:proofErr w:type="spellEnd"/>
      <w:r>
        <w:rPr>
          <w:rFonts w:ascii="Calibri" w:eastAsia="Times New Roman" w:hAnsi="Calibri" w:cs="Calibri"/>
          <w:color w:val="000000"/>
          <w:kern w:val="0"/>
          <w:lang w:val="en-US" w:eastAsia="es-ES"/>
        </w:rPr>
        <w:t xml:space="preserve">, K., </w:t>
      </w:r>
      <w:proofErr w:type="spellStart"/>
      <w:r>
        <w:rPr>
          <w:rFonts w:ascii="Calibri" w:eastAsia="Times New Roman" w:hAnsi="Calibri" w:cs="Calibri"/>
          <w:color w:val="000000"/>
          <w:kern w:val="0"/>
          <w:lang w:val="en-US" w:eastAsia="es-ES"/>
        </w:rPr>
        <w:t>Skruibis</w:t>
      </w:r>
      <w:proofErr w:type="spellEnd"/>
      <w:r>
        <w:rPr>
          <w:rFonts w:ascii="Calibri" w:eastAsia="Times New Roman" w:hAnsi="Calibri" w:cs="Calibri"/>
          <w:color w:val="000000"/>
          <w:kern w:val="0"/>
          <w:lang w:val="en-US" w:eastAsia="es-ES"/>
        </w:rPr>
        <w:t>, P., &amp; </w:t>
      </w:r>
      <w:proofErr w:type="spellStart"/>
      <w:r>
        <w:rPr>
          <w:rFonts w:ascii="Calibri" w:eastAsia="Times New Roman" w:hAnsi="Calibri" w:cs="Calibri"/>
          <w:color w:val="000000"/>
          <w:kern w:val="0"/>
          <w:lang w:val="en-US" w:eastAsia="es-ES"/>
        </w:rPr>
        <w:t>Gailienė</w:t>
      </w:r>
      <w:proofErr w:type="spellEnd"/>
      <w:r>
        <w:rPr>
          <w:rFonts w:ascii="Calibri" w:eastAsia="Times New Roman" w:hAnsi="Calibri" w:cs="Calibri"/>
          <w:color w:val="000000"/>
          <w:kern w:val="0"/>
          <w:lang w:val="en-US" w:eastAsia="es-ES"/>
        </w:rPr>
        <w:t xml:space="preserve">, D. (2021). Spirituality and religiosity during suicide bereavement: A qualitative systematic review. </w:t>
      </w:r>
      <w:r>
        <w:rPr>
          <w:rFonts w:ascii="Calibri" w:eastAsia="Times New Roman" w:hAnsi="Calibri" w:cs="Calibri"/>
          <w:i/>
          <w:iCs/>
          <w:color w:val="000000"/>
          <w:kern w:val="0"/>
          <w:lang w:val="en-US" w:eastAsia="es-ES"/>
        </w:rPr>
        <w:t>Religions, 12</w:t>
      </w:r>
      <w:r>
        <w:rPr>
          <w:rFonts w:ascii="Calibri" w:eastAsia="Times New Roman" w:hAnsi="Calibri" w:cs="Calibri"/>
          <w:color w:val="000000"/>
          <w:kern w:val="0"/>
          <w:lang w:val="en-US" w:eastAsia="es-ES"/>
        </w:rPr>
        <w:t xml:space="preserve">(9), 766.  </w:t>
      </w:r>
      <w:r>
        <w:fldChar w:fldCharType="begin"/>
      </w:r>
      <w:r w:rsidRPr="00420CC8">
        <w:rPr>
          <w:lang w:val="en-US"/>
        </w:rPr>
        <w:instrText xml:space="preserve"> HYPERLINK  "https://doi.org/10.3390/rel12090766" </w:instrText>
      </w:r>
      <w:r>
        <w:fldChar w:fldCharType="separate"/>
      </w:r>
      <w:r>
        <w:rPr>
          <w:rStyle w:val="Hipervnculo"/>
          <w:rFonts w:ascii="Calibri" w:eastAsia="Times New Roman" w:hAnsi="Calibri" w:cs="Calibri"/>
          <w:kern w:val="0"/>
          <w:lang w:val="en-US" w:eastAsia="es-ES"/>
        </w:rPr>
        <w:t>https://doi.org/10.3390/rel12090766</w:t>
      </w:r>
      <w:r>
        <w:fldChar w:fldCharType="end"/>
      </w:r>
      <w:r>
        <w:rPr>
          <w:rFonts w:ascii="Calibri" w:eastAsia="Times New Roman" w:hAnsi="Calibri" w:cs="Calibri"/>
          <w:color w:val="000000"/>
          <w:kern w:val="0"/>
          <w:lang w:val="en-US" w:eastAsia="es-ES"/>
        </w:rPr>
        <w:t> </w:t>
      </w:r>
    </w:p>
    <w:p w14:paraId="5406150A"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 xml:space="preserve">Collins, R. (1990). Stratification, emotional energy, and </w:t>
      </w:r>
      <w:proofErr w:type="gramStart"/>
      <w:r>
        <w:rPr>
          <w:rFonts w:ascii="Calibri" w:eastAsia="Times New Roman" w:hAnsi="Calibri" w:cs="Calibri"/>
          <w:color w:val="000000"/>
          <w:kern w:val="0"/>
          <w:lang w:val="en-US" w:eastAsia="es-ES"/>
        </w:rPr>
        <w:t>the transient</w:t>
      </w:r>
      <w:proofErr w:type="gramEnd"/>
      <w:r>
        <w:rPr>
          <w:rFonts w:ascii="Calibri" w:eastAsia="Times New Roman" w:hAnsi="Calibri" w:cs="Calibri"/>
          <w:color w:val="000000"/>
          <w:kern w:val="0"/>
          <w:lang w:val="en-US" w:eastAsia="es-ES"/>
        </w:rPr>
        <w:t xml:space="preserve"> emotions. In T. D. Kemper (Ed.), </w:t>
      </w:r>
      <w:r>
        <w:rPr>
          <w:rFonts w:ascii="Calibri" w:eastAsia="Times New Roman" w:hAnsi="Calibri" w:cs="Calibri"/>
          <w:i/>
          <w:iCs/>
          <w:color w:val="000000"/>
          <w:kern w:val="0"/>
          <w:lang w:val="en-US" w:eastAsia="es-ES"/>
        </w:rPr>
        <w:t xml:space="preserve">Research agendas in the sociology of emotions </w:t>
      </w:r>
      <w:r>
        <w:rPr>
          <w:rFonts w:ascii="Calibri" w:eastAsia="Times New Roman" w:hAnsi="Calibri" w:cs="Calibri"/>
          <w:color w:val="000000"/>
          <w:kern w:val="0"/>
          <w:lang w:val="en-US" w:eastAsia="es-ES"/>
        </w:rPr>
        <w:t>(pp. 27–57). State University of New York Press. </w:t>
      </w:r>
    </w:p>
    <w:p w14:paraId="08620E55"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 xml:space="preserve">Creegan, M., O'Connell, M., Griffin, E., &amp; O'Connell, S. (2024). Exploring posttraumatic growth in individuals bereaved by suicide: A secondary data analysis of </w:t>
      </w:r>
      <w:proofErr w:type="gramStart"/>
      <w:r>
        <w:rPr>
          <w:rFonts w:ascii="Calibri" w:eastAsia="Times New Roman" w:hAnsi="Calibri" w:cs="Calibri"/>
          <w:color w:val="000000"/>
          <w:kern w:val="0"/>
          <w:lang w:val="en-US" w:eastAsia="es-ES"/>
        </w:rPr>
        <w:t>a  national</w:t>
      </w:r>
      <w:proofErr w:type="gramEnd"/>
      <w:r>
        <w:rPr>
          <w:rFonts w:ascii="Calibri" w:eastAsia="Times New Roman" w:hAnsi="Calibri" w:cs="Calibri"/>
          <w:color w:val="000000"/>
          <w:kern w:val="0"/>
          <w:lang w:val="en-US" w:eastAsia="es-ES"/>
        </w:rPr>
        <w:t xml:space="preserve"> survey. </w:t>
      </w:r>
      <w:r>
        <w:rPr>
          <w:rFonts w:ascii="Calibri" w:eastAsia="Times New Roman" w:hAnsi="Calibri" w:cs="Calibri"/>
          <w:i/>
          <w:iCs/>
          <w:color w:val="000000"/>
          <w:kern w:val="0"/>
          <w:lang w:val="en-US" w:eastAsia="es-ES"/>
        </w:rPr>
        <w:t>Death Studies</w:t>
      </w:r>
      <w:r>
        <w:rPr>
          <w:rFonts w:ascii="Calibri" w:eastAsia="Times New Roman" w:hAnsi="Calibri" w:cs="Calibri"/>
          <w:color w:val="000000"/>
          <w:kern w:val="0"/>
          <w:lang w:val="en-US" w:eastAsia="es-ES"/>
        </w:rPr>
        <w:t xml:space="preserve">. </w:t>
      </w:r>
      <w:r>
        <w:fldChar w:fldCharType="begin"/>
      </w:r>
      <w:r w:rsidRPr="00420CC8">
        <w:rPr>
          <w:lang w:val="en-US"/>
        </w:rPr>
        <w:instrText xml:space="preserve"> HYPERLINK  "https://doi.org/10.1080/07481187.2024.2376823" </w:instrText>
      </w:r>
      <w:r>
        <w:fldChar w:fldCharType="separate"/>
      </w:r>
      <w:r>
        <w:rPr>
          <w:rFonts w:ascii="Calibri" w:eastAsia="Times New Roman" w:hAnsi="Calibri" w:cs="Calibri"/>
          <w:color w:val="0563C1"/>
          <w:kern w:val="0"/>
          <w:u w:val="single"/>
          <w:lang w:val="en-US" w:eastAsia="es-ES"/>
        </w:rPr>
        <w:t>https://doi.org/10.1080/07481187.2024.2376823</w:t>
      </w:r>
      <w:r>
        <w:fldChar w:fldCharType="end"/>
      </w:r>
      <w:r>
        <w:rPr>
          <w:rFonts w:ascii="Calibri" w:eastAsia="Times New Roman" w:hAnsi="Calibri" w:cs="Calibri"/>
          <w:color w:val="000000"/>
          <w:kern w:val="0"/>
          <w:lang w:val="en-US" w:eastAsia="es-ES"/>
        </w:rPr>
        <w:t> </w:t>
      </w:r>
    </w:p>
    <w:p w14:paraId="34CC835C"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lastRenderedPageBreak/>
        <w:t xml:space="preserve">Gordon, E., &amp; McElvaney, R. (2022). Directing from the shadows:  Women's experiences of male relative suicide bereavement. </w:t>
      </w:r>
      <w:proofErr w:type="spellStart"/>
      <w:proofErr w:type="gramStart"/>
      <w:r>
        <w:rPr>
          <w:rFonts w:ascii="Calibri" w:eastAsia="Times New Roman" w:hAnsi="Calibri" w:cs="Calibri"/>
          <w:i/>
          <w:iCs/>
          <w:color w:val="000000"/>
          <w:kern w:val="0"/>
          <w:lang w:val="en-US" w:eastAsia="es-ES"/>
        </w:rPr>
        <w:t>Journa</w:t>
      </w:r>
      <w:proofErr w:type="spellEnd"/>
      <w:r>
        <w:rPr>
          <w:rFonts w:ascii="Calibri" w:eastAsia="Times New Roman" w:hAnsi="Calibri" w:cs="Calibri"/>
          <w:i/>
          <w:iCs/>
          <w:color w:val="000000"/>
          <w:kern w:val="0"/>
          <w:lang w:val="en-US" w:eastAsia="es-ES"/>
        </w:rPr>
        <w:t xml:space="preserve">  of</w:t>
      </w:r>
      <w:proofErr w:type="gramEnd"/>
      <w:r>
        <w:rPr>
          <w:rFonts w:ascii="Calibri" w:eastAsia="Times New Roman" w:hAnsi="Calibri" w:cs="Calibri"/>
          <w:i/>
          <w:iCs/>
          <w:color w:val="000000"/>
          <w:kern w:val="0"/>
          <w:lang w:val="en-US" w:eastAsia="es-ES"/>
        </w:rPr>
        <w:t xml:space="preserve"> Family Therapy, 44</w:t>
      </w:r>
      <w:r>
        <w:rPr>
          <w:rFonts w:ascii="Calibri" w:eastAsia="Times New Roman" w:hAnsi="Calibri" w:cs="Calibri"/>
          <w:color w:val="000000"/>
          <w:kern w:val="0"/>
          <w:lang w:val="en-US" w:eastAsia="es-ES"/>
        </w:rPr>
        <w:t xml:space="preserve">(3), 396–407. </w:t>
      </w:r>
      <w:r>
        <w:fldChar w:fldCharType="begin"/>
      </w:r>
      <w:r w:rsidRPr="00420CC8">
        <w:rPr>
          <w:lang w:val="en-US"/>
        </w:rPr>
        <w:instrText xml:space="preserve"> HYPERLINK  "https://doi.org/10.1111/1467-6427.12388" </w:instrText>
      </w:r>
      <w:r>
        <w:fldChar w:fldCharType="separate"/>
      </w:r>
      <w:r>
        <w:rPr>
          <w:rFonts w:ascii="Calibri" w:eastAsia="Times New Roman" w:hAnsi="Calibri" w:cs="Calibri"/>
          <w:color w:val="0563C1"/>
          <w:kern w:val="0"/>
          <w:u w:val="single"/>
          <w:lang w:val="en-US" w:eastAsia="es-ES"/>
        </w:rPr>
        <w:t>https://doi.org/10.1111/1467-6427.12388</w:t>
      </w:r>
      <w:r>
        <w:fldChar w:fldCharType="end"/>
      </w:r>
      <w:r>
        <w:rPr>
          <w:rFonts w:ascii="Calibri" w:eastAsia="Times New Roman" w:hAnsi="Calibri" w:cs="Calibri"/>
          <w:color w:val="000000"/>
          <w:kern w:val="0"/>
          <w:lang w:val="en-US" w:eastAsia="es-ES"/>
        </w:rPr>
        <w:t> </w:t>
      </w:r>
    </w:p>
    <w:p w14:paraId="24D827E8" w14:textId="77777777" w:rsidR="00CC07FD" w:rsidRPr="00420CC8" w:rsidRDefault="00000000">
      <w:pPr>
        <w:spacing w:after="220" w:line="360" w:lineRule="auto"/>
        <w:ind w:left="-170" w:right="6" w:firstLine="709"/>
        <w:jc w:val="both"/>
        <w:textAlignment w:val="baseline"/>
        <w:rPr>
          <w:lang w:val="en-US"/>
        </w:rPr>
      </w:pPr>
      <w:proofErr w:type="spellStart"/>
      <w:r>
        <w:rPr>
          <w:rFonts w:ascii="Calibri" w:eastAsia="Times New Roman" w:hAnsi="Calibri" w:cs="Calibri"/>
          <w:color w:val="000000"/>
          <w:kern w:val="0"/>
          <w:lang w:val="en-US" w:eastAsia="es-ES"/>
        </w:rPr>
        <w:t>Goulah</w:t>
      </w:r>
      <w:proofErr w:type="spellEnd"/>
      <w:r>
        <w:rPr>
          <w:rFonts w:ascii="Calibri" w:eastAsia="Times New Roman" w:hAnsi="Calibri" w:cs="Calibri"/>
          <w:color w:val="000000"/>
          <w:kern w:val="0"/>
          <w:lang w:val="en-US" w:eastAsia="es-ES"/>
        </w:rPr>
        <w:t xml:space="preserve">-Pabst, D. M. (2021). Suicide loss survivors: Navigating social stigma and threats to social bonds. </w:t>
      </w:r>
      <w:r>
        <w:rPr>
          <w:rFonts w:ascii="Calibri" w:eastAsia="Times New Roman" w:hAnsi="Calibri" w:cs="Calibri"/>
          <w:i/>
          <w:iCs/>
          <w:color w:val="000000"/>
          <w:kern w:val="0"/>
          <w:lang w:val="en-US" w:eastAsia="es-ES"/>
        </w:rPr>
        <w:t>OMEGA – Journal of Death and Dying, 87</w:t>
      </w:r>
      <w:r>
        <w:rPr>
          <w:rFonts w:ascii="Calibri" w:eastAsia="Times New Roman" w:hAnsi="Calibri" w:cs="Calibri"/>
          <w:color w:val="000000"/>
          <w:kern w:val="0"/>
          <w:lang w:val="en-US" w:eastAsia="es-ES"/>
        </w:rPr>
        <w:t xml:space="preserve">(3), 769–792. </w:t>
      </w:r>
      <w:r>
        <w:fldChar w:fldCharType="begin"/>
      </w:r>
      <w:r w:rsidRPr="00420CC8">
        <w:rPr>
          <w:lang w:val="en-US"/>
        </w:rPr>
        <w:instrText xml:space="preserve"> HYPERLINK  "https://doi.org/10.1177/00302228211026513" </w:instrText>
      </w:r>
      <w:r>
        <w:fldChar w:fldCharType="separate"/>
      </w:r>
      <w:r>
        <w:rPr>
          <w:rFonts w:ascii="Calibri" w:eastAsia="Times New Roman" w:hAnsi="Calibri" w:cs="Calibri"/>
          <w:color w:val="0563C1"/>
          <w:kern w:val="0"/>
          <w:u w:val="single"/>
          <w:lang w:val="en-US" w:eastAsia="es-ES"/>
        </w:rPr>
        <w:t>https://doi.org/10.1177/00302228211026513</w:t>
      </w:r>
      <w:r>
        <w:fldChar w:fldCharType="end"/>
      </w:r>
    </w:p>
    <w:p w14:paraId="137FADB3"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val="en-US" w:eastAsia="es-ES"/>
        </w:rPr>
        <w:t xml:space="preserve">Hochschild, A. R. (1979). Emotion work, feeling rules, and social structure. </w:t>
      </w:r>
      <w:r>
        <w:rPr>
          <w:rFonts w:ascii="Calibri" w:eastAsia="Times New Roman" w:hAnsi="Calibri" w:cs="Calibri"/>
          <w:i/>
          <w:iCs/>
          <w:color w:val="000000"/>
          <w:kern w:val="0"/>
          <w:lang w:val="en-US" w:eastAsia="es-ES"/>
        </w:rPr>
        <w:t>American Journal of Sociology, 85</w:t>
      </w:r>
      <w:r>
        <w:rPr>
          <w:rFonts w:ascii="Calibri" w:eastAsia="Times New Roman" w:hAnsi="Calibri" w:cs="Calibri"/>
          <w:color w:val="000000"/>
          <w:kern w:val="0"/>
          <w:lang w:val="en-US" w:eastAsia="es-ES"/>
        </w:rPr>
        <w:t>(3), 551–573.</w:t>
      </w:r>
      <w:hyperlink r:id="rId43" w:history="1">
        <w:r>
          <w:rPr>
            <w:rFonts w:ascii="Calibri" w:eastAsia="Times New Roman" w:hAnsi="Calibri" w:cs="Calibri"/>
            <w:color w:val="0563C1"/>
            <w:kern w:val="0"/>
            <w:u w:val="single"/>
            <w:lang w:val="en-US" w:eastAsia="es-ES"/>
          </w:rPr>
          <w:t>https://www.jstor.org/stable/2778583</w:t>
        </w:r>
      </w:hyperlink>
      <w:r>
        <w:rPr>
          <w:rFonts w:ascii="Calibri" w:eastAsia="Times New Roman" w:hAnsi="Calibri" w:cs="Calibri"/>
          <w:color w:val="000000"/>
          <w:kern w:val="0"/>
          <w:lang w:val="en-US" w:eastAsia="es-ES"/>
        </w:rPr>
        <w:t> </w:t>
      </w:r>
    </w:p>
    <w:p w14:paraId="24376B45"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 xml:space="preserve">International Association for Suicide Prevention. </w:t>
      </w:r>
      <w:r>
        <w:rPr>
          <w:rFonts w:ascii="Calibri" w:eastAsia="Times New Roman" w:hAnsi="Calibri" w:cs="Calibri"/>
          <w:color w:val="000000"/>
          <w:kern w:val="0"/>
          <w:lang w:eastAsia="es-ES"/>
        </w:rPr>
        <w:t xml:space="preserve">(2022). </w:t>
      </w:r>
      <w:r>
        <w:rPr>
          <w:rFonts w:ascii="Calibri" w:eastAsia="Times New Roman" w:hAnsi="Calibri" w:cs="Calibri"/>
          <w:i/>
          <w:iCs/>
          <w:color w:val="000000"/>
          <w:kern w:val="0"/>
          <w:lang w:eastAsia="es-ES"/>
        </w:rPr>
        <w:t xml:space="preserve">Creando esperanza a través de la acción: Día Mundial para la Prevención del Suicidio. </w:t>
      </w:r>
      <w:hyperlink r:id="rId44" w:history="1">
        <w:r>
          <w:rPr>
            <w:rStyle w:val="Hipervnculo"/>
            <w:rFonts w:ascii="Calibri" w:eastAsia="Times New Roman" w:hAnsi="Calibri" w:cs="Calibri"/>
            <w:kern w:val="0"/>
            <w:lang w:val="en-US" w:eastAsia="es-ES"/>
          </w:rPr>
          <w:t>https://www.iasp.info/wspd2022/</w:t>
        </w:r>
      </w:hyperlink>
      <w:r>
        <w:rPr>
          <w:rFonts w:ascii="Calibri" w:eastAsia="Times New Roman" w:hAnsi="Calibri" w:cs="Calibri"/>
          <w:color w:val="000000"/>
          <w:kern w:val="0"/>
          <w:lang w:val="en-US" w:eastAsia="es-ES"/>
        </w:rPr>
        <w:t> </w:t>
      </w:r>
    </w:p>
    <w:p w14:paraId="7D1AF53A"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 xml:space="preserve">Kawashima, D., &amp; Kawano, K. (2017). Meaning reconstruction process after suicide: Life story of a </w:t>
      </w:r>
      <w:proofErr w:type="gramStart"/>
      <w:r>
        <w:rPr>
          <w:rFonts w:ascii="Calibri" w:eastAsia="Times New Roman" w:hAnsi="Calibri" w:cs="Calibri"/>
          <w:color w:val="000000"/>
          <w:kern w:val="0"/>
          <w:lang w:val="en-US" w:eastAsia="es-ES"/>
        </w:rPr>
        <w:t>Japanese  woman</w:t>
      </w:r>
      <w:proofErr w:type="gramEnd"/>
      <w:r>
        <w:rPr>
          <w:rFonts w:ascii="Calibri" w:eastAsia="Times New Roman" w:hAnsi="Calibri" w:cs="Calibri"/>
          <w:color w:val="000000"/>
          <w:kern w:val="0"/>
          <w:lang w:val="en-US" w:eastAsia="es-ES"/>
        </w:rPr>
        <w:t xml:space="preserve"> who lost her son to suicide. </w:t>
      </w:r>
      <w:r>
        <w:rPr>
          <w:rFonts w:ascii="Calibri" w:eastAsia="Times New Roman" w:hAnsi="Calibri" w:cs="Calibri"/>
          <w:i/>
          <w:iCs/>
          <w:color w:val="000000"/>
          <w:kern w:val="0"/>
          <w:lang w:val="en-US" w:eastAsia="es-ES"/>
        </w:rPr>
        <w:t xml:space="preserve">OMEGA –Journal </w:t>
      </w:r>
      <w:proofErr w:type="gramStart"/>
      <w:r>
        <w:rPr>
          <w:rFonts w:ascii="Calibri" w:eastAsia="Times New Roman" w:hAnsi="Calibri" w:cs="Calibri"/>
          <w:i/>
          <w:iCs/>
          <w:color w:val="000000"/>
          <w:kern w:val="0"/>
          <w:lang w:val="en-US" w:eastAsia="es-ES"/>
        </w:rPr>
        <w:t>of  Death</w:t>
      </w:r>
      <w:proofErr w:type="gramEnd"/>
      <w:r>
        <w:rPr>
          <w:rFonts w:ascii="Calibri" w:eastAsia="Times New Roman" w:hAnsi="Calibri" w:cs="Calibri"/>
          <w:i/>
          <w:iCs/>
          <w:color w:val="000000"/>
          <w:kern w:val="0"/>
          <w:lang w:val="en-US" w:eastAsia="es-ES"/>
        </w:rPr>
        <w:t> and Dying, 75</w:t>
      </w:r>
      <w:r>
        <w:rPr>
          <w:rFonts w:ascii="Calibri" w:eastAsia="Times New Roman" w:hAnsi="Calibri" w:cs="Calibri"/>
          <w:color w:val="000000"/>
          <w:kern w:val="0"/>
          <w:lang w:val="en-US" w:eastAsia="es-ES"/>
        </w:rPr>
        <w:t xml:space="preserve">(4), 360–375. </w:t>
      </w:r>
      <w:r>
        <w:fldChar w:fldCharType="begin"/>
      </w:r>
      <w:r w:rsidRPr="00420CC8">
        <w:rPr>
          <w:lang w:val="en-US"/>
        </w:rPr>
        <w:instrText xml:space="preserve"> HYPERLINK  "https://doi.org/10.1177/0030222816652805" </w:instrText>
      </w:r>
      <w:r>
        <w:fldChar w:fldCharType="separate"/>
      </w:r>
      <w:r>
        <w:rPr>
          <w:rFonts w:ascii="Calibri" w:eastAsia="Times New Roman" w:hAnsi="Calibri" w:cs="Calibri"/>
          <w:color w:val="0563C1"/>
          <w:kern w:val="0"/>
          <w:u w:val="single"/>
          <w:lang w:val="en-US" w:eastAsia="es-ES"/>
        </w:rPr>
        <w:t>https://doi.org/10.1177/0030222816652805</w:t>
      </w:r>
      <w:r>
        <w:fldChar w:fldCharType="end"/>
      </w:r>
      <w:r>
        <w:rPr>
          <w:rFonts w:ascii="Calibri" w:eastAsia="Times New Roman" w:hAnsi="Calibri" w:cs="Calibri"/>
          <w:color w:val="000000"/>
          <w:kern w:val="0"/>
          <w:lang w:val="en-US" w:eastAsia="es-ES"/>
        </w:rPr>
        <w:t> </w:t>
      </w:r>
    </w:p>
    <w:p w14:paraId="0E3EB6FF"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Lee, E. (2022). Experiences of bereaved families by suicide in South Korea: A phenomenological study. </w:t>
      </w:r>
      <w:r>
        <w:rPr>
          <w:rFonts w:ascii="Calibri" w:eastAsia="Times New Roman" w:hAnsi="Calibri" w:cs="Calibri"/>
          <w:i/>
          <w:iCs/>
          <w:color w:val="000000"/>
          <w:kern w:val="0"/>
          <w:lang w:val="en-US" w:eastAsia="es-ES"/>
        </w:rPr>
        <w:t>International Journal of Environmental Research and Public Health, 19</w:t>
      </w:r>
      <w:r>
        <w:rPr>
          <w:rFonts w:ascii="Calibri" w:eastAsia="Times New Roman" w:hAnsi="Calibri" w:cs="Calibri"/>
          <w:color w:val="000000"/>
          <w:kern w:val="0"/>
          <w:lang w:val="en-US" w:eastAsia="es-ES"/>
        </w:rPr>
        <w:t>(5), 2969. </w:t>
      </w:r>
      <w:hyperlink r:id="rId45" w:history="1">
        <w:r>
          <w:rPr>
            <w:rFonts w:ascii="Calibri" w:eastAsia="Times New Roman" w:hAnsi="Calibri" w:cs="Calibri"/>
            <w:color w:val="0563C1"/>
            <w:kern w:val="0"/>
            <w:u w:val="single"/>
            <w:lang w:val="en-US" w:eastAsia="es-ES"/>
          </w:rPr>
          <w:t>https://doi.org/10.3390/ijerph1905296</w:t>
        </w:r>
      </w:hyperlink>
      <w:r>
        <w:rPr>
          <w:lang w:val="en-US"/>
        </w:rPr>
        <w:t xml:space="preserve"> </w:t>
      </w:r>
      <w:r>
        <w:rPr>
          <w:rFonts w:ascii="Calibri" w:eastAsia="Times New Roman" w:hAnsi="Calibri" w:cs="Calibri"/>
          <w:color w:val="000000"/>
          <w:kern w:val="0"/>
          <w:lang w:val="en-US" w:eastAsia="es-ES"/>
        </w:rPr>
        <w:t> </w:t>
      </w:r>
    </w:p>
    <w:p w14:paraId="16FF111B"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 xml:space="preserve">Lee, E., Kim, S. W., &amp; Enright, R. D. (2019). Beyond grief and survival: Posttraumatic growth through immediate family suicide loss in South Korea. </w:t>
      </w:r>
      <w:r>
        <w:rPr>
          <w:rFonts w:ascii="Calibri" w:eastAsia="Times New Roman" w:hAnsi="Calibri" w:cs="Calibri"/>
          <w:i/>
          <w:iCs/>
          <w:color w:val="000000"/>
          <w:kern w:val="0"/>
          <w:lang w:val="en-US" w:eastAsia="es-ES"/>
        </w:rPr>
        <w:t>OMEGA –Journal of Death and Dying, 79</w:t>
      </w:r>
      <w:r>
        <w:rPr>
          <w:rFonts w:ascii="Calibri" w:eastAsia="Times New Roman" w:hAnsi="Calibri" w:cs="Calibri"/>
          <w:color w:val="000000"/>
          <w:kern w:val="0"/>
          <w:lang w:val="en-US" w:eastAsia="es-ES"/>
        </w:rPr>
        <w:t xml:space="preserve">(4), 414–435. </w:t>
      </w:r>
      <w:r>
        <w:fldChar w:fldCharType="begin"/>
      </w:r>
      <w:r w:rsidRPr="00420CC8">
        <w:rPr>
          <w:lang w:val="en-US"/>
        </w:rPr>
        <w:instrText xml:space="preserve"> HYPERLINK  "https://doi.org/10.1177/0030222817724700" </w:instrText>
      </w:r>
      <w:r>
        <w:fldChar w:fldCharType="separate"/>
      </w:r>
      <w:r>
        <w:rPr>
          <w:rFonts w:ascii="Calibri" w:eastAsia="Times New Roman" w:hAnsi="Calibri" w:cs="Calibri"/>
          <w:color w:val="0563C1"/>
          <w:kern w:val="0"/>
          <w:u w:val="single"/>
          <w:lang w:val="en-US" w:eastAsia="es-ES"/>
        </w:rPr>
        <w:t>https://doi.org/10.1177/0030222817724700</w:t>
      </w:r>
      <w:r>
        <w:fldChar w:fldCharType="end"/>
      </w:r>
      <w:r>
        <w:rPr>
          <w:rFonts w:ascii="Calibri" w:eastAsia="Times New Roman" w:hAnsi="Calibri" w:cs="Calibri"/>
          <w:color w:val="000000"/>
          <w:kern w:val="0"/>
          <w:lang w:val="en-US" w:eastAsia="es-ES"/>
        </w:rPr>
        <w:t> </w:t>
      </w:r>
    </w:p>
    <w:p w14:paraId="524002B0"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 xml:space="preserve">O'Connell, S., Troya, M. I., Arensman, E., &amp; Griffin, E. (2024). "That feeling of solidarity and not being alone is </w:t>
      </w:r>
      <w:proofErr w:type="gramStart"/>
      <w:r>
        <w:rPr>
          <w:rFonts w:ascii="Calibri" w:eastAsia="Times New Roman" w:hAnsi="Calibri" w:cs="Calibri"/>
          <w:color w:val="000000"/>
          <w:kern w:val="0"/>
          <w:lang w:val="en-US" w:eastAsia="es-ES"/>
        </w:rPr>
        <w:t>incredibly,</w:t>
      </w:r>
      <w:proofErr w:type="gramEnd"/>
      <w:r>
        <w:rPr>
          <w:rFonts w:ascii="Calibri" w:eastAsia="Times New Roman" w:hAnsi="Calibri" w:cs="Calibri"/>
          <w:color w:val="000000"/>
          <w:kern w:val="0"/>
          <w:lang w:val="en-US" w:eastAsia="es-ES"/>
        </w:rPr>
        <w:t xml:space="preserve"> incredibly healing": A qualitative study of participating in suicide bereavement peer support groups. </w:t>
      </w:r>
      <w:r>
        <w:rPr>
          <w:rFonts w:ascii="Calibri" w:eastAsia="Times New Roman" w:hAnsi="Calibri" w:cs="Calibri"/>
          <w:i/>
          <w:iCs/>
          <w:color w:val="000000"/>
          <w:kern w:val="0"/>
          <w:lang w:val="en-US" w:eastAsia="es-ES"/>
        </w:rPr>
        <w:t>Death Studies, 48</w:t>
      </w:r>
      <w:r>
        <w:rPr>
          <w:rFonts w:ascii="Calibri" w:eastAsia="Times New Roman" w:hAnsi="Calibri" w:cs="Calibri"/>
          <w:color w:val="000000"/>
          <w:kern w:val="0"/>
          <w:lang w:val="en-US" w:eastAsia="es-ES"/>
        </w:rPr>
        <w:t xml:space="preserve">(2), 176–186. </w:t>
      </w:r>
      <w:r>
        <w:fldChar w:fldCharType="begin"/>
      </w:r>
      <w:r w:rsidRPr="00420CC8">
        <w:rPr>
          <w:lang w:val="en-US"/>
        </w:rPr>
        <w:instrText xml:space="preserve"> HYPERLINK  "https://doi.org/10.1080/07481187.2023.2201922" </w:instrText>
      </w:r>
      <w:r>
        <w:fldChar w:fldCharType="separate"/>
      </w:r>
      <w:r>
        <w:rPr>
          <w:rFonts w:ascii="Calibri" w:eastAsia="Times New Roman" w:hAnsi="Calibri" w:cs="Calibri"/>
          <w:color w:val="0563C1"/>
          <w:kern w:val="0"/>
          <w:u w:val="single"/>
          <w:lang w:val="en-US" w:eastAsia="es-ES"/>
        </w:rPr>
        <w:t>https://doi.org/10.1080/07481187.2023.2201922</w:t>
      </w:r>
      <w:r>
        <w:fldChar w:fldCharType="end"/>
      </w:r>
      <w:r>
        <w:rPr>
          <w:rFonts w:ascii="Calibri" w:eastAsia="Times New Roman" w:hAnsi="Calibri" w:cs="Calibri"/>
          <w:color w:val="000000"/>
          <w:kern w:val="0"/>
          <w:lang w:val="en-US" w:eastAsia="es-ES"/>
        </w:rPr>
        <w:t> </w:t>
      </w:r>
    </w:p>
    <w:p w14:paraId="7CB3F785"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Peters, K., Cunningham, C., Murphy, G., &amp; Jackson, D. (2016). 'People look down on you when you tell them how he died': Qualitative insights into stigma as experienced by suicide survivors. </w:t>
      </w:r>
      <w:r>
        <w:rPr>
          <w:rFonts w:ascii="Calibri" w:eastAsia="Times New Roman" w:hAnsi="Calibri" w:cs="Calibri"/>
          <w:i/>
          <w:iCs/>
          <w:color w:val="000000"/>
          <w:kern w:val="0"/>
          <w:lang w:val="en-US" w:eastAsia="es-ES"/>
        </w:rPr>
        <w:t>International Journal of Mental Health Nursing, 25</w:t>
      </w:r>
      <w:r>
        <w:rPr>
          <w:rFonts w:ascii="Calibri" w:eastAsia="Times New Roman" w:hAnsi="Calibri" w:cs="Calibri"/>
          <w:color w:val="000000"/>
          <w:kern w:val="0"/>
          <w:lang w:val="en-US" w:eastAsia="es-ES"/>
        </w:rPr>
        <w:t>(3), 251–257. </w:t>
      </w:r>
      <w:hyperlink r:id="rId46" w:history="1">
        <w:r>
          <w:rPr>
            <w:rFonts w:ascii="Calibri" w:eastAsia="Times New Roman" w:hAnsi="Calibri" w:cs="Calibri"/>
            <w:color w:val="0563C1"/>
            <w:kern w:val="0"/>
            <w:u w:val="single"/>
            <w:lang w:val="en-US" w:eastAsia="es-ES"/>
          </w:rPr>
          <w:t>https: /doi.org/10.1111/inm.12210</w:t>
        </w:r>
      </w:hyperlink>
      <w:r>
        <w:rPr>
          <w:rFonts w:ascii="Calibri" w:eastAsia="Times New Roman" w:hAnsi="Calibri" w:cs="Calibri"/>
          <w:color w:val="000000"/>
          <w:kern w:val="0"/>
          <w:lang w:val="en-US" w:eastAsia="es-ES"/>
        </w:rPr>
        <w:t> </w:t>
      </w:r>
    </w:p>
    <w:p w14:paraId="1F2BA480"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lastRenderedPageBreak/>
        <w:t xml:space="preserve">Scheff, T. J. (2000). Shame and the social bond: A sociological theory. </w:t>
      </w:r>
      <w:r>
        <w:rPr>
          <w:rFonts w:ascii="Calibri" w:eastAsia="Times New Roman" w:hAnsi="Calibri" w:cs="Calibri"/>
          <w:i/>
          <w:iCs/>
          <w:color w:val="000000"/>
          <w:kern w:val="0"/>
          <w:lang w:val="en-US" w:eastAsia="es-ES"/>
        </w:rPr>
        <w:t>Sociological Theory, 18</w:t>
      </w:r>
      <w:r>
        <w:rPr>
          <w:rFonts w:ascii="Calibri" w:eastAsia="Times New Roman" w:hAnsi="Calibri" w:cs="Calibri"/>
          <w:color w:val="000000"/>
          <w:kern w:val="0"/>
          <w:lang w:val="en-US" w:eastAsia="es-ES"/>
        </w:rPr>
        <w:t xml:space="preserve">(1), 84–99. </w:t>
      </w:r>
      <w:r>
        <w:fldChar w:fldCharType="begin"/>
      </w:r>
      <w:r w:rsidRPr="00420CC8">
        <w:rPr>
          <w:lang w:val="en-US"/>
        </w:rPr>
        <w:instrText xml:space="preserve"> HYPERLINK  "https://doi.org/10.1111/0735-2751.00089" </w:instrText>
      </w:r>
      <w:r>
        <w:fldChar w:fldCharType="separate"/>
      </w:r>
      <w:r>
        <w:rPr>
          <w:rStyle w:val="Hipervnculo"/>
          <w:rFonts w:ascii="Calibri" w:eastAsia="Times New Roman" w:hAnsi="Calibri" w:cs="Calibri"/>
          <w:kern w:val="0"/>
          <w:lang w:val="en-US" w:eastAsia="es-ES"/>
        </w:rPr>
        <w:t>https://doi.org/10.1111/0735-2751.00089</w:t>
      </w:r>
      <w:r>
        <w:fldChar w:fldCharType="end"/>
      </w:r>
      <w:r>
        <w:rPr>
          <w:rFonts w:ascii="Calibri" w:eastAsia="Times New Roman" w:hAnsi="Calibri" w:cs="Calibri"/>
          <w:color w:val="000000"/>
          <w:kern w:val="0"/>
          <w:lang w:val="en-US" w:eastAsia="es-ES"/>
        </w:rPr>
        <w:t> </w:t>
      </w:r>
    </w:p>
    <w:p w14:paraId="68528DA7"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Sheehan, L., Corrigan, P. W., Al-Khouja, M. A., Lewy, S. A., Major, D. R., Mead, J., Redmon, M., Rubey, C. T., &amp; Weber, S. (2016). Behind closed doors: The stigma of suicide loss survivors. </w:t>
      </w:r>
      <w:r>
        <w:rPr>
          <w:rFonts w:ascii="Calibri" w:eastAsia="Times New Roman" w:hAnsi="Calibri" w:cs="Calibri"/>
          <w:i/>
          <w:iCs/>
          <w:color w:val="000000"/>
          <w:kern w:val="0"/>
          <w:lang w:val="en-US" w:eastAsia="es-ES"/>
        </w:rPr>
        <w:t>OMEGA – Journal of Death and Dying, 77</w:t>
      </w:r>
      <w:r>
        <w:rPr>
          <w:rFonts w:ascii="Calibri" w:eastAsia="Times New Roman" w:hAnsi="Calibri" w:cs="Calibri"/>
          <w:color w:val="000000"/>
          <w:kern w:val="0"/>
          <w:lang w:val="en-US" w:eastAsia="es-ES"/>
        </w:rPr>
        <w:t xml:space="preserve">(4), 330–349. </w:t>
      </w:r>
      <w:hyperlink r:id="rId47" w:history="1">
        <w:r>
          <w:rPr>
            <w:rFonts w:ascii="Calibri" w:eastAsia="Times New Roman" w:hAnsi="Calibri" w:cs="Calibri"/>
            <w:color w:val="0563C1"/>
            <w:kern w:val="0"/>
            <w:u w:val="single"/>
            <w:lang w:val="en-US" w:eastAsia="es-ES"/>
          </w:rPr>
          <w:t>https://doi.org/10.1177/0030222816674215</w:t>
        </w:r>
      </w:hyperlink>
      <w:r>
        <w:rPr>
          <w:rFonts w:ascii="Calibri" w:eastAsia="Times New Roman" w:hAnsi="Calibri" w:cs="Calibri"/>
          <w:color w:val="000000"/>
          <w:kern w:val="0"/>
          <w:lang w:val="en-US" w:eastAsia="es-ES"/>
        </w:rPr>
        <w:t> </w:t>
      </w:r>
    </w:p>
    <w:p w14:paraId="421120A0"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Shields, C., Russo, K., &amp; Kavanagh, M. (2019). Angels of courage: The experiences of mothers who have been bereaved by suicide. </w:t>
      </w:r>
      <w:r>
        <w:rPr>
          <w:rFonts w:ascii="Calibri" w:eastAsia="Times New Roman" w:hAnsi="Calibri" w:cs="Calibri"/>
          <w:i/>
          <w:iCs/>
          <w:color w:val="000000"/>
          <w:kern w:val="0"/>
          <w:lang w:val="en-US" w:eastAsia="es-ES"/>
        </w:rPr>
        <w:t>OMEGA – Journal of Death and Dying, 80</w:t>
      </w:r>
      <w:r>
        <w:rPr>
          <w:rFonts w:ascii="Calibri" w:eastAsia="Times New Roman" w:hAnsi="Calibri" w:cs="Calibri"/>
          <w:color w:val="000000"/>
          <w:kern w:val="0"/>
          <w:lang w:val="en-US" w:eastAsia="es-ES"/>
        </w:rPr>
        <w:t>(2), 175–201. </w:t>
      </w:r>
      <w:r>
        <w:fldChar w:fldCharType="begin"/>
      </w:r>
      <w:r w:rsidRPr="00420CC8">
        <w:rPr>
          <w:lang w:val="en-US"/>
        </w:rPr>
        <w:instrText xml:space="preserve"> HYPERLINK  "https://doi.org/10.1177/0030222817725180" </w:instrText>
      </w:r>
      <w:r>
        <w:fldChar w:fldCharType="separate"/>
      </w:r>
      <w:r>
        <w:rPr>
          <w:rFonts w:ascii="Calibri" w:eastAsia="Times New Roman" w:hAnsi="Calibri" w:cs="Calibri"/>
          <w:color w:val="0563C1"/>
          <w:kern w:val="0"/>
          <w:u w:val="single"/>
          <w:lang w:val="en-US" w:eastAsia="es-ES"/>
        </w:rPr>
        <w:t>https://doi.org/10.1177/0030222817725180</w:t>
      </w:r>
      <w:r>
        <w:fldChar w:fldCharType="end"/>
      </w:r>
      <w:r>
        <w:rPr>
          <w:rFonts w:ascii="Calibri" w:eastAsia="Times New Roman" w:hAnsi="Calibri" w:cs="Calibri"/>
          <w:color w:val="000000"/>
          <w:kern w:val="0"/>
          <w:lang w:val="en-US" w:eastAsia="es-ES"/>
        </w:rPr>
        <w:t> </w:t>
      </w:r>
    </w:p>
    <w:p w14:paraId="261D759D"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Silva de Almeida, V. A., Shintani, A. O., Reis Vargas, P., Cavalcante Passos, I., &amp; Moreira-Almeida, A. (2025). Religiosity and spirituality in coping with suicide grief: A review. </w:t>
      </w:r>
      <w:r>
        <w:rPr>
          <w:rFonts w:ascii="Calibri" w:eastAsia="Times New Roman" w:hAnsi="Calibri" w:cs="Calibri"/>
          <w:i/>
          <w:iCs/>
          <w:color w:val="000000"/>
          <w:kern w:val="0"/>
          <w:lang w:val="en-US" w:eastAsia="es-ES"/>
        </w:rPr>
        <w:t>International Journal of Social Psychiatry, 71</w:t>
      </w:r>
      <w:r>
        <w:rPr>
          <w:rFonts w:ascii="Calibri" w:eastAsia="Times New Roman" w:hAnsi="Calibri" w:cs="Calibri"/>
          <w:color w:val="000000"/>
          <w:kern w:val="0"/>
          <w:lang w:val="en-US" w:eastAsia="es-ES"/>
        </w:rPr>
        <w:t>(7), 1235–1246. </w:t>
      </w:r>
      <w:r>
        <w:fldChar w:fldCharType="begin"/>
      </w:r>
      <w:r w:rsidRPr="00420CC8">
        <w:rPr>
          <w:lang w:val="en-US"/>
        </w:rPr>
        <w:instrText xml:space="preserve"> HYPERLINK  "https://doi.org/10.1177/00207640251345508" </w:instrText>
      </w:r>
      <w:r>
        <w:fldChar w:fldCharType="separate"/>
      </w:r>
      <w:r>
        <w:rPr>
          <w:rFonts w:ascii="Calibri" w:eastAsia="Times New Roman" w:hAnsi="Calibri" w:cs="Calibri"/>
          <w:color w:val="0563C1"/>
          <w:kern w:val="0"/>
          <w:u w:val="single"/>
          <w:lang w:val="en-US" w:eastAsia="es-ES"/>
        </w:rPr>
        <w:t>https://doi.org/10.1177/00207640251345508</w:t>
      </w:r>
      <w:r>
        <w:fldChar w:fldCharType="end"/>
      </w:r>
      <w:r>
        <w:rPr>
          <w:rFonts w:ascii="Calibri" w:eastAsia="Times New Roman" w:hAnsi="Calibri" w:cs="Calibri"/>
          <w:color w:val="000000"/>
          <w:kern w:val="0"/>
          <w:lang w:val="en-US" w:eastAsia="es-ES"/>
        </w:rPr>
        <w:t> </w:t>
      </w:r>
    </w:p>
    <w:p w14:paraId="5335D98E" w14:textId="77777777" w:rsidR="00CC07FD" w:rsidRDefault="00000000">
      <w:pPr>
        <w:spacing w:after="220" w:line="360" w:lineRule="auto"/>
        <w:ind w:left="-170" w:right="6" w:firstLine="709"/>
        <w:jc w:val="both"/>
        <w:textAlignment w:val="baseline"/>
      </w:pPr>
      <w:r>
        <w:rPr>
          <w:rFonts w:ascii="Calibri" w:eastAsia="Times New Roman" w:hAnsi="Calibri" w:cs="Calibri"/>
          <w:color w:val="000000"/>
          <w:kern w:val="0"/>
          <w:lang w:val="en-US" w:eastAsia="es-ES"/>
        </w:rPr>
        <w:t xml:space="preserve">Tzeng, W. C., Su, P. Y., Chiang, H. </w:t>
      </w:r>
      <w:proofErr w:type="gramStart"/>
      <w:r>
        <w:rPr>
          <w:rFonts w:ascii="Calibri" w:eastAsia="Times New Roman" w:hAnsi="Calibri" w:cs="Calibri"/>
          <w:color w:val="000000"/>
          <w:kern w:val="0"/>
          <w:lang w:val="en-US" w:eastAsia="es-ES"/>
        </w:rPr>
        <w:t>H.,</w:t>
      </w:r>
      <w:proofErr w:type="gramEnd"/>
      <w:r>
        <w:rPr>
          <w:rFonts w:ascii="Calibri" w:eastAsia="Times New Roman" w:hAnsi="Calibri" w:cs="Calibri"/>
          <w:color w:val="000000"/>
          <w:kern w:val="0"/>
          <w:lang w:val="en-US" w:eastAsia="es-ES"/>
        </w:rPr>
        <w:t> Kuan, P. Y., &amp; Lee, J. F. (2010). The invisible family: A qualitative study of suicide survivors in Taiwan. </w:t>
      </w:r>
      <w:r>
        <w:rPr>
          <w:rFonts w:ascii="Calibri" w:eastAsia="Times New Roman" w:hAnsi="Calibri" w:cs="Calibri"/>
          <w:i/>
          <w:iCs/>
          <w:color w:val="000000"/>
          <w:kern w:val="0"/>
          <w:lang w:eastAsia="es-ES"/>
        </w:rPr>
        <w:t>Western </w:t>
      </w:r>
      <w:proofErr w:type="spellStart"/>
      <w:r>
        <w:rPr>
          <w:rFonts w:ascii="Calibri" w:eastAsia="Times New Roman" w:hAnsi="Calibri" w:cs="Calibri"/>
          <w:i/>
          <w:iCs/>
          <w:color w:val="000000"/>
          <w:kern w:val="0"/>
          <w:lang w:eastAsia="es-ES"/>
        </w:rPr>
        <w:t>Journal</w:t>
      </w:r>
      <w:proofErr w:type="spellEnd"/>
      <w:r>
        <w:rPr>
          <w:rFonts w:ascii="Calibri" w:eastAsia="Times New Roman" w:hAnsi="Calibri" w:cs="Calibri"/>
          <w:i/>
          <w:iCs/>
          <w:color w:val="000000"/>
          <w:kern w:val="0"/>
          <w:lang w:eastAsia="es-ES"/>
        </w:rPr>
        <w:t> </w:t>
      </w:r>
      <w:proofErr w:type="spellStart"/>
      <w:r>
        <w:rPr>
          <w:rFonts w:ascii="Calibri" w:eastAsia="Times New Roman" w:hAnsi="Calibri" w:cs="Calibri"/>
          <w:i/>
          <w:iCs/>
          <w:color w:val="000000"/>
          <w:kern w:val="0"/>
          <w:lang w:eastAsia="es-ES"/>
        </w:rPr>
        <w:t>of</w:t>
      </w:r>
      <w:proofErr w:type="spellEnd"/>
      <w:r>
        <w:rPr>
          <w:rFonts w:ascii="Calibri" w:eastAsia="Times New Roman" w:hAnsi="Calibri" w:cs="Calibri"/>
          <w:i/>
          <w:iCs/>
          <w:color w:val="000000"/>
          <w:kern w:val="0"/>
          <w:lang w:eastAsia="es-ES"/>
        </w:rPr>
        <w:t> </w:t>
      </w:r>
      <w:proofErr w:type="spellStart"/>
      <w:r>
        <w:rPr>
          <w:rFonts w:ascii="Calibri" w:eastAsia="Times New Roman" w:hAnsi="Calibri" w:cs="Calibri"/>
          <w:i/>
          <w:iCs/>
          <w:color w:val="000000"/>
          <w:kern w:val="0"/>
          <w:lang w:eastAsia="es-ES"/>
        </w:rPr>
        <w:t>Nursing</w:t>
      </w:r>
      <w:proofErr w:type="spellEnd"/>
      <w:r>
        <w:rPr>
          <w:rFonts w:ascii="Calibri" w:eastAsia="Times New Roman" w:hAnsi="Calibri" w:cs="Calibri"/>
          <w:i/>
          <w:iCs/>
          <w:color w:val="000000"/>
          <w:kern w:val="0"/>
          <w:lang w:eastAsia="es-ES"/>
        </w:rPr>
        <w:t> </w:t>
      </w:r>
      <w:proofErr w:type="spellStart"/>
      <w:r>
        <w:rPr>
          <w:rFonts w:ascii="Calibri" w:eastAsia="Times New Roman" w:hAnsi="Calibri" w:cs="Calibri"/>
          <w:i/>
          <w:iCs/>
          <w:color w:val="000000"/>
          <w:kern w:val="0"/>
          <w:lang w:eastAsia="es-ES"/>
        </w:rPr>
        <w:t>Research</w:t>
      </w:r>
      <w:proofErr w:type="spellEnd"/>
      <w:r>
        <w:rPr>
          <w:rFonts w:ascii="Calibri" w:eastAsia="Times New Roman" w:hAnsi="Calibri" w:cs="Calibri"/>
          <w:i/>
          <w:iCs/>
          <w:color w:val="000000"/>
          <w:kern w:val="0"/>
          <w:lang w:eastAsia="es-ES"/>
        </w:rPr>
        <w:t>, 32</w:t>
      </w:r>
      <w:r>
        <w:rPr>
          <w:rFonts w:ascii="Calibri" w:eastAsia="Times New Roman" w:hAnsi="Calibri" w:cs="Calibri"/>
          <w:color w:val="000000"/>
          <w:kern w:val="0"/>
          <w:lang w:eastAsia="es-ES"/>
        </w:rPr>
        <w:t>(2), 185–198. </w:t>
      </w:r>
    </w:p>
    <w:p w14:paraId="53E80E67"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eastAsia="es-ES"/>
        </w:rPr>
        <w:t>Urdanivia Kozima, D. (2019). </w:t>
      </w:r>
      <w:r>
        <w:rPr>
          <w:rFonts w:ascii="Calibri" w:eastAsia="Times New Roman" w:hAnsi="Calibri" w:cs="Calibri"/>
          <w:i/>
          <w:iCs/>
          <w:color w:val="000000"/>
          <w:kern w:val="0"/>
          <w:lang w:eastAsia="es-ES"/>
        </w:rPr>
        <w:t>Vivencias de supervivientes a pérdida por suicidio que asisten a un grupo de autoayuda</w:t>
      </w:r>
      <w:r>
        <w:rPr>
          <w:rFonts w:ascii="Calibri" w:eastAsia="Times New Roman" w:hAnsi="Calibri" w:cs="Calibri"/>
          <w:color w:val="000000"/>
          <w:kern w:val="0"/>
          <w:lang w:eastAsia="es-ES"/>
        </w:rPr>
        <w:t> [Tesis de pregrado, Universidad Peruana de Ciencias Aplicadas]. </w:t>
      </w:r>
      <w:hyperlink r:id="rId48" w:history="1">
        <w:r>
          <w:rPr>
            <w:rFonts w:ascii="Calibri" w:eastAsia="Times New Roman" w:hAnsi="Calibri" w:cs="Calibri"/>
            <w:color w:val="0563C1"/>
            <w:kern w:val="0"/>
            <w:u w:val="single"/>
            <w:lang w:val="en-US" w:eastAsia="es-ES"/>
          </w:rPr>
          <w:t>https://hdl.handle.net/10757/650445</w:t>
        </w:r>
      </w:hyperlink>
      <w:r>
        <w:rPr>
          <w:rFonts w:ascii="Calibri" w:eastAsia="Times New Roman" w:hAnsi="Calibri" w:cs="Calibri"/>
          <w:color w:val="000000"/>
          <w:kern w:val="0"/>
          <w:lang w:val="en-US" w:eastAsia="es-ES"/>
        </w:rPr>
        <w:t> </w:t>
      </w:r>
    </w:p>
    <w:p w14:paraId="087D5BE4"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Weiss, M. G., Ramakrishna, J., &amp; Somma, D. (2006). Health-related stigma: Rethinking concepts and interventions. </w:t>
      </w:r>
      <w:r>
        <w:rPr>
          <w:rFonts w:ascii="Calibri" w:eastAsia="Times New Roman" w:hAnsi="Calibri" w:cs="Calibri"/>
          <w:i/>
          <w:iCs/>
          <w:color w:val="000000"/>
          <w:kern w:val="0"/>
          <w:lang w:val="en-US" w:eastAsia="es-ES"/>
        </w:rPr>
        <w:t>Psychology, Health &amp; Medicine, 11</w:t>
      </w:r>
      <w:r>
        <w:rPr>
          <w:rFonts w:ascii="Calibri" w:eastAsia="Times New Roman" w:hAnsi="Calibri" w:cs="Calibri"/>
          <w:color w:val="000000"/>
          <w:kern w:val="0"/>
          <w:lang w:val="en-US" w:eastAsia="es-ES"/>
        </w:rPr>
        <w:t>(3), 277–287. </w:t>
      </w:r>
      <w:hyperlink r:id="rId49" w:history="1">
        <w:r>
          <w:rPr>
            <w:rFonts w:ascii="Calibri" w:eastAsia="Times New Roman" w:hAnsi="Calibri" w:cs="Calibri"/>
            <w:color w:val="0563C1"/>
            <w:kern w:val="0"/>
            <w:u w:val="single"/>
            <w:lang w:val="en-US" w:eastAsia="es-ES"/>
          </w:rPr>
          <w:t>https://doi.org/10.1080/13548500600595053</w:t>
        </w:r>
      </w:hyperlink>
      <w:r>
        <w:rPr>
          <w:rFonts w:ascii="Calibri" w:eastAsia="Times New Roman" w:hAnsi="Calibri" w:cs="Calibri"/>
          <w:color w:val="000000"/>
          <w:kern w:val="0"/>
          <w:lang w:val="en-US" w:eastAsia="es-ES"/>
        </w:rPr>
        <w:t> </w:t>
      </w:r>
    </w:p>
    <w:p w14:paraId="4C3ADE78"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World Health Organization. (2000). </w:t>
      </w:r>
      <w:r>
        <w:rPr>
          <w:rFonts w:ascii="Calibri" w:eastAsia="Times New Roman" w:hAnsi="Calibri" w:cs="Calibri"/>
          <w:i/>
          <w:iCs/>
          <w:color w:val="000000"/>
          <w:kern w:val="0"/>
          <w:lang w:val="en-US" w:eastAsia="es-ES"/>
        </w:rPr>
        <w:t>Preventing suicide: How to start a survivors' group</w:t>
      </w:r>
      <w:r>
        <w:rPr>
          <w:rFonts w:ascii="Calibri" w:eastAsia="Times New Roman" w:hAnsi="Calibri" w:cs="Calibri"/>
          <w:color w:val="000000"/>
          <w:kern w:val="0"/>
          <w:lang w:val="en-US" w:eastAsia="es-ES"/>
        </w:rPr>
        <w:t> (OMS/MNH/MBD/00.6). World Health Organization. </w:t>
      </w:r>
      <w:hyperlink r:id="rId50" w:history="1">
        <w:r>
          <w:rPr>
            <w:rFonts w:ascii="Calibri" w:eastAsia="Times New Roman" w:hAnsi="Calibri" w:cs="Calibri"/>
            <w:color w:val="0563C1"/>
            <w:kern w:val="0"/>
            <w:u w:val="single"/>
            <w:lang w:val="en-US" w:eastAsia="es-ES"/>
          </w:rPr>
          <w:t>https://iris.who.int/handle/10665/67606</w:t>
        </w:r>
      </w:hyperlink>
      <w:r>
        <w:rPr>
          <w:rFonts w:ascii="Calibri" w:eastAsia="Times New Roman" w:hAnsi="Calibri" w:cs="Calibri"/>
          <w:color w:val="000000"/>
          <w:kern w:val="0"/>
          <w:lang w:val="en-US" w:eastAsia="es-ES"/>
        </w:rPr>
        <w:t> </w:t>
      </w:r>
    </w:p>
    <w:p w14:paraId="0975749E" w14:textId="77777777" w:rsidR="00CC07FD" w:rsidRPr="00420CC8" w:rsidRDefault="00000000">
      <w:pPr>
        <w:spacing w:after="220" w:line="360" w:lineRule="auto"/>
        <w:ind w:left="-170" w:right="6" w:firstLine="709"/>
        <w:textAlignment w:val="baseline"/>
        <w:rPr>
          <w:lang w:val="en-US"/>
        </w:rPr>
      </w:pPr>
      <w:r>
        <w:rPr>
          <w:rFonts w:ascii="Calibri" w:eastAsia="Times New Roman" w:hAnsi="Calibri" w:cs="Calibri"/>
          <w:color w:val="000000"/>
          <w:kern w:val="0"/>
          <w:lang w:val="en-US" w:eastAsia="es-ES"/>
        </w:rPr>
        <w:lastRenderedPageBreak/>
        <w:t xml:space="preserve">World Health Organization. (2025). </w:t>
      </w:r>
      <w:r>
        <w:rPr>
          <w:rFonts w:ascii="Calibri" w:eastAsia="Times New Roman" w:hAnsi="Calibri" w:cs="Calibri"/>
          <w:i/>
          <w:iCs/>
          <w:color w:val="000000"/>
          <w:kern w:val="0"/>
          <w:lang w:val="en-US" w:eastAsia="es-ES"/>
        </w:rPr>
        <w:t xml:space="preserve">Preventing suicide: How to start a suicide bereavement support group. </w:t>
      </w:r>
      <w:r>
        <w:rPr>
          <w:rFonts w:ascii="Calibri" w:eastAsia="Times New Roman" w:hAnsi="Calibri" w:cs="Calibri"/>
          <w:color w:val="000000"/>
          <w:kern w:val="0"/>
          <w:lang w:val="en-US" w:eastAsia="es-ES"/>
        </w:rPr>
        <w:t xml:space="preserve">World Health Organization. </w:t>
      </w:r>
      <w:hyperlink r:id="rId51" w:history="1">
        <w:r>
          <w:rPr>
            <w:rStyle w:val="Hipervnculo"/>
            <w:rFonts w:ascii="Calibri" w:eastAsia="Times New Roman" w:hAnsi="Calibri" w:cs="Calibri"/>
            <w:color w:val="0E2841"/>
            <w:kern w:val="0"/>
            <w:lang w:val="en-US" w:eastAsia="es-ES"/>
          </w:rPr>
          <w:t>https://iris.who.int/handle/10665/112233</w:t>
        </w:r>
      </w:hyperlink>
      <w:r>
        <w:rPr>
          <w:rFonts w:ascii="Calibri" w:eastAsia="Times New Roman" w:hAnsi="Calibri" w:cs="Calibri"/>
          <w:color w:val="0E2841"/>
          <w:kern w:val="0"/>
          <w:lang w:val="en-US" w:eastAsia="es-ES"/>
        </w:rPr>
        <w:t> </w:t>
      </w:r>
    </w:p>
    <w:p w14:paraId="7A078EC3" w14:textId="77777777" w:rsidR="00CC07FD" w:rsidRPr="00420CC8" w:rsidRDefault="00000000">
      <w:pPr>
        <w:spacing w:after="220" w:line="360" w:lineRule="auto"/>
        <w:ind w:left="-170" w:right="6" w:firstLine="709"/>
        <w:jc w:val="both"/>
        <w:textAlignment w:val="baseline"/>
        <w:rPr>
          <w:lang w:val="en-US"/>
        </w:rPr>
      </w:pPr>
      <w:r>
        <w:rPr>
          <w:rFonts w:ascii="Calibri" w:eastAsia="Times New Roman" w:hAnsi="Calibri" w:cs="Calibri"/>
          <w:color w:val="000000"/>
          <w:kern w:val="0"/>
          <w:lang w:val="en-US" w:eastAsia="es-ES"/>
        </w:rPr>
        <w:t xml:space="preserve">Young, I. T., </w:t>
      </w:r>
      <w:proofErr w:type="spellStart"/>
      <w:r>
        <w:rPr>
          <w:rFonts w:ascii="Calibri" w:eastAsia="Times New Roman" w:hAnsi="Calibri" w:cs="Calibri"/>
          <w:color w:val="000000"/>
          <w:kern w:val="0"/>
          <w:lang w:val="en-US" w:eastAsia="es-ES"/>
        </w:rPr>
        <w:t>Iglewicz</w:t>
      </w:r>
      <w:proofErr w:type="spellEnd"/>
      <w:r>
        <w:rPr>
          <w:rFonts w:ascii="Calibri" w:eastAsia="Times New Roman" w:hAnsi="Calibri" w:cs="Calibri"/>
          <w:color w:val="000000"/>
          <w:kern w:val="0"/>
          <w:lang w:val="en-US" w:eastAsia="es-ES"/>
        </w:rPr>
        <w:t xml:space="preserve">, A., Glorioso, D., Lanouette, N., Seay, K., Ilapakurti, M., &amp; </w:t>
      </w:r>
      <w:proofErr w:type="spellStart"/>
      <w:r>
        <w:rPr>
          <w:rFonts w:ascii="Calibri" w:eastAsia="Times New Roman" w:hAnsi="Calibri" w:cs="Calibri"/>
          <w:color w:val="000000"/>
          <w:kern w:val="0"/>
          <w:lang w:val="en-US" w:eastAsia="es-ES"/>
        </w:rPr>
        <w:t>Zisook</w:t>
      </w:r>
      <w:proofErr w:type="spellEnd"/>
      <w:r>
        <w:rPr>
          <w:rFonts w:ascii="Calibri" w:eastAsia="Times New Roman" w:hAnsi="Calibri" w:cs="Calibri"/>
          <w:color w:val="000000"/>
          <w:kern w:val="0"/>
          <w:lang w:val="en-US" w:eastAsia="es-ES"/>
        </w:rPr>
        <w:t xml:space="preserve">, S. (2012). Suicide bereavement and complicated grief. </w:t>
      </w:r>
      <w:r>
        <w:rPr>
          <w:rFonts w:ascii="Calibri" w:eastAsia="Times New Roman" w:hAnsi="Calibri" w:cs="Calibri"/>
          <w:i/>
          <w:iCs/>
          <w:color w:val="000000"/>
          <w:kern w:val="0"/>
          <w:lang w:val="en-US" w:eastAsia="es-ES"/>
        </w:rPr>
        <w:t>Dialogues in Clinical Neuroscience, 14</w:t>
      </w:r>
      <w:r>
        <w:rPr>
          <w:rFonts w:ascii="Calibri" w:eastAsia="Times New Roman" w:hAnsi="Calibri" w:cs="Calibri"/>
          <w:color w:val="000000"/>
          <w:kern w:val="0"/>
          <w:lang w:val="en-US" w:eastAsia="es-ES"/>
        </w:rPr>
        <w:t xml:space="preserve">(2), 177–186. </w:t>
      </w:r>
      <w:hyperlink r:id="rId52" w:history="1">
        <w:r>
          <w:rPr>
            <w:rFonts w:ascii="Calibri" w:eastAsia="Times New Roman" w:hAnsi="Calibri" w:cs="Calibri"/>
            <w:color w:val="0563C1"/>
            <w:kern w:val="0"/>
            <w:u w:val="single"/>
            <w:lang w:val="en-US" w:eastAsia="es-ES"/>
          </w:rPr>
          <w:t>https://doi.org/10.31887/DCNS.2012.14.2/iyoung</w:t>
        </w:r>
      </w:hyperlink>
      <w:r>
        <w:rPr>
          <w:rFonts w:ascii="Calibri" w:eastAsia="Times New Roman" w:hAnsi="Calibri" w:cs="Calibri"/>
          <w:color w:val="000000"/>
          <w:kern w:val="0"/>
          <w:lang w:val="en-US" w:eastAsia="es-ES"/>
        </w:rPr>
        <w:t> </w:t>
      </w:r>
    </w:p>
    <w:p w14:paraId="0EFCC5FB" w14:textId="77777777" w:rsidR="00CC07FD" w:rsidRDefault="00000000">
      <w:pPr>
        <w:spacing w:after="220" w:line="360" w:lineRule="auto"/>
        <w:ind w:left="-170" w:right="6" w:firstLine="709"/>
        <w:jc w:val="both"/>
        <w:textAlignment w:val="baseline"/>
      </w:pPr>
      <w:proofErr w:type="spellStart"/>
      <w:r>
        <w:rPr>
          <w:rFonts w:ascii="Calibri" w:eastAsia="Times New Roman" w:hAnsi="Calibri" w:cs="Calibri"/>
          <w:color w:val="000000"/>
          <w:kern w:val="0"/>
          <w:lang w:val="en-US" w:eastAsia="es-ES"/>
        </w:rPr>
        <w:t>Zavrou</w:t>
      </w:r>
      <w:proofErr w:type="spellEnd"/>
      <w:r>
        <w:rPr>
          <w:rFonts w:ascii="Calibri" w:eastAsia="Times New Roman" w:hAnsi="Calibri" w:cs="Calibri"/>
          <w:color w:val="000000"/>
          <w:kern w:val="0"/>
          <w:lang w:val="en-US" w:eastAsia="es-ES"/>
        </w:rPr>
        <w:t>, R., Charalambous, A., Papastavrou, E., </w:t>
      </w:r>
      <w:proofErr w:type="spellStart"/>
      <w:r>
        <w:rPr>
          <w:rFonts w:ascii="Calibri" w:eastAsia="Times New Roman" w:hAnsi="Calibri" w:cs="Calibri"/>
          <w:color w:val="000000"/>
          <w:kern w:val="0"/>
          <w:lang w:val="en-US" w:eastAsia="es-ES"/>
        </w:rPr>
        <w:t>Koutrouba</w:t>
      </w:r>
      <w:proofErr w:type="spellEnd"/>
      <w:r>
        <w:rPr>
          <w:rFonts w:ascii="Calibri" w:eastAsia="Times New Roman" w:hAnsi="Calibri" w:cs="Calibri"/>
          <w:color w:val="000000"/>
          <w:kern w:val="0"/>
          <w:lang w:val="en-US" w:eastAsia="es-ES"/>
        </w:rPr>
        <w:t>, A., &amp; </w:t>
      </w:r>
      <w:proofErr w:type="spellStart"/>
      <w:r>
        <w:rPr>
          <w:rFonts w:ascii="Calibri" w:eastAsia="Times New Roman" w:hAnsi="Calibri" w:cs="Calibri"/>
          <w:color w:val="000000"/>
          <w:kern w:val="0"/>
          <w:lang w:val="en-US" w:eastAsia="es-ES"/>
        </w:rPr>
        <w:t>Karanikola</w:t>
      </w:r>
      <w:proofErr w:type="spellEnd"/>
      <w:r>
        <w:rPr>
          <w:rFonts w:ascii="Calibri" w:eastAsia="Times New Roman" w:hAnsi="Calibri" w:cs="Calibri"/>
          <w:color w:val="000000"/>
          <w:kern w:val="0"/>
          <w:lang w:val="en-US" w:eastAsia="es-ES"/>
        </w:rPr>
        <w:t xml:space="preserve">, M. (2023). Trying to keep alive a non-traumatizing memory of the deceased: A meta-synthesis on the interpretation of loss in suicide-bereaved family members, their coping strategies and the effects on them. </w:t>
      </w:r>
      <w:r>
        <w:rPr>
          <w:rFonts w:ascii="Calibri" w:eastAsia="Times New Roman" w:hAnsi="Calibri" w:cs="Calibri"/>
          <w:i/>
          <w:iCs/>
          <w:color w:val="000000"/>
          <w:kern w:val="0"/>
          <w:lang w:val="en-US" w:eastAsia="es-ES"/>
        </w:rPr>
        <w:t>Journal of Psychiatric and Mental Health Nursing, 30</w:t>
      </w:r>
      <w:r>
        <w:rPr>
          <w:rFonts w:ascii="Calibri" w:eastAsia="Times New Roman" w:hAnsi="Calibri" w:cs="Calibri"/>
          <w:color w:val="000000"/>
          <w:kern w:val="0"/>
          <w:lang w:val="en-US" w:eastAsia="es-ES"/>
        </w:rPr>
        <w:t>(2), 182–207.</w:t>
      </w:r>
      <w:hyperlink r:id="rId53" w:history="1">
        <w:r>
          <w:rPr>
            <w:rFonts w:ascii="Calibri" w:eastAsia="Times New Roman" w:hAnsi="Calibri" w:cs="Calibri"/>
            <w:color w:val="0563C1"/>
            <w:kern w:val="0"/>
            <w:u w:val="single"/>
            <w:lang w:val="en-US" w:eastAsia="es-ES"/>
          </w:rPr>
          <w:t>https://doi.org/10.1111/jpm.12866</w:t>
        </w:r>
      </w:hyperlink>
      <w:r>
        <w:rPr>
          <w:rFonts w:ascii="Calibri" w:eastAsia="Times New Roman" w:hAnsi="Calibri" w:cs="Calibri"/>
          <w:color w:val="000000"/>
          <w:kern w:val="0"/>
          <w:lang w:val="en-US" w:eastAsia="es-ES"/>
        </w:rPr>
        <w:t> </w:t>
      </w:r>
    </w:p>
    <w:p w14:paraId="1243DA78" w14:textId="77777777" w:rsidR="00CC07FD" w:rsidRDefault="00CC07FD">
      <w:pPr>
        <w:spacing w:line="360" w:lineRule="auto"/>
        <w:jc w:val="both"/>
        <w:rPr>
          <w:lang w:val="en-US"/>
        </w:rPr>
      </w:pPr>
    </w:p>
    <w:sectPr w:rsidR="00CC07FD">
      <w:pgSz w:w="11906" w:h="16838"/>
      <w:pgMar w:top="1417" w:right="1701"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1A949" w14:textId="77777777" w:rsidR="00016A09" w:rsidRDefault="00016A09">
      <w:pPr>
        <w:spacing w:after="0" w:line="240" w:lineRule="auto"/>
      </w:pPr>
      <w:r>
        <w:separator/>
      </w:r>
    </w:p>
  </w:endnote>
  <w:endnote w:type="continuationSeparator" w:id="0">
    <w:p w14:paraId="237EB768" w14:textId="77777777" w:rsidR="00016A09" w:rsidRDefault="00016A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30821" w14:textId="77777777" w:rsidR="00016A09" w:rsidRDefault="00016A09">
      <w:pPr>
        <w:spacing w:after="0" w:line="240" w:lineRule="auto"/>
      </w:pPr>
      <w:r>
        <w:rPr>
          <w:color w:val="000000"/>
        </w:rPr>
        <w:separator/>
      </w:r>
    </w:p>
  </w:footnote>
  <w:footnote w:type="continuationSeparator" w:id="0">
    <w:p w14:paraId="2EF416F7" w14:textId="77777777" w:rsidR="00016A09" w:rsidRDefault="00016A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CC07FD"/>
    <w:rsid w:val="00016A09"/>
    <w:rsid w:val="00420CC8"/>
    <w:rsid w:val="00A35002"/>
    <w:rsid w:val="00CC07F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00BB39"/>
  <w15:docId w15:val="{2FA58111-7780-412D-850E-0099A375E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s-ES"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paragraph" w:styleId="Ttulo1">
    <w:name w:val="heading 1"/>
    <w:basedOn w:val="Normal"/>
    <w:next w:val="Normal"/>
    <w:uiPriority w:val="9"/>
    <w:qFormat/>
    <w:pPr>
      <w:keepNext/>
      <w:keepLines/>
      <w:spacing w:before="360" w:after="80"/>
      <w:outlineLvl w:val="0"/>
    </w:pPr>
    <w:rPr>
      <w:rFonts w:ascii="Aptos Display" w:eastAsia="Times New Roman" w:hAnsi="Aptos Display"/>
      <w:color w:val="0F4761"/>
      <w:sz w:val="40"/>
      <w:szCs w:val="40"/>
    </w:rPr>
  </w:style>
  <w:style w:type="paragraph" w:styleId="Ttulo2">
    <w:name w:val="heading 2"/>
    <w:basedOn w:val="Normal"/>
    <w:next w:val="Normal"/>
    <w:uiPriority w:val="9"/>
    <w:unhideWhenUsed/>
    <w:qFormat/>
    <w:pPr>
      <w:keepNext/>
      <w:keepLines/>
      <w:spacing w:before="160" w:after="80"/>
      <w:outlineLvl w:val="1"/>
    </w:pPr>
    <w:rPr>
      <w:rFonts w:ascii="Aptos Display" w:eastAsia="Times New Roman" w:hAnsi="Aptos Display"/>
      <w:color w:val="0F4761"/>
      <w:sz w:val="32"/>
      <w:szCs w:val="32"/>
    </w:rPr>
  </w:style>
  <w:style w:type="paragraph" w:styleId="Ttulo3">
    <w:name w:val="heading 3"/>
    <w:basedOn w:val="Normal"/>
    <w:next w:val="Normal"/>
    <w:uiPriority w:val="9"/>
    <w:unhideWhenUsed/>
    <w:qFormat/>
    <w:pPr>
      <w:keepNext/>
      <w:keepLines/>
      <w:spacing w:before="160" w:after="80"/>
      <w:outlineLvl w:val="2"/>
    </w:pPr>
    <w:rPr>
      <w:rFonts w:eastAsia="Times New Roman"/>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rFonts w:eastAsia="Times New Roman"/>
      <w:i/>
      <w:iCs/>
      <w:color w:val="0F4761"/>
    </w:rPr>
  </w:style>
  <w:style w:type="paragraph" w:styleId="Ttulo5">
    <w:name w:val="heading 5"/>
    <w:basedOn w:val="Normal"/>
    <w:next w:val="Normal"/>
    <w:uiPriority w:val="9"/>
    <w:semiHidden/>
    <w:unhideWhenUsed/>
    <w:qFormat/>
    <w:pPr>
      <w:keepNext/>
      <w:keepLines/>
      <w:spacing w:before="80" w:after="40"/>
      <w:outlineLvl w:val="4"/>
    </w:pPr>
    <w:rPr>
      <w:rFonts w:eastAsia="Times New Roman"/>
      <w:color w:val="0F4761"/>
    </w:rPr>
  </w:style>
  <w:style w:type="paragraph" w:styleId="Ttulo6">
    <w:name w:val="heading 6"/>
    <w:basedOn w:val="Normal"/>
    <w:next w:val="Normal"/>
    <w:uiPriority w:val="9"/>
    <w:semiHidden/>
    <w:unhideWhenUsed/>
    <w:qFormat/>
    <w:pPr>
      <w:keepNext/>
      <w:keepLines/>
      <w:spacing w:before="40" w:after="0"/>
      <w:outlineLvl w:val="5"/>
    </w:pPr>
    <w:rPr>
      <w:rFonts w:eastAsia="Times New Roman"/>
      <w:i/>
      <w:iCs/>
      <w:color w:val="595959"/>
    </w:rPr>
  </w:style>
  <w:style w:type="paragraph" w:styleId="Ttulo7">
    <w:name w:val="heading 7"/>
    <w:basedOn w:val="Normal"/>
    <w:next w:val="Normal"/>
    <w:pPr>
      <w:keepNext/>
      <w:keepLines/>
      <w:spacing w:before="40" w:after="0"/>
      <w:outlineLvl w:val="6"/>
    </w:pPr>
    <w:rPr>
      <w:rFonts w:eastAsia="Times New Roman"/>
      <w:color w:val="595959"/>
    </w:rPr>
  </w:style>
  <w:style w:type="paragraph" w:styleId="Ttulo8">
    <w:name w:val="heading 8"/>
    <w:basedOn w:val="Normal"/>
    <w:next w:val="Normal"/>
    <w:pPr>
      <w:keepNext/>
      <w:keepLines/>
      <w:spacing w:after="0"/>
      <w:outlineLvl w:val="7"/>
    </w:pPr>
    <w:rPr>
      <w:rFonts w:eastAsia="Times New Roman"/>
      <w:i/>
      <w:iCs/>
      <w:color w:val="272727"/>
    </w:rPr>
  </w:style>
  <w:style w:type="paragraph" w:styleId="Ttulo9">
    <w:name w:val="heading 9"/>
    <w:basedOn w:val="Normal"/>
    <w:next w:val="Normal"/>
    <w:pPr>
      <w:keepNext/>
      <w:keepLines/>
      <w:spacing w:after="0"/>
      <w:outlineLvl w:val="8"/>
    </w:pPr>
    <w:rPr>
      <w:rFonts w:eastAsia="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rPr>
      <w:rFonts w:ascii="Aptos Display" w:eastAsia="Times New Roman" w:hAnsi="Aptos Display" w:cs="Times New Roman"/>
      <w:color w:val="0F4761"/>
      <w:sz w:val="40"/>
      <w:szCs w:val="40"/>
    </w:rPr>
  </w:style>
  <w:style w:type="character" w:customStyle="1" w:styleId="Ttulo2Car">
    <w:name w:val="Título 2 Car"/>
    <w:basedOn w:val="Fuentedeprrafopredeter"/>
    <w:rPr>
      <w:rFonts w:ascii="Aptos Display" w:eastAsia="Times New Roman" w:hAnsi="Aptos Display" w:cs="Times New Roman"/>
      <w:color w:val="0F4761"/>
      <w:sz w:val="32"/>
      <w:szCs w:val="32"/>
    </w:rPr>
  </w:style>
  <w:style w:type="character" w:customStyle="1" w:styleId="Ttulo3Car">
    <w:name w:val="Título 3 Car"/>
    <w:basedOn w:val="Fuentedeprrafopredeter"/>
    <w:rPr>
      <w:rFonts w:eastAsia="Times New Roman" w:cs="Times New Roman"/>
      <w:color w:val="0F4761"/>
      <w:sz w:val="28"/>
      <w:szCs w:val="28"/>
    </w:rPr>
  </w:style>
  <w:style w:type="character" w:customStyle="1" w:styleId="Ttulo4Car">
    <w:name w:val="Título 4 Car"/>
    <w:basedOn w:val="Fuentedeprrafopredeter"/>
    <w:rPr>
      <w:rFonts w:eastAsia="Times New Roman" w:cs="Times New Roman"/>
      <w:i/>
      <w:iCs/>
      <w:color w:val="0F4761"/>
    </w:rPr>
  </w:style>
  <w:style w:type="character" w:customStyle="1" w:styleId="Ttulo5Car">
    <w:name w:val="Título 5 Car"/>
    <w:basedOn w:val="Fuentedeprrafopredeter"/>
    <w:rPr>
      <w:rFonts w:eastAsia="Times New Roman" w:cs="Times New Roman"/>
      <w:color w:val="0F4761"/>
    </w:rPr>
  </w:style>
  <w:style w:type="character" w:customStyle="1" w:styleId="Ttulo6Car">
    <w:name w:val="Título 6 Car"/>
    <w:basedOn w:val="Fuentedeprrafopredeter"/>
    <w:rPr>
      <w:rFonts w:eastAsia="Times New Roman" w:cs="Times New Roman"/>
      <w:i/>
      <w:iCs/>
      <w:color w:val="595959"/>
    </w:rPr>
  </w:style>
  <w:style w:type="character" w:customStyle="1" w:styleId="Ttulo7Car">
    <w:name w:val="Título 7 Car"/>
    <w:basedOn w:val="Fuentedeprrafopredeter"/>
    <w:rPr>
      <w:rFonts w:eastAsia="Times New Roman" w:cs="Times New Roman"/>
      <w:color w:val="595959"/>
    </w:rPr>
  </w:style>
  <w:style w:type="character" w:customStyle="1" w:styleId="Ttulo8Car">
    <w:name w:val="Título 8 Car"/>
    <w:basedOn w:val="Fuentedeprrafopredeter"/>
    <w:rPr>
      <w:rFonts w:eastAsia="Times New Roman" w:cs="Times New Roman"/>
      <w:i/>
      <w:iCs/>
      <w:color w:val="272727"/>
    </w:rPr>
  </w:style>
  <w:style w:type="character" w:customStyle="1" w:styleId="Ttulo9Car">
    <w:name w:val="Título 9 Car"/>
    <w:basedOn w:val="Fuentedeprrafopredeter"/>
    <w:rPr>
      <w:rFonts w:eastAsia="Times New Roman" w:cs="Times New Roman"/>
      <w:color w:val="272727"/>
    </w:rPr>
  </w:style>
  <w:style w:type="paragraph" w:styleId="Ttulo">
    <w:name w:val="Title"/>
    <w:basedOn w:val="Normal"/>
    <w:next w:val="Normal"/>
    <w:uiPriority w:val="10"/>
    <w:qFormat/>
    <w:pPr>
      <w:spacing w:after="80" w:line="240" w:lineRule="auto"/>
      <w:contextualSpacing/>
    </w:pPr>
    <w:rPr>
      <w:rFonts w:ascii="Aptos Display" w:eastAsia="Times New Roman" w:hAnsi="Aptos Display"/>
      <w:spacing w:val="-10"/>
      <w:sz w:val="56"/>
      <w:szCs w:val="56"/>
    </w:rPr>
  </w:style>
  <w:style w:type="character" w:customStyle="1" w:styleId="TtuloCar">
    <w:name w:val="Título Car"/>
    <w:basedOn w:val="Fuentedeprrafopredeter"/>
    <w:rPr>
      <w:rFonts w:ascii="Aptos Display" w:eastAsia="Times New Roman" w:hAnsi="Aptos Display" w:cs="Times New Roman"/>
      <w:spacing w:val="-10"/>
      <w:kern w:val="3"/>
      <w:sz w:val="56"/>
      <w:szCs w:val="56"/>
    </w:rPr>
  </w:style>
  <w:style w:type="paragraph" w:styleId="Subttulo">
    <w:name w:val="Subtitle"/>
    <w:basedOn w:val="Normal"/>
    <w:next w:val="Normal"/>
    <w:uiPriority w:val="11"/>
    <w:qFormat/>
    <w:rPr>
      <w:rFonts w:eastAsia="Times New Roman"/>
      <w:color w:val="595959"/>
      <w:spacing w:val="15"/>
      <w:sz w:val="28"/>
      <w:szCs w:val="28"/>
    </w:rPr>
  </w:style>
  <w:style w:type="character" w:customStyle="1" w:styleId="SubttuloCar">
    <w:name w:val="Subtítulo Car"/>
    <w:basedOn w:val="Fuentedeprrafopredeter"/>
    <w:rPr>
      <w:rFonts w:eastAsia="Times New Roman" w:cs="Times New Roman"/>
      <w:color w:val="595959"/>
      <w:spacing w:val="15"/>
      <w:sz w:val="28"/>
      <w:szCs w:val="28"/>
    </w:rPr>
  </w:style>
  <w:style w:type="paragraph" w:styleId="Cita">
    <w:name w:val="Quote"/>
    <w:basedOn w:val="Normal"/>
    <w:next w:val="Normal"/>
    <w:pPr>
      <w:spacing w:before="160"/>
      <w:jc w:val="center"/>
    </w:pPr>
    <w:rPr>
      <w:i/>
      <w:iCs/>
      <w:color w:val="404040"/>
    </w:rPr>
  </w:style>
  <w:style w:type="character" w:customStyle="1" w:styleId="CitaCar">
    <w:name w:val="Cita Car"/>
    <w:basedOn w:val="Fuentedeprrafopredeter"/>
    <w:rPr>
      <w:i/>
      <w:iCs/>
      <w:color w:val="404040"/>
    </w:rPr>
  </w:style>
  <w:style w:type="paragraph" w:styleId="Prrafodelista">
    <w:name w:val="List Paragraph"/>
    <w:basedOn w:val="Normal"/>
    <w:pPr>
      <w:ind w:left="720"/>
      <w:contextualSpacing/>
    </w:pPr>
  </w:style>
  <w:style w:type="character" w:styleId="nfasisintenso">
    <w:name w:val="Intense Emphasis"/>
    <w:basedOn w:val="Fuentedeprrafopredeter"/>
    <w:rPr>
      <w:i/>
      <w:iCs/>
      <w:color w:val="0F4761"/>
    </w:rPr>
  </w:style>
  <w:style w:type="paragraph" w:styleId="Citadestacada">
    <w:name w:val="Intense Quote"/>
    <w:basedOn w:val="Normal"/>
    <w:next w:val="Normal"/>
    <w:pPr>
      <w:pBdr>
        <w:top w:val="single" w:sz="4" w:space="10" w:color="0F4761"/>
        <w:bottom w:val="single" w:sz="4" w:space="10" w:color="0F4761"/>
      </w:pBdr>
      <w:spacing w:before="360" w:after="360"/>
      <w:ind w:left="864" w:right="864"/>
      <w:jc w:val="center"/>
    </w:pPr>
    <w:rPr>
      <w:i/>
      <w:iCs/>
      <w:color w:val="0F4761"/>
    </w:rPr>
  </w:style>
  <w:style w:type="character" w:customStyle="1" w:styleId="CitadestacadaCar">
    <w:name w:val="Cita destacada Car"/>
    <w:basedOn w:val="Fuentedeprrafopredeter"/>
    <w:rPr>
      <w:i/>
      <w:iCs/>
      <w:color w:val="0F4761"/>
    </w:rPr>
  </w:style>
  <w:style w:type="character" w:styleId="Referenciaintensa">
    <w:name w:val="Intense Reference"/>
    <w:basedOn w:val="Fuentedeprrafopredeter"/>
    <w:rPr>
      <w:b/>
      <w:bCs/>
      <w:smallCaps/>
      <w:color w:val="0F4761"/>
      <w:spacing w:val="5"/>
    </w:rPr>
  </w:style>
  <w:style w:type="paragraph" w:styleId="Revisin">
    <w:name w:val="Revision"/>
    <w:pPr>
      <w:spacing w:after="0" w:line="240" w:lineRule="auto"/>
    </w:pPr>
  </w:style>
  <w:style w:type="paragraph" w:customStyle="1" w:styleId="font-claude-response-body">
    <w:name w:val="font-claude-response-body"/>
    <w:basedOn w:val="Normal"/>
    <w:pPr>
      <w:suppressAutoHyphens w:val="0"/>
      <w:spacing w:before="100" w:after="100" w:line="240" w:lineRule="auto"/>
    </w:pPr>
    <w:rPr>
      <w:rFonts w:ascii="Times New Roman" w:eastAsia="Times New Roman" w:hAnsi="Times New Roman"/>
      <w:kern w:val="0"/>
      <w:lang w:eastAsia="es-ES"/>
    </w:rPr>
  </w:style>
  <w:style w:type="paragraph" w:styleId="NormalWeb">
    <w:name w:val="Normal (Web)"/>
    <w:basedOn w:val="Normal"/>
    <w:rPr>
      <w:rFonts w:ascii="Times New Roman" w:hAnsi="Times New Roman"/>
    </w:rPr>
  </w:style>
  <w:style w:type="character" w:styleId="Refdecomentario">
    <w:name w:val="annotation reference"/>
    <w:basedOn w:val="Fuentedeprrafopredeter"/>
    <w:rPr>
      <w:sz w:val="16"/>
      <w:szCs w:val="16"/>
    </w:rPr>
  </w:style>
  <w:style w:type="paragraph" w:styleId="Textocomentario">
    <w:name w:val="annotation text"/>
    <w:basedOn w:val="Normal"/>
    <w:pPr>
      <w:spacing w:line="240" w:lineRule="auto"/>
    </w:pPr>
    <w:rPr>
      <w:sz w:val="20"/>
      <w:szCs w:val="20"/>
    </w:rPr>
  </w:style>
  <w:style w:type="character" w:customStyle="1" w:styleId="TextocomentarioCar">
    <w:name w:val="Texto comentario Car"/>
    <w:basedOn w:val="Fuentedeprrafopredeter"/>
    <w:rPr>
      <w:sz w:val="20"/>
      <w:szCs w:val="20"/>
    </w:rPr>
  </w:style>
  <w:style w:type="paragraph" w:styleId="Asuntodelcomentario">
    <w:name w:val="annotation subject"/>
    <w:basedOn w:val="Textocomentario"/>
    <w:next w:val="Textocomentario"/>
    <w:rPr>
      <w:b/>
      <w:bCs/>
    </w:rPr>
  </w:style>
  <w:style w:type="character" w:customStyle="1" w:styleId="AsuntodelcomentarioCar">
    <w:name w:val="Asunto del comentario Car"/>
    <w:basedOn w:val="TextocomentarioCar"/>
    <w:rPr>
      <w:b/>
      <w:bCs/>
      <w:sz w:val="20"/>
      <w:szCs w:val="20"/>
    </w:rPr>
  </w:style>
  <w:style w:type="paragraph" w:styleId="Encabezado">
    <w:name w:val="header"/>
    <w:basedOn w:val="Normal"/>
    <w:pPr>
      <w:tabs>
        <w:tab w:val="center" w:pos="4252"/>
        <w:tab w:val="right" w:pos="8504"/>
      </w:tabs>
      <w:spacing w:after="0" w:line="240" w:lineRule="auto"/>
    </w:pPr>
  </w:style>
  <w:style w:type="character" w:customStyle="1" w:styleId="EncabezadoCar">
    <w:name w:val="Encabezado Car"/>
    <w:basedOn w:val="Fuentedeprrafopredeter"/>
  </w:style>
  <w:style w:type="paragraph" w:styleId="Piedepgina">
    <w:name w:val="footer"/>
    <w:basedOn w:val="Normal"/>
    <w:pPr>
      <w:tabs>
        <w:tab w:val="center" w:pos="4252"/>
        <w:tab w:val="right" w:pos="8504"/>
      </w:tabs>
      <w:spacing w:after="0" w:line="240" w:lineRule="auto"/>
    </w:pPr>
  </w:style>
  <w:style w:type="character" w:customStyle="1" w:styleId="PiedepginaCar">
    <w:name w:val="Pie de página Car"/>
    <w:basedOn w:val="Fuentedeprrafopredeter"/>
  </w:style>
  <w:style w:type="character" w:styleId="Hipervnculo">
    <w:name w:val="Hyperlink"/>
    <w:basedOn w:val="Fuentedeprrafopredeter"/>
    <w:rPr>
      <w:color w:val="467886"/>
      <w:u w:val="single"/>
    </w:rPr>
  </w:style>
  <w:style w:type="character" w:styleId="Mencinsinresolver">
    <w:name w:val="Unresolved Mention"/>
    <w:basedOn w:val="Fuentedeprrafopredeter"/>
    <w:rPr>
      <w:color w:val="605E5C"/>
      <w:shd w:val="clear" w:color="auto" w:fill="E1DFDD"/>
    </w:rPr>
  </w:style>
  <w:style w:type="paragraph" w:styleId="TtuloTDC">
    <w:name w:val="TOC Heading"/>
    <w:basedOn w:val="Ttulo1"/>
    <w:next w:val="Normal"/>
    <w:pPr>
      <w:suppressAutoHyphens w:val="0"/>
      <w:spacing w:before="240" w:after="0" w:line="251" w:lineRule="auto"/>
    </w:pPr>
    <w:rPr>
      <w:kern w:val="0"/>
      <w:sz w:val="32"/>
      <w:szCs w:val="32"/>
      <w:lang w:eastAsia="es-ES"/>
    </w:rPr>
  </w:style>
  <w:style w:type="paragraph" w:styleId="TDC1">
    <w:name w:val="toc 1"/>
    <w:basedOn w:val="Normal"/>
    <w:next w:val="Normal"/>
    <w:autoRedefine/>
    <w:pPr>
      <w:tabs>
        <w:tab w:val="right" w:leader="dot" w:pos="8494"/>
      </w:tabs>
      <w:spacing w:after="100"/>
      <w:jc w:val="both"/>
    </w:pPr>
    <w:rPr>
      <w:rFonts w:ascii="Calibri" w:hAnsi="Calibri" w:cs="Calibri"/>
      <w:b/>
      <w:bCs/>
      <w:lang w:eastAsia="es-ES"/>
    </w:rPr>
  </w:style>
  <w:style w:type="paragraph" w:styleId="TDC2">
    <w:name w:val="toc 2"/>
    <w:basedOn w:val="Normal"/>
    <w:next w:val="Normal"/>
    <w:autoRedefine/>
    <w:pPr>
      <w:tabs>
        <w:tab w:val="right" w:leader="dot" w:pos="8494"/>
      </w:tabs>
      <w:spacing w:after="100" w:line="360" w:lineRule="auto"/>
      <w:ind w:left="240"/>
      <w:jc w:val="both"/>
    </w:pPr>
  </w:style>
  <w:style w:type="paragraph" w:styleId="TDC3">
    <w:name w:val="toc 3"/>
    <w:basedOn w:val="Normal"/>
    <w:next w:val="Normal"/>
    <w:autoRedefine/>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_Toc226667013" TargetMode="External"/><Relationship Id="rId18" Type="http://schemas.openxmlformats.org/officeDocument/2006/relationships/hyperlink" Target="#_Toc226667018" TargetMode="External"/><Relationship Id="rId26" Type="http://schemas.openxmlformats.org/officeDocument/2006/relationships/hyperlink" Target="#_Toc226667026" TargetMode="External"/><Relationship Id="rId39" Type="http://schemas.openxmlformats.org/officeDocument/2006/relationships/hyperlink" Target="#_Toc226667039" TargetMode="External"/><Relationship Id="rId21" Type="http://schemas.openxmlformats.org/officeDocument/2006/relationships/hyperlink" Target="#_Toc226667021" TargetMode="External"/><Relationship Id="rId34" Type="http://schemas.openxmlformats.org/officeDocument/2006/relationships/hyperlink" Target="#_Toc226667034" TargetMode="External"/><Relationship Id="rId42" Type="http://schemas.openxmlformats.org/officeDocument/2006/relationships/image" Target="media/image2.png"/><Relationship Id="rId47" Type="http://schemas.openxmlformats.org/officeDocument/2006/relationships/hyperlink" Target="https://doi.org/10.1177/0030222816674215" TargetMode="External"/><Relationship Id="rId50" Type="http://schemas.openxmlformats.org/officeDocument/2006/relationships/hyperlink" Target="https://iris.who.int/handle/10665/67606" TargetMode="External"/><Relationship Id="rId55" Type="http://schemas.openxmlformats.org/officeDocument/2006/relationships/theme" Target="theme/theme1.xml"/><Relationship Id="rId7" Type="http://schemas.openxmlformats.org/officeDocument/2006/relationships/hyperlink" Target="#_Toc226667007" TargetMode="External"/><Relationship Id="rId2" Type="http://schemas.openxmlformats.org/officeDocument/2006/relationships/settings" Target="settings.xml"/><Relationship Id="rId16" Type="http://schemas.openxmlformats.org/officeDocument/2006/relationships/hyperlink" Target="#_Toc226667016" TargetMode="External"/><Relationship Id="rId29" Type="http://schemas.openxmlformats.org/officeDocument/2006/relationships/hyperlink" Target="#_Toc226667029" TargetMode="External"/><Relationship Id="rId11" Type="http://schemas.openxmlformats.org/officeDocument/2006/relationships/hyperlink" Target="#_Toc226667011" TargetMode="External"/><Relationship Id="rId24" Type="http://schemas.openxmlformats.org/officeDocument/2006/relationships/hyperlink" Target="#_Toc226667024" TargetMode="External"/><Relationship Id="rId32" Type="http://schemas.openxmlformats.org/officeDocument/2006/relationships/hyperlink" Target="#_Toc226667032" TargetMode="External"/><Relationship Id="rId37" Type="http://schemas.openxmlformats.org/officeDocument/2006/relationships/hyperlink" Target="#_Toc226667037" TargetMode="External"/><Relationship Id="rId40" Type="http://schemas.openxmlformats.org/officeDocument/2006/relationships/hyperlink" Target="#_Toc226667040" TargetMode="External"/><Relationship Id="rId45" Type="http://schemas.openxmlformats.org/officeDocument/2006/relationships/hyperlink" Target="https://doi.org/10.3390/ijerph19052969" TargetMode="External"/><Relationship Id="rId53" Type="http://schemas.openxmlformats.org/officeDocument/2006/relationships/hyperlink" Target="https://doi.org/10.1111/jpm.12866" TargetMode="External"/><Relationship Id="rId5" Type="http://schemas.openxmlformats.org/officeDocument/2006/relationships/endnotes" Target="endnotes.xml"/><Relationship Id="rId10" Type="http://schemas.openxmlformats.org/officeDocument/2006/relationships/hyperlink" Target="#_Toc226667010" TargetMode="External"/><Relationship Id="rId19" Type="http://schemas.openxmlformats.org/officeDocument/2006/relationships/hyperlink" Target="#_Toc226667019" TargetMode="External"/><Relationship Id="rId31" Type="http://schemas.openxmlformats.org/officeDocument/2006/relationships/hyperlink" Target="#_Toc226667031" TargetMode="External"/><Relationship Id="rId44" Type="http://schemas.openxmlformats.org/officeDocument/2006/relationships/hyperlink" Target="https://www.iasp.info/wspd2022/" TargetMode="External"/><Relationship Id="rId52" Type="http://schemas.openxmlformats.org/officeDocument/2006/relationships/hyperlink" Target="https://doi.org/10.31887/DCNS.2012.14.2/iyoung" TargetMode="External"/><Relationship Id="rId4" Type="http://schemas.openxmlformats.org/officeDocument/2006/relationships/footnotes" Target="footnotes.xml"/><Relationship Id="rId9" Type="http://schemas.openxmlformats.org/officeDocument/2006/relationships/hyperlink" Target="#_Toc226667009" TargetMode="External"/><Relationship Id="rId14" Type="http://schemas.openxmlformats.org/officeDocument/2006/relationships/hyperlink" Target="#_Toc226667014" TargetMode="External"/><Relationship Id="rId22" Type="http://schemas.openxmlformats.org/officeDocument/2006/relationships/hyperlink" Target="#_Toc226667022" TargetMode="External"/><Relationship Id="rId27" Type="http://schemas.openxmlformats.org/officeDocument/2006/relationships/hyperlink" Target="#_Toc226667027" TargetMode="External"/><Relationship Id="rId30" Type="http://schemas.openxmlformats.org/officeDocument/2006/relationships/hyperlink" Target="#_Toc226667030" TargetMode="External"/><Relationship Id="rId35" Type="http://schemas.openxmlformats.org/officeDocument/2006/relationships/hyperlink" Target="#_Toc226667035" TargetMode="External"/><Relationship Id="rId43" Type="http://schemas.openxmlformats.org/officeDocument/2006/relationships/hyperlink" Target="https://www.jstor.org/stable/2778583" TargetMode="External"/><Relationship Id="rId48" Type="http://schemas.openxmlformats.org/officeDocument/2006/relationships/hyperlink" Target="https://hdl.handle.net/10757/650445" TargetMode="External"/><Relationship Id="rId8" Type="http://schemas.openxmlformats.org/officeDocument/2006/relationships/hyperlink" Target="#_Toc226667008" TargetMode="External"/><Relationship Id="rId51" Type="http://schemas.openxmlformats.org/officeDocument/2006/relationships/hyperlink" Target="https://iris.who.int/handle/10665/112233" TargetMode="External"/><Relationship Id="rId3" Type="http://schemas.openxmlformats.org/officeDocument/2006/relationships/webSettings" Target="webSettings.xml"/><Relationship Id="rId12" Type="http://schemas.openxmlformats.org/officeDocument/2006/relationships/hyperlink" Target="#_Toc226667012" TargetMode="External"/><Relationship Id="rId17" Type="http://schemas.openxmlformats.org/officeDocument/2006/relationships/hyperlink" Target="#_Toc226667017" TargetMode="External"/><Relationship Id="rId25" Type="http://schemas.openxmlformats.org/officeDocument/2006/relationships/hyperlink" Target="#_Toc226667025" TargetMode="External"/><Relationship Id="rId33" Type="http://schemas.openxmlformats.org/officeDocument/2006/relationships/hyperlink" Target="#_Toc226667033" TargetMode="External"/><Relationship Id="rId38" Type="http://schemas.openxmlformats.org/officeDocument/2006/relationships/hyperlink" Target="#_Toc226667038" TargetMode="External"/><Relationship Id="rId46" Type="http://schemas.openxmlformats.org/officeDocument/2006/relationships/hyperlink" Target="https://doi.org/10.1111/inm.12210" TargetMode="External"/><Relationship Id="rId20" Type="http://schemas.openxmlformats.org/officeDocument/2006/relationships/hyperlink" Target="#_Toc226667020" TargetMode="External"/><Relationship Id="rId41" Type="http://schemas.openxmlformats.org/officeDocument/2006/relationships/hyperlink" Target="#_Toc226667041" TargetMode="External"/><Relationship Id="rId54"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hyperlink" Target="#_Toc226667015" TargetMode="External"/><Relationship Id="rId23" Type="http://schemas.openxmlformats.org/officeDocument/2006/relationships/hyperlink" Target="#_Toc226667023" TargetMode="External"/><Relationship Id="rId28" Type="http://schemas.openxmlformats.org/officeDocument/2006/relationships/hyperlink" Target="#_Toc226667028" TargetMode="External"/><Relationship Id="rId36" Type="http://schemas.openxmlformats.org/officeDocument/2006/relationships/hyperlink" Target="#_Toc226667036" TargetMode="External"/><Relationship Id="rId49" Type="http://schemas.openxmlformats.org/officeDocument/2006/relationships/hyperlink" Target="https://doi.org/10.1080/13548500600595053"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37</Pages>
  <Words>11314</Words>
  <Characters>62233</Characters>
  <Application>Microsoft Office Word</Application>
  <DocSecurity>0</DocSecurity>
  <Lines>518</Lines>
  <Paragraphs>146</Paragraphs>
  <ScaleCrop>false</ScaleCrop>
  <Company/>
  <LinksUpToDate>false</LinksUpToDate>
  <CharactersWithSpaces>73401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campos</dc:creator>
  <dc:description/>
  <cp:lastModifiedBy>ana campos</cp:lastModifiedBy>
  <cp:revision>2</cp:revision>
  <dcterms:created xsi:type="dcterms:W3CDTF">2026-04-16T16:47:00Z</dcterms:created>
  <dcterms:modified xsi:type="dcterms:W3CDTF">2026-04-16T16:47:00Z</dcterms:modified>
</cp:coreProperties>
</file>