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16FF24" w14:textId="77777777" w:rsidR="00451AA9" w:rsidRDefault="00451AA9" w:rsidP="001A4BD2">
      <w:pPr>
        <w:spacing w:line="360" w:lineRule="auto"/>
        <w:jc w:val="center"/>
        <w:rPr>
          <w:b/>
          <w:bCs/>
          <w:sz w:val="22"/>
          <w:szCs w:val="22"/>
          <w:lang w:val="es-US"/>
        </w:rPr>
      </w:pPr>
    </w:p>
    <w:p w14:paraId="726B4BE5" w14:textId="2D8518D9" w:rsidR="001A4BD2" w:rsidRPr="00451AA9" w:rsidRDefault="001A4BD2" w:rsidP="00451AA9">
      <w:pPr>
        <w:spacing w:line="480" w:lineRule="auto"/>
        <w:jc w:val="center"/>
        <w:rPr>
          <w:b/>
          <w:bCs/>
          <w:sz w:val="22"/>
          <w:szCs w:val="22"/>
          <w:lang w:val="es-US"/>
        </w:rPr>
      </w:pPr>
      <w:r w:rsidRPr="00451AA9">
        <w:rPr>
          <w:b/>
          <w:bCs/>
          <w:sz w:val="22"/>
          <w:szCs w:val="22"/>
          <w:lang w:val="es-US"/>
        </w:rPr>
        <w:t>Perfilado transdiagnóstico en psicopatología: un puente entre la teoría y la intervención desde el modelo de redes complejas.</w:t>
      </w:r>
    </w:p>
    <w:p w14:paraId="43FF5265" w14:textId="4CF06423" w:rsidR="001A4BD2" w:rsidRPr="00451AA9" w:rsidRDefault="001A4BD2" w:rsidP="00451AA9">
      <w:pPr>
        <w:spacing w:line="480" w:lineRule="auto"/>
        <w:jc w:val="center"/>
        <w:rPr>
          <w:b/>
          <w:bCs/>
          <w:sz w:val="22"/>
          <w:szCs w:val="22"/>
          <w:lang w:val="es-US"/>
        </w:rPr>
      </w:pPr>
      <w:r w:rsidRPr="00451AA9">
        <w:rPr>
          <w:b/>
          <w:bCs/>
          <w:sz w:val="22"/>
          <w:szCs w:val="22"/>
          <w:lang w:val="es-US"/>
        </w:rPr>
        <w:t xml:space="preserve">Primer Borrador </w:t>
      </w:r>
    </w:p>
    <w:p w14:paraId="3D3E6E0E" w14:textId="77777777" w:rsidR="001A4BD2" w:rsidRPr="001A4BD2" w:rsidRDefault="001A4BD2" w:rsidP="001A4BD2">
      <w:pPr>
        <w:spacing w:line="360" w:lineRule="auto"/>
        <w:jc w:val="center"/>
        <w:rPr>
          <w:b/>
          <w:bCs/>
          <w:sz w:val="22"/>
          <w:szCs w:val="22"/>
          <w:lang w:val="es-US"/>
        </w:rPr>
      </w:pPr>
    </w:p>
    <w:p w14:paraId="5F136D2C" w14:textId="39D342B1" w:rsidR="001977DA" w:rsidRPr="001A4BD2" w:rsidRDefault="001A4BD2" w:rsidP="001A4BD2">
      <w:pPr>
        <w:pStyle w:val="ListParagraph"/>
        <w:numPr>
          <w:ilvl w:val="0"/>
          <w:numId w:val="4"/>
        </w:numPr>
        <w:spacing w:line="276" w:lineRule="auto"/>
        <w:rPr>
          <w:lang w:val="es-US"/>
        </w:rPr>
      </w:pPr>
      <w:r>
        <w:rPr>
          <w:lang w:val="es-US"/>
        </w:rPr>
        <w:t>Introducción</w:t>
      </w:r>
    </w:p>
    <w:p w14:paraId="7B3193E3" w14:textId="633A419D" w:rsidR="009925AE" w:rsidRDefault="009925AE" w:rsidP="00310AE9">
      <w:pPr>
        <w:pStyle w:val="ListParagraph"/>
        <w:spacing w:line="276" w:lineRule="auto"/>
        <w:rPr>
          <w:lang w:val="es-ES"/>
        </w:rPr>
      </w:pPr>
    </w:p>
    <w:p w14:paraId="46773D30" w14:textId="528278AD" w:rsidR="001A4BD2" w:rsidRPr="00451AA9" w:rsidRDefault="001A4BD2" w:rsidP="00451AA9">
      <w:pPr>
        <w:pStyle w:val="ListParagraph"/>
        <w:numPr>
          <w:ilvl w:val="0"/>
          <w:numId w:val="5"/>
        </w:numPr>
        <w:spacing w:line="360" w:lineRule="auto"/>
        <w:rPr>
          <w:sz w:val="22"/>
          <w:szCs w:val="22"/>
          <w:lang w:val="es-US"/>
        </w:rPr>
      </w:pPr>
      <w:r w:rsidRPr="00451AA9">
        <w:rPr>
          <w:sz w:val="22"/>
          <w:szCs w:val="22"/>
          <w:lang w:val="es-US"/>
        </w:rPr>
        <w:t xml:space="preserve">Presentación y justificación del tema (contextualización del problema presentado y descripción de la relevancia teórica y clínica del trabajo) – </w:t>
      </w:r>
      <w:r w:rsidRPr="00451AA9">
        <w:rPr>
          <w:i/>
          <w:iCs/>
          <w:sz w:val="22"/>
          <w:szCs w:val="22"/>
          <w:lang w:val="es-US"/>
        </w:rPr>
        <w:t>por elaborar</w:t>
      </w:r>
    </w:p>
    <w:p w14:paraId="6B48E401" w14:textId="2A16998A" w:rsidR="001A4BD2" w:rsidRPr="00451AA9" w:rsidRDefault="00451AA9" w:rsidP="00451AA9">
      <w:pPr>
        <w:pStyle w:val="ListParagraph"/>
        <w:numPr>
          <w:ilvl w:val="0"/>
          <w:numId w:val="5"/>
        </w:numPr>
        <w:spacing w:line="360" w:lineRule="auto"/>
        <w:rPr>
          <w:sz w:val="22"/>
          <w:szCs w:val="22"/>
          <w:lang w:val="es-US"/>
        </w:rPr>
      </w:pPr>
      <w:r>
        <w:rPr>
          <w:sz w:val="22"/>
          <w:szCs w:val="22"/>
          <w:lang w:val="es-US"/>
        </w:rPr>
        <w:t>Breve historia, ventajas y limitaciones del paradigma diagnóstico.</w:t>
      </w:r>
    </w:p>
    <w:p w14:paraId="419A824A" w14:textId="77777777" w:rsidR="00451AA9" w:rsidRPr="001A4BD2" w:rsidRDefault="00451AA9" w:rsidP="00310AE9">
      <w:pPr>
        <w:spacing w:line="276" w:lineRule="auto"/>
        <w:rPr>
          <w:lang w:val="es-ES"/>
        </w:rPr>
      </w:pPr>
    </w:p>
    <w:p w14:paraId="12146C37" w14:textId="0A854F45" w:rsidR="002E16A9" w:rsidRPr="001A4BD2" w:rsidRDefault="00711B01" w:rsidP="00310AE9">
      <w:pPr>
        <w:spacing w:line="276" w:lineRule="auto"/>
        <w:rPr>
          <w:i/>
          <w:iCs/>
          <w:lang w:val="es-ES"/>
        </w:rPr>
      </w:pPr>
      <w:r w:rsidRPr="001A4BD2">
        <w:rPr>
          <w:i/>
          <w:iCs/>
          <w:lang w:val="es-ES"/>
        </w:rPr>
        <w:t xml:space="preserve">Una breve historia del paradigma diagnóstico </w:t>
      </w:r>
    </w:p>
    <w:p w14:paraId="61E7BE16" w14:textId="77777777" w:rsidR="00711B01" w:rsidRPr="001A4BD2" w:rsidRDefault="00711B01" w:rsidP="001A4BD2">
      <w:pPr>
        <w:spacing w:line="360" w:lineRule="auto"/>
        <w:jc w:val="both"/>
        <w:rPr>
          <w:lang w:val="es-ES"/>
        </w:rPr>
      </w:pPr>
    </w:p>
    <w:p w14:paraId="2FD27B1E" w14:textId="297458D3" w:rsidR="005D0B6D" w:rsidRPr="001A4BD2" w:rsidRDefault="002E16A9" w:rsidP="001A4BD2">
      <w:pPr>
        <w:spacing w:line="360" w:lineRule="auto"/>
        <w:jc w:val="both"/>
        <w:rPr>
          <w:lang w:val="es-ES"/>
        </w:rPr>
      </w:pPr>
      <w:r w:rsidRPr="001A4BD2">
        <w:rPr>
          <w:lang w:val="es-ES"/>
        </w:rPr>
        <w:t xml:space="preserve">Entre las manifestaciones más relevantes del paradigma diagnóstico en salud mental </w:t>
      </w:r>
      <w:r w:rsidR="007C44A0" w:rsidRPr="001A4BD2">
        <w:rPr>
          <w:lang w:val="es-ES"/>
        </w:rPr>
        <w:t>se encuentra</w:t>
      </w:r>
      <w:r w:rsidRPr="001A4BD2">
        <w:rPr>
          <w:lang w:val="es-ES"/>
        </w:rPr>
        <w:t xml:space="preserve"> </w:t>
      </w:r>
      <w:r w:rsidR="00E36CB6" w:rsidRPr="001A4BD2">
        <w:rPr>
          <w:lang w:val="es-ES"/>
        </w:rPr>
        <w:t>e</w:t>
      </w:r>
      <w:r w:rsidRPr="001A4BD2">
        <w:rPr>
          <w:lang w:val="es-ES"/>
        </w:rPr>
        <w:t>l Manual</w:t>
      </w:r>
      <w:r w:rsidR="00E36CB6" w:rsidRPr="001A4BD2">
        <w:rPr>
          <w:lang w:val="es-ES"/>
        </w:rPr>
        <w:t xml:space="preserve"> Diagnóstico y</w:t>
      </w:r>
      <w:r w:rsidRPr="001A4BD2">
        <w:rPr>
          <w:lang w:val="es-ES"/>
        </w:rPr>
        <w:t xml:space="preserve"> </w:t>
      </w:r>
      <w:r w:rsidR="00E36CB6" w:rsidRPr="001A4BD2">
        <w:rPr>
          <w:lang w:val="es-ES"/>
        </w:rPr>
        <w:t xml:space="preserve">Estadístico de los Trastorno Mentales </w:t>
      </w:r>
      <w:r w:rsidRPr="001A4BD2">
        <w:rPr>
          <w:lang w:val="es-ES"/>
        </w:rPr>
        <w:t>(DSM</w:t>
      </w:r>
      <w:r w:rsidR="006C0A4A" w:rsidRPr="001A4BD2">
        <w:rPr>
          <w:lang w:val="es-ES"/>
        </w:rPr>
        <w:t>; American Psychiatric Association, 2022</w:t>
      </w:r>
      <w:r w:rsidRPr="001A4BD2">
        <w:rPr>
          <w:lang w:val="es-ES"/>
        </w:rPr>
        <w:t>). Publicado por primera vez en 1952 (</w:t>
      </w:r>
      <w:r w:rsidR="004E71F2" w:rsidRPr="001A4BD2">
        <w:rPr>
          <w:lang w:val="es-ES"/>
        </w:rPr>
        <w:t>Mayes &amp; Horwitz, 2005</w:t>
      </w:r>
      <w:r w:rsidRPr="001A4BD2">
        <w:rPr>
          <w:lang w:val="es-ES"/>
        </w:rPr>
        <w:t>) ha sido producto de sucesivas modificaciones</w:t>
      </w:r>
      <w:r w:rsidR="00C1744F" w:rsidRPr="001A4BD2">
        <w:rPr>
          <w:lang w:val="es-ES"/>
        </w:rPr>
        <w:t>, gestando</w:t>
      </w:r>
      <w:r w:rsidR="007C44A0" w:rsidRPr="001A4BD2">
        <w:rPr>
          <w:lang w:val="es-ES"/>
        </w:rPr>
        <w:t xml:space="preserve"> a lo largo de l</w:t>
      </w:r>
      <w:r w:rsidR="004A0A3B" w:rsidRPr="001A4BD2">
        <w:rPr>
          <w:lang w:val="es-ES"/>
        </w:rPr>
        <w:t xml:space="preserve">as décadas </w:t>
      </w:r>
      <w:r w:rsidR="00C1744F" w:rsidRPr="001A4BD2">
        <w:rPr>
          <w:lang w:val="es-ES"/>
        </w:rPr>
        <w:t xml:space="preserve">una </w:t>
      </w:r>
      <w:r w:rsidR="007C44A0" w:rsidRPr="001A4BD2">
        <w:rPr>
          <w:lang w:val="es-ES"/>
        </w:rPr>
        <w:t>hegemonía teórica, metodológica y clínica</w:t>
      </w:r>
      <w:r w:rsidR="004A0A3B" w:rsidRPr="001A4BD2">
        <w:rPr>
          <w:lang w:val="es-ES"/>
        </w:rPr>
        <w:t xml:space="preserve"> en el ámbito de la salud mental</w:t>
      </w:r>
      <w:r w:rsidR="004E71F2" w:rsidRPr="001A4BD2">
        <w:rPr>
          <w:lang w:val="es-ES"/>
        </w:rPr>
        <w:t xml:space="preserve"> (Goodwin &amp; Guze, 1996)</w:t>
      </w:r>
      <w:r w:rsidR="007C44A0" w:rsidRPr="001A4BD2">
        <w:rPr>
          <w:lang w:val="es-ES"/>
        </w:rPr>
        <w:t>. Las primeras ediciones del manual diagnóstico se ca</w:t>
      </w:r>
      <w:r w:rsidR="000867C3" w:rsidRPr="001A4BD2">
        <w:rPr>
          <w:lang w:val="es-ES"/>
        </w:rPr>
        <w:t>racterizaron por una pronunciada influencia psicodinámica (</w:t>
      </w:r>
      <w:r w:rsidR="004E71F2" w:rsidRPr="001A4BD2">
        <w:rPr>
          <w:lang w:val="es-ES"/>
        </w:rPr>
        <w:t>Grob, 1991</w:t>
      </w:r>
      <w:r w:rsidR="000867C3" w:rsidRPr="001A4BD2">
        <w:rPr>
          <w:lang w:val="es-ES"/>
        </w:rPr>
        <w:t>). Sin embargo, ante la confluencia d</w:t>
      </w:r>
      <w:r w:rsidR="00211FAC" w:rsidRPr="001A4BD2">
        <w:rPr>
          <w:lang w:val="es-ES"/>
        </w:rPr>
        <w:t>e intereses por que la psiquiatrí</w:t>
      </w:r>
      <w:r w:rsidR="004A0A3B" w:rsidRPr="001A4BD2">
        <w:rPr>
          <w:lang w:val="es-ES"/>
        </w:rPr>
        <w:t xml:space="preserve">a </w:t>
      </w:r>
      <w:r w:rsidR="00596AE6" w:rsidRPr="001A4BD2">
        <w:rPr>
          <w:lang w:val="es-ES"/>
        </w:rPr>
        <w:t xml:space="preserve">constituyese una disciplina propiamente “biomédica” (para un mayor análisis </w:t>
      </w:r>
      <w:r w:rsidR="009F2386" w:rsidRPr="001A4BD2">
        <w:rPr>
          <w:lang w:val="es-ES"/>
        </w:rPr>
        <w:t xml:space="preserve">del contexto histórico </w:t>
      </w:r>
      <w:r w:rsidR="00A74A2A" w:rsidRPr="001A4BD2">
        <w:rPr>
          <w:lang w:val="es-ES"/>
        </w:rPr>
        <w:t xml:space="preserve">en el que se han </w:t>
      </w:r>
      <w:r w:rsidR="008A74F2" w:rsidRPr="001A4BD2">
        <w:rPr>
          <w:lang w:val="es-ES"/>
        </w:rPr>
        <w:t>planteado las</w:t>
      </w:r>
      <w:r w:rsidR="00596AE6" w:rsidRPr="001A4BD2">
        <w:rPr>
          <w:lang w:val="es-ES"/>
        </w:rPr>
        <w:t xml:space="preserve"> sucesivas actualizaciones del DSM véase</w:t>
      </w:r>
      <w:r w:rsidR="00F15567" w:rsidRPr="001A4BD2">
        <w:rPr>
          <w:lang w:val="es-ES"/>
        </w:rPr>
        <w:t xml:space="preserve"> Mayes &amp; Horwitz, 2005</w:t>
      </w:r>
      <w:r w:rsidR="00596AE6" w:rsidRPr="001A4BD2">
        <w:rPr>
          <w:lang w:val="es-ES"/>
        </w:rPr>
        <w:t>), el DSM-III propone un cambio de paradigma en el ámbito de la salud mental: se establece una nosología ateórica y descriptiva basada en síntomas observables, haciendo omisa alusión a sus causas</w:t>
      </w:r>
      <w:r w:rsidR="002E4546" w:rsidRPr="001A4BD2">
        <w:rPr>
          <w:lang w:val="es-ES"/>
        </w:rPr>
        <w:t xml:space="preserve"> (Heckers &amp; Kendler, 2020)</w:t>
      </w:r>
      <w:r w:rsidR="00976B23" w:rsidRPr="001A4BD2">
        <w:rPr>
          <w:lang w:val="es-ES"/>
        </w:rPr>
        <w:t xml:space="preserve">. </w:t>
      </w:r>
      <w:r w:rsidR="009F2386" w:rsidRPr="001A4BD2">
        <w:rPr>
          <w:lang w:val="es-ES"/>
        </w:rPr>
        <w:t>Basado en el modo de clasificación inicialmente propuesto por Emil Kraeplin en el Siglo XIX</w:t>
      </w:r>
      <w:r w:rsidR="00211865" w:rsidRPr="001A4BD2">
        <w:rPr>
          <w:lang w:val="es-ES"/>
        </w:rPr>
        <w:t>, se postula que las categorías diagnósticas acabarían convergiendo con evidencia neurobiológica y etiológica para demostrar la existencia de trastornos como “entidades naturales</w:t>
      </w:r>
      <w:r w:rsidR="00976B23" w:rsidRPr="001A4BD2">
        <w:rPr>
          <w:lang w:val="es-ES"/>
        </w:rPr>
        <w:t>” (Spitzer et al., 2003)</w:t>
      </w:r>
      <w:r w:rsidR="00924E5B" w:rsidRPr="001A4BD2">
        <w:rPr>
          <w:lang w:val="es-ES"/>
        </w:rPr>
        <w:t>.</w:t>
      </w:r>
      <w:r w:rsidR="00211865" w:rsidRPr="001A4BD2">
        <w:rPr>
          <w:lang w:val="es-ES"/>
        </w:rPr>
        <w:t xml:space="preserve"> Las </w:t>
      </w:r>
      <w:r w:rsidR="00F15567" w:rsidRPr="001A4BD2">
        <w:rPr>
          <w:lang w:val="es-ES"/>
        </w:rPr>
        <w:t xml:space="preserve">revisiones realizadas </w:t>
      </w:r>
      <w:r w:rsidR="00711B01" w:rsidRPr="001A4BD2">
        <w:rPr>
          <w:lang w:val="es-ES"/>
        </w:rPr>
        <w:t xml:space="preserve">de la misma con posterioridad (hasta la DSM-V-TR, publicada en </w:t>
      </w:r>
      <w:r w:rsidR="006C0A4A" w:rsidRPr="001A4BD2">
        <w:rPr>
          <w:lang w:val="es-ES"/>
        </w:rPr>
        <w:t>2022</w:t>
      </w:r>
      <w:r w:rsidR="00711B01" w:rsidRPr="001A4BD2">
        <w:rPr>
          <w:lang w:val="es-ES"/>
        </w:rPr>
        <w:t>)</w:t>
      </w:r>
      <w:r w:rsidR="006146C7" w:rsidRPr="001A4BD2">
        <w:rPr>
          <w:lang w:val="es-ES"/>
        </w:rPr>
        <w:t xml:space="preserve"> han supuesto tanto la supresión como la inclusión de diversas categorías diagnósticas, manteniendo con todo, la estructura categórica establecida en los años 80</w:t>
      </w:r>
      <w:r w:rsidR="006C0A4A" w:rsidRPr="001A4BD2">
        <w:rPr>
          <w:lang w:val="es-ES"/>
        </w:rPr>
        <w:t xml:space="preserve"> (Stein et al., 2024</w:t>
      </w:r>
      <w:proofErr w:type="gramStart"/>
      <w:r w:rsidR="006C0A4A" w:rsidRPr="001A4BD2">
        <w:rPr>
          <w:lang w:val="es-ES"/>
        </w:rPr>
        <w:t xml:space="preserve">) </w:t>
      </w:r>
      <w:r w:rsidR="006146C7" w:rsidRPr="001A4BD2">
        <w:rPr>
          <w:lang w:val="es-ES"/>
        </w:rPr>
        <w:t>.</w:t>
      </w:r>
      <w:proofErr w:type="gramEnd"/>
      <w:r w:rsidR="006146C7" w:rsidRPr="001A4BD2">
        <w:rPr>
          <w:lang w:val="es-ES"/>
        </w:rPr>
        <w:t xml:space="preserve"> </w:t>
      </w:r>
    </w:p>
    <w:p w14:paraId="55DD5D52" w14:textId="77777777" w:rsidR="00332253" w:rsidRPr="001A4BD2" w:rsidRDefault="00332253" w:rsidP="001A4BD2">
      <w:pPr>
        <w:spacing w:line="360" w:lineRule="auto"/>
        <w:jc w:val="both"/>
        <w:rPr>
          <w:lang w:val="es-ES"/>
        </w:rPr>
      </w:pPr>
    </w:p>
    <w:p w14:paraId="75C34855" w14:textId="2D136CB3" w:rsidR="00B832B4" w:rsidRPr="001A4BD2" w:rsidRDefault="007E3416" w:rsidP="001A4BD2">
      <w:pPr>
        <w:spacing w:line="360" w:lineRule="auto"/>
        <w:jc w:val="both"/>
        <w:rPr>
          <w:i/>
          <w:iCs/>
          <w:lang w:val="es-ES"/>
        </w:rPr>
      </w:pPr>
      <w:r w:rsidRPr="001A4BD2">
        <w:rPr>
          <w:i/>
          <w:iCs/>
          <w:lang w:val="es-ES"/>
        </w:rPr>
        <w:t>Ventajas</w:t>
      </w:r>
      <w:r w:rsidR="009C3411" w:rsidRPr="001A4BD2">
        <w:rPr>
          <w:i/>
          <w:iCs/>
          <w:lang w:val="es-ES"/>
        </w:rPr>
        <w:t xml:space="preserve"> y limitaciones</w:t>
      </w:r>
      <w:r w:rsidR="00B832B4" w:rsidRPr="001A4BD2">
        <w:rPr>
          <w:i/>
          <w:iCs/>
          <w:lang w:val="es-ES"/>
        </w:rPr>
        <w:t xml:space="preserve"> de</w:t>
      </w:r>
      <w:r w:rsidR="00711B01" w:rsidRPr="001A4BD2">
        <w:rPr>
          <w:i/>
          <w:iCs/>
          <w:lang w:val="es-ES"/>
        </w:rPr>
        <w:t>l paradigma diagnóstico</w:t>
      </w:r>
      <w:r w:rsidRPr="001A4BD2">
        <w:rPr>
          <w:i/>
          <w:iCs/>
          <w:lang w:val="es-ES"/>
        </w:rPr>
        <w:t xml:space="preserve"> contemporáneo</w:t>
      </w:r>
    </w:p>
    <w:p w14:paraId="751562BA" w14:textId="77777777" w:rsidR="00FB7AC6" w:rsidRPr="001A4BD2" w:rsidRDefault="00FB7AC6" w:rsidP="001A4BD2">
      <w:pPr>
        <w:spacing w:line="360" w:lineRule="auto"/>
        <w:jc w:val="both"/>
        <w:rPr>
          <w:lang w:val="es-ES"/>
        </w:rPr>
      </w:pPr>
    </w:p>
    <w:p w14:paraId="508DF791" w14:textId="0210B8DD" w:rsidR="00A4325E" w:rsidRPr="001A4BD2" w:rsidRDefault="00503B01" w:rsidP="001A4BD2">
      <w:pPr>
        <w:spacing w:line="360" w:lineRule="auto"/>
        <w:jc w:val="both"/>
        <w:rPr>
          <w:lang w:val="es-ES"/>
        </w:rPr>
      </w:pPr>
      <w:r w:rsidRPr="001A4BD2">
        <w:rPr>
          <w:lang w:val="es-ES"/>
        </w:rPr>
        <w:lastRenderedPageBreak/>
        <w:t>Los modelos</w:t>
      </w:r>
      <w:r w:rsidR="006146C7" w:rsidRPr="001A4BD2">
        <w:rPr>
          <w:lang w:val="es-ES"/>
        </w:rPr>
        <w:t xml:space="preserve"> diagnósticos contemporáneos cuentan con claras ventajas</w:t>
      </w:r>
      <w:r w:rsidR="00E7783E" w:rsidRPr="001A4BD2">
        <w:rPr>
          <w:lang w:val="es-ES"/>
        </w:rPr>
        <w:t xml:space="preserve">, </w:t>
      </w:r>
      <w:r w:rsidR="006146C7" w:rsidRPr="001A4BD2">
        <w:rPr>
          <w:lang w:val="es-ES"/>
        </w:rPr>
        <w:t xml:space="preserve">principalmente en lo referente a </w:t>
      </w:r>
      <w:r w:rsidR="0085467D" w:rsidRPr="001A4BD2">
        <w:rPr>
          <w:lang w:val="es-ES"/>
        </w:rPr>
        <w:t xml:space="preserve">1) la posibilidad de establecer una </w:t>
      </w:r>
      <w:r w:rsidR="0085467D" w:rsidRPr="001A4BD2">
        <w:rPr>
          <w:i/>
          <w:iCs/>
          <w:lang w:val="es-ES"/>
        </w:rPr>
        <w:t xml:space="preserve">lingua franca </w:t>
      </w:r>
      <w:r w:rsidR="00A4325E" w:rsidRPr="001A4BD2">
        <w:rPr>
          <w:lang w:val="es-ES"/>
        </w:rPr>
        <w:t>(marco teórico compartido) acerca de la naturaleza de los trastornos mentales</w:t>
      </w:r>
      <w:r w:rsidR="000D6013" w:rsidRPr="001A4BD2">
        <w:rPr>
          <w:lang w:val="es-ES"/>
        </w:rPr>
        <w:t xml:space="preserve"> (Kendell et al., 1975; Lilienfeld &amp; Treadway, 2016) </w:t>
      </w:r>
      <w:r w:rsidR="00A4325E" w:rsidRPr="001A4BD2">
        <w:rPr>
          <w:lang w:val="es-ES"/>
        </w:rPr>
        <w:t>; 2</w:t>
      </w:r>
      <w:r w:rsidR="0085467D" w:rsidRPr="001A4BD2">
        <w:rPr>
          <w:lang w:val="es-ES"/>
        </w:rPr>
        <w:t xml:space="preserve">) la </w:t>
      </w:r>
      <w:r w:rsidR="00A4325E" w:rsidRPr="001A4BD2">
        <w:rPr>
          <w:lang w:val="es-ES"/>
        </w:rPr>
        <w:t xml:space="preserve">potencial visibilización (propia y ajena) de las condiciones de salud mental, promoviendo potencialmente </w:t>
      </w:r>
      <w:r w:rsidR="00A74A2A" w:rsidRPr="001A4BD2">
        <w:rPr>
          <w:lang w:val="es-ES"/>
        </w:rPr>
        <w:t>procesos de desestigmatización</w:t>
      </w:r>
      <w:r w:rsidR="008926FA" w:rsidRPr="001A4BD2">
        <w:rPr>
          <w:lang w:val="es-ES"/>
        </w:rPr>
        <w:t xml:space="preserve"> </w:t>
      </w:r>
      <w:r w:rsidR="00A74A2A" w:rsidRPr="001A4BD2">
        <w:rPr>
          <w:rStyle w:val="FootnoteReference"/>
          <w:lang w:val="es-ES"/>
        </w:rPr>
        <w:footnoteReference w:id="1"/>
      </w:r>
      <w:r w:rsidR="00042AB7" w:rsidRPr="001A4BD2">
        <w:rPr>
          <w:lang w:val="es-ES"/>
        </w:rPr>
        <w:t xml:space="preserve"> </w:t>
      </w:r>
      <w:r w:rsidR="002B3F59" w:rsidRPr="001A4BD2">
        <w:rPr>
          <w:lang w:val="es-ES"/>
        </w:rPr>
        <w:t xml:space="preserve">(ej., O’Connor, 2022) </w:t>
      </w:r>
      <w:r w:rsidR="00042AB7" w:rsidRPr="001A4BD2">
        <w:rPr>
          <w:lang w:val="es-ES"/>
        </w:rPr>
        <w:t xml:space="preserve">3) éxitos en la validez de constructo de al menos algunos </w:t>
      </w:r>
      <w:r w:rsidR="00D651A9" w:rsidRPr="001A4BD2">
        <w:rPr>
          <w:lang w:val="es-ES"/>
        </w:rPr>
        <w:t>algunas categorías (por ejemplo, aunque la esquizofrenia parece estar conformada por una mezcla amplia de condiciones que se solapan entre sí</w:t>
      </w:r>
      <w:r w:rsidR="00673DB1" w:rsidRPr="001A4BD2">
        <w:rPr>
          <w:lang w:val="es-ES"/>
        </w:rPr>
        <w:t xml:space="preserve">, </w:t>
      </w:r>
      <w:r w:rsidR="00D651A9" w:rsidRPr="001A4BD2">
        <w:rPr>
          <w:lang w:val="es-ES"/>
        </w:rPr>
        <w:t>el diagnóstico se relaciona</w:t>
      </w:r>
      <w:r w:rsidR="00591E28" w:rsidRPr="001A4BD2">
        <w:rPr>
          <w:lang w:val="es-ES"/>
        </w:rPr>
        <w:t xml:space="preserve"> </w:t>
      </w:r>
      <w:r w:rsidR="00D651A9" w:rsidRPr="001A4BD2">
        <w:rPr>
          <w:lang w:val="es-ES"/>
        </w:rPr>
        <w:t>con una serie de correlatos externos</w:t>
      </w:r>
      <w:r w:rsidR="00673DB1" w:rsidRPr="001A4BD2">
        <w:rPr>
          <w:lang w:val="es-ES"/>
        </w:rPr>
        <w:t>, como los antecedentes</w:t>
      </w:r>
      <w:r w:rsidR="00D651A9" w:rsidRPr="001A4BD2">
        <w:rPr>
          <w:lang w:val="es-ES"/>
        </w:rPr>
        <w:t xml:space="preserve"> de esquizofrenia en la familia, </w:t>
      </w:r>
      <w:r w:rsidR="00673DB1" w:rsidRPr="001A4BD2">
        <w:rPr>
          <w:lang w:val="es-ES"/>
        </w:rPr>
        <w:t xml:space="preserve">o el </w:t>
      </w:r>
      <w:r w:rsidR="004A38AA" w:rsidRPr="001A4BD2">
        <w:rPr>
          <w:lang w:val="es-ES"/>
        </w:rPr>
        <w:t>aumento del volumen</w:t>
      </w:r>
      <w:r w:rsidR="00D651A9" w:rsidRPr="001A4BD2">
        <w:rPr>
          <w:lang w:val="es-ES"/>
        </w:rPr>
        <w:t xml:space="preserve"> ventricular, etc; </w:t>
      </w:r>
      <w:r w:rsidR="004A38AA" w:rsidRPr="001A4BD2">
        <w:rPr>
          <w:lang w:val="es-ES"/>
        </w:rPr>
        <w:t>(</w:t>
      </w:r>
      <w:r w:rsidR="00D651A9" w:rsidRPr="001A4BD2">
        <w:rPr>
          <w:lang w:val="es-ES"/>
        </w:rPr>
        <w:t>Tsuang et al., 2000</w:t>
      </w:r>
      <w:r w:rsidR="00673DB1" w:rsidRPr="001A4BD2">
        <w:rPr>
          <w:lang w:val="es-ES"/>
        </w:rPr>
        <w:t>; Lilienfeld y Treadway, 2016</w:t>
      </w:r>
      <w:r w:rsidR="00D651A9" w:rsidRPr="001A4BD2">
        <w:rPr>
          <w:lang w:val="es-ES"/>
        </w:rPr>
        <w:t xml:space="preserve">). Finalmente, </w:t>
      </w:r>
      <w:r w:rsidR="00591E28" w:rsidRPr="001A4BD2">
        <w:rPr>
          <w:lang w:val="es-ES"/>
        </w:rPr>
        <w:t xml:space="preserve">4) </w:t>
      </w:r>
      <w:r w:rsidR="000F67FD" w:rsidRPr="001A4BD2">
        <w:rPr>
          <w:lang w:val="es-ES"/>
        </w:rPr>
        <w:t xml:space="preserve">los modelos diagnósticos actuales </w:t>
      </w:r>
      <w:r w:rsidR="00D651A9" w:rsidRPr="001A4BD2">
        <w:rPr>
          <w:lang w:val="es-ES"/>
        </w:rPr>
        <w:t>facilita</w:t>
      </w:r>
      <w:r w:rsidR="000F67FD" w:rsidRPr="001A4BD2">
        <w:rPr>
          <w:lang w:val="es-ES"/>
        </w:rPr>
        <w:t>n</w:t>
      </w:r>
      <w:r w:rsidR="00D651A9" w:rsidRPr="001A4BD2">
        <w:rPr>
          <w:lang w:val="es-ES"/>
        </w:rPr>
        <w:t xml:space="preserve"> </w:t>
      </w:r>
      <w:r w:rsidRPr="001A4BD2">
        <w:rPr>
          <w:lang w:val="es-ES"/>
        </w:rPr>
        <w:t xml:space="preserve">el acceso del paciente a cobertura médica y a recursos terapéuticos vinculados a su diagnóstico </w:t>
      </w:r>
      <w:r w:rsidR="002B3F59" w:rsidRPr="001A4BD2">
        <w:rPr>
          <w:lang w:val="es-ES"/>
        </w:rPr>
        <w:t xml:space="preserve">(Dobransky, 2009). </w:t>
      </w:r>
    </w:p>
    <w:p w14:paraId="1AA4F966" w14:textId="77777777" w:rsidR="004D2D30" w:rsidRPr="001A4BD2" w:rsidRDefault="004D2D30" w:rsidP="001A4BD2">
      <w:pPr>
        <w:spacing w:line="360" w:lineRule="auto"/>
        <w:jc w:val="both"/>
        <w:rPr>
          <w:lang w:val="es-ES"/>
        </w:rPr>
      </w:pPr>
    </w:p>
    <w:p w14:paraId="4BFB63EE" w14:textId="1C694A96" w:rsidR="00A94B11" w:rsidRPr="00A94B11" w:rsidRDefault="00BB4708" w:rsidP="001A4BD2">
      <w:pPr>
        <w:spacing w:line="360" w:lineRule="auto"/>
        <w:jc w:val="both"/>
        <w:rPr>
          <w:lang w:val="es-ES"/>
        </w:rPr>
      </w:pPr>
      <w:r w:rsidRPr="009C3411">
        <w:rPr>
          <w:lang w:val="es-ES"/>
        </w:rPr>
        <w:t>No obstante,</w:t>
      </w:r>
      <w:r w:rsidRPr="001A4BD2">
        <w:rPr>
          <w:lang w:val="es-ES"/>
        </w:rPr>
        <w:t xml:space="preserve"> durante las últimas décadas, el paradigma diagnóstico ha sido objeto de una crítica sostenida por parte de la comunidad científica y la sociedad civil, que ha señalado la existencia de múltiples limitaciones teóricas, empíricas, y clínicas</w:t>
      </w:r>
      <w:r w:rsidR="00FE043E" w:rsidRPr="001A4BD2">
        <w:rPr>
          <w:lang w:val="es-ES"/>
        </w:rPr>
        <w:t xml:space="preserve"> (</w:t>
      </w:r>
      <w:r w:rsidR="007E3416" w:rsidRPr="001A4BD2">
        <w:rPr>
          <w:lang w:val="es-ES"/>
        </w:rPr>
        <w:t>Kotov et al., 2017; Borsboom, 2008; Barlow et al., 2017</w:t>
      </w:r>
      <w:r w:rsidR="00FE043E" w:rsidRPr="001A4BD2">
        <w:rPr>
          <w:lang w:val="es-ES"/>
        </w:rPr>
        <w:t>)</w:t>
      </w:r>
      <w:r w:rsidRPr="001A4BD2">
        <w:rPr>
          <w:lang w:val="es-ES"/>
        </w:rPr>
        <w:t xml:space="preserve">. Entre los desafíos más relevantes identificados en este marco, destaca, en primer lugar, </w:t>
      </w:r>
      <w:r w:rsidR="00A94B11" w:rsidRPr="001A4BD2">
        <w:rPr>
          <w:lang w:val="es-ES"/>
        </w:rPr>
        <w:t xml:space="preserve">la existencia de </w:t>
      </w:r>
      <w:r w:rsidR="00A94B11" w:rsidRPr="00A94B11">
        <w:rPr>
          <w:lang w:val="es-ES"/>
        </w:rPr>
        <w:t xml:space="preserve">una realidad clínica </w:t>
      </w:r>
      <w:r w:rsidR="00FE043E" w:rsidRPr="001A4BD2">
        <w:rPr>
          <w:lang w:val="es-ES"/>
        </w:rPr>
        <w:t xml:space="preserve">en psicopatología, </w:t>
      </w:r>
      <w:r w:rsidR="00A94B11" w:rsidRPr="00A94B11">
        <w:rPr>
          <w:lang w:val="es-ES"/>
        </w:rPr>
        <w:t xml:space="preserve">en la que existe una elevada prevalencia de condiciones comórbidas, estableciéndose como una regla en lugar de una “excepción” en la práctica clínica (Kessler et al., 2005). Así, se estima que 45% de las personas que cumplen con los criterios diagnósticos para un trastorno, reciben diagnósticos adicionales (Kessler et al., 2005). Curiosamente, el aumento de registros que acreditan este fenómeno dificulta establecer una distinción entre la comorbilidad </w:t>
      </w:r>
      <w:r w:rsidR="00A94B11" w:rsidRPr="00A94B11">
        <w:rPr>
          <w:i/>
          <w:iCs/>
          <w:lang w:val="es-ES"/>
        </w:rPr>
        <w:t xml:space="preserve">de facto </w:t>
      </w:r>
      <w:r w:rsidR="00A94B11" w:rsidRPr="00A94B11">
        <w:rPr>
          <w:lang w:val="es-ES"/>
        </w:rPr>
        <w:t>(la concurrencia de dos trastornos etiológicamente independientes, que generalmente engendran perfiles psicopatológicos con un elevado grado de afectación y cronicidad) y una comorbilidad que emerge como producto espurio de la multiplicación, diversificación, y fragmentación de las categorías diagnósticas vigentes (Borsboom et al., 2010; Jablensky, 2016</w:t>
      </w:r>
      <w:r w:rsidR="007E3416" w:rsidRPr="001A4BD2">
        <w:rPr>
          <w:lang w:val="es-ES"/>
        </w:rPr>
        <w:t>; Kotov et al., 2017</w:t>
      </w:r>
      <w:r w:rsidR="00A94B11" w:rsidRPr="00A94B11">
        <w:rPr>
          <w:lang w:val="es-ES"/>
        </w:rPr>
        <w:t>).</w:t>
      </w:r>
    </w:p>
    <w:p w14:paraId="0635771C" w14:textId="77777777" w:rsidR="00A94B11" w:rsidRPr="00A94B11" w:rsidRDefault="00A94B11" w:rsidP="001A4BD2">
      <w:pPr>
        <w:spacing w:line="360" w:lineRule="auto"/>
        <w:jc w:val="both"/>
        <w:rPr>
          <w:lang w:val="es-ES"/>
        </w:rPr>
      </w:pPr>
    </w:p>
    <w:p w14:paraId="4C2711E3" w14:textId="77777777" w:rsidR="00A94B11" w:rsidRPr="00A94B11" w:rsidRDefault="00A94B11" w:rsidP="001A4BD2">
      <w:pPr>
        <w:spacing w:line="360" w:lineRule="auto"/>
        <w:jc w:val="both"/>
        <w:rPr>
          <w:lang w:val="es-ES"/>
        </w:rPr>
      </w:pPr>
      <w:r w:rsidRPr="00A94B11">
        <w:rPr>
          <w:lang w:val="es-ES"/>
        </w:rPr>
        <w:t xml:space="preserve"> Se ha de destacar asimismo la elevada heterogeneidad en la presentación de síntomas dentro de una misma categoría diagnóstica (Allsopp et al., 2019). Así, el modelo politético propuesto por el DSM se apoya en criterios que no son necesarios de forma individual, ni suficientes en </w:t>
      </w:r>
      <w:r w:rsidRPr="00A94B11">
        <w:rPr>
          <w:lang w:val="es-ES"/>
        </w:rPr>
        <w:lastRenderedPageBreak/>
        <w:t xml:space="preserve">su conjunto, para establecer un diagnóstico, lo que permite una elevada heterogeneidad intra-categorial (Lilienfeld &amp; Treadway, 2016). A modo ilustrativo, Fried y Nesse (2015) analizaron la variabilidad clínica de 3703 pacientes diagnosticados de trastorno depresivo mayor, identificando 1030 perfiles sintomáticos distintos, de los cuales 83% fue compartido por tan solo seis individuos, y con menos de la mitad de los síntomas posibles (48,6%) presentes en un único individuo. De forma análoga, existen 636,120 formas de cumplir con los criterios para un trastorno por estrés postraumático (Galatzer – Levy &amp; Bryant, 2013). </w:t>
      </w:r>
    </w:p>
    <w:p w14:paraId="11E60B75" w14:textId="77777777" w:rsidR="00A94B11" w:rsidRPr="00A94B11" w:rsidRDefault="00A94B11" w:rsidP="001A4BD2">
      <w:pPr>
        <w:spacing w:line="360" w:lineRule="auto"/>
        <w:jc w:val="both"/>
        <w:rPr>
          <w:lang w:val="es-ES"/>
        </w:rPr>
      </w:pPr>
    </w:p>
    <w:p w14:paraId="415240C0" w14:textId="32C87405" w:rsidR="00A94B11" w:rsidRPr="00A94B11" w:rsidRDefault="00A94B11" w:rsidP="001A4BD2">
      <w:pPr>
        <w:spacing w:line="360" w:lineRule="auto"/>
        <w:jc w:val="both"/>
        <w:rPr>
          <w:lang w:val="es-ES"/>
        </w:rPr>
      </w:pPr>
      <w:r w:rsidRPr="001A4BD2">
        <w:rPr>
          <w:lang w:val="es-ES"/>
        </w:rPr>
        <w:t xml:space="preserve">Tanto la </w:t>
      </w:r>
      <w:r w:rsidRPr="00A94B11">
        <w:rPr>
          <w:lang w:val="es-ES"/>
        </w:rPr>
        <w:t xml:space="preserve">comorbilidad y heterogeneidad sintomática ponen de relieve la necesidad de analizar críticamente las implicaciones que el modelo diagnóstico plantea para la práctica clínica. En particular, la organización de la intervención en tratamientos protocolizados y estandarizados, diseñados para categorías nosológicas específicas, contrasta con la realidad clínica cotidiana, en la que el profesional se enfrenta a perfiles sintomatológicos altamente diversos, con constelaciones heterogéneas, y condiciones comórbidas no contempladas en los esquemas terapéuticos estipulados. Esta tensión desemboca en una practica clínica caracterizada por el eclecticismo técnico, que a menudo se desarrolla al margen de los marcos teóricos de un soporte empírico robusto (Hayes, 2020; Dalgeish et al., 2020). </w:t>
      </w:r>
    </w:p>
    <w:p w14:paraId="4E884257" w14:textId="77777777" w:rsidR="00A94B11" w:rsidRPr="001A4BD2" w:rsidRDefault="00A94B11" w:rsidP="001A4BD2">
      <w:pPr>
        <w:spacing w:line="360" w:lineRule="auto"/>
        <w:jc w:val="both"/>
        <w:rPr>
          <w:lang w:val="es-ES"/>
        </w:rPr>
      </w:pPr>
    </w:p>
    <w:p w14:paraId="78E45505" w14:textId="7E85C4A3" w:rsidR="00310AE9" w:rsidRPr="001A4BD2" w:rsidRDefault="00A94B11" w:rsidP="001A4BD2">
      <w:pPr>
        <w:spacing w:line="360" w:lineRule="auto"/>
        <w:jc w:val="both"/>
        <w:rPr>
          <w:lang w:val="es-ES"/>
        </w:rPr>
      </w:pPr>
      <w:r w:rsidRPr="001A4BD2">
        <w:rPr>
          <w:lang w:val="es-ES"/>
        </w:rPr>
        <w:t xml:space="preserve">Por </w:t>
      </w:r>
      <w:r w:rsidR="00B208F4" w:rsidRPr="001A4BD2">
        <w:rPr>
          <w:lang w:val="es-ES"/>
        </w:rPr>
        <w:t>otra parte, un desafío adicional de especial relevancia para el paradigma diagnóstico contemporáneo concierne a la</w:t>
      </w:r>
      <w:r w:rsidR="0055398B" w:rsidRPr="001A4BD2">
        <w:rPr>
          <w:lang w:val="es-ES"/>
        </w:rPr>
        <w:t xml:space="preserve"> naturaleza inherentemente transdiagnóstica</w:t>
      </w:r>
      <w:r w:rsidR="006807D8" w:rsidRPr="001A4BD2">
        <w:rPr>
          <w:lang w:val="es-ES"/>
        </w:rPr>
        <w:t xml:space="preserve"> (y no-específica)</w:t>
      </w:r>
      <w:r w:rsidR="0055398B" w:rsidRPr="001A4BD2">
        <w:rPr>
          <w:lang w:val="es-ES"/>
        </w:rPr>
        <w:t xml:space="preserve"> de los procesos biopsicosociales que subyacen</w:t>
      </w:r>
      <w:r w:rsidR="00BF57BB" w:rsidRPr="001A4BD2">
        <w:rPr>
          <w:lang w:val="es-ES"/>
        </w:rPr>
        <w:t xml:space="preserve"> a</w:t>
      </w:r>
      <w:r w:rsidR="0055398B" w:rsidRPr="001A4BD2">
        <w:rPr>
          <w:lang w:val="es-ES"/>
        </w:rPr>
        <w:t xml:space="preserve"> los trastornos psíquicos</w:t>
      </w:r>
      <w:r w:rsidR="00B329C8" w:rsidRPr="001A4BD2">
        <w:rPr>
          <w:lang w:val="es-ES"/>
        </w:rPr>
        <w:t xml:space="preserve"> (</w:t>
      </w:r>
      <w:r w:rsidR="00035ED0" w:rsidRPr="001A4BD2">
        <w:rPr>
          <w:lang w:val="es-ES"/>
        </w:rPr>
        <w:t xml:space="preserve">Kendler, 2012, Lilienfeld &amp; Treadway, 2016, </w:t>
      </w:r>
      <w:r w:rsidR="00B329C8" w:rsidRPr="001A4BD2">
        <w:rPr>
          <w:lang w:val="es-ES"/>
        </w:rPr>
        <w:t>Dalgeish et al., 2020)</w:t>
      </w:r>
      <w:r w:rsidR="003E4C7E" w:rsidRPr="001A4BD2">
        <w:rPr>
          <w:lang w:val="es-ES"/>
        </w:rPr>
        <w:t>.</w:t>
      </w:r>
      <w:r w:rsidR="008C7765" w:rsidRPr="001A4BD2">
        <w:rPr>
          <w:lang w:val="es-ES"/>
        </w:rPr>
        <w:t xml:space="preserve"> </w:t>
      </w:r>
      <w:r w:rsidR="004D2D30" w:rsidRPr="001A4BD2">
        <w:rPr>
          <w:lang w:val="es-ES"/>
        </w:rPr>
        <w:t xml:space="preserve">En discrepancia con la visión predominantemente esencialista que </w:t>
      </w:r>
      <w:r w:rsidR="00035ED0" w:rsidRPr="001A4BD2">
        <w:rPr>
          <w:lang w:val="es-ES"/>
        </w:rPr>
        <w:t>caracteriza</w:t>
      </w:r>
      <w:r w:rsidR="004D2D30" w:rsidRPr="001A4BD2">
        <w:rPr>
          <w:lang w:val="es-ES"/>
        </w:rPr>
        <w:t xml:space="preserve"> </w:t>
      </w:r>
      <w:r w:rsidR="00035ED0" w:rsidRPr="001A4BD2">
        <w:rPr>
          <w:lang w:val="es-ES"/>
        </w:rPr>
        <w:t>al</w:t>
      </w:r>
      <w:r w:rsidR="004D2D30" w:rsidRPr="001A4BD2">
        <w:rPr>
          <w:lang w:val="es-ES"/>
        </w:rPr>
        <w:t xml:space="preserve"> modelo Neo-Kraepeliano de la enfermedad mental</w:t>
      </w:r>
      <w:r w:rsidR="00EF4BF6" w:rsidRPr="001A4BD2">
        <w:rPr>
          <w:lang w:val="es-ES"/>
        </w:rPr>
        <w:t xml:space="preserve"> (</w:t>
      </w:r>
      <w:r w:rsidR="00035ED0" w:rsidRPr="001A4BD2">
        <w:rPr>
          <w:lang w:val="es-ES"/>
        </w:rPr>
        <w:t>según el cual las categorías nosológicas se corresponderían con arquitecturas biológicas y ambientales subyacentes igualmente diferenciadas</w:t>
      </w:r>
      <w:r w:rsidR="006E00C4" w:rsidRPr="001A4BD2">
        <w:rPr>
          <w:lang w:val="es-ES"/>
        </w:rPr>
        <w:t>; Spitzer et al., 1977)</w:t>
      </w:r>
      <w:r w:rsidR="00EF4BF6" w:rsidRPr="001A4BD2">
        <w:rPr>
          <w:lang w:val="es-ES"/>
        </w:rPr>
        <w:t xml:space="preserve">, </w:t>
      </w:r>
      <w:r w:rsidR="00035ED0" w:rsidRPr="001A4BD2">
        <w:rPr>
          <w:lang w:val="es-ES"/>
        </w:rPr>
        <w:t>la evidencia empírica</w:t>
      </w:r>
      <w:r w:rsidR="00B329C8" w:rsidRPr="001A4BD2">
        <w:rPr>
          <w:lang w:val="es-ES"/>
        </w:rPr>
        <w:t xml:space="preserve"> </w:t>
      </w:r>
      <w:r w:rsidR="00035ED0" w:rsidRPr="001A4BD2">
        <w:rPr>
          <w:lang w:val="es-ES"/>
        </w:rPr>
        <w:t>sugiere</w:t>
      </w:r>
      <w:r w:rsidR="00B329C8" w:rsidRPr="001A4BD2">
        <w:rPr>
          <w:lang w:val="es-ES"/>
        </w:rPr>
        <w:t xml:space="preserve"> que los factores </w:t>
      </w:r>
      <w:r w:rsidR="00035ED0" w:rsidRPr="001A4BD2">
        <w:rPr>
          <w:lang w:val="es-ES"/>
        </w:rPr>
        <w:t xml:space="preserve">implicados en </w:t>
      </w:r>
      <w:r w:rsidR="00B329C8" w:rsidRPr="001A4BD2">
        <w:rPr>
          <w:lang w:val="es-ES"/>
        </w:rPr>
        <w:t>el desarrollo y mantenimiento de los trastornos</w:t>
      </w:r>
      <w:r w:rsidR="00035ED0" w:rsidRPr="001A4BD2">
        <w:rPr>
          <w:lang w:val="es-ES"/>
        </w:rPr>
        <w:t xml:space="preserve"> mentales</w:t>
      </w:r>
      <w:r w:rsidR="00B329C8" w:rsidRPr="001A4BD2">
        <w:rPr>
          <w:lang w:val="es-ES"/>
        </w:rPr>
        <w:t xml:space="preserve"> </w:t>
      </w:r>
      <w:r w:rsidR="00035ED0" w:rsidRPr="001A4BD2">
        <w:rPr>
          <w:lang w:val="es-ES"/>
        </w:rPr>
        <w:t>son</w:t>
      </w:r>
      <w:r w:rsidR="00B329C8" w:rsidRPr="001A4BD2">
        <w:rPr>
          <w:lang w:val="es-ES"/>
        </w:rPr>
        <w:t xml:space="preserve"> mayoritariamente no-específico</w:t>
      </w:r>
      <w:r w:rsidR="00035ED0" w:rsidRPr="001A4BD2">
        <w:rPr>
          <w:lang w:val="es-ES"/>
        </w:rPr>
        <w:t>s</w:t>
      </w:r>
      <w:r w:rsidR="00B329C8" w:rsidRPr="001A4BD2">
        <w:rPr>
          <w:lang w:val="es-ES"/>
        </w:rPr>
        <w:t xml:space="preserve"> (</w:t>
      </w:r>
      <w:r w:rsidR="00AD1CD8" w:rsidRPr="001A4BD2">
        <w:rPr>
          <w:lang w:val="es-ES"/>
        </w:rPr>
        <w:t>Lilienfeld &amp; Treadway, 2016</w:t>
      </w:r>
      <w:r w:rsidR="00B329C8" w:rsidRPr="001A4BD2">
        <w:rPr>
          <w:lang w:val="es-ES"/>
        </w:rPr>
        <w:t xml:space="preserve">). </w:t>
      </w:r>
      <w:r w:rsidR="00035ED0" w:rsidRPr="001A4BD2">
        <w:rPr>
          <w:lang w:val="es-ES"/>
        </w:rPr>
        <w:t xml:space="preserve"> Así, se ha documentado un solapamiento etiológico significativo entre distintas categorías diagnosticas, como es el caso entre la </w:t>
      </w:r>
      <w:r w:rsidR="00EF4BF6" w:rsidRPr="001A4BD2">
        <w:rPr>
          <w:lang w:val="es-ES"/>
        </w:rPr>
        <w:t>esquizofrenia y el trastorno bipolar</w:t>
      </w:r>
      <w:r w:rsidR="00B329C8" w:rsidRPr="001A4BD2">
        <w:rPr>
          <w:lang w:val="es-ES"/>
        </w:rPr>
        <w:t xml:space="preserve"> (Psychiatr. Genom. Consort, 2013)</w:t>
      </w:r>
      <w:r w:rsidR="00EF4BF6" w:rsidRPr="001A4BD2">
        <w:rPr>
          <w:lang w:val="es-ES"/>
        </w:rPr>
        <w:t xml:space="preserve">, </w:t>
      </w:r>
      <w:r w:rsidR="00035ED0" w:rsidRPr="001A4BD2">
        <w:rPr>
          <w:lang w:val="es-ES"/>
        </w:rPr>
        <w:t>así como entre</w:t>
      </w:r>
      <w:r w:rsidR="00EF4BF6" w:rsidRPr="001A4BD2">
        <w:rPr>
          <w:lang w:val="es-ES"/>
        </w:rPr>
        <w:t xml:space="preserve"> trastornos</w:t>
      </w:r>
      <w:r w:rsidR="00BF57BB" w:rsidRPr="001A4BD2">
        <w:rPr>
          <w:lang w:val="es-ES"/>
        </w:rPr>
        <w:t xml:space="preserve"> con expresiones fenotípicas </w:t>
      </w:r>
      <w:r w:rsidR="00035ED0" w:rsidRPr="001A4BD2">
        <w:rPr>
          <w:lang w:val="es-ES"/>
        </w:rPr>
        <w:t>disímiles</w:t>
      </w:r>
      <w:r w:rsidR="00BF57BB" w:rsidRPr="001A4BD2">
        <w:rPr>
          <w:lang w:val="es-ES"/>
        </w:rPr>
        <w:t xml:space="preserve">, como el </w:t>
      </w:r>
      <w:r w:rsidR="00035ED0" w:rsidRPr="001A4BD2">
        <w:rPr>
          <w:lang w:val="es-ES"/>
        </w:rPr>
        <w:t>trastorno por déficit de atención</w:t>
      </w:r>
      <w:r w:rsidR="00BF57BB" w:rsidRPr="001A4BD2">
        <w:rPr>
          <w:lang w:val="es-ES"/>
        </w:rPr>
        <w:t xml:space="preserve"> y la esquizofrenia (</w:t>
      </w:r>
      <w:r w:rsidR="00AD1CD8" w:rsidRPr="001A4BD2">
        <w:rPr>
          <w:lang w:val="es-ES"/>
        </w:rPr>
        <w:t>Owen &amp; Donovan, 2017; Chien et al., 2022</w:t>
      </w:r>
      <w:r w:rsidR="00BF57BB" w:rsidRPr="001A4BD2">
        <w:rPr>
          <w:lang w:val="es-ES"/>
        </w:rPr>
        <w:t xml:space="preserve">). </w:t>
      </w:r>
      <w:r w:rsidR="00B329C8" w:rsidRPr="001A4BD2">
        <w:rPr>
          <w:lang w:val="es-ES"/>
        </w:rPr>
        <w:t xml:space="preserve"> </w:t>
      </w:r>
      <w:r w:rsidR="00BF57BB" w:rsidRPr="001A4BD2">
        <w:rPr>
          <w:lang w:val="es-ES"/>
        </w:rPr>
        <w:t xml:space="preserve">Asimismo, también </w:t>
      </w:r>
      <w:r w:rsidR="00035ED0" w:rsidRPr="001A4BD2">
        <w:rPr>
          <w:lang w:val="es-ES"/>
        </w:rPr>
        <w:t>se observa notable</w:t>
      </w:r>
      <w:r w:rsidR="00BF57BB" w:rsidRPr="001A4BD2">
        <w:rPr>
          <w:lang w:val="es-ES"/>
        </w:rPr>
        <w:t xml:space="preserve"> inespecificidad </w:t>
      </w:r>
      <w:r w:rsidR="00035ED0" w:rsidRPr="001A4BD2">
        <w:rPr>
          <w:lang w:val="es-ES"/>
        </w:rPr>
        <w:t>de</w:t>
      </w:r>
      <w:r w:rsidR="00BF57BB" w:rsidRPr="001A4BD2">
        <w:rPr>
          <w:lang w:val="es-ES"/>
        </w:rPr>
        <w:t xml:space="preserve"> los factores ambientales </w:t>
      </w:r>
      <w:r w:rsidR="00035ED0" w:rsidRPr="001A4BD2">
        <w:rPr>
          <w:lang w:val="es-ES"/>
        </w:rPr>
        <w:t xml:space="preserve">asociados al riesgo psicopatológico </w:t>
      </w:r>
      <w:r w:rsidR="00BF57BB" w:rsidRPr="001A4BD2">
        <w:rPr>
          <w:lang w:val="es-ES"/>
        </w:rPr>
        <w:t xml:space="preserve">(ej., </w:t>
      </w:r>
      <w:r w:rsidR="00330378" w:rsidRPr="001A4BD2">
        <w:rPr>
          <w:lang w:val="es-ES"/>
        </w:rPr>
        <w:t>la exposición a acontecimientos traumáticos en la infancia constituye un factor de vulnerabilidad</w:t>
      </w:r>
      <w:r w:rsidR="00BF57BB" w:rsidRPr="001A4BD2">
        <w:rPr>
          <w:lang w:val="es-ES"/>
        </w:rPr>
        <w:t xml:space="preserve"> </w:t>
      </w:r>
      <w:r w:rsidR="00035ED0" w:rsidRPr="001A4BD2">
        <w:rPr>
          <w:lang w:val="es-ES"/>
        </w:rPr>
        <w:t xml:space="preserve">para una amplia gama </w:t>
      </w:r>
      <w:r w:rsidR="00BF57BB" w:rsidRPr="001A4BD2">
        <w:rPr>
          <w:lang w:val="es-ES"/>
        </w:rPr>
        <w:t xml:space="preserve">de </w:t>
      </w:r>
      <w:r w:rsidR="00330378" w:rsidRPr="001A4BD2">
        <w:rPr>
          <w:lang w:val="es-ES"/>
        </w:rPr>
        <w:t>psicopatologías,</w:t>
      </w:r>
      <w:r w:rsidR="00BF57BB" w:rsidRPr="001A4BD2">
        <w:rPr>
          <w:lang w:val="es-ES"/>
        </w:rPr>
        <w:t xml:space="preserve"> </w:t>
      </w:r>
      <w:r w:rsidR="006E00C4" w:rsidRPr="001A4BD2">
        <w:rPr>
          <w:lang w:val="es-ES"/>
        </w:rPr>
        <w:lastRenderedPageBreak/>
        <w:t>incluidos</w:t>
      </w:r>
      <w:r w:rsidR="00035ED0" w:rsidRPr="001A4BD2">
        <w:rPr>
          <w:lang w:val="es-ES"/>
        </w:rPr>
        <w:t xml:space="preserve"> los</w:t>
      </w:r>
      <w:r w:rsidR="00BF57BB" w:rsidRPr="001A4BD2">
        <w:rPr>
          <w:lang w:val="es-ES"/>
        </w:rPr>
        <w:t xml:space="preserve"> trastornos del estado de animo, trastornos de ansiedad, o trastornos por abuso de sustancias</w:t>
      </w:r>
      <w:r w:rsidR="00AD1CD8" w:rsidRPr="001A4BD2">
        <w:rPr>
          <w:lang w:val="es-ES"/>
        </w:rPr>
        <w:t>; Cutajar et al., 2010</w:t>
      </w:r>
      <w:r w:rsidR="006E00C4" w:rsidRPr="001A4BD2">
        <w:rPr>
          <w:lang w:val="es-ES"/>
        </w:rPr>
        <w:t>; McLaughlin et al., 2020</w:t>
      </w:r>
      <w:r w:rsidR="00BF57BB" w:rsidRPr="001A4BD2">
        <w:rPr>
          <w:lang w:val="es-ES"/>
        </w:rPr>
        <w:t xml:space="preserve">). </w:t>
      </w:r>
    </w:p>
    <w:p w14:paraId="26900896" w14:textId="77777777" w:rsidR="009C6B36" w:rsidRPr="001A4BD2" w:rsidRDefault="009C6B36" w:rsidP="001A4BD2">
      <w:pPr>
        <w:spacing w:line="360" w:lineRule="auto"/>
        <w:jc w:val="both"/>
        <w:rPr>
          <w:lang w:val="es-ES"/>
        </w:rPr>
      </w:pPr>
    </w:p>
    <w:p w14:paraId="239F9282" w14:textId="57F4873D" w:rsidR="00FD35CE" w:rsidRPr="001A4BD2" w:rsidRDefault="003E4C7E" w:rsidP="001A4BD2">
      <w:pPr>
        <w:spacing w:line="360" w:lineRule="auto"/>
        <w:jc w:val="both"/>
        <w:rPr>
          <w:lang w:val="es-ES"/>
        </w:rPr>
      </w:pPr>
      <w:r w:rsidRPr="001A4BD2">
        <w:rPr>
          <w:lang w:val="es-ES"/>
        </w:rPr>
        <w:t xml:space="preserve"> Por otra parte, </w:t>
      </w:r>
      <w:r w:rsidR="00C645C0" w:rsidRPr="001A4BD2">
        <w:rPr>
          <w:lang w:val="es-ES"/>
        </w:rPr>
        <w:t>el modelo diagnóstico funciona</w:t>
      </w:r>
      <w:r w:rsidR="00B677EA" w:rsidRPr="001A4BD2">
        <w:rPr>
          <w:lang w:val="es-ES"/>
        </w:rPr>
        <w:t>,</w:t>
      </w:r>
      <w:r w:rsidR="00C645C0" w:rsidRPr="001A4BD2">
        <w:rPr>
          <w:lang w:val="es-ES"/>
        </w:rPr>
        <w:t xml:space="preserve"> mayoritariamente</w:t>
      </w:r>
      <w:r w:rsidR="00B677EA" w:rsidRPr="001A4BD2">
        <w:rPr>
          <w:lang w:val="es-ES"/>
        </w:rPr>
        <w:t>,</w:t>
      </w:r>
      <w:r w:rsidR="00C645C0" w:rsidRPr="001A4BD2">
        <w:rPr>
          <w:lang w:val="es-ES"/>
        </w:rPr>
        <w:t xml:space="preserve"> bajo la premisa</w:t>
      </w:r>
      <w:r w:rsidR="00426D5C" w:rsidRPr="001A4BD2">
        <w:rPr>
          <w:lang w:val="es-ES"/>
        </w:rPr>
        <w:t xml:space="preserve"> de que los síntomas se presentan de forma dicotómica (o existen, o no</w:t>
      </w:r>
      <w:r w:rsidR="00457475" w:rsidRPr="001A4BD2">
        <w:rPr>
          <w:lang w:val="es-ES"/>
        </w:rPr>
        <w:t>; Kendell &amp; Jablensky, 2003</w:t>
      </w:r>
      <w:r w:rsidR="00426D5C" w:rsidRPr="001A4BD2">
        <w:rPr>
          <w:lang w:val="es-ES"/>
        </w:rPr>
        <w:t>)</w:t>
      </w:r>
      <w:r w:rsidR="00C645C0" w:rsidRPr="001A4BD2">
        <w:rPr>
          <w:lang w:val="es-ES"/>
        </w:rPr>
        <w:t xml:space="preserve">, ignorando </w:t>
      </w:r>
      <w:r w:rsidR="009C6B36" w:rsidRPr="001A4BD2">
        <w:rPr>
          <w:lang w:val="es-ES"/>
        </w:rPr>
        <w:t>la difusidad de los límites</w:t>
      </w:r>
      <w:r w:rsidR="00C645C0" w:rsidRPr="001A4BD2">
        <w:rPr>
          <w:lang w:val="es-ES"/>
        </w:rPr>
        <w:t xml:space="preserve"> que </w:t>
      </w:r>
      <w:r w:rsidR="00B677EA" w:rsidRPr="001A4BD2">
        <w:rPr>
          <w:lang w:val="es-ES"/>
        </w:rPr>
        <w:t>en muchos casos caracteriza el padecimiento psíquico</w:t>
      </w:r>
      <w:r w:rsidR="00054EA0" w:rsidRPr="001A4BD2">
        <w:rPr>
          <w:lang w:val="es-ES"/>
        </w:rPr>
        <w:t xml:space="preserve"> (Kupfer &amp; Regier, 2011)</w:t>
      </w:r>
      <w:r w:rsidR="006B3ABD" w:rsidRPr="001A4BD2">
        <w:rPr>
          <w:lang w:val="es-ES"/>
        </w:rPr>
        <w:t xml:space="preserve">. Esta concepción se manifiesta, por ejemplo, en la proliferación de diagnósticos </w:t>
      </w:r>
      <w:r w:rsidR="00A93768" w:rsidRPr="001A4BD2">
        <w:rPr>
          <w:lang w:val="es-ES"/>
        </w:rPr>
        <w:t>trans-categoriales</w:t>
      </w:r>
      <w:r w:rsidR="00054EA0" w:rsidRPr="001A4BD2">
        <w:rPr>
          <w:lang w:val="es-ES"/>
        </w:rPr>
        <w:t xml:space="preserve">, </w:t>
      </w:r>
      <w:r w:rsidR="00A93768" w:rsidRPr="001A4BD2">
        <w:rPr>
          <w:lang w:val="es-ES"/>
        </w:rPr>
        <w:t>como el trastorno esquizoafectivo</w:t>
      </w:r>
      <w:r w:rsidR="00054EA0" w:rsidRPr="001A4BD2">
        <w:rPr>
          <w:lang w:val="es-ES"/>
        </w:rPr>
        <w:t xml:space="preserve"> (Kapadia et al., 2020)</w:t>
      </w:r>
      <w:r w:rsidR="00A93768" w:rsidRPr="001A4BD2">
        <w:rPr>
          <w:lang w:val="es-ES"/>
        </w:rPr>
        <w:t xml:space="preserve">, </w:t>
      </w:r>
      <w:r w:rsidR="006B3ABD" w:rsidRPr="001A4BD2">
        <w:rPr>
          <w:lang w:val="es-ES"/>
        </w:rPr>
        <w:t xml:space="preserve">así como en la dificultad para reconocer </w:t>
      </w:r>
      <w:r w:rsidR="00D5398E" w:rsidRPr="001A4BD2">
        <w:rPr>
          <w:lang w:val="es-ES"/>
        </w:rPr>
        <w:t>formas subumbrales de afectación cognitiva o afectiva</w:t>
      </w:r>
      <w:r w:rsidR="0008527C" w:rsidRPr="001A4BD2">
        <w:rPr>
          <w:lang w:val="es-ES"/>
        </w:rPr>
        <w:t xml:space="preserve">, </w:t>
      </w:r>
      <w:r w:rsidR="006B3ABD" w:rsidRPr="001A4BD2">
        <w:rPr>
          <w:lang w:val="es-ES"/>
        </w:rPr>
        <w:t xml:space="preserve">pese a la existencia de </w:t>
      </w:r>
      <w:r w:rsidR="0008527C" w:rsidRPr="001A4BD2">
        <w:rPr>
          <w:lang w:val="es-ES"/>
        </w:rPr>
        <w:t xml:space="preserve">evidencia epidemiológica y genética que </w:t>
      </w:r>
      <w:r w:rsidR="006B3ABD" w:rsidRPr="001A4BD2">
        <w:rPr>
          <w:lang w:val="es-ES"/>
        </w:rPr>
        <w:t>vincula</w:t>
      </w:r>
      <w:r w:rsidR="0008527C" w:rsidRPr="001A4BD2">
        <w:rPr>
          <w:lang w:val="es-ES"/>
        </w:rPr>
        <w:t xml:space="preserve"> dichas </w:t>
      </w:r>
      <w:r w:rsidR="006B3ABD" w:rsidRPr="001A4BD2">
        <w:rPr>
          <w:lang w:val="es-ES"/>
        </w:rPr>
        <w:t>condiciones</w:t>
      </w:r>
      <w:r w:rsidR="0008527C" w:rsidRPr="001A4BD2">
        <w:rPr>
          <w:lang w:val="es-ES"/>
        </w:rPr>
        <w:t xml:space="preserve"> sub-clínicas con trastornos </w:t>
      </w:r>
      <w:r w:rsidR="006B3ABD" w:rsidRPr="001A4BD2">
        <w:rPr>
          <w:lang w:val="es-ES"/>
        </w:rPr>
        <w:t>ya establecidos</w:t>
      </w:r>
      <w:r w:rsidR="00054EA0" w:rsidRPr="001A4BD2">
        <w:rPr>
          <w:lang w:val="es-ES"/>
        </w:rPr>
        <w:t xml:space="preserve"> (Fava, 1999</w:t>
      </w:r>
      <w:r w:rsidR="00164900" w:rsidRPr="001A4BD2">
        <w:rPr>
          <w:lang w:val="es-ES"/>
        </w:rPr>
        <w:t>)</w:t>
      </w:r>
      <w:r w:rsidR="00054EA0" w:rsidRPr="001A4BD2">
        <w:rPr>
          <w:lang w:val="es-ES"/>
        </w:rPr>
        <w:t>;</w:t>
      </w:r>
      <w:r w:rsidR="0008527C" w:rsidRPr="001A4BD2">
        <w:rPr>
          <w:lang w:val="es-ES"/>
        </w:rPr>
        <w:t xml:space="preserve"> abogando por ello, el entendimiento de algun</w:t>
      </w:r>
      <w:r w:rsidR="00164900" w:rsidRPr="001A4BD2">
        <w:rPr>
          <w:lang w:val="es-ES"/>
        </w:rPr>
        <w:t>as afectaciones</w:t>
      </w:r>
      <w:r w:rsidR="00457475" w:rsidRPr="001A4BD2">
        <w:rPr>
          <w:lang w:val="es-ES"/>
        </w:rPr>
        <w:t>, como los trastornos psicóticos</w:t>
      </w:r>
      <w:r w:rsidR="00E7783E" w:rsidRPr="001A4BD2">
        <w:rPr>
          <w:lang w:val="es-ES"/>
        </w:rPr>
        <w:t xml:space="preserve"> o los trastornos</w:t>
      </w:r>
      <w:r w:rsidR="00457475" w:rsidRPr="001A4BD2">
        <w:rPr>
          <w:lang w:val="es-ES"/>
        </w:rPr>
        <w:t xml:space="preserve"> afectivos</w:t>
      </w:r>
      <w:r w:rsidR="00164900" w:rsidRPr="001A4BD2">
        <w:rPr>
          <w:lang w:val="es-ES"/>
        </w:rPr>
        <w:t>,</w:t>
      </w:r>
      <w:r w:rsidR="0008527C" w:rsidRPr="001A4BD2">
        <w:rPr>
          <w:lang w:val="es-ES"/>
        </w:rPr>
        <w:t xml:space="preserve"> como </w:t>
      </w:r>
      <w:r w:rsidR="006B3ABD" w:rsidRPr="001A4BD2">
        <w:rPr>
          <w:lang w:val="es-ES"/>
        </w:rPr>
        <w:t>fenómenos que se distribuyen a lo largo de un espectro</w:t>
      </w:r>
      <w:r w:rsidR="00164900" w:rsidRPr="001A4BD2">
        <w:rPr>
          <w:lang w:val="es-ES"/>
        </w:rPr>
        <w:t xml:space="preserve"> (</w:t>
      </w:r>
      <w:r w:rsidR="00457475" w:rsidRPr="001A4BD2">
        <w:rPr>
          <w:lang w:val="es-ES"/>
        </w:rPr>
        <w:t>Jablensky, 2016</w:t>
      </w:r>
      <w:r w:rsidR="00164900" w:rsidRPr="001A4BD2">
        <w:rPr>
          <w:lang w:val="es-ES"/>
        </w:rPr>
        <w:t>; Kotov, 2017</w:t>
      </w:r>
      <w:r w:rsidR="00457475" w:rsidRPr="001A4BD2">
        <w:rPr>
          <w:lang w:val="es-ES"/>
        </w:rPr>
        <w:t>).</w:t>
      </w:r>
      <w:r w:rsidR="009C6B36" w:rsidRPr="001A4BD2">
        <w:rPr>
          <w:lang w:val="es-ES"/>
        </w:rPr>
        <w:t xml:space="preserve"> </w:t>
      </w:r>
    </w:p>
    <w:p w14:paraId="7475FD4B" w14:textId="77777777" w:rsidR="00BB4708" w:rsidRPr="001A4BD2" w:rsidRDefault="00BB4708" w:rsidP="001A4BD2">
      <w:pPr>
        <w:spacing w:line="360" w:lineRule="auto"/>
        <w:jc w:val="both"/>
        <w:rPr>
          <w:lang w:val="es-ES"/>
        </w:rPr>
      </w:pPr>
    </w:p>
    <w:p w14:paraId="336FA28A" w14:textId="414DF2EC" w:rsidR="00A93768" w:rsidRPr="001A4BD2" w:rsidRDefault="00164900" w:rsidP="001A4BD2">
      <w:pPr>
        <w:spacing w:line="360" w:lineRule="auto"/>
        <w:jc w:val="both"/>
        <w:rPr>
          <w:rFonts w:eastAsiaTheme="minorHAnsi"/>
          <w:lang w:val="es-ES" w:eastAsia="en-US"/>
        </w:rPr>
      </w:pPr>
      <w:r w:rsidRPr="001A4BD2">
        <w:rPr>
          <w:lang w:val="es-ES"/>
        </w:rPr>
        <w:t xml:space="preserve">De forma relevante, es </w:t>
      </w:r>
      <w:r w:rsidR="00FD35CE" w:rsidRPr="001A4BD2">
        <w:rPr>
          <w:lang w:val="es-ES"/>
        </w:rPr>
        <w:t>precisamente esta</w:t>
      </w:r>
      <w:r w:rsidRPr="001A4BD2">
        <w:rPr>
          <w:lang w:val="es-ES"/>
        </w:rPr>
        <w:t xml:space="preserve"> difusividad </w:t>
      </w:r>
      <w:r w:rsidR="00FD35CE" w:rsidRPr="001A4BD2">
        <w:rPr>
          <w:lang w:val="es-ES"/>
        </w:rPr>
        <w:t>de los límites categoriales</w:t>
      </w:r>
      <w:r w:rsidRPr="001A4BD2">
        <w:rPr>
          <w:lang w:val="es-ES"/>
        </w:rPr>
        <w:t xml:space="preserve"> </w:t>
      </w:r>
      <w:r w:rsidR="00FD35CE" w:rsidRPr="001A4BD2">
        <w:rPr>
          <w:lang w:val="es-ES"/>
        </w:rPr>
        <w:t xml:space="preserve">lo que subyace a la crítica clásica </w:t>
      </w:r>
      <w:r w:rsidRPr="001A4BD2">
        <w:rPr>
          <w:lang w:val="es-ES"/>
        </w:rPr>
        <w:t>Wittgenstein (19</w:t>
      </w:r>
      <w:r w:rsidR="000B1B99" w:rsidRPr="001A4BD2">
        <w:rPr>
          <w:lang w:val="es-ES"/>
        </w:rPr>
        <w:t>80</w:t>
      </w:r>
      <w:r w:rsidRPr="001A4BD2">
        <w:rPr>
          <w:lang w:val="es-ES"/>
        </w:rPr>
        <w:t xml:space="preserve">) </w:t>
      </w:r>
      <w:r w:rsidR="00FD35CE" w:rsidRPr="001A4BD2">
        <w:rPr>
          <w:lang w:val="es-ES"/>
        </w:rPr>
        <w:t xml:space="preserve">quien señalaba que </w:t>
      </w:r>
      <w:r w:rsidR="00FD35CE" w:rsidRPr="001A4BD2">
        <w:rPr>
          <w:rFonts w:eastAsiaTheme="minorHAnsi"/>
          <w:lang w:val="es-ES" w:eastAsia="en-US"/>
        </w:rPr>
        <w:t>“las clasificaciones elaboradas por filósofos y psiquiatras son comparables a un intento de clasificar nubes según su forma”, y que ha llevado a una parte significativa de la comunidad científica a cuestionar el carácter arbitrario de las fronteras establecidas por el paradigma diagnóstico</w:t>
      </w:r>
      <w:r w:rsidR="00DC2BA3" w:rsidRPr="001A4BD2">
        <w:rPr>
          <w:rStyle w:val="FootnoteReference"/>
          <w:rFonts w:eastAsiaTheme="minorHAnsi"/>
          <w:lang w:val="es-ES" w:eastAsia="en-US"/>
        </w:rPr>
        <w:footnoteReference w:id="2"/>
      </w:r>
      <w:r w:rsidR="00FD35CE" w:rsidRPr="001A4BD2">
        <w:rPr>
          <w:rFonts w:eastAsiaTheme="minorHAnsi"/>
          <w:lang w:val="es-ES" w:eastAsia="en-US"/>
        </w:rPr>
        <w:t xml:space="preserve"> </w:t>
      </w:r>
      <w:r w:rsidR="009E1273" w:rsidRPr="001A4BD2">
        <w:rPr>
          <w:rFonts w:eastAsiaTheme="minorHAnsi"/>
          <w:lang w:val="es-ES" w:eastAsia="en-US"/>
        </w:rPr>
        <w:t>(Hyman, 2010; Kendell &amp; Jablensky, 2003</w:t>
      </w:r>
      <w:r w:rsidR="004F586A" w:rsidRPr="001A4BD2">
        <w:rPr>
          <w:rFonts w:eastAsiaTheme="minorHAnsi"/>
          <w:lang w:val="es-ES" w:eastAsia="en-US"/>
        </w:rPr>
        <w:t>; Markon, 2013</w:t>
      </w:r>
      <w:r w:rsidR="009E1273" w:rsidRPr="001A4BD2">
        <w:rPr>
          <w:rFonts w:eastAsiaTheme="minorHAnsi"/>
          <w:lang w:val="es-ES" w:eastAsia="en-US"/>
        </w:rPr>
        <w:t>)</w:t>
      </w:r>
      <w:r w:rsidR="00BB4708" w:rsidRPr="001A4BD2">
        <w:rPr>
          <w:rFonts w:eastAsiaTheme="minorHAnsi"/>
          <w:lang w:val="es-ES" w:eastAsia="en-US"/>
        </w:rPr>
        <w:t>.</w:t>
      </w:r>
    </w:p>
    <w:p w14:paraId="42050D32" w14:textId="56D8065D" w:rsidR="00BB4708" w:rsidRPr="001A4BD2" w:rsidRDefault="00BB4708" w:rsidP="001A4BD2">
      <w:pPr>
        <w:spacing w:line="360" w:lineRule="auto"/>
        <w:jc w:val="both"/>
        <w:rPr>
          <w:rFonts w:eastAsiaTheme="minorHAnsi"/>
          <w:lang w:val="es-ES" w:eastAsia="en-US"/>
        </w:rPr>
      </w:pPr>
    </w:p>
    <w:p w14:paraId="2064E95A" w14:textId="2B2E6A08" w:rsidR="003F66B0" w:rsidRPr="001A4BD2" w:rsidRDefault="00694620" w:rsidP="001A4BD2">
      <w:pPr>
        <w:spacing w:line="360" w:lineRule="auto"/>
        <w:jc w:val="both"/>
        <w:rPr>
          <w:rFonts w:eastAsiaTheme="minorHAnsi"/>
          <w:lang w:val="es-ES" w:eastAsia="en-US"/>
        </w:rPr>
      </w:pPr>
      <w:r w:rsidRPr="001A4BD2">
        <w:rPr>
          <w:rFonts w:eastAsiaTheme="minorHAnsi"/>
          <w:lang w:val="es-ES" w:eastAsia="en-US"/>
        </w:rPr>
        <w:t>Más allá de sus limitaciones teóricas y empíricas, los dos fenómenos señalados con anterioridad</w:t>
      </w:r>
      <w:r w:rsidR="003F66B0" w:rsidRPr="001A4BD2">
        <w:rPr>
          <w:rFonts w:eastAsiaTheme="minorHAnsi"/>
          <w:lang w:val="es-ES" w:eastAsia="en-US"/>
        </w:rPr>
        <w:t xml:space="preserve"> (</w:t>
      </w:r>
      <w:r w:rsidR="00B208F4" w:rsidRPr="001A4BD2">
        <w:rPr>
          <w:rFonts w:eastAsiaTheme="minorHAnsi"/>
          <w:lang w:val="es-ES" w:eastAsia="en-US"/>
        </w:rPr>
        <w:t xml:space="preserve">particularmente, </w:t>
      </w:r>
      <w:r w:rsidRPr="001A4BD2">
        <w:rPr>
          <w:rFonts w:eastAsiaTheme="minorHAnsi"/>
          <w:lang w:val="es-ES" w:eastAsia="en-US"/>
        </w:rPr>
        <w:t>la inespecifidad causal</w:t>
      </w:r>
      <w:r w:rsidR="00B208F4" w:rsidRPr="001A4BD2">
        <w:rPr>
          <w:rFonts w:eastAsiaTheme="minorHAnsi"/>
          <w:lang w:val="es-ES" w:eastAsia="en-US"/>
        </w:rPr>
        <w:t xml:space="preserve"> </w:t>
      </w:r>
      <w:r w:rsidR="003F66B0" w:rsidRPr="001A4BD2">
        <w:rPr>
          <w:rFonts w:eastAsiaTheme="minorHAnsi"/>
          <w:lang w:val="es-ES" w:eastAsia="en-US"/>
        </w:rPr>
        <w:t>de los</w:t>
      </w:r>
      <w:r w:rsidR="00B337FD" w:rsidRPr="001A4BD2">
        <w:rPr>
          <w:rFonts w:eastAsiaTheme="minorHAnsi"/>
          <w:lang w:val="es-ES" w:eastAsia="en-US"/>
        </w:rPr>
        <w:t xml:space="preserve"> trastornos mentales</w:t>
      </w:r>
      <w:r w:rsidR="003F66B0" w:rsidRPr="001A4BD2">
        <w:rPr>
          <w:rFonts w:eastAsiaTheme="minorHAnsi"/>
          <w:lang w:val="es-ES" w:eastAsia="en-US"/>
        </w:rPr>
        <w:t>,</w:t>
      </w:r>
      <w:r w:rsidRPr="001A4BD2">
        <w:rPr>
          <w:rFonts w:eastAsiaTheme="minorHAnsi"/>
          <w:lang w:val="es-ES" w:eastAsia="en-US"/>
        </w:rPr>
        <w:t xml:space="preserve"> y la arbitrariedad de los límites diagnósticos</w:t>
      </w:r>
      <w:r w:rsidR="003F66B0" w:rsidRPr="001A4BD2">
        <w:rPr>
          <w:rFonts w:eastAsiaTheme="minorHAnsi"/>
          <w:lang w:val="es-ES" w:eastAsia="en-US"/>
        </w:rPr>
        <w:t>)</w:t>
      </w:r>
      <w:r w:rsidRPr="001A4BD2">
        <w:rPr>
          <w:rFonts w:eastAsiaTheme="minorHAnsi"/>
          <w:lang w:val="es-ES" w:eastAsia="en-US"/>
        </w:rPr>
        <w:t xml:space="preserve"> plantean una crítica sustancial a la visión </w:t>
      </w:r>
      <w:r w:rsidRPr="001A4BD2">
        <w:rPr>
          <w:rFonts w:eastAsiaTheme="minorHAnsi"/>
          <w:i/>
          <w:iCs/>
          <w:lang w:val="es-ES" w:eastAsia="en-US"/>
        </w:rPr>
        <w:t>naturalista</w:t>
      </w:r>
      <w:r w:rsidRPr="001A4BD2">
        <w:rPr>
          <w:rFonts w:eastAsiaTheme="minorHAnsi"/>
          <w:lang w:val="es-ES" w:eastAsia="en-US"/>
        </w:rPr>
        <w:t xml:space="preserve"> de la enfermedad mental </w:t>
      </w:r>
      <w:r w:rsidR="003F66B0" w:rsidRPr="001A4BD2">
        <w:rPr>
          <w:rFonts w:eastAsiaTheme="minorHAnsi"/>
          <w:lang w:val="es-ES" w:eastAsia="en-US"/>
        </w:rPr>
        <w:t xml:space="preserve">subyacente al </w:t>
      </w:r>
      <w:r w:rsidRPr="001A4BD2">
        <w:rPr>
          <w:rFonts w:eastAsiaTheme="minorHAnsi"/>
          <w:lang w:val="es-ES" w:eastAsia="en-US"/>
        </w:rPr>
        <w:t>paradigma diagnóstico</w:t>
      </w:r>
      <w:r w:rsidR="004F586A" w:rsidRPr="001A4BD2">
        <w:rPr>
          <w:rFonts w:eastAsiaTheme="minorHAnsi"/>
          <w:lang w:val="es-ES" w:eastAsia="en-US"/>
        </w:rPr>
        <w:t xml:space="preserve"> (Zachar, 2000; Zachar, 2015</w:t>
      </w:r>
      <w:r w:rsidR="00451AA9" w:rsidRPr="001A4BD2">
        <w:rPr>
          <w:rFonts w:eastAsiaTheme="minorHAnsi"/>
          <w:lang w:val="es-ES" w:eastAsia="en-US"/>
        </w:rPr>
        <w:t>).</w:t>
      </w:r>
      <w:r w:rsidR="003F66B0" w:rsidRPr="001A4BD2">
        <w:rPr>
          <w:rFonts w:eastAsiaTheme="minorHAnsi"/>
          <w:lang w:val="es-ES" w:eastAsia="en-US"/>
        </w:rPr>
        <w:t xml:space="preserve"> Esta establece </w:t>
      </w:r>
      <w:r w:rsidRPr="001A4BD2">
        <w:rPr>
          <w:rFonts w:eastAsiaTheme="minorHAnsi"/>
          <w:lang w:val="es-ES" w:eastAsia="en-US"/>
        </w:rPr>
        <w:t xml:space="preserve">que </w:t>
      </w:r>
      <w:r w:rsidR="003F66B0" w:rsidRPr="001A4BD2">
        <w:rPr>
          <w:rFonts w:eastAsiaTheme="minorHAnsi"/>
          <w:lang w:val="es-ES" w:eastAsia="en-US"/>
        </w:rPr>
        <w:t>existirían</w:t>
      </w:r>
      <w:r w:rsidR="00B337FD" w:rsidRPr="001A4BD2">
        <w:rPr>
          <w:rFonts w:eastAsiaTheme="minorHAnsi"/>
          <w:lang w:val="es-ES" w:eastAsia="en-US"/>
        </w:rPr>
        <w:t xml:space="preserve"> trastornos como categorías en sí mismas, con límites claros, y con mecanismos causales compartidos</w:t>
      </w:r>
      <w:r w:rsidR="000B1B99" w:rsidRPr="001A4BD2">
        <w:rPr>
          <w:rFonts w:eastAsiaTheme="minorHAnsi"/>
          <w:lang w:val="es-ES" w:eastAsia="en-US"/>
        </w:rPr>
        <w:t xml:space="preserve"> (Lilienfeld &amp; Treadway, 2016)</w:t>
      </w:r>
      <w:r w:rsidR="00B337FD" w:rsidRPr="001A4BD2">
        <w:rPr>
          <w:rFonts w:eastAsiaTheme="minorHAnsi"/>
          <w:lang w:val="es-ES" w:eastAsia="en-US"/>
        </w:rPr>
        <w:t>.</w:t>
      </w:r>
      <w:r w:rsidR="00E567E5" w:rsidRPr="001A4BD2">
        <w:rPr>
          <w:rFonts w:eastAsiaTheme="minorHAnsi"/>
          <w:lang w:val="es-ES" w:eastAsia="en-US"/>
        </w:rPr>
        <w:t xml:space="preserve"> </w:t>
      </w:r>
    </w:p>
    <w:p w14:paraId="1E8098F1" w14:textId="77777777" w:rsidR="003F66B0" w:rsidRPr="001A4BD2" w:rsidRDefault="003F66B0" w:rsidP="001A4BD2">
      <w:pPr>
        <w:spacing w:line="360" w:lineRule="auto"/>
        <w:jc w:val="both"/>
        <w:rPr>
          <w:rFonts w:eastAsiaTheme="minorHAnsi"/>
          <w:lang w:val="es-ES" w:eastAsia="en-US"/>
        </w:rPr>
      </w:pPr>
    </w:p>
    <w:p w14:paraId="573DD07D" w14:textId="537FA2AF" w:rsidR="003F66B0" w:rsidRPr="001A4BD2" w:rsidRDefault="00E567E5" w:rsidP="001A4BD2">
      <w:pPr>
        <w:spacing w:line="360" w:lineRule="auto"/>
        <w:jc w:val="both"/>
        <w:rPr>
          <w:lang w:val="es-ES"/>
        </w:rPr>
      </w:pPr>
      <w:r w:rsidRPr="001A4BD2">
        <w:rPr>
          <w:rFonts w:eastAsiaTheme="minorHAnsi"/>
          <w:lang w:val="es-ES" w:eastAsia="en-US"/>
        </w:rPr>
        <w:t>Resulta evidente</w:t>
      </w:r>
      <w:r w:rsidR="003F66B0" w:rsidRPr="001A4BD2">
        <w:rPr>
          <w:rFonts w:eastAsiaTheme="minorHAnsi"/>
          <w:lang w:val="es-ES" w:eastAsia="en-US"/>
        </w:rPr>
        <w:t xml:space="preserve"> </w:t>
      </w:r>
      <w:r w:rsidRPr="001A4BD2">
        <w:rPr>
          <w:rFonts w:eastAsiaTheme="minorHAnsi"/>
          <w:lang w:val="es-ES" w:eastAsia="en-US"/>
        </w:rPr>
        <w:t xml:space="preserve">que las clasificaciones actuales no logran reflejar la realidad del trastorno mental (Borsboom, 2008), </w:t>
      </w:r>
      <w:r w:rsidR="003F66B0" w:rsidRPr="001A4BD2">
        <w:rPr>
          <w:rFonts w:eastAsiaTheme="minorHAnsi"/>
          <w:lang w:val="es-ES" w:eastAsia="en-US"/>
        </w:rPr>
        <w:t xml:space="preserve">pese a que continúan ejerciendo una </w:t>
      </w:r>
      <w:r w:rsidRPr="009C3411">
        <w:rPr>
          <w:lang w:val="es-ES"/>
        </w:rPr>
        <w:t xml:space="preserve">influencia hegemónica sobre </w:t>
      </w:r>
      <w:r w:rsidRPr="009C3411">
        <w:rPr>
          <w:lang w:val="es-ES"/>
        </w:rPr>
        <w:lastRenderedPageBreak/>
        <w:t>la investigación y la práctica clínica en salud mental</w:t>
      </w:r>
      <w:r w:rsidR="003F66B0" w:rsidRPr="001A4BD2">
        <w:rPr>
          <w:lang w:val="es-ES"/>
        </w:rPr>
        <w:t xml:space="preserve">, en la medida en que </w:t>
      </w:r>
      <w:r w:rsidR="00A94B11" w:rsidRPr="001A4BD2">
        <w:rPr>
          <w:lang w:val="es-ES"/>
        </w:rPr>
        <w:t xml:space="preserve">el </w:t>
      </w:r>
      <w:r w:rsidRPr="009C3411">
        <w:rPr>
          <w:lang w:val="es-ES"/>
        </w:rPr>
        <w:t xml:space="preserve">diagnóstico </w:t>
      </w:r>
      <w:r w:rsidR="00A94B11" w:rsidRPr="001A4BD2">
        <w:rPr>
          <w:lang w:val="es-ES"/>
        </w:rPr>
        <w:t xml:space="preserve">constituye </w:t>
      </w:r>
      <w:r w:rsidRPr="009C3411">
        <w:rPr>
          <w:lang w:val="es-ES"/>
        </w:rPr>
        <w:t>la unidad primordial de análisis e intervención</w:t>
      </w:r>
      <w:r w:rsidR="004F586A" w:rsidRPr="001A4BD2">
        <w:rPr>
          <w:lang w:val="es-ES"/>
        </w:rPr>
        <w:t xml:space="preserve"> (Dalgeish et al., 2020; Borsboom, 2008</w:t>
      </w:r>
      <w:r w:rsidR="000B1B99" w:rsidRPr="001A4BD2">
        <w:rPr>
          <w:lang w:val="es-ES"/>
        </w:rPr>
        <w:t>)</w:t>
      </w:r>
      <w:r w:rsidRPr="009C3411">
        <w:rPr>
          <w:lang w:val="es-ES"/>
        </w:rPr>
        <w:t>.</w:t>
      </w:r>
      <w:r w:rsidRPr="001A4BD2">
        <w:rPr>
          <w:lang w:val="es-ES"/>
        </w:rPr>
        <w:t xml:space="preserve"> </w:t>
      </w:r>
    </w:p>
    <w:p w14:paraId="7727C108" w14:textId="77777777" w:rsidR="003F66B0" w:rsidRPr="001A4BD2" w:rsidRDefault="003F66B0" w:rsidP="001A4BD2">
      <w:pPr>
        <w:spacing w:line="360" w:lineRule="auto"/>
        <w:jc w:val="both"/>
        <w:rPr>
          <w:lang w:val="es-ES"/>
        </w:rPr>
      </w:pPr>
    </w:p>
    <w:p w14:paraId="452EB4E0" w14:textId="730DBF7F" w:rsidR="00FE043E" w:rsidRPr="001A4BD2" w:rsidRDefault="00E567E5" w:rsidP="001A4BD2">
      <w:pPr>
        <w:spacing w:line="360" w:lineRule="auto"/>
        <w:jc w:val="both"/>
        <w:rPr>
          <w:lang w:val="es-ES"/>
        </w:rPr>
      </w:pPr>
      <w:r w:rsidRPr="001A4BD2">
        <w:rPr>
          <w:lang w:val="es-ES"/>
        </w:rPr>
        <w:t xml:space="preserve">Es por ello, </w:t>
      </w:r>
      <w:r w:rsidR="003F66B0" w:rsidRPr="001A4BD2">
        <w:rPr>
          <w:lang w:val="es-ES"/>
        </w:rPr>
        <w:t xml:space="preserve">aun cuando una parte de la comunidad científica atribuye a las herramientas </w:t>
      </w:r>
      <w:r w:rsidR="00A94B11" w:rsidRPr="001A4BD2">
        <w:rPr>
          <w:lang w:val="es-ES"/>
        </w:rPr>
        <w:t>nosológicas un poder pragmático (</w:t>
      </w:r>
      <w:r w:rsidR="00A94B11" w:rsidRPr="001A4BD2">
        <w:rPr>
          <w:i/>
          <w:iCs/>
          <w:color w:val="FF0000"/>
          <w:lang w:val="es-ES"/>
        </w:rPr>
        <w:t>sería interesante analizar esto más adelante, hay un artículo en el que Borsboom et al. critican la visión pragmática y arbitraria de los modelos diagnósticos- buscan establecer modelos o marcos teóricos que se ajusten a una realidad científica</w:t>
      </w:r>
      <w:r w:rsidR="00A94B11" w:rsidRPr="001A4BD2">
        <w:rPr>
          <w:color w:val="FF0000"/>
          <w:lang w:val="es-ES"/>
        </w:rPr>
        <w:t xml:space="preserve"> </w:t>
      </w:r>
      <w:r w:rsidR="00A94B11" w:rsidRPr="001A4BD2">
        <w:rPr>
          <w:lang w:val="es-ES"/>
        </w:rPr>
        <w:t>), se ha señalado también el riesgo de que su empleo</w:t>
      </w:r>
      <w:r w:rsidR="003F66B0" w:rsidRPr="001A4BD2">
        <w:rPr>
          <w:lang w:val="es-ES"/>
        </w:rPr>
        <w:t xml:space="preserve"> </w:t>
      </w:r>
      <w:r w:rsidR="00FE043E" w:rsidRPr="001A4BD2">
        <w:rPr>
          <w:lang w:val="es-ES"/>
        </w:rPr>
        <w:t xml:space="preserve">suscite procesos de </w:t>
      </w:r>
      <w:r w:rsidR="00A94B11" w:rsidRPr="001A4BD2">
        <w:rPr>
          <w:lang w:val="es-ES"/>
        </w:rPr>
        <w:t xml:space="preserve">reificación ontológica </w:t>
      </w:r>
      <w:r w:rsidR="00A94B11" w:rsidRPr="009C3411">
        <w:rPr>
          <w:lang w:val="es-ES"/>
        </w:rPr>
        <w:t>(Hyman, 2010; Tabb, 2019): las categorías concebidas originalmente como construcciones descriptivas y operativas pasan a ser tratadas como entidades ontológicamente reales, dotadas de capacidad explicativa.</w:t>
      </w:r>
    </w:p>
    <w:p w14:paraId="717863B2" w14:textId="77777777" w:rsidR="001A4BD2" w:rsidRPr="001A4BD2" w:rsidRDefault="001A4BD2" w:rsidP="001A4BD2">
      <w:pPr>
        <w:spacing w:line="360" w:lineRule="auto"/>
        <w:jc w:val="both"/>
        <w:rPr>
          <w:lang w:val="es-ES"/>
        </w:rPr>
      </w:pPr>
    </w:p>
    <w:p w14:paraId="08359C39" w14:textId="6E15FFFC" w:rsidR="00A94B11" w:rsidRPr="009C3411" w:rsidRDefault="00A94B11" w:rsidP="001A4BD2">
      <w:pPr>
        <w:spacing w:line="360" w:lineRule="auto"/>
        <w:jc w:val="both"/>
        <w:rPr>
          <w:rFonts w:eastAsiaTheme="minorHAnsi"/>
          <w:lang w:val="es-ES" w:eastAsia="en-US"/>
        </w:rPr>
      </w:pPr>
      <w:r w:rsidRPr="009C3411">
        <w:rPr>
          <w:lang w:val="es-ES"/>
        </w:rPr>
        <w:t xml:space="preserve">En esencia, </w:t>
      </w:r>
      <w:r w:rsidR="00FE043E" w:rsidRPr="001A4BD2">
        <w:rPr>
          <w:lang w:val="es-ES"/>
        </w:rPr>
        <w:t xml:space="preserve">este desplazamiento </w:t>
      </w:r>
      <w:r w:rsidRPr="009C3411">
        <w:rPr>
          <w:lang w:val="es-ES"/>
        </w:rPr>
        <w:t xml:space="preserve">se </w:t>
      </w:r>
      <w:r w:rsidR="00FE043E" w:rsidRPr="001A4BD2">
        <w:rPr>
          <w:lang w:val="es-ES"/>
        </w:rPr>
        <w:t>traduce</w:t>
      </w:r>
      <w:r w:rsidRPr="009C3411">
        <w:rPr>
          <w:lang w:val="es-ES"/>
        </w:rPr>
        <w:t xml:space="preserve"> en un problema de validez, en la medida que se atribuye a las categorías diagnósticas un estatuto explicativo y ontológico que excede </w:t>
      </w:r>
      <w:r w:rsidRPr="001A4BD2">
        <w:rPr>
          <w:lang w:val="es-ES"/>
        </w:rPr>
        <w:t xml:space="preserve">aquello </w:t>
      </w:r>
      <w:r w:rsidRPr="009C3411">
        <w:rPr>
          <w:lang w:val="es-ES"/>
        </w:rPr>
        <w:t>para lo que fueron diseñadas (Jablensky, 2016).</w:t>
      </w:r>
    </w:p>
    <w:p w14:paraId="61E69D6F" w14:textId="0BB6F3A1" w:rsidR="00FD35CE" w:rsidRPr="001A4BD2" w:rsidRDefault="00FD35CE" w:rsidP="001A4BD2">
      <w:pPr>
        <w:spacing w:line="360" w:lineRule="auto"/>
        <w:jc w:val="both"/>
        <w:rPr>
          <w:lang w:val="es-ES"/>
        </w:rPr>
      </w:pPr>
    </w:p>
    <w:p w14:paraId="253DB112" w14:textId="061ABA25" w:rsidR="009C3411" w:rsidRPr="001A4BD2" w:rsidRDefault="009C3411" w:rsidP="001A4BD2">
      <w:pPr>
        <w:spacing w:line="360" w:lineRule="auto"/>
        <w:jc w:val="both"/>
        <w:rPr>
          <w:lang w:val="es-ES"/>
        </w:rPr>
      </w:pPr>
    </w:p>
    <w:p w14:paraId="4A63C8AD" w14:textId="7A325F57" w:rsidR="007E3416" w:rsidRDefault="007E3416" w:rsidP="007E3416">
      <w:pPr>
        <w:spacing w:line="276" w:lineRule="auto"/>
        <w:jc w:val="center"/>
        <w:rPr>
          <w:lang w:val="es-ES"/>
        </w:rPr>
      </w:pPr>
      <w:r w:rsidRPr="001A4BD2">
        <w:rPr>
          <w:lang w:val="es-ES"/>
        </w:rPr>
        <w:t>Referencias bibliográficas</w:t>
      </w:r>
    </w:p>
    <w:p w14:paraId="7394E4FE" w14:textId="782AC33B" w:rsidR="007E3416" w:rsidRDefault="007E3416" w:rsidP="001A4BD2">
      <w:pPr>
        <w:spacing w:line="360" w:lineRule="auto"/>
        <w:ind w:left="720" w:hanging="720"/>
        <w:jc w:val="both"/>
      </w:pPr>
    </w:p>
    <w:p w14:paraId="28C61DA6" w14:textId="77777777" w:rsidR="001A4BD2" w:rsidRPr="001A4BD2" w:rsidRDefault="001A4BD2" w:rsidP="001A4BD2">
      <w:pPr>
        <w:spacing w:line="360" w:lineRule="auto"/>
        <w:ind w:left="720" w:hanging="720"/>
        <w:jc w:val="both"/>
      </w:pPr>
      <w:r w:rsidRPr="001A4BD2">
        <w:t xml:space="preserve">Allsopp, K., Read, J., Corcoran, R., &amp; Kinderman, P. (2019). Heterogeneity in psychiatric diagnostic classification. </w:t>
      </w:r>
      <w:r w:rsidRPr="001A4BD2">
        <w:rPr>
          <w:i/>
          <w:iCs/>
        </w:rPr>
        <w:t>Psychiatry Research, 279</w:t>
      </w:r>
      <w:r w:rsidRPr="001A4BD2">
        <w:t xml:space="preserve">, 15–22. </w:t>
      </w:r>
      <w:hyperlink r:id="rId8" w:tgtFrame="_new" w:history="1">
        <w:r w:rsidRPr="001A4BD2">
          <w:rPr>
            <w:rStyle w:val="Hyperlink"/>
          </w:rPr>
          <w:t>https://doi.org/10.1016/j.psychres.2019.07.005</w:t>
        </w:r>
      </w:hyperlink>
    </w:p>
    <w:p w14:paraId="536C3A73" w14:textId="77777777" w:rsidR="001A4BD2" w:rsidRPr="001A4BD2" w:rsidRDefault="001A4BD2" w:rsidP="001A4BD2">
      <w:pPr>
        <w:spacing w:line="360" w:lineRule="auto"/>
        <w:ind w:left="720" w:hanging="720"/>
        <w:jc w:val="both"/>
      </w:pPr>
      <w:r w:rsidRPr="001A4BD2">
        <w:t xml:space="preserve">American Psychiatric Association. (2022). </w:t>
      </w:r>
      <w:r w:rsidRPr="001A4BD2">
        <w:rPr>
          <w:i/>
          <w:iCs/>
        </w:rPr>
        <w:t>Diagnostic and statistical manual of mental disorders</w:t>
      </w:r>
      <w:r w:rsidRPr="001A4BD2">
        <w:t xml:space="preserve"> (5th ed., text rev.). </w:t>
      </w:r>
      <w:hyperlink r:id="rId9" w:tgtFrame="_new" w:history="1">
        <w:r w:rsidRPr="001A4BD2">
          <w:rPr>
            <w:rStyle w:val="Hyperlink"/>
          </w:rPr>
          <w:t>https://doi.org/10.1176/appi.books.9780890425596</w:t>
        </w:r>
      </w:hyperlink>
    </w:p>
    <w:p w14:paraId="7A0B431D" w14:textId="77777777" w:rsidR="001A4BD2" w:rsidRPr="001A4BD2" w:rsidRDefault="001A4BD2" w:rsidP="001A4BD2">
      <w:pPr>
        <w:spacing w:line="360" w:lineRule="auto"/>
        <w:ind w:left="720" w:hanging="720"/>
        <w:jc w:val="both"/>
      </w:pPr>
      <w:r w:rsidRPr="001A4BD2">
        <w:t xml:space="preserve">Barlow, D. H., </w:t>
      </w:r>
      <w:proofErr w:type="spellStart"/>
      <w:r w:rsidRPr="001A4BD2">
        <w:t>Farchione</w:t>
      </w:r>
      <w:proofErr w:type="spellEnd"/>
      <w:r w:rsidRPr="001A4BD2">
        <w:t xml:space="preserve">, T. J., </w:t>
      </w:r>
      <w:proofErr w:type="spellStart"/>
      <w:r w:rsidRPr="001A4BD2">
        <w:t>Bullis</w:t>
      </w:r>
      <w:proofErr w:type="spellEnd"/>
      <w:r w:rsidRPr="001A4BD2">
        <w:t xml:space="preserve">, J. R., Gallagher, M. W., Murray-Latin, H., Sauer-Zavala, S., Bentley, K. H., Thompson-Hollands, J., Conklin, L. R., Boswell, J. F., </w:t>
      </w:r>
      <w:proofErr w:type="spellStart"/>
      <w:r w:rsidRPr="001A4BD2">
        <w:t>Ametaj</w:t>
      </w:r>
      <w:proofErr w:type="spellEnd"/>
      <w:r w:rsidRPr="001A4BD2">
        <w:t xml:space="preserve">, A., Carl, J. R., Boettcher, H. T., &amp; </w:t>
      </w:r>
      <w:proofErr w:type="spellStart"/>
      <w:r w:rsidRPr="001A4BD2">
        <w:t>Cassiello</w:t>
      </w:r>
      <w:proofErr w:type="spellEnd"/>
      <w:r w:rsidRPr="001A4BD2">
        <w:t xml:space="preserve">-Robbins, C. (2017). The Unified Protocol for transdiagnostic treatment of emotional disorders compared with diagnosis-specific protocols for anxiety disorders: A randomized clinical trial. </w:t>
      </w:r>
      <w:r w:rsidRPr="001A4BD2">
        <w:rPr>
          <w:i/>
          <w:iCs/>
        </w:rPr>
        <w:t>JAMA Psychiatry, 74</w:t>
      </w:r>
      <w:r w:rsidRPr="001A4BD2">
        <w:t xml:space="preserve">(9), 875–884. </w:t>
      </w:r>
      <w:hyperlink r:id="rId10" w:tgtFrame="_new" w:history="1">
        <w:r w:rsidRPr="001A4BD2">
          <w:rPr>
            <w:rStyle w:val="Hyperlink"/>
          </w:rPr>
          <w:t>https://doi.org/10.1001/jamapsychiatry.2017.2164</w:t>
        </w:r>
      </w:hyperlink>
    </w:p>
    <w:p w14:paraId="1D1A9A9C" w14:textId="77777777" w:rsidR="001A4BD2" w:rsidRPr="001A4BD2" w:rsidRDefault="001A4BD2" w:rsidP="001A4BD2">
      <w:pPr>
        <w:spacing w:line="360" w:lineRule="auto"/>
        <w:ind w:left="720" w:hanging="720"/>
        <w:jc w:val="both"/>
      </w:pPr>
      <w:r w:rsidRPr="001A4BD2">
        <w:t xml:space="preserve">Bayer, R. (1987). </w:t>
      </w:r>
      <w:r w:rsidRPr="001A4BD2">
        <w:rPr>
          <w:i/>
          <w:iCs/>
        </w:rPr>
        <w:t>Homosexuality and American psychiatry: The politics of diagnosis</w:t>
      </w:r>
      <w:r w:rsidRPr="001A4BD2">
        <w:t>. Princeton University Press.</w:t>
      </w:r>
    </w:p>
    <w:p w14:paraId="20AA1BE1" w14:textId="77777777" w:rsidR="001A4BD2" w:rsidRPr="001A4BD2" w:rsidRDefault="001A4BD2" w:rsidP="001A4BD2">
      <w:pPr>
        <w:spacing w:line="360" w:lineRule="auto"/>
        <w:ind w:left="720" w:hanging="720"/>
        <w:jc w:val="both"/>
      </w:pPr>
      <w:r w:rsidRPr="001A4BD2">
        <w:lastRenderedPageBreak/>
        <w:t>Ben-</w:t>
      </w:r>
      <w:proofErr w:type="spellStart"/>
      <w:r w:rsidRPr="001A4BD2">
        <w:t>Zeev</w:t>
      </w:r>
      <w:proofErr w:type="spellEnd"/>
      <w:r w:rsidRPr="001A4BD2">
        <w:t xml:space="preserve">, D., Young, M. A., &amp; Corrigan, P. W. (2010). DSM-V and the stigma of mental illness. </w:t>
      </w:r>
      <w:r w:rsidRPr="001A4BD2">
        <w:rPr>
          <w:i/>
          <w:iCs/>
        </w:rPr>
        <w:t>Journal of Mental Health, 19</w:t>
      </w:r>
      <w:r w:rsidRPr="001A4BD2">
        <w:t>(4), 318–327. https://doi.org/10.3109/09638237.2010.492484</w:t>
      </w:r>
    </w:p>
    <w:p w14:paraId="38FC4BF9" w14:textId="77777777" w:rsidR="001A4BD2" w:rsidRPr="001A4BD2" w:rsidRDefault="001A4BD2" w:rsidP="001A4BD2">
      <w:pPr>
        <w:spacing w:line="360" w:lineRule="auto"/>
        <w:ind w:left="720" w:hanging="720"/>
        <w:jc w:val="both"/>
      </w:pPr>
      <w:r w:rsidRPr="001A4BD2">
        <w:t xml:space="preserve">Bentley, K. H., Boettcher, H., </w:t>
      </w:r>
      <w:proofErr w:type="spellStart"/>
      <w:r w:rsidRPr="001A4BD2">
        <w:t>Bullis</w:t>
      </w:r>
      <w:proofErr w:type="spellEnd"/>
      <w:r w:rsidRPr="001A4BD2">
        <w:t xml:space="preserve">, J. R., Carl, J. R., Conklin, L. R., Sauer-Zavala, S., Pierre-Louis, C., &amp; </w:t>
      </w:r>
      <w:proofErr w:type="spellStart"/>
      <w:r w:rsidRPr="001A4BD2">
        <w:t>Farchione</w:t>
      </w:r>
      <w:proofErr w:type="spellEnd"/>
      <w:r w:rsidRPr="001A4BD2">
        <w:t xml:space="preserve">, T. J. (2018). Development of a </w:t>
      </w:r>
      <w:proofErr w:type="gramStart"/>
      <w:r w:rsidRPr="001A4BD2">
        <w:t>single-session</w:t>
      </w:r>
      <w:proofErr w:type="gramEnd"/>
      <w:r w:rsidRPr="001A4BD2">
        <w:t xml:space="preserve">, transdiagnostic preventive intervention for young adults at risk for emotional disorders. </w:t>
      </w:r>
      <w:r w:rsidRPr="001A4BD2">
        <w:rPr>
          <w:i/>
          <w:iCs/>
        </w:rPr>
        <w:t>Behavior Modification, 42</w:t>
      </w:r>
      <w:r w:rsidRPr="001A4BD2">
        <w:t>(5), 781–805. https://doi.org/10.1177/0145445517734354</w:t>
      </w:r>
    </w:p>
    <w:p w14:paraId="41FB6301" w14:textId="77777777" w:rsidR="001A4BD2" w:rsidRPr="001A4BD2" w:rsidRDefault="001A4BD2" w:rsidP="001A4BD2">
      <w:pPr>
        <w:spacing w:line="360" w:lineRule="auto"/>
        <w:ind w:left="720" w:hanging="720"/>
        <w:jc w:val="both"/>
      </w:pPr>
      <w:r w:rsidRPr="001A4BD2">
        <w:t xml:space="preserve">Borsboom, D. (2008). Psychometric perspectives on diagnostic systems. </w:t>
      </w:r>
      <w:r w:rsidRPr="001A4BD2">
        <w:rPr>
          <w:i/>
          <w:iCs/>
        </w:rPr>
        <w:t>Journal of Clinical Psychology, 64</w:t>
      </w:r>
      <w:r w:rsidRPr="001A4BD2">
        <w:t xml:space="preserve">(9), 1089–1108. </w:t>
      </w:r>
      <w:hyperlink r:id="rId11" w:tgtFrame="_new" w:history="1">
        <w:r w:rsidRPr="001A4BD2">
          <w:rPr>
            <w:rStyle w:val="Hyperlink"/>
          </w:rPr>
          <w:t>https://doi.org/10.1002/jclp.20503</w:t>
        </w:r>
      </w:hyperlink>
    </w:p>
    <w:p w14:paraId="6411E525" w14:textId="77777777" w:rsidR="001A4BD2" w:rsidRPr="001A4BD2" w:rsidRDefault="001A4BD2" w:rsidP="001A4BD2">
      <w:pPr>
        <w:spacing w:line="360" w:lineRule="auto"/>
        <w:ind w:left="720" w:hanging="720"/>
        <w:jc w:val="both"/>
      </w:pPr>
      <w:r w:rsidRPr="001A4BD2">
        <w:t xml:space="preserve">Corrigan, P. W. (2007). How clinical diagnosis might exacerbate the stigma of mental illness. </w:t>
      </w:r>
      <w:r w:rsidRPr="001A4BD2">
        <w:rPr>
          <w:i/>
          <w:iCs/>
        </w:rPr>
        <w:t>Social Work, 52</w:t>
      </w:r>
      <w:r w:rsidRPr="001A4BD2">
        <w:t>(1), 31–39.</w:t>
      </w:r>
    </w:p>
    <w:p w14:paraId="1D9096BC" w14:textId="77777777" w:rsidR="001A4BD2" w:rsidRPr="001A4BD2" w:rsidRDefault="001A4BD2" w:rsidP="001A4BD2">
      <w:pPr>
        <w:spacing w:line="360" w:lineRule="auto"/>
        <w:ind w:left="720" w:hanging="720"/>
        <w:jc w:val="both"/>
      </w:pPr>
      <w:r w:rsidRPr="001A4BD2">
        <w:t xml:space="preserve">Cross-Disorder Group of the Psychiatric Genomics Consortium. (2013). Identification of risk loci with shared effects on five major psychiatric disorders: A genome-wide analysis. </w:t>
      </w:r>
      <w:r w:rsidRPr="001A4BD2">
        <w:rPr>
          <w:i/>
          <w:iCs/>
        </w:rPr>
        <w:t>The Lancet, 381</w:t>
      </w:r>
      <w:r w:rsidRPr="001A4BD2">
        <w:t>(9875), 1371–1379. https://doi.org/10.1016/S0140-6736(12)62129-1</w:t>
      </w:r>
    </w:p>
    <w:p w14:paraId="4EF3590D" w14:textId="77777777" w:rsidR="001A4BD2" w:rsidRPr="001A4BD2" w:rsidRDefault="001A4BD2" w:rsidP="001A4BD2">
      <w:pPr>
        <w:spacing w:line="360" w:lineRule="auto"/>
        <w:ind w:left="720" w:hanging="720"/>
        <w:jc w:val="both"/>
      </w:pPr>
      <w:r w:rsidRPr="001A4BD2">
        <w:t xml:space="preserve">Cutajar, M. C., Mullen, P. E., </w:t>
      </w:r>
      <w:proofErr w:type="spellStart"/>
      <w:r w:rsidRPr="001A4BD2">
        <w:t>Ogloff</w:t>
      </w:r>
      <w:proofErr w:type="spellEnd"/>
      <w:r w:rsidRPr="001A4BD2">
        <w:t xml:space="preserve">, J. R., Thomas, S. D., Wells, D. L., &amp; </w:t>
      </w:r>
      <w:proofErr w:type="spellStart"/>
      <w:r w:rsidRPr="001A4BD2">
        <w:t>Spataro</w:t>
      </w:r>
      <w:proofErr w:type="spellEnd"/>
      <w:r w:rsidRPr="001A4BD2">
        <w:t xml:space="preserve">, J. (2010). Psychopathology in a large cohort of sexually abused children followed up to 43 years. </w:t>
      </w:r>
      <w:r w:rsidRPr="001A4BD2">
        <w:rPr>
          <w:i/>
          <w:iCs/>
        </w:rPr>
        <w:t>Child Abuse &amp; Neglect, 34</w:t>
      </w:r>
      <w:r w:rsidRPr="001A4BD2">
        <w:t>(11), 813–822. https://doi.org/10.1016/j.chiabu.2010.04.004</w:t>
      </w:r>
    </w:p>
    <w:p w14:paraId="68AC2EBF" w14:textId="77777777" w:rsidR="001A4BD2" w:rsidRPr="001A4BD2" w:rsidRDefault="001A4BD2" w:rsidP="001A4BD2">
      <w:pPr>
        <w:spacing w:line="360" w:lineRule="auto"/>
        <w:ind w:left="720" w:hanging="720"/>
        <w:jc w:val="both"/>
      </w:pPr>
      <w:r w:rsidRPr="001A4BD2">
        <w:t xml:space="preserve">Dalgleish, T., Black, M., Johnston, D., &amp; Bevan, A. (2020). Transdiagnostic approaches to mental health problems: </w:t>
      </w:r>
      <w:proofErr w:type="gramStart"/>
      <w:r w:rsidRPr="001A4BD2">
        <w:t>Current status</w:t>
      </w:r>
      <w:proofErr w:type="gramEnd"/>
      <w:r w:rsidRPr="001A4BD2">
        <w:t xml:space="preserve"> and future directions. </w:t>
      </w:r>
      <w:r w:rsidRPr="001A4BD2">
        <w:rPr>
          <w:i/>
          <w:iCs/>
        </w:rPr>
        <w:t>Journal of Consulting and Clinical Psychology, 88</w:t>
      </w:r>
      <w:r w:rsidRPr="001A4BD2">
        <w:t>(3), 179–195. https://doi.org/10.1037/ccp0000482</w:t>
      </w:r>
    </w:p>
    <w:p w14:paraId="308A4C39" w14:textId="77777777" w:rsidR="001A4BD2" w:rsidRPr="001A4BD2" w:rsidRDefault="001A4BD2" w:rsidP="001A4BD2">
      <w:pPr>
        <w:spacing w:line="360" w:lineRule="auto"/>
        <w:ind w:left="720" w:hanging="720"/>
        <w:jc w:val="both"/>
      </w:pPr>
      <w:r w:rsidRPr="001A4BD2">
        <w:t xml:space="preserve">Dobransky, K. (2009). The good, the bad, and the severely mentally ill: Official and informal labels as organizational resources in community mental health services. </w:t>
      </w:r>
      <w:r w:rsidRPr="001A4BD2">
        <w:rPr>
          <w:i/>
          <w:iCs/>
        </w:rPr>
        <w:t>Social Science &amp; Medicine, 69</w:t>
      </w:r>
      <w:r w:rsidRPr="001A4BD2">
        <w:t xml:space="preserve">(5), 722–728. </w:t>
      </w:r>
      <w:hyperlink r:id="rId12" w:tgtFrame="_new" w:history="1">
        <w:r w:rsidRPr="001A4BD2">
          <w:rPr>
            <w:rStyle w:val="Hyperlink"/>
          </w:rPr>
          <w:t>https://doi.org/10.1016/j.socscimed.2009.06.038</w:t>
        </w:r>
      </w:hyperlink>
    </w:p>
    <w:p w14:paraId="449B03B1" w14:textId="77777777" w:rsidR="001A4BD2" w:rsidRPr="001A4BD2" w:rsidRDefault="001A4BD2" w:rsidP="001A4BD2">
      <w:pPr>
        <w:spacing w:line="360" w:lineRule="auto"/>
        <w:ind w:left="720" w:hanging="720"/>
        <w:jc w:val="both"/>
      </w:pPr>
      <w:r w:rsidRPr="001A4BD2">
        <w:t xml:space="preserve">Fava, G. A. (1999). Subclinical symptoms in mood disorders: Pathophysiological and therapeutic implications. </w:t>
      </w:r>
      <w:r w:rsidRPr="001A4BD2">
        <w:rPr>
          <w:i/>
          <w:iCs/>
        </w:rPr>
        <w:t>Psychological Medicine, 29</w:t>
      </w:r>
      <w:r w:rsidRPr="001A4BD2">
        <w:t>(1), 47–61. https://doi.org/10.1017/S0033291798007863</w:t>
      </w:r>
    </w:p>
    <w:p w14:paraId="09E9871A" w14:textId="77777777" w:rsidR="001A4BD2" w:rsidRPr="001A4BD2" w:rsidRDefault="001A4BD2" w:rsidP="001A4BD2">
      <w:pPr>
        <w:spacing w:line="360" w:lineRule="auto"/>
        <w:ind w:left="720" w:hanging="720"/>
        <w:jc w:val="both"/>
      </w:pPr>
      <w:r w:rsidRPr="001A4BD2">
        <w:t xml:space="preserve">Fried, E. I., &amp; Nesse, R. M. (2015). Depression is not a consistent syndrome: An investigation of unique symptom patterns in the STAR*D study. </w:t>
      </w:r>
      <w:r w:rsidRPr="001A4BD2">
        <w:rPr>
          <w:i/>
          <w:iCs/>
        </w:rPr>
        <w:t>Journal of Affective Disorders, 172</w:t>
      </w:r>
      <w:r w:rsidRPr="001A4BD2">
        <w:t xml:space="preserve">, 96–102. </w:t>
      </w:r>
      <w:hyperlink r:id="rId13" w:tgtFrame="_new" w:history="1">
        <w:r w:rsidRPr="001A4BD2">
          <w:rPr>
            <w:rStyle w:val="Hyperlink"/>
          </w:rPr>
          <w:t>https://doi.org/10.1016/j.jad.2014.10.010</w:t>
        </w:r>
      </w:hyperlink>
    </w:p>
    <w:p w14:paraId="5EF0B634" w14:textId="77777777" w:rsidR="001A4BD2" w:rsidRPr="001A4BD2" w:rsidRDefault="001A4BD2" w:rsidP="001A4BD2">
      <w:pPr>
        <w:spacing w:line="360" w:lineRule="auto"/>
        <w:ind w:left="720" w:hanging="720"/>
        <w:jc w:val="both"/>
      </w:pPr>
      <w:proofErr w:type="spellStart"/>
      <w:r w:rsidRPr="001A4BD2">
        <w:t>Galatzer</w:t>
      </w:r>
      <w:proofErr w:type="spellEnd"/>
      <w:r w:rsidRPr="001A4BD2">
        <w:t xml:space="preserve">-Levy, I. R., &amp; Bryant, R. A. (2013). 636,120 ways to have posttraumatic stress disorder. </w:t>
      </w:r>
      <w:r w:rsidRPr="001A4BD2">
        <w:rPr>
          <w:i/>
          <w:iCs/>
        </w:rPr>
        <w:t>Perspectives on Psychological Science, 8</w:t>
      </w:r>
      <w:r w:rsidRPr="001A4BD2">
        <w:t xml:space="preserve">(6), 651–662. </w:t>
      </w:r>
      <w:hyperlink r:id="rId14" w:tgtFrame="_new" w:history="1">
        <w:r w:rsidRPr="001A4BD2">
          <w:rPr>
            <w:rStyle w:val="Hyperlink"/>
          </w:rPr>
          <w:t>https://doi.org/10.1177/1745691613504115</w:t>
        </w:r>
      </w:hyperlink>
    </w:p>
    <w:p w14:paraId="538AC6DA" w14:textId="77777777" w:rsidR="001A4BD2" w:rsidRPr="001A4BD2" w:rsidRDefault="001A4BD2" w:rsidP="001A4BD2">
      <w:pPr>
        <w:spacing w:line="360" w:lineRule="auto"/>
        <w:ind w:left="720" w:hanging="720"/>
        <w:jc w:val="both"/>
      </w:pPr>
      <w:r w:rsidRPr="001A4BD2">
        <w:t xml:space="preserve">Gold, K. J., Andrew, L. B., Goldman, E. B., &amp; </w:t>
      </w:r>
      <w:proofErr w:type="spellStart"/>
      <w:r w:rsidRPr="001A4BD2">
        <w:t>Schwenk</w:t>
      </w:r>
      <w:proofErr w:type="spellEnd"/>
      <w:r w:rsidRPr="001A4BD2">
        <w:t xml:space="preserve">, T. L. (2016). “I would never want to have a mental health diagnosis on my record”: A survey of female physicians on mental </w:t>
      </w:r>
      <w:r w:rsidRPr="001A4BD2">
        <w:lastRenderedPageBreak/>
        <w:t xml:space="preserve">health diagnosis, treatment, and reporting. </w:t>
      </w:r>
      <w:r w:rsidRPr="001A4BD2">
        <w:rPr>
          <w:i/>
          <w:iCs/>
        </w:rPr>
        <w:t>General Hospital Psychiatry, 43</w:t>
      </w:r>
      <w:r w:rsidRPr="001A4BD2">
        <w:t>, 51–57. https://doi.org/10.1016/j.genhosppsych.2016.09.004</w:t>
      </w:r>
    </w:p>
    <w:p w14:paraId="0DFB6A7F" w14:textId="77777777" w:rsidR="001A4BD2" w:rsidRPr="001A4BD2" w:rsidRDefault="001A4BD2" w:rsidP="001A4BD2">
      <w:pPr>
        <w:spacing w:line="360" w:lineRule="auto"/>
        <w:ind w:left="720" w:hanging="720"/>
        <w:jc w:val="both"/>
      </w:pPr>
      <w:r w:rsidRPr="001A4BD2">
        <w:t xml:space="preserve">Goodwin, D. W., &amp; Guze, S. B. (1996). </w:t>
      </w:r>
      <w:r w:rsidRPr="001A4BD2">
        <w:rPr>
          <w:i/>
          <w:iCs/>
        </w:rPr>
        <w:t>Psychiatric diagnosis</w:t>
      </w:r>
      <w:r w:rsidRPr="001A4BD2">
        <w:t xml:space="preserve"> (5th ed.). Oxford University Press.</w:t>
      </w:r>
    </w:p>
    <w:p w14:paraId="013140B0" w14:textId="77777777" w:rsidR="001A4BD2" w:rsidRPr="001A4BD2" w:rsidRDefault="001A4BD2" w:rsidP="001A4BD2">
      <w:pPr>
        <w:spacing w:line="360" w:lineRule="auto"/>
        <w:ind w:left="720" w:hanging="720"/>
        <w:jc w:val="both"/>
      </w:pPr>
      <w:proofErr w:type="spellStart"/>
      <w:r w:rsidRPr="001A4BD2">
        <w:t>Grob</w:t>
      </w:r>
      <w:proofErr w:type="spellEnd"/>
      <w:r w:rsidRPr="001A4BD2">
        <w:t xml:space="preserve">, G. N. (1991). Origins of DSM-I: A study in appearance and reality. </w:t>
      </w:r>
      <w:r w:rsidRPr="001A4BD2">
        <w:rPr>
          <w:i/>
          <w:iCs/>
        </w:rPr>
        <w:t>American Journal of Psychiatry, 148</w:t>
      </w:r>
      <w:r w:rsidRPr="001A4BD2">
        <w:t xml:space="preserve">(4), 421–431. </w:t>
      </w:r>
      <w:hyperlink r:id="rId15" w:tgtFrame="_new" w:history="1">
        <w:r w:rsidRPr="001A4BD2">
          <w:rPr>
            <w:rStyle w:val="Hyperlink"/>
          </w:rPr>
          <w:t>https://doi.org/10.1176/ajp.148.4.421</w:t>
        </w:r>
      </w:hyperlink>
    </w:p>
    <w:p w14:paraId="598B5C67" w14:textId="77777777" w:rsidR="001A4BD2" w:rsidRPr="001A4BD2" w:rsidRDefault="001A4BD2" w:rsidP="001A4BD2">
      <w:pPr>
        <w:spacing w:line="360" w:lineRule="auto"/>
        <w:ind w:left="720" w:hanging="720"/>
        <w:jc w:val="both"/>
      </w:pPr>
      <w:r w:rsidRPr="001A4BD2">
        <w:t xml:space="preserve">Hayes, S. C., Hofmann, S. G., &amp; </w:t>
      </w:r>
      <w:proofErr w:type="spellStart"/>
      <w:r w:rsidRPr="001A4BD2">
        <w:t>Ciarrochi</w:t>
      </w:r>
      <w:proofErr w:type="spellEnd"/>
      <w:r w:rsidRPr="001A4BD2">
        <w:t xml:space="preserve">, J. (2020). A process-based approach to psychological diagnosis and treatment: The conceptual and treatment utility of an extended evolutionary meta-model. </w:t>
      </w:r>
      <w:r w:rsidRPr="001A4BD2">
        <w:rPr>
          <w:i/>
          <w:iCs/>
        </w:rPr>
        <w:t>Clinical Psychology Review, 82</w:t>
      </w:r>
      <w:r w:rsidRPr="001A4BD2">
        <w:t xml:space="preserve">, 101908. </w:t>
      </w:r>
      <w:hyperlink r:id="rId16" w:tgtFrame="_new" w:history="1">
        <w:r w:rsidRPr="001A4BD2">
          <w:rPr>
            <w:rStyle w:val="Hyperlink"/>
          </w:rPr>
          <w:t>https://doi.org/10.1016/j.cpr.2020.101908</w:t>
        </w:r>
      </w:hyperlink>
    </w:p>
    <w:p w14:paraId="5264CBA9" w14:textId="77777777" w:rsidR="001A4BD2" w:rsidRPr="001A4BD2" w:rsidRDefault="001A4BD2" w:rsidP="001A4BD2">
      <w:pPr>
        <w:spacing w:line="360" w:lineRule="auto"/>
        <w:ind w:left="720" w:hanging="720"/>
        <w:jc w:val="both"/>
      </w:pPr>
      <w:proofErr w:type="spellStart"/>
      <w:r w:rsidRPr="001A4BD2">
        <w:t>Heckers</w:t>
      </w:r>
      <w:proofErr w:type="spellEnd"/>
      <w:r w:rsidRPr="001A4BD2">
        <w:t xml:space="preserve">, S., &amp; Kendler, K. S. (2020). The evolution of Kraepelin’s </w:t>
      </w:r>
      <w:proofErr w:type="spellStart"/>
      <w:r w:rsidRPr="001A4BD2">
        <w:t>nosological</w:t>
      </w:r>
      <w:proofErr w:type="spellEnd"/>
      <w:r w:rsidRPr="001A4BD2">
        <w:t xml:space="preserve"> principles. </w:t>
      </w:r>
      <w:r w:rsidRPr="001A4BD2">
        <w:rPr>
          <w:i/>
          <w:iCs/>
        </w:rPr>
        <w:t>World Psychiatry, 19</w:t>
      </w:r>
      <w:r w:rsidRPr="001A4BD2">
        <w:t>(3), 381–388. https://doi.org/10.1002/wps.20774</w:t>
      </w:r>
    </w:p>
    <w:p w14:paraId="7FE5FB71" w14:textId="77777777" w:rsidR="001A4BD2" w:rsidRPr="001A4BD2" w:rsidRDefault="001A4BD2" w:rsidP="001A4BD2">
      <w:pPr>
        <w:spacing w:line="360" w:lineRule="auto"/>
        <w:ind w:left="720" w:hanging="720"/>
        <w:jc w:val="both"/>
      </w:pPr>
      <w:r w:rsidRPr="001A4BD2">
        <w:t xml:space="preserve">Hyman, S. E. (2010). The diagnosis of mental disorders: The problem of reification. </w:t>
      </w:r>
      <w:r w:rsidRPr="001A4BD2">
        <w:rPr>
          <w:i/>
          <w:iCs/>
        </w:rPr>
        <w:t>Annual Review of Clinical Psychology, 6</w:t>
      </w:r>
      <w:r w:rsidRPr="001A4BD2">
        <w:t xml:space="preserve">, 155–179. </w:t>
      </w:r>
      <w:hyperlink r:id="rId17" w:tgtFrame="_new" w:history="1">
        <w:r w:rsidRPr="001A4BD2">
          <w:rPr>
            <w:rStyle w:val="Hyperlink"/>
          </w:rPr>
          <w:t>https://doi.org/10.1146/annurev.clinpsy.3.022806.091532</w:t>
        </w:r>
      </w:hyperlink>
    </w:p>
    <w:p w14:paraId="34EC1137" w14:textId="77777777" w:rsidR="001A4BD2" w:rsidRPr="001A4BD2" w:rsidRDefault="001A4BD2" w:rsidP="001A4BD2">
      <w:pPr>
        <w:spacing w:line="360" w:lineRule="auto"/>
        <w:ind w:left="720" w:hanging="720"/>
        <w:jc w:val="both"/>
      </w:pPr>
      <w:r w:rsidRPr="001A4BD2">
        <w:rPr>
          <w:lang w:val="es-ES"/>
        </w:rPr>
        <w:t xml:space="preserve">Kapadia, M., </w:t>
      </w:r>
      <w:proofErr w:type="spellStart"/>
      <w:r w:rsidRPr="001A4BD2">
        <w:rPr>
          <w:lang w:val="es-ES"/>
        </w:rPr>
        <w:t>Desai</w:t>
      </w:r>
      <w:proofErr w:type="spellEnd"/>
      <w:r w:rsidRPr="001A4BD2">
        <w:rPr>
          <w:lang w:val="es-ES"/>
        </w:rPr>
        <w:t xml:space="preserve">, M., &amp; </w:t>
      </w:r>
      <w:proofErr w:type="spellStart"/>
      <w:r w:rsidRPr="001A4BD2">
        <w:rPr>
          <w:lang w:val="es-ES"/>
        </w:rPr>
        <w:t>Parikh</w:t>
      </w:r>
      <w:proofErr w:type="spellEnd"/>
      <w:r w:rsidRPr="001A4BD2">
        <w:rPr>
          <w:lang w:val="es-ES"/>
        </w:rPr>
        <w:t xml:space="preserve">, R. (2020). </w:t>
      </w:r>
      <w:r w:rsidRPr="001A4BD2">
        <w:t xml:space="preserve">Fractures in the framework: Limitations of classification systems in psychiatry. </w:t>
      </w:r>
      <w:r w:rsidRPr="001A4BD2">
        <w:rPr>
          <w:i/>
          <w:iCs/>
        </w:rPr>
        <w:t>Dialogues in Clinical Neuroscience, 22</w:t>
      </w:r>
      <w:r w:rsidRPr="001A4BD2">
        <w:t xml:space="preserve">(1), 17–26. </w:t>
      </w:r>
      <w:hyperlink r:id="rId18" w:tgtFrame="_new" w:history="1">
        <w:r w:rsidRPr="001A4BD2">
          <w:rPr>
            <w:rStyle w:val="Hyperlink"/>
          </w:rPr>
          <w:t>https://doi.org/10.31887/DCNS.2020.22.1/rparikh</w:t>
        </w:r>
      </w:hyperlink>
    </w:p>
    <w:p w14:paraId="5F5D4BDC" w14:textId="77777777" w:rsidR="001A4BD2" w:rsidRPr="001A4BD2" w:rsidRDefault="001A4BD2" w:rsidP="001A4BD2">
      <w:pPr>
        <w:spacing w:line="360" w:lineRule="auto"/>
        <w:ind w:left="720" w:hanging="720"/>
        <w:jc w:val="both"/>
      </w:pPr>
      <w:r w:rsidRPr="001A4BD2">
        <w:t xml:space="preserve">Kendell, R. E. (1975). The concept of disease and its implications for psychiatry. </w:t>
      </w:r>
      <w:r w:rsidRPr="001A4BD2">
        <w:rPr>
          <w:i/>
          <w:iCs/>
        </w:rPr>
        <w:t>British Journal of Psychiatry, 127</w:t>
      </w:r>
      <w:r w:rsidRPr="001A4BD2">
        <w:t xml:space="preserve">, 305–315. </w:t>
      </w:r>
      <w:hyperlink r:id="rId19" w:tgtFrame="_new" w:history="1">
        <w:r w:rsidRPr="001A4BD2">
          <w:rPr>
            <w:rStyle w:val="Hyperlink"/>
          </w:rPr>
          <w:t>https://doi.org/10.1192/bjp.127.4.305</w:t>
        </w:r>
      </w:hyperlink>
    </w:p>
    <w:p w14:paraId="193431CF" w14:textId="77777777" w:rsidR="001A4BD2" w:rsidRPr="001A4BD2" w:rsidRDefault="001A4BD2" w:rsidP="001A4BD2">
      <w:pPr>
        <w:spacing w:line="360" w:lineRule="auto"/>
        <w:ind w:left="720" w:hanging="720"/>
        <w:jc w:val="both"/>
      </w:pPr>
      <w:r w:rsidRPr="001A4BD2">
        <w:t xml:space="preserve">Kendell, R., &amp; </w:t>
      </w:r>
      <w:proofErr w:type="spellStart"/>
      <w:r w:rsidRPr="001A4BD2">
        <w:t>Jablensky</w:t>
      </w:r>
      <w:proofErr w:type="spellEnd"/>
      <w:r w:rsidRPr="001A4BD2">
        <w:t xml:space="preserve">, A. (2003). Distinguishing between the validity and utility of psychiatric diagnoses. </w:t>
      </w:r>
      <w:r w:rsidRPr="001A4BD2">
        <w:rPr>
          <w:i/>
          <w:iCs/>
        </w:rPr>
        <w:t>American Journal of Psychiatry, 160</w:t>
      </w:r>
      <w:r w:rsidRPr="001A4BD2">
        <w:t xml:space="preserve">(1), 4–12. </w:t>
      </w:r>
      <w:hyperlink r:id="rId20" w:tgtFrame="_new" w:history="1">
        <w:r w:rsidRPr="001A4BD2">
          <w:rPr>
            <w:rStyle w:val="Hyperlink"/>
          </w:rPr>
          <w:t>https://doi.org/10.1176/appi.ajp.160.1.4</w:t>
        </w:r>
      </w:hyperlink>
    </w:p>
    <w:p w14:paraId="0267817C" w14:textId="77777777" w:rsidR="001A4BD2" w:rsidRPr="001A4BD2" w:rsidRDefault="001A4BD2" w:rsidP="001A4BD2">
      <w:pPr>
        <w:spacing w:line="360" w:lineRule="auto"/>
        <w:ind w:left="720" w:hanging="720"/>
        <w:jc w:val="both"/>
      </w:pPr>
      <w:r w:rsidRPr="001A4BD2">
        <w:t xml:space="preserve">Kendler, K. S. (2012). The dappled nature of causes of psychiatric illness: Replacing the organic–functional/hardware–software dichotomy with empirically based pluralism. </w:t>
      </w:r>
      <w:r w:rsidRPr="001A4BD2">
        <w:rPr>
          <w:i/>
          <w:iCs/>
        </w:rPr>
        <w:t>Molecular Psychiatry, 17</w:t>
      </w:r>
      <w:r w:rsidRPr="001A4BD2">
        <w:t>(4), 377–388. https://doi.org/10.1038/mp.2011.182</w:t>
      </w:r>
    </w:p>
    <w:p w14:paraId="57DF16C3" w14:textId="77777777" w:rsidR="001A4BD2" w:rsidRPr="001A4BD2" w:rsidRDefault="001A4BD2" w:rsidP="001A4BD2">
      <w:pPr>
        <w:spacing w:line="360" w:lineRule="auto"/>
        <w:ind w:left="720" w:hanging="720"/>
        <w:jc w:val="both"/>
      </w:pPr>
      <w:r w:rsidRPr="001A4BD2">
        <w:t xml:space="preserve">Kessler, R. C., Berglund, P., </w:t>
      </w:r>
      <w:proofErr w:type="spellStart"/>
      <w:r w:rsidRPr="001A4BD2">
        <w:t>Demler</w:t>
      </w:r>
      <w:proofErr w:type="spellEnd"/>
      <w:r w:rsidRPr="001A4BD2">
        <w:t xml:space="preserve">, O., </w:t>
      </w:r>
      <w:proofErr w:type="spellStart"/>
      <w:r w:rsidRPr="001A4BD2">
        <w:t>Jin</w:t>
      </w:r>
      <w:proofErr w:type="spellEnd"/>
      <w:r w:rsidRPr="001A4BD2">
        <w:t xml:space="preserve">, R., Merikangas, K. R., &amp; Walters, E. E. (2005). Lifetime prevalence and age-of-onset distributions of DSM-IV disorders in the National Comorbidity Survey Replication. </w:t>
      </w:r>
      <w:r w:rsidRPr="001A4BD2">
        <w:rPr>
          <w:i/>
          <w:iCs/>
        </w:rPr>
        <w:t>Archives of General Psychiatry, 62</w:t>
      </w:r>
      <w:r w:rsidRPr="001A4BD2">
        <w:t xml:space="preserve">(6), 593–602. </w:t>
      </w:r>
      <w:hyperlink r:id="rId21" w:tgtFrame="_new" w:history="1">
        <w:r w:rsidRPr="001A4BD2">
          <w:rPr>
            <w:rStyle w:val="Hyperlink"/>
          </w:rPr>
          <w:t>https://doi.org/10.1001/archpsyc.62.6.593</w:t>
        </w:r>
      </w:hyperlink>
    </w:p>
    <w:p w14:paraId="247910D5" w14:textId="77777777" w:rsidR="001A4BD2" w:rsidRPr="001A4BD2" w:rsidRDefault="001A4BD2" w:rsidP="001A4BD2">
      <w:pPr>
        <w:spacing w:line="360" w:lineRule="auto"/>
        <w:ind w:left="720" w:hanging="720"/>
        <w:jc w:val="both"/>
      </w:pPr>
      <w:proofErr w:type="spellStart"/>
      <w:r w:rsidRPr="001A4BD2">
        <w:t>Kotov</w:t>
      </w:r>
      <w:proofErr w:type="spellEnd"/>
      <w:r w:rsidRPr="001A4BD2">
        <w:t xml:space="preserve">, R., Krueger, R. F., Watson, D., Achenbach, T. M., </w:t>
      </w:r>
      <w:proofErr w:type="spellStart"/>
      <w:r w:rsidRPr="001A4BD2">
        <w:t>Althoff</w:t>
      </w:r>
      <w:proofErr w:type="spellEnd"/>
      <w:r w:rsidRPr="001A4BD2">
        <w:t xml:space="preserve">, R. R., </w:t>
      </w:r>
      <w:proofErr w:type="spellStart"/>
      <w:r w:rsidRPr="001A4BD2">
        <w:t>Bagby</w:t>
      </w:r>
      <w:proofErr w:type="spellEnd"/>
      <w:r w:rsidRPr="001A4BD2">
        <w:t>, R. M., … Zimmerman, M. (2017). The Hierarchical Taxonomy of Psychopathology (</w:t>
      </w:r>
      <w:proofErr w:type="spellStart"/>
      <w:r w:rsidRPr="001A4BD2">
        <w:t>HiTOP</w:t>
      </w:r>
      <w:proofErr w:type="spellEnd"/>
      <w:r w:rsidRPr="001A4BD2">
        <w:t xml:space="preserve">): A dimensional alternative to traditional </w:t>
      </w:r>
      <w:proofErr w:type="spellStart"/>
      <w:r w:rsidRPr="001A4BD2">
        <w:t>nosologies</w:t>
      </w:r>
      <w:proofErr w:type="spellEnd"/>
      <w:r w:rsidRPr="001A4BD2">
        <w:t xml:space="preserve">. </w:t>
      </w:r>
      <w:r w:rsidRPr="001A4BD2">
        <w:rPr>
          <w:i/>
          <w:iCs/>
        </w:rPr>
        <w:t>Journal of Abnormal Psychology, 126</w:t>
      </w:r>
      <w:r w:rsidRPr="001A4BD2">
        <w:t xml:space="preserve">(4), 454–477. </w:t>
      </w:r>
      <w:hyperlink r:id="rId22" w:tgtFrame="_new" w:history="1">
        <w:r w:rsidRPr="001A4BD2">
          <w:rPr>
            <w:rStyle w:val="Hyperlink"/>
          </w:rPr>
          <w:t>https://doi.org/10.1037/abn0000258</w:t>
        </w:r>
      </w:hyperlink>
    </w:p>
    <w:p w14:paraId="53878BA0" w14:textId="77777777" w:rsidR="001A4BD2" w:rsidRPr="001A4BD2" w:rsidRDefault="001A4BD2" w:rsidP="001A4BD2">
      <w:pPr>
        <w:spacing w:line="360" w:lineRule="auto"/>
        <w:ind w:left="720" w:hanging="720"/>
        <w:jc w:val="both"/>
      </w:pPr>
      <w:r w:rsidRPr="001A4BD2">
        <w:lastRenderedPageBreak/>
        <w:t xml:space="preserve">Kupfer, D. J., &amp; </w:t>
      </w:r>
      <w:proofErr w:type="spellStart"/>
      <w:r w:rsidRPr="001A4BD2">
        <w:t>Regier</w:t>
      </w:r>
      <w:proofErr w:type="spellEnd"/>
      <w:r w:rsidRPr="001A4BD2">
        <w:t xml:space="preserve">, D. A. (2011). Neuroscience, clinical evidence, and the future of psychiatric classification in DSM-5. </w:t>
      </w:r>
      <w:r w:rsidRPr="001A4BD2">
        <w:rPr>
          <w:i/>
          <w:iCs/>
        </w:rPr>
        <w:t>American Journal of Psychiatry, 168</w:t>
      </w:r>
      <w:r w:rsidRPr="001A4BD2">
        <w:t>(7), 672–674. https://doi.org/10.1176/appi.ajp.2011.11010062</w:t>
      </w:r>
    </w:p>
    <w:p w14:paraId="12046793" w14:textId="77777777" w:rsidR="001A4BD2" w:rsidRPr="001A4BD2" w:rsidRDefault="001A4BD2" w:rsidP="001A4BD2">
      <w:pPr>
        <w:spacing w:line="360" w:lineRule="auto"/>
        <w:ind w:left="720" w:hanging="720"/>
        <w:jc w:val="both"/>
      </w:pPr>
      <w:r w:rsidRPr="001A4BD2">
        <w:t xml:space="preserve">Mayes, R., &amp; Horwitz, A. V. (2005). DSM-III and the revolution in the classification of mental illness. </w:t>
      </w:r>
      <w:r w:rsidRPr="001A4BD2">
        <w:rPr>
          <w:i/>
          <w:iCs/>
        </w:rPr>
        <w:t xml:space="preserve">Journal of the History of the </w:t>
      </w:r>
      <w:proofErr w:type="spellStart"/>
      <w:r w:rsidRPr="001A4BD2">
        <w:rPr>
          <w:i/>
          <w:iCs/>
        </w:rPr>
        <w:t>Behavioral</w:t>
      </w:r>
      <w:proofErr w:type="spellEnd"/>
      <w:r w:rsidRPr="001A4BD2">
        <w:rPr>
          <w:i/>
          <w:iCs/>
        </w:rPr>
        <w:t xml:space="preserve"> Sciences, 41</w:t>
      </w:r>
      <w:r w:rsidRPr="001A4BD2">
        <w:t>(3), 249–267. https://doi.org/10.1002/jhbs.20103</w:t>
      </w:r>
    </w:p>
    <w:p w14:paraId="4E061BD6" w14:textId="77777777" w:rsidR="001A4BD2" w:rsidRPr="001A4BD2" w:rsidRDefault="001A4BD2" w:rsidP="001A4BD2">
      <w:pPr>
        <w:spacing w:line="360" w:lineRule="auto"/>
        <w:ind w:left="720" w:hanging="720"/>
        <w:jc w:val="both"/>
      </w:pPr>
      <w:r w:rsidRPr="001A4BD2">
        <w:t xml:space="preserve">McLaughlin, K. A., </w:t>
      </w:r>
      <w:proofErr w:type="spellStart"/>
      <w:r w:rsidRPr="001A4BD2">
        <w:t>Colich</w:t>
      </w:r>
      <w:proofErr w:type="spellEnd"/>
      <w:r w:rsidRPr="001A4BD2">
        <w:t xml:space="preserve">, N. L., Rodman, A. M., &amp; Weissman, D. G. (2020). Mechanisms linking childhood trauma exposure and psychopathology: A transdiagnostic model of risk and resilience. </w:t>
      </w:r>
      <w:r w:rsidRPr="001A4BD2">
        <w:rPr>
          <w:i/>
          <w:iCs/>
        </w:rPr>
        <w:t>BMC Medicine, 18</w:t>
      </w:r>
      <w:r w:rsidRPr="001A4BD2">
        <w:t>(1), 96. https://doi.org/10.1186/s12916-020-01561-6</w:t>
      </w:r>
    </w:p>
    <w:p w14:paraId="5B66CBBD" w14:textId="77777777" w:rsidR="001A4BD2" w:rsidRPr="001A4BD2" w:rsidRDefault="001A4BD2" w:rsidP="001A4BD2">
      <w:pPr>
        <w:spacing w:line="360" w:lineRule="auto"/>
        <w:ind w:left="720" w:hanging="720"/>
        <w:jc w:val="both"/>
      </w:pPr>
      <w:r w:rsidRPr="001A4BD2">
        <w:t xml:space="preserve">Monroe, S. M., &amp; Anderson, S. F. (2015). Depression: The shroud of heterogeneity. </w:t>
      </w:r>
      <w:r w:rsidRPr="001A4BD2">
        <w:rPr>
          <w:i/>
          <w:iCs/>
        </w:rPr>
        <w:t>Current Directions in Psychological Science, 24</w:t>
      </w:r>
      <w:r w:rsidRPr="001A4BD2">
        <w:t xml:space="preserve">(3), 227–231. </w:t>
      </w:r>
      <w:hyperlink r:id="rId23" w:tgtFrame="_new" w:history="1">
        <w:r w:rsidRPr="001A4BD2">
          <w:rPr>
            <w:rStyle w:val="Hyperlink"/>
          </w:rPr>
          <w:t>https://doi.org/10.1177/0963721414568342</w:t>
        </w:r>
      </w:hyperlink>
    </w:p>
    <w:p w14:paraId="11A2FA30" w14:textId="77777777" w:rsidR="001A4BD2" w:rsidRPr="001A4BD2" w:rsidRDefault="001A4BD2" w:rsidP="001A4BD2">
      <w:pPr>
        <w:spacing w:line="360" w:lineRule="auto"/>
        <w:ind w:left="720" w:hanging="720"/>
        <w:jc w:val="both"/>
      </w:pPr>
      <w:r w:rsidRPr="001A4BD2">
        <w:t xml:space="preserve">O’Connor, C., </w:t>
      </w:r>
      <w:proofErr w:type="spellStart"/>
      <w:r w:rsidRPr="001A4BD2">
        <w:t>Brassil</w:t>
      </w:r>
      <w:proofErr w:type="spellEnd"/>
      <w:r w:rsidRPr="001A4BD2">
        <w:t xml:space="preserve">, M., O’Sullivan, S., </w:t>
      </w:r>
      <w:proofErr w:type="spellStart"/>
      <w:r w:rsidRPr="001A4BD2">
        <w:t>Seery</w:t>
      </w:r>
      <w:proofErr w:type="spellEnd"/>
      <w:r w:rsidRPr="001A4BD2">
        <w:t xml:space="preserve">, C., &amp; </w:t>
      </w:r>
      <w:proofErr w:type="spellStart"/>
      <w:r w:rsidRPr="001A4BD2">
        <w:t>Nearchou</w:t>
      </w:r>
      <w:proofErr w:type="spellEnd"/>
      <w:r w:rsidRPr="001A4BD2">
        <w:t xml:space="preserve">, F. (2022). How does diagnostic labelling affect social responses to people with mental illness? </w:t>
      </w:r>
      <w:r w:rsidRPr="001A4BD2">
        <w:rPr>
          <w:i/>
          <w:iCs/>
        </w:rPr>
        <w:t>Journal of Mental Health, 31</w:t>
      </w:r>
      <w:r w:rsidRPr="001A4BD2">
        <w:t xml:space="preserve">(1), 115–130. </w:t>
      </w:r>
      <w:hyperlink r:id="rId24" w:tgtFrame="_new" w:history="1">
        <w:r w:rsidRPr="001A4BD2">
          <w:rPr>
            <w:rStyle w:val="Hyperlink"/>
          </w:rPr>
          <w:t>https://doi.org/10.1080/09638237.2021.1922653</w:t>
        </w:r>
      </w:hyperlink>
    </w:p>
    <w:p w14:paraId="3464C5D3" w14:textId="77777777" w:rsidR="001A4BD2" w:rsidRPr="001A4BD2" w:rsidRDefault="001A4BD2" w:rsidP="001A4BD2">
      <w:pPr>
        <w:spacing w:line="360" w:lineRule="auto"/>
        <w:ind w:left="720" w:hanging="720"/>
        <w:jc w:val="both"/>
      </w:pPr>
      <w:r w:rsidRPr="001A4BD2">
        <w:t xml:space="preserve">Owen, M. J., &amp; O’Donovan, M. C. (2017). Schizophrenia and the neurodevelopmental continuum: Evidence from genomics. </w:t>
      </w:r>
      <w:r w:rsidRPr="001A4BD2">
        <w:rPr>
          <w:i/>
          <w:iCs/>
        </w:rPr>
        <w:t>World Psychiatry, 16</w:t>
      </w:r>
      <w:r w:rsidRPr="001A4BD2">
        <w:t>(3), 227–235. https://doi.org/10.1002/wps.20440</w:t>
      </w:r>
    </w:p>
    <w:p w14:paraId="190606F2" w14:textId="77777777" w:rsidR="001A4BD2" w:rsidRPr="001A4BD2" w:rsidRDefault="001A4BD2" w:rsidP="001A4BD2">
      <w:pPr>
        <w:spacing w:line="360" w:lineRule="auto"/>
        <w:ind w:left="720" w:hanging="720"/>
        <w:jc w:val="both"/>
      </w:pPr>
      <w:r w:rsidRPr="001A4BD2">
        <w:t xml:space="preserve">Spitzer, R. L., Sheehy, M., &amp; Endicott, J. (1977). DSM-III: Guiding principles. In V. Rakoff, H. </w:t>
      </w:r>
      <w:proofErr w:type="spellStart"/>
      <w:r w:rsidRPr="001A4BD2">
        <w:t>Stancer</w:t>
      </w:r>
      <w:proofErr w:type="spellEnd"/>
      <w:r w:rsidRPr="001A4BD2">
        <w:t xml:space="preserve">, &amp; H. </w:t>
      </w:r>
      <w:proofErr w:type="spellStart"/>
      <w:r w:rsidRPr="001A4BD2">
        <w:t>Kedward</w:t>
      </w:r>
      <w:proofErr w:type="spellEnd"/>
      <w:r w:rsidRPr="001A4BD2">
        <w:t xml:space="preserve"> (Eds.), </w:t>
      </w:r>
      <w:r w:rsidRPr="001A4BD2">
        <w:rPr>
          <w:i/>
          <w:iCs/>
        </w:rPr>
        <w:t>Psychiatric diagnosis</w:t>
      </w:r>
      <w:r w:rsidRPr="001A4BD2">
        <w:t xml:space="preserve"> (pp. 1–24). Brunner/Mazel.</w:t>
      </w:r>
    </w:p>
    <w:p w14:paraId="17453CD8" w14:textId="77777777" w:rsidR="001A4BD2" w:rsidRPr="001A4BD2" w:rsidRDefault="001A4BD2" w:rsidP="001A4BD2">
      <w:pPr>
        <w:spacing w:line="360" w:lineRule="auto"/>
        <w:ind w:left="720" w:hanging="720"/>
        <w:jc w:val="both"/>
      </w:pPr>
      <w:r w:rsidRPr="001A4BD2">
        <w:t xml:space="preserve">Stein, D. J., Nielsen, K., Hartford, A., </w:t>
      </w:r>
      <w:proofErr w:type="spellStart"/>
      <w:r w:rsidRPr="001A4BD2">
        <w:t>Gagné</w:t>
      </w:r>
      <w:proofErr w:type="spellEnd"/>
      <w:r w:rsidRPr="001A4BD2">
        <w:t xml:space="preserve">-Julien, A. M., </w:t>
      </w:r>
      <w:proofErr w:type="spellStart"/>
      <w:r w:rsidRPr="001A4BD2">
        <w:t>Glackin</w:t>
      </w:r>
      <w:proofErr w:type="spellEnd"/>
      <w:r w:rsidRPr="001A4BD2">
        <w:t xml:space="preserve">, S., </w:t>
      </w:r>
      <w:proofErr w:type="spellStart"/>
      <w:r w:rsidRPr="001A4BD2">
        <w:t>Friston</w:t>
      </w:r>
      <w:proofErr w:type="spellEnd"/>
      <w:r w:rsidRPr="001A4BD2">
        <w:t xml:space="preserve">, K., Maj, M., Zachar, P., &amp; Aftab, A. (2024). Philosophy of psychiatry: Theoretical advances and clinical implications. </w:t>
      </w:r>
      <w:r w:rsidRPr="001A4BD2">
        <w:rPr>
          <w:i/>
          <w:iCs/>
        </w:rPr>
        <w:t>World Psychiatry</w:t>
      </w:r>
      <w:r w:rsidRPr="001A4BD2">
        <w:t>.</w:t>
      </w:r>
    </w:p>
    <w:p w14:paraId="563BF685" w14:textId="77777777" w:rsidR="001A4BD2" w:rsidRPr="001A4BD2" w:rsidRDefault="001A4BD2" w:rsidP="001A4BD2">
      <w:pPr>
        <w:spacing w:line="360" w:lineRule="auto"/>
        <w:ind w:left="720" w:hanging="720"/>
        <w:jc w:val="both"/>
      </w:pPr>
      <w:r w:rsidRPr="001A4BD2">
        <w:t xml:space="preserve">Tabb, K. (2019). Philosophy of psychiatry after diagnostic kinds. </w:t>
      </w:r>
      <w:proofErr w:type="spellStart"/>
      <w:r w:rsidRPr="001A4BD2">
        <w:rPr>
          <w:i/>
          <w:iCs/>
        </w:rPr>
        <w:t>Synthese</w:t>
      </w:r>
      <w:proofErr w:type="spellEnd"/>
      <w:r w:rsidRPr="001A4BD2">
        <w:rPr>
          <w:i/>
          <w:iCs/>
        </w:rPr>
        <w:t>, 196</w:t>
      </w:r>
      <w:r w:rsidRPr="001A4BD2">
        <w:t xml:space="preserve">, 2177–2195. </w:t>
      </w:r>
      <w:hyperlink r:id="rId25" w:tgtFrame="_new" w:history="1">
        <w:r w:rsidRPr="001A4BD2">
          <w:rPr>
            <w:rStyle w:val="Hyperlink"/>
          </w:rPr>
          <w:t>https://doi.org/10.1007/s11229-017-1659-6</w:t>
        </w:r>
      </w:hyperlink>
    </w:p>
    <w:p w14:paraId="556D342B" w14:textId="77777777" w:rsidR="001A4BD2" w:rsidRPr="001A4BD2" w:rsidRDefault="001A4BD2" w:rsidP="001A4BD2">
      <w:pPr>
        <w:spacing w:line="360" w:lineRule="auto"/>
        <w:ind w:left="720" w:hanging="720"/>
        <w:jc w:val="both"/>
      </w:pPr>
      <w:r w:rsidRPr="001A4BD2">
        <w:t xml:space="preserve">Tsuang, M. (2000). Schizophrenia: Genes and environment. </w:t>
      </w:r>
      <w:r w:rsidRPr="001A4BD2">
        <w:rPr>
          <w:i/>
          <w:iCs/>
        </w:rPr>
        <w:t>Biological Psychiatry, 47</w:t>
      </w:r>
      <w:r w:rsidRPr="001A4BD2">
        <w:t xml:space="preserve">(3), 210–220. </w:t>
      </w:r>
      <w:hyperlink r:id="rId26" w:tgtFrame="_new" w:history="1">
        <w:r w:rsidRPr="001A4BD2">
          <w:rPr>
            <w:rStyle w:val="Hyperlink"/>
          </w:rPr>
          <w:t>https://doi.org/10.1016/S0006-3223(99)00289-9</w:t>
        </w:r>
      </w:hyperlink>
    </w:p>
    <w:p w14:paraId="59772605" w14:textId="77777777" w:rsidR="001A4BD2" w:rsidRPr="001A4BD2" w:rsidRDefault="001A4BD2" w:rsidP="001A4BD2">
      <w:pPr>
        <w:spacing w:line="360" w:lineRule="auto"/>
        <w:ind w:left="720" w:hanging="720"/>
        <w:jc w:val="both"/>
      </w:pPr>
      <w:r w:rsidRPr="001A4BD2">
        <w:t xml:space="preserve">Wittgenstein, L. (1980). </w:t>
      </w:r>
      <w:r w:rsidRPr="001A4BD2">
        <w:rPr>
          <w:i/>
          <w:iCs/>
        </w:rPr>
        <w:t>Philosophical remarks</w:t>
      </w:r>
      <w:r w:rsidRPr="001A4BD2">
        <w:t>. University of Chicago Press.</w:t>
      </w:r>
    </w:p>
    <w:p w14:paraId="4AFA63D5" w14:textId="77777777" w:rsidR="001A4BD2" w:rsidRPr="001A4BD2" w:rsidRDefault="001A4BD2" w:rsidP="001A4BD2">
      <w:pPr>
        <w:spacing w:line="360" w:lineRule="auto"/>
        <w:ind w:left="720" w:hanging="720"/>
        <w:jc w:val="both"/>
      </w:pPr>
      <w:r w:rsidRPr="001A4BD2">
        <w:t xml:space="preserve">Wright, A. G. C., Krueger, R. F., Hobbs, M. J., </w:t>
      </w:r>
      <w:proofErr w:type="spellStart"/>
      <w:r w:rsidRPr="001A4BD2">
        <w:t>Markon</w:t>
      </w:r>
      <w:proofErr w:type="spellEnd"/>
      <w:r w:rsidRPr="001A4BD2">
        <w:t xml:space="preserve">, K. E., Eaton, N. R., &amp; Slade, T. (2013). The structure of psychopathology: Toward an expanded quantitative empirical model. </w:t>
      </w:r>
      <w:r w:rsidRPr="001A4BD2">
        <w:rPr>
          <w:i/>
          <w:iCs/>
        </w:rPr>
        <w:t>Journal of Abnormal Psychology, 122</w:t>
      </w:r>
      <w:r w:rsidRPr="001A4BD2">
        <w:t xml:space="preserve">, 281–294. </w:t>
      </w:r>
      <w:hyperlink r:id="rId27" w:tgtFrame="_new" w:history="1">
        <w:r w:rsidRPr="001A4BD2">
          <w:rPr>
            <w:rStyle w:val="Hyperlink"/>
          </w:rPr>
          <w:t>https://doi.org/10.1037/a0030133</w:t>
        </w:r>
      </w:hyperlink>
    </w:p>
    <w:p w14:paraId="02D4D04E" w14:textId="77777777" w:rsidR="001A4BD2" w:rsidRPr="001A4BD2" w:rsidRDefault="001A4BD2" w:rsidP="001A4BD2">
      <w:pPr>
        <w:spacing w:line="360" w:lineRule="auto"/>
        <w:ind w:left="720" w:hanging="720"/>
        <w:jc w:val="both"/>
      </w:pPr>
      <w:r w:rsidRPr="001A4BD2">
        <w:t xml:space="preserve">Zachar, P. (2000). Psychiatric disorders are not natural kinds. </w:t>
      </w:r>
      <w:r w:rsidRPr="001A4BD2">
        <w:rPr>
          <w:i/>
          <w:iCs/>
        </w:rPr>
        <w:t>Philosophy, Psychiatry, &amp; Psychology, 7</w:t>
      </w:r>
      <w:r w:rsidRPr="001A4BD2">
        <w:t>(3), 167–182.</w:t>
      </w:r>
    </w:p>
    <w:p w14:paraId="3947DF5B" w14:textId="77777777" w:rsidR="001A4BD2" w:rsidRPr="001A4BD2" w:rsidRDefault="001A4BD2" w:rsidP="001A4BD2">
      <w:pPr>
        <w:spacing w:line="360" w:lineRule="auto"/>
        <w:ind w:left="720" w:hanging="720"/>
        <w:jc w:val="both"/>
      </w:pPr>
      <w:r w:rsidRPr="001A4BD2">
        <w:lastRenderedPageBreak/>
        <w:t xml:space="preserve">Zachar, P. (2015). Psychiatric disorders: Natural kinds made by the world or practical kinds made by us? </w:t>
      </w:r>
      <w:r w:rsidRPr="001A4BD2">
        <w:rPr>
          <w:i/>
          <w:iCs/>
        </w:rPr>
        <w:t>World Psychiatry, 14</w:t>
      </w:r>
      <w:r w:rsidRPr="001A4BD2">
        <w:t xml:space="preserve">(3), 288–290. </w:t>
      </w:r>
      <w:hyperlink r:id="rId28" w:tgtFrame="_new" w:history="1">
        <w:r w:rsidRPr="001A4BD2">
          <w:rPr>
            <w:rStyle w:val="Hyperlink"/>
          </w:rPr>
          <w:t>https://doi.org/10.1002/wps.20240</w:t>
        </w:r>
      </w:hyperlink>
    </w:p>
    <w:p w14:paraId="47ACF172" w14:textId="77777777" w:rsidR="001A4BD2" w:rsidRPr="008A74F2" w:rsidRDefault="001A4BD2"/>
    <w:sectPr w:rsidR="001A4BD2" w:rsidRPr="008A74F2">
      <w:headerReference w:type="default" r:id="rId2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16B210" w14:textId="77777777" w:rsidR="004D5E02" w:rsidRDefault="004D5E02" w:rsidP="00F0676F">
      <w:r>
        <w:separator/>
      </w:r>
    </w:p>
  </w:endnote>
  <w:endnote w:type="continuationSeparator" w:id="0">
    <w:p w14:paraId="131063AA" w14:textId="77777777" w:rsidR="004D5E02" w:rsidRDefault="004D5E02" w:rsidP="00F067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3" w:usb1="10000000" w:usb2="00000000" w:usb3="00000000" w:csb0="80000001"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792208" w14:textId="77777777" w:rsidR="004D5E02" w:rsidRDefault="004D5E02" w:rsidP="00F0676F">
      <w:r>
        <w:separator/>
      </w:r>
    </w:p>
  </w:footnote>
  <w:footnote w:type="continuationSeparator" w:id="0">
    <w:p w14:paraId="5B306B58" w14:textId="77777777" w:rsidR="004D5E02" w:rsidRDefault="004D5E02" w:rsidP="00F0676F">
      <w:r>
        <w:continuationSeparator/>
      </w:r>
    </w:p>
  </w:footnote>
  <w:footnote w:id="1">
    <w:p w14:paraId="224EDBDD" w14:textId="39D5C6A7" w:rsidR="00A74A2A" w:rsidRPr="008A74F2" w:rsidRDefault="008A74F2">
      <w:pPr>
        <w:pStyle w:val="FootnoteText"/>
        <w:rPr>
          <w:lang w:val="es-ES"/>
        </w:rPr>
      </w:pPr>
      <w:r w:rsidRPr="008A74F2">
        <w:rPr>
          <w:rStyle w:val="FootnoteReference"/>
        </w:rPr>
        <w:footnoteRef/>
      </w:r>
      <w:r w:rsidR="00A74A2A" w:rsidRPr="008A74F2">
        <w:rPr>
          <w:lang w:val="es-ES"/>
        </w:rPr>
        <w:t>No obstante, también hay copiosas pruebas de lo contrario (</w:t>
      </w:r>
      <w:r w:rsidR="008926FA">
        <w:rPr>
          <w:lang w:val="es-ES"/>
        </w:rPr>
        <w:t xml:space="preserve">ej., Corrigan, 2007; Ben </w:t>
      </w:r>
      <w:r w:rsidR="00451AA9">
        <w:rPr>
          <w:lang w:val="es-ES"/>
        </w:rPr>
        <w:t>-</w:t>
      </w:r>
      <w:r w:rsidR="008926FA">
        <w:rPr>
          <w:lang w:val="es-ES"/>
        </w:rPr>
        <w:t xml:space="preserve"> Zeevet al., 2010</w:t>
      </w:r>
      <w:r w:rsidR="008009F7">
        <w:rPr>
          <w:lang w:val="es-ES"/>
        </w:rPr>
        <w:t>; Gold et al., 2016</w:t>
      </w:r>
      <w:r w:rsidR="00A74A2A" w:rsidRPr="008A74F2">
        <w:rPr>
          <w:lang w:val="es-ES"/>
        </w:rPr>
        <w:t>)</w:t>
      </w:r>
      <w:r w:rsidR="004359EC">
        <w:rPr>
          <w:lang w:val="es-ES"/>
        </w:rPr>
        <w:t xml:space="preserve"> por medio de procesos co</w:t>
      </w:r>
      <w:r w:rsidR="00CD3CB3">
        <w:rPr>
          <w:lang w:val="es-ES"/>
        </w:rPr>
        <w:t>mo la estigmatización</w:t>
      </w:r>
      <w:r w:rsidR="008926FA">
        <w:rPr>
          <w:lang w:val="es-ES"/>
        </w:rPr>
        <w:t xml:space="preserve"> y la auto-estigmatización</w:t>
      </w:r>
      <w:r w:rsidR="00CD3CB3">
        <w:rPr>
          <w:lang w:val="es-ES"/>
        </w:rPr>
        <w:t xml:space="preserve"> (</w:t>
      </w:r>
      <w:r w:rsidR="008926FA">
        <w:rPr>
          <w:lang w:val="es-ES"/>
        </w:rPr>
        <w:t>Ben – Zeevet al., 2010</w:t>
      </w:r>
      <w:r w:rsidR="00CD3CB3">
        <w:rPr>
          <w:lang w:val="es-ES"/>
        </w:rPr>
        <w:t>) o la sobre-identificación asociada al diagnóstico</w:t>
      </w:r>
      <w:r w:rsidR="004A38AA">
        <w:rPr>
          <w:lang w:val="es-ES"/>
        </w:rPr>
        <w:t xml:space="preserve"> y las tendencias hacia el auto-diagnóstico</w:t>
      </w:r>
      <w:r w:rsidR="00CD3CB3">
        <w:rPr>
          <w:lang w:val="es-ES"/>
        </w:rPr>
        <w:t xml:space="preserve"> (</w:t>
      </w:r>
      <w:r w:rsidR="004A38AA">
        <w:rPr>
          <w:lang w:val="es-ES"/>
        </w:rPr>
        <w:t>Haslam et al., 2019</w:t>
      </w:r>
      <w:r w:rsidR="00CD3CB3">
        <w:rPr>
          <w:lang w:val="es-ES"/>
        </w:rPr>
        <w:t>).</w:t>
      </w:r>
    </w:p>
  </w:footnote>
  <w:footnote w:id="2">
    <w:p w14:paraId="7D3C2968" w14:textId="7F31448E" w:rsidR="00DC2BA3" w:rsidRPr="00DC2BA3" w:rsidRDefault="00DC2BA3">
      <w:pPr>
        <w:pStyle w:val="FootnoteText"/>
        <w:rPr>
          <w:lang w:val="es-ES"/>
        </w:rPr>
      </w:pPr>
      <w:r>
        <w:rPr>
          <w:rStyle w:val="FootnoteReference"/>
        </w:rPr>
        <w:footnoteRef/>
      </w:r>
      <w:r w:rsidRPr="00DC2BA3">
        <w:rPr>
          <w:lang w:val="es-ES"/>
        </w:rPr>
        <w:t xml:space="preserve"> Ello se plantea no solo desde el plano de lo nominal (cambios significativos con respecto a lo que se considera una enfermedad mental; véase, por ejemplo, Bayer (198</w:t>
      </w:r>
      <w:r>
        <w:rPr>
          <w:lang w:val="es-ES"/>
        </w:rPr>
        <w:t>7</w:t>
      </w:r>
      <w:r w:rsidRPr="00DC2BA3">
        <w:rPr>
          <w:lang w:val="es-ES"/>
        </w:rPr>
        <w:t>) en su análisis de la destitución de la homosexualidad como un trastorno mental), sino también en la variabilidad y difusidad del criterio inter-evaluador en lo referente a los límites planteados entre la salud y la enfermedad</w:t>
      </w:r>
      <w:r w:rsidR="00451AA9">
        <w:rPr>
          <w:lang w:val="es-ES"/>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339429" w14:textId="02D8035B" w:rsidR="00451AA9" w:rsidRDefault="00451AA9">
    <w:pPr>
      <w:pStyle w:val="Header"/>
    </w:pPr>
    <w:proofErr w:type="spellStart"/>
    <w:r>
      <w:t>Juncal</w:t>
    </w:r>
    <w:proofErr w:type="spellEnd"/>
    <w:r>
      <w:t xml:space="preserve"> </w:t>
    </w:r>
    <w:proofErr w:type="spellStart"/>
    <w:r>
      <w:t>Faus</w:t>
    </w:r>
    <w:proofErr w:type="spellEnd"/>
    <w:r>
      <w:t xml:space="preserve"> </w:t>
    </w:r>
    <w:proofErr w:type="spellStart"/>
    <w:r>
      <w:t>Figuerido</w:t>
    </w:r>
    <w:proofErr w:type="spellEnd"/>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393476"/>
    <w:multiLevelType w:val="hybridMultilevel"/>
    <w:tmpl w:val="E67CAC78"/>
    <w:lvl w:ilvl="0" w:tplc="5406F1B8">
      <w:start w:val="6"/>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F0F4B1D"/>
    <w:multiLevelType w:val="hybridMultilevel"/>
    <w:tmpl w:val="3AF67A20"/>
    <w:lvl w:ilvl="0" w:tplc="AA5E6B6A">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74B93F13"/>
    <w:multiLevelType w:val="hybridMultilevel"/>
    <w:tmpl w:val="A8A07508"/>
    <w:lvl w:ilvl="0" w:tplc="200E43C8">
      <w:start w:val="6"/>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7BB35CD4"/>
    <w:multiLevelType w:val="hybridMultilevel"/>
    <w:tmpl w:val="A082294A"/>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7CD00923"/>
    <w:multiLevelType w:val="hybridMultilevel"/>
    <w:tmpl w:val="AEB626E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3A6B"/>
    <w:rsid w:val="000028E0"/>
    <w:rsid w:val="00035ED0"/>
    <w:rsid w:val="000365C8"/>
    <w:rsid w:val="00042AB7"/>
    <w:rsid w:val="00054EA0"/>
    <w:rsid w:val="0008527C"/>
    <w:rsid w:val="000867C3"/>
    <w:rsid w:val="000B1B99"/>
    <w:rsid w:val="000D6013"/>
    <w:rsid w:val="000E0D6D"/>
    <w:rsid w:val="000F67FD"/>
    <w:rsid w:val="00103BA2"/>
    <w:rsid w:val="00105B5D"/>
    <w:rsid w:val="00124D0E"/>
    <w:rsid w:val="00150063"/>
    <w:rsid w:val="00156966"/>
    <w:rsid w:val="00164900"/>
    <w:rsid w:val="001977DA"/>
    <w:rsid w:val="001A4BD2"/>
    <w:rsid w:val="001C113E"/>
    <w:rsid w:val="00211865"/>
    <w:rsid w:val="00211FAC"/>
    <w:rsid w:val="00274791"/>
    <w:rsid w:val="002B3F59"/>
    <w:rsid w:val="002C2AB5"/>
    <w:rsid w:val="002E16A9"/>
    <w:rsid w:val="002E3355"/>
    <w:rsid w:val="002E4546"/>
    <w:rsid w:val="00310AE9"/>
    <w:rsid w:val="00316E89"/>
    <w:rsid w:val="0032298E"/>
    <w:rsid w:val="00330378"/>
    <w:rsid w:val="00332253"/>
    <w:rsid w:val="00351787"/>
    <w:rsid w:val="00355475"/>
    <w:rsid w:val="00390614"/>
    <w:rsid w:val="003B489C"/>
    <w:rsid w:val="003C7680"/>
    <w:rsid w:val="003E4C7E"/>
    <w:rsid w:val="003F44AF"/>
    <w:rsid w:val="003F66B0"/>
    <w:rsid w:val="00401C54"/>
    <w:rsid w:val="00426D5C"/>
    <w:rsid w:val="004359EC"/>
    <w:rsid w:val="0044085A"/>
    <w:rsid w:val="004507B8"/>
    <w:rsid w:val="00451AA9"/>
    <w:rsid w:val="00457475"/>
    <w:rsid w:val="00495597"/>
    <w:rsid w:val="004A0A3B"/>
    <w:rsid w:val="004A38AA"/>
    <w:rsid w:val="004D2D30"/>
    <w:rsid w:val="004D5E02"/>
    <w:rsid w:val="004E71F2"/>
    <w:rsid w:val="004F586A"/>
    <w:rsid w:val="00503B01"/>
    <w:rsid w:val="0055116C"/>
    <w:rsid w:val="0055398B"/>
    <w:rsid w:val="00570027"/>
    <w:rsid w:val="00580332"/>
    <w:rsid w:val="00591E28"/>
    <w:rsid w:val="00596AE6"/>
    <w:rsid w:val="005D0B6D"/>
    <w:rsid w:val="005E274E"/>
    <w:rsid w:val="006146C7"/>
    <w:rsid w:val="00673DB1"/>
    <w:rsid w:val="006807D8"/>
    <w:rsid w:val="00694620"/>
    <w:rsid w:val="006B3ABD"/>
    <w:rsid w:val="006C0A4A"/>
    <w:rsid w:val="006E00C4"/>
    <w:rsid w:val="006F281D"/>
    <w:rsid w:val="00704CB9"/>
    <w:rsid w:val="00711B01"/>
    <w:rsid w:val="00756ACB"/>
    <w:rsid w:val="007670EE"/>
    <w:rsid w:val="007757F0"/>
    <w:rsid w:val="00785D58"/>
    <w:rsid w:val="007B7585"/>
    <w:rsid w:val="007C44A0"/>
    <w:rsid w:val="007D4F1D"/>
    <w:rsid w:val="007E3416"/>
    <w:rsid w:val="008009F7"/>
    <w:rsid w:val="00812CFB"/>
    <w:rsid w:val="00823A14"/>
    <w:rsid w:val="00835C5F"/>
    <w:rsid w:val="0085467D"/>
    <w:rsid w:val="008926FA"/>
    <w:rsid w:val="00894DE5"/>
    <w:rsid w:val="008A74F2"/>
    <w:rsid w:val="008C5B8C"/>
    <w:rsid w:val="008C7765"/>
    <w:rsid w:val="008D3A10"/>
    <w:rsid w:val="008E7EF3"/>
    <w:rsid w:val="00924E5B"/>
    <w:rsid w:val="00925416"/>
    <w:rsid w:val="009373EE"/>
    <w:rsid w:val="0094645B"/>
    <w:rsid w:val="00976B23"/>
    <w:rsid w:val="009925AE"/>
    <w:rsid w:val="009953F8"/>
    <w:rsid w:val="0099688B"/>
    <w:rsid w:val="009A0C7B"/>
    <w:rsid w:val="009B1ADC"/>
    <w:rsid w:val="009C3411"/>
    <w:rsid w:val="009C6B36"/>
    <w:rsid w:val="009E1273"/>
    <w:rsid w:val="009F2386"/>
    <w:rsid w:val="00A05293"/>
    <w:rsid w:val="00A15E4F"/>
    <w:rsid w:val="00A4325E"/>
    <w:rsid w:val="00A74A2A"/>
    <w:rsid w:val="00A93768"/>
    <w:rsid w:val="00A94B11"/>
    <w:rsid w:val="00AD1CD8"/>
    <w:rsid w:val="00B208F4"/>
    <w:rsid w:val="00B329C8"/>
    <w:rsid w:val="00B337FD"/>
    <w:rsid w:val="00B57D56"/>
    <w:rsid w:val="00B651AF"/>
    <w:rsid w:val="00B677EA"/>
    <w:rsid w:val="00B832B4"/>
    <w:rsid w:val="00B94038"/>
    <w:rsid w:val="00BB0749"/>
    <w:rsid w:val="00BB4708"/>
    <w:rsid w:val="00BF57BB"/>
    <w:rsid w:val="00C1744F"/>
    <w:rsid w:val="00C53282"/>
    <w:rsid w:val="00C645C0"/>
    <w:rsid w:val="00C71A63"/>
    <w:rsid w:val="00C8345B"/>
    <w:rsid w:val="00C907D8"/>
    <w:rsid w:val="00C971EA"/>
    <w:rsid w:val="00CB0584"/>
    <w:rsid w:val="00CB63D9"/>
    <w:rsid w:val="00CD3CB3"/>
    <w:rsid w:val="00CD64AC"/>
    <w:rsid w:val="00CE130E"/>
    <w:rsid w:val="00CF075A"/>
    <w:rsid w:val="00CF1FB5"/>
    <w:rsid w:val="00D1671F"/>
    <w:rsid w:val="00D41901"/>
    <w:rsid w:val="00D5398E"/>
    <w:rsid w:val="00D651A9"/>
    <w:rsid w:val="00DC2BA3"/>
    <w:rsid w:val="00DD3C62"/>
    <w:rsid w:val="00E17FDA"/>
    <w:rsid w:val="00E36CB6"/>
    <w:rsid w:val="00E567E5"/>
    <w:rsid w:val="00E66065"/>
    <w:rsid w:val="00E7783E"/>
    <w:rsid w:val="00E82AA4"/>
    <w:rsid w:val="00E91ACE"/>
    <w:rsid w:val="00EF2EC5"/>
    <w:rsid w:val="00EF4BF6"/>
    <w:rsid w:val="00F0676F"/>
    <w:rsid w:val="00F15567"/>
    <w:rsid w:val="00F4102B"/>
    <w:rsid w:val="00FA56FE"/>
    <w:rsid w:val="00FB7AC6"/>
    <w:rsid w:val="00FC3792"/>
    <w:rsid w:val="00FD35CE"/>
    <w:rsid w:val="00FD3A6B"/>
    <w:rsid w:val="00FE043E"/>
    <w:rsid w:val="00FF695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454257D1"/>
  <w15:chartTrackingRefBased/>
  <w15:docId w15:val="{8FCDB916-D667-F84A-A497-66EE804834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E3416"/>
    <w:rPr>
      <w:rFonts w:ascii="Times New Roman" w:eastAsia="Times New Roman" w:hAnsi="Times New Roman" w:cs="Times New Roman"/>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F0676F"/>
    <w:rPr>
      <w:sz w:val="20"/>
      <w:szCs w:val="20"/>
    </w:rPr>
  </w:style>
  <w:style w:type="character" w:customStyle="1" w:styleId="FootnoteTextChar">
    <w:name w:val="Footnote Text Char"/>
    <w:basedOn w:val="DefaultParagraphFont"/>
    <w:link w:val="FootnoteText"/>
    <w:uiPriority w:val="99"/>
    <w:semiHidden/>
    <w:rsid w:val="00F0676F"/>
    <w:rPr>
      <w:sz w:val="20"/>
      <w:szCs w:val="20"/>
    </w:rPr>
  </w:style>
  <w:style w:type="character" w:styleId="FootnoteReference">
    <w:name w:val="footnote reference"/>
    <w:basedOn w:val="DefaultParagraphFont"/>
    <w:uiPriority w:val="99"/>
    <w:semiHidden/>
    <w:unhideWhenUsed/>
    <w:rsid w:val="00F0676F"/>
    <w:rPr>
      <w:vertAlign w:val="superscript"/>
    </w:rPr>
  </w:style>
  <w:style w:type="character" w:styleId="CommentReference">
    <w:name w:val="annotation reference"/>
    <w:basedOn w:val="DefaultParagraphFont"/>
    <w:uiPriority w:val="99"/>
    <w:semiHidden/>
    <w:unhideWhenUsed/>
    <w:rsid w:val="00812CFB"/>
    <w:rPr>
      <w:sz w:val="16"/>
      <w:szCs w:val="16"/>
    </w:rPr>
  </w:style>
  <w:style w:type="paragraph" w:styleId="CommentText">
    <w:name w:val="annotation text"/>
    <w:basedOn w:val="Normal"/>
    <w:link w:val="CommentTextChar"/>
    <w:uiPriority w:val="99"/>
    <w:semiHidden/>
    <w:unhideWhenUsed/>
    <w:rsid w:val="00812CFB"/>
    <w:rPr>
      <w:sz w:val="20"/>
      <w:szCs w:val="20"/>
    </w:rPr>
  </w:style>
  <w:style w:type="character" w:customStyle="1" w:styleId="CommentTextChar">
    <w:name w:val="Comment Text Char"/>
    <w:basedOn w:val="DefaultParagraphFont"/>
    <w:link w:val="CommentText"/>
    <w:uiPriority w:val="99"/>
    <w:semiHidden/>
    <w:rsid w:val="00812CFB"/>
    <w:rPr>
      <w:sz w:val="20"/>
      <w:szCs w:val="20"/>
    </w:rPr>
  </w:style>
  <w:style w:type="paragraph" w:styleId="CommentSubject">
    <w:name w:val="annotation subject"/>
    <w:basedOn w:val="CommentText"/>
    <w:next w:val="CommentText"/>
    <w:link w:val="CommentSubjectChar"/>
    <w:uiPriority w:val="99"/>
    <w:semiHidden/>
    <w:unhideWhenUsed/>
    <w:rsid w:val="00812CFB"/>
    <w:rPr>
      <w:b/>
      <w:bCs/>
    </w:rPr>
  </w:style>
  <w:style w:type="character" w:customStyle="1" w:styleId="CommentSubjectChar">
    <w:name w:val="Comment Subject Char"/>
    <w:basedOn w:val="CommentTextChar"/>
    <w:link w:val="CommentSubject"/>
    <w:uiPriority w:val="99"/>
    <w:semiHidden/>
    <w:rsid w:val="00812CFB"/>
    <w:rPr>
      <w:b/>
      <w:bCs/>
      <w:sz w:val="20"/>
      <w:szCs w:val="20"/>
    </w:rPr>
  </w:style>
  <w:style w:type="paragraph" w:styleId="ListParagraph">
    <w:name w:val="List Paragraph"/>
    <w:basedOn w:val="Normal"/>
    <w:uiPriority w:val="34"/>
    <w:qFormat/>
    <w:rsid w:val="009925AE"/>
    <w:pPr>
      <w:ind w:left="720"/>
      <w:contextualSpacing/>
    </w:pPr>
  </w:style>
  <w:style w:type="character" w:styleId="Hyperlink">
    <w:name w:val="Hyperlink"/>
    <w:basedOn w:val="DefaultParagraphFont"/>
    <w:uiPriority w:val="99"/>
    <w:unhideWhenUsed/>
    <w:rsid w:val="00CB63D9"/>
    <w:rPr>
      <w:color w:val="0563C1" w:themeColor="hyperlink"/>
      <w:u w:val="single"/>
    </w:rPr>
  </w:style>
  <w:style w:type="character" w:styleId="UnresolvedMention">
    <w:name w:val="Unresolved Mention"/>
    <w:basedOn w:val="DefaultParagraphFont"/>
    <w:uiPriority w:val="99"/>
    <w:semiHidden/>
    <w:unhideWhenUsed/>
    <w:rsid w:val="00CB63D9"/>
    <w:rPr>
      <w:color w:val="605E5C"/>
      <w:shd w:val="clear" w:color="auto" w:fill="E1DFDD"/>
    </w:rPr>
  </w:style>
  <w:style w:type="character" w:styleId="HTMLCite">
    <w:name w:val="HTML Cite"/>
    <w:basedOn w:val="DefaultParagraphFont"/>
    <w:uiPriority w:val="99"/>
    <w:semiHidden/>
    <w:unhideWhenUsed/>
    <w:rsid w:val="00AD1CD8"/>
    <w:rPr>
      <w:i/>
      <w:iCs/>
    </w:rPr>
  </w:style>
  <w:style w:type="paragraph" w:customStyle="1" w:styleId="p1">
    <w:name w:val="p1"/>
    <w:basedOn w:val="Normal"/>
    <w:rsid w:val="006E00C4"/>
    <w:rPr>
      <w:rFonts w:ascii="Helvetica" w:hAnsi="Helvetica"/>
      <w:color w:val="141413"/>
      <w:sz w:val="12"/>
      <w:szCs w:val="12"/>
    </w:rPr>
  </w:style>
  <w:style w:type="character" w:styleId="Emphasis">
    <w:name w:val="Emphasis"/>
    <w:basedOn w:val="DefaultParagraphFont"/>
    <w:uiPriority w:val="20"/>
    <w:qFormat/>
    <w:rsid w:val="000B1B99"/>
    <w:rPr>
      <w:i/>
      <w:iCs/>
    </w:rPr>
  </w:style>
  <w:style w:type="character" w:styleId="FollowedHyperlink">
    <w:name w:val="FollowedHyperlink"/>
    <w:basedOn w:val="DefaultParagraphFont"/>
    <w:uiPriority w:val="99"/>
    <w:semiHidden/>
    <w:unhideWhenUsed/>
    <w:rsid w:val="001A4BD2"/>
    <w:rPr>
      <w:color w:val="954F72" w:themeColor="followedHyperlink"/>
      <w:u w:val="single"/>
    </w:rPr>
  </w:style>
  <w:style w:type="paragraph" w:styleId="Header">
    <w:name w:val="header"/>
    <w:basedOn w:val="Normal"/>
    <w:link w:val="HeaderChar"/>
    <w:uiPriority w:val="99"/>
    <w:unhideWhenUsed/>
    <w:rsid w:val="001A4BD2"/>
    <w:pPr>
      <w:tabs>
        <w:tab w:val="center" w:pos="4513"/>
        <w:tab w:val="right" w:pos="9026"/>
      </w:tabs>
    </w:pPr>
  </w:style>
  <w:style w:type="character" w:customStyle="1" w:styleId="HeaderChar">
    <w:name w:val="Header Char"/>
    <w:basedOn w:val="DefaultParagraphFont"/>
    <w:link w:val="Header"/>
    <w:uiPriority w:val="99"/>
    <w:rsid w:val="001A4BD2"/>
    <w:rPr>
      <w:rFonts w:ascii="Times New Roman" w:eastAsia="Times New Roman" w:hAnsi="Times New Roman" w:cs="Times New Roman"/>
      <w:lang w:eastAsia="en-GB"/>
    </w:rPr>
  </w:style>
  <w:style w:type="paragraph" w:styleId="Footer">
    <w:name w:val="footer"/>
    <w:basedOn w:val="Normal"/>
    <w:link w:val="FooterChar"/>
    <w:uiPriority w:val="99"/>
    <w:unhideWhenUsed/>
    <w:rsid w:val="001A4BD2"/>
    <w:pPr>
      <w:tabs>
        <w:tab w:val="center" w:pos="4513"/>
        <w:tab w:val="right" w:pos="9026"/>
      </w:tabs>
    </w:pPr>
  </w:style>
  <w:style w:type="character" w:customStyle="1" w:styleId="FooterChar">
    <w:name w:val="Footer Char"/>
    <w:basedOn w:val="DefaultParagraphFont"/>
    <w:link w:val="Footer"/>
    <w:uiPriority w:val="99"/>
    <w:rsid w:val="001A4BD2"/>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222036">
      <w:bodyDiv w:val="1"/>
      <w:marLeft w:val="0"/>
      <w:marRight w:val="0"/>
      <w:marTop w:val="0"/>
      <w:marBottom w:val="0"/>
      <w:divBdr>
        <w:top w:val="none" w:sz="0" w:space="0" w:color="auto"/>
        <w:left w:val="none" w:sz="0" w:space="0" w:color="auto"/>
        <w:bottom w:val="none" w:sz="0" w:space="0" w:color="auto"/>
        <w:right w:val="none" w:sz="0" w:space="0" w:color="auto"/>
      </w:divBdr>
    </w:div>
    <w:div w:id="189340291">
      <w:bodyDiv w:val="1"/>
      <w:marLeft w:val="0"/>
      <w:marRight w:val="0"/>
      <w:marTop w:val="0"/>
      <w:marBottom w:val="0"/>
      <w:divBdr>
        <w:top w:val="none" w:sz="0" w:space="0" w:color="auto"/>
        <w:left w:val="none" w:sz="0" w:space="0" w:color="auto"/>
        <w:bottom w:val="none" w:sz="0" w:space="0" w:color="auto"/>
        <w:right w:val="none" w:sz="0" w:space="0" w:color="auto"/>
      </w:divBdr>
    </w:div>
    <w:div w:id="239826999">
      <w:bodyDiv w:val="1"/>
      <w:marLeft w:val="0"/>
      <w:marRight w:val="0"/>
      <w:marTop w:val="0"/>
      <w:marBottom w:val="0"/>
      <w:divBdr>
        <w:top w:val="none" w:sz="0" w:space="0" w:color="auto"/>
        <w:left w:val="none" w:sz="0" w:space="0" w:color="auto"/>
        <w:bottom w:val="none" w:sz="0" w:space="0" w:color="auto"/>
        <w:right w:val="none" w:sz="0" w:space="0" w:color="auto"/>
      </w:divBdr>
    </w:div>
    <w:div w:id="293409869">
      <w:bodyDiv w:val="1"/>
      <w:marLeft w:val="0"/>
      <w:marRight w:val="0"/>
      <w:marTop w:val="0"/>
      <w:marBottom w:val="0"/>
      <w:divBdr>
        <w:top w:val="none" w:sz="0" w:space="0" w:color="auto"/>
        <w:left w:val="none" w:sz="0" w:space="0" w:color="auto"/>
        <w:bottom w:val="none" w:sz="0" w:space="0" w:color="auto"/>
        <w:right w:val="none" w:sz="0" w:space="0" w:color="auto"/>
      </w:divBdr>
    </w:div>
    <w:div w:id="301156225">
      <w:bodyDiv w:val="1"/>
      <w:marLeft w:val="0"/>
      <w:marRight w:val="0"/>
      <w:marTop w:val="0"/>
      <w:marBottom w:val="0"/>
      <w:divBdr>
        <w:top w:val="none" w:sz="0" w:space="0" w:color="auto"/>
        <w:left w:val="none" w:sz="0" w:space="0" w:color="auto"/>
        <w:bottom w:val="none" w:sz="0" w:space="0" w:color="auto"/>
        <w:right w:val="none" w:sz="0" w:space="0" w:color="auto"/>
      </w:divBdr>
    </w:div>
    <w:div w:id="301925935">
      <w:bodyDiv w:val="1"/>
      <w:marLeft w:val="0"/>
      <w:marRight w:val="0"/>
      <w:marTop w:val="0"/>
      <w:marBottom w:val="0"/>
      <w:divBdr>
        <w:top w:val="none" w:sz="0" w:space="0" w:color="auto"/>
        <w:left w:val="none" w:sz="0" w:space="0" w:color="auto"/>
        <w:bottom w:val="none" w:sz="0" w:space="0" w:color="auto"/>
        <w:right w:val="none" w:sz="0" w:space="0" w:color="auto"/>
      </w:divBdr>
    </w:div>
    <w:div w:id="321783993">
      <w:bodyDiv w:val="1"/>
      <w:marLeft w:val="0"/>
      <w:marRight w:val="0"/>
      <w:marTop w:val="0"/>
      <w:marBottom w:val="0"/>
      <w:divBdr>
        <w:top w:val="none" w:sz="0" w:space="0" w:color="auto"/>
        <w:left w:val="none" w:sz="0" w:space="0" w:color="auto"/>
        <w:bottom w:val="none" w:sz="0" w:space="0" w:color="auto"/>
        <w:right w:val="none" w:sz="0" w:space="0" w:color="auto"/>
      </w:divBdr>
    </w:div>
    <w:div w:id="339352337">
      <w:bodyDiv w:val="1"/>
      <w:marLeft w:val="0"/>
      <w:marRight w:val="0"/>
      <w:marTop w:val="0"/>
      <w:marBottom w:val="0"/>
      <w:divBdr>
        <w:top w:val="none" w:sz="0" w:space="0" w:color="auto"/>
        <w:left w:val="none" w:sz="0" w:space="0" w:color="auto"/>
        <w:bottom w:val="none" w:sz="0" w:space="0" w:color="auto"/>
        <w:right w:val="none" w:sz="0" w:space="0" w:color="auto"/>
      </w:divBdr>
    </w:div>
    <w:div w:id="391973586">
      <w:bodyDiv w:val="1"/>
      <w:marLeft w:val="0"/>
      <w:marRight w:val="0"/>
      <w:marTop w:val="0"/>
      <w:marBottom w:val="0"/>
      <w:divBdr>
        <w:top w:val="none" w:sz="0" w:space="0" w:color="auto"/>
        <w:left w:val="none" w:sz="0" w:space="0" w:color="auto"/>
        <w:bottom w:val="none" w:sz="0" w:space="0" w:color="auto"/>
        <w:right w:val="none" w:sz="0" w:space="0" w:color="auto"/>
      </w:divBdr>
    </w:div>
    <w:div w:id="435177603">
      <w:bodyDiv w:val="1"/>
      <w:marLeft w:val="0"/>
      <w:marRight w:val="0"/>
      <w:marTop w:val="0"/>
      <w:marBottom w:val="0"/>
      <w:divBdr>
        <w:top w:val="none" w:sz="0" w:space="0" w:color="auto"/>
        <w:left w:val="none" w:sz="0" w:space="0" w:color="auto"/>
        <w:bottom w:val="none" w:sz="0" w:space="0" w:color="auto"/>
        <w:right w:val="none" w:sz="0" w:space="0" w:color="auto"/>
      </w:divBdr>
    </w:div>
    <w:div w:id="527371106">
      <w:bodyDiv w:val="1"/>
      <w:marLeft w:val="0"/>
      <w:marRight w:val="0"/>
      <w:marTop w:val="0"/>
      <w:marBottom w:val="0"/>
      <w:divBdr>
        <w:top w:val="none" w:sz="0" w:space="0" w:color="auto"/>
        <w:left w:val="none" w:sz="0" w:space="0" w:color="auto"/>
        <w:bottom w:val="none" w:sz="0" w:space="0" w:color="auto"/>
        <w:right w:val="none" w:sz="0" w:space="0" w:color="auto"/>
      </w:divBdr>
    </w:div>
    <w:div w:id="537009908">
      <w:bodyDiv w:val="1"/>
      <w:marLeft w:val="0"/>
      <w:marRight w:val="0"/>
      <w:marTop w:val="0"/>
      <w:marBottom w:val="0"/>
      <w:divBdr>
        <w:top w:val="none" w:sz="0" w:space="0" w:color="auto"/>
        <w:left w:val="none" w:sz="0" w:space="0" w:color="auto"/>
        <w:bottom w:val="none" w:sz="0" w:space="0" w:color="auto"/>
        <w:right w:val="none" w:sz="0" w:space="0" w:color="auto"/>
      </w:divBdr>
    </w:div>
    <w:div w:id="612594209">
      <w:bodyDiv w:val="1"/>
      <w:marLeft w:val="0"/>
      <w:marRight w:val="0"/>
      <w:marTop w:val="0"/>
      <w:marBottom w:val="0"/>
      <w:divBdr>
        <w:top w:val="none" w:sz="0" w:space="0" w:color="auto"/>
        <w:left w:val="none" w:sz="0" w:space="0" w:color="auto"/>
        <w:bottom w:val="none" w:sz="0" w:space="0" w:color="auto"/>
        <w:right w:val="none" w:sz="0" w:space="0" w:color="auto"/>
      </w:divBdr>
    </w:div>
    <w:div w:id="638846644">
      <w:bodyDiv w:val="1"/>
      <w:marLeft w:val="0"/>
      <w:marRight w:val="0"/>
      <w:marTop w:val="0"/>
      <w:marBottom w:val="0"/>
      <w:divBdr>
        <w:top w:val="none" w:sz="0" w:space="0" w:color="auto"/>
        <w:left w:val="none" w:sz="0" w:space="0" w:color="auto"/>
        <w:bottom w:val="none" w:sz="0" w:space="0" w:color="auto"/>
        <w:right w:val="none" w:sz="0" w:space="0" w:color="auto"/>
      </w:divBdr>
    </w:div>
    <w:div w:id="640117259">
      <w:bodyDiv w:val="1"/>
      <w:marLeft w:val="0"/>
      <w:marRight w:val="0"/>
      <w:marTop w:val="0"/>
      <w:marBottom w:val="0"/>
      <w:divBdr>
        <w:top w:val="none" w:sz="0" w:space="0" w:color="auto"/>
        <w:left w:val="none" w:sz="0" w:space="0" w:color="auto"/>
        <w:bottom w:val="none" w:sz="0" w:space="0" w:color="auto"/>
        <w:right w:val="none" w:sz="0" w:space="0" w:color="auto"/>
      </w:divBdr>
    </w:div>
    <w:div w:id="666370280">
      <w:bodyDiv w:val="1"/>
      <w:marLeft w:val="0"/>
      <w:marRight w:val="0"/>
      <w:marTop w:val="0"/>
      <w:marBottom w:val="0"/>
      <w:divBdr>
        <w:top w:val="none" w:sz="0" w:space="0" w:color="auto"/>
        <w:left w:val="none" w:sz="0" w:space="0" w:color="auto"/>
        <w:bottom w:val="none" w:sz="0" w:space="0" w:color="auto"/>
        <w:right w:val="none" w:sz="0" w:space="0" w:color="auto"/>
      </w:divBdr>
    </w:div>
    <w:div w:id="670332599">
      <w:bodyDiv w:val="1"/>
      <w:marLeft w:val="0"/>
      <w:marRight w:val="0"/>
      <w:marTop w:val="0"/>
      <w:marBottom w:val="0"/>
      <w:divBdr>
        <w:top w:val="none" w:sz="0" w:space="0" w:color="auto"/>
        <w:left w:val="none" w:sz="0" w:space="0" w:color="auto"/>
        <w:bottom w:val="none" w:sz="0" w:space="0" w:color="auto"/>
        <w:right w:val="none" w:sz="0" w:space="0" w:color="auto"/>
      </w:divBdr>
    </w:div>
    <w:div w:id="684476989">
      <w:bodyDiv w:val="1"/>
      <w:marLeft w:val="0"/>
      <w:marRight w:val="0"/>
      <w:marTop w:val="0"/>
      <w:marBottom w:val="0"/>
      <w:divBdr>
        <w:top w:val="none" w:sz="0" w:space="0" w:color="auto"/>
        <w:left w:val="none" w:sz="0" w:space="0" w:color="auto"/>
        <w:bottom w:val="none" w:sz="0" w:space="0" w:color="auto"/>
        <w:right w:val="none" w:sz="0" w:space="0" w:color="auto"/>
      </w:divBdr>
    </w:div>
    <w:div w:id="685980002">
      <w:bodyDiv w:val="1"/>
      <w:marLeft w:val="0"/>
      <w:marRight w:val="0"/>
      <w:marTop w:val="0"/>
      <w:marBottom w:val="0"/>
      <w:divBdr>
        <w:top w:val="none" w:sz="0" w:space="0" w:color="auto"/>
        <w:left w:val="none" w:sz="0" w:space="0" w:color="auto"/>
        <w:bottom w:val="none" w:sz="0" w:space="0" w:color="auto"/>
        <w:right w:val="none" w:sz="0" w:space="0" w:color="auto"/>
      </w:divBdr>
    </w:div>
    <w:div w:id="775946519">
      <w:bodyDiv w:val="1"/>
      <w:marLeft w:val="0"/>
      <w:marRight w:val="0"/>
      <w:marTop w:val="0"/>
      <w:marBottom w:val="0"/>
      <w:divBdr>
        <w:top w:val="none" w:sz="0" w:space="0" w:color="auto"/>
        <w:left w:val="none" w:sz="0" w:space="0" w:color="auto"/>
        <w:bottom w:val="none" w:sz="0" w:space="0" w:color="auto"/>
        <w:right w:val="none" w:sz="0" w:space="0" w:color="auto"/>
      </w:divBdr>
    </w:div>
    <w:div w:id="860628654">
      <w:bodyDiv w:val="1"/>
      <w:marLeft w:val="0"/>
      <w:marRight w:val="0"/>
      <w:marTop w:val="0"/>
      <w:marBottom w:val="0"/>
      <w:divBdr>
        <w:top w:val="none" w:sz="0" w:space="0" w:color="auto"/>
        <w:left w:val="none" w:sz="0" w:space="0" w:color="auto"/>
        <w:bottom w:val="none" w:sz="0" w:space="0" w:color="auto"/>
        <w:right w:val="none" w:sz="0" w:space="0" w:color="auto"/>
      </w:divBdr>
    </w:div>
    <w:div w:id="910458438">
      <w:bodyDiv w:val="1"/>
      <w:marLeft w:val="0"/>
      <w:marRight w:val="0"/>
      <w:marTop w:val="0"/>
      <w:marBottom w:val="0"/>
      <w:divBdr>
        <w:top w:val="none" w:sz="0" w:space="0" w:color="auto"/>
        <w:left w:val="none" w:sz="0" w:space="0" w:color="auto"/>
        <w:bottom w:val="none" w:sz="0" w:space="0" w:color="auto"/>
        <w:right w:val="none" w:sz="0" w:space="0" w:color="auto"/>
      </w:divBdr>
    </w:div>
    <w:div w:id="1022172751">
      <w:bodyDiv w:val="1"/>
      <w:marLeft w:val="0"/>
      <w:marRight w:val="0"/>
      <w:marTop w:val="0"/>
      <w:marBottom w:val="0"/>
      <w:divBdr>
        <w:top w:val="none" w:sz="0" w:space="0" w:color="auto"/>
        <w:left w:val="none" w:sz="0" w:space="0" w:color="auto"/>
        <w:bottom w:val="none" w:sz="0" w:space="0" w:color="auto"/>
        <w:right w:val="none" w:sz="0" w:space="0" w:color="auto"/>
      </w:divBdr>
    </w:div>
    <w:div w:id="1037925424">
      <w:bodyDiv w:val="1"/>
      <w:marLeft w:val="0"/>
      <w:marRight w:val="0"/>
      <w:marTop w:val="0"/>
      <w:marBottom w:val="0"/>
      <w:divBdr>
        <w:top w:val="none" w:sz="0" w:space="0" w:color="auto"/>
        <w:left w:val="none" w:sz="0" w:space="0" w:color="auto"/>
        <w:bottom w:val="none" w:sz="0" w:space="0" w:color="auto"/>
        <w:right w:val="none" w:sz="0" w:space="0" w:color="auto"/>
      </w:divBdr>
    </w:div>
    <w:div w:id="1039477650">
      <w:bodyDiv w:val="1"/>
      <w:marLeft w:val="0"/>
      <w:marRight w:val="0"/>
      <w:marTop w:val="0"/>
      <w:marBottom w:val="0"/>
      <w:divBdr>
        <w:top w:val="none" w:sz="0" w:space="0" w:color="auto"/>
        <w:left w:val="none" w:sz="0" w:space="0" w:color="auto"/>
        <w:bottom w:val="none" w:sz="0" w:space="0" w:color="auto"/>
        <w:right w:val="none" w:sz="0" w:space="0" w:color="auto"/>
      </w:divBdr>
    </w:div>
    <w:div w:id="1062561385">
      <w:bodyDiv w:val="1"/>
      <w:marLeft w:val="0"/>
      <w:marRight w:val="0"/>
      <w:marTop w:val="0"/>
      <w:marBottom w:val="0"/>
      <w:divBdr>
        <w:top w:val="none" w:sz="0" w:space="0" w:color="auto"/>
        <w:left w:val="none" w:sz="0" w:space="0" w:color="auto"/>
        <w:bottom w:val="none" w:sz="0" w:space="0" w:color="auto"/>
        <w:right w:val="none" w:sz="0" w:space="0" w:color="auto"/>
      </w:divBdr>
    </w:div>
    <w:div w:id="1067532544">
      <w:bodyDiv w:val="1"/>
      <w:marLeft w:val="0"/>
      <w:marRight w:val="0"/>
      <w:marTop w:val="0"/>
      <w:marBottom w:val="0"/>
      <w:divBdr>
        <w:top w:val="none" w:sz="0" w:space="0" w:color="auto"/>
        <w:left w:val="none" w:sz="0" w:space="0" w:color="auto"/>
        <w:bottom w:val="none" w:sz="0" w:space="0" w:color="auto"/>
        <w:right w:val="none" w:sz="0" w:space="0" w:color="auto"/>
      </w:divBdr>
    </w:div>
    <w:div w:id="1140227997">
      <w:bodyDiv w:val="1"/>
      <w:marLeft w:val="0"/>
      <w:marRight w:val="0"/>
      <w:marTop w:val="0"/>
      <w:marBottom w:val="0"/>
      <w:divBdr>
        <w:top w:val="none" w:sz="0" w:space="0" w:color="auto"/>
        <w:left w:val="none" w:sz="0" w:space="0" w:color="auto"/>
        <w:bottom w:val="none" w:sz="0" w:space="0" w:color="auto"/>
        <w:right w:val="none" w:sz="0" w:space="0" w:color="auto"/>
      </w:divBdr>
    </w:div>
    <w:div w:id="1146583064">
      <w:bodyDiv w:val="1"/>
      <w:marLeft w:val="0"/>
      <w:marRight w:val="0"/>
      <w:marTop w:val="0"/>
      <w:marBottom w:val="0"/>
      <w:divBdr>
        <w:top w:val="none" w:sz="0" w:space="0" w:color="auto"/>
        <w:left w:val="none" w:sz="0" w:space="0" w:color="auto"/>
        <w:bottom w:val="none" w:sz="0" w:space="0" w:color="auto"/>
        <w:right w:val="none" w:sz="0" w:space="0" w:color="auto"/>
      </w:divBdr>
    </w:div>
    <w:div w:id="1148284735">
      <w:bodyDiv w:val="1"/>
      <w:marLeft w:val="0"/>
      <w:marRight w:val="0"/>
      <w:marTop w:val="0"/>
      <w:marBottom w:val="0"/>
      <w:divBdr>
        <w:top w:val="none" w:sz="0" w:space="0" w:color="auto"/>
        <w:left w:val="none" w:sz="0" w:space="0" w:color="auto"/>
        <w:bottom w:val="none" w:sz="0" w:space="0" w:color="auto"/>
        <w:right w:val="none" w:sz="0" w:space="0" w:color="auto"/>
      </w:divBdr>
    </w:div>
    <w:div w:id="1170289933">
      <w:bodyDiv w:val="1"/>
      <w:marLeft w:val="0"/>
      <w:marRight w:val="0"/>
      <w:marTop w:val="0"/>
      <w:marBottom w:val="0"/>
      <w:divBdr>
        <w:top w:val="none" w:sz="0" w:space="0" w:color="auto"/>
        <w:left w:val="none" w:sz="0" w:space="0" w:color="auto"/>
        <w:bottom w:val="none" w:sz="0" w:space="0" w:color="auto"/>
        <w:right w:val="none" w:sz="0" w:space="0" w:color="auto"/>
      </w:divBdr>
    </w:div>
    <w:div w:id="1215506064">
      <w:bodyDiv w:val="1"/>
      <w:marLeft w:val="0"/>
      <w:marRight w:val="0"/>
      <w:marTop w:val="0"/>
      <w:marBottom w:val="0"/>
      <w:divBdr>
        <w:top w:val="none" w:sz="0" w:space="0" w:color="auto"/>
        <w:left w:val="none" w:sz="0" w:space="0" w:color="auto"/>
        <w:bottom w:val="none" w:sz="0" w:space="0" w:color="auto"/>
        <w:right w:val="none" w:sz="0" w:space="0" w:color="auto"/>
      </w:divBdr>
    </w:div>
    <w:div w:id="1274823084">
      <w:bodyDiv w:val="1"/>
      <w:marLeft w:val="0"/>
      <w:marRight w:val="0"/>
      <w:marTop w:val="0"/>
      <w:marBottom w:val="0"/>
      <w:divBdr>
        <w:top w:val="none" w:sz="0" w:space="0" w:color="auto"/>
        <w:left w:val="none" w:sz="0" w:space="0" w:color="auto"/>
        <w:bottom w:val="none" w:sz="0" w:space="0" w:color="auto"/>
        <w:right w:val="none" w:sz="0" w:space="0" w:color="auto"/>
      </w:divBdr>
    </w:div>
    <w:div w:id="1440220717">
      <w:bodyDiv w:val="1"/>
      <w:marLeft w:val="0"/>
      <w:marRight w:val="0"/>
      <w:marTop w:val="0"/>
      <w:marBottom w:val="0"/>
      <w:divBdr>
        <w:top w:val="none" w:sz="0" w:space="0" w:color="auto"/>
        <w:left w:val="none" w:sz="0" w:space="0" w:color="auto"/>
        <w:bottom w:val="none" w:sz="0" w:space="0" w:color="auto"/>
        <w:right w:val="none" w:sz="0" w:space="0" w:color="auto"/>
      </w:divBdr>
    </w:div>
    <w:div w:id="1502038146">
      <w:bodyDiv w:val="1"/>
      <w:marLeft w:val="0"/>
      <w:marRight w:val="0"/>
      <w:marTop w:val="0"/>
      <w:marBottom w:val="0"/>
      <w:divBdr>
        <w:top w:val="none" w:sz="0" w:space="0" w:color="auto"/>
        <w:left w:val="none" w:sz="0" w:space="0" w:color="auto"/>
        <w:bottom w:val="none" w:sz="0" w:space="0" w:color="auto"/>
        <w:right w:val="none" w:sz="0" w:space="0" w:color="auto"/>
      </w:divBdr>
    </w:div>
    <w:div w:id="1512180646">
      <w:bodyDiv w:val="1"/>
      <w:marLeft w:val="0"/>
      <w:marRight w:val="0"/>
      <w:marTop w:val="0"/>
      <w:marBottom w:val="0"/>
      <w:divBdr>
        <w:top w:val="none" w:sz="0" w:space="0" w:color="auto"/>
        <w:left w:val="none" w:sz="0" w:space="0" w:color="auto"/>
        <w:bottom w:val="none" w:sz="0" w:space="0" w:color="auto"/>
        <w:right w:val="none" w:sz="0" w:space="0" w:color="auto"/>
      </w:divBdr>
    </w:div>
    <w:div w:id="1534810294">
      <w:bodyDiv w:val="1"/>
      <w:marLeft w:val="0"/>
      <w:marRight w:val="0"/>
      <w:marTop w:val="0"/>
      <w:marBottom w:val="0"/>
      <w:divBdr>
        <w:top w:val="none" w:sz="0" w:space="0" w:color="auto"/>
        <w:left w:val="none" w:sz="0" w:space="0" w:color="auto"/>
        <w:bottom w:val="none" w:sz="0" w:space="0" w:color="auto"/>
        <w:right w:val="none" w:sz="0" w:space="0" w:color="auto"/>
      </w:divBdr>
    </w:div>
    <w:div w:id="1619950767">
      <w:bodyDiv w:val="1"/>
      <w:marLeft w:val="0"/>
      <w:marRight w:val="0"/>
      <w:marTop w:val="0"/>
      <w:marBottom w:val="0"/>
      <w:divBdr>
        <w:top w:val="none" w:sz="0" w:space="0" w:color="auto"/>
        <w:left w:val="none" w:sz="0" w:space="0" w:color="auto"/>
        <w:bottom w:val="none" w:sz="0" w:space="0" w:color="auto"/>
        <w:right w:val="none" w:sz="0" w:space="0" w:color="auto"/>
      </w:divBdr>
    </w:div>
    <w:div w:id="1634479030">
      <w:bodyDiv w:val="1"/>
      <w:marLeft w:val="0"/>
      <w:marRight w:val="0"/>
      <w:marTop w:val="0"/>
      <w:marBottom w:val="0"/>
      <w:divBdr>
        <w:top w:val="none" w:sz="0" w:space="0" w:color="auto"/>
        <w:left w:val="none" w:sz="0" w:space="0" w:color="auto"/>
        <w:bottom w:val="none" w:sz="0" w:space="0" w:color="auto"/>
        <w:right w:val="none" w:sz="0" w:space="0" w:color="auto"/>
      </w:divBdr>
    </w:div>
    <w:div w:id="1670865430">
      <w:bodyDiv w:val="1"/>
      <w:marLeft w:val="0"/>
      <w:marRight w:val="0"/>
      <w:marTop w:val="0"/>
      <w:marBottom w:val="0"/>
      <w:divBdr>
        <w:top w:val="none" w:sz="0" w:space="0" w:color="auto"/>
        <w:left w:val="none" w:sz="0" w:space="0" w:color="auto"/>
        <w:bottom w:val="none" w:sz="0" w:space="0" w:color="auto"/>
        <w:right w:val="none" w:sz="0" w:space="0" w:color="auto"/>
      </w:divBdr>
    </w:div>
    <w:div w:id="1676884604">
      <w:bodyDiv w:val="1"/>
      <w:marLeft w:val="0"/>
      <w:marRight w:val="0"/>
      <w:marTop w:val="0"/>
      <w:marBottom w:val="0"/>
      <w:divBdr>
        <w:top w:val="none" w:sz="0" w:space="0" w:color="auto"/>
        <w:left w:val="none" w:sz="0" w:space="0" w:color="auto"/>
        <w:bottom w:val="none" w:sz="0" w:space="0" w:color="auto"/>
        <w:right w:val="none" w:sz="0" w:space="0" w:color="auto"/>
      </w:divBdr>
    </w:div>
    <w:div w:id="1746536344">
      <w:bodyDiv w:val="1"/>
      <w:marLeft w:val="0"/>
      <w:marRight w:val="0"/>
      <w:marTop w:val="0"/>
      <w:marBottom w:val="0"/>
      <w:divBdr>
        <w:top w:val="none" w:sz="0" w:space="0" w:color="auto"/>
        <w:left w:val="none" w:sz="0" w:space="0" w:color="auto"/>
        <w:bottom w:val="none" w:sz="0" w:space="0" w:color="auto"/>
        <w:right w:val="none" w:sz="0" w:space="0" w:color="auto"/>
      </w:divBdr>
    </w:div>
    <w:div w:id="1793473070">
      <w:bodyDiv w:val="1"/>
      <w:marLeft w:val="0"/>
      <w:marRight w:val="0"/>
      <w:marTop w:val="0"/>
      <w:marBottom w:val="0"/>
      <w:divBdr>
        <w:top w:val="none" w:sz="0" w:space="0" w:color="auto"/>
        <w:left w:val="none" w:sz="0" w:space="0" w:color="auto"/>
        <w:bottom w:val="none" w:sz="0" w:space="0" w:color="auto"/>
        <w:right w:val="none" w:sz="0" w:space="0" w:color="auto"/>
      </w:divBdr>
    </w:div>
    <w:div w:id="1854295941">
      <w:bodyDiv w:val="1"/>
      <w:marLeft w:val="0"/>
      <w:marRight w:val="0"/>
      <w:marTop w:val="0"/>
      <w:marBottom w:val="0"/>
      <w:divBdr>
        <w:top w:val="none" w:sz="0" w:space="0" w:color="auto"/>
        <w:left w:val="none" w:sz="0" w:space="0" w:color="auto"/>
        <w:bottom w:val="none" w:sz="0" w:space="0" w:color="auto"/>
        <w:right w:val="none" w:sz="0" w:space="0" w:color="auto"/>
      </w:divBdr>
    </w:div>
    <w:div w:id="1857386389">
      <w:bodyDiv w:val="1"/>
      <w:marLeft w:val="0"/>
      <w:marRight w:val="0"/>
      <w:marTop w:val="0"/>
      <w:marBottom w:val="0"/>
      <w:divBdr>
        <w:top w:val="none" w:sz="0" w:space="0" w:color="auto"/>
        <w:left w:val="none" w:sz="0" w:space="0" w:color="auto"/>
        <w:bottom w:val="none" w:sz="0" w:space="0" w:color="auto"/>
        <w:right w:val="none" w:sz="0" w:space="0" w:color="auto"/>
      </w:divBdr>
    </w:div>
    <w:div w:id="1908568405">
      <w:bodyDiv w:val="1"/>
      <w:marLeft w:val="0"/>
      <w:marRight w:val="0"/>
      <w:marTop w:val="0"/>
      <w:marBottom w:val="0"/>
      <w:divBdr>
        <w:top w:val="none" w:sz="0" w:space="0" w:color="auto"/>
        <w:left w:val="none" w:sz="0" w:space="0" w:color="auto"/>
        <w:bottom w:val="none" w:sz="0" w:space="0" w:color="auto"/>
        <w:right w:val="none" w:sz="0" w:space="0" w:color="auto"/>
      </w:divBdr>
    </w:div>
    <w:div w:id="1932230301">
      <w:bodyDiv w:val="1"/>
      <w:marLeft w:val="0"/>
      <w:marRight w:val="0"/>
      <w:marTop w:val="0"/>
      <w:marBottom w:val="0"/>
      <w:divBdr>
        <w:top w:val="none" w:sz="0" w:space="0" w:color="auto"/>
        <w:left w:val="none" w:sz="0" w:space="0" w:color="auto"/>
        <w:bottom w:val="none" w:sz="0" w:space="0" w:color="auto"/>
        <w:right w:val="none" w:sz="0" w:space="0" w:color="auto"/>
      </w:divBdr>
    </w:div>
    <w:div w:id="1939019390">
      <w:bodyDiv w:val="1"/>
      <w:marLeft w:val="0"/>
      <w:marRight w:val="0"/>
      <w:marTop w:val="0"/>
      <w:marBottom w:val="0"/>
      <w:divBdr>
        <w:top w:val="none" w:sz="0" w:space="0" w:color="auto"/>
        <w:left w:val="none" w:sz="0" w:space="0" w:color="auto"/>
        <w:bottom w:val="none" w:sz="0" w:space="0" w:color="auto"/>
        <w:right w:val="none" w:sz="0" w:space="0" w:color="auto"/>
      </w:divBdr>
    </w:div>
    <w:div w:id="1953323557">
      <w:bodyDiv w:val="1"/>
      <w:marLeft w:val="0"/>
      <w:marRight w:val="0"/>
      <w:marTop w:val="0"/>
      <w:marBottom w:val="0"/>
      <w:divBdr>
        <w:top w:val="none" w:sz="0" w:space="0" w:color="auto"/>
        <w:left w:val="none" w:sz="0" w:space="0" w:color="auto"/>
        <w:bottom w:val="none" w:sz="0" w:space="0" w:color="auto"/>
        <w:right w:val="none" w:sz="0" w:space="0" w:color="auto"/>
      </w:divBdr>
    </w:div>
    <w:div w:id="2010984211">
      <w:bodyDiv w:val="1"/>
      <w:marLeft w:val="0"/>
      <w:marRight w:val="0"/>
      <w:marTop w:val="0"/>
      <w:marBottom w:val="0"/>
      <w:divBdr>
        <w:top w:val="none" w:sz="0" w:space="0" w:color="auto"/>
        <w:left w:val="none" w:sz="0" w:space="0" w:color="auto"/>
        <w:bottom w:val="none" w:sz="0" w:space="0" w:color="auto"/>
        <w:right w:val="none" w:sz="0" w:space="0" w:color="auto"/>
      </w:divBdr>
    </w:div>
    <w:div w:id="20232444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1016/j.psychres.2019.07.005" TargetMode="External"/><Relationship Id="rId13" Type="http://schemas.openxmlformats.org/officeDocument/2006/relationships/hyperlink" Target="https://doi.org/10.1016/j.jad.2014.10.010" TargetMode="External"/><Relationship Id="rId18" Type="http://schemas.openxmlformats.org/officeDocument/2006/relationships/hyperlink" Target="https://doi.org/10.31887/DCNS.2020.22.1/rparikh" TargetMode="External"/><Relationship Id="rId26" Type="http://schemas.openxmlformats.org/officeDocument/2006/relationships/hyperlink" Target="https://doi.org/10.1016/S0006-3223(99)00289-9" TargetMode="External"/><Relationship Id="rId3" Type="http://schemas.openxmlformats.org/officeDocument/2006/relationships/styles" Target="styles.xml"/><Relationship Id="rId21" Type="http://schemas.openxmlformats.org/officeDocument/2006/relationships/hyperlink" Target="https://doi.org/10.1001/archpsyc.62.6.593" TargetMode="External"/><Relationship Id="rId7" Type="http://schemas.openxmlformats.org/officeDocument/2006/relationships/endnotes" Target="endnotes.xml"/><Relationship Id="rId12" Type="http://schemas.openxmlformats.org/officeDocument/2006/relationships/hyperlink" Target="https://doi.org/10.1016/j.socscimed.2009.06.038" TargetMode="External"/><Relationship Id="rId17" Type="http://schemas.openxmlformats.org/officeDocument/2006/relationships/hyperlink" Target="https://doi.org/10.1146/annurev.clinpsy.3.022806.091532" TargetMode="External"/><Relationship Id="rId25" Type="http://schemas.openxmlformats.org/officeDocument/2006/relationships/hyperlink" Target="https://doi.org/10.1007/s11229-017-1659-6" TargetMode="External"/><Relationship Id="rId2" Type="http://schemas.openxmlformats.org/officeDocument/2006/relationships/numbering" Target="numbering.xml"/><Relationship Id="rId16" Type="http://schemas.openxmlformats.org/officeDocument/2006/relationships/hyperlink" Target="https://doi.org/10.1016/j.cpr.2020.101908" TargetMode="External"/><Relationship Id="rId20" Type="http://schemas.openxmlformats.org/officeDocument/2006/relationships/hyperlink" Target="https://doi.org/10.1176/appi.ajp.160.1.4" TargetMode="External"/><Relationship Id="rId29"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oi.org/10.1002/jclp.20503" TargetMode="External"/><Relationship Id="rId24" Type="http://schemas.openxmlformats.org/officeDocument/2006/relationships/hyperlink" Target="https://doi.org/10.1080/09638237.2021.1922653" TargetMode="External"/><Relationship Id="rId5" Type="http://schemas.openxmlformats.org/officeDocument/2006/relationships/webSettings" Target="webSettings.xml"/><Relationship Id="rId15" Type="http://schemas.openxmlformats.org/officeDocument/2006/relationships/hyperlink" Target="https://doi.org/10.1176/ajp.148.4.421" TargetMode="External"/><Relationship Id="rId23" Type="http://schemas.openxmlformats.org/officeDocument/2006/relationships/hyperlink" Target="https://doi.org/10.1177/0963721414568342" TargetMode="External"/><Relationship Id="rId28" Type="http://schemas.openxmlformats.org/officeDocument/2006/relationships/hyperlink" Target="https://doi.org/10.1002/wps.20240" TargetMode="External"/><Relationship Id="rId10" Type="http://schemas.openxmlformats.org/officeDocument/2006/relationships/hyperlink" Target="https://doi.org/10.1001/jamapsychiatry.2017.2164" TargetMode="External"/><Relationship Id="rId19" Type="http://schemas.openxmlformats.org/officeDocument/2006/relationships/hyperlink" Target="https://doi.org/10.1192/bjp.127.4.305" TargetMode="Externa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doi.org/10.1176/appi.books.9780890425596" TargetMode="External"/><Relationship Id="rId14" Type="http://schemas.openxmlformats.org/officeDocument/2006/relationships/hyperlink" Target="https://doi.org/10.1177/1745691613504115" TargetMode="External"/><Relationship Id="rId22" Type="http://schemas.openxmlformats.org/officeDocument/2006/relationships/hyperlink" Target="https://doi.org/10.1037/abn0000258" TargetMode="External"/><Relationship Id="rId27" Type="http://schemas.openxmlformats.org/officeDocument/2006/relationships/hyperlink" Target="https://doi.org/10.1037/a0030133" TargetMode="External"/><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1EAB37-DAD3-9B41-9355-E109B57FA3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3153</Words>
  <Characters>17975</Characters>
  <Application>Microsoft Office Word</Application>
  <DocSecurity>0</DocSecurity>
  <Lines>149</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Juncal Faus Figuerido</dc:creator>
  <cp:keywords/>
  <dc:description/>
  <cp:lastModifiedBy>Juncal Faus Figuerido</cp:lastModifiedBy>
  <cp:revision>2</cp:revision>
  <dcterms:created xsi:type="dcterms:W3CDTF">2026-01-09T19:02:00Z</dcterms:created>
  <dcterms:modified xsi:type="dcterms:W3CDTF">2026-01-09T19:02:00Z</dcterms:modified>
</cp:coreProperties>
</file>