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F642F" w14:textId="77777777" w:rsidR="00B0291E" w:rsidRDefault="00A966B5">
      <w:r>
        <w:rPr>
          <w:noProof/>
        </w:rPr>
        <w:drawing>
          <wp:inline distT="114300" distB="114300" distL="114300" distR="114300" wp14:anchorId="305F650F" wp14:editId="305F6510">
            <wp:extent cx="5731200" cy="1511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1511300"/>
                    </a:xfrm>
                    <a:prstGeom prst="rect">
                      <a:avLst/>
                    </a:prstGeom>
                    <a:ln/>
                  </pic:spPr>
                </pic:pic>
              </a:graphicData>
            </a:graphic>
          </wp:inline>
        </w:drawing>
      </w:r>
    </w:p>
    <w:p w14:paraId="305F6430" w14:textId="77777777" w:rsidR="00B0291E" w:rsidRDefault="00B0291E"/>
    <w:p w14:paraId="305F6431" w14:textId="77777777" w:rsidR="00B0291E" w:rsidRDefault="00B0291E"/>
    <w:p w14:paraId="305F6432" w14:textId="77777777" w:rsidR="00B0291E" w:rsidRDefault="00B0291E"/>
    <w:p w14:paraId="305F6433" w14:textId="77777777" w:rsidR="00B0291E" w:rsidRDefault="00B0291E"/>
    <w:p w14:paraId="305F6434" w14:textId="77777777" w:rsidR="00B0291E" w:rsidRDefault="00B0291E">
      <w:pPr>
        <w:spacing w:line="360" w:lineRule="auto"/>
      </w:pPr>
    </w:p>
    <w:p w14:paraId="305F6435"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Final Thesis Draft</w:t>
      </w:r>
    </w:p>
    <w:p w14:paraId="305F6436"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 xml:space="preserve">Kiki Mol - 202514878 </w:t>
      </w:r>
    </w:p>
    <w:p w14:paraId="305F6437" w14:textId="77777777" w:rsidR="00B0291E" w:rsidRDefault="00B0291E">
      <w:pPr>
        <w:spacing w:line="360" w:lineRule="auto"/>
        <w:rPr>
          <w:rFonts w:ascii="Times New Roman" w:eastAsia="Times New Roman" w:hAnsi="Times New Roman" w:cs="Times New Roman"/>
        </w:rPr>
      </w:pPr>
    </w:p>
    <w:p w14:paraId="305F6438" w14:textId="77777777" w:rsidR="00B0291E" w:rsidRDefault="00B0291E">
      <w:pPr>
        <w:spacing w:line="360" w:lineRule="auto"/>
        <w:rPr>
          <w:rFonts w:ascii="Times New Roman" w:eastAsia="Times New Roman" w:hAnsi="Times New Roman" w:cs="Times New Roman"/>
        </w:rPr>
      </w:pPr>
    </w:p>
    <w:p w14:paraId="305F6439" w14:textId="77777777" w:rsidR="00B0291E" w:rsidRDefault="00B0291E">
      <w:pPr>
        <w:spacing w:line="360" w:lineRule="auto"/>
        <w:rPr>
          <w:rFonts w:ascii="Times New Roman" w:eastAsia="Times New Roman" w:hAnsi="Times New Roman" w:cs="Times New Roman"/>
        </w:rPr>
      </w:pPr>
    </w:p>
    <w:p w14:paraId="305F643A" w14:textId="77777777" w:rsidR="00B0291E" w:rsidRDefault="00B0291E">
      <w:pPr>
        <w:spacing w:line="360" w:lineRule="auto"/>
        <w:rPr>
          <w:rFonts w:ascii="Times New Roman" w:eastAsia="Times New Roman" w:hAnsi="Times New Roman" w:cs="Times New Roman"/>
        </w:rPr>
      </w:pPr>
    </w:p>
    <w:p w14:paraId="305F643B" w14:textId="77777777" w:rsidR="00B0291E" w:rsidRDefault="00B0291E">
      <w:pPr>
        <w:spacing w:line="360" w:lineRule="auto"/>
        <w:rPr>
          <w:rFonts w:ascii="Times New Roman" w:eastAsia="Times New Roman" w:hAnsi="Times New Roman" w:cs="Times New Roman"/>
        </w:rPr>
      </w:pPr>
    </w:p>
    <w:p w14:paraId="305F643C" w14:textId="77777777" w:rsidR="00B0291E" w:rsidRDefault="00B0291E">
      <w:pPr>
        <w:spacing w:line="360" w:lineRule="auto"/>
        <w:rPr>
          <w:rFonts w:ascii="Times New Roman" w:eastAsia="Times New Roman" w:hAnsi="Times New Roman" w:cs="Times New Roman"/>
        </w:rPr>
      </w:pPr>
    </w:p>
    <w:p w14:paraId="305F643D" w14:textId="77777777" w:rsidR="00B0291E" w:rsidRDefault="00B0291E">
      <w:pPr>
        <w:spacing w:line="360" w:lineRule="auto"/>
        <w:rPr>
          <w:rFonts w:ascii="Times New Roman" w:eastAsia="Times New Roman" w:hAnsi="Times New Roman" w:cs="Times New Roman"/>
        </w:rPr>
      </w:pPr>
    </w:p>
    <w:p w14:paraId="305F643E" w14:textId="77777777" w:rsidR="00B0291E" w:rsidRDefault="00B0291E">
      <w:pPr>
        <w:spacing w:line="360" w:lineRule="auto"/>
        <w:rPr>
          <w:rFonts w:ascii="Times New Roman" w:eastAsia="Times New Roman" w:hAnsi="Times New Roman" w:cs="Times New Roman"/>
        </w:rPr>
      </w:pPr>
    </w:p>
    <w:p w14:paraId="305F643F" w14:textId="77777777" w:rsidR="00B0291E" w:rsidRDefault="00B0291E">
      <w:pPr>
        <w:spacing w:line="360" w:lineRule="auto"/>
        <w:rPr>
          <w:rFonts w:ascii="Times New Roman" w:eastAsia="Times New Roman" w:hAnsi="Times New Roman" w:cs="Times New Roman"/>
        </w:rPr>
      </w:pPr>
    </w:p>
    <w:p w14:paraId="305F6440" w14:textId="77777777" w:rsidR="00B0291E" w:rsidRDefault="00B0291E">
      <w:pPr>
        <w:spacing w:line="360" w:lineRule="auto"/>
        <w:rPr>
          <w:rFonts w:ascii="Times New Roman" w:eastAsia="Times New Roman" w:hAnsi="Times New Roman" w:cs="Times New Roman"/>
        </w:rPr>
      </w:pPr>
    </w:p>
    <w:p w14:paraId="305F6441" w14:textId="77777777" w:rsidR="00B0291E" w:rsidRDefault="00B0291E">
      <w:pPr>
        <w:spacing w:line="360" w:lineRule="auto"/>
        <w:rPr>
          <w:rFonts w:ascii="Times New Roman" w:eastAsia="Times New Roman" w:hAnsi="Times New Roman" w:cs="Times New Roman"/>
        </w:rPr>
      </w:pPr>
    </w:p>
    <w:p w14:paraId="305F6442" w14:textId="77777777" w:rsidR="00B0291E" w:rsidRDefault="00B0291E">
      <w:pPr>
        <w:spacing w:line="360" w:lineRule="auto"/>
        <w:rPr>
          <w:rFonts w:ascii="Times New Roman" w:eastAsia="Times New Roman" w:hAnsi="Times New Roman" w:cs="Times New Roman"/>
        </w:rPr>
      </w:pPr>
    </w:p>
    <w:p w14:paraId="305F6443" w14:textId="77777777" w:rsidR="00B0291E" w:rsidRDefault="00B0291E">
      <w:pPr>
        <w:spacing w:line="360" w:lineRule="auto"/>
        <w:rPr>
          <w:rFonts w:ascii="Times New Roman" w:eastAsia="Times New Roman" w:hAnsi="Times New Roman" w:cs="Times New Roman"/>
        </w:rPr>
      </w:pPr>
    </w:p>
    <w:p w14:paraId="305F6444" w14:textId="77777777" w:rsidR="00B0291E" w:rsidRDefault="00B0291E">
      <w:pPr>
        <w:spacing w:line="360" w:lineRule="auto"/>
        <w:rPr>
          <w:rFonts w:ascii="Times New Roman" w:eastAsia="Times New Roman" w:hAnsi="Times New Roman" w:cs="Times New Roman"/>
        </w:rPr>
      </w:pPr>
    </w:p>
    <w:p w14:paraId="305F6445" w14:textId="77777777" w:rsidR="00B0291E" w:rsidRDefault="00B0291E">
      <w:pPr>
        <w:spacing w:line="360" w:lineRule="auto"/>
        <w:rPr>
          <w:rFonts w:ascii="Times New Roman" w:eastAsia="Times New Roman" w:hAnsi="Times New Roman" w:cs="Times New Roman"/>
        </w:rPr>
      </w:pPr>
    </w:p>
    <w:p w14:paraId="305F6446" w14:textId="77777777" w:rsidR="00B0291E" w:rsidRDefault="00B0291E">
      <w:pPr>
        <w:spacing w:line="360" w:lineRule="auto"/>
        <w:rPr>
          <w:rFonts w:ascii="Times New Roman" w:eastAsia="Times New Roman" w:hAnsi="Times New Roman" w:cs="Times New Roman"/>
        </w:rPr>
      </w:pPr>
    </w:p>
    <w:p w14:paraId="305F6447" w14:textId="77777777" w:rsidR="00B0291E" w:rsidRDefault="00B0291E">
      <w:pPr>
        <w:spacing w:line="360" w:lineRule="auto"/>
        <w:rPr>
          <w:rFonts w:ascii="Times New Roman" w:eastAsia="Times New Roman" w:hAnsi="Times New Roman" w:cs="Times New Roman"/>
        </w:rPr>
      </w:pPr>
    </w:p>
    <w:p w14:paraId="305F6448" w14:textId="77777777" w:rsidR="00B0291E" w:rsidRDefault="00B0291E">
      <w:pPr>
        <w:spacing w:line="360" w:lineRule="auto"/>
        <w:rPr>
          <w:rFonts w:ascii="Times New Roman" w:eastAsia="Times New Roman" w:hAnsi="Times New Roman" w:cs="Times New Roman"/>
        </w:rPr>
      </w:pPr>
    </w:p>
    <w:p w14:paraId="305F6449" w14:textId="77777777" w:rsidR="00B0291E" w:rsidRDefault="00B0291E">
      <w:pPr>
        <w:spacing w:line="360" w:lineRule="auto"/>
        <w:rPr>
          <w:rFonts w:ascii="Times New Roman" w:eastAsia="Times New Roman" w:hAnsi="Times New Roman" w:cs="Times New Roman"/>
        </w:rPr>
      </w:pPr>
    </w:p>
    <w:p w14:paraId="305F644A" w14:textId="77777777" w:rsidR="00B0291E" w:rsidRDefault="00B0291E">
      <w:pPr>
        <w:spacing w:line="360" w:lineRule="auto"/>
        <w:rPr>
          <w:rFonts w:ascii="Times New Roman" w:eastAsia="Times New Roman" w:hAnsi="Times New Roman" w:cs="Times New Roman"/>
        </w:rPr>
      </w:pPr>
    </w:p>
    <w:p w14:paraId="305F644B" w14:textId="77777777" w:rsidR="00B0291E" w:rsidRDefault="00B0291E">
      <w:pPr>
        <w:spacing w:line="360" w:lineRule="auto"/>
        <w:rPr>
          <w:rFonts w:ascii="Times New Roman" w:eastAsia="Times New Roman" w:hAnsi="Times New Roman" w:cs="Times New Roman"/>
        </w:rPr>
      </w:pPr>
    </w:p>
    <w:p w14:paraId="305F644C" w14:textId="77777777" w:rsidR="00B0291E" w:rsidRDefault="00B0291E">
      <w:pPr>
        <w:spacing w:line="360" w:lineRule="auto"/>
        <w:rPr>
          <w:rFonts w:ascii="Times New Roman" w:eastAsia="Times New Roman" w:hAnsi="Times New Roman" w:cs="Times New Roman"/>
        </w:rPr>
      </w:pPr>
    </w:p>
    <w:p w14:paraId="305F644D" w14:textId="77777777" w:rsidR="00B0291E" w:rsidRDefault="00B0291E">
      <w:pPr>
        <w:spacing w:line="360" w:lineRule="auto"/>
        <w:rPr>
          <w:rFonts w:ascii="Times New Roman" w:eastAsia="Times New Roman" w:hAnsi="Times New Roman" w:cs="Times New Roman"/>
        </w:rPr>
      </w:pPr>
    </w:p>
    <w:p w14:paraId="305F644E" w14:textId="77777777" w:rsidR="00B0291E" w:rsidRDefault="00B0291E">
      <w:pPr>
        <w:spacing w:line="360" w:lineRule="auto"/>
        <w:rPr>
          <w:rFonts w:ascii="Times New Roman" w:eastAsia="Times New Roman" w:hAnsi="Times New Roman" w:cs="Times New Roman"/>
        </w:rPr>
      </w:pPr>
    </w:p>
    <w:p w14:paraId="305F644F" w14:textId="77777777" w:rsidR="00B0291E" w:rsidRDefault="00A966B5">
      <w:pPr>
        <w:numPr>
          <w:ilvl w:val="0"/>
          <w:numId w:val="1"/>
        </w:numPr>
        <w:spacing w:line="360" w:lineRule="auto"/>
        <w:rPr>
          <w:rFonts w:ascii="Times New Roman" w:eastAsia="Times New Roman" w:hAnsi="Times New Roman" w:cs="Times New Roman"/>
          <w:b/>
          <w:bCs/>
        </w:rPr>
      </w:pPr>
      <w:r>
        <w:rPr>
          <w:rFonts w:ascii="Times New Roman" w:eastAsia="Times New Roman" w:hAnsi="Times New Roman" w:cs="Times New Roman"/>
          <w:b/>
          <w:bCs/>
        </w:rPr>
        <w:lastRenderedPageBreak/>
        <w:t>Introduction</w:t>
      </w:r>
    </w:p>
    <w:p w14:paraId="305F6450" w14:textId="77777777" w:rsidR="00B0291E" w:rsidRDefault="00A966B5">
      <w:pPr>
        <w:shd w:val="clear" w:color="auto" w:fill="FFFFFF"/>
        <w:spacing w:after="220" w:line="360" w:lineRule="auto"/>
        <w:rPr>
          <w:rFonts w:ascii="Times New Roman" w:eastAsia="Times New Roman" w:hAnsi="Times New Roman" w:cs="Times New Roman"/>
        </w:rPr>
      </w:pPr>
      <w:commentRangeStart w:id="0"/>
      <w:r>
        <w:rPr>
          <w:rFonts w:ascii="Times New Roman" w:eastAsia="Times New Roman" w:hAnsi="Times New Roman" w:cs="Times New Roman"/>
        </w:rPr>
        <w:t xml:space="preserve">Energy security, securing sufficient energy supplies to secure one’s needs and at an affordable price, </w:t>
      </w:r>
      <w:commentRangeEnd w:id="0"/>
      <w:r w:rsidR="0013576A">
        <w:rPr>
          <w:rStyle w:val="Refdecomentrio"/>
          <w:rFonts w:ascii="Times New Roman" w:eastAsia="Times New Roman" w:hAnsi="Times New Roman" w:cs="Times New Roman"/>
          <w:sz w:val="22"/>
          <w:szCs w:val="22"/>
        </w:rPr>
        <w:commentReference w:id="0"/>
      </w:r>
      <w:r>
        <w:rPr>
          <w:rFonts w:ascii="Times New Roman" w:eastAsia="Times New Roman" w:hAnsi="Times New Roman" w:cs="Times New Roman"/>
        </w:rPr>
        <w:t>has become a major concern in the last few years. Energy security is vital for economic stability (disruptions in one region ripple across global markets) and social cohesion (energy access inequalities exacerbate geopolitical divides). Energy also drives industrial production, global trade and technological innovation (World Energy Outlook, 2022 &amp; Energy, 2026). Following Russia’s full invasion of Ukraine, The European Union (EU) has started to invest in ways to diversify the energy supply, which would dec</w:t>
      </w:r>
      <w:r>
        <w:rPr>
          <w:rFonts w:ascii="Times New Roman" w:eastAsia="Times New Roman" w:hAnsi="Times New Roman" w:cs="Times New Roman"/>
        </w:rPr>
        <w:t xml:space="preserve">rease the risk of disruptions and improve resilience (REPowerEU, 2022). </w:t>
      </w:r>
    </w:p>
    <w:p w14:paraId="305F6451" w14:textId="77777777" w:rsidR="00B0291E" w:rsidRDefault="00A966B5">
      <w:pPr>
        <w:shd w:val="clear" w:color="auto" w:fill="FFFFFF"/>
        <w:spacing w:after="220" w:line="360" w:lineRule="auto"/>
        <w:rPr>
          <w:rFonts w:ascii="Times New Roman" w:eastAsia="Times New Roman" w:hAnsi="Times New Roman" w:cs="Times New Roman"/>
          <w:color w:val="1F1F1F"/>
          <w:sz w:val="20"/>
          <w:szCs w:val="20"/>
        </w:rPr>
      </w:pPr>
      <w:r>
        <w:rPr>
          <w:rFonts w:ascii="Times New Roman" w:eastAsia="Times New Roman" w:hAnsi="Times New Roman" w:cs="Times New Roman"/>
        </w:rPr>
        <w:t xml:space="preserve">Through the REPowerEU (2022) plan Russian gas imports have gone from 45% to 15% between 2021 and 2023. In 2024 Europe wind and solar produced electricity exceeded that from gas for the first time ever. This cemented renewables as the backbone of the EU energy grid. This was supported by a rapid increase in renewable energy installations (REPower EU, 2022 &amp; Eurostat, 2025). This is a promising outlook. The Eurostatistics (2025) on renewable energy state the following: “In 2024, renewable energy sources made </w:t>
      </w:r>
      <w:r>
        <w:rPr>
          <w:rFonts w:ascii="Times New Roman" w:eastAsia="Times New Roman" w:hAnsi="Times New Roman" w:cs="Times New Roman"/>
        </w:rPr>
        <w:t xml:space="preserve">up 47.5% of gross electricity consumption in the EU, more than 2 pp higher than the previous year (45.4% in 2023).” However, fossil fuels still remain dominant, Europe is still heavily dependent on them. In 2025, the EU still bought 60% of its energy from abroad, including 90% of its gas and 97% of its oil, creating risks in the form of supply chain disruptions (European Parliament, 2026).  </w:t>
      </w:r>
    </w:p>
    <w:p w14:paraId="305F6452"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Both NATO and the EU seek to increase the resilience of Europe’s energy system (NATO 2022 &amp; Erbach &amp; European Parliamentary Research Service, 2015). With the rapidly evolving threat and geopolitical landscape surrounding energy following Russia’s invasion of Ukraine (</w:t>
      </w:r>
      <w:r>
        <w:rPr>
          <w:rFonts w:ascii="Times New Roman" w:eastAsia="Times New Roman" w:hAnsi="Times New Roman" w:cs="Times New Roman"/>
          <w:i/>
          <w:iCs/>
        </w:rPr>
        <w:t>On a War Footing: Securing Critical Energy Infrastructure</w:t>
      </w:r>
      <w:r>
        <w:rPr>
          <w:rFonts w:ascii="Times New Roman" w:eastAsia="Times New Roman" w:hAnsi="Times New Roman" w:cs="Times New Roman"/>
        </w:rPr>
        <w:t xml:space="preserve">, 2025) and threats from China in the form of supply chains and leveraging Europe’s dependency on technologies (Muster &amp; Clark, 2025) it is crucial to build a system that is not dependent on unreliable actors (Eurelectric, 2025). </w:t>
      </w:r>
    </w:p>
    <w:p w14:paraId="305F6453"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Securing the EU’s energy supply is one of the ways it hopes to achieve strategic autonomy. The energy transition, the acceleration of the implementation of renewable energy, is one of the core pieces of the strategy (EU Strategic Autonomy Monitor). Clean and renewable energy could improve resilience because it helps decentralize energy supply and reduce dependency on energy imports, limiting the leverage that external actors can exercise. Renewable technologies also have a positive impact on the climate, th</w:t>
      </w:r>
      <w:r>
        <w:rPr>
          <w:rFonts w:ascii="Times New Roman" w:eastAsia="Times New Roman" w:hAnsi="Times New Roman" w:cs="Times New Roman"/>
        </w:rPr>
        <w:t xml:space="preserve">ey help reduce emissions and meet climate goals (REPowerEU, 2022 &amp; European Commission, 2025). The green transition is directly related to the EU’s energy security and resilience. </w:t>
      </w:r>
      <w:commentRangeStart w:id="1"/>
      <w:r>
        <w:rPr>
          <w:rFonts w:ascii="Times New Roman" w:eastAsia="Times New Roman" w:hAnsi="Times New Roman" w:cs="Times New Roman"/>
        </w:rPr>
        <w:t xml:space="preserve">Energy security is the goal, resilience is what protects it when things go wrong </w:t>
      </w:r>
      <w:commentRangeEnd w:id="1"/>
      <w:r w:rsidR="004B55E5">
        <w:rPr>
          <w:rStyle w:val="Refdecomentrio"/>
          <w:rFonts w:ascii="Times New Roman" w:eastAsia="Times New Roman" w:hAnsi="Times New Roman" w:cs="Times New Roman"/>
          <w:sz w:val="22"/>
          <w:szCs w:val="22"/>
        </w:rPr>
        <w:commentReference w:id="1"/>
      </w:r>
      <w:r>
        <w:rPr>
          <w:rFonts w:ascii="Times New Roman" w:eastAsia="Times New Roman" w:hAnsi="Times New Roman" w:cs="Times New Roman"/>
        </w:rPr>
        <w:t>(</w:t>
      </w:r>
      <w:r>
        <w:rPr>
          <w:rFonts w:ascii="Times New Roman" w:eastAsia="Times New Roman" w:hAnsi="Times New Roman" w:cs="Times New Roman"/>
          <w:i/>
          <w:iCs/>
        </w:rPr>
        <w:t>Strengthening EU Resilience: Hybrid Threats and Critical Entities</w:t>
      </w:r>
      <w:r>
        <w:rPr>
          <w:rFonts w:ascii="Times New Roman" w:eastAsia="Times New Roman" w:hAnsi="Times New Roman" w:cs="Times New Roman"/>
        </w:rPr>
        <w:t xml:space="preserve">, n.d. &amp; REPowerEU, 2022). </w:t>
      </w:r>
    </w:p>
    <w:p w14:paraId="305F6454" w14:textId="77777777" w:rsidR="00B0291E" w:rsidRDefault="00B0291E">
      <w:pPr>
        <w:shd w:val="clear" w:color="auto" w:fill="FFFFFF"/>
        <w:spacing w:after="220" w:line="360" w:lineRule="auto"/>
        <w:rPr>
          <w:rFonts w:ascii="Times New Roman" w:eastAsia="Times New Roman" w:hAnsi="Times New Roman" w:cs="Times New Roman"/>
        </w:rPr>
      </w:pPr>
    </w:p>
    <w:p w14:paraId="305F6455" w14:textId="77777777" w:rsidR="00B0291E" w:rsidRDefault="00A966B5">
      <w:pPr>
        <w:shd w:val="clear" w:color="auto" w:fill="FFFFFF"/>
        <w:spacing w:after="220" w:line="360" w:lineRule="auto"/>
        <w:rPr>
          <w:rFonts w:ascii="Times New Roman" w:eastAsia="Times New Roman" w:hAnsi="Times New Roman" w:cs="Times New Roman"/>
          <w:i/>
          <w:iCs/>
          <w:highlight w:val="white"/>
        </w:rPr>
      </w:pPr>
      <w:r>
        <w:rPr>
          <w:rFonts w:ascii="Times New Roman" w:eastAsia="Times New Roman" w:hAnsi="Times New Roman" w:cs="Times New Roman"/>
        </w:rPr>
        <w:lastRenderedPageBreak/>
        <w:t xml:space="preserve">The energy crisis has sped up the green transition (Holam, 2025) and the aim of this thesis is to analyze Europe’s renewable energy capacity and to research to which capacity the energy transition will contribute to a more resilient energy system. The main research question is: </w:t>
      </w:r>
      <w:r>
        <w:rPr>
          <w:rFonts w:ascii="Times New Roman" w:eastAsia="Times New Roman" w:hAnsi="Times New Roman" w:cs="Times New Roman"/>
          <w:i/>
          <w:iCs/>
          <w:highlight w:val="white"/>
        </w:rPr>
        <w:t>To what extent and under which conditions does renewable energy expansion enhance the resilience of the EU’s energy system?</w:t>
      </w:r>
    </w:p>
    <w:p w14:paraId="305F6456" w14:textId="77777777" w:rsidR="00B0291E" w:rsidRDefault="00A966B5">
      <w:pPr>
        <w:shd w:val="clear" w:color="auto" w:fill="FFFFFF"/>
        <w:spacing w:after="220" w:line="360" w:lineRule="auto"/>
        <w:rPr>
          <w:rFonts w:ascii="Times New Roman" w:eastAsia="Times New Roman" w:hAnsi="Times New Roman" w:cs="Times New Roman"/>
          <w:i/>
          <w:iCs/>
        </w:rPr>
      </w:pPr>
      <w:r>
        <w:rPr>
          <w:rFonts w:ascii="Times New Roman" w:eastAsia="Times New Roman" w:hAnsi="Times New Roman" w:cs="Times New Roman"/>
          <w:highlight w:val="white"/>
        </w:rPr>
        <w:t>This is supported by the following sub-question:</w:t>
      </w:r>
      <w:r>
        <w:rPr>
          <w:rFonts w:ascii="Times New Roman" w:eastAsia="Times New Roman" w:hAnsi="Times New Roman" w:cs="Times New Roman"/>
          <w:i/>
          <w:iCs/>
        </w:rPr>
        <w:t xml:space="preserve">How do different EU countries' renewable energy technologies translate into measurable improvements in the resilience of the EU’s energy system? </w:t>
      </w:r>
    </w:p>
    <w:p w14:paraId="305F6457"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Both questions will be answered by doing comparative case studies that include the risks and vulnerabilities of renewable energy. This is further explained in Chapter 3: Methodology</w:t>
      </w:r>
    </w:p>
    <w:p w14:paraId="305F6458" w14:textId="77777777" w:rsidR="00B0291E" w:rsidRDefault="00B0291E">
      <w:pPr>
        <w:shd w:val="clear" w:color="auto" w:fill="FFFFFF"/>
        <w:spacing w:after="220" w:line="360" w:lineRule="auto"/>
        <w:rPr>
          <w:rFonts w:ascii="Times New Roman" w:eastAsia="Times New Roman" w:hAnsi="Times New Roman" w:cs="Times New Roman"/>
        </w:rPr>
      </w:pPr>
    </w:p>
    <w:p w14:paraId="305F6459" w14:textId="77777777" w:rsidR="00B0291E" w:rsidRDefault="00B0291E">
      <w:pPr>
        <w:spacing w:line="360" w:lineRule="auto"/>
        <w:rPr>
          <w:rFonts w:ascii="Times New Roman" w:eastAsia="Times New Roman" w:hAnsi="Times New Roman" w:cs="Times New Roman"/>
          <w:i/>
          <w:iCs/>
          <w:highlight w:val="white"/>
        </w:rPr>
      </w:pPr>
    </w:p>
    <w:p w14:paraId="305F645A" w14:textId="77777777" w:rsidR="00B0291E" w:rsidRDefault="00B0291E">
      <w:pPr>
        <w:shd w:val="clear" w:color="auto" w:fill="FFFFFF"/>
        <w:spacing w:after="220" w:line="360" w:lineRule="auto"/>
        <w:rPr>
          <w:rFonts w:ascii="Times New Roman" w:eastAsia="Times New Roman" w:hAnsi="Times New Roman" w:cs="Times New Roman"/>
        </w:rPr>
      </w:pPr>
    </w:p>
    <w:p w14:paraId="305F645B" w14:textId="77777777" w:rsidR="00B0291E" w:rsidRDefault="00B0291E">
      <w:pPr>
        <w:shd w:val="clear" w:color="auto" w:fill="FFFFFF"/>
        <w:spacing w:after="220" w:line="360" w:lineRule="auto"/>
        <w:rPr>
          <w:rFonts w:ascii="Times New Roman" w:eastAsia="Times New Roman" w:hAnsi="Times New Roman" w:cs="Times New Roman"/>
        </w:rPr>
      </w:pPr>
    </w:p>
    <w:p w14:paraId="305F645C" w14:textId="77777777" w:rsidR="00B0291E" w:rsidRDefault="00B0291E">
      <w:pPr>
        <w:shd w:val="clear" w:color="auto" w:fill="FFFFFF"/>
        <w:spacing w:after="220" w:line="360" w:lineRule="auto"/>
        <w:rPr>
          <w:rFonts w:ascii="Times New Roman" w:eastAsia="Times New Roman" w:hAnsi="Times New Roman" w:cs="Times New Roman"/>
        </w:rPr>
      </w:pPr>
    </w:p>
    <w:p w14:paraId="305F645D" w14:textId="77777777" w:rsidR="00B0291E" w:rsidRDefault="00B0291E">
      <w:pPr>
        <w:shd w:val="clear" w:color="auto" w:fill="FFFFFF"/>
        <w:spacing w:after="220" w:line="360" w:lineRule="auto"/>
        <w:rPr>
          <w:rFonts w:ascii="Times New Roman" w:eastAsia="Times New Roman" w:hAnsi="Times New Roman" w:cs="Times New Roman"/>
        </w:rPr>
      </w:pPr>
    </w:p>
    <w:p w14:paraId="305F645E" w14:textId="77777777" w:rsidR="00B0291E" w:rsidRDefault="00B0291E">
      <w:pPr>
        <w:shd w:val="clear" w:color="auto" w:fill="FFFFFF"/>
        <w:spacing w:after="220" w:line="360" w:lineRule="auto"/>
        <w:rPr>
          <w:rFonts w:ascii="Times New Roman" w:eastAsia="Times New Roman" w:hAnsi="Times New Roman" w:cs="Times New Roman"/>
        </w:rPr>
      </w:pPr>
    </w:p>
    <w:p w14:paraId="305F645F" w14:textId="77777777" w:rsidR="00B0291E" w:rsidRDefault="00B0291E">
      <w:pPr>
        <w:shd w:val="clear" w:color="auto" w:fill="FFFFFF"/>
        <w:spacing w:after="220" w:line="360" w:lineRule="auto"/>
        <w:rPr>
          <w:rFonts w:ascii="Times New Roman" w:eastAsia="Times New Roman" w:hAnsi="Times New Roman" w:cs="Times New Roman"/>
        </w:rPr>
      </w:pPr>
    </w:p>
    <w:p w14:paraId="305F6460" w14:textId="77777777" w:rsidR="00B0291E" w:rsidRDefault="00B0291E">
      <w:pPr>
        <w:shd w:val="clear" w:color="auto" w:fill="FFFFFF"/>
        <w:spacing w:after="220" w:line="360" w:lineRule="auto"/>
        <w:rPr>
          <w:rFonts w:ascii="Times New Roman" w:eastAsia="Times New Roman" w:hAnsi="Times New Roman" w:cs="Times New Roman"/>
        </w:rPr>
      </w:pPr>
    </w:p>
    <w:p w14:paraId="305F6461" w14:textId="77777777" w:rsidR="00B0291E" w:rsidRDefault="00B0291E">
      <w:pPr>
        <w:shd w:val="clear" w:color="auto" w:fill="FFFFFF"/>
        <w:spacing w:after="220" w:line="360" w:lineRule="auto"/>
        <w:rPr>
          <w:rFonts w:ascii="Times New Roman" w:eastAsia="Times New Roman" w:hAnsi="Times New Roman" w:cs="Times New Roman"/>
        </w:rPr>
      </w:pPr>
    </w:p>
    <w:p w14:paraId="305F6462" w14:textId="77777777" w:rsidR="00B0291E" w:rsidRDefault="00B0291E">
      <w:pPr>
        <w:shd w:val="clear" w:color="auto" w:fill="FFFFFF"/>
        <w:spacing w:after="220" w:line="360" w:lineRule="auto"/>
        <w:rPr>
          <w:rFonts w:ascii="Times New Roman" w:eastAsia="Times New Roman" w:hAnsi="Times New Roman" w:cs="Times New Roman"/>
        </w:rPr>
      </w:pPr>
    </w:p>
    <w:p w14:paraId="305F6463" w14:textId="77777777" w:rsidR="00B0291E" w:rsidRDefault="00B0291E">
      <w:pPr>
        <w:shd w:val="clear" w:color="auto" w:fill="FFFFFF"/>
        <w:spacing w:after="220" w:line="360" w:lineRule="auto"/>
        <w:rPr>
          <w:rFonts w:ascii="Times New Roman" w:eastAsia="Times New Roman" w:hAnsi="Times New Roman" w:cs="Times New Roman"/>
        </w:rPr>
      </w:pPr>
    </w:p>
    <w:p w14:paraId="305F6464" w14:textId="77777777" w:rsidR="00B0291E" w:rsidRDefault="00B0291E">
      <w:pPr>
        <w:shd w:val="clear" w:color="auto" w:fill="FFFFFF"/>
        <w:spacing w:after="220" w:line="360" w:lineRule="auto"/>
        <w:rPr>
          <w:rFonts w:ascii="Times New Roman" w:eastAsia="Times New Roman" w:hAnsi="Times New Roman" w:cs="Times New Roman"/>
        </w:rPr>
      </w:pPr>
    </w:p>
    <w:p w14:paraId="305F6465" w14:textId="77777777" w:rsidR="00B0291E" w:rsidRDefault="00B0291E">
      <w:pPr>
        <w:shd w:val="clear" w:color="auto" w:fill="FFFFFF"/>
        <w:spacing w:after="220" w:line="360" w:lineRule="auto"/>
        <w:rPr>
          <w:rFonts w:ascii="Times New Roman" w:eastAsia="Times New Roman" w:hAnsi="Times New Roman" w:cs="Times New Roman"/>
        </w:rPr>
      </w:pPr>
    </w:p>
    <w:p w14:paraId="305F6466" w14:textId="77777777" w:rsidR="00B0291E" w:rsidRDefault="00B0291E">
      <w:pPr>
        <w:shd w:val="clear" w:color="auto" w:fill="FFFFFF"/>
        <w:spacing w:after="220" w:line="360" w:lineRule="auto"/>
        <w:rPr>
          <w:rFonts w:ascii="Times New Roman" w:eastAsia="Times New Roman" w:hAnsi="Times New Roman" w:cs="Times New Roman"/>
        </w:rPr>
      </w:pPr>
    </w:p>
    <w:p w14:paraId="305F6467" w14:textId="77777777" w:rsidR="00B0291E" w:rsidRDefault="00B0291E">
      <w:pPr>
        <w:shd w:val="clear" w:color="auto" w:fill="FFFFFF"/>
        <w:spacing w:after="220" w:line="360" w:lineRule="auto"/>
        <w:rPr>
          <w:rFonts w:ascii="Times New Roman" w:eastAsia="Times New Roman" w:hAnsi="Times New Roman" w:cs="Times New Roman"/>
        </w:rPr>
      </w:pPr>
    </w:p>
    <w:p w14:paraId="305F6468" w14:textId="77777777" w:rsidR="00B0291E" w:rsidRDefault="00B0291E">
      <w:pPr>
        <w:shd w:val="clear" w:color="auto" w:fill="FFFFFF"/>
        <w:spacing w:after="220" w:line="360" w:lineRule="auto"/>
        <w:rPr>
          <w:rFonts w:ascii="Times New Roman" w:eastAsia="Times New Roman" w:hAnsi="Times New Roman" w:cs="Times New Roman"/>
        </w:rPr>
      </w:pPr>
    </w:p>
    <w:p w14:paraId="305F6469" w14:textId="77777777" w:rsidR="00B0291E" w:rsidRDefault="00A966B5">
      <w:pPr>
        <w:numPr>
          <w:ilvl w:val="0"/>
          <w:numId w:val="1"/>
        </w:numPr>
        <w:shd w:val="clear" w:color="auto" w:fill="FFFFFF"/>
        <w:spacing w:after="220" w:line="360" w:lineRule="auto"/>
        <w:rPr>
          <w:rFonts w:ascii="Times New Roman" w:eastAsia="Times New Roman" w:hAnsi="Times New Roman" w:cs="Times New Roman"/>
          <w:b/>
          <w:bCs/>
        </w:rPr>
      </w:pPr>
      <w:commentRangeStart w:id="2"/>
      <w:r>
        <w:rPr>
          <w:rFonts w:ascii="Times New Roman" w:eastAsia="Times New Roman" w:hAnsi="Times New Roman" w:cs="Times New Roman"/>
          <w:b/>
          <w:bCs/>
        </w:rPr>
        <w:lastRenderedPageBreak/>
        <w:t>Literature Review</w:t>
      </w:r>
      <w:commentRangeEnd w:id="2"/>
      <w:r w:rsidR="006414EF">
        <w:rPr>
          <w:rStyle w:val="Refdecomentrio"/>
          <w:rFonts w:ascii="Times New Roman" w:eastAsia="Times New Roman" w:hAnsi="Times New Roman" w:cs="Times New Roman"/>
          <w:b/>
          <w:bCs/>
          <w:sz w:val="22"/>
          <w:szCs w:val="22"/>
        </w:rPr>
        <w:commentReference w:id="2"/>
      </w:r>
    </w:p>
    <w:p w14:paraId="305F646A" w14:textId="77777777" w:rsidR="00B0291E" w:rsidRDefault="00A966B5">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The EU’s approach to renewable energy has been approached through the lens of strategic autonomy. EU strategic autonomy is a political concept and refers to the EU’s capacity to act autonomously or for independent action, in which one of the core pillars is the energy transition. In this thesis strategic autonomy will be used in relation to the energy transition and the EU’s capacity to reduce dependency on other countries. </w:t>
      </w:r>
      <w:commentRangeStart w:id="3"/>
      <w:r>
        <w:rPr>
          <w:rFonts w:ascii="Times New Roman" w:eastAsia="Times New Roman" w:hAnsi="Times New Roman" w:cs="Times New Roman"/>
        </w:rPr>
        <w:t>The concept remains blurred and is often used interchangeably with ‘open strategic autonomy’, ‘strategic sovereignty’, and ‘resilience’ (EU Strategic Autonomy Monitor, 2022).</w:t>
      </w:r>
      <w:commentRangeEnd w:id="3"/>
      <w:r w:rsidR="006763E4">
        <w:rPr>
          <w:rStyle w:val="Refdecomentrio"/>
          <w:rFonts w:ascii="Times New Roman" w:eastAsia="Times New Roman" w:hAnsi="Times New Roman" w:cs="Times New Roman"/>
          <w:sz w:val="22"/>
          <w:szCs w:val="22"/>
        </w:rPr>
        <w:commentReference w:id="3"/>
      </w:r>
    </w:p>
    <w:p w14:paraId="305F646B"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Energy dependency undermines both energy security and strategic autonomy. The International Energy Agency in their World Energy Outlook (2022) defines energy security as the uninterrupted availability of energy at an affordable price. Energy dependency undermines both energy security and strategic autonomy, this is most visible in the fact that Russia was able to weaponize gas exports in 2022. The crisis following Russia’s invasion of Ukraine forced the EU to increase the resilience of its energy system thr</w:t>
      </w:r>
      <w:r>
        <w:rPr>
          <w:rFonts w:ascii="Times New Roman" w:eastAsia="Times New Roman" w:hAnsi="Times New Roman" w:cs="Times New Roman"/>
        </w:rPr>
        <w:t xml:space="preserve">ough diversification, with a greater focus on renewables (Danish Institute for International Studies, 2024 &amp; Trushkina, 2025). </w:t>
      </w:r>
    </w:p>
    <w:p w14:paraId="305F646C"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One of the most prominent policy responses to the energy transition has been the EU’s accelerated transition toward renewable and low-carbon energy sources. Initiatives such as REPowerEU frame green energy not only as a climate imperative, but also as a means to reduce strategic dependencies, diversify supply, and strengthen energy resilience. It increases the security of the energy supply and creates green jobs. Renewable energy sources play a crucial role in securing a stable energy future by decreasing d</w:t>
      </w:r>
      <w:r>
        <w:rPr>
          <w:rFonts w:ascii="Times New Roman" w:eastAsia="Times New Roman" w:hAnsi="Times New Roman" w:cs="Times New Roman"/>
        </w:rPr>
        <w:t>ependence on limited natural resources (Fuh, 2014 &amp; REPowerEU, 2022). The Repower EU plan focuses on ending Europe’s energy dependency on Russia. Initiatives like The European Green Deal also support the fast forwarding of the clean transition, causing an increase in demand for renewable energy and a decrease in demand for coal and gas (</w:t>
      </w:r>
      <w:r>
        <w:rPr>
          <w:rFonts w:ascii="Times New Roman" w:eastAsia="Times New Roman" w:hAnsi="Times New Roman" w:cs="Times New Roman"/>
          <w:i/>
          <w:iCs/>
        </w:rPr>
        <w:t>The European Green Deal</w:t>
      </w:r>
      <w:r>
        <w:rPr>
          <w:rFonts w:ascii="Times New Roman" w:eastAsia="Times New Roman" w:hAnsi="Times New Roman" w:cs="Times New Roman"/>
        </w:rPr>
        <w:t>, n.d.). In 2024 Europe wind and solar produced electricity exceeded that from gas for the first time ever. This cemented renewables as the backbone o</w:t>
      </w:r>
      <w:r>
        <w:rPr>
          <w:rFonts w:ascii="Times New Roman" w:eastAsia="Times New Roman" w:hAnsi="Times New Roman" w:cs="Times New Roman"/>
        </w:rPr>
        <w:t xml:space="preserve">f the EU energy grid. This was supported by a rapid increase in renewable energy installations (REPower EU, 2022 &amp; Eurostat, 2025). At first glance, domestically produced renewable energy appears to offer a stabilizing solution to Europe’s vulnerability to external dependencies (REPower EU, 2022 &amp; European Commission, 2025). </w:t>
      </w:r>
    </w:p>
    <w:p w14:paraId="305F646D"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 xml:space="preserve">Renewable energy has a unique position here, because it addresses both concepts, energy security and strategic autonomy, in a mutually beneficial way.  Renewable energy is seen as a geopolitical asset, domestically generated renewable energy cannot be weaponised by external threats. It reduces dependencies and diversifies supplies, which in turn contribute to resilience and ultimately energy security (Tserkasina, 2026 &amp; Energy as a geopolitical weapon, 2025). </w:t>
      </w:r>
    </w:p>
    <w:p w14:paraId="305F646E" w14:textId="77777777" w:rsidR="00B0291E" w:rsidRDefault="00B0291E">
      <w:pPr>
        <w:spacing w:before="240" w:after="240" w:line="360" w:lineRule="auto"/>
        <w:rPr>
          <w:rFonts w:ascii="Times New Roman" w:eastAsia="Times New Roman" w:hAnsi="Times New Roman" w:cs="Times New Roman"/>
        </w:rPr>
      </w:pPr>
    </w:p>
    <w:p w14:paraId="305F646F" w14:textId="77777777" w:rsidR="00B0291E" w:rsidRDefault="00A966B5">
      <w:pPr>
        <w:spacing w:before="240" w:after="240" w:line="360" w:lineRule="auto"/>
        <w:rPr>
          <w:rFonts w:ascii="Times New Roman" w:eastAsia="Times New Roman" w:hAnsi="Times New Roman" w:cs="Times New Roman"/>
          <w:b/>
          <w:bCs/>
        </w:rPr>
      </w:pPr>
      <w:r>
        <w:rPr>
          <w:rFonts w:ascii="Times New Roman" w:eastAsia="Times New Roman" w:hAnsi="Times New Roman" w:cs="Times New Roman"/>
          <w:b/>
          <w:bCs/>
        </w:rPr>
        <w:lastRenderedPageBreak/>
        <w:t>2.1 Resilience in energy systems</w:t>
      </w:r>
    </w:p>
    <w:p w14:paraId="305F6470"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Before applying the concept of resilience to the EU’s energy system, it is important to understand the conceptual meaning this thesis will use. Resilience is defined differently across various scientific disciplines, it is on the one hand a systems ability to withstand shocks by international threats (Martišauskas et al., 2022) and the ability of an energy system to deal with the disruptions caused by these international threats (Gasser et al., 2019). Martišauskas et al. (2022) uses capacity indicators or p</w:t>
      </w:r>
      <w:r>
        <w:rPr>
          <w:rFonts w:ascii="Times New Roman" w:eastAsia="Times New Roman" w:hAnsi="Times New Roman" w:cs="Times New Roman"/>
        </w:rPr>
        <w:t>erformance in the presence of disruption as resilience indicators and Gasser et al. (2019) further specifies this by including in their definition that resilience should not only focus on risk assessment but on a system’s capability to bounce back after such events and to think of future strategies (Martišauskas et al., 2022 &amp; Gasser et al., 2019). This is a necessary distinction, because energy systems are constantly subject to major disruptions which ripple across global markets (Energy Security, n.d.). T</w:t>
      </w:r>
      <w:r>
        <w:rPr>
          <w:rFonts w:ascii="Times New Roman" w:eastAsia="Times New Roman" w:hAnsi="Times New Roman" w:cs="Times New Roman"/>
        </w:rPr>
        <w:t xml:space="preserve">his is further operationalized by NREL (Leddy et al., 2024) which defines energy system resilience as the ability to anticipate, prepare for and adapt to changing conditions and withstand, respond to and recover rapidly from disruptions. </w:t>
      </w:r>
    </w:p>
    <w:p w14:paraId="305F6471" w14:textId="77777777" w:rsidR="00B0291E" w:rsidRDefault="00B0291E">
      <w:pPr>
        <w:spacing w:line="360" w:lineRule="auto"/>
        <w:rPr>
          <w:rFonts w:ascii="Times New Roman" w:eastAsia="Times New Roman" w:hAnsi="Times New Roman" w:cs="Times New Roman"/>
        </w:rPr>
      </w:pPr>
    </w:p>
    <w:p w14:paraId="305F6472" w14:textId="77777777" w:rsidR="00B0291E" w:rsidRDefault="00A966B5">
      <w:pPr>
        <w:shd w:val="clear" w:color="auto" w:fill="FFFFFF"/>
        <w:spacing w:after="220" w:line="360" w:lineRule="auto"/>
        <w:rPr>
          <w:rFonts w:ascii="Times New Roman" w:eastAsia="Times New Roman" w:hAnsi="Times New Roman" w:cs="Times New Roman"/>
        </w:rPr>
      </w:pPr>
      <w:commentRangeStart w:id="4"/>
      <w:r>
        <w:rPr>
          <w:rFonts w:ascii="Times New Roman" w:eastAsia="Times New Roman" w:hAnsi="Times New Roman" w:cs="Times New Roman"/>
        </w:rPr>
        <w:t>Energy security focuses on availability, affordability</w:t>
      </w:r>
      <w:commentRangeEnd w:id="4"/>
      <w:r w:rsidR="00DE10E1">
        <w:rPr>
          <w:rStyle w:val="Refdecomentrio"/>
          <w:rFonts w:ascii="Times New Roman" w:eastAsia="Times New Roman" w:hAnsi="Times New Roman" w:cs="Times New Roman"/>
          <w:sz w:val="22"/>
          <w:szCs w:val="22"/>
        </w:rPr>
        <w:commentReference w:id="4"/>
      </w:r>
      <w:r>
        <w:rPr>
          <w:rFonts w:ascii="Times New Roman" w:eastAsia="Times New Roman" w:hAnsi="Times New Roman" w:cs="Times New Roman"/>
        </w:rPr>
        <w:t>, accessibility, sustainability and acceptability, while resilience has its focus on a systems ability to handle shocks and recover from them. They are overlapping concepts, but both aim to create or contribute to a stable power system and are complementary to each other (Leddy at al., 2024 &amp; Holman, 2025). Energy security is the goal and resilience is what protects the system against disruptions. A system needs both to withstand shocks and to be able to prevent a crisis. A system may seem energy secure bec</w:t>
      </w:r>
      <w:r>
        <w:rPr>
          <w:rFonts w:ascii="Times New Roman" w:eastAsia="Times New Roman" w:hAnsi="Times New Roman" w:cs="Times New Roman"/>
        </w:rPr>
        <w:t>ause of its adequate supply, infrastructure and stable pricing, but can be fragile when faced with disruptions if it lacks diversity and the capacity to adapt that resilience requires. Energy security and the security of the supply have mainly been analyzed and evaluated based on the availability and prices of fossil fuels, but in energy systems that at decarbonising this method needs to be revised. Building resilience through energy diversification, with a focus on renewable energy is not separate from ene</w:t>
      </w:r>
      <w:r>
        <w:rPr>
          <w:rFonts w:ascii="Times New Roman" w:eastAsia="Times New Roman" w:hAnsi="Times New Roman" w:cs="Times New Roman"/>
        </w:rPr>
        <w:t xml:space="preserve">rgy security but should be seen as a new foundation, resilience should be understood as the operational mechanism through which energy security is achieved (Aylett et al., 2025 &amp; Leddy et al., 2024). </w:t>
      </w:r>
    </w:p>
    <w:p w14:paraId="305F6473"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 xml:space="preserve">Increased renewable capacity does not automatically mean an increased system resilience. To ensure stability and reliability just increasing the number of solar panels and wind turbines is not enough. These new technologies need to be supported by grids that can accommodate all the variables, resilience must be applied throughout the entire system (Medlock et al., 2022). </w:t>
      </w:r>
    </w:p>
    <w:p w14:paraId="305F6474"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 xml:space="preserve">The three concepts of this thesis are connected in the following way. Energy security is the goal: the uninterrupted, affordable, and sustainable supply of energy. Energy system resilience is the operational capacity that supports this goal under disruptions, including (geo)political coercion and </w:t>
      </w:r>
      <w:r>
        <w:rPr>
          <w:rFonts w:ascii="Times New Roman" w:eastAsia="Times New Roman" w:hAnsi="Times New Roman" w:cs="Times New Roman"/>
        </w:rPr>
        <w:lastRenderedPageBreak/>
        <w:t>climate variability, Strategic autonomy is the political concept that makes this possible: the capacity of the EU to act out their desired energy policy without the threat of supply disruption. Strategic autonomy is the means through which the EU can also have more energy security, it requires an energy system that can withstand a crisis and is independent (Westphal &amp; Politik, 2021</w:t>
      </w:r>
      <w:commentRangeStart w:id="5"/>
      <w:r>
        <w:rPr>
          <w:rFonts w:ascii="Times New Roman" w:eastAsia="Times New Roman" w:hAnsi="Times New Roman" w:cs="Times New Roman"/>
        </w:rPr>
        <w:t xml:space="preserve">). </w:t>
      </w:r>
      <w:commentRangeEnd w:id="5"/>
      <w:r w:rsidR="00E453FB">
        <w:rPr>
          <w:rStyle w:val="Refdecomentrio"/>
          <w:rFonts w:ascii="Times New Roman" w:eastAsia="Times New Roman" w:hAnsi="Times New Roman" w:cs="Times New Roman"/>
          <w:sz w:val="22"/>
          <w:szCs w:val="22"/>
        </w:rPr>
        <w:commentReference w:id="5"/>
      </w:r>
    </w:p>
    <w:p w14:paraId="305F6475"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 xml:space="preserve">Renewable energy has a unique position because the source of the energy, solar, wind, water, is domestically generated and therefore immune to external coercion and reduces dependencies on Russian fossil fuels which is the aim of the REPowerEU plan (2022). The EU needs to find the balance between remaining open whilst also reducing strategic dependencies. Increasing resilience through renewable energy must include supply chain diversification, critical minerals policy and solidarity across EU member states </w:t>
      </w:r>
      <w:r>
        <w:rPr>
          <w:rFonts w:ascii="Times New Roman" w:eastAsia="Times New Roman" w:hAnsi="Times New Roman" w:cs="Times New Roman"/>
        </w:rPr>
        <w:t xml:space="preserve">if it wants to succeed (Abels &amp; Bieling, 2024). </w:t>
      </w:r>
    </w:p>
    <w:p w14:paraId="305F6476" w14:textId="77777777" w:rsidR="00B0291E" w:rsidRDefault="00B0291E">
      <w:pPr>
        <w:shd w:val="clear" w:color="auto" w:fill="FFFFFF"/>
        <w:spacing w:after="220" w:line="360" w:lineRule="auto"/>
        <w:rPr>
          <w:rFonts w:ascii="Times New Roman" w:eastAsia="Times New Roman" w:hAnsi="Times New Roman" w:cs="Times New Roman"/>
        </w:rPr>
      </w:pPr>
    </w:p>
    <w:p w14:paraId="305F6477" w14:textId="77777777" w:rsidR="00B0291E" w:rsidRDefault="00B0291E">
      <w:pPr>
        <w:shd w:val="clear" w:color="auto" w:fill="FFFFFF"/>
        <w:spacing w:after="220" w:line="360" w:lineRule="auto"/>
        <w:rPr>
          <w:rFonts w:ascii="Times New Roman" w:eastAsia="Times New Roman" w:hAnsi="Times New Roman" w:cs="Times New Roman"/>
        </w:rPr>
      </w:pPr>
    </w:p>
    <w:p w14:paraId="305F6478" w14:textId="77777777" w:rsidR="00B0291E" w:rsidRDefault="00B0291E">
      <w:pPr>
        <w:shd w:val="clear" w:color="auto" w:fill="FFFFFF"/>
        <w:spacing w:after="220" w:line="360" w:lineRule="auto"/>
        <w:rPr>
          <w:rFonts w:ascii="Times New Roman" w:eastAsia="Times New Roman" w:hAnsi="Times New Roman" w:cs="Times New Roman"/>
        </w:rPr>
      </w:pPr>
    </w:p>
    <w:p w14:paraId="305F6479" w14:textId="77777777" w:rsidR="00B0291E" w:rsidRDefault="00B0291E">
      <w:pPr>
        <w:shd w:val="clear" w:color="auto" w:fill="FFFFFF"/>
        <w:spacing w:after="220" w:line="360" w:lineRule="auto"/>
        <w:rPr>
          <w:rFonts w:ascii="Times New Roman" w:eastAsia="Times New Roman" w:hAnsi="Times New Roman" w:cs="Times New Roman"/>
        </w:rPr>
      </w:pPr>
    </w:p>
    <w:p w14:paraId="305F647A" w14:textId="77777777" w:rsidR="00B0291E" w:rsidRDefault="00B0291E">
      <w:pPr>
        <w:spacing w:line="360" w:lineRule="auto"/>
        <w:rPr>
          <w:rFonts w:ascii="Roboto" w:eastAsia="Roboto" w:hAnsi="Roboto" w:cs="Roboto"/>
          <w:highlight w:val="white"/>
        </w:rPr>
      </w:pPr>
    </w:p>
    <w:p w14:paraId="305F647B" w14:textId="77777777" w:rsidR="00B0291E" w:rsidRDefault="00B0291E">
      <w:pPr>
        <w:shd w:val="clear" w:color="auto" w:fill="FFFFFF"/>
        <w:spacing w:after="220" w:line="360" w:lineRule="auto"/>
        <w:rPr>
          <w:rFonts w:ascii="Times New Roman" w:eastAsia="Times New Roman" w:hAnsi="Times New Roman" w:cs="Times New Roman"/>
        </w:rPr>
      </w:pPr>
    </w:p>
    <w:p w14:paraId="305F647C" w14:textId="77777777" w:rsidR="00B0291E" w:rsidRDefault="00B0291E">
      <w:pPr>
        <w:shd w:val="clear" w:color="auto" w:fill="FFFFFF"/>
        <w:spacing w:after="220" w:line="360" w:lineRule="auto"/>
        <w:rPr>
          <w:rFonts w:ascii="Roboto" w:eastAsia="Roboto" w:hAnsi="Roboto" w:cs="Roboto"/>
          <w:highlight w:val="white"/>
        </w:rPr>
      </w:pPr>
    </w:p>
    <w:p w14:paraId="305F647D"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7E"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7F"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80"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81"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82"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83"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84"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85"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86"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87" w14:textId="77777777" w:rsidR="00B0291E" w:rsidRDefault="00A966B5">
      <w:pPr>
        <w:numPr>
          <w:ilvl w:val="0"/>
          <w:numId w:val="1"/>
        </w:numPr>
        <w:shd w:val="clear" w:color="auto" w:fill="FFFFFF"/>
        <w:spacing w:after="220" w:line="36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Methodology </w:t>
      </w:r>
    </w:p>
    <w:p w14:paraId="305F6488"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 xml:space="preserve">This thesis consists of a </w:t>
      </w:r>
      <w:commentRangeStart w:id="6"/>
      <w:r>
        <w:rPr>
          <w:rFonts w:ascii="Times New Roman" w:eastAsia="Times New Roman" w:hAnsi="Times New Roman" w:cs="Times New Roman"/>
          <w:highlight w:val="white"/>
        </w:rPr>
        <w:t xml:space="preserve">comparative </w:t>
      </w:r>
      <w:commentRangeEnd w:id="6"/>
      <w:r w:rsidR="004E7540">
        <w:rPr>
          <w:rStyle w:val="Refdecomentrio"/>
          <w:rFonts w:ascii="Times New Roman" w:eastAsia="Times New Roman" w:hAnsi="Times New Roman" w:cs="Times New Roman"/>
          <w:sz w:val="22"/>
          <w:szCs w:val="22"/>
          <w:highlight w:val="white"/>
        </w:rPr>
        <w:commentReference w:id="6"/>
      </w:r>
      <w:r>
        <w:rPr>
          <w:rFonts w:ascii="Times New Roman" w:eastAsia="Times New Roman" w:hAnsi="Times New Roman" w:cs="Times New Roman"/>
          <w:highlight w:val="white"/>
        </w:rPr>
        <w:t xml:space="preserve">case study to research the relation between the EU’s renewable energy capacity and the resilience of its energy system. The central research question: </w:t>
      </w:r>
      <w:r>
        <w:rPr>
          <w:rFonts w:ascii="Times New Roman" w:eastAsia="Times New Roman" w:hAnsi="Times New Roman" w:cs="Times New Roman"/>
          <w:i/>
          <w:iCs/>
          <w:highlight w:val="white"/>
        </w:rPr>
        <w:t>To what extent and under which conditions does renewable energy expansion enhance the resilience of the EU’s energy system?</w:t>
      </w:r>
      <w:r>
        <w:rPr>
          <w:rFonts w:ascii="Times New Roman" w:eastAsia="Times New Roman" w:hAnsi="Times New Roman" w:cs="Times New Roman"/>
          <w:highlight w:val="white"/>
        </w:rPr>
        <w:t xml:space="preserve"> and the sub question: </w:t>
      </w:r>
      <w:r>
        <w:rPr>
          <w:rFonts w:ascii="Times New Roman" w:eastAsia="Times New Roman" w:hAnsi="Times New Roman" w:cs="Times New Roman"/>
          <w:i/>
          <w:iCs/>
        </w:rPr>
        <w:t xml:space="preserve">How do different EU countries' renewable energy technologies translate into measurable improvements in the resilience of the EU’s energy system?. </w:t>
      </w:r>
      <w:r>
        <w:rPr>
          <w:rFonts w:ascii="Times New Roman" w:eastAsia="Times New Roman" w:hAnsi="Times New Roman" w:cs="Times New Roman"/>
        </w:rPr>
        <w:t>Will be answered through the following case studies and operationaliz</w:t>
      </w:r>
      <w:r>
        <w:rPr>
          <w:rFonts w:ascii="Times New Roman" w:eastAsia="Times New Roman" w:hAnsi="Times New Roman" w:cs="Times New Roman"/>
        </w:rPr>
        <w:t xml:space="preserve">ation of resilience. </w:t>
      </w:r>
    </w:p>
    <w:p w14:paraId="305F6489" w14:textId="77777777" w:rsidR="00B0291E" w:rsidRDefault="00B0291E">
      <w:pPr>
        <w:spacing w:line="360" w:lineRule="auto"/>
        <w:rPr>
          <w:rFonts w:ascii="Times New Roman" w:eastAsia="Times New Roman" w:hAnsi="Times New Roman" w:cs="Times New Roman"/>
          <w:b/>
          <w:bCs/>
        </w:rPr>
      </w:pPr>
    </w:p>
    <w:p w14:paraId="305F648A" w14:textId="77777777" w:rsidR="00B0291E" w:rsidRDefault="00A966B5">
      <w:pPr>
        <w:spacing w:line="360" w:lineRule="auto"/>
        <w:rPr>
          <w:rFonts w:ascii="Times New Roman" w:eastAsia="Times New Roman" w:hAnsi="Times New Roman" w:cs="Times New Roman"/>
          <w:b/>
          <w:bCs/>
          <w:i/>
          <w:iCs/>
        </w:rPr>
      </w:pPr>
      <w:r>
        <w:rPr>
          <w:rFonts w:ascii="Times New Roman" w:eastAsia="Times New Roman" w:hAnsi="Times New Roman" w:cs="Times New Roman"/>
          <w:b/>
          <w:bCs/>
          <w:i/>
          <w:iCs/>
        </w:rPr>
        <w:t xml:space="preserve">Case Study 1: Denmark &amp; Northern Europe (Offshore wind capacity) </w:t>
      </w:r>
    </w:p>
    <w:p w14:paraId="305F648B"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 xml:space="preserve">Denmark is the first country to have built offshore wind farms and is currently on track in creating multiple energy islands. It meets over 55% of its electricity demands through wind power (Pioneers in clean energy, n.d.). This case study shows how renewable investments reduce import dependencies and create grid flexibility. </w:t>
      </w:r>
    </w:p>
    <w:p w14:paraId="305F648C" w14:textId="77777777" w:rsidR="00B0291E" w:rsidRDefault="00B0291E">
      <w:pPr>
        <w:spacing w:line="360" w:lineRule="auto"/>
        <w:rPr>
          <w:rFonts w:ascii="Times New Roman" w:eastAsia="Times New Roman" w:hAnsi="Times New Roman" w:cs="Times New Roman"/>
        </w:rPr>
      </w:pPr>
    </w:p>
    <w:p w14:paraId="305F648D" w14:textId="77777777" w:rsidR="00B0291E" w:rsidRDefault="00A966B5">
      <w:pPr>
        <w:spacing w:line="360" w:lineRule="auto"/>
        <w:rPr>
          <w:rFonts w:ascii="Times New Roman" w:eastAsia="Times New Roman" w:hAnsi="Times New Roman" w:cs="Times New Roman"/>
          <w:b/>
          <w:bCs/>
          <w:i/>
          <w:iCs/>
        </w:rPr>
      </w:pPr>
      <w:r>
        <w:rPr>
          <w:rFonts w:ascii="Times New Roman" w:eastAsia="Times New Roman" w:hAnsi="Times New Roman" w:cs="Times New Roman"/>
          <w:b/>
          <w:bCs/>
          <w:i/>
          <w:iCs/>
        </w:rPr>
        <w:t xml:space="preserve">Case Study 2: Spain (Solar energy and grid integration) </w:t>
      </w:r>
    </w:p>
    <w:p w14:paraId="305F648E" w14:textId="77777777" w:rsidR="00B0291E" w:rsidRDefault="00A966B5">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Spain has the highest solar potential in Europe, it gets 14% of its electricity from solar and solar capacity grew around 60% between 2021 and 2023. Spain is isolated from the rest of the EU grid, making it a good case to analyze potentials of renewable energy penetration and the risks when grid integration lags behind (Holman, 2025). </w:t>
      </w:r>
    </w:p>
    <w:p w14:paraId="305F648F" w14:textId="77777777" w:rsidR="00B0291E" w:rsidRDefault="00B0291E">
      <w:pPr>
        <w:spacing w:line="360" w:lineRule="auto"/>
        <w:rPr>
          <w:rFonts w:ascii="Times New Roman" w:eastAsia="Times New Roman" w:hAnsi="Times New Roman" w:cs="Times New Roman"/>
          <w:highlight w:val="white"/>
        </w:rPr>
      </w:pPr>
    </w:p>
    <w:p w14:paraId="305F6490"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 xml:space="preserve">These two countries were chosen because Spain and Denmark reflect two different, yet successful models of clean energy transition. Analyzing these two countries reveals how the EU can build a resilient continent-wide energy network and how it can serve as a blueprint for achieving zero-emission goals (Molina, 2026). </w:t>
      </w:r>
    </w:p>
    <w:p w14:paraId="305F6491"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Based on the EU literature and the conceptual frameworks by NREL (Leddy et al., 2024) and Gasser et al (2019) the way renewables contribute to resilience will be measured through diversity, adaptability and recovery. Together these dimensions explain how renewable energy systems reduce vulnerability to disruption whilst simultaneously increasing capacity to respond to crises.</w:t>
      </w:r>
    </w:p>
    <w:p w14:paraId="305F6492" w14:textId="77777777" w:rsidR="00B0291E" w:rsidRDefault="00A966B5">
      <w:pPr>
        <w:shd w:val="clear" w:color="auto" w:fill="FFFFFF"/>
        <w:spacing w:after="220" w:line="360" w:lineRule="auto"/>
        <w:rPr>
          <w:rFonts w:ascii="Times New Roman" w:eastAsia="Times New Roman" w:hAnsi="Times New Roman" w:cs="Times New Roman"/>
        </w:rPr>
      </w:pPr>
      <w:commentRangeStart w:id="7"/>
      <w:r>
        <w:rPr>
          <w:rFonts w:ascii="Times New Roman" w:eastAsia="Times New Roman" w:hAnsi="Times New Roman" w:cs="Times New Roman"/>
          <w:b/>
          <w:bCs/>
        </w:rPr>
        <w:t xml:space="preserve">Diversity: </w:t>
      </w:r>
      <w:r>
        <w:rPr>
          <w:rFonts w:ascii="Times New Roman" w:eastAsia="Times New Roman" w:hAnsi="Times New Roman" w:cs="Times New Roman"/>
        </w:rPr>
        <w:t xml:space="preserve">Renewable energy increases resilience by diversifying not only the energy source but also the systems architecture. Domestically generated energy is less vulnerable to coercion and external threats and renewable systems decentralize electricity generation which reduces dependency on limited critical assets. A system based on networks of distributed generation is more resilient than one based on one source (Aylett et al., 2025). </w:t>
      </w:r>
    </w:p>
    <w:p w14:paraId="305F6493" w14:textId="77777777" w:rsidR="00B0291E" w:rsidRDefault="00B0291E">
      <w:pPr>
        <w:shd w:val="clear" w:color="auto" w:fill="FFFFFF"/>
        <w:spacing w:after="220" w:line="360" w:lineRule="auto"/>
        <w:rPr>
          <w:rFonts w:ascii="Times New Roman" w:eastAsia="Times New Roman" w:hAnsi="Times New Roman" w:cs="Times New Roman"/>
        </w:rPr>
      </w:pPr>
    </w:p>
    <w:p w14:paraId="305F6494" w14:textId="77777777" w:rsidR="00B0291E" w:rsidRDefault="00A966B5">
      <w:pPr>
        <w:shd w:val="clear" w:color="auto" w:fill="FFFFFF"/>
        <w:spacing w:after="220" w:line="360" w:lineRule="auto"/>
        <w:rPr>
          <w:rFonts w:ascii="Times New Roman" w:eastAsia="Times New Roman" w:hAnsi="Times New Roman" w:cs="Times New Roman"/>
          <w:sz w:val="20"/>
          <w:szCs w:val="20"/>
        </w:rPr>
      </w:pPr>
      <w:r>
        <w:rPr>
          <w:rFonts w:ascii="Times New Roman" w:eastAsia="Times New Roman" w:hAnsi="Times New Roman" w:cs="Times New Roman"/>
          <w:b/>
          <w:bCs/>
        </w:rPr>
        <w:lastRenderedPageBreak/>
        <w:t xml:space="preserve">Adaptability: </w:t>
      </w:r>
      <w:r>
        <w:rPr>
          <w:rFonts w:ascii="Times New Roman" w:eastAsia="Times New Roman" w:hAnsi="Times New Roman" w:cs="Times New Roman"/>
        </w:rPr>
        <w:t xml:space="preserve">Renewable technologies, which already accounts for nearly half of the EU’s electricity generation, increase resilience through their scalability and rapid deployment potential. This flexibility enables a system to efficiently respond to supply shortages, disruptions or geopolitical tensions. Combined with a decentralized system this also increases operational flexibility, allowing parts of the system to operate independently during a crisis (Eurelectric, 2025 &amp; Igliński et al., 2024). </w:t>
      </w:r>
    </w:p>
    <w:p w14:paraId="305F6495"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96" w14:textId="77777777" w:rsidR="00B0291E" w:rsidRDefault="00A966B5">
      <w:pPr>
        <w:shd w:val="clear" w:color="auto" w:fill="FFFFFF"/>
        <w:spacing w:after="220" w:line="360" w:lineRule="auto"/>
        <w:rPr>
          <w:rFonts w:ascii="Times New Roman" w:eastAsia="Times New Roman" w:hAnsi="Times New Roman" w:cs="Times New Roman"/>
          <w:highlight w:val="white"/>
        </w:rPr>
      </w:pPr>
      <w:r>
        <w:rPr>
          <w:rFonts w:ascii="Times New Roman" w:eastAsia="Times New Roman" w:hAnsi="Times New Roman" w:cs="Times New Roman"/>
          <w:b/>
          <w:bCs/>
        </w:rPr>
        <w:t xml:space="preserve">Recovery: </w:t>
      </w:r>
      <w:r>
        <w:rPr>
          <w:rFonts w:ascii="Times New Roman" w:eastAsia="Times New Roman" w:hAnsi="Times New Roman" w:cs="Times New Roman"/>
        </w:rPr>
        <w:t>The distributed nature of renewable technologies improves the capacity of an energy system to recover from acute disruptions. If disruptions occur in centralized system failures can cascade through the system due to the concentrated networks. Disruptions affecting distributed solar or wind installation can often be compensated for through rerouting, storage or local generation. This structure increases a systems ability to recover functionality after disruptions. However, recovery capacity is not limitless,</w:t>
      </w:r>
      <w:r>
        <w:rPr>
          <w:rFonts w:ascii="Times New Roman" w:eastAsia="Times New Roman" w:hAnsi="Times New Roman" w:cs="Times New Roman"/>
        </w:rPr>
        <w:t xml:space="preserve"> renewable systems are also vulnerable to climate related events like fluctuations in wind and solar availability. Recovery capacity depends on investments in storage, interconnection and grid flexibility for success (CERRE, 2023, Westphal &amp; Politik, 2021 &amp; </w:t>
      </w:r>
      <w:r>
        <w:rPr>
          <w:rFonts w:ascii="Times New Roman" w:eastAsia="Times New Roman" w:hAnsi="Times New Roman" w:cs="Times New Roman"/>
          <w:highlight w:val="white"/>
        </w:rPr>
        <w:t xml:space="preserve">Ledy et al., 2024). </w:t>
      </w:r>
      <w:commentRangeEnd w:id="7"/>
      <w:r w:rsidR="006B0EBF">
        <w:rPr>
          <w:rStyle w:val="Refdecomentrio"/>
          <w:rFonts w:ascii="Times New Roman" w:eastAsia="Times New Roman" w:hAnsi="Times New Roman" w:cs="Times New Roman"/>
          <w:sz w:val="22"/>
          <w:szCs w:val="22"/>
          <w:highlight w:val="white"/>
        </w:rPr>
        <w:commentReference w:id="7"/>
      </w:r>
    </w:p>
    <w:p w14:paraId="305F6497" w14:textId="77777777" w:rsidR="00B0291E" w:rsidRDefault="00B0291E">
      <w:pPr>
        <w:spacing w:line="360" w:lineRule="auto"/>
        <w:rPr>
          <w:rFonts w:ascii="Times New Roman" w:eastAsia="Times New Roman" w:hAnsi="Times New Roman" w:cs="Times New Roman"/>
          <w:highlight w:val="white"/>
        </w:rPr>
      </w:pPr>
    </w:p>
    <w:p w14:paraId="305F6498" w14:textId="77777777" w:rsidR="00B0291E" w:rsidRDefault="00A966B5">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Together these dimensions will be used and measured in the empirical analysis in Chapter 4. </w:t>
      </w:r>
    </w:p>
    <w:p w14:paraId="305F6499" w14:textId="77777777" w:rsidR="00B0291E" w:rsidRDefault="00B0291E">
      <w:pPr>
        <w:shd w:val="clear" w:color="auto" w:fill="FFFFFF"/>
        <w:spacing w:after="220" w:line="360" w:lineRule="auto"/>
        <w:rPr>
          <w:rFonts w:ascii="Times New Roman" w:eastAsia="Times New Roman" w:hAnsi="Times New Roman" w:cs="Times New Roman"/>
        </w:rPr>
      </w:pPr>
    </w:p>
    <w:p w14:paraId="305F649A" w14:textId="77777777" w:rsidR="00B0291E" w:rsidRDefault="00A966B5">
      <w:pPr>
        <w:shd w:val="clear" w:color="auto" w:fill="FFFFFF"/>
        <w:spacing w:after="220" w:line="360" w:lineRule="auto"/>
        <w:rPr>
          <w:rFonts w:ascii="Times New Roman" w:eastAsia="Times New Roman" w:hAnsi="Times New Roman" w:cs="Times New Roman"/>
          <w:b/>
          <w:bCs/>
        </w:rPr>
      </w:pPr>
      <w:r>
        <w:rPr>
          <w:rFonts w:ascii="Times New Roman" w:eastAsia="Times New Roman" w:hAnsi="Times New Roman" w:cs="Times New Roman"/>
          <w:b/>
          <w:bCs/>
        </w:rPr>
        <w:t xml:space="preserve">Data sources and collection strategy </w:t>
      </w:r>
    </w:p>
    <w:p w14:paraId="305F649B" w14:textId="77777777" w:rsidR="00B0291E" w:rsidRDefault="00A966B5">
      <w:pPr>
        <w:numPr>
          <w:ilvl w:val="0"/>
          <w:numId w:val="3"/>
        </w:num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rPr>
        <w:t xml:space="preserve">Official policy documents and institutional reports </w:t>
      </w:r>
    </w:p>
    <w:p w14:paraId="305F649C" w14:textId="77777777" w:rsidR="00B0291E" w:rsidRDefault="00A966B5">
      <w:pPr>
        <w:numPr>
          <w:ilvl w:val="0"/>
          <w:numId w:val="3"/>
        </w:num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rPr>
        <w:t xml:space="preserve">Secondary academic and think-tank literature </w:t>
      </w:r>
    </w:p>
    <w:p w14:paraId="305F649D" w14:textId="77777777" w:rsidR="00B0291E" w:rsidRDefault="00A966B5">
      <w:pPr>
        <w:numPr>
          <w:ilvl w:val="0"/>
          <w:numId w:val="3"/>
        </w:num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Quantitative data from Eurostat and the EEA</w:t>
      </w:r>
    </w:p>
    <w:p w14:paraId="305F649E" w14:textId="77777777" w:rsidR="00B0291E" w:rsidRDefault="00B0291E">
      <w:pPr>
        <w:shd w:val="clear" w:color="auto" w:fill="FFFFFF"/>
        <w:spacing w:after="220" w:line="360" w:lineRule="auto"/>
        <w:rPr>
          <w:rFonts w:ascii="Times New Roman" w:eastAsia="Times New Roman" w:hAnsi="Times New Roman" w:cs="Times New Roman"/>
        </w:rPr>
      </w:pPr>
    </w:p>
    <w:p w14:paraId="305F649F" w14:textId="77777777" w:rsidR="00B0291E" w:rsidRDefault="00B0291E">
      <w:pPr>
        <w:shd w:val="clear" w:color="auto" w:fill="FFFFFF"/>
        <w:spacing w:after="220" w:line="360" w:lineRule="auto"/>
        <w:rPr>
          <w:rFonts w:ascii="Times New Roman" w:eastAsia="Times New Roman" w:hAnsi="Times New Roman" w:cs="Times New Roman"/>
        </w:rPr>
      </w:pPr>
    </w:p>
    <w:p w14:paraId="305F64A0" w14:textId="77777777" w:rsidR="00B0291E" w:rsidRDefault="00B0291E">
      <w:pPr>
        <w:shd w:val="clear" w:color="auto" w:fill="FFFFFF"/>
        <w:spacing w:after="220" w:line="360" w:lineRule="auto"/>
        <w:rPr>
          <w:rFonts w:ascii="Times New Roman" w:eastAsia="Times New Roman" w:hAnsi="Times New Roman" w:cs="Times New Roman"/>
        </w:rPr>
      </w:pPr>
    </w:p>
    <w:p w14:paraId="305F64A1" w14:textId="77777777" w:rsidR="00B0291E" w:rsidRDefault="00B0291E">
      <w:pPr>
        <w:shd w:val="clear" w:color="auto" w:fill="FFFFFF"/>
        <w:spacing w:after="220" w:line="360" w:lineRule="auto"/>
        <w:rPr>
          <w:rFonts w:ascii="Times New Roman" w:eastAsia="Times New Roman" w:hAnsi="Times New Roman" w:cs="Times New Roman"/>
        </w:rPr>
      </w:pPr>
    </w:p>
    <w:p w14:paraId="305F64A2" w14:textId="77777777" w:rsidR="00B0291E" w:rsidRDefault="00B0291E">
      <w:pPr>
        <w:shd w:val="clear" w:color="auto" w:fill="FFFFFF"/>
        <w:spacing w:after="220" w:line="360" w:lineRule="auto"/>
        <w:rPr>
          <w:rFonts w:ascii="Times New Roman" w:eastAsia="Times New Roman" w:hAnsi="Times New Roman" w:cs="Times New Roman"/>
        </w:rPr>
      </w:pPr>
    </w:p>
    <w:p w14:paraId="305F64A3" w14:textId="77777777" w:rsidR="00B0291E" w:rsidRDefault="00B0291E">
      <w:pPr>
        <w:shd w:val="clear" w:color="auto" w:fill="FFFFFF"/>
        <w:spacing w:after="220" w:line="360" w:lineRule="auto"/>
        <w:rPr>
          <w:rFonts w:ascii="Times New Roman" w:eastAsia="Times New Roman" w:hAnsi="Times New Roman" w:cs="Times New Roman"/>
        </w:rPr>
      </w:pPr>
    </w:p>
    <w:p w14:paraId="305F64A4" w14:textId="77777777" w:rsidR="00B0291E" w:rsidRDefault="00B0291E">
      <w:pPr>
        <w:shd w:val="clear" w:color="auto" w:fill="FFFFFF"/>
        <w:spacing w:after="220" w:line="360" w:lineRule="auto"/>
        <w:rPr>
          <w:rFonts w:ascii="Times New Roman" w:eastAsia="Times New Roman" w:hAnsi="Times New Roman" w:cs="Times New Roman"/>
        </w:rPr>
      </w:pPr>
    </w:p>
    <w:p w14:paraId="305F64A5" w14:textId="77777777" w:rsidR="00B0291E" w:rsidRDefault="00B0291E">
      <w:pPr>
        <w:shd w:val="clear" w:color="auto" w:fill="FFFFFF"/>
        <w:spacing w:after="220" w:line="360" w:lineRule="auto"/>
        <w:rPr>
          <w:rFonts w:ascii="Times New Roman" w:eastAsia="Times New Roman" w:hAnsi="Times New Roman" w:cs="Times New Roman"/>
        </w:rPr>
      </w:pPr>
    </w:p>
    <w:p w14:paraId="305F64A6" w14:textId="77777777" w:rsidR="00B0291E" w:rsidRDefault="00B0291E">
      <w:pPr>
        <w:shd w:val="clear" w:color="auto" w:fill="FFFFFF"/>
        <w:spacing w:after="220" w:line="360" w:lineRule="auto"/>
        <w:rPr>
          <w:rFonts w:ascii="Times New Roman" w:eastAsia="Times New Roman" w:hAnsi="Times New Roman" w:cs="Times New Roman"/>
        </w:rPr>
      </w:pPr>
    </w:p>
    <w:p w14:paraId="305F64A7" w14:textId="77777777" w:rsidR="00B0291E" w:rsidRDefault="00B0291E">
      <w:pPr>
        <w:shd w:val="clear" w:color="auto" w:fill="FFFFFF"/>
        <w:spacing w:after="220" w:line="360" w:lineRule="auto"/>
        <w:rPr>
          <w:rFonts w:ascii="Times New Roman" w:eastAsia="Times New Roman" w:hAnsi="Times New Roman" w:cs="Times New Roman"/>
        </w:rPr>
      </w:pPr>
    </w:p>
    <w:p w14:paraId="305F64A8" w14:textId="77777777" w:rsidR="00B0291E" w:rsidRDefault="00A966B5">
      <w:pPr>
        <w:numPr>
          <w:ilvl w:val="0"/>
          <w:numId w:val="1"/>
        </w:numPr>
        <w:shd w:val="clear" w:color="auto" w:fill="FFFFFF"/>
        <w:spacing w:after="220" w:line="360" w:lineRule="auto"/>
        <w:rPr>
          <w:rFonts w:ascii="Times New Roman" w:eastAsia="Times New Roman" w:hAnsi="Times New Roman" w:cs="Times New Roman"/>
          <w:b/>
          <w:bCs/>
        </w:rPr>
      </w:pPr>
      <w:r>
        <w:rPr>
          <w:rFonts w:ascii="Times New Roman" w:eastAsia="Times New Roman" w:hAnsi="Times New Roman" w:cs="Times New Roman"/>
          <w:b/>
          <w:bCs/>
        </w:rPr>
        <w:t xml:space="preserve">Empirical Analysis </w:t>
      </w:r>
    </w:p>
    <w:p w14:paraId="305F64A9"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 xml:space="preserve">The period from 2022 to 2025 represents the most significant acceleration of renewable energy deployment in the EU, the trigger for this was Russia’s full invasion of Ukraine in 2022. </w:t>
      </w:r>
    </w:p>
    <w:p w14:paraId="305F64AA"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AB" w14:textId="77777777" w:rsidR="00B0291E" w:rsidRDefault="00A966B5">
      <w:pPr>
        <w:shd w:val="clear" w:color="auto" w:fill="FFFFFF"/>
        <w:spacing w:after="220" w:line="360" w:lineRule="auto"/>
        <w:rPr>
          <w:rFonts w:ascii="Times New Roman" w:eastAsia="Times New Roman" w:hAnsi="Times New Roman" w:cs="Times New Roman"/>
          <w:b/>
          <w:bCs/>
        </w:rPr>
      </w:pPr>
      <w:r>
        <w:rPr>
          <w:rFonts w:ascii="Times New Roman" w:eastAsia="Times New Roman" w:hAnsi="Times New Roman" w:cs="Times New Roman"/>
          <w:b/>
          <w:bCs/>
        </w:rPr>
        <w:t xml:space="preserve">4.1 Case study 1: Denmark &amp; Northern Europe </w:t>
      </w:r>
    </w:p>
    <w:p w14:paraId="305F64AC" w14:textId="77777777" w:rsidR="00B0291E" w:rsidRDefault="00A966B5">
      <w:pPr>
        <w:shd w:val="clear" w:color="auto" w:fill="FFFFFF"/>
        <w:spacing w:after="220" w:line="360" w:lineRule="auto"/>
        <w:rPr>
          <w:rFonts w:ascii="Times New Roman" w:eastAsia="Times New Roman" w:hAnsi="Times New Roman" w:cs="Times New Roman"/>
          <w:b/>
          <w:bCs/>
          <w:i/>
          <w:iCs/>
        </w:rPr>
      </w:pPr>
      <w:r>
        <w:rPr>
          <w:rFonts w:ascii="Times New Roman" w:eastAsia="Times New Roman" w:hAnsi="Times New Roman" w:cs="Times New Roman"/>
          <w:b/>
          <w:bCs/>
          <w:i/>
          <w:iCs/>
        </w:rPr>
        <w:t>4.1.1 Overview and Significance</w:t>
      </w:r>
    </w:p>
    <w:p w14:paraId="305F64AD"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 xml:space="preserve">This case study focuses on offshore wind capacity in Denmark and Northern Europe. Denmark is the EU’s most advanced case of renewable led energy. </w:t>
      </w:r>
    </w:p>
    <w:p w14:paraId="305F64AE" w14:textId="77777777" w:rsidR="00B0291E" w:rsidRDefault="00B0291E">
      <w:pPr>
        <w:shd w:val="clear" w:color="auto" w:fill="FFFFFF"/>
        <w:spacing w:after="220" w:line="360" w:lineRule="auto"/>
        <w:rPr>
          <w:rFonts w:ascii="Times New Roman" w:eastAsia="Times New Roman" w:hAnsi="Times New Roman" w:cs="Times New Roman"/>
        </w:rPr>
      </w:pPr>
    </w:p>
    <w:p w14:paraId="305F64AF" w14:textId="77777777" w:rsidR="00B0291E" w:rsidRDefault="00A966B5">
      <w:pPr>
        <w:shd w:val="clear" w:color="auto" w:fill="FFFFFF"/>
        <w:spacing w:after="220" w:line="360" w:lineRule="auto"/>
        <w:rPr>
          <w:rFonts w:ascii="Times New Roman" w:eastAsia="Times New Roman" w:hAnsi="Times New Roman" w:cs="Times New Roman"/>
          <w:b/>
          <w:bCs/>
          <w:i/>
          <w:iCs/>
        </w:rPr>
      </w:pPr>
      <w:r>
        <w:rPr>
          <w:rFonts w:ascii="Times New Roman" w:eastAsia="Times New Roman" w:hAnsi="Times New Roman" w:cs="Times New Roman"/>
          <w:b/>
          <w:bCs/>
          <w:i/>
          <w:iCs/>
        </w:rPr>
        <w:t>4.1.2 Resilience Indicators</w:t>
      </w:r>
    </w:p>
    <w:p w14:paraId="305F64B0" w14:textId="77777777" w:rsidR="00B0291E" w:rsidRDefault="00A966B5">
      <w:p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Future projects and potentials</w:t>
      </w:r>
    </w:p>
    <w:p w14:paraId="305F64B1" w14:textId="77777777" w:rsidR="00B0291E" w:rsidRDefault="00A966B5">
      <w:pPr>
        <w:numPr>
          <w:ilvl w:val="0"/>
          <w:numId w:val="2"/>
        </w:num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rPr>
        <w:t xml:space="preserve">North Sea wind power hub </w:t>
      </w:r>
    </w:p>
    <w:p w14:paraId="305F64B2" w14:textId="77777777" w:rsidR="00B0291E" w:rsidRDefault="00A966B5">
      <w:pPr>
        <w:numPr>
          <w:ilvl w:val="0"/>
          <w:numId w:val="2"/>
        </w:numPr>
        <w:shd w:val="clear" w:color="auto" w:fill="FFFFFF"/>
        <w:spacing w:after="220" w:line="360" w:lineRule="auto"/>
        <w:rPr>
          <w:rFonts w:ascii="Times New Roman" w:eastAsia="Times New Roman" w:hAnsi="Times New Roman" w:cs="Times New Roman"/>
        </w:rPr>
      </w:pPr>
      <w:r>
        <w:rPr>
          <w:rFonts w:ascii="Times New Roman" w:eastAsia="Times New Roman" w:hAnsi="Times New Roman" w:cs="Times New Roman"/>
        </w:rPr>
        <w:t>Bornholm energy island</w:t>
      </w:r>
    </w:p>
    <w:p w14:paraId="305F64B3" w14:textId="77777777" w:rsidR="00B0291E" w:rsidRDefault="00B0291E">
      <w:pPr>
        <w:shd w:val="clear" w:color="auto" w:fill="FFFFFF"/>
        <w:spacing w:after="220" w:line="360" w:lineRule="auto"/>
        <w:rPr>
          <w:rFonts w:ascii="Times New Roman" w:eastAsia="Times New Roman" w:hAnsi="Times New Roman" w:cs="Times New Roman"/>
        </w:rPr>
      </w:pPr>
    </w:p>
    <w:p w14:paraId="305F64B4" w14:textId="77777777" w:rsidR="00B0291E" w:rsidRDefault="00A966B5">
      <w:pPr>
        <w:shd w:val="clear" w:color="auto" w:fill="FFFFFF"/>
        <w:spacing w:after="220" w:line="360" w:lineRule="auto"/>
        <w:rPr>
          <w:rFonts w:ascii="Times New Roman" w:eastAsia="Times New Roman" w:hAnsi="Times New Roman" w:cs="Times New Roman"/>
          <w:b/>
          <w:bCs/>
          <w:i/>
          <w:iCs/>
        </w:rPr>
      </w:pPr>
      <w:r>
        <w:rPr>
          <w:rFonts w:ascii="Times New Roman" w:eastAsia="Times New Roman" w:hAnsi="Times New Roman" w:cs="Times New Roman"/>
          <w:b/>
          <w:bCs/>
          <w:i/>
          <w:iCs/>
        </w:rPr>
        <w:t>4.1.3 Risks and Limitations</w:t>
      </w:r>
    </w:p>
    <w:p w14:paraId="305F64B5" w14:textId="77777777" w:rsidR="00B0291E" w:rsidRDefault="00B0291E">
      <w:pPr>
        <w:shd w:val="clear" w:color="auto" w:fill="FFFFFF"/>
        <w:spacing w:after="220" w:line="360" w:lineRule="auto"/>
        <w:rPr>
          <w:rFonts w:ascii="Times New Roman" w:eastAsia="Times New Roman" w:hAnsi="Times New Roman" w:cs="Times New Roman"/>
        </w:rPr>
      </w:pPr>
    </w:p>
    <w:p w14:paraId="305F64B6" w14:textId="77777777" w:rsidR="00B0291E" w:rsidRDefault="00B0291E">
      <w:pPr>
        <w:shd w:val="clear" w:color="auto" w:fill="FFFFFF"/>
        <w:spacing w:after="220" w:line="360" w:lineRule="auto"/>
        <w:rPr>
          <w:rFonts w:ascii="Times New Roman" w:eastAsia="Times New Roman" w:hAnsi="Times New Roman" w:cs="Times New Roman"/>
        </w:rPr>
      </w:pPr>
    </w:p>
    <w:p w14:paraId="305F64B7" w14:textId="77777777" w:rsidR="00B0291E" w:rsidRDefault="00B0291E">
      <w:pPr>
        <w:shd w:val="clear" w:color="auto" w:fill="FFFFFF"/>
        <w:spacing w:after="220" w:line="360" w:lineRule="auto"/>
        <w:rPr>
          <w:rFonts w:ascii="Times New Roman" w:eastAsia="Times New Roman" w:hAnsi="Times New Roman" w:cs="Times New Roman"/>
        </w:rPr>
      </w:pPr>
    </w:p>
    <w:p w14:paraId="305F64B8" w14:textId="77777777" w:rsidR="00B0291E" w:rsidRDefault="00B0291E">
      <w:pPr>
        <w:shd w:val="clear" w:color="auto" w:fill="FFFFFF"/>
        <w:spacing w:after="220" w:line="360" w:lineRule="auto"/>
        <w:rPr>
          <w:rFonts w:ascii="Times New Roman" w:eastAsia="Times New Roman" w:hAnsi="Times New Roman" w:cs="Times New Roman"/>
        </w:rPr>
      </w:pPr>
    </w:p>
    <w:p w14:paraId="305F64B9" w14:textId="77777777" w:rsidR="00B0291E" w:rsidRDefault="00B0291E">
      <w:pPr>
        <w:shd w:val="clear" w:color="auto" w:fill="FFFFFF"/>
        <w:spacing w:after="220" w:line="360" w:lineRule="auto"/>
        <w:rPr>
          <w:rFonts w:ascii="Times New Roman" w:eastAsia="Times New Roman" w:hAnsi="Times New Roman" w:cs="Times New Roman"/>
        </w:rPr>
      </w:pPr>
    </w:p>
    <w:p w14:paraId="305F64BA" w14:textId="77777777" w:rsidR="00B0291E" w:rsidRDefault="00B0291E">
      <w:pPr>
        <w:shd w:val="clear" w:color="auto" w:fill="FFFFFF"/>
        <w:spacing w:after="220" w:line="360" w:lineRule="auto"/>
        <w:rPr>
          <w:rFonts w:ascii="Times New Roman" w:eastAsia="Times New Roman" w:hAnsi="Times New Roman" w:cs="Times New Roman"/>
        </w:rPr>
      </w:pPr>
    </w:p>
    <w:p w14:paraId="305F64BB" w14:textId="77777777" w:rsidR="00B0291E" w:rsidRDefault="00A966B5">
      <w:pPr>
        <w:shd w:val="clear" w:color="auto" w:fill="FFFFFF"/>
        <w:spacing w:after="220" w:line="36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4.2 Case study 2: Spain </w:t>
      </w:r>
    </w:p>
    <w:p w14:paraId="305F64BC" w14:textId="77777777" w:rsidR="00B0291E" w:rsidRDefault="00A966B5">
      <w:pPr>
        <w:shd w:val="clear" w:color="auto" w:fill="FFFFFF"/>
        <w:spacing w:after="220" w:line="360" w:lineRule="auto"/>
        <w:rPr>
          <w:rFonts w:ascii="Times New Roman" w:eastAsia="Times New Roman" w:hAnsi="Times New Roman" w:cs="Times New Roman"/>
          <w:b/>
          <w:bCs/>
          <w:i/>
          <w:iCs/>
        </w:rPr>
      </w:pPr>
      <w:r>
        <w:rPr>
          <w:rFonts w:ascii="Times New Roman" w:eastAsia="Times New Roman" w:hAnsi="Times New Roman" w:cs="Times New Roman"/>
          <w:b/>
          <w:bCs/>
          <w:i/>
          <w:iCs/>
        </w:rPr>
        <w:t>4.2.1 Overview and Significance</w:t>
      </w:r>
    </w:p>
    <w:p w14:paraId="305F64BD" w14:textId="77777777" w:rsidR="00B0291E" w:rsidRDefault="00A966B5">
      <w:pPr>
        <w:shd w:val="clear" w:color="auto" w:fill="FFFFFF"/>
        <w:spacing w:after="220" w:line="360" w:lineRule="auto"/>
        <w:rPr>
          <w:rFonts w:ascii="Times New Roman" w:eastAsia="Times New Roman" w:hAnsi="Times New Roman" w:cs="Times New Roman"/>
          <w:b/>
          <w:bCs/>
          <w:i/>
          <w:iCs/>
        </w:rPr>
      </w:pPr>
      <w:r>
        <w:rPr>
          <w:rFonts w:ascii="Times New Roman" w:eastAsia="Times New Roman" w:hAnsi="Times New Roman" w:cs="Times New Roman"/>
          <w:b/>
          <w:bCs/>
          <w:i/>
          <w:iCs/>
        </w:rPr>
        <w:t xml:space="preserve">4.2.2 Resilience Indicators </w:t>
      </w:r>
    </w:p>
    <w:p w14:paraId="305F64BE" w14:textId="77777777" w:rsidR="00B0291E" w:rsidRDefault="00A966B5">
      <w:pPr>
        <w:shd w:val="clear" w:color="auto" w:fill="FFFFFF"/>
        <w:spacing w:after="220" w:line="360" w:lineRule="auto"/>
        <w:rPr>
          <w:rFonts w:ascii="Times New Roman" w:eastAsia="Times New Roman" w:hAnsi="Times New Roman" w:cs="Times New Roman"/>
          <w:b/>
          <w:bCs/>
          <w:i/>
          <w:iCs/>
        </w:rPr>
      </w:pPr>
      <w:r>
        <w:rPr>
          <w:rFonts w:ascii="Times New Roman" w:eastAsia="Times New Roman" w:hAnsi="Times New Roman" w:cs="Times New Roman"/>
          <w:b/>
          <w:bCs/>
          <w:i/>
          <w:iCs/>
        </w:rPr>
        <w:t xml:space="preserve">4.2.3 Risks and Limitations </w:t>
      </w:r>
    </w:p>
    <w:p w14:paraId="305F64BF"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0"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1"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2"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3"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4"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5"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6"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7" w14:textId="77777777" w:rsidR="00B0291E" w:rsidRDefault="00A966B5">
      <w:pPr>
        <w:numPr>
          <w:ilvl w:val="0"/>
          <w:numId w:val="1"/>
        </w:numPr>
        <w:shd w:val="clear" w:color="auto" w:fill="FFFFFF"/>
        <w:spacing w:after="220" w:line="360" w:lineRule="auto"/>
        <w:rPr>
          <w:rFonts w:ascii="Times New Roman" w:eastAsia="Times New Roman" w:hAnsi="Times New Roman" w:cs="Times New Roman"/>
          <w:b/>
          <w:bCs/>
        </w:rPr>
      </w:pPr>
      <w:r>
        <w:rPr>
          <w:rFonts w:ascii="Times New Roman" w:eastAsia="Times New Roman" w:hAnsi="Times New Roman" w:cs="Times New Roman"/>
          <w:b/>
          <w:bCs/>
        </w:rPr>
        <w:t xml:space="preserve">Conclusions </w:t>
      </w:r>
    </w:p>
    <w:p w14:paraId="305F64C8"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9"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A" w14:textId="77777777" w:rsidR="00B0291E" w:rsidRDefault="00B0291E">
      <w:pPr>
        <w:shd w:val="clear" w:color="auto" w:fill="FFFFFF"/>
        <w:spacing w:after="220" w:line="360" w:lineRule="auto"/>
        <w:rPr>
          <w:rFonts w:ascii="Times New Roman" w:eastAsia="Times New Roman" w:hAnsi="Times New Roman" w:cs="Times New Roman"/>
          <w:b/>
          <w:bCs/>
        </w:rPr>
      </w:pPr>
    </w:p>
    <w:p w14:paraId="305F64CB" w14:textId="77777777" w:rsidR="00B0291E" w:rsidRDefault="00B0291E">
      <w:pPr>
        <w:spacing w:line="360" w:lineRule="auto"/>
        <w:rPr>
          <w:rFonts w:ascii="Times New Roman" w:eastAsia="Times New Roman" w:hAnsi="Times New Roman" w:cs="Times New Roman"/>
          <w:b/>
          <w:bCs/>
        </w:rPr>
      </w:pPr>
    </w:p>
    <w:p w14:paraId="305F64CC" w14:textId="77777777" w:rsidR="00B0291E" w:rsidRDefault="00B0291E">
      <w:pPr>
        <w:spacing w:line="360" w:lineRule="auto"/>
        <w:rPr>
          <w:rFonts w:ascii="Times New Roman" w:eastAsia="Times New Roman" w:hAnsi="Times New Roman" w:cs="Times New Roman"/>
          <w:b/>
          <w:bCs/>
        </w:rPr>
      </w:pPr>
    </w:p>
    <w:p w14:paraId="305F64CD" w14:textId="77777777" w:rsidR="00B0291E" w:rsidRDefault="00B0291E">
      <w:pPr>
        <w:spacing w:line="360" w:lineRule="auto"/>
        <w:rPr>
          <w:rFonts w:ascii="Times New Roman" w:eastAsia="Times New Roman" w:hAnsi="Times New Roman" w:cs="Times New Roman"/>
          <w:b/>
          <w:bCs/>
        </w:rPr>
      </w:pPr>
    </w:p>
    <w:p w14:paraId="305F64CE" w14:textId="77777777" w:rsidR="00B0291E" w:rsidRDefault="00B0291E">
      <w:pPr>
        <w:spacing w:line="360" w:lineRule="auto"/>
        <w:rPr>
          <w:rFonts w:ascii="Times New Roman" w:eastAsia="Times New Roman" w:hAnsi="Times New Roman" w:cs="Times New Roman"/>
          <w:b/>
          <w:bCs/>
        </w:rPr>
      </w:pPr>
    </w:p>
    <w:p w14:paraId="305F64CF" w14:textId="77777777" w:rsidR="00B0291E" w:rsidRDefault="00B0291E">
      <w:pPr>
        <w:spacing w:line="360" w:lineRule="auto"/>
        <w:rPr>
          <w:rFonts w:ascii="Times New Roman" w:eastAsia="Times New Roman" w:hAnsi="Times New Roman" w:cs="Times New Roman"/>
          <w:b/>
          <w:bCs/>
        </w:rPr>
      </w:pPr>
    </w:p>
    <w:p w14:paraId="305F64D0" w14:textId="77777777" w:rsidR="00B0291E" w:rsidRDefault="00B0291E">
      <w:pPr>
        <w:spacing w:line="360" w:lineRule="auto"/>
        <w:rPr>
          <w:rFonts w:ascii="Times New Roman" w:eastAsia="Times New Roman" w:hAnsi="Times New Roman" w:cs="Times New Roman"/>
          <w:b/>
          <w:bCs/>
        </w:rPr>
      </w:pPr>
    </w:p>
    <w:p w14:paraId="305F64D1" w14:textId="77777777" w:rsidR="00B0291E" w:rsidRDefault="00B0291E">
      <w:pPr>
        <w:spacing w:line="360" w:lineRule="auto"/>
        <w:rPr>
          <w:rFonts w:ascii="Times New Roman" w:eastAsia="Times New Roman" w:hAnsi="Times New Roman" w:cs="Times New Roman"/>
          <w:b/>
          <w:bCs/>
        </w:rPr>
      </w:pPr>
    </w:p>
    <w:p w14:paraId="305F64D2" w14:textId="77777777" w:rsidR="00B0291E" w:rsidRDefault="00B0291E">
      <w:pPr>
        <w:spacing w:line="360" w:lineRule="auto"/>
        <w:rPr>
          <w:rFonts w:ascii="Times New Roman" w:eastAsia="Times New Roman" w:hAnsi="Times New Roman" w:cs="Times New Roman"/>
          <w:b/>
          <w:bCs/>
        </w:rPr>
      </w:pPr>
    </w:p>
    <w:p w14:paraId="305F64D3" w14:textId="77777777" w:rsidR="00B0291E" w:rsidRDefault="00B0291E">
      <w:pPr>
        <w:spacing w:line="360" w:lineRule="auto"/>
        <w:rPr>
          <w:rFonts w:ascii="Times New Roman" w:eastAsia="Times New Roman" w:hAnsi="Times New Roman" w:cs="Times New Roman"/>
          <w:b/>
          <w:bCs/>
        </w:rPr>
      </w:pPr>
    </w:p>
    <w:p w14:paraId="305F64D4" w14:textId="77777777" w:rsidR="00B0291E" w:rsidRDefault="00B0291E">
      <w:pPr>
        <w:spacing w:line="360" w:lineRule="auto"/>
        <w:rPr>
          <w:rFonts w:ascii="Times New Roman" w:eastAsia="Times New Roman" w:hAnsi="Times New Roman" w:cs="Times New Roman"/>
          <w:b/>
          <w:bCs/>
        </w:rPr>
      </w:pPr>
    </w:p>
    <w:p w14:paraId="305F64D5" w14:textId="77777777" w:rsidR="00B0291E" w:rsidRDefault="00B0291E">
      <w:pPr>
        <w:spacing w:line="360" w:lineRule="auto"/>
        <w:rPr>
          <w:rFonts w:ascii="Times New Roman" w:eastAsia="Times New Roman" w:hAnsi="Times New Roman" w:cs="Times New Roman"/>
          <w:b/>
          <w:bCs/>
        </w:rPr>
      </w:pPr>
    </w:p>
    <w:p w14:paraId="305F64D6" w14:textId="77777777" w:rsidR="00B0291E" w:rsidRDefault="00A966B5">
      <w:pPr>
        <w:spacing w:line="360" w:lineRule="auto"/>
        <w:rPr>
          <w:rFonts w:ascii="Times New Roman" w:eastAsia="Times New Roman" w:hAnsi="Times New Roman" w:cs="Times New Roman"/>
          <w:b/>
          <w:bCs/>
        </w:rPr>
      </w:pPr>
      <w:r>
        <w:rPr>
          <w:rFonts w:ascii="Times New Roman" w:eastAsia="Times New Roman" w:hAnsi="Times New Roman" w:cs="Times New Roman"/>
          <w:b/>
          <w:bCs/>
        </w:rPr>
        <w:lastRenderedPageBreak/>
        <w:t>References</w:t>
      </w:r>
    </w:p>
    <w:p w14:paraId="305F64D7" w14:textId="77777777" w:rsidR="00B0291E" w:rsidRDefault="00A966B5">
      <w:pPr>
        <w:spacing w:line="36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Abels, J., &amp; Bieling, H. (2024). The EU De‐Risking of energy dependencies: Towards a new clean energy geopolitical Order? </w:t>
      </w:r>
      <w:r>
        <w:rPr>
          <w:rFonts w:ascii="Times New Roman" w:eastAsia="Times New Roman" w:hAnsi="Times New Roman" w:cs="Times New Roman"/>
          <w:i/>
          <w:iCs/>
        </w:rPr>
        <w:t>Politics and Governance</w:t>
      </w:r>
      <w:r>
        <w:rPr>
          <w:rFonts w:ascii="Times New Roman" w:eastAsia="Times New Roman" w:hAnsi="Times New Roman" w:cs="Times New Roman"/>
        </w:rPr>
        <w:t xml:space="preserve">, </w:t>
      </w:r>
      <w:r>
        <w:rPr>
          <w:rFonts w:ascii="Times New Roman" w:eastAsia="Times New Roman" w:hAnsi="Times New Roman" w:cs="Times New Roman"/>
          <w:i/>
          <w:iCs/>
        </w:rPr>
        <w:t>12</w:t>
      </w:r>
      <w:r>
        <w:rPr>
          <w:rFonts w:ascii="Times New Roman" w:eastAsia="Times New Roman" w:hAnsi="Times New Roman" w:cs="Times New Roman"/>
        </w:rPr>
        <w:t xml:space="preserve">. </w:t>
      </w:r>
      <w:hyperlink r:id="rId10">
        <w:r>
          <w:rPr>
            <w:rFonts w:ascii="Times New Roman" w:eastAsia="Times New Roman" w:hAnsi="Times New Roman" w:cs="Times New Roman"/>
            <w:color w:val="1155CC"/>
            <w:u w:val="single"/>
          </w:rPr>
          <w:t>https://doi.org/10.17645/pag.i383</w:t>
        </w:r>
      </w:hyperlink>
      <w:r>
        <w:rPr>
          <w:rFonts w:ascii="Times New Roman" w:eastAsia="Times New Roman" w:hAnsi="Times New Roman" w:cs="Times New Roman"/>
        </w:rPr>
        <w:t xml:space="preserve"> </w:t>
      </w:r>
    </w:p>
    <w:p w14:paraId="305F64D8" w14:textId="77777777" w:rsidR="00B0291E" w:rsidRDefault="00B0291E">
      <w:pPr>
        <w:spacing w:line="360" w:lineRule="auto"/>
        <w:rPr>
          <w:rFonts w:ascii="Times New Roman" w:eastAsia="Times New Roman" w:hAnsi="Times New Roman" w:cs="Times New Roman"/>
        </w:rPr>
      </w:pPr>
    </w:p>
    <w:p w14:paraId="305F64D9" w14:textId="77777777" w:rsidR="00B0291E" w:rsidRDefault="00A966B5">
      <w:pPr>
        <w:spacing w:line="360" w:lineRule="auto"/>
        <w:rPr>
          <w:rFonts w:ascii="Times New Roman" w:eastAsia="Times New Roman" w:hAnsi="Times New Roman" w:cs="Times New Roman"/>
          <w:sz w:val="20"/>
          <w:szCs w:val="20"/>
        </w:rPr>
      </w:pPr>
      <w:r>
        <w:rPr>
          <w:rFonts w:ascii="Times New Roman" w:eastAsia="Times New Roman" w:hAnsi="Times New Roman" w:cs="Times New Roman"/>
        </w:rPr>
        <w:t xml:space="preserve">Aylett, C., Van Rij, A., &amp; Bradshaw, M. (2025). </w:t>
      </w:r>
      <w:r>
        <w:rPr>
          <w:rFonts w:ascii="Times New Roman" w:eastAsia="Times New Roman" w:hAnsi="Times New Roman" w:cs="Times New Roman"/>
          <w:i/>
          <w:iCs/>
        </w:rPr>
        <w:t>Why renewables and electrification hold the keys to EU energy security: Using the low-carbon transition to improve resilience, mitigate geopolitical risks and lower costs</w:t>
      </w:r>
      <w:r>
        <w:rPr>
          <w:rFonts w:ascii="Times New Roman" w:eastAsia="Times New Roman" w:hAnsi="Times New Roman" w:cs="Times New Roman"/>
        </w:rPr>
        <w:t xml:space="preserve">. </w:t>
      </w:r>
      <w:hyperlink r:id="rId11">
        <w:r>
          <w:rPr>
            <w:rFonts w:ascii="Times New Roman" w:eastAsia="Times New Roman" w:hAnsi="Times New Roman" w:cs="Times New Roman"/>
            <w:color w:val="1155CC"/>
            <w:u w:val="single"/>
          </w:rPr>
          <w:t>https://doi.org/10.55317/9781784136536</w:t>
        </w:r>
      </w:hyperlink>
      <w:r>
        <w:rPr>
          <w:rFonts w:ascii="Times New Roman" w:eastAsia="Times New Roman" w:hAnsi="Times New Roman" w:cs="Times New Roman"/>
        </w:rPr>
        <w:t xml:space="preserve"> </w:t>
      </w:r>
    </w:p>
    <w:p w14:paraId="305F64DA" w14:textId="77777777" w:rsidR="00B0291E" w:rsidRDefault="00B0291E">
      <w:pPr>
        <w:spacing w:line="360" w:lineRule="auto"/>
        <w:rPr>
          <w:rFonts w:ascii="Times New Roman" w:eastAsia="Times New Roman" w:hAnsi="Times New Roman" w:cs="Times New Roman"/>
        </w:rPr>
      </w:pPr>
    </w:p>
    <w:p w14:paraId="305F64DB"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 xml:space="preserve">Banet, C., Baldursson, F. M., &amp; Chyong, C. K. (n.d.). </w:t>
      </w:r>
      <w:r>
        <w:rPr>
          <w:rFonts w:ascii="Times New Roman" w:eastAsia="Times New Roman" w:hAnsi="Times New Roman" w:cs="Times New Roman"/>
          <w:i/>
          <w:iCs/>
        </w:rPr>
        <w:t>Building resilience in Europe's energy system</w:t>
      </w:r>
      <w:r>
        <w:rPr>
          <w:rFonts w:ascii="Times New Roman" w:eastAsia="Times New Roman" w:hAnsi="Times New Roman" w:cs="Times New Roman"/>
        </w:rPr>
        <w:t>. Centre for European Regulatory Economics (CERRE).</w:t>
      </w:r>
      <w:hyperlink r:id="rId12">
        <w:r>
          <w:rPr>
            <w:rFonts w:ascii="Times New Roman" w:eastAsia="Times New Roman" w:hAnsi="Times New Roman" w:cs="Times New Roman"/>
          </w:rPr>
          <w:t xml:space="preserve"> </w:t>
        </w:r>
      </w:hyperlink>
      <w:hyperlink r:id="rId13">
        <w:r>
          <w:rPr>
            <w:rFonts w:ascii="Times New Roman" w:eastAsia="Times New Roman" w:hAnsi="Times New Roman" w:cs="Times New Roman"/>
            <w:color w:val="1155CC"/>
            <w:u w:val="single"/>
          </w:rPr>
          <w:t>https://cerre.eu/publications/building-resilience-in-europes-energy-system/</w:t>
        </w:r>
      </w:hyperlink>
    </w:p>
    <w:p w14:paraId="305F64DC" w14:textId="77777777" w:rsidR="00B0291E" w:rsidRDefault="00B0291E">
      <w:pPr>
        <w:spacing w:line="360" w:lineRule="auto"/>
        <w:rPr>
          <w:rFonts w:ascii="Times New Roman" w:eastAsia="Times New Roman" w:hAnsi="Times New Roman" w:cs="Times New Roman"/>
        </w:rPr>
      </w:pPr>
    </w:p>
    <w:p w14:paraId="305F64DD"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i/>
          <w:iCs/>
        </w:rPr>
        <w:t>REPowerEU</w:t>
      </w:r>
      <w:r>
        <w:rPr>
          <w:rFonts w:ascii="Times New Roman" w:eastAsia="Times New Roman" w:hAnsi="Times New Roman" w:cs="Times New Roman"/>
        </w:rPr>
        <w:t xml:space="preserve">. (2022, May 18). European Commission. </w:t>
      </w:r>
      <w:hyperlink r:id="rId14" w:anchor="diversifying-energy-supplies">
        <w:r>
          <w:rPr>
            <w:rFonts w:ascii="Times New Roman" w:eastAsia="Times New Roman" w:hAnsi="Times New Roman" w:cs="Times New Roman"/>
            <w:color w:val="1155CC"/>
            <w:u w:val="single"/>
          </w:rPr>
          <w:t>https://commission.europa.eu/topics/energy/repowereu_en#diversifying-energy-supplies</w:t>
        </w:r>
      </w:hyperlink>
      <w:r>
        <w:rPr>
          <w:rFonts w:ascii="Times New Roman" w:eastAsia="Times New Roman" w:hAnsi="Times New Roman" w:cs="Times New Roman"/>
          <w:color w:val="05103E"/>
        </w:rPr>
        <w:t xml:space="preserve"> </w:t>
      </w:r>
    </w:p>
    <w:p w14:paraId="305F64DE" w14:textId="77777777" w:rsidR="00B0291E" w:rsidRDefault="00B0291E">
      <w:pPr>
        <w:spacing w:line="360" w:lineRule="auto"/>
        <w:rPr>
          <w:rFonts w:ascii="Times New Roman" w:eastAsia="Times New Roman" w:hAnsi="Times New Roman" w:cs="Times New Roman"/>
          <w:color w:val="05103E"/>
        </w:rPr>
      </w:pPr>
    </w:p>
    <w:p w14:paraId="305F64DF"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rPr>
        <w:t xml:space="preserve">Russell, M. &amp; European Parliamentary Research Service. (2021). The Nord Stream 2 pipeline. In </w:t>
      </w:r>
      <w:r>
        <w:rPr>
          <w:rFonts w:ascii="Times New Roman" w:eastAsia="Times New Roman" w:hAnsi="Times New Roman" w:cs="Times New Roman"/>
          <w:i/>
          <w:iCs/>
        </w:rPr>
        <w:t>EPRS | European Parliamentary Research Service</w:t>
      </w:r>
      <w:r>
        <w:rPr>
          <w:rFonts w:ascii="Times New Roman" w:eastAsia="Times New Roman" w:hAnsi="Times New Roman" w:cs="Times New Roman"/>
        </w:rPr>
        <w:t xml:space="preserve"> (Report PE 690.705). </w:t>
      </w:r>
      <w:hyperlink r:id="rId15">
        <w:r>
          <w:rPr>
            <w:rFonts w:ascii="Times New Roman" w:eastAsia="Times New Roman" w:hAnsi="Times New Roman" w:cs="Times New Roman"/>
            <w:color w:val="1155CC"/>
            <w:u w:val="single"/>
          </w:rPr>
          <w:t>https://www.europarl.europa.eu/RegData/etudes/BRIE/2021/690705/EPRS_BRI(2021)690705_EN.pdf</w:t>
        </w:r>
      </w:hyperlink>
      <w:r>
        <w:rPr>
          <w:rFonts w:ascii="Times New Roman" w:eastAsia="Times New Roman" w:hAnsi="Times New Roman" w:cs="Times New Roman"/>
          <w:color w:val="05103E"/>
        </w:rPr>
        <w:t xml:space="preserve"> </w:t>
      </w:r>
    </w:p>
    <w:p w14:paraId="305F64E0" w14:textId="77777777" w:rsidR="00B0291E" w:rsidRDefault="00A966B5">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Danish Institute for International Studies. (2024, January 9). </w:t>
      </w:r>
      <w:r>
        <w:rPr>
          <w:rFonts w:ascii="Times New Roman" w:eastAsia="Times New Roman" w:hAnsi="Times New Roman" w:cs="Times New Roman"/>
          <w:i/>
          <w:iCs/>
          <w:sz w:val="24"/>
          <w:szCs w:val="24"/>
        </w:rPr>
        <w:t>Energy as a weapon - decoding blackmail tactics in Europe</w:t>
      </w:r>
      <w:r>
        <w:rPr>
          <w:rFonts w:ascii="Times New Roman" w:eastAsia="Times New Roman" w:hAnsi="Times New Roman" w:cs="Times New Roman"/>
          <w:sz w:val="24"/>
          <w:szCs w:val="24"/>
        </w:rPr>
        <w:t xml:space="preserve">. DIIS. </w:t>
      </w:r>
      <w:hyperlink r:id="rId16">
        <w:r>
          <w:rPr>
            <w:rFonts w:ascii="Times New Roman" w:eastAsia="Times New Roman" w:hAnsi="Times New Roman" w:cs="Times New Roman"/>
            <w:color w:val="1155CC"/>
            <w:sz w:val="24"/>
            <w:szCs w:val="24"/>
            <w:u w:val="single"/>
          </w:rPr>
          <w:t>https://www.diis.dk/en/research/energy-as-a-weapon-decoding-blackmail-tactics-in-europe</w:t>
        </w:r>
      </w:hyperlink>
      <w:r>
        <w:rPr>
          <w:rFonts w:ascii="Times New Roman" w:eastAsia="Times New Roman" w:hAnsi="Times New Roman" w:cs="Times New Roman"/>
          <w:sz w:val="24"/>
          <w:szCs w:val="24"/>
        </w:rPr>
        <w:t xml:space="preserve"> </w:t>
      </w:r>
    </w:p>
    <w:p w14:paraId="305F64E1" w14:textId="77777777" w:rsidR="00B0291E" w:rsidRDefault="00B0291E">
      <w:pPr>
        <w:spacing w:before="240" w:line="360" w:lineRule="auto"/>
        <w:rPr>
          <w:rFonts w:ascii="Times New Roman" w:eastAsia="Times New Roman" w:hAnsi="Times New Roman" w:cs="Times New Roman"/>
          <w:sz w:val="24"/>
          <w:szCs w:val="24"/>
        </w:rPr>
      </w:pPr>
    </w:p>
    <w:p w14:paraId="305F64E2" w14:textId="77777777" w:rsidR="00B0291E" w:rsidRDefault="00A966B5">
      <w:pPr>
        <w:spacing w:before="240" w:line="360" w:lineRule="auto"/>
        <w:rPr>
          <w:rFonts w:ascii="Times New Roman" w:eastAsia="Times New Roman" w:hAnsi="Times New Roman" w:cs="Times New Roman"/>
        </w:rPr>
      </w:pPr>
      <w:r>
        <w:rPr>
          <w:rFonts w:ascii="Times New Roman" w:eastAsia="Times New Roman" w:hAnsi="Times New Roman" w:cs="Times New Roman"/>
          <w:i/>
          <w:iCs/>
        </w:rPr>
        <w:t>Pioneers in clean energy</w:t>
      </w:r>
      <w:r>
        <w:rPr>
          <w:rFonts w:ascii="Times New Roman" w:eastAsia="Times New Roman" w:hAnsi="Times New Roman" w:cs="Times New Roman"/>
        </w:rPr>
        <w:t xml:space="preserve">. (n.d.). </w:t>
      </w:r>
      <w:hyperlink r:id="rId17">
        <w:r>
          <w:rPr>
            <w:rFonts w:ascii="Times New Roman" w:eastAsia="Times New Roman" w:hAnsi="Times New Roman" w:cs="Times New Roman"/>
            <w:color w:val="1155CC"/>
            <w:u w:val="single"/>
          </w:rPr>
          <w:t>https://denmark.dk/innovation-and-design/clean-energy</w:t>
        </w:r>
      </w:hyperlink>
      <w:r>
        <w:rPr>
          <w:rFonts w:ascii="Times New Roman" w:eastAsia="Times New Roman" w:hAnsi="Times New Roman" w:cs="Times New Roman"/>
        </w:rPr>
        <w:t xml:space="preserve"> </w:t>
      </w:r>
    </w:p>
    <w:p w14:paraId="305F64E3" w14:textId="77777777" w:rsidR="00B0291E" w:rsidRDefault="00A966B5">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Energy, D. F. (2026, April 20). In focus: EU energy security explained. </w:t>
      </w:r>
      <w:r>
        <w:rPr>
          <w:rFonts w:ascii="Times New Roman" w:eastAsia="Times New Roman" w:hAnsi="Times New Roman" w:cs="Times New Roman"/>
          <w:i/>
          <w:iCs/>
        </w:rPr>
        <w:t>Energy</w:t>
      </w:r>
      <w:r>
        <w:rPr>
          <w:rFonts w:ascii="Times New Roman" w:eastAsia="Times New Roman" w:hAnsi="Times New Roman" w:cs="Times New Roman"/>
        </w:rPr>
        <w:t xml:space="preserve">. </w:t>
      </w:r>
      <w:hyperlink r:id="rId18">
        <w:r>
          <w:rPr>
            <w:rFonts w:ascii="Times New Roman" w:eastAsia="Times New Roman" w:hAnsi="Times New Roman" w:cs="Times New Roman"/>
            <w:color w:val="1155CC"/>
            <w:u w:val="single"/>
          </w:rPr>
          <w:t>https://energy.ec.europa.eu/news/focus-eu-energy-security-explained-2026-04-20_en</w:t>
        </w:r>
      </w:hyperlink>
      <w:r>
        <w:rPr>
          <w:rFonts w:ascii="Times New Roman" w:eastAsia="Times New Roman" w:hAnsi="Times New Roman" w:cs="Times New Roman"/>
        </w:rPr>
        <w:t xml:space="preserve"> </w:t>
      </w:r>
    </w:p>
    <w:p w14:paraId="305F64E4" w14:textId="77777777" w:rsidR="00B0291E" w:rsidRDefault="00B0291E">
      <w:pPr>
        <w:spacing w:line="360" w:lineRule="auto"/>
        <w:rPr>
          <w:rFonts w:ascii="Times New Roman" w:eastAsia="Times New Roman" w:hAnsi="Times New Roman" w:cs="Times New Roman"/>
          <w:color w:val="05103E"/>
        </w:rPr>
      </w:pPr>
    </w:p>
    <w:p w14:paraId="305F64E5"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 xml:space="preserve">Eurelectric. (2025, June 19). </w:t>
      </w:r>
      <w:r>
        <w:rPr>
          <w:rFonts w:ascii="Times New Roman" w:eastAsia="Times New Roman" w:hAnsi="Times New Roman" w:cs="Times New Roman"/>
          <w:i/>
          <w:iCs/>
        </w:rPr>
        <w:t>Repowering Europe &amp; Delivering Clean Energy resilience - Manifesto for the 2024-2029 - EURElectric - Powering People</w:t>
      </w:r>
      <w:r>
        <w:rPr>
          <w:rFonts w:ascii="Times New Roman" w:eastAsia="Times New Roman" w:hAnsi="Times New Roman" w:cs="Times New Roman"/>
        </w:rPr>
        <w:t xml:space="preserve">. Eurelectric - Powering People. </w:t>
      </w:r>
      <w:hyperlink r:id="rId19">
        <w:r>
          <w:rPr>
            <w:rFonts w:ascii="Times New Roman" w:eastAsia="Times New Roman" w:hAnsi="Times New Roman" w:cs="Times New Roman"/>
            <w:color w:val="1155CC"/>
            <w:u w:val="single"/>
          </w:rPr>
          <w:t>https://www.eurelectric.org/publications/repowering-europe-delivering-clean-energy-resilience-manifesto-for-the-2024-2029/</w:t>
        </w:r>
      </w:hyperlink>
      <w:r>
        <w:rPr>
          <w:rFonts w:ascii="Times New Roman" w:eastAsia="Times New Roman" w:hAnsi="Times New Roman" w:cs="Times New Roman"/>
        </w:rPr>
        <w:t xml:space="preserve"> </w:t>
      </w:r>
    </w:p>
    <w:p w14:paraId="305F64E6" w14:textId="77777777" w:rsidR="00B0291E" w:rsidRDefault="00B0291E">
      <w:pPr>
        <w:spacing w:line="360" w:lineRule="auto"/>
        <w:rPr>
          <w:rFonts w:ascii="Times New Roman" w:eastAsia="Times New Roman" w:hAnsi="Times New Roman" w:cs="Times New Roman"/>
          <w:color w:val="05103E"/>
        </w:rPr>
      </w:pPr>
    </w:p>
    <w:p w14:paraId="305F64E7"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i/>
          <w:iCs/>
        </w:rPr>
        <w:t>The European Green Deal</w:t>
      </w:r>
      <w:r>
        <w:rPr>
          <w:rFonts w:ascii="Times New Roman" w:eastAsia="Times New Roman" w:hAnsi="Times New Roman" w:cs="Times New Roman"/>
        </w:rPr>
        <w:t xml:space="preserve">. (n.d.). European Commission. </w:t>
      </w:r>
      <w:hyperlink r:id="rId20">
        <w:r>
          <w:rPr>
            <w:rFonts w:ascii="Times New Roman" w:eastAsia="Times New Roman" w:hAnsi="Times New Roman" w:cs="Times New Roman"/>
            <w:color w:val="1155CC"/>
            <w:u w:val="single"/>
          </w:rPr>
          <w:t>https://commission.europa.eu/strategy-and-policy/priorities-2019-2024/european-green-deal_nl</w:t>
        </w:r>
      </w:hyperlink>
      <w:r>
        <w:rPr>
          <w:rFonts w:ascii="Times New Roman" w:eastAsia="Times New Roman" w:hAnsi="Times New Roman" w:cs="Times New Roman"/>
          <w:color w:val="05103E"/>
        </w:rPr>
        <w:t xml:space="preserve"> </w:t>
      </w:r>
    </w:p>
    <w:p w14:paraId="305F64E8" w14:textId="77777777" w:rsidR="00B0291E" w:rsidRDefault="00B0291E">
      <w:pPr>
        <w:spacing w:line="360" w:lineRule="auto"/>
        <w:rPr>
          <w:rFonts w:ascii="Times New Roman" w:eastAsia="Times New Roman" w:hAnsi="Times New Roman" w:cs="Times New Roman"/>
        </w:rPr>
      </w:pPr>
    </w:p>
    <w:p w14:paraId="305F64E9"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 xml:space="preserve">European Commission. (2025). </w:t>
      </w:r>
      <w:r>
        <w:rPr>
          <w:rFonts w:ascii="Times New Roman" w:eastAsia="Times New Roman" w:hAnsi="Times New Roman" w:cs="Times New Roman"/>
          <w:i/>
          <w:iCs/>
        </w:rPr>
        <w:t>The future of European competitiveness</w:t>
      </w:r>
      <w:r>
        <w:rPr>
          <w:rFonts w:ascii="Times New Roman" w:eastAsia="Times New Roman" w:hAnsi="Times New Roman" w:cs="Times New Roman"/>
        </w:rPr>
        <w:t>. Publications Office of the European Union</w:t>
      </w:r>
      <w:r>
        <w:rPr>
          <w:rFonts w:ascii="Times New Roman" w:eastAsia="Times New Roman" w:hAnsi="Times New Roman" w:cs="Times New Roman"/>
          <w:color w:val="05103E"/>
        </w:rPr>
        <w:t xml:space="preserve">. </w:t>
      </w:r>
      <w:hyperlink r:id="rId21">
        <w:r>
          <w:rPr>
            <w:rFonts w:ascii="Times New Roman" w:eastAsia="Times New Roman" w:hAnsi="Times New Roman" w:cs="Times New Roman"/>
            <w:color w:val="1155CC"/>
            <w:u w:val="single"/>
          </w:rPr>
          <w:t>https://doi.org/10.2872/9356120</w:t>
        </w:r>
      </w:hyperlink>
      <w:r>
        <w:rPr>
          <w:rFonts w:ascii="Times New Roman" w:eastAsia="Times New Roman" w:hAnsi="Times New Roman" w:cs="Times New Roman"/>
          <w:color w:val="05103E"/>
        </w:rPr>
        <w:t xml:space="preserve"> </w:t>
      </w:r>
    </w:p>
    <w:p w14:paraId="305F64EA" w14:textId="77777777" w:rsidR="00B0291E" w:rsidRDefault="00B0291E">
      <w:pPr>
        <w:spacing w:line="360" w:lineRule="auto"/>
        <w:rPr>
          <w:rFonts w:ascii="Times New Roman" w:eastAsia="Times New Roman" w:hAnsi="Times New Roman" w:cs="Times New Roman"/>
        </w:rPr>
      </w:pPr>
    </w:p>
    <w:p w14:paraId="305F64EB"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i/>
          <w:iCs/>
        </w:rPr>
        <w:t xml:space="preserve">Eurostat: Renewable energy statistics. </w:t>
      </w:r>
      <w:r>
        <w:rPr>
          <w:rFonts w:ascii="Times New Roman" w:eastAsia="Times New Roman" w:hAnsi="Times New Roman" w:cs="Times New Roman"/>
        </w:rPr>
        <w:t xml:space="preserve">(2025, December 16). European Union. </w:t>
      </w:r>
      <w:hyperlink r:id="rId22" w:anchor="Wind_and_water.2C_closely_followed_by_solar.2C_provide_most_renewable_electricity">
        <w:r>
          <w:rPr>
            <w:rFonts w:ascii="Times New Roman" w:eastAsia="Times New Roman" w:hAnsi="Times New Roman" w:cs="Times New Roman"/>
            <w:color w:val="1155CC"/>
            <w:u w:val="single"/>
          </w:rPr>
          <w:t>https://ec.europa.eu/eurostat/statistics-explained/index.php?title=Renewable_energy_statistics#Wind_and_water.2C_closely_followed_by_solar.2C_provide_most_renewable_electricity</w:t>
        </w:r>
      </w:hyperlink>
      <w:r>
        <w:rPr>
          <w:rFonts w:ascii="Times New Roman" w:eastAsia="Times New Roman" w:hAnsi="Times New Roman" w:cs="Times New Roman"/>
        </w:rPr>
        <w:t xml:space="preserve"> </w:t>
      </w:r>
    </w:p>
    <w:p w14:paraId="305F64EC" w14:textId="77777777" w:rsidR="00B0291E" w:rsidRDefault="00B0291E">
      <w:pPr>
        <w:spacing w:line="360" w:lineRule="auto"/>
        <w:rPr>
          <w:rFonts w:ascii="Times New Roman" w:eastAsia="Times New Roman" w:hAnsi="Times New Roman" w:cs="Times New Roman"/>
        </w:rPr>
      </w:pPr>
    </w:p>
    <w:p w14:paraId="305F64ED"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i/>
          <w:iCs/>
        </w:rPr>
        <w:t>Fuel, fear and falsehoods: Defending Europe and Ukraine from Russia’s</w:t>
      </w:r>
      <w:r>
        <w:rPr>
          <w:rFonts w:ascii="Times New Roman" w:eastAsia="Times New Roman" w:hAnsi="Times New Roman" w:cs="Times New Roman"/>
        </w:rPr>
        <w:t xml:space="preserve">. (2025, December 10). European Union Institute for Security Studies. </w:t>
      </w:r>
      <w:hyperlink r:id="rId23" w:anchor=":~:text=In%20the%20fourth%20year%20of,citizens%20from%20energy%2Dlinked%20disinformation">
        <w:r>
          <w:rPr>
            <w:rFonts w:ascii="Times New Roman" w:eastAsia="Times New Roman" w:hAnsi="Times New Roman" w:cs="Times New Roman"/>
            <w:color w:val="1155CC"/>
            <w:u w:val="single"/>
          </w:rPr>
          <w:t>https://www.iss.europa.eu/publications/commentary/fuel-fear-and-falsehoods-defending-europe-and-ukraine-russias-hybrid-energy#:~:text=In%20the%20fourth%20year%20of,citizens%20from%20energy%2Dlinked%20disinformation</w:t>
        </w:r>
      </w:hyperlink>
      <w:r>
        <w:rPr>
          <w:rFonts w:ascii="Times New Roman" w:eastAsia="Times New Roman" w:hAnsi="Times New Roman" w:cs="Times New Roman"/>
          <w:color w:val="05103E"/>
        </w:rPr>
        <w:t xml:space="preserve">. </w:t>
      </w:r>
    </w:p>
    <w:p w14:paraId="305F64EE" w14:textId="77777777" w:rsidR="00B0291E" w:rsidRDefault="00B0291E">
      <w:pPr>
        <w:spacing w:line="360" w:lineRule="auto"/>
        <w:rPr>
          <w:rFonts w:ascii="Times New Roman" w:eastAsia="Times New Roman" w:hAnsi="Times New Roman" w:cs="Times New Roman"/>
          <w:color w:val="05103E"/>
        </w:rPr>
      </w:pPr>
    </w:p>
    <w:p w14:paraId="305F64EF"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rPr>
        <w:t xml:space="preserve">Gasser, P., Lustenberger, P., Cinelli, M., Kim, W., Spada, M., Burgherr, P., Hirschberg, S., Stojadinovic, B., &amp; Sun, T. Y. (2019). A review on resilience assessment of energy systems. </w:t>
      </w:r>
      <w:r>
        <w:rPr>
          <w:rFonts w:ascii="Times New Roman" w:eastAsia="Times New Roman" w:hAnsi="Times New Roman" w:cs="Times New Roman"/>
          <w:i/>
          <w:iCs/>
        </w:rPr>
        <w:t>Sustainable And Resilient Infrastructure</w:t>
      </w:r>
      <w:r>
        <w:rPr>
          <w:rFonts w:ascii="Times New Roman" w:eastAsia="Times New Roman" w:hAnsi="Times New Roman" w:cs="Times New Roman"/>
        </w:rPr>
        <w:t xml:space="preserve">, </w:t>
      </w:r>
      <w:r>
        <w:rPr>
          <w:rFonts w:ascii="Times New Roman" w:eastAsia="Times New Roman" w:hAnsi="Times New Roman" w:cs="Times New Roman"/>
          <w:i/>
          <w:iCs/>
        </w:rPr>
        <w:t>6</w:t>
      </w:r>
      <w:r>
        <w:rPr>
          <w:rFonts w:ascii="Times New Roman" w:eastAsia="Times New Roman" w:hAnsi="Times New Roman" w:cs="Times New Roman"/>
        </w:rPr>
        <w:t xml:space="preserve">(5), 273–299. </w:t>
      </w:r>
      <w:hyperlink r:id="rId24">
        <w:r>
          <w:rPr>
            <w:rFonts w:ascii="Times New Roman" w:eastAsia="Times New Roman" w:hAnsi="Times New Roman" w:cs="Times New Roman"/>
            <w:color w:val="1155CC"/>
            <w:u w:val="single"/>
          </w:rPr>
          <w:t>https://doi.org/10.1080/23789689.2019.1610600</w:t>
        </w:r>
      </w:hyperlink>
      <w:r>
        <w:rPr>
          <w:rFonts w:ascii="Times New Roman" w:eastAsia="Times New Roman" w:hAnsi="Times New Roman" w:cs="Times New Roman"/>
          <w:color w:val="05103E"/>
        </w:rPr>
        <w:t xml:space="preserve"> </w:t>
      </w:r>
    </w:p>
    <w:p w14:paraId="305F64F0" w14:textId="77777777" w:rsidR="00B0291E" w:rsidRDefault="00B0291E">
      <w:pPr>
        <w:spacing w:line="360" w:lineRule="auto"/>
        <w:rPr>
          <w:rFonts w:ascii="Times New Roman" w:eastAsia="Times New Roman" w:hAnsi="Times New Roman" w:cs="Times New Roman"/>
          <w:color w:val="05103E"/>
        </w:rPr>
      </w:pPr>
    </w:p>
    <w:p w14:paraId="305F64F1"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i/>
          <w:iCs/>
        </w:rPr>
        <w:t>Renewable energy targets</w:t>
      </w:r>
      <w:r>
        <w:rPr>
          <w:rFonts w:ascii="Times New Roman" w:eastAsia="Times New Roman" w:hAnsi="Times New Roman" w:cs="Times New Roman"/>
        </w:rPr>
        <w:t xml:space="preserve">. (z.d.). Energy. </w:t>
      </w:r>
      <w:hyperlink r:id="rId25" w:anchor=":~:text=On%2018%20May%202022%2C%20the,countries%20on%2020%20November%202023">
        <w:r>
          <w:rPr>
            <w:rFonts w:ascii="Times New Roman" w:eastAsia="Times New Roman" w:hAnsi="Times New Roman" w:cs="Times New Roman"/>
            <w:color w:val="1155CC"/>
            <w:u w:val="single"/>
          </w:rPr>
          <w:t>https://energy.ec.europa.eu/topics/renewable-energy/renewable-energy-directive-targets-and-rules/renewable-energy-targets_en#:~:text=On%2018%20May%202022%2C%20the,countries%20on%2020%20November%202023</w:t>
        </w:r>
      </w:hyperlink>
      <w:r>
        <w:rPr>
          <w:rFonts w:ascii="Times New Roman" w:eastAsia="Times New Roman" w:hAnsi="Times New Roman" w:cs="Times New Roman"/>
          <w:color w:val="05103E"/>
        </w:rPr>
        <w:t xml:space="preserve">. </w:t>
      </w:r>
    </w:p>
    <w:p w14:paraId="305F64F2" w14:textId="77777777" w:rsidR="00B0291E" w:rsidRDefault="00B0291E">
      <w:pPr>
        <w:spacing w:line="360" w:lineRule="auto"/>
        <w:rPr>
          <w:rFonts w:ascii="Times New Roman" w:eastAsia="Times New Roman" w:hAnsi="Times New Roman" w:cs="Times New Roman"/>
          <w:color w:val="05103E"/>
        </w:rPr>
      </w:pPr>
    </w:p>
    <w:p w14:paraId="305F64F3"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i/>
          <w:iCs/>
        </w:rPr>
        <w:t>On a war footing: Securing critical energy infrastructure</w:t>
      </w:r>
      <w:r>
        <w:rPr>
          <w:rFonts w:ascii="Times New Roman" w:eastAsia="Times New Roman" w:hAnsi="Times New Roman" w:cs="Times New Roman"/>
        </w:rPr>
        <w:t xml:space="preserve">. (2025, August 27). European Union Institute for Security Studies. </w:t>
      </w:r>
      <w:hyperlink r:id="rId26" w:anchor=":~:text=Europe's%20energy%20system%20is%20under,on%20a%20war%20footing">
        <w:r>
          <w:rPr>
            <w:rFonts w:ascii="Times New Roman" w:eastAsia="Times New Roman" w:hAnsi="Times New Roman" w:cs="Times New Roman"/>
            <w:color w:val="1155CC"/>
            <w:u w:val="single"/>
          </w:rPr>
          <w:t>https://www.iss.europa.eu/publications/briefs/war-footing-securing-critical-energy-infrastructure#:~:text=Europe's%20energy%20system%20is%20under,on%20a%20war%20footing</w:t>
        </w:r>
      </w:hyperlink>
      <w:r>
        <w:rPr>
          <w:rFonts w:ascii="Times New Roman" w:eastAsia="Times New Roman" w:hAnsi="Times New Roman" w:cs="Times New Roman"/>
          <w:color w:val="05103E"/>
        </w:rPr>
        <w:t xml:space="preserve">. </w:t>
      </w:r>
    </w:p>
    <w:p w14:paraId="305F64F4" w14:textId="77777777" w:rsidR="00B0291E" w:rsidRDefault="00B0291E">
      <w:pPr>
        <w:spacing w:line="360" w:lineRule="auto"/>
        <w:rPr>
          <w:rFonts w:ascii="Times New Roman" w:eastAsia="Times New Roman" w:hAnsi="Times New Roman" w:cs="Times New Roman"/>
          <w:color w:val="05103E"/>
        </w:rPr>
      </w:pPr>
    </w:p>
    <w:p w14:paraId="305F64F5"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rPr>
        <w:t xml:space="preserve">NATO. (2022). </w:t>
      </w:r>
      <w:r>
        <w:rPr>
          <w:rFonts w:ascii="Times New Roman" w:eastAsia="Times New Roman" w:hAnsi="Times New Roman" w:cs="Times New Roman"/>
          <w:i/>
          <w:iCs/>
        </w:rPr>
        <w:t>NATO 2022 STRATEGIC CONCEPT</w:t>
      </w:r>
      <w:r>
        <w:rPr>
          <w:rFonts w:ascii="Times New Roman" w:eastAsia="Times New Roman" w:hAnsi="Times New Roman" w:cs="Times New Roman"/>
        </w:rPr>
        <w:t xml:space="preserve">. </w:t>
      </w:r>
      <w:hyperlink r:id="rId27">
        <w:r>
          <w:rPr>
            <w:rFonts w:ascii="Times New Roman" w:eastAsia="Times New Roman" w:hAnsi="Times New Roman" w:cs="Times New Roman"/>
            <w:color w:val="1155CC"/>
            <w:u w:val="single"/>
          </w:rPr>
          <w:t>https://www.nato.int/nato_static_fl2014/assets/pdf/2022/6/pdf/290622-strategic-concept.pdf</w:t>
        </w:r>
      </w:hyperlink>
      <w:r>
        <w:rPr>
          <w:rFonts w:ascii="Times New Roman" w:eastAsia="Times New Roman" w:hAnsi="Times New Roman" w:cs="Times New Roman"/>
          <w:color w:val="05103E"/>
        </w:rPr>
        <w:t xml:space="preserve"> </w:t>
      </w:r>
    </w:p>
    <w:p w14:paraId="305F64F6" w14:textId="77777777" w:rsidR="00B0291E" w:rsidRDefault="00B0291E">
      <w:pPr>
        <w:spacing w:line="360" w:lineRule="auto"/>
        <w:rPr>
          <w:rFonts w:ascii="Times New Roman" w:eastAsia="Times New Roman" w:hAnsi="Times New Roman" w:cs="Times New Roman"/>
        </w:rPr>
      </w:pPr>
    </w:p>
    <w:p w14:paraId="305F64F7"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rPr>
        <w:t xml:space="preserve">Erbach, G. &amp; European Parliamentary Research Service. (2015). </w:t>
      </w:r>
      <w:r>
        <w:rPr>
          <w:rFonts w:ascii="Times New Roman" w:eastAsia="Times New Roman" w:hAnsi="Times New Roman" w:cs="Times New Roman"/>
          <w:i/>
          <w:iCs/>
        </w:rPr>
        <w:t>Tracking European Commission priority initiatives in 2015 – Number 1. Energy Union</w:t>
      </w:r>
      <w:r>
        <w:rPr>
          <w:rFonts w:ascii="Times New Roman" w:eastAsia="Times New Roman" w:hAnsi="Times New Roman" w:cs="Times New Roman"/>
        </w:rPr>
        <w:t xml:space="preserve"> [Report]. </w:t>
      </w:r>
      <w:hyperlink r:id="rId28">
        <w:r>
          <w:rPr>
            <w:rFonts w:ascii="Times New Roman" w:eastAsia="Times New Roman" w:hAnsi="Times New Roman" w:cs="Times New Roman"/>
            <w:color w:val="1155CC"/>
            <w:u w:val="single"/>
          </w:rPr>
          <w:t>https://www.europarl.europa.eu/RegData/etudes/BRIE/2015/551310/EPRS_BRI(2015)551310_EN.pdf</w:t>
        </w:r>
      </w:hyperlink>
      <w:r>
        <w:rPr>
          <w:rFonts w:ascii="Times New Roman" w:eastAsia="Times New Roman" w:hAnsi="Times New Roman" w:cs="Times New Roman"/>
          <w:color w:val="05103E"/>
        </w:rPr>
        <w:t xml:space="preserve"> </w:t>
      </w:r>
    </w:p>
    <w:p w14:paraId="305F64F8"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rPr>
        <w:t xml:space="preserve">Munster, B., &amp; Clark, S. (2025, December 17). China poses major risk to Europe’s energy grids, top NATO official warns. </w:t>
      </w:r>
      <w:r>
        <w:rPr>
          <w:rFonts w:ascii="Times New Roman" w:eastAsia="Times New Roman" w:hAnsi="Times New Roman" w:cs="Times New Roman"/>
          <w:i/>
          <w:iCs/>
        </w:rPr>
        <w:t>POLITICO</w:t>
      </w:r>
      <w:r>
        <w:rPr>
          <w:rFonts w:ascii="Times New Roman" w:eastAsia="Times New Roman" w:hAnsi="Times New Roman" w:cs="Times New Roman"/>
        </w:rPr>
        <w:t xml:space="preserve">. </w:t>
      </w:r>
      <w:hyperlink r:id="rId29">
        <w:r>
          <w:rPr>
            <w:rFonts w:ascii="Times New Roman" w:eastAsia="Times New Roman" w:hAnsi="Times New Roman" w:cs="Times New Roman"/>
            <w:color w:val="1155CC"/>
            <w:u w:val="single"/>
          </w:rPr>
          <w:t>https://www.politico.eu/article/china-poses-major-risk-to-europes-energy-grids-top-nato-official-radmila-sekerinska-warns/</w:t>
        </w:r>
      </w:hyperlink>
      <w:r>
        <w:rPr>
          <w:rFonts w:ascii="Times New Roman" w:eastAsia="Times New Roman" w:hAnsi="Times New Roman" w:cs="Times New Roman"/>
          <w:color w:val="05103E"/>
        </w:rPr>
        <w:t xml:space="preserve"> </w:t>
      </w:r>
    </w:p>
    <w:p w14:paraId="305F64F9" w14:textId="77777777" w:rsidR="00B0291E" w:rsidRDefault="00B0291E">
      <w:pPr>
        <w:spacing w:line="360" w:lineRule="auto"/>
        <w:rPr>
          <w:rFonts w:ascii="Times New Roman" w:eastAsia="Times New Roman" w:hAnsi="Times New Roman" w:cs="Times New Roman"/>
          <w:color w:val="05103E"/>
        </w:rPr>
      </w:pPr>
    </w:p>
    <w:p w14:paraId="305F64FA"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rPr>
        <w:t xml:space="preserve">Fuh, G. (2024, September 9). </w:t>
      </w:r>
      <w:r>
        <w:rPr>
          <w:rFonts w:ascii="Times New Roman" w:eastAsia="Times New Roman" w:hAnsi="Times New Roman" w:cs="Times New Roman"/>
          <w:i/>
          <w:iCs/>
        </w:rPr>
        <w:t>What’s the difference between green, renewable, and clean energy?</w:t>
      </w:r>
      <w:r>
        <w:rPr>
          <w:rFonts w:ascii="Times New Roman" w:eastAsia="Times New Roman" w:hAnsi="Times New Roman" w:cs="Times New Roman"/>
        </w:rPr>
        <w:t xml:space="preserve"> BECIS.</w:t>
      </w:r>
      <w:r>
        <w:rPr>
          <w:rFonts w:ascii="Times New Roman" w:eastAsia="Times New Roman" w:hAnsi="Times New Roman" w:cs="Times New Roman"/>
          <w:color w:val="05103E"/>
        </w:rPr>
        <w:t xml:space="preserve"> </w:t>
      </w:r>
      <w:hyperlink r:id="rId30">
        <w:r>
          <w:rPr>
            <w:rFonts w:ascii="Times New Roman" w:eastAsia="Times New Roman" w:hAnsi="Times New Roman" w:cs="Times New Roman"/>
            <w:color w:val="1155CC"/>
            <w:u w:val="single"/>
          </w:rPr>
          <w:t>https://be-cis.com/green-vs-renewable-vs-clean-energy-differences/</w:t>
        </w:r>
      </w:hyperlink>
      <w:r>
        <w:rPr>
          <w:rFonts w:ascii="Times New Roman" w:eastAsia="Times New Roman" w:hAnsi="Times New Roman" w:cs="Times New Roman"/>
          <w:color w:val="05103E"/>
        </w:rPr>
        <w:t xml:space="preserve"> </w:t>
      </w:r>
    </w:p>
    <w:p w14:paraId="305F64FB" w14:textId="77777777" w:rsidR="00B0291E" w:rsidRDefault="00B0291E">
      <w:pPr>
        <w:spacing w:line="360" w:lineRule="auto"/>
        <w:rPr>
          <w:rFonts w:ascii="Times New Roman" w:eastAsia="Times New Roman" w:hAnsi="Times New Roman" w:cs="Times New Roman"/>
          <w:color w:val="05103E"/>
        </w:rPr>
      </w:pPr>
    </w:p>
    <w:p w14:paraId="305F64FC"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i/>
          <w:iCs/>
        </w:rPr>
        <w:t>Strengthening EU resilience: hybrid threats and critical entities</w:t>
      </w:r>
      <w:r>
        <w:rPr>
          <w:rFonts w:ascii="Times New Roman" w:eastAsia="Times New Roman" w:hAnsi="Times New Roman" w:cs="Times New Roman"/>
        </w:rPr>
        <w:t xml:space="preserve">. (n.d.). The Joint Research Centre: EU Science Hub. </w:t>
      </w:r>
      <w:hyperlink r:id="rId31">
        <w:r>
          <w:rPr>
            <w:rFonts w:ascii="Times New Roman" w:eastAsia="Times New Roman" w:hAnsi="Times New Roman" w:cs="Times New Roman"/>
            <w:color w:val="1155CC"/>
            <w:u w:val="single"/>
          </w:rPr>
          <w:t>https://joint-research-centre.ec.europa.eu/projects-and-activities/strengthening-eu-resilience-hybrid-threats-and-critical-entities_en</w:t>
        </w:r>
      </w:hyperlink>
      <w:r>
        <w:rPr>
          <w:rFonts w:ascii="Times New Roman" w:eastAsia="Times New Roman" w:hAnsi="Times New Roman" w:cs="Times New Roman"/>
          <w:color w:val="05103E"/>
        </w:rPr>
        <w:t xml:space="preserve"> </w:t>
      </w:r>
    </w:p>
    <w:p w14:paraId="305F64FD" w14:textId="77777777" w:rsidR="00B0291E" w:rsidRDefault="00B0291E">
      <w:pPr>
        <w:spacing w:line="360" w:lineRule="auto"/>
        <w:rPr>
          <w:rFonts w:ascii="Times New Roman" w:eastAsia="Times New Roman" w:hAnsi="Times New Roman" w:cs="Times New Roman"/>
          <w:color w:val="05103E"/>
        </w:rPr>
      </w:pPr>
    </w:p>
    <w:p w14:paraId="305F64FE" w14:textId="77777777" w:rsidR="00B0291E" w:rsidRDefault="00A966B5">
      <w:pPr>
        <w:spacing w:line="360" w:lineRule="auto"/>
        <w:rPr>
          <w:rFonts w:ascii="Times New Roman" w:eastAsia="Times New Roman" w:hAnsi="Times New Roman" w:cs="Times New Roman"/>
          <w:color w:val="05103E"/>
        </w:rPr>
      </w:pPr>
      <w:r>
        <w:rPr>
          <w:rFonts w:ascii="Times New Roman" w:eastAsia="Times New Roman" w:hAnsi="Times New Roman" w:cs="Times New Roman"/>
        </w:rPr>
        <w:t xml:space="preserve">Martišauskas, L., Augutis, J., Krikštolaitis, R., Urbonas, R., Šarūnienė, I., &amp; Kopustinskas, V. (2022). A Framework to Assess the Resilience of Energy Systems Based on Quantitative Indicators. </w:t>
      </w:r>
      <w:r>
        <w:rPr>
          <w:rFonts w:ascii="Times New Roman" w:eastAsia="Times New Roman" w:hAnsi="Times New Roman" w:cs="Times New Roman"/>
          <w:i/>
          <w:iCs/>
        </w:rPr>
        <w:t>Energies</w:t>
      </w:r>
      <w:r>
        <w:rPr>
          <w:rFonts w:ascii="Times New Roman" w:eastAsia="Times New Roman" w:hAnsi="Times New Roman" w:cs="Times New Roman"/>
        </w:rPr>
        <w:t xml:space="preserve">, </w:t>
      </w:r>
      <w:r>
        <w:rPr>
          <w:rFonts w:ascii="Times New Roman" w:eastAsia="Times New Roman" w:hAnsi="Times New Roman" w:cs="Times New Roman"/>
          <w:i/>
          <w:iCs/>
        </w:rPr>
        <w:t>15</w:t>
      </w:r>
      <w:r>
        <w:rPr>
          <w:rFonts w:ascii="Times New Roman" w:eastAsia="Times New Roman" w:hAnsi="Times New Roman" w:cs="Times New Roman"/>
        </w:rPr>
        <w:t>(11), 4040.</w:t>
      </w:r>
      <w:r>
        <w:rPr>
          <w:rFonts w:ascii="Times New Roman" w:eastAsia="Times New Roman" w:hAnsi="Times New Roman" w:cs="Times New Roman"/>
          <w:color w:val="05103E"/>
        </w:rPr>
        <w:t xml:space="preserve"> </w:t>
      </w:r>
      <w:hyperlink r:id="rId32">
        <w:r>
          <w:rPr>
            <w:rFonts w:ascii="Times New Roman" w:eastAsia="Times New Roman" w:hAnsi="Times New Roman" w:cs="Times New Roman"/>
            <w:color w:val="1155CC"/>
            <w:u w:val="single"/>
          </w:rPr>
          <w:t>https://doi.org/10.3390/en15114040</w:t>
        </w:r>
      </w:hyperlink>
      <w:r>
        <w:rPr>
          <w:rFonts w:ascii="Times New Roman" w:eastAsia="Times New Roman" w:hAnsi="Times New Roman" w:cs="Times New Roman"/>
          <w:color w:val="05103E"/>
        </w:rPr>
        <w:t xml:space="preserve"> </w:t>
      </w:r>
    </w:p>
    <w:p w14:paraId="305F64FF" w14:textId="77777777" w:rsidR="00B0291E" w:rsidRDefault="00B0291E">
      <w:pPr>
        <w:spacing w:line="360" w:lineRule="auto"/>
        <w:rPr>
          <w:color w:val="05103E"/>
          <w:sz w:val="24"/>
          <w:szCs w:val="24"/>
        </w:rPr>
      </w:pPr>
    </w:p>
    <w:p w14:paraId="305F6500"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The International Energy Agency. World Energy Outlook (2022)</w:t>
      </w:r>
    </w:p>
    <w:p w14:paraId="305F6501" w14:textId="77777777" w:rsidR="00B0291E" w:rsidRDefault="00A966B5">
      <w:pPr>
        <w:spacing w:line="360" w:lineRule="auto"/>
        <w:rPr>
          <w:rFonts w:ascii="Times New Roman" w:eastAsia="Times New Roman" w:hAnsi="Times New Roman" w:cs="Times New Roman"/>
        </w:rPr>
      </w:pPr>
      <w:hyperlink r:id="rId33">
        <w:r>
          <w:rPr>
            <w:rFonts w:ascii="Times New Roman" w:eastAsia="Times New Roman" w:hAnsi="Times New Roman" w:cs="Times New Roman"/>
            <w:color w:val="1155CC"/>
            <w:u w:val="single"/>
          </w:rPr>
          <w:t>https://www.iea.org/reports/world-energy-outlook-2022/energy-security-in-energy-transitions</w:t>
        </w:r>
      </w:hyperlink>
      <w:r>
        <w:rPr>
          <w:rFonts w:ascii="Times New Roman" w:eastAsia="Times New Roman" w:hAnsi="Times New Roman" w:cs="Times New Roman"/>
        </w:rPr>
        <w:t xml:space="preserve"> </w:t>
      </w:r>
    </w:p>
    <w:p w14:paraId="305F6502" w14:textId="77777777" w:rsidR="00B0291E" w:rsidRDefault="00B0291E">
      <w:pPr>
        <w:rPr>
          <w:rFonts w:ascii="Times New Roman" w:eastAsia="Times New Roman" w:hAnsi="Times New Roman" w:cs="Times New Roman"/>
        </w:rPr>
      </w:pPr>
    </w:p>
    <w:p w14:paraId="305F6503" w14:textId="77777777" w:rsidR="00B0291E" w:rsidRDefault="00A966B5">
      <w:pPr>
        <w:rPr>
          <w:rFonts w:ascii="Times New Roman" w:eastAsia="Times New Roman" w:hAnsi="Times New Roman" w:cs="Times New Roman"/>
        </w:rPr>
      </w:pPr>
      <w:r>
        <w:rPr>
          <w:rFonts w:ascii="Times New Roman" w:eastAsia="Times New Roman" w:hAnsi="Times New Roman" w:cs="Times New Roman"/>
        </w:rPr>
        <w:t xml:space="preserve">Holman, R. (2025, June 17). </w:t>
      </w:r>
      <w:r>
        <w:rPr>
          <w:rFonts w:ascii="Times New Roman" w:eastAsia="Times New Roman" w:hAnsi="Times New Roman" w:cs="Times New Roman"/>
          <w:i/>
          <w:iCs/>
        </w:rPr>
        <w:t>How the energy crisis sped up Europe’s green transition</w:t>
      </w:r>
      <w:r>
        <w:rPr>
          <w:rFonts w:ascii="Times New Roman" w:eastAsia="Times New Roman" w:hAnsi="Times New Roman" w:cs="Times New Roman"/>
        </w:rPr>
        <w:t xml:space="preserve">. European Investment Bank. </w:t>
      </w:r>
      <w:hyperlink r:id="rId34">
        <w:r>
          <w:rPr>
            <w:rFonts w:ascii="Times New Roman" w:eastAsia="Times New Roman" w:hAnsi="Times New Roman" w:cs="Times New Roman"/>
            <w:color w:val="1155CC"/>
            <w:u w:val="single"/>
          </w:rPr>
          <w:t>https://www.eib.org/en/essays/europe-energy-transition-renewable</w:t>
        </w:r>
      </w:hyperlink>
      <w:r>
        <w:rPr>
          <w:rFonts w:ascii="Times New Roman" w:eastAsia="Times New Roman" w:hAnsi="Times New Roman" w:cs="Times New Roman"/>
        </w:rPr>
        <w:t xml:space="preserve"> </w:t>
      </w:r>
    </w:p>
    <w:p w14:paraId="305F6504" w14:textId="77777777" w:rsidR="00B0291E" w:rsidRDefault="00B0291E">
      <w:pPr>
        <w:rPr>
          <w:rFonts w:ascii="Times New Roman" w:eastAsia="Times New Roman" w:hAnsi="Times New Roman" w:cs="Times New Roman"/>
        </w:rPr>
      </w:pPr>
    </w:p>
    <w:p w14:paraId="305F6505"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 xml:space="preserve">Leddy, L., Hotchkiss, E., &amp; Applegate, H. (2024). </w:t>
      </w:r>
      <w:r>
        <w:rPr>
          <w:rFonts w:ascii="Times New Roman" w:eastAsia="Times New Roman" w:hAnsi="Times New Roman" w:cs="Times New Roman"/>
          <w:i/>
          <w:iCs/>
        </w:rPr>
        <w:t>Conceptualizing energy security and resilience</w:t>
      </w:r>
      <w:r>
        <w:rPr>
          <w:rFonts w:ascii="Times New Roman" w:eastAsia="Times New Roman" w:hAnsi="Times New Roman" w:cs="Times New Roman"/>
        </w:rPr>
        <w:t xml:space="preserve"> (NREL/PO-5R00-89206). National Renewable Energy Laboratory.</w:t>
      </w:r>
      <w:hyperlink r:id="rId35">
        <w:r>
          <w:rPr>
            <w:rFonts w:ascii="Times New Roman" w:eastAsia="Times New Roman" w:hAnsi="Times New Roman" w:cs="Times New Roman"/>
          </w:rPr>
          <w:t xml:space="preserve"> </w:t>
        </w:r>
      </w:hyperlink>
      <w:hyperlink r:id="rId36">
        <w:r>
          <w:rPr>
            <w:rFonts w:ascii="Times New Roman" w:eastAsia="Times New Roman" w:hAnsi="Times New Roman" w:cs="Times New Roman"/>
            <w:color w:val="1155CC"/>
            <w:u w:val="single"/>
          </w:rPr>
          <w:t>https://docs.nrel.gov/docs/fy24osti/89206.pdf</w:t>
        </w:r>
      </w:hyperlink>
    </w:p>
    <w:p w14:paraId="305F6506" w14:textId="77777777" w:rsidR="00B0291E" w:rsidRDefault="00B0291E">
      <w:pPr>
        <w:spacing w:line="360" w:lineRule="auto"/>
        <w:rPr>
          <w:rFonts w:ascii="Times New Roman" w:eastAsia="Times New Roman" w:hAnsi="Times New Roman" w:cs="Times New Roman"/>
        </w:rPr>
      </w:pPr>
    </w:p>
    <w:p w14:paraId="305F6507"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rPr>
        <w:t xml:space="preserve">Trushkina, N. (2025). ENERGY SECURITY AS A FACTOR OF POLITICAL STABILITY IN THE EUROPEAN UNION. </w:t>
      </w:r>
      <w:r>
        <w:rPr>
          <w:rFonts w:ascii="Times New Roman" w:eastAsia="Times New Roman" w:hAnsi="Times New Roman" w:cs="Times New Roman"/>
          <w:i/>
          <w:iCs/>
        </w:rPr>
        <w:t>Politics &amp; Security</w:t>
      </w:r>
      <w:r>
        <w:rPr>
          <w:rFonts w:ascii="Times New Roman" w:eastAsia="Times New Roman" w:hAnsi="Times New Roman" w:cs="Times New Roman"/>
        </w:rPr>
        <w:t xml:space="preserve">, </w:t>
      </w:r>
      <w:r>
        <w:rPr>
          <w:rFonts w:ascii="Times New Roman" w:eastAsia="Times New Roman" w:hAnsi="Times New Roman" w:cs="Times New Roman"/>
          <w:i/>
          <w:iCs/>
        </w:rPr>
        <w:t>12</w:t>
      </w:r>
      <w:r>
        <w:rPr>
          <w:rFonts w:ascii="Times New Roman" w:eastAsia="Times New Roman" w:hAnsi="Times New Roman" w:cs="Times New Roman"/>
        </w:rPr>
        <w:t xml:space="preserve">(2), 72–87. </w:t>
      </w:r>
      <w:hyperlink r:id="rId37">
        <w:r>
          <w:rPr>
            <w:rFonts w:ascii="Times New Roman" w:eastAsia="Times New Roman" w:hAnsi="Times New Roman" w:cs="Times New Roman"/>
            <w:color w:val="1155CC"/>
            <w:u w:val="single"/>
          </w:rPr>
          <w:t>https://doi.org/10.54658/ps.28153324.2025.12.2.pp.72-87</w:t>
        </w:r>
      </w:hyperlink>
      <w:r>
        <w:rPr>
          <w:rFonts w:ascii="Times New Roman" w:eastAsia="Times New Roman" w:hAnsi="Times New Roman" w:cs="Times New Roman"/>
        </w:rPr>
        <w:t xml:space="preserve"> </w:t>
      </w:r>
    </w:p>
    <w:p w14:paraId="305F6508" w14:textId="77777777" w:rsidR="00B0291E" w:rsidRDefault="00B0291E">
      <w:pPr>
        <w:spacing w:line="360" w:lineRule="auto"/>
        <w:rPr>
          <w:rFonts w:ascii="Times New Roman" w:eastAsia="Times New Roman" w:hAnsi="Times New Roman" w:cs="Times New Roman"/>
        </w:rPr>
      </w:pPr>
    </w:p>
    <w:p w14:paraId="305F6509" w14:textId="77777777" w:rsidR="00B0291E" w:rsidRDefault="00A966B5">
      <w:pPr>
        <w:spacing w:line="360" w:lineRule="auto"/>
        <w:rPr>
          <w:rFonts w:ascii="Times New Roman" w:eastAsia="Times New Roman" w:hAnsi="Times New Roman" w:cs="Times New Roman"/>
        </w:rPr>
      </w:pPr>
      <w:r>
        <w:rPr>
          <w:rFonts w:ascii="Times New Roman" w:eastAsia="Times New Roman" w:hAnsi="Times New Roman" w:cs="Times New Roman"/>
          <w:i/>
          <w:iCs/>
        </w:rPr>
        <w:t>Energy as a geopolitical weapon</w:t>
      </w:r>
      <w:r>
        <w:rPr>
          <w:rFonts w:ascii="Times New Roman" w:eastAsia="Times New Roman" w:hAnsi="Times New Roman" w:cs="Times New Roman"/>
        </w:rPr>
        <w:t xml:space="preserve">. (2025, September 26). EuropeanRelations.com. </w:t>
      </w:r>
      <w:hyperlink r:id="rId38">
        <w:r>
          <w:rPr>
            <w:rFonts w:ascii="Times New Roman" w:eastAsia="Times New Roman" w:hAnsi="Times New Roman" w:cs="Times New Roman"/>
            <w:color w:val="1155CC"/>
            <w:u w:val="single"/>
          </w:rPr>
          <w:t>https://europeanrelations.com/energy-as-a-geopolitical-weapon/</w:t>
        </w:r>
      </w:hyperlink>
      <w:r>
        <w:rPr>
          <w:rFonts w:ascii="Times New Roman" w:eastAsia="Times New Roman" w:hAnsi="Times New Roman" w:cs="Times New Roman"/>
        </w:rPr>
        <w:t xml:space="preserve"> </w:t>
      </w:r>
    </w:p>
    <w:p w14:paraId="305F650A" w14:textId="77777777" w:rsidR="00B0291E" w:rsidRDefault="00B0291E">
      <w:pPr>
        <w:spacing w:line="360" w:lineRule="auto"/>
        <w:rPr>
          <w:rFonts w:ascii="Times New Roman" w:eastAsia="Times New Roman" w:hAnsi="Times New Roman" w:cs="Times New Roman"/>
        </w:rPr>
      </w:pPr>
    </w:p>
    <w:p w14:paraId="305F650B" w14:textId="77777777" w:rsidR="00B0291E" w:rsidRDefault="00A966B5">
      <w:pPr>
        <w:spacing w:before="240" w:line="360" w:lineRule="auto"/>
        <w:rPr>
          <w:rFonts w:ascii="Times New Roman" w:eastAsia="Times New Roman" w:hAnsi="Times New Roman" w:cs="Times New Roman"/>
        </w:rPr>
      </w:pPr>
      <w:r>
        <w:rPr>
          <w:rFonts w:ascii="Times New Roman" w:eastAsia="Times New Roman" w:hAnsi="Times New Roman" w:cs="Times New Roman"/>
        </w:rPr>
        <w:t xml:space="preserve">Westphal, K., &amp; Politik, S. W. U. (2021). Strategic sovereignty in energy affairs. </w:t>
      </w:r>
      <w:r>
        <w:rPr>
          <w:rFonts w:ascii="Times New Roman" w:eastAsia="Times New Roman" w:hAnsi="Times New Roman" w:cs="Times New Roman"/>
          <w:i/>
          <w:iCs/>
        </w:rPr>
        <w:t>Social Science Open Access Repository (GESIS – Leibniz Institute for the Social Sciences)</w:t>
      </w:r>
      <w:r>
        <w:rPr>
          <w:rFonts w:ascii="Times New Roman" w:eastAsia="Times New Roman" w:hAnsi="Times New Roman" w:cs="Times New Roman"/>
        </w:rPr>
        <w:t xml:space="preserve">. </w:t>
      </w:r>
      <w:hyperlink r:id="rId39">
        <w:r>
          <w:rPr>
            <w:rFonts w:ascii="Times New Roman" w:eastAsia="Times New Roman" w:hAnsi="Times New Roman" w:cs="Times New Roman"/>
            <w:color w:val="1155CC"/>
            <w:u w:val="single"/>
          </w:rPr>
          <w:t>https://doi.org/10.18449/2021c07</w:t>
        </w:r>
      </w:hyperlink>
      <w:r>
        <w:rPr>
          <w:rFonts w:ascii="Times New Roman" w:eastAsia="Times New Roman" w:hAnsi="Times New Roman" w:cs="Times New Roman"/>
        </w:rPr>
        <w:t xml:space="preserve"> </w:t>
      </w:r>
    </w:p>
    <w:p w14:paraId="305F650C" w14:textId="77777777" w:rsidR="00B0291E" w:rsidRDefault="00A966B5">
      <w:pPr>
        <w:spacing w:before="240" w:line="360" w:lineRule="auto"/>
        <w:rPr>
          <w:rFonts w:ascii="Times New Roman" w:eastAsia="Times New Roman" w:hAnsi="Times New Roman" w:cs="Times New Roman"/>
          <w:sz w:val="20"/>
          <w:szCs w:val="20"/>
        </w:rPr>
      </w:pPr>
      <w:r>
        <w:rPr>
          <w:rFonts w:ascii="Times New Roman" w:eastAsia="Times New Roman" w:hAnsi="Times New Roman" w:cs="Times New Roman"/>
        </w:rPr>
        <w:lastRenderedPageBreak/>
        <w:t xml:space="preserve">Molina, P. S. (2026, May 16). </w:t>
      </w:r>
      <w:r>
        <w:rPr>
          <w:rFonts w:ascii="Times New Roman" w:eastAsia="Times New Roman" w:hAnsi="Times New Roman" w:cs="Times New Roman"/>
          <w:i/>
          <w:iCs/>
        </w:rPr>
        <w:t>Spain, Denmark could develop European green hydrogen corridor for €2/kg by combining solar and offshore wind</w:t>
      </w:r>
      <w:r>
        <w:rPr>
          <w:rFonts w:ascii="Times New Roman" w:eastAsia="Times New Roman" w:hAnsi="Times New Roman" w:cs="Times New Roman"/>
        </w:rPr>
        <w:t xml:space="preserve">. Pv Magazine International. </w:t>
      </w:r>
      <w:hyperlink r:id="rId40">
        <w:r>
          <w:rPr>
            <w:rFonts w:ascii="Times New Roman" w:eastAsia="Times New Roman" w:hAnsi="Times New Roman" w:cs="Times New Roman"/>
            <w:color w:val="1155CC"/>
            <w:u w:val="single"/>
          </w:rPr>
          <w:t>https://www.pv-magazine.com/2026/05/16/spain-denmark-could-develop-european-green-hydrogen-corridor-for-e2-kg-by-combining-solar-and-offshore-wind/</w:t>
        </w:r>
      </w:hyperlink>
      <w:r>
        <w:rPr>
          <w:rFonts w:ascii="Times New Roman" w:eastAsia="Times New Roman" w:hAnsi="Times New Roman" w:cs="Times New Roman"/>
        </w:rPr>
        <w:t xml:space="preserve"> </w:t>
      </w:r>
    </w:p>
    <w:p w14:paraId="305F650D" w14:textId="77777777" w:rsidR="00B0291E" w:rsidRDefault="00B0291E">
      <w:pPr>
        <w:spacing w:line="360" w:lineRule="auto"/>
        <w:rPr>
          <w:rFonts w:ascii="Times New Roman" w:eastAsia="Times New Roman" w:hAnsi="Times New Roman" w:cs="Times New Roman"/>
        </w:rPr>
      </w:pPr>
    </w:p>
    <w:p w14:paraId="305F650E" w14:textId="77777777" w:rsidR="00B0291E" w:rsidRDefault="00B0291E">
      <w:pPr>
        <w:spacing w:line="360" w:lineRule="auto"/>
        <w:rPr>
          <w:rFonts w:ascii="Times New Roman" w:eastAsia="Times New Roman" w:hAnsi="Times New Roman" w:cs="Times New Roman"/>
        </w:rPr>
      </w:pPr>
    </w:p>
    <w:sectPr w:rsidR="00B0291E">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ão Nunes" w:date="2026-05-25T12:58:00Z" w:initials="JG">
    <w:p w14:paraId="29FF786A" w14:textId="77777777" w:rsidR="0013576A" w:rsidRDefault="0013576A" w:rsidP="0013576A">
      <w:pPr>
        <w:pStyle w:val="Textodecomentrio"/>
      </w:pPr>
      <w:r>
        <w:rPr>
          <w:rStyle w:val="Refdecomentrio"/>
        </w:rPr>
        <w:annotationRef/>
      </w:r>
      <w:r>
        <w:t>You will need to unpack this notion at some point in the dissertation.</w:t>
      </w:r>
    </w:p>
  </w:comment>
  <w:comment w:id="1" w:author="João Nunes" w:date="2026-05-25T12:59:00Z" w:initials="JG">
    <w:p w14:paraId="7A2A93F6" w14:textId="77777777" w:rsidR="004B55E5" w:rsidRDefault="004B55E5" w:rsidP="004B55E5">
      <w:pPr>
        <w:pStyle w:val="Textodecomentrio"/>
      </w:pPr>
      <w:r>
        <w:rPr>
          <w:rStyle w:val="Refdecomentrio"/>
        </w:rPr>
        <w:annotationRef/>
      </w:r>
      <w:r>
        <w:t>The relation between these two also needs to be explained better and in more detail.</w:t>
      </w:r>
    </w:p>
  </w:comment>
  <w:comment w:id="2" w:author="João Nunes" w:date="2026-05-25T13:00:00Z" w:initials="JG">
    <w:p w14:paraId="5550FCBB" w14:textId="77777777" w:rsidR="006414EF" w:rsidRDefault="006414EF" w:rsidP="006414EF">
      <w:pPr>
        <w:pStyle w:val="Textodecomentrio"/>
      </w:pPr>
      <w:r>
        <w:rPr>
          <w:rStyle w:val="Refdecomentrio"/>
        </w:rPr>
        <w:annotationRef/>
      </w:r>
      <w:r>
        <w:t>This should start upstream, that is, in the concept of energy security.</w:t>
      </w:r>
    </w:p>
  </w:comment>
  <w:comment w:id="3" w:author="João Nunes" w:date="2026-05-25T13:01:00Z" w:initials="JG">
    <w:p w14:paraId="706CF7DF" w14:textId="77777777" w:rsidR="006763E4" w:rsidRDefault="006763E4" w:rsidP="006763E4">
      <w:pPr>
        <w:pStyle w:val="Textodecomentrio"/>
      </w:pPr>
      <w:r>
        <w:rPr>
          <w:rStyle w:val="Refdecomentrio"/>
        </w:rPr>
        <w:annotationRef/>
      </w:r>
      <w:r>
        <w:t>OK, but how has strategic autonomy been defined then?You need, at some point, to bring together these different concepts (autonomy, security, resilience, etc) into a coherent analytical framework.</w:t>
      </w:r>
    </w:p>
  </w:comment>
  <w:comment w:id="4" w:author="João Nunes" w:date="2026-05-25T13:04:00Z" w:initials="JG">
    <w:p w14:paraId="42D990F6" w14:textId="77777777" w:rsidR="00DE10E1" w:rsidRDefault="00DE10E1" w:rsidP="00DE10E1">
      <w:pPr>
        <w:pStyle w:val="Textodecomentrio"/>
      </w:pPr>
      <w:r>
        <w:rPr>
          <w:rStyle w:val="Refdecomentrio"/>
        </w:rPr>
        <w:annotationRef/>
      </w:r>
      <w:r>
        <w:t>As mentioned above, this could perhaps be defined before resilience, since (if I understand you correctly) you are arguing that resilience is a step to achieve security.</w:t>
      </w:r>
    </w:p>
  </w:comment>
  <w:comment w:id="5" w:author="João Nunes" w:date="2026-05-25T13:06:00Z" w:initials="JG">
    <w:p w14:paraId="060C1ABA" w14:textId="77777777" w:rsidR="00E453FB" w:rsidRDefault="00E453FB" w:rsidP="00E453FB">
      <w:pPr>
        <w:pStyle w:val="Textodecomentrio"/>
      </w:pPr>
      <w:r>
        <w:rPr>
          <w:rStyle w:val="Refdecomentrio"/>
        </w:rPr>
        <w:annotationRef/>
      </w:r>
      <w:r>
        <w:t>Maybe represent this visually? From this description, it seems that strategic autonomy and resilience are, in your explanatory framework, overlapping in important ways. You need to distinguish them more clearly.</w:t>
      </w:r>
    </w:p>
  </w:comment>
  <w:comment w:id="6" w:author="João Nunes" w:date="2026-05-25T13:07:00Z" w:initials="JG">
    <w:p w14:paraId="77113BDB" w14:textId="77777777" w:rsidR="004E7540" w:rsidRDefault="004E7540" w:rsidP="004E7540">
      <w:pPr>
        <w:pStyle w:val="Textodecomentrio"/>
      </w:pPr>
      <w:r>
        <w:rPr>
          <w:rStyle w:val="Refdecomentrio"/>
        </w:rPr>
        <w:annotationRef/>
      </w:r>
      <w:r>
        <w:t xml:space="preserve">What is comparative about your methodology? Or are you simply going to look at two case-studies?  </w:t>
      </w:r>
    </w:p>
  </w:comment>
  <w:comment w:id="7" w:author="João Nunes" w:date="2026-05-25T13:10:00Z" w:initials="JG">
    <w:p w14:paraId="569A7031" w14:textId="77777777" w:rsidR="006B0EBF" w:rsidRDefault="006B0EBF" w:rsidP="006B0EBF">
      <w:pPr>
        <w:pStyle w:val="Textodecomentrio"/>
      </w:pPr>
      <w:r>
        <w:rPr>
          <w:rStyle w:val="Refdecomentrio"/>
        </w:rPr>
        <w:annotationRef/>
      </w:r>
      <w:r>
        <w:t>Maybe move this to the literature review when you are discussing renewables and how they can contribute to resilience? Also, you'll need to translate these into actual "things" you can measure. How can you measure adaptability for instance? Your operationalization of these concepts in terms of an analytical strategy needs to be more precise.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FF786A" w15:done="0"/>
  <w15:commentEx w15:paraId="7A2A93F6" w15:done="0"/>
  <w15:commentEx w15:paraId="5550FCBB" w15:done="0"/>
  <w15:commentEx w15:paraId="706CF7DF" w15:done="0"/>
  <w15:commentEx w15:paraId="42D990F6" w15:done="0"/>
  <w15:commentEx w15:paraId="060C1ABA" w15:done="0"/>
  <w15:commentEx w15:paraId="77113BDB" w15:done="0"/>
  <w15:commentEx w15:paraId="569A70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A0A059" w16cex:dateUtc="2026-05-25T10:58:00Z"/>
  <w16cex:commentExtensible w16cex:durableId="25F7B480" w16cex:dateUtc="2026-05-25T10:59:00Z"/>
  <w16cex:commentExtensible w16cex:durableId="4FE7C838" w16cex:dateUtc="2026-05-25T11:00:00Z"/>
  <w16cex:commentExtensible w16cex:durableId="1261BF26" w16cex:dateUtc="2026-05-25T11:01:00Z"/>
  <w16cex:commentExtensible w16cex:durableId="759D4B87" w16cex:dateUtc="2026-05-25T11:04:00Z"/>
  <w16cex:commentExtensible w16cex:durableId="7DA853EA" w16cex:dateUtc="2026-05-25T11:06:00Z"/>
  <w16cex:commentExtensible w16cex:durableId="36F02C6F" w16cex:dateUtc="2026-05-25T11:07:00Z"/>
  <w16cex:commentExtensible w16cex:durableId="41C4A919" w16cex:dateUtc="2026-05-25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FF786A" w16cid:durableId="76A0A059"/>
  <w16cid:commentId w16cid:paraId="7A2A93F6" w16cid:durableId="25F7B480"/>
  <w16cid:commentId w16cid:paraId="5550FCBB" w16cid:durableId="4FE7C838"/>
  <w16cid:commentId w16cid:paraId="706CF7DF" w16cid:durableId="1261BF26"/>
  <w16cid:commentId w16cid:paraId="42D990F6" w16cid:durableId="759D4B87"/>
  <w16cid:commentId w16cid:paraId="060C1ABA" w16cid:durableId="7DA853EA"/>
  <w16cid:commentId w16cid:paraId="77113BDB" w16cid:durableId="36F02C6F"/>
  <w16cid:commentId w16cid:paraId="569A7031" w16cid:durableId="41C4A9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F624B7F-63C3-48E6-85E1-BB6F4B9F18B8}"/>
  </w:font>
  <w:font w:name="Calibri">
    <w:panose1 w:val="020F0502020204030204"/>
    <w:charset w:val="00"/>
    <w:family w:val="swiss"/>
    <w:pitch w:val="variable"/>
    <w:sig w:usb0="E4002EFF" w:usb1="C200247B" w:usb2="00000009" w:usb3="00000000" w:csb0="000001FF" w:csb1="00000000"/>
    <w:embedRegular r:id="rId2" w:fontKey="{40022939-75A6-4FEF-9DF1-E1F957AEA8EC}"/>
  </w:font>
  <w:font w:name="Cambria">
    <w:panose1 w:val="02040503050406030204"/>
    <w:charset w:val="00"/>
    <w:family w:val="roman"/>
    <w:pitch w:val="variable"/>
    <w:sig w:usb0="E00006FF" w:usb1="420024FF" w:usb2="02000000" w:usb3="00000000" w:csb0="0000019F" w:csb1="00000000"/>
    <w:embedRegular r:id="rId3" w:fontKey="{1653D9F7-6FEB-4244-B97B-FDD75E971F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711DD"/>
    <w:multiLevelType w:val="multilevel"/>
    <w:tmpl w:val="E4949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9265BE"/>
    <w:multiLevelType w:val="multilevel"/>
    <w:tmpl w:val="A154B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1632588"/>
    <w:multiLevelType w:val="multilevel"/>
    <w:tmpl w:val="21201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4996953">
    <w:abstractNumId w:val="1"/>
  </w:num>
  <w:num w:numId="2" w16cid:durableId="611322765">
    <w:abstractNumId w:val="0"/>
  </w:num>
  <w:num w:numId="3" w16cid:durableId="114828715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ão Nunes">
    <w15:presenceInfo w15:providerId="Windows Live" w15:userId="a6a728a7bfd82c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91E"/>
    <w:rsid w:val="000467FA"/>
    <w:rsid w:val="0013576A"/>
    <w:rsid w:val="004B55E5"/>
    <w:rsid w:val="004E7540"/>
    <w:rsid w:val="006414EF"/>
    <w:rsid w:val="006763E4"/>
    <w:rsid w:val="006B0EBF"/>
    <w:rsid w:val="00A966B5"/>
    <w:rsid w:val="00B0291E"/>
    <w:rsid w:val="00DE10E1"/>
    <w:rsid w:val="00E453F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F642F"/>
  <w15:docId w15:val="{623C9EC7-1AC3-458F-923C-9F4124E9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rio">
    <w:name w:val="annotation reference"/>
    <w:basedOn w:val="Tipodeletrapredefinidodopargrafo"/>
    <w:uiPriority w:val="99"/>
    <w:semiHidden/>
    <w:unhideWhenUsed/>
    <w:rsid w:val="0013576A"/>
    <w:rPr>
      <w:sz w:val="16"/>
      <w:szCs w:val="16"/>
    </w:rPr>
  </w:style>
  <w:style w:type="paragraph" w:styleId="Textodecomentrio">
    <w:name w:val="annotation text"/>
    <w:basedOn w:val="Normal"/>
    <w:link w:val="TextodecomentrioCarter"/>
    <w:uiPriority w:val="99"/>
    <w:unhideWhenUsed/>
    <w:rsid w:val="0013576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13576A"/>
    <w:rPr>
      <w:sz w:val="20"/>
      <w:szCs w:val="20"/>
    </w:rPr>
  </w:style>
  <w:style w:type="paragraph" w:styleId="Assuntodecomentrio">
    <w:name w:val="annotation subject"/>
    <w:basedOn w:val="Textodecomentrio"/>
    <w:next w:val="Textodecomentrio"/>
    <w:link w:val="AssuntodecomentrioCarter"/>
    <w:uiPriority w:val="99"/>
    <w:semiHidden/>
    <w:unhideWhenUsed/>
    <w:rsid w:val="0013576A"/>
    <w:rPr>
      <w:b/>
      <w:bCs/>
    </w:rPr>
  </w:style>
  <w:style w:type="character" w:customStyle="1" w:styleId="AssuntodecomentrioCarter">
    <w:name w:val="Assunto de comentário Caráter"/>
    <w:basedOn w:val="TextodecomentrioCarter"/>
    <w:link w:val="Assuntodecomentrio"/>
    <w:uiPriority w:val="99"/>
    <w:semiHidden/>
    <w:rsid w:val="001357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erre.eu/publications/building-resilience-in-europes-energy-system/" TargetMode="External"/><Relationship Id="rId18" Type="http://schemas.openxmlformats.org/officeDocument/2006/relationships/hyperlink" Target="https://energy.ec.europa.eu/news/focus-eu-energy-security-explained-2026-04-20_en" TargetMode="External"/><Relationship Id="rId26" Type="http://schemas.openxmlformats.org/officeDocument/2006/relationships/hyperlink" Target="https://www.iss.europa.eu/publications/briefs/war-footing-securing-critical-energy-infrastructure" TargetMode="External"/><Relationship Id="rId39" Type="http://schemas.openxmlformats.org/officeDocument/2006/relationships/hyperlink" Target="https://doi.org/10.18449/2021c07" TargetMode="External"/><Relationship Id="rId21" Type="http://schemas.openxmlformats.org/officeDocument/2006/relationships/hyperlink" Target="https://doi.org/10.2872/9356120" TargetMode="External"/><Relationship Id="rId34" Type="http://schemas.openxmlformats.org/officeDocument/2006/relationships/hyperlink" Target="https://www.eib.org/en/essays/europe-energy-transition-renewable" TargetMode="External"/><Relationship Id="rId42" Type="http://schemas.microsoft.com/office/2011/relationships/people" Target="people.xml"/><Relationship Id="rId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https://www.diis.dk/en/research/energy-as-a-weapon-decoding-blackmail-tactics-in-europe" TargetMode="External"/><Relationship Id="rId20" Type="http://schemas.openxmlformats.org/officeDocument/2006/relationships/hyperlink" Target="https://commission.europa.eu/strategy-and-policy/priorities-2019-2024/european-green-deal_nl" TargetMode="External"/><Relationship Id="rId29" Type="http://schemas.openxmlformats.org/officeDocument/2006/relationships/hyperlink" Target="https://www.politico.eu/article/china-poses-major-risk-to-europes-energy-grids-top-nato-official-radmila-sekerinska-warn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doi.org/10.55317/9781784136536" TargetMode="External"/><Relationship Id="rId24" Type="http://schemas.openxmlformats.org/officeDocument/2006/relationships/hyperlink" Target="https://doi.org/10.1080/23789689.2019.1610600" TargetMode="External"/><Relationship Id="rId32" Type="http://schemas.openxmlformats.org/officeDocument/2006/relationships/hyperlink" Target="https://doi.org/10.3390/en15114040" TargetMode="External"/><Relationship Id="rId37" Type="http://schemas.openxmlformats.org/officeDocument/2006/relationships/hyperlink" Target="https://doi.org/10.54658/ps.28153324.2025.12.2.pp.72-87" TargetMode="External"/><Relationship Id="rId40" Type="http://schemas.openxmlformats.org/officeDocument/2006/relationships/hyperlink" Target="https://www.pv-magazine.com/2026/05/16/spain-denmark-could-develop-european-green-hydrogen-corridor-for-e2-kg-by-combining-solar-and-offshore-wind/" TargetMode="External"/><Relationship Id="rId5" Type="http://schemas.openxmlformats.org/officeDocument/2006/relationships/image" Target="media/image1.png"/><Relationship Id="rId15" Type="http://schemas.openxmlformats.org/officeDocument/2006/relationships/hyperlink" Target="https://www.europarl.europa.eu/RegData/etudes/BRIE/2021/690705/EPRS_BRI(2021)690705_EN.pdf" TargetMode="External"/><Relationship Id="rId23" Type="http://schemas.openxmlformats.org/officeDocument/2006/relationships/hyperlink" Target="https://www.iss.europa.eu/publications/commentary/fuel-fear-and-falsehoods-defending-europe-and-ukraine-russias-hybrid-energy" TargetMode="External"/><Relationship Id="rId28" Type="http://schemas.openxmlformats.org/officeDocument/2006/relationships/hyperlink" Target="https://www.europarl.europa.eu/RegData/etudes/BRIE/2015/551310/EPRS_BRI(2015)551310_EN.pdf" TargetMode="External"/><Relationship Id="rId36" Type="http://schemas.openxmlformats.org/officeDocument/2006/relationships/hyperlink" Target="https://docs.nrel.gov/docs/fy24osti/89206.pdf" TargetMode="External"/><Relationship Id="rId10" Type="http://schemas.openxmlformats.org/officeDocument/2006/relationships/hyperlink" Target="https://doi.org/10.17645/pag.i383" TargetMode="External"/><Relationship Id="rId19" Type="http://schemas.openxmlformats.org/officeDocument/2006/relationships/hyperlink" Target="https://www.eurelectric.org/publications/repowering-europe-delivering-clean-energy-resilience-manifesto-for-the-2024-2029/" TargetMode="External"/><Relationship Id="rId31" Type="http://schemas.openxmlformats.org/officeDocument/2006/relationships/hyperlink" Target="https://joint-research-centre.ec.europa.eu/projects-and-activities/strengthening-eu-resilience-hybrid-threats-and-critical-entities_en" TargetMode="External"/><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hyperlink" Target="https://commission.europa.eu/topics/energy/repowereu_en" TargetMode="External"/><Relationship Id="rId22" Type="http://schemas.openxmlformats.org/officeDocument/2006/relationships/hyperlink" Target="https://ec.europa.eu/eurostat/statistics-explained/index.php?title=Renewable_energy_statistics" TargetMode="External"/><Relationship Id="rId27" Type="http://schemas.openxmlformats.org/officeDocument/2006/relationships/hyperlink" Target="https://www.nato.int/nato_static_fl2014/assets/pdf/2022/6/pdf/290622-strategic-concept.pdf" TargetMode="External"/><Relationship Id="rId30" Type="http://schemas.openxmlformats.org/officeDocument/2006/relationships/hyperlink" Target="https://be-cis.com/green-vs-renewable-vs-clean-energy-differences/" TargetMode="External"/><Relationship Id="rId35" Type="http://schemas.openxmlformats.org/officeDocument/2006/relationships/hyperlink" Target="https://docs.nrel.gov/docs/fy24osti/89206.pdf" TargetMode="External"/><Relationship Id="rId43" Type="http://schemas.openxmlformats.org/officeDocument/2006/relationships/theme" Target="theme/theme1.xml"/><Relationship Id="rId8" Type="http://schemas.microsoft.com/office/2016/09/relationships/commentsIds" Target="commentsIds.xml"/><Relationship Id="rId3" Type="http://schemas.openxmlformats.org/officeDocument/2006/relationships/settings" Target="settings.xml"/><Relationship Id="rId12" Type="http://schemas.openxmlformats.org/officeDocument/2006/relationships/hyperlink" Target="https://cerre.eu/publications/building-resilience-in-europes-energy-system/" TargetMode="External"/><Relationship Id="rId17" Type="http://schemas.openxmlformats.org/officeDocument/2006/relationships/hyperlink" Target="https://denmark.dk/innovation-and-design/clean-energy" TargetMode="External"/><Relationship Id="rId25" Type="http://schemas.openxmlformats.org/officeDocument/2006/relationships/hyperlink" Target="https://energy.ec.europa.eu/topics/renewable-energy/renewable-energy-directive-targets-and-rules/renewable-energy-targets_en" TargetMode="External"/><Relationship Id="rId33" Type="http://schemas.openxmlformats.org/officeDocument/2006/relationships/hyperlink" Target="https://www.iea.org/reports/world-energy-outlook-2022/energy-security-in-energy-transitions" TargetMode="External"/><Relationship Id="rId38" Type="http://schemas.openxmlformats.org/officeDocument/2006/relationships/hyperlink" Target="https://europeanrelations.com/energy-as-a-geopolitical-weap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4015</Words>
  <Characters>21685</Characters>
  <Application>Microsoft Office Word</Application>
  <DocSecurity>0</DocSecurity>
  <Lines>180</Lines>
  <Paragraphs>51</Paragraphs>
  <ScaleCrop>false</ScaleCrop>
  <Company/>
  <LinksUpToDate>false</LinksUpToDate>
  <CharactersWithSpaces>25649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João Nunes</cp:lastModifiedBy>
  <cp:revision>9</cp:revision>
  <dcterms:created xsi:type="dcterms:W3CDTF">2026-05-25T10:54:00Z</dcterms:created>
  <dcterms:modified xsi:type="dcterms:W3CDTF">2026-05-25T11:10:00Z</dcterms:modified>
</cp:coreProperties>
</file>