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540" w:rsidRPr="00A43761" w:rsidRDefault="00023540" w:rsidP="00A437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761">
        <w:rPr>
          <w:rFonts w:ascii="Times New Roman" w:hAnsi="Times New Roman" w:cs="Times New Roman"/>
          <w:b/>
          <w:sz w:val="24"/>
          <w:szCs w:val="24"/>
        </w:rPr>
        <w:t>Un MAPA alternativo de BOLSAS alrededor del mundo</w:t>
      </w:r>
    </w:p>
    <w:p w:rsidR="00A43761" w:rsidRPr="00A43761" w:rsidRDefault="00A43761" w:rsidP="00A43761">
      <w:pPr>
        <w:jc w:val="right"/>
        <w:rPr>
          <w:rFonts w:ascii="Times New Roman" w:hAnsi="Times New Roman" w:cs="Times New Roman"/>
          <w:sz w:val="24"/>
          <w:szCs w:val="24"/>
        </w:rPr>
      </w:pPr>
      <w:r w:rsidRPr="00A43761">
        <w:rPr>
          <w:rFonts w:ascii="Times New Roman" w:hAnsi="Times New Roman" w:cs="Times New Roman"/>
          <w:sz w:val="24"/>
          <w:szCs w:val="24"/>
        </w:rPr>
        <w:t>M Teresa Corzo Santamaría, Pablo García Estévez y Salvador Roji Ferrari</w:t>
      </w:r>
    </w:p>
    <w:p w:rsidR="00023540" w:rsidRPr="00A43761" w:rsidRDefault="00023540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A43761">
        <w:rPr>
          <w:rFonts w:ascii="Times New Roman" w:hAnsi="Times New Roman" w:cs="Times New Roman"/>
          <w:sz w:val="24"/>
          <w:szCs w:val="24"/>
        </w:rPr>
        <w:t xml:space="preserve">Los mercados financieros y las bolsas en concreto se parecen y se distinguen entre sí. </w:t>
      </w:r>
      <w:r w:rsidR="00D73E37">
        <w:rPr>
          <w:rFonts w:ascii="Times New Roman" w:hAnsi="Times New Roman" w:cs="Times New Roman"/>
          <w:sz w:val="24"/>
          <w:szCs w:val="24"/>
        </w:rPr>
        <w:t>Sus</w:t>
      </w:r>
      <w:r w:rsidR="00123D29">
        <w:rPr>
          <w:rFonts w:ascii="Times New Roman" w:hAnsi="Times New Roman" w:cs="Times New Roman"/>
          <w:sz w:val="24"/>
          <w:szCs w:val="24"/>
        </w:rPr>
        <w:t xml:space="preserve"> características </w:t>
      </w:r>
      <w:r w:rsidR="00D73E37">
        <w:rPr>
          <w:rFonts w:ascii="Times New Roman" w:hAnsi="Times New Roman" w:cs="Times New Roman"/>
          <w:sz w:val="24"/>
          <w:szCs w:val="24"/>
        </w:rPr>
        <w:t xml:space="preserve">y las </w:t>
      </w:r>
      <w:r w:rsidR="00123D29">
        <w:rPr>
          <w:rFonts w:ascii="Times New Roman" w:hAnsi="Times New Roman" w:cs="Times New Roman"/>
          <w:sz w:val="24"/>
          <w:szCs w:val="24"/>
        </w:rPr>
        <w:t xml:space="preserve">de las empresas negociadas en ellos </w:t>
      </w:r>
      <w:r w:rsidR="00D73E37">
        <w:rPr>
          <w:rFonts w:ascii="Times New Roman" w:hAnsi="Times New Roman" w:cs="Times New Roman"/>
          <w:sz w:val="24"/>
          <w:szCs w:val="24"/>
        </w:rPr>
        <w:t xml:space="preserve">diferencian a los mercados y a su vez los convierten </w:t>
      </w:r>
      <w:r w:rsidR="00123D29">
        <w:rPr>
          <w:rFonts w:ascii="Times New Roman" w:hAnsi="Times New Roman" w:cs="Times New Roman"/>
          <w:sz w:val="24"/>
          <w:szCs w:val="24"/>
        </w:rPr>
        <w:t xml:space="preserve">en canales de contagio de los eventos financieros. Sabemos que </w:t>
      </w:r>
      <w:r w:rsidR="00D73E37">
        <w:rPr>
          <w:rFonts w:ascii="Times New Roman" w:hAnsi="Times New Roman" w:cs="Times New Roman"/>
          <w:sz w:val="24"/>
          <w:szCs w:val="24"/>
        </w:rPr>
        <w:t>ni</w:t>
      </w:r>
      <w:r w:rsidR="00123D29">
        <w:rPr>
          <w:rFonts w:ascii="Times New Roman" w:hAnsi="Times New Roman" w:cs="Times New Roman"/>
          <w:sz w:val="24"/>
          <w:szCs w:val="24"/>
        </w:rPr>
        <w:t xml:space="preserve"> todos los mercados son igual de influyentes </w:t>
      </w:r>
      <w:r w:rsidR="00D73E37">
        <w:rPr>
          <w:rFonts w:ascii="Times New Roman" w:hAnsi="Times New Roman" w:cs="Times New Roman"/>
          <w:sz w:val="24"/>
          <w:szCs w:val="24"/>
        </w:rPr>
        <w:t xml:space="preserve">ni todos son igual de vulnerables </w:t>
      </w:r>
      <w:r w:rsidR="00123D29">
        <w:rPr>
          <w:rFonts w:ascii="Times New Roman" w:hAnsi="Times New Roman" w:cs="Times New Roman"/>
          <w:sz w:val="24"/>
          <w:szCs w:val="24"/>
        </w:rPr>
        <w:t>en el panorama internacional</w:t>
      </w:r>
      <w:r w:rsidR="00D73E37">
        <w:rPr>
          <w:rFonts w:ascii="Times New Roman" w:hAnsi="Times New Roman" w:cs="Times New Roman"/>
          <w:sz w:val="24"/>
          <w:szCs w:val="24"/>
        </w:rPr>
        <w:t xml:space="preserve">. </w:t>
      </w:r>
      <w:r w:rsidRPr="00A43761">
        <w:rPr>
          <w:rFonts w:ascii="Times New Roman" w:hAnsi="Times New Roman" w:cs="Times New Roman"/>
          <w:sz w:val="24"/>
          <w:szCs w:val="24"/>
        </w:rPr>
        <w:t xml:space="preserve">Presentamos aquí </w:t>
      </w:r>
      <w:r w:rsidR="00DB4EF9" w:rsidRPr="00A43761">
        <w:rPr>
          <w:rFonts w:ascii="Times New Roman" w:hAnsi="Times New Roman" w:cs="Times New Roman"/>
          <w:sz w:val="24"/>
          <w:szCs w:val="24"/>
        </w:rPr>
        <w:t>un mapa realizado</w:t>
      </w:r>
      <w:r w:rsidRPr="00A43761">
        <w:rPr>
          <w:rFonts w:ascii="Times New Roman" w:hAnsi="Times New Roman" w:cs="Times New Roman"/>
          <w:sz w:val="24"/>
          <w:szCs w:val="24"/>
        </w:rPr>
        <w:t xml:space="preserve"> utilizando inteligencia artificial, para posicionar 49 bolsas de valores, alrededor del mundo, durante el periodo 2000-2012, teniendo en cuenta 6 características de estas bolsas. </w:t>
      </w:r>
    </w:p>
    <w:p w:rsidR="00DB4EF9" w:rsidRPr="00A43761" w:rsidRDefault="00023540" w:rsidP="00DB4EF9">
      <w:pPr>
        <w:jc w:val="both"/>
        <w:rPr>
          <w:rFonts w:ascii="Times New Roman" w:hAnsi="Times New Roman" w:cs="Times New Roman"/>
          <w:sz w:val="24"/>
          <w:szCs w:val="24"/>
        </w:rPr>
      </w:pPr>
      <w:r w:rsidRPr="00A43761">
        <w:rPr>
          <w:rFonts w:ascii="Times New Roman" w:hAnsi="Times New Roman" w:cs="Times New Roman"/>
          <w:sz w:val="24"/>
          <w:szCs w:val="24"/>
        </w:rPr>
        <w:t xml:space="preserve">Usamos redes neuronales </w:t>
      </w:r>
      <w:r w:rsidR="00DB4EF9" w:rsidRPr="00A43761">
        <w:rPr>
          <w:rFonts w:ascii="Times New Roman" w:hAnsi="Times New Roman" w:cs="Times New Roman"/>
          <w:sz w:val="24"/>
          <w:szCs w:val="24"/>
        </w:rPr>
        <w:t>auto-organizativas</w:t>
      </w:r>
      <w:r w:rsidRPr="00A437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43761">
        <w:rPr>
          <w:rFonts w:ascii="Times New Roman" w:hAnsi="Times New Roman" w:cs="Times New Roman"/>
          <w:sz w:val="24"/>
          <w:szCs w:val="24"/>
        </w:rPr>
        <w:t>Self-Organizing</w:t>
      </w:r>
      <w:proofErr w:type="spellEnd"/>
      <w:r w:rsidRPr="00A43761">
        <w:rPr>
          <w:rFonts w:ascii="Times New Roman" w:hAnsi="Times New Roman" w:cs="Times New Roman"/>
          <w:sz w:val="24"/>
          <w:szCs w:val="24"/>
        </w:rPr>
        <w:t xml:space="preserve"> Neural Networks, </w:t>
      </w:r>
      <w:proofErr w:type="spellStart"/>
      <w:r w:rsidRPr="00A43761">
        <w:rPr>
          <w:rFonts w:ascii="Times New Roman" w:hAnsi="Times New Roman" w:cs="Times New Roman"/>
          <w:sz w:val="24"/>
          <w:szCs w:val="24"/>
        </w:rPr>
        <w:t>SOMs</w:t>
      </w:r>
      <w:proofErr w:type="spellEnd"/>
      <w:r w:rsidRPr="00A43761">
        <w:rPr>
          <w:rFonts w:ascii="Times New Roman" w:hAnsi="Times New Roman" w:cs="Times New Roman"/>
          <w:sz w:val="24"/>
          <w:szCs w:val="24"/>
        </w:rPr>
        <w:t xml:space="preserve">) </w:t>
      </w:r>
      <w:r w:rsidR="00DB4EF9" w:rsidRPr="00A43761">
        <w:rPr>
          <w:rFonts w:ascii="Times New Roman" w:hAnsi="Times New Roman" w:cs="Times New Roman"/>
          <w:sz w:val="24"/>
          <w:szCs w:val="24"/>
        </w:rPr>
        <w:t>para compilar la información de</w:t>
      </w:r>
      <w:r w:rsidRPr="00A43761">
        <w:rPr>
          <w:rFonts w:ascii="Times New Roman" w:hAnsi="Times New Roman" w:cs="Times New Roman"/>
          <w:sz w:val="24"/>
          <w:szCs w:val="24"/>
        </w:rPr>
        <w:t xml:space="preserve"> variables </w:t>
      </w:r>
      <w:r w:rsidR="00DB4EF9" w:rsidRPr="00A43761">
        <w:rPr>
          <w:rFonts w:ascii="Times New Roman" w:hAnsi="Times New Roman" w:cs="Times New Roman"/>
          <w:sz w:val="24"/>
          <w:szCs w:val="24"/>
        </w:rPr>
        <w:t xml:space="preserve">bursátiles que </w:t>
      </w:r>
      <w:r w:rsidRPr="00A43761">
        <w:rPr>
          <w:rFonts w:ascii="Times New Roman" w:hAnsi="Times New Roman" w:cs="Times New Roman"/>
          <w:sz w:val="24"/>
          <w:szCs w:val="24"/>
        </w:rPr>
        <w:t>nos sirven para aproximarnos a</w:t>
      </w:r>
      <w:r w:rsidR="00DB4EF9" w:rsidRPr="00A43761">
        <w:rPr>
          <w:rFonts w:ascii="Times New Roman" w:hAnsi="Times New Roman" w:cs="Times New Roman"/>
          <w:sz w:val="24"/>
          <w:szCs w:val="24"/>
        </w:rPr>
        <w:t>l</w:t>
      </w:r>
      <w:r w:rsidRPr="00A43761">
        <w:rPr>
          <w:rFonts w:ascii="Times New Roman" w:hAnsi="Times New Roman" w:cs="Times New Roman"/>
          <w:sz w:val="24"/>
          <w:szCs w:val="24"/>
        </w:rPr>
        <w:t xml:space="preserve"> nivel de actividad e internacionalidad</w:t>
      </w:r>
      <w:r w:rsidR="00DB4EF9" w:rsidRPr="00A43761">
        <w:rPr>
          <w:rFonts w:ascii="Times New Roman" w:hAnsi="Times New Roman" w:cs="Times New Roman"/>
          <w:sz w:val="24"/>
          <w:szCs w:val="24"/>
        </w:rPr>
        <w:t xml:space="preserve"> de las bolsas, y transformar esa información en un mapa de dos dimensiones, visual e intuitivo.</w:t>
      </w:r>
    </w:p>
    <w:p w:rsidR="00DB4EF9" w:rsidRPr="00A43761" w:rsidRDefault="00DB4EF9" w:rsidP="00DB4E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A43761">
        <w:rPr>
          <w:rFonts w:ascii="Times New Roman" w:hAnsi="Times New Roman" w:cs="Times New Roman"/>
          <w:sz w:val="24"/>
          <w:szCs w:val="24"/>
        </w:rPr>
        <w:t xml:space="preserve">Las bolsas estudiadas pertenecen a los cinco continentes y se detallan en la tabla a </w:t>
      </w:r>
      <w:r w:rsidRPr="00A43761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continuación:</w:t>
      </w:r>
    </w:p>
    <w:p w:rsidR="00DB4EF9" w:rsidRPr="00A43761" w:rsidRDefault="00DB4EF9" w:rsidP="00DB4E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</w:p>
    <w:tbl>
      <w:tblPr>
        <w:tblW w:w="8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4"/>
        <w:gridCol w:w="2753"/>
        <w:gridCol w:w="3088"/>
      </w:tblGrid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Amman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Hong Kong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Exchanges</w:t>
            </w:r>
            <w:proofErr w:type="spellEnd"/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NASDAQ OMX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Nordic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Copenhagen</w:t>
            </w:r>
            <w:proofErr w:type="spellEnd"/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Athens Exchange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Indonesia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National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Stock Exchange India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Australian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Irish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New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Zealand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Exchange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Bermuda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Japan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Exchange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Group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- Osaka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NYSE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Euronext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(US)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BM&amp;FBOVESPA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Japan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Exchange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Group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-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Tokyo</w:t>
            </w:r>
            <w:proofErr w:type="spellEnd"/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Oslo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Börs</w:t>
            </w:r>
            <w:proofErr w:type="spellEnd"/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BME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Spanish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Exchanges</w:t>
            </w:r>
            <w:proofErr w:type="spellEnd"/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Johannesburg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Philippine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Borsa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Istanbul</w:t>
            </w:r>
            <w:proofErr w:type="spellEnd"/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Korea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Exchange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Santiago SE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Borsa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Italiana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Lima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Shanghai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BSE India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Ljubljana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Shenzhen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Budapest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London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Taiwan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 Corp.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Buenos Aires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Luxembourg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Tehran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Bursa Malaysia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Malta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Tel Aviv SE</w:t>
            </w:r>
          </w:p>
        </w:tc>
      </w:tr>
      <w:tr w:rsidR="00DB4EF9" w:rsidRPr="0048583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Colombia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Mauritius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48583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</w:pPr>
            <w:r w:rsidRPr="004858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The Stock Exchange of Thailand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Colombo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Mexican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Exchange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TMX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Group</w:t>
            </w:r>
            <w:proofErr w:type="spellEnd"/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Cyprus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MICEX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Warsaw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SE</w:t>
            </w:r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Deutsche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Börse</w:t>
            </w:r>
            <w:proofErr w:type="spellEnd"/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NASDAQ OMX</w:t>
            </w: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Wiener </w:t>
            </w: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Börse</w:t>
            </w:r>
            <w:proofErr w:type="spellEnd"/>
          </w:p>
        </w:tc>
      </w:tr>
      <w:tr w:rsidR="00DB4EF9" w:rsidRPr="00A43761" w:rsidTr="006624B7">
        <w:trPr>
          <w:trHeight w:val="270"/>
        </w:trPr>
        <w:tc>
          <w:tcPr>
            <w:tcW w:w="2744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DB4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Egyptian</w:t>
            </w:r>
            <w:proofErr w:type="spellEnd"/>
            <w:r w:rsidRPr="00A437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Exchange</w:t>
            </w:r>
          </w:p>
        </w:tc>
        <w:tc>
          <w:tcPr>
            <w:tcW w:w="2753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088" w:type="dxa"/>
            <w:shd w:val="clear" w:color="auto" w:fill="auto"/>
            <w:noWrap/>
            <w:vAlign w:val="bottom"/>
            <w:hideMark/>
          </w:tcPr>
          <w:p w:rsidR="00DB4EF9" w:rsidRPr="00A43761" w:rsidRDefault="00DB4EF9" w:rsidP="00A43761">
            <w:pPr>
              <w:spacing w:after="0" w:line="240" w:lineRule="auto"/>
              <w:ind w:right="-14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</w:tbl>
    <w:p w:rsidR="00DB4EF9" w:rsidRPr="00A43761" w:rsidRDefault="00DB4EF9" w:rsidP="00DB4E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</w:pPr>
    </w:p>
    <w:p w:rsidR="00023540" w:rsidRPr="00D40009" w:rsidRDefault="00DB4EF9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t xml:space="preserve">Como se puede observar, </w:t>
      </w:r>
      <w:r w:rsidR="00A43761" w:rsidRPr="00D40009">
        <w:rPr>
          <w:rFonts w:ascii="Times New Roman" w:hAnsi="Times New Roman" w:cs="Times New Roman"/>
          <w:sz w:val="24"/>
          <w:szCs w:val="24"/>
        </w:rPr>
        <w:t>de acuerdo a</w:t>
      </w:r>
      <w:r w:rsidRPr="00D40009">
        <w:rPr>
          <w:rFonts w:ascii="Times New Roman" w:hAnsi="Times New Roman" w:cs="Times New Roman"/>
          <w:sz w:val="24"/>
          <w:szCs w:val="24"/>
        </w:rPr>
        <w:t xml:space="preserve"> la clasificación de mercados de </w:t>
      </w:r>
      <w:r w:rsidR="00A43761" w:rsidRPr="00D40009">
        <w:rPr>
          <w:rFonts w:ascii="Times New Roman" w:hAnsi="Times New Roman" w:cs="Times New Roman"/>
          <w:sz w:val="24"/>
          <w:szCs w:val="24"/>
        </w:rPr>
        <w:t>MSCI se incluyen tanto mercados</w:t>
      </w:r>
      <w:r w:rsidR="00485831" w:rsidRPr="00D40009">
        <w:rPr>
          <w:rFonts w:ascii="Times New Roman" w:hAnsi="Times New Roman" w:cs="Times New Roman"/>
          <w:sz w:val="24"/>
          <w:szCs w:val="24"/>
        </w:rPr>
        <w:t xml:space="preserve"> desarrollados, como emergentes</w:t>
      </w:r>
      <w:r w:rsidR="00A43761" w:rsidRPr="00D40009">
        <w:rPr>
          <w:rFonts w:ascii="Times New Roman" w:hAnsi="Times New Roman" w:cs="Times New Roman"/>
          <w:sz w:val="24"/>
          <w:szCs w:val="24"/>
        </w:rPr>
        <w:t xml:space="preserve"> </w:t>
      </w:r>
      <w:r w:rsidR="00485831" w:rsidRPr="00D40009">
        <w:rPr>
          <w:rFonts w:ascii="Times New Roman" w:hAnsi="Times New Roman" w:cs="Times New Roman"/>
          <w:sz w:val="24"/>
          <w:szCs w:val="24"/>
        </w:rPr>
        <w:t>y</w:t>
      </w:r>
      <w:r w:rsidR="00A43761" w:rsidRPr="00D40009">
        <w:rPr>
          <w:rFonts w:ascii="Times New Roman" w:hAnsi="Times New Roman" w:cs="Times New Roman"/>
          <w:sz w:val="24"/>
          <w:szCs w:val="24"/>
        </w:rPr>
        <w:t xml:space="preserve"> frontera, lo que nos permite comparar una gran diversidad de </w:t>
      </w:r>
      <w:r w:rsidR="006624B7" w:rsidRPr="00D40009">
        <w:rPr>
          <w:rFonts w:ascii="Times New Roman" w:hAnsi="Times New Roman" w:cs="Times New Roman"/>
          <w:sz w:val="24"/>
          <w:szCs w:val="24"/>
        </w:rPr>
        <w:t>bolsas</w:t>
      </w:r>
      <w:r w:rsidR="00A43761" w:rsidRPr="00D40009">
        <w:rPr>
          <w:rFonts w:ascii="Times New Roman" w:hAnsi="Times New Roman" w:cs="Times New Roman"/>
          <w:sz w:val="24"/>
          <w:szCs w:val="24"/>
        </w:rPr>
        <w:t>. Los datos usados han sido proporcionados por la federación mundial de bolsas (</w:t>
      </w:r>
      <w:hyperlink r:id="rId8" w:history="1">
        <w:r w:rsidR="00A43761" w:rsidRPr="00D40009">
          <w:rPr>
            <w:rStyle w:val="Hipervnculo"/>
            <w:rFonts w:ascii="Times New Roman" w:hAnsi="Times New Roman" w:cs="Times New Roman"/>
            <w:sz w:val="24"/>
            <w:szCs w:val="24"/>
          </w:rPr>
          <w:t>http://www.world-exchanges.org/</w:t>
        </w:r>
      </w:hyperlink>
      <w:r w:rsidR="00A43761" w:rsidRPr="00D40009">
        <w:rPr>
          <w:rFonts w:ascii="Times New Roman" w:hAnsi="Times New Roman" w:cs="Times New Roman"/>
          <w:sz w:val="24"/>
          <w:szCs w:val="24"/>
        </w:rPr>
        <w:t xml:space="preserve">) e incluyen datos de </w:t>
      </w:r>
      <w:r w:rsidR="00023540" w:rsidRPr="00D40009">
        <w:rPr>
          <w:rFonts w:ascii="Times New Roman" w:hAnsi="Times New Roman" w:cs="Times New Roman"/>
          <w:sz w:val="24"/>
          <w:szCs w:val="24"/>
        </w:rPr>
        <w:t>la capitalización de las bolsas, el volumen de negociación electrónica tanto doméstico como extranjero</w:t>
      </w:r>
      <w:r w:rsidR="00A43761" w:rsidRPr="00D40009">
        <w:rPr>
          <w:rFonts w:ascii="Times New Roman" w:hAnsi="Times New Roman" w:cs="Times New Roman"/>
          <w:sz w:val="24"/>
          <w:szCs w:val="24"/>
        </w:rPr>
        <w:t xml:space="preserve">, </w:t>
      </w:r>
      <w:r w:rsidR="00023540" w:rsidRPr="00D40009">
        <w:rPr>
          <w:rFonts w:ascii="Times New Roman" w:hAnsi="Times New Roman" w:cs="Times New Roman"/>
          <w:sz w:val="24"/>
          <w:szCs w:val="24"/>
        </w:rPr>
        <w:t xml:space="preserve">el número de compañías listadas domesticas </w:t>
      </w:r>
      <w:r w:rsidR="00A43761" w:rsidRPr="00D40009">
        <w:rPr>
          <w:rFonts w:ascii="Times New Roman" w:hAnsi="Times New Roman" w:cs="Times New Roman"/>
          <w:sz w:val="24"/>
          <w:szCs w:val="24"/>
        </w:rPr>
        <w:t>y</w:t>
      </w:r>
      <w:r w:rsidR="00023540" w:rsidRPr="00D40009">
        <w:rPr>
          <w:rFonts w:ascii="Times New Roman" w:hAnsi="Times New Roman" w:cs="Times New Roman"/>
          <w:sz w:val="24"/>
          <w:szCs w:val="24"/>
        </w:rPr>
        <w:t xml:space="preserve"> extranjeras</w:t>
      </w:r>
      <w:r w:rsidR="00A43761" w:rsidRPr="00D40009">
        <w:rPr>
          <w:rFonts w:ascii="Times New Roman" w:hAnsi="Times New Roman" w:cs="Times New Roman"/>
          <w:sz w:val="24"/>
          <w:szCs w:val="24"/>
        </w:rPr>
        <w:t>,</w:t>
      </w:r>
      <w:r w:rsidR="00023540" w:rsidRPr="00D40009">
        <w:rPr>
          <w:rFonts w:ascii="Times New Roman" w:hAnsi="Times New Roman" w:cs="Times New Roman"/>
          <w:sz w:val="24"/>
          <w:szCs w:val="24"/>
        </w:rPr>
        <w:t xml:space="preserve"> y la capitalización de las nuevas empres</w:t>
      </w:r>
      <w:r w:rsidR="00A43761" w:rsidRPr="00D40009">
        <w:rPr>
          <w:rFonts w:ascii="Times New Roman" w:hAnsi="Times New Roman" w:cs="Times New Roman"/>
          <w:sz w:val="24"/>
          <w:szCs w:val="24"/>
        </w:rPr>
        <w:t>as listadas.</w:t>
      </w:r>
    </w:p>
    <w:p w:rsidR="006624B7" w:rsidRPr="00D40009" w:rsidRDefault="006624B7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lastRenderedPageBreak/>
        <w:t xml:space="preserve">La metodología SOM </w:t>
      </w:r>
      <w:r w:rsidR="006A50E6" w:rsidRPr="00D40009">
        <w:rPr>
          <w:rFonts w:ascii="Times New Roman" w:hAnsi="Times New Roman" w:cs="Times New Roman"/>
          <w:sz w:val="24"/>
          <w:szCs w:val="24"/>
        </w:rPr>
        <w:t>empleada</w:t>
      </w:r>
      <w:r w:rsidRPr="00D40009">
        <w:rPr>
          <w:rFonts w:ascii="Times New Roman" w:hAnsi="Times New Roman" w:cs="Times New Roman"/>
          <w:sz w:val="24"/>
          <w:szCs w:val="24"/>
        </w:rPr>
        <w:t xml:space="preserve"> nos permite identificar patrones de </w:t>
      </w:r>
      <w:proofErr w:type="spellStart"/>
      <w:r w:rsidRPr="00D40009">
        <w:rPr>
          <w:rFonts w:ascii="Times New Roman" w:hAnsi="Times New Roman" w:cs="Times New Roman"/>
          <w:sz w:val="24"/>
          <w:szCs w:val="24"/>
        </w:rPr>
        <w:t>similaridad</w:t>
      </w:r>
      <w:proofErr w:type="spellEnd"/>
      <w:r w:rsidRPr="00D40009">
        <w:rPr>
          <w:rFonts w:ascii="Times New Roman" w:hAnsi="Times New Roman" w:cs="Times New Roman"/>
          <w:sz w:val="24"/>
          <w:szCs w:val="24"/>
        </w:rPr>
        <w:t xml:space="preserve"> entre las variables que caracterizan a las bolsas, de tal forma que las bolsas que nos aparecen más cerca son más similares entre sí, y las que aparecen más alejadas son más diferentes.</w:t>
      </w:r>
    </w:p>
    <w:p w:rsidR="006624B7" w:rsidRPr="00D40009" w:rsidRDefault="006624B7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t xml:space="preserve">El resultado es </w:t>
      </w:r>
      <w:r w:rsidR="004F72C8" w:rsidRPr="00D40009">
        <w:rPr>
          <w:rFonts w:ascii="Times New Roman" w:hAnsi="Times New Roman" w:cs="Times New Roman"/>
          <w:sz w:val="24"/>
          <w:szCs w:val="24"/>
        </w:rPr>
        <w:t>una figura con tres zonas, repr</w:t>
      </w:r>
      <w:r w:rsidR="00D037C8" w:rsidRPr="00D40009">
        <w:rPr>
          <w:rFonts w:ascii="Times New Roman" w:hAnsi="Times New Roman" w:cs="Times New Roman"/>
          <w:sz w:val="24"/>
          <w:szCs w:val="24"/>
        </w:rPr>
        <w:t>esentadas por diferentes colores. Cada zona esta compuestas por unas celdillas y en cada celdilla están los mercados más parecidos entre sí.</w:t>
      </w:r>
    </w:p>
    <w:p w:rsidR="00D037C8" w:rsidRPr="00D40009" w:rsidRDefault="00D037C8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object w:dxaOrig="7164" w:dyaOrig="90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75pt;height:184.5pt" o:ole="">
            <v:imagedata r:id="rId9" o:title=""/>
          </v:shape>
          <o:OLEObject Type="Embed" ProgID="PBrush" ShapeID="_x0000_i1025" DrawAspect="Content" ObjectID="_1505904309" r:id="rId10"/>
        </w:object>
      </w:r>
    </w:p>
    <w:p w:rsidR="006624B7" w:rsidRPr="00D40009" w:rsidRDefault="006624B7" w:rsidP="000235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624B7" w:rsidRPr="00D40009" w:rsidRDefault="00AF3436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t>A su vez, e</w:t>
      </w:r>
      <w:r w:rsidR="004F72C8" w:rsidRPr="00D40009">
        <w:rPr>
          <w:rFonts w:ascii="Times New Roman" w:hAnsi="Times New Roman" w:cs="Times New Roman"/>
          <w:sz w:val="24"/>
          <w:szCs w:val="24"/>
        </w:rPr>
        <w:t>n l</w:t>
      </w:r>
      <w:r w:rsidR="006624B7" w:rsidRPr="00D40009">
        <w:rPr>
          <w:rFonts w:ascii="Times New Roman" w:hAnsi="Times New Roman" w:cs="Times New Roman"/>
          <w:sz w:val="24"/>
          <w:szCs w:val="24"/>
        </w:rPr>
        <w:t>a</w:t>
      </w:r>
      <w:r w:rsidR="00D037C8" w:rsidRPr="00D40009">
        <w:rPr>
          <w:rFonts w:ascii="Times New Roman" w:hAnsi="Times New Roman" w:cs="Times New Roman"/>
          <w:sz w:val="24"/>
          <w:szCs w:val="24"/>
        </w:rPr>
        <w:t>s celdas de la</w:t>
      </w:r>
      <w:r w:rsidR="006624B7" w:rsidRPr="00D40009">
        <w:rPr>
          <w:rFonts w:ascii="Times New Roman" w:hAnsi="Times New Roman" w:cs="Times New Roman"/>
          <w:sz w:val="24"/>
          <w:szCs w:val="24"/>
        </w:rPr>
        <w:t xml:space="preserve"> zona</w:t>
      </w:r>
      <w:r w:rsidR="004F72C8" w:rsidRPr="00D40009">
        <w:rPr>
          <w:rFonts w:ascii="Times New Roman" w:hAnsi="Times New Roman" w:cs="Times New Roman"/>
          <w:sz w:val="24"/>
          <w:szCs w:val="24"/>
        </w:rPr>
        <w:t xml:space="preserve"> azul (B) se encuentran</w:t>
      </w:r>
      <w:r w:rsidR="00D037C8" w:rsidRPr="00D40009">
        <w:rPr>
          <w:rFonts w:ascii="Times New Roman" w:hAnsi="Times New Roman" w:cs="Times New Roman"/>
          <w:sz w:val="24"/>
          <w:szCs w:val="24"/>
        </w:rPr>
        <w:t xml:space="preserve"> las bolsas con las mayores similitudes</w:t>
      </w:r>
      <w:r w:rsidRPr="00D40009">
        <w:rPr>
          <w:rFonts w:ascii="Times New Roman" w:hAnsi="Times New Roman" w:cs="Times New Roman"/>
          <w:sz w:val="24"/>
          <w:szCs w:val="24"/>
        </w:rPr>
        <w:t xml:space="preserve"> de acuerdo a las seis variables estudiadas, y en la zona Roja </w:t>
      </w:r>
      <w:proofErr w:type="gramStart"/>
      <w:r w:rsidRPr="00D40009">
        <w:rPr>
          <w:rFonts w:ascii="Times New Roman" w:hAnsi="Times New Roman" w:cs="Times New Roman"/>
          <w:sz w:val="24"/>
          <w:szCs w:val="24"/>
        </w:rPr>
        <w:t>( R</w:t>
      </w:r>
      <w:proofErr w:type="gramEnd"/>
      <w:r w:rsidRPr="00D40009">
        <w:rPr>
          <w:rFonts w:ascii="Times New Roman" w:hAnsi="Times New Roman" w:cs="Times New Roman"/>
          <w:sz w:val="24"/>
          <w:szCs w:val="24"/>
        </w:rPr>
        <w:t>) se encuentran los mercados más diferentes entre sí y más diferentes del resto. Podríamos decir que los mercados de la zona roja tienen una mayor “personalidad” o idiosincrasia lo que les hace ser diversos del resto. Entre ambas zonas se encuentra la zona verde con bolsas a medio camino entre las anteriores.</w:t>
      </w:r>
    </w:p>
    <w:p w:rsidR="00AF3436" w:rsidRPr="00D40009" w:rsidRDefault="00AF3436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t xml:space="preserve">En el mapa con el posicionamiento de cada bolsa en su celda correspondiente se puede ver que en una misma celda hay varias bolsas, esto es por la </w:t>
      </w:r>
      <w:proofErr w:type="spellStart"/>
      <w:r w:rsidRPr="00D40009">
        <w:rPr>
          <w:rFonts w:ascii="Times New Roman" w:hAnsi="Times New Roman" w:cs="Times New Roman"/>
          <w:sz w:val="24"/>
          <w:szCs w:val="24"/>
        </w:rPr>
        <w:t>similaridad</w:t>
      </w:r>
      <w:proofErr w:type="spellEnd"/>
      <w:r w:rsidRPr="00D40009">
        <w:rPr>
          <w:rFonts w:ascii="Times New Roman" w:hAnsi="Times New Roman" w:cs="Times New Roman"/>
          <w:sz w:val="24"/>
          <w:szCs w:val="24"/>
        </w:rPr>
        <w:t xml:space="preserve"> de sus características. También se puede ver que hay diferentes años acompañando a los nombres de las bolsas. Los 13 años estudia</w:t>
      </w:r>
      <w:r w:rsidR="00485831" w:rsidRPr="00D40009">
        <w:rPr>
          <w:rFonts w:ascii="Times New Roman" w:hAnsi="Times New Roman" w:cs="Times New Roman"/>
          <w:sz w:val="24"/>
          <w:szCs w:val="24"/>
        </w:rPr>
        <w:t>d</w:t>
      </w:r>
      <w:r w:rsidRPr="00D40009">
        <w:rPr>
          <w:rFonts w:ascii="Times New Roman" w:hAnsi="Times New Roman" w:cs="Times New Roman"/>
          <w:sz w:val="24"/>
          <w:szCs w:val="24"/>
        </w:rPr>
        <w:t>os 2000-2012 se han dividido en 3 periodos de tiempo, con la finalidad de observar cómo evolucionan las bolsas</w:t>
      </w:r>
      <w:r w:rsidR="000D56CF" w:rsidRPr="00D40009">
        <w:rPr>
          <w:rFonts w:ascii="Times New Roman" w:hAnsi="Times New Roman" w:cs="Times New Roman"/>
          <w:sz w:val="24"/>
          <w:szCs w:val="24"/>
        </w:rPr>
        <w:t>, antes y después de la crisis</w:t>
      </w:r>
      <w:r w:rsidR="00485831" w:rsidRPr="00D40009">
        <w:rPr>
          <w:rFonts w:ascii="Times New Roman" w:hAnsi="Times New Roman" w:cs="Times New Roman"/>
          <w:sz w:val="24"/>
          <w:szCs w:val="24"/>
        </w:rPr>
        <w:t xml:space="preserve">: </w:t>
      </w:r>
      <w:r w:rsidR="000D56CF" w:rsidRPr="00D40009">
        <w:rPr>
          <w:rFonts w:ascii="Times New Roman" w:hAnsi="Times New Roman" w:cs="Times New Roman"/>
          <w:sz w:val="24"/>
          <w:szCs w:val="24"/>
        </w:rPr>
        <w:t>2000-2003, 2004-2007 y 2008-2012.</w:t>
      </w:r>
    </w:p>
    <w:p w:rsidR="000D56CF" w:rsidRPr="00D40009" w:rsidRDefault="000D56CF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t>La zona azul presenta una gran cantidad de mercados, de todas las zonas geográficas del planeta. Encontramos aquí algunas bolsas pequeñas y medianas como, por ejemplo, bolsas de países emergentes de Europa, de países desarrollados de Europa y de mercados americanos y asiáticos. Los dos único</w:t>
      </w:r>
      <w:r w:rsidR="00E24AE0" w:rsidRPr="00D40009">
        <w:rPr>
          <w:rFonts w:ascii="Times New Roman" w:hAnsi="Times New Roman" w:cs="Times New Roman"/>
          <w:sz w:val="24"/>
          <w:szCs w:val="24"/>
        </w:rPr>
        <w:t>s</w:t>
      </w:r>
      <w:r w:rsidRPr="00D40009">
        <w:rPr>
          <w:rFonts w:ascii="Times New Roman" w:hAnsi="Times New Roman" w:cs="Times New Roman"/>
          <w:sz w:val="24"/>
          <w:szCs w:val="24"/>
        </w:rPr>
        <w:t xml:space="preserve"> mercados africanos que entran en la muestra, El Cairo y Johannesburgo, también están en la zona azul del mapa.</w:t>
      </w:r>
    </w:p>
    <w:p w:rsidR="00AF3436" w:rsidRPr="00AF3436" w:rsidRDefault="00AF3436" w:rsidP="00AF3436">
      <w:pPr>
        <w:pStyle w:val="Epgrafe"/>
        <w:spacing w:after="0" w:line="240" w:lineRule="auto"/>
        <w:contextualSpacing/>
        <w:jc w:val="both"/>
        <w:rPr>
          <w:rFonts w:ascii="Times New Roman" w:hAnsi="Times New Roman"/>
          <w:color w:val="auto"/>
          <w:sz w:val="22"/>
          <w:szCs w:val="22"/>
          <w:lang w:val="es-ES"/>
        </w:rPr>
        <w:sectPr w:rsidR="00AF3436" w:rsidRPr="00AF3436" w:rsidSect="0008032B">
          <w:footerReference w:type="default" r:id="rId11"/>
          <w:footnotePr>
            <w:numFmt w:val="chicago"/>
          </w:footnotePr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:rsidR="00AF3436" w:rsidRPr="00AF3436" w:rsidRDefault="00AF3436" w:rsidP="00AF3436">
      <w:pPr>
        <w:pStyle w:val="Epgrafe"/>
        <w:spacing w:after="0" w:line="240" w:lineRule="auto"/>
        <w:contextualSpacing/>
        <w:jc w:val="center"/>
        <w:rPr>
          <w:rFonts w:ascii="Times New Roman" w:hAnsi="Times New Roman"/>
          <w:b w:val="0"/>
          <w:bCs w:val="0"/>
          <w:sz w:val="24"/>
          <w:szCs w:val="24"/>
          <w:lang w:val="es-ES"/>
        </w:rPr>
      </w:pPr>
      <w:r w:rsidRPr="00AF3436">
        <w:rPr>
          <w:rFonts w:ascii="Times New Roman" w:hAnsi="Times New Roman"/>
          <w:color w:val="auto"/>
          <w:sz w:val="24"/>
          <w:szCs w:val="24"/>
          <w:lang w:val="es-ES"/>
        </w:rPr>
        <w:lastRenderedPageBreak/>
        <w:t>Mapa de bolsas y evol</w:t>
      </w:r>
      <w:r w:rsidR="00D40009">
        <w:rPr>
          <w:rFonts w:ascii="Times New Roman" w:hAnsi="Times New Roman"/>
          <w:color w:val="auto"/>
          <w:sz w:val="24"/>
          <w:szCs w:val="24"/>
          <w:lang w:val="es-ES"/>
        </w:rPr>
        <w:t>ución durante el periodo 2000 a</w:t>
      </w:r>
      <w:r w:rsidRPr="00AF3436">
        <w:rPr>
          <w:rFonts w:ascii="Times New Roman" w:hAnsi="Times New Roman"/>
          <w:color w:val="auto"/>
          <w:sz w:val="24"/>
          <w:szCs w:val="24"/>
          <w:lang w:val="es-ES"/>
        </w:rPr>
        <w:t xml:space="preserve"> 2012</w:t>
      </w:r>
      <w:r w:rsidRPr="00AF3436">
        <w:rPr>
          <w:rFonts w:ascii="Times New Roman" w:hAnsi="Times New Roman"/>
          <w:bCs w:val="0"/>
          <w:sz w:val="24"/>
          <w:szCs w:val="24"/>
          <w:lang w:val="es-ES"/>
        </w:rPr>
        <w:t>.</w:t>
      </w:r>
    </w:p>
    <w:p w:rsidR="00AF3436" w:rsidRPr="00A723F0" w:rsidRDefault="00AF3436" w:rsidP="00AF3436">
      <w:pPr>
        <w:spacing w:line="240" w:lineRule="auto"/>
        <w:rPr>
          <w:lang w:bidi="en-US"/>
        </w:rPr>
      </w:pPr>
      <w:r w:rsidRPr="00A723F0">
        <w:rPr>
          <w:noProof/>
          <w:lang w:eastAsia="es-ES"/>
        </w:rPr>
        <w:drawing>
          <wp:inline distT="0" distB="0" distL="0" distR="0" wp14:anchorId="1D503AEA" wp14:editId="29F0E373">
            <wp:extent cx="7424928" cy="4900900"/>
            <wp:effectExtent l="0" t="0" r="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0840" cy="4904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436" w:rsidRDefault="00AF3436" w:rsidP="00AF3436">
      <w:pPr>
        <w:pStyle w:val="Textoindependiente"/>
        <w:spacing w:after="0" w:line="480" w:lineRule="auto"/>
        <w:contextualSpacing/>
        <w:jc w:val="both"/>
        <w:rPr>
          <w:rFonts w:ascii="Times New Roman" w:hAnsi="Times New Roman"/>
          <w:szCs w:val="22"/>
        </w:rPr>
        <w:sectPr w:rsidR="00AF3436" w:rsidSect="00ED367D">
          <w:footnotePr>
            <w:numFmt w:val="chicago"/>
          </w:footnotePr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:rsidR="00D40009" w:rsidRPr="00D40009" w:rsidRDefault="00D40009" w:rsidP="00D40009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lastRenderedPageBreak/>
        <w:t>El grupo rojo presenta pocas bolsas; el hecho de que estos mercados estén más alejados del resto es una señal de su diferenciación, la bolsa de Londres, Nasdaq OMX, NYSE-</w:t>
      </w:r>
      <w:proofErr w:type="spellStart"/>
      <w:r w:rsidRPr="00D40009">
        <w:rPr>
          <w:rFonts w:ascii="Times New Roman" w:hAnsi="Times New Roman" w:cs="Times New Roman"/>
          <w:sz w:val="24"/>
          <w:szCs w:val="24"/>
        </w:rPr>
        <w:t>Euronext</w:t>
      </w:r>
      <w:proofErr w:type="spellEnd"/>
      <w:r w:rsidRPr="00D40009">
        <w:rPr>
          <w:rFonts w:ascii="Times New Roman" w:hAnsi="Times New Roman" w:cs="Times New Roman"/>
          <w:sz w:val="24"/>
          <w:szCs w:val="24"/>
        </w:rPr>
        <w:t xml:space="preserve"> y Tokio están en este grupo. Durante los 13 años de estudio considerados, solo la bolsa de </w:t>
      </w:r>
      <w:proofErr w:type="spellStart"/>
      <w:r w:rsidRPr="00D40009">
        <w:rPr>
          <w:rFonts w:ascii="Times New Roman" w:hAnsi="Times New Roman" w:cs="Times New Roman"/>
          <w:sz w:val="24"/>
          <w:szCs w:val="24"/>
        </w:rPr>
        <w:t>Shanghai</w:t>
      </w:r>
      <w:proofErr w:type="spellEnd"/>
      <w:r w:rsidRPr="00D40009">
        <w:rPr>
          <w:rFonts w:ascii="Times New Roman" w:hAnsi="Times New Roman" w:cs="Times New Roman"/>
          <w:sz w:val="24"/>
          <w:szCs w:val="24"/>
        </w:rPr>
        <w:t xml:space="preserve"> ha evolucionado uniéndose al grupo rojo.</w:t>
      </w:r>
    </w:p>
    <w:p w:rsidR="00AF3436" w:rsidRPr="00D40009" w:rsidRDefault="00D40009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t xml:space="preserve">El grupo intermedio (G) presenta un mayor grado de </w:t>
      </w:r>
      <w:r w:rsidR="00AE26CF">
        <w:rPr>
          <w:rFonts w:ascii="Times New Roman" w:hAnsi="Times New Roman" w:cs="Times New Roman"/>
          <w:sz w:val="24"/>
          <w:szCs w:val="24"/>
        </w:rPr>
        <w:t>parecido</w:t>
      </w:r>
      <w:r w:rsidRPr="00D40009">
        <w:rPr>
          <w:rFonts w:ascii="Times New Roman" w:hAnsi="Times New Roman" w:cs="Times New Roman"/>
          <w:sz w:val="24"/>
          <w:szCs w:val="24"/>
        </w:rPr>
        <w:t xml:space="preserve"> que los mercados de la zona roja, pero menos </w:t>
      </w:r>
      <w:proofErr w:type="spellStart"/>
      <w:r w:rsidRPr="00D40009">
        <w:rPr>
          <w:rFonts w:ascii="Times New Roman" w:hAnsi="Times New Roman" w:cs="Times New Roman"/>
          <w:sz w:val="24"/>
          <w:szCs w:val="24"/>
        </w:rPr>
        <w:t>similaridades</w:t>
      </w:r>
      <w:proofErr w:type="spellEnd"/>
      <w:r w:rsidRPr="00D40009">
        <w:rPr>
          <w:rFonts w:ascii="Times New Roman" w:hAnsi="Times New Roman" w:cs="Times New Roman"/>
          <w:sz w:val="24"/>
          <w:szCs w:val="24"/>
        </w:rPr>
        <w:t xml:space="preserve"> que los mercados de la zona azul. Por ejemplo, podemos observar que las bolsas de España, India y Australia están en esta zona. También vemos que durante los últimos 10 años algunos mercados se han unido a este grupo, como el alemán, el Nasdaq Copenhague o los mercados asiáticos </w:t>
      </w:r>
      <w:proofErr w:type="spellStart"/>
      <w:r w:rsidRPr="00D40009">
        <w:rPr>
          <w:rFonts w:ascii="Times New Roman" w:hAnsi="Times New Roman" w:cs="Times New Roman"/>
          <w:sz w:val="24"/>
          <w:szCs w:val="24"/>
        </w:rPr>
        <w:t>Shenzhen</w:t>
      </w:r>
      <w:proofErr w:type="spellEnd"/>
      <w:r w:rsidRPr="00D40009">
        <w:rPr>
          <w:rFonts w:ascii="Times New Roman" w:hAnsi="Times New Roman" w:cs="Times New Roman"/>
          <w:sz w:val="24"/>
          <w:szCs w:val="24"/>
        </w:rPr>
        <w:t>, Corea y Hong-Kong.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14C4" w:rsidRPr="00D40009">
        <w:rPr>
          <w:rFonts w:ascii="Times New Roman" w:hAnsi="Times New Roman" w:cs="Times New Roman"/>
          <w:sz w:val="24"/>
          <w:szCs w:val="24"/>
        </w:rPr>
        <w:t>Las bolsas asiáticas son las que han mostrado un mayor grado de dinamismo en este periodo.</w:t>
      </w:r>
    </w:p>
    <w:p w:rsidR="001B14C4" w:rsidRPr="00D40009" w:rsidRDefault="001B14C4" w:rsidP="00023540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t>Para realizar esta clasificación, entre las seis variables analizadas, las variables que han demostrado ser claves son la capitalización de mercado y el volumen negociado</w:t>
      </w:r>
      <w:r w:rsidR="003850DF" w:rsidRPr="00D40009">
        <w:rPr>
          <w:rFonts w:ascii="Times New Roman" w:hAnsi="Times New Roman" w:cs="Times New Roman"/>
          <w:sz w:val="24"/>
          <w:szCs w:val="24"/>
        </w:rPr>
        <w:t>. También hay una gran diferencia entre las bolsas de la zona roja y los otros dos grupos en cuanto la internacionalización: volumen de negociación de empresas extranjeras y número de empresas extranjeras listadas. Esta característica establece un canal de contagio hacia y desde las diferentes bolsas.</w:t>
      </w:r>
    </w:p>
    <w:p w:rsidR="003850DF" w:rsidRPr="00B50844" w:rsidRDefault="00B50844" w:rsidP="003850DF">
      <w:pPr>
        <w:pStyle w:val="Epgrafe"/>
        <w:keepNext/>
        <w:spacing w:after="0" w:line="240" w:lineRule="auto"/>
        <w:contextualSpacing/>
        <w:jc w:val="center"/>
        <w:rPr>
          <w:rFonts w:ascii="Times New Roman" w:hAnsi="Times New Roman"/>
          <w:b w:val="0"/>
          <w:color w:val="auto"/>
          <w:sz w:val="24"/>
          <w:szCs w:val="24"/>
          <w:lang w:val="es-ES"/>
        </w:rPr>
      </w:pPr>
      <w:r w:rsidRPr="00B50844">
        <w:rPr>
          <w:rFonts w:ascii="Times New Roman" w:hAnsi="Times New Roman"/>
          <w:b w:val="0"/>
          <w:color w:val="auto"/>
          <w:sz w:val="24"/>
          <w:szCs w:val="24"/>
          <w:lang w:val="es-ES"/>
        </w:rPr>
        <w:t>Estadísticos descriptivos para</w:t>
      </w:r>
      <w:r w:rsidR="003850DF" w:rsidRPr="00B50844">
        <w:rPr>
          <w:rFonts w:ascii="Times New Roman" w:hAnsi="Times New Roman"/>
          <w:b w:val="0"/>
          <w:color w:val="auto"/>
          <w:sz w:val="24"/>
          <w:szCs w:val="24"/>
          <w:lang w:val="es-ES"/>
        </w:rPr>
        <w:t xml:space="preserve"> </w:t>
      </w:r>
      <w:r w:rsidRPr="00B50844">
        <w:rPr>
          <w:rFonts w:ascii="Times New Roman" w:hAnsi="Times New Roman"/>
          <w:b w:val="0"/>
          <w:color w:val="auto"/>
          <w:sz w:val="24"/>
          <w:szCs w:val="24"/>
          <w:lang w:val="es-ES"/>
        </w:rPr>
        <w:t>los grupos azul (B), verde (G), y roja (R)</w:t>
      </w:r>
    </w:p>
    <w:tbl>
      <w:tblPr>
        <w:tblW w:w="89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8"/>
        <w:gridCol w:w="1417"/>
        <w:gridCol w:w="1134"/>
        <w:gridCol w:w="1236"/>
        <w:gridCol w:w="1077"/>
        <w:gridCol w:w="1118"/>
        <w:gridCol w:w="1436"/>
      </w:tblGrid>
      <w:tr w:rsidR="00B50844" w:rsidRPr="00B50844" w:rsidTr="00B50844">
        <w:trPr>
          <w:trHeight w:val="2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Grupo B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>Capitalización Doméstica</w:t>
            </w:r>
            <w:r w:rsidR="003850DF"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 xml:space="preserve"> (DMC)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>Negociación electrónica doméstica</w:t>
            </w:r>
            <w:r w:rsidR="003850DF"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 xml:space="preserve"> (ETD)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3850DF" w:rsidRPr="00B50844" w:rsidRDefault="00B50844" w:rsidP="00B5084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 xml:space="preserve">Negociación electrónica </w:t>
            </w:r>
            <w:r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>extrajera</w:t>
            </w:r>
            <w:r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 xml:space="preserve"> </w:t>
            </w:r>
            <w:r w:rsidR="003850DF"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>(ETF)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</w:pPr>
            <w:r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>Empresas listadas domésticas</w:t>
            </w:r>
            <w:r w:rsidR="003850DF"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 xml:space="preserve"> (LD)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</w:pPr>
            <w:r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>Empresas listadas extranjeras</w:t>
            </w:r>
            <w:r w:rsidR="003850DF"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 xml:space="preserve"> (LF)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</w:pPr>
            <w:r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>Capitalización nuevas empresas listadas</w:t>
            </w:r>
            <w:r w:rsidR="003850DF" w:rsidRPr="00B50844">
              <w:rPr>
                <w:rFonts w:ascii="Times New Roman" w:hAnsi="Times New Roman"/>
                <w:color w:val="auto"/>
                <w:sz w:val="20"/>
                <w:szCs w:val="22"/>
                <w:lang w:val="es-ES"/>
              </w:rPr>
              <w:t xml:space="preserve"> (MCNL)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</w:pPr>
            <w:r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Media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195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127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437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275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142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</w:pPr>
            <w:r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Desviación típica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276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261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673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20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238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907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B5084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 xml:space="preserve">5% </w:t>
            </w:r>
            <w:r w:rsidR="00B50844"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Percentil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208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33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 xml:space="preserve">95% </w:t>
            </w:r>
            <w:r w:rsidR="00B50844"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Percentil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801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752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278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48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876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25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399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Mín</w:t>
            </w:r>
            <w:r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imo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Máx</w:t>
            </w:r>
            <w:r>
              <w:rPr>
                <w:rFonts w:ascii="Times New Roman" w:hAnsi="Times New Roman"/>
                <w:color w:val="1F497D" w:themeColor="text2"/>
                <w:sz w:val="20"/>
                <w:szCs w:val="22"/>
                <w:lang w:val="es-ES"/>
              </w:rPr>
              <w:t>imo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411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384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426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124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994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253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37</w:t>
            </w:r>
            <w:r w:rsidR="00B50844"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174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>Grupo 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>Media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974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941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564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210</w:t>
            </w:r>
            <w:bookmarkStart w:id="0" w:name="_GoBack"/>
            <w:bookmarkEnd w:id="0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900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49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201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>Desviación típica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491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588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698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26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451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908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 xml:space="preserve">5% </w:t>
            </w: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>Percentil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285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202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661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634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867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>95% Percentil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716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884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085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943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116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753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>Mínimo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252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73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327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582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233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00B050"/>
                <w:sz w:val="20"/>
                <w:szCs w:val="22"/>
                <w:lang w:val="es-ES"/>
              </w:rPr>
              <w:t>Máximo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287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601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115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764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121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454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409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>Grupo 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50DF" w:rsidRPr="00B50844" w:rsidRDefault="003850DF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>Media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177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306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168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549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308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117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384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>Desviación típica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040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558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680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634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596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207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572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 xml:space="preserve">5% </w:t>
            </w: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>Percentil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087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621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538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415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49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851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>95% Percentil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947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608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669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711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108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548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181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766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>Mínimo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868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146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641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903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791</w:t>
            </w:r>
          </w:p>
        </w:tc>
      </w:tr>
      <w:tr w:rsidR="00B50844" w:rsidRPr="00B50844" w:rsidTr="00B50844">
        <w:trPr>
          <w:trHeight w:val="2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670B74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</w:pPr>
            <w:r w:rsidRPr="00B50844">
              <w:rPr>
                <w:rFonts w:ascii="Times New Roman" w:hAnsi="Times New Roman"/>
                <w:color w:val="FF0000"/>
                <w:sz w:val="20"/>
                <w:szCs w:val="22"/>
                <w:lang w:val="es-ES"/>
              </w:rPr>
              <w:t>Máximo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14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272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18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431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736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827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475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3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535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629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0844" w:rsidRPr="00B50844" w:rsidRDefault="00B50844" w:rsidP="003850DF">
            <w:pPr>
              <w:pStyle w:val="Epgrafe"/>
              <w:keepNext/>
              <w:spacing w:after="0" w:line="240" w:lineRule="auto"/>
              <w:contextualSpacing/>
              <w:jc w:val="center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</w:pP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195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.</w:t>
            </w:r>
            <w:r w:rsidRPr="00B50844"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es-ES"/>
              </w:rPr>
              <w:t>069</w:t>
            </w:r>
          </w:p>
        </w:tc>
      </w:tr>
    </w:tbl>
    <w:p w:rsidR="003850DF" w:rsidRDefault="00B50844" w:rsidP="003850DF">
      <w:pPr>
        <w:pStyle w:val="Epgrafe"/>
        <w:keepNext/>
        <w:spacing w:after="0" w:line="240" w:lineRule="auto"/>
        <w:contextualSpacing/>
        <w:jc w:val="center"/>
        <w:rPr>
          <w:rFonts w:ascii="Times New Roman" w:hAnsi="Times New Roman"/>
          <w:b w:val="0"/>
          <w:color w:val="auto"/>
          <w:sz w:val="22"/>
          <w:szCs w:val="22"/>
          <w:lang w:val="es-ES"/>
        </w:rPr>
      </w:pPr>
      <w:r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 xml:space="preserve">Los datos de </w:t>
      </w:r>
      <w:r w:rsidR="003850DF"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>DMC</w:t>
      </w:r>
      <w:r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>.</w:t>
      </w:r>
      <w:r w:rsidR="003850DF"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 xml:space="preserve"> ETD</w:t>
      </w:r>
      <w:r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>.</w:t>
      </w:r>
      <w:r w:rsidR="003850DF"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 xml:space="preserve"> ETF</w:t>
      </w:r>
      <w:r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>.</w:t>
      </w:r>
      <w:r w:rsidR="003850DF"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 xml:space="preserve"> </w:t>
      </w:r>
      <w:proofErr w:type="gramStart"/>
      <w:r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>y</w:t>
      </w:r>
      <w:proofErr w:type="gramEnd"/>
      <w:r w:rsidR="003850DF"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 xml:space="preserve"> MCNL </w:t>
      </w:r>
      <w:r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>están en millones de dólares</w:t>
      </w:r>
      <w:r w:rsidR="003850DF" w:rsidRPr="00B50844">
        <w:rPr>
          <w:rFonts w:ascii="Times New Roman" w:hAnsi="Times New Roman"/>
          <w:b w:val="0"/>
          <w:color w:val="auto"/>
          <w:sz w:val="22"/>
          <w:szCs w:val="22"/>
          <w:lang w:val="es-ES"/>
        </w:rPr>
        <w:t>.</w:t>
      </w:r>
    </w:p>
    <w:p w:rsidR="00AE26CF" w:rsidRDefault="00AE26CF" w:rsidP="00AE26CF">
      <w:pPr>
        <w:rPr>
          <w:lang w:bidi="en-US"/>
        </w:rPr>
      </w:pPr>
    </w:p>
    <w:p w:rsidR="00AE26CF" w:rsidRDefault="00AE26CF" w:rsidP="00AE26CF">
      <w:pPr>
        <w:jc w:val="both"/>
        <w:rPr>
          <w:rFonts w:ascii="Times New Roman" w:hAnsi="Times New Roman" w:cs="Times New Roman"/>
          <w:sz w:val="24"/>
          <w:szCs w:val="24"/>
        </w:rPr>
      </w:pPr>
      <w:r w:rsidRPr="00D40009">
        <w:rPr>
          <w:rFonts w:ascii="Times New Roman" w:hAnsi="Times New Roman" w:cs="Times New Roman"/>
          <w:sz w:val="24"/>
          <w:szCs w:val="24"/>
        </w:rPr>
        <w:lastRenderedPageBreak/>
        <w:t>Se puede constatar que la crisis financiera que ha afectado al periodo 2008-2012 ha tenido un impacto mayor en los grupos R y G, con bolsas más grandes, que en el grupo B. En paralelo, durante estos años, los mercados emergentes y de menor capitalización (grupo B) han crecido a mayores tasas que los demás.</w:t>
      </w:r>
    </w:p>
    <w:p w:rsidR="00AE26CF" w:rsidRPr="00AE26CF" w:rsidRDefault="00AE26CF" w:rsidP="00AE26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esta clasificación, visual e intuitiva obtenemos un mapa de bolsas en función de </w:t>
      </w:r>
      <w:proofErr w:type="spellStart"/>
      <w:r>
        <w:rPr>
          <w:rFonts w:ascii="Times New Roman" w:hAnsi="Times New Roman" w:cs="Times New Roman"/>
          <w:sz w:val="24"/>
          <w:szCs w:val="24"/>
        </w:rPr>
        <w:t>similaridades</w:t>
      </w:r>
      <w:proofErr w:type="spellEnd"/>
      <w:r>
        <w:rPr>
          <w:rFonts w:ascii="Times New Roman" w:hAnsi="Times New Roman" w:cs="Times New Roman"/>
          <w:sz w:val="24"/>
          <w:szCs w:val="24"/>
        </w:rPr>
        <w:t>, no de conectividad, que nos permite monitorizar la evolución relativa de los mercados, sus diferencias y a través de las variables que nos miden su internacionalización, su probabilidad de impacto en y desde otros mercados.</w:t>
      </w:r>
    </w:p>
    <w:p w:rsidR="003850DF" w:rsidRPr="00AE26CF" w:rsidRDefault="003850DF" w:rsidP="00023540">
      <w:pPr>
        <w:jc w:val="both"/>
        <w:rPr>
          <w:rFonts w:ascii="Times New Roman" w:hAnsi="Times New Roman" w:cs="Times New Roman"/>
        </w:rPr>
      </w:pPr>
    </w:p>
    <w:p w:rsidR="00023540" w:rsidRPr="00AE26CF" w:rsidRDefault="00023540" w:rsidP="0002354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23540" w:rsidRPr="00AE2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490" w:rsidRDefault="00190490">
      <w:pPr>
        <w:spacing w:after="0" w:line="240" w:lineRule="auto"/>
      </w:pPr>
      <w:r>
        <w:separator/>
      </w:r>
    </w:p>
  </w:endnote>
  <w:endnote w:type="continuationSeparator" w:id="0">
    <w:p w:rsidR="00190490" w:rsidRDefault="00190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9042842"/>
      <w:docPartObj>
        <w:docPartGallery w:val="Page Numbers (Bottom of Page)"/>
        <w:docPartUnique/>
      </w:docPartObj>
    </w:sdtPr>
    <w:sdtEndPr/>
    <w:sdtContent>
      <w:p w:rsidR="00463204" w:rsidRDefault="00AF3436">
        <w:pPr>
          <w:pStyle w:val="Piedep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26C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63204" w:rsidRDefault="0019049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490" w:rsidRDefault="00190490">
      <w:pPr>
        <w:spacing w:after="0" w:line="240" w:lineRule="auto"/>
      </w:pPr>
      <w:r>
        <w:separator/>
      </w:r>
    </w:p>
  </w:footnote>
  <w:footnote w:type="continuationSeparator" w:id="0">
    <w:p w:rsidR="00190490" w:rsidRDefault="001904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540"/>
    <w:rsid w:val="00023540"/>
    <w:rsid w:val="000D56CF"/>
    <w:rsid w:val="00123D29"/>
    <w:rsid w:val="00190490"/>
    <w:rsid w:val="001B14C4"/>
    <w:rsid w:val="003850DF"/>
    <w:rsid w:val="00474CA5"/>
    <w:rsid w:val="00485831"/>
    <w:rsid w:val="004F72C8"/>
    <w:rsid w:val="006624B7"/>
    <w:rsid w:val="006775A4"/>
    <w:rsid w:val="006A50E6"/>
    <w:rsid w:val="00806EA3"/>
    <w:rsid w:val="00A43761"/>
    <w:rsid w:val="00AE26CF"/>
    <w:rsid w:val="00AF3436"/>
    <w:rsid w:val="00B50844"/>
    <w:rsid w:val="00D037C8"/>
    <w:rsid w:val="00D40009"/>
    <w:rsid w:val="00D73E37"/>
    <w:rsid w:val="00DB4EF9"/>
    <w:rsid w:val="00E24AE0"/>
    <w:rsid w:val="00E7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43761"/>
    <w:rPr>
      <w:color w:val="0000FF" w:themeColor="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6624B7"/>
    <w:pPr>
      <w:spacing w:after="0" w:line="240" w:lineRule="auto"/>
      <w:jc w:val="both"/>
    </w:pPr>
    <w:rPr>
      <w:lang w:val="es-ES_tradn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aconcuadrcula">
    <w:name w:val="Table Grid"/>
    <w:basedOn w:val="Tablanormal"/>
    <w:uiPriority w:val="59"/>
    <w:rsid w:val="00662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pgrafe">
    <w:name w:val="caption"/>
    <w:basedOn w:val="Normal"/>
    <w:next w:val="Normal"/>
    <w:uiPriority w:val="35"/>
    <w:unhideWhenUsed/>
    <w:qFormat/>
    <w:rsid w:val="00AF3436"/>
    <w:pPr>
      <w:spacing w:line="480" w:lineRule="auto"/>
    </w:pPr>
    <w:rPr>
      <w:rFonts w:ascii="Calibri" w:eastAsia="Times New Roman" w:hAnsi="Calibri" w:cs="Times New Roman"/>
      <w:b/>
      <w:bCs/>
      <w:color w:val="4F81BD"/>
      <w:sz w:val="18"/>
      <w:szCs w:val="18"/>
      <w:lang w:val="en-US" w:bidi="en-US"/>
    </w:rPr>
  </w:style>
  <w:style w:type="paragraph" w:styleId="Textoindependiente">
    <w:name w:val="Body Text"/>
    <w:basedOn w:val="Normal"/>
    <w:link w:val="TextoindependienteCar"/>
    <w:rsid w:val="00AF3436"/>
    <w:rPr>
      <w:rFonts w:ascii="Calibri" w:eastAsia="Times New Roman" w:hAnsi="Calibri" w:cs="Times New Roman"/>
      <w:szCs w:val="20"/>
      <w:lang w:val="en-US" w:bidi="en-US"/>
    </w:rPr>
  </w:style>
  <w:style w:type="character" w:customStyle="1" w:styleId="TextoindependienteCar">
    <w:name w:val="Texto independiente Car"/>
    <w:basedOn w:val="Fuentedeprrafopredeter"/>
    <w:link w:val="Textoindependiente"/>
    <w:rsid w:val="00AF3436"/>
    <w:rPr>
      <w:rFonts w:ascii="Calibri" w:eastAsia="Times New Roman" w:hAnsi="Calibri" w:cs="Times New Roman"/>
      <w:szCs w:val="20"/>
      <w:lang w:val="en-US" w:bidi="en-US"/>
    </w:rPr>
  </w:style>
  <w:style w:type="paragraph" w:styleId="Piedepgina">
    <w:name w:val="footer"/>
    <w:basedOn w:val="Normal"/>
    <w:link w:val="PiedepginaCar"/>
    <w:uiPriority w:val="99"/>
    <w:unhideWhenUsed/>
    <w:rsid w:val="00AF3436"/>
    <w:pPr>
      <w:tabs>
        <w:tab w:val="center" w:pos="4252"/>
        <w:tab w:val="right" w:pos="8504"/>
      </w:tabs>
      <w:spacing w:after="0" w:line="480" w:lineRule="auto"/>
      <w:jc w:val="both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3436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F3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34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43761"/>
    <w:rPr>
      <w:color w:val="0000FF" w:themeColor="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6624B7"/>
    <w:pPr>
      <w:spacing w:after="0" w:line="240" w:lineRule="auto"/>
      <w:jc w:val="both"/>
    </w:pPr>
    <w:rPr>
      <w:lang w:val="es-ES_tradn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aconcuadrcula">
    <w:name w:val="Table Grid"/>
    <w:basedOn w:val="Tablanormal"/>
    <w:uiPriority w:val="59"/>
    <w:rsid w:val="00662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pgrafe">
    <w:name w:val="caption"/>
    <w:basedOn w:val="Normal"/>
    <w:next w:val="Normal"/>
    <w:uiPriority w:val="35"/>
    <w:unhideWhenUsed/>
    <w:qFormat/>
    <w:rsid w:val="00AF3436"/>
    <w:pPr>
      <w:spacing w:line="480" w:lineRule="auto"/>
    </w:pPr>
    <w:rPr>
      <w:rFonts w:ascii="Calibri" w:eastAsia="Times New Roman" w:hAnsi="Calibri" w:cs="Times New Roman"/>
      <w:b/>
      <w:bCs/>
      <w:color w:val="4F81BD"/>
      <w:sz w:val="18"/>
      <w:szCs w:val="18"/>
      <w:lang w:val="en-US" w:bidi="en-US"/>
    </w:rPr>
  </w:style>
  <w:style w:type="paragraph" w:styleId="Textoindependiente">
    <w:name w:val="Body Text"/>
    <w:basedOn w:val="Normal"/>
    <w:link w:val="TextoindependienteCar"/>
    <w:rsid w:val="00AF3436"/>
    <w:rPr>
      <w:rFonts w:ascii="Calibri" w:eastAsia="Times New Roman" w:hAnsi="Calibri" w:cs="Times New Roman"/>
      <w:szCs w:val="20"/>
      <w:lang w:val="en-US" w:bidi="en-US"/>
    </w:rPr>
  </w:style>
  <w:style w:type="character" w:customStyle="1" w:styleId="TextoindependienteCar">
    <w:name w:val="Texto independiente Car"/>
    <w:basedOn w:val="Fuentedeprrafopredeter"/>
    <w:link w:val="Textoindependiente"/>
    <w:rsid w:val="00AF3436"/>
    <w:rPr>
      <w:rFonts w:ascii="Calibri" w:eastAsia="Times New Roman" w:hAnsi="Calibri" w:cs="Times New Roman"/>
      <w:szCs w:val="20"/>
      <w:lang w:val="en-US" w:bidi="en-US"/>
    </w:rPr>
  </w:style>
  <w:style w:type="paragraph" w:styleId="Piedepgina">
    <w:name w:val="footer"/>
    <w:basedOn w:val="Normal"/>
    <w:link w:val="PiedepginaCar"/>
    <w:uiPriority w:val="99"/>
    <w:unhideWhenUsed/>
    <w:rsid w:val="00AF3436"/>
    <w:pPr>
      <w:tabs>
        <w:tab w:val="center" w:pos="4252"/>
        <w:tab w:val="right" w:pos="8504"/>
      </w:tabs>
      <w:spacing w:after="0" w:line="480" w:lineRule="auto"/>
      <w:jc w:val="both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3436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F3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34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-exchanges.org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8E70B-B3A5-4E01-9FD2-550DA97E2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5</Pages>
  <Words>1166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Pontificia Comillas</Company>
  <LinksUpToDate>false</LinksUpToDate>
  <CharactersWithSpaces>7567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Mª Teresa Corzo Santamaría</dc:creator>
  <cp:lastModifiedBy>Mª Teresa Corzo Santamaría</cp:lastModifiedBy>
  <cp:revision>10</cp:revision>
  <dcterms:created xsi:type="dcterms:W3CDTF">2015-10-07T13:15:00Z</dcterms:created>
  <dcterms:modified xsi:type="dcterms:W3CDTF">2015-10-09T11:58:00Z</dcterms:modified>
</cp:coreProperties>
</file>