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23A0E" w14:textId="2C28FF1C" w:rsidR="00E81CA8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>
        <w:rPr>
          <w:rFonts w:eastAsia="Times New Roman" w:cstheme="minorHAnsi"/>
          <w:kern w:val="36"/>
          <w:sz w:val="24"/>
          <w:szCs w:val="24"/>
          <w:lang w:eastAsia="es-ES"/>
        </w:rPr>
        <w:t>REVISIÓN SEMANAS 1 Y 2 TFG para avanzar a la 3 y 4.</w:t>
      </w:r>
    </w:p>
    <w:p w14:paraId="44028245" w14:textId="2EFB4F28" w:rsidR="00E81CA8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>
        <w:rPr>
          <w:rFonts w:eastAsia="Times New Roman" w:cstheme="minorHAnsi"/>
          <w:kern w:val="36"/>
          <w:sz w:val="24"/>
          <w:szCs w:val="24"/>
          <w:lang w:eastAsia="es-ES"/>
        </w:rPr>
        <w:t>(Ya hay un retraso de dos semanas, procura la entrega antes del lunes 3 de noviembre 2025.</w:t>
      </w:r>
    </w:p>
    <w:p w14:paraId="23416B6F" w14:textId="68BA0945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1) Título y coherencia (unificar y operativizar)</w:t>
      </w:r>
    </w:p>
    <w:p w14:paraId="1FC33B2C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Problema detectado: aparecen tres títulos con focos y rangos temporales distintos (2015–2025 vs. 2018–2025), y uno mezcla “manejo de síntomas del paciente” con “estrategias del cuidador”, lo que dispersa la revisión. </w:t>
      </w:r>
    </w:p>
    <w:p w14:paraId="1FC1C327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Corrección (elige uno y mantenlo en TODO el TFG):</w:t>
      </w:r>
    </w:p>
    <w:p w14:paraId="67688389" w14:textId="77777777" w:rsidR="00E81CA8" w:rsidRPr="00D03072" w:rsidRDefault="00E81CA8" w:rsidP="00E81CA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Opción A (más centrada):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Demencia frontotemporal en personas mayores: carga del cuidador y estrategias de afrontamiento. Revisión sistemática rápida (2015–2025).</w:t>
      </w:r>
    </w:p>
    <w:p w14:paraId="2F8B0CD7" w14:textId="77777777" w:rsidR="00E81CA8" w:rsidRPr="00D03072" w:rsidRDefault="00E81CA8" w:rsidP="00E81CA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Opción B (si quieres incluir intervención):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Estrategias de apoyo al cuidador en DFT y su impacto en la carga y calidad de vida. Revisión sistemática rápida (2015–2025).</w:t>
      </w:r>
    </w:p>
    <w:p w14:paraId="0478676E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Mantén un único rango temporal (recomiendo 2015–2025) y un único foco (carga y afrontamiento del cuidador en DFT). Si el “manejo de síntomas del paciente” se mantiene, que sea facilitador explicativo (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síntomas→más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carga), no un objetivo central. </w:t>
      </w:r>
    </w:p>
    <w:p w14:paraId="1A2499D7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2) Justificación (sumar vacío, datos y utilidad)</w:t>
      </w:r>
    </w:p>
    <w:p w14:paraId="092E8D66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Problema: la justificación es genérica; falta: (a) vacío específico en DFT frente a Alzheimer, (b) impacto diferencial en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y retos de FTD, (c) utilidad para Trabajo Social (cribado de carga, psicoeducación, respiro, coordinación). </w:t>
      </w:r>
    </w:p>
    <w:p w14:paraId="59F32FAF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Añade 8–10 líneas con:</w:t>
      </w:r>
    </w:p>
    <w:p w14:paraId="61793E2A" w14:textId="77777777" w:rsidR="00E81CA8" w:rsidRPr="00D03072" w:rsidRDefault="00E81CA8" w:rsidP="00E81CA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FTD con retos únicos (conductuales/lenguaje) y carga familiar elevada frente a otras demencias. </w:t>
      </w:r>
    </w:p>
    <w:p w14:paraId="0352B930" w14:textId="77777777" w:rsidR="00E81CA8" w:rsidRPr="00D03072" w:rsidRDefault="00E81CA8" w:rsidP="00E81CA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Necesidad de educación específica y apoyos para cuidadores FTD. </w:t>
      </w:r>
    </w:p>
    <w:p w14:paraId="17971772" w14:textId="77777777" w:rsidR="00E81CA8" w:rsidRPr="00D03072" w:rsidRDefault="00E81CA8" w:rsidP="00E81CA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Implicaciones TS: cribado sistemático de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, psicoeducación, grupos de apoyo, respiro, coordinación sociosanitaria. (Ver revisiones y ensayos recientes). </w:t>
      </w:r>
    </w:p>
    <w:p w14:paraId="1A6B1BF4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3) Objetivo general y objetivos específicos (hacerlos medibles)</w:t>
      </w:r>
    </w:p>
    <w:p w14:paraId="1A1C1837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Problema: el OG mezcla varios verbos y resulta poco operativo; los OE no garantizan productos verificables. </w:t>
      </w:r>
    </w:p>
    <w:p w14:paraId="42D9AEC7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Reescritura (lista para pegar):</w:t>
      </w:r>
    </w:p>
    <w:p w14:paraId="3412D5FF" w14:textId="77777777" w:rsidR="00E81CA8" w:rsidRPr="00D03072" w:rsidRDefault="00E81CA8" w:rsidP="00E81CA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lastRenderedPageBreak/>
        <w:t xml:space="preserve">OG: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Sintetizar la evidencia (2015–2025) sobre carga del cuidador y estrategias de afrontamiento en DFT en personas ≥65 años, identificando implicaciones para el Trabajo Social.</w:t>
      </w:r>
    </w:p>
    <w:p w14:paraId="51A858F9" w14:textId="77777777" w:rsidR="00E81CA8" w:rsidRPr="00D03072" w:rsidRDefault="00E81CA8" w:rsidP="00E81CA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OE1: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Caracterizar la carga del cuidador por instrumentos y resultados.</w:t>
      </w:r>
    </w:p>
    <w:p w14:paraId="426A3148" w14:textId="77777777" w:rsidR="00E81CA8" w:rsidRPr="00D03072" w:rsidRDefault="00E81CA8" w:rsidP="00E81CA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OE2: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Identificar y clasificar estrategias de afrontamiento (centradas en problema/emoción/evitación; apoyo social; resiliencia) y su relación con resultados del cuidador.</w:t>
      </w:r>
    </w:p>
    <w:p w14:paraId="7EF1756A" w14:textId="77777777" w:rsidR="00E81CA8" w:rsidRPr="00D03072" w:rsidRDefault="00E81CA8" w:rsidP="00E81CA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OE3: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Describir cómo síntomas conductuales y del lenguaje del paciente se asocian con la carga familiar.</w:t>
      </w:r>
    </w:p>
    <w:p w14:paraId="103250AE" w14:textId="77777777" w:rsidR="00E81CA8" w:rsidRPr="00D03072" w:rsidRDefault="00E81CA8" w:rsidP="00E81CA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OE4: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Proponer recomendaciones para la práctica (cribado, psicoeducación, respiro, grupos, tecnología, coordinación TS-sanitario).</w:t>
      </w:r>
    </w:p>
    <w:p w14:paraId="754DEFB6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Estos OE te obligan a tablas y síntesis temática concretas en Semana 4.</w:t>
      </w:r>
    </w:p>
    <w:p w14:paraId="49F2046A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4) PICO / PEO (bien orientado, pero pulir terminología)</w:t>
      </w:r>
    </w:p>
    <w:p w14:paraId="64A0348A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Bien: has separado PICO (intervenciones) y PEO (experiencias/relaciones). </w:t>
      </w:r>
      <w:r w:rsidRPr="00D03072">
        <w:rPr>
          <w:rFonts w:eastAsia="Times New Roman" w:cstheme="minorHAnsi"/>
          <w:sz w:val="24"/>
          <w:szCs w:val="24"/>
          <w:lang w:eastAsia="es-ES"/>
        </w:rPr>
        <w:br/>
        <w:t>Mejoras:</w:t>
      </w:r>
    </w:p>
    <w:p w14:paraId="710C90C2" w14:textId="77777777" w:rsidR="00E81CA8" w:rsidRPr="00D03072" w:rsidRDefault="00E81CA8" w:rsidP="00E81CA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En PICO, sustituye “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Overload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” por “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” (término estándar), añade calidad de vida del cuidador como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outcome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explícito y considera depresión/ansiedad/estrés (HADS/DASS).</w:t>
      </w:r>
    </w:p>
    <w:p w14:paraId="0A1A61A2" w14:textId="77777777" w:rsidR="00E81CA8" w:rsidRPr="00D03072" w:rsidRDefault="00E81CA8" w:rsidP="00E81CA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En PEO, “exposición” = </w:t>
      </w:r>
      <w:r w:rsidRPr="00D03072">
        <w:rPr>
          <w:rFonts w:eastAsia="Times New Roman" w:cstheme="minorHAnsi"/>
          <w:i/>
          <w:iCs/>
          <w:sz w:val="24"/>
          <w:szCs w:val="24"/>
          <w:lang w:eastAsia="es-ES"/>
        </w:rPr>
        <w:t>ser cuidador informal de persona mayor con DFT</w:t>
      </w:r>
      <w:r w:rsidRPr="00D03072">
        <w:rPr>
          <w:rFonts w:eastAsia="Times New Roman" w:cstheme="minorHAnsi"/>
          <w:sz w:val="24"/>
          <w:szCs w:val="24"/>
          <w:lang w:eastAsia="es-ES"/>
        </w:rPr>
        <w:t xml:space="preserve">;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outcomes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: carga, salud mental, resiliencia, apoyo.</w:t>
      </w:r>
    </w:p>
    <w:p w14:paraId="312040C5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5) Cadenas de búsqueda (ajustes técnicos)</w:t>
      </w:r>
    </w:p>
    <w:p w14:paraId="3D6192E5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Problema: faltan sinónimos/variantes de DFT y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, y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MeSH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en PubMed; en español, mejor “sobrecarga” además de “carga”. </w:t>
      </w:r>
    </w:p>
    <w:p w14:paraId="634D200C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PubMed (plantilla lista):</w:t>
      </w:r>
    </w:p>
    <w:p w14:paraId="20D369CB" w14:textId="77777777" w:rsidR="00E81CA8" w:rsidRPr="00D03072" w:rsidRDefault="00E81CA8" w:rsidP="00E81C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("frontotemporal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dementia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"[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MeSH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Terms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] OR "frontotemporal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dementia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"[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Title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/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Abstract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] </w:t>
      </w:r>
    </w:p>
    <w:p w14:paraId="698E46C4" w14:textId="77777777" w:rsidR="00E81CA8" w:rsidRPr="00D03072" w:rsidRDefault="00E81CA8" w:rsidP="00E81C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OR FTD OR "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behavioral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variant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frontotemporal" OR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bvFTD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</w:p>
    <w:p w14:paraId="123DCBFC" w14:textId="77777777" w:rsidR="00E81CA8" w:rsidRPr="00D03072" w:rsidRDefault="00E81CA8" w:rsidP="00E81C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OR "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primary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progressive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aphasia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" OR PPA)</w:t>
      </w:r>
    </w:p>
    <w:p w14:paraId="67C742E8" w14:textId="77777777" w:rsidR="00E81CA8" w:rsidRPr="00D03072" w:rsidRDefault="00E81CA8" w:rsidP="00E81C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AND (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caregiver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*[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Title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/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Abstract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] OR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carer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* OR "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family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caregiver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*" OR "informal care")</w:t>
      </w:r>
    </w:p>
    <w:p w14:paraId="625EBF9B" w14:textId="77777777" w:rsidR="00E81CA8" w:rsidRPr="00D03072" w:rsidRDefault="00E81CA8" w:rsidP="00E81C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AND (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OR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strain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OR stress OR "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quality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of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life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" OR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depression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OR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anxiety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</w:p>
    <w:p w14:paraId="67E98AC7" w14:textId="77777777" w:rsidR="00E81CA8" w:rsidRPr="00D03072" w:rsidRDefault="00E81CA8" w:rsidP="00E81C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OR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OR "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strategies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" OR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resilience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OR "social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support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")</w:t>
      </w:r>
    </w:p>
    <w:p w14:paraId="057DDC99" w14:textId="77777777" w:rsidR="00E81CA8" w:rsidRPr="00D03072" w:rsidRDefault="00E81CA8" w:rsidP="00E81C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es-ES"/>
        </w:rPr>
      </w:pP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Filters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: 2015–2025; English;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Spanish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;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Humans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.</w:t>
      </w:r>
    </w:p>
    <w:p w14:paraId="48848710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Español (Dialnet/Scielo):</w:t>
      </w:r>
      <w:r w:rsidRPr="00D03072">
        <w:rPr>
          <w:rFonts w:eastAsia="Times New Roman" w:cstheme="minorHAnsi"/>
          <w:sz w:val="24"/>
          <w:szCs w:val="24"/>
          <w:lang w:eastAsia="es-ES"/>
        </w:rPr>
        <w:br/>
        <w:t>("demencia frontotemporal" OR DFT OR "variante conductual" OR "afasia progresiva primaria") AND (cuidador* OR "cuidado informal") AND (carga OR sobrecarga OR afrontamiento OR apoyo OR resiliencia OR "calidad de vida")</w:t>
      </w:r>
    </w:p>
    <w:p w14:paraId="1F3E5478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lastRenderedPageBreak/>
        <w:t>6) Criterios de inclusión/exclusión (hacerlos defendibles)</w:t>
      </w:r>
    </w:p>
    <w:p w14:paraId="353B4966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Problema: están descritos de forma general; faltan límites de población, diseño y tipo de dato. </w:t>
      </w:r>
    </w:p>
    <w:p w14:paraId="3E7BA4AC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Ajustes:</w:t>
      </w:r>
    </w:p>
    <w:p w14:paraId="2869336D" w14:textId="77777777" w:rsidR="00E81CA8" w:rsidRPr="00D03072" w:rsidRDefault="00E81CA8" w:rsidP="00E81C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Población: personas ≥65 con DFT (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bvFTD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/PPA/SD) y sus cuidadores informales (excluir “formales” si no son foco).</w:t>
      </w:r>
    </w:p>
    <w:p w14:paraId="66E6A760" w14:textId="77777777" w:rsidR="00E81CA8" w:rsidRPr="00D03072" w:rsidRDefault="00E81CA8" w:rsidP="00E81C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Diseños: incluir cuantitativos, cualitativos y mixtos con datos originales; usar revisiones solo para marco.</w:t>
      </w:r>
    </w:p>
    <w:p w14:paraId="39AFF25B" w14:textId="77777777" w:rsidR="00E81CA8" w:rsidRPr="00D03072" w:rsidRDefault="00E81CA8" w:rsidP="00E81C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Outcomes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: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(ZBI u otros),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, apoyo/resiliencia, salud mental del cuidador,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QoL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; en paciente: NPI/conducta, funcionalidad, uso de recursos.</w:t>
      </w:r>
    </w:p>
    <w:p w14:paraId="2DF156CA" w14:textId="77777777" w:rsidR="00E81CA8" w:rsidRPr="00D03072" w:rsidRDefault="00E81CA8" w:rsidP="00E81C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Ámbito/idiomas/fechas: mantener 2015–2025, ES/EN, internacional.</w:t>
      </w:r>
    </w:p>
    <w:p w14:paraId="1E9B5309" w14:textId="77777777" w:rsidR="00E81CA8" w:rsidRPr="00D03072" w:rsidRDefault="00E81CA8" w:rsidP="00E81C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Exclusiones: cartas/editoriales; demencias no FTD salvo subanálisis FTD; estudios sin resultados de cuidador.</w:t>
      </w:r>
    </w:p>
    <w:p w14:paraId="47CD36F8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7) Fuentes y reporte (añadir PRISMA + evaluación de calidad)</w:t>
      </w:r>
    </w:p>
    <w:p w14:paraId="26C29280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Añade: PRISMA 2020 (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checklist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+ diagrama de flujo) en anexos y explica herramientas de calidad según diseño (CASP cualitativos; JBI/NOS observacionales; RoB2 ensayos). </w:t>
      </w:r>
    </w:p>
    <w:p w14:paraId="117AFA24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8) Matriz de extracción (profundizar y evitar “</w:t>
      </w:r>
      <w:proofErr w:type="gramStart"/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estudios fantasma</w:t>
      </w:r>
      <w:proofErr w:type="gramEnd"/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”)</w:t>
      </w:r>
    </w:p>
    <w:p w14:paraId="35DAEF0D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Problema: los “estudios 1–6” descritos son demasiado vagos, sin referencia completa (autor, título, revista, DOI), y algunos parecen genéricos (p. ej., “Miller 2024 Canadá…”). Esto, tal cual, no es aceptable para Semana 3. </w:t>
      </w:r>
    </w:p>
    <w:p w14:paraId="2B119380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Corrección (obligatoria):</w:t>
      </w:r>
    </w:p>
    <w:p w14:paraId="5C545DCE" w14:textId="77777777" w:rsidR="00E81CA8" w:rsidRPr="00D03072" w:rsidRDefault="00E81CA8" w:rsidP="00E81CA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Completar referencia completa de cada estudio (autor, año, título, revista, DOI/URL).</w:t>
      </w:r>
    </w:p>
    <w:p w14:paraId="2B9F8C8B" w14:textId="77777777" w:rsidR="00E81CA8" w:rsidRPr="00D03072" w:rsidRDefault="00E81CA8" w:rsidP="00E81CA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Añadir columnas: diseño, muestra (n), instrumento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(p. ej., ZBI), medidas de salud mental (HADS/DASS), resultado paciente (NPI/ADL), tipo de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, hallazgos clave, limitaciones, utilidad TS.</w:t>
      </w:r>
    </w:p>
    <w:p w14:paraId="22DF68C5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Modelos reales que puede usar (abiertos / muy citados):</w:t>
      </w:r>
    </w:p>
    <w:p w14:paraId="6FC310D9" w14:textId="77777777" w:rsidR="00E81CA8" w:rsidRPr="00D03072" w:rsidRDefault="00E81CA8" w:rsidP="00E81CA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iCare4Me (RCT en cuidadores FTD) – coaching de salud virtual, resultados de estrés/autocuidado; excelente ejemplo de intervención PICO. </w:t>
      </w:r>
    </w:p>
    <w:p w14:paraId="296A5962" w14:textId="77777777" w:rsidR="00E81CA8" w:rsidRPr="00D03072" w:rsidRDefault="00E81CA8" w:rsidP="00E81CA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Revisión 2024 del impacto psicosocial en cuidadores FTD – visión de conjunto y brechas (educación, apoyos). </w:t>
      </w:r>
    </w:p>
    <w:p w14:paraId="6FF3C483" w14:textId="77777777" w:rsidR="00E81CA8" w:rsidRPr="00D03072" w:rsidRDefault="00E81CA8" w:rsidP="00E81CA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y resultados psicológicos en cuidadores FTD (revisión) – buen marco para clasificar afrontamiento. </w:t>
      </w:r>
    </w:p>
    <w:p w14:paraId="75C6D377" w14:textId="77777777" w:rsidR="00E81CA8" w:rsidRPr="00D03072" w:rsidRDefault="00E81CA8" w:rsidP="00E81CA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Comparativas de carga por subtipo de demencia – contextualiza por qué FTD supone carga elevada. </w:t>
      </w:r>
    </w:p>
    <w:p w14:paraId="67AB826D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lastRenderedPageBreak/>
        <w:t>9) Instrumentos y variables (anclar a medidas estándar)</w:t>
      </w:r>
    </w:p>
    <w:p w14:paraId="39B775BA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Para que la síntesis sea comparable, nombrar instrumentos que esperas encontrar y etiquetar en la matriz:</w:t>
      </w:r>
    </w:p>
    <w:p w14:paraId="4E2C2A26" w14:textId="77777777" w:rsidR="00E81CA8" w:rsidRPr="00D03072" w:rsidRDefault="00E81CA8" w:rsidP="00E81CA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: Zarit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Interview (ZBI, 22 / 12 ítems); propiedades y versiones breves. </w:t>
      </w:r>
    </w:p>
    <w:p w14:paraId="0F59DBE2" w14:textId="77777777" w:rsidR="00E81CA8" w:rsidRPr="00D03072" w:rsidRDefault="00E81CA8" w:rsidP="00E81CA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Salud mental: HADS o DASS-21.</w:t>
      </w:r>
    </w:p>
    <w:p w14:paraId="05552C0C" w14:textId="77777777" w:rsidR="00E81CA8" w:rsidRPr="00D03072" w:rsidRDefault="00E81CA8" w:rsidP="00E81CA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: categorías (problema/emoción/evitación); p. ej.,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Brief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COPE.</w:t>
      </w:r>
    </w:p>
    <w:p w14:paraId="2F876BA7" w14:textId="77777777" w:rsidR="00E81CA8" w:rsidRPr="00D03072" w:rsidRDefault="00E81CA8" w:rsidP="00E81CA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Síntomas del paciente: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Neuropsychiatric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Inventory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(NPI); funcionalidad (ADL/IADL).</w:t>
      </w:r>
    </w:p>
    <w:p w14:paraId="7939AE58" w14:textId="77777777" w:rsidR="00E81CA8" w:rsidRPr="00D03072" w:rsidRDefault="00E81CA8" w:rsidP="00E81CA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Calidad de vida (cuidador/paciente): escalas abreviadas (p. ej.,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WHOQoL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-BREF; DEMQOL si aparece).</w:t>
      </w:r>
    </w:p>
    <w:p w14:paraId="34E26D84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36"/>
          <w:sz w:val="24"/>
          <w:szCs w:val="24"/>
          <w:lang w:eastAsia="es-ES"/>
        </w:rPr>
      </w:pPr>
      <w:r w:rsidRPr="00D03072">
        <w:rPr>
          <w:rFonts w:eastAsia="Times New Roman" w:cstheme="minorHAnsi"/>
          <w:kern w:val="36"/>
          <w:sz w:val="24"/>
          <w:szCs w:val="24"/>
          <w:lang w:eastAsia="es-ES"/>
        </w:rPr>
        <w:t>10) Semana 3–4: hoja de ruta muy concreta</w:t>
      </w:r>
    </w:p>
    <w:p w14:paraId="6D902B0E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Semana 3 (lo que debe</w:t>
      </w:r>
      <w:r>
        <w:rPr>
          <w:rFonts w:eastAsia="Times New Roman" w:cstheme="minorHAnsi"/>
          <w:lang w:eastAsia="es-ES"/>
        </w:rPr>
        <w:t>s</w:t>
      </w:r>
      <w:r w:rsidRPr="00D03072">
        <w:rPr>
          <w:rFonts w:eastAsia="Times New Roman" w:cstheme="minorHAnsi"/>
          <w:sz w:val="24"/>
          <w:szCs w:val="24"/>
          <w:lang w:eastAsia="es-ES"/>
        </w:rPr>
        <w:t xml:space="preserve"> hacer ya):</w:t>
      </w:r>
    </w:p>
    <w:p w14:paraId="4ED0AA93" w14:textId="77777777" w:rsidR="00E81CA8" w:rsidRPr="00D03072" w:rsidRDefault="00E81CA8" w:rsidP="00E81CA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Ejecutar búsquedas (PubMed,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PsycINFO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, CINAHL,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Scopus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WoS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, Dialnet) con la cadena pulida.</w:t>
      </w:r>
    </w:p>
    <w:p w14:paraId="362CB839" w14:textId="77777777" w:rsidR="00E81CA8" w:rsidRPr="00D03072" w:rsidRDefault="00E81CA8" w:rsidP="00E81CA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Cribado en dos fases (título/resumen → texto completo) con registro de motivos de exclusión.</w:t>
      </w:r>
    </w:p>
    <w:p w14:paraId="6CA42EFB" w14:textId="77777777" w:rsidR="00E81CA8" w:rsidRPr="00D03072" w:rsidRDefault="00E81CA8" w:rsidP="00E81CA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Llenar matriz con ≥20–25 estudios (≥60% últimos 10 años).</w:t>
      </w:r>
    </w:p>
    <w:p w14:paraId="71AB4FF0" w14:textId="77777777" w:rsidR="00E81CA8" w:rsidRPr="00D03072" w:rsidRDefault="00E81CA8" w:rsidP="00E81CA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Evaluación de calidad (CASP/JBI/NOS/RoB2) e informe de pilotaje (1 página).</w:t>
      </w:r>
    </w:p>
    <w:p w14:paraId="542694A9" w14:textId="77777777" w:rsidR="00E81CA8" w:rsidRPr="00D03072" w:rsidRDefault="00E81CA8" w:rsidP="00E81CA8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Semana 4 (síntesis y borrador):</w:t>
      </w:r>
    </w:p>
    <w:p w14:paraId="6721F594" w14:textId="77777777" w:rsidR="00E81CA8" w:rsidRPr="00D03072" w:rsidRDefault="00E81CA8" w:rsidP="00E81CA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PRISMA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flow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completo + tablas:</w:t>
      </w:r>
    </w:p>
    <w:p w14:paraId="1CD714F8" w14:textId="77777777" w:rsidR="00E81CA8" w:rsidRPr="00D03072" w:rsidRDefault="00E81CA8" w:rsidP="00E81CA8">
      <w:pPr>
        <w:numPr>
          <w:ilvl w:val="1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Tabla A: características de estudios (diseño, n, país, DFT variante).</w:t>
      </w:r>
    </w:p>
    <w:p w14:paraId="024C3EA5" w14:textId="77777777" w:rsidR="00E81CA8" w:rsidRPr="00D03072" w:rsidRDefault="00E81CA8" w:rsidP="00E81CA8">
      <w:pPr>
        <w:numPr>
          <w:ilvl w:val="1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Tabla B: Instrumentos y resultados (ZBI, HADS/DASS, NPI,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QoL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).</w:t>
      </w:r>
    </w:p>
    <w:p w14:paraId="420BFD88" w14:textId="77777777" w:rsidR="00E81CA8" w:rsidRPr="00D03072" w:rsidRDefault="00E81CA8" w:rsidP="00E81CA8">
      <w:pPr>
        <w:numPr>
          <w:ilvl w:val="1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Tabla C: Estrategias de afrontamiento (categorías) y relación con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outcomes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.</w:t>
      </w:r>
    </w:p>
    <w:p w14:paraId="610A3016" w14:textId="77777777" w:rsidR="00E81CA8" w:rsidRPr="00D03072" w:rsidRDefault="00E81CA8" w:rsidP="00E81CA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Síntesis temática (carga,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, intervenciones) + recomendaciones TS (cribado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, psicoeducación específica FTD, respiro, grupos, apoyos digitales).</w:t>
      </w:r>
    </w:p>
    <w:p w14:paraId="5EE39920" w14:textId="77777777" w:rsidR="00E81CA8" w:rsidRPr="00D03072" w:rsidRDefault="00E81CA8" w:rsidP="00E81CA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Limitaciones (heterogeneidad, sesgos, foco en ≥65, idiomas).</w:t>
      </w:r>
    </w:p>
    <w:p w14:paraId="5C76585C" w14:textId="77777777" w:rsidR="00E81CA8" w:rsidRPr="00D03072" w:rsidRDefault="00E81CA8" w:rsidP="00E81CA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Conclusiones con 3–5 recomendaciones prácticas.</w:t>
      </w:r>
    </w:p>
    <w:p w14:paraId="4328A54D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Bonus: 5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micro-cambios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de redacción (copiar/pegar)</w:t>
      </w:r>
    </w:p>
    <w:p w14:paraId="095A59B0" w14:textId="77777777" w:rsidR="00E81CA8" w:rsidRPr="00D03072" w:rsidRDefault="00E81CA8" w:rsidP="00E81CA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OG (revisado): “Sintetizar la evidencia (2015–2025) sobre la carga del cuidador y las estrategias de afrontamiento en DFT (≥65 años) e identificar implicaciones para Trabajo Social.”</w:t>
      </w:r>
    </w:p>
    <w:p w14:paraId="6A2F58D3" w14:textId="77777777" w:rsidR="00E81CA8" w:rsidRPr="00D03072" w:rsidRDefault="00E81CA8" w:rsidP="00E81CA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PICO (frase): “En cuidadores informales de mayores con DFT, ¿las intervenciones de apoyo/psicoeducación frente a la atención habitual reducen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y mejoran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QoL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y salud mental?”</w:t>
      </w:r>
    </w:p>
    <w:p w14:paraId="356F9715" w14:textId="77777777" w:rsidR="00E81CA8" w:rsidRPr="00D03072" w:rsidRDefault="00E81CA8" w:rsidP="00E81CA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lastRenderedPageBreak/>
        <w:t>PEO (frase): “¿Cómo viven los cuidadores informales de mayores con DFT la carga y qué estrategias de afrontamiento emplean?”</w:t>
      </w:r>
    </w:p>
    <w:p w14:paraId="1503C0D8" w14:textId="77777777" w:rsidR="00E81CA8" w:rsidRPr="00D03072" w:rsidRDefault="00E81CA8" w:rsidP="00E81CA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Criterios clave (frase): “Incluir estudios con datos originales que reporten al menos un resultado de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>/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del cuidador.”</w:t>
      </w:r>
    </w:p>
    <w:p w14:paraId="4C09EB7F" w14:textId="77777777" w:rsidR="00E81CA8" w:rsidRPr="00D03072" w:rsidRDefault="00E81CA8" w:rsidP="00E81CA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Método (frase): “Se seguirá PRISMA 2020 con diagrama de flujo, cadenas reproducibles y evaluación de calidad (CASP/JBI/NOS/RoB2).” </w:t>
      </w:r>
    </w:p>
    <w:p w14:paraId="339C367D" w14:textId="77777777" w:rsidR="00E81CA8" w:rsidRPr="00D03072" w:rsidRDefault="00E81CA8" w:rsidP="00E81CA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>Referencias útiles como modelos (para que las busque</w:t>
      </w:r>
      <w:r>
        <w:rPr>
          <w:rFonts w:eastAsia="Times New Roman" w:cstheme="minorHAnsi"/>
          <w:lang w:eastAsia="es-ES"/>
        </w:rPr>
        <w:t>s</w:t>
      </w:r>
      <w:r w:rsidRPr="00D03072">
        <w:rPr>
          <w:rFonts w:eastAsia="Times New Roman" w:cstheme="minorHAnsi"/>
          <w:sz w:val="24"/>
          <w:szCs w:val="24"/>
          <w:lang w:eastAsia="es-ES"/>
        </w:rPr>
        <w:t xml:space="preserve"> e incluya</w:t>
      </w:r>
      <w:r>
        <w:rPr>
          <w:rFonts w:eastAsia="Times New Roman" w:cstheme="minorHAnsi"/>
          <w:lang w:eastAsia="es-ES"/>
        </w:rPr>
        <w:t>s</w:t>
      </w:r>
      <w:r w:rsidRPr="00D03072">
        <w:rPr>
          <w:rFonts w:eastAsia="Times New Roman" w:cstheme="minorHAnsi"/>
          <w:sz w:val="24"/>
          <w:szCs w:val="24"/>
          <w:lang w:eastAsia="es-ES"/>
        </w:rPr>
        <w:t>)</w:t>
      </w:r>
    </w:p>
    <w:p w14:paraId="0AE31A9A" w14:textId="77777777" w:rsidR="00E81CA8" w:rsidRPr="00D03072" w:rsidRDefault="00E81CA8" w:rsidP="00E81CA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Massimo et al., 2023 – iCare4Me (RCT, coaching virtual en cuidadores FTD): guía para sección de intervenciones y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outcomes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de cuidador. </w:t>
      </w:r>
    </w:p>
    <w:p w14:paraId="45803A78" w14:textId="77777777" w:rsidR="00E81CA8" w:rsidRPr="00D03072" w:rsidRDefault="00E81CA8" w:rsidP="00E81CA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Tan et al., 2024 – Revisión de impactos psicosociales en FTD (open PDF): buen estado del arte y lagunas. </w:t>
      </w:r>
    </w:p>
    <w:p w14:paraId="634FF418" w14:textId="77777777" w:rsidR="00E81CA8" w:rsidRPr="00D03072" w:rsidRDefault="00E81CA8" w:rsidP="00E81CA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Roche et al., 2015 –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Coping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y resultados psicológicos en cuidadores FTD: enmarca categorías de afrontamiento. </w:t>
      </w:r>
    </w:p>
    <w:p w14:paraId="0D542925" w14:textId="77777777" w:rsidR="00E81CA8" w:rsidRPr="00D03072" w:rsidRDefault="00E81CA8" w:rsidP="00E81CA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Frontiers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in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Psychology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2022 – carga por subtipos de demencia: para contextualizar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burden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. </w:t>
      </w:r>
    </w:p>
    <w:p w14:paraId="70BB1D8C" w14:textId="77777777" w:rsidR="00E81CA8" w:rsidRPr="00D03072" w:rsidRDefault="00E81CA8" w:rsidP="00E81CA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D03072">
        <w:rPr>
          <w:rFonts w:eastAsia="Times New Roman" w:cstheme="minorHAnsi"/>
          <w:sz w:val="24"/>
          <w:szCs w:val="24"/>
          <w:lang w:eastAsia="es-ES"/>
        </w:rPr>
        <w:t xml:space="preserve">PRISMA 2020 (BMJ +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checklist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): </w:t>
      </w:r>
      <w:proofErr w:type="spellStart"/>
      <w:r w:rsidRPr="00D03072">
        <w:rPr>
          <w:rFonts w:eastAsia="Times New Roman" w:cstheme="minorHAnsi"/>
          <w:sz w:val="24"/>
          <w:szCs w:val="24"/>
          <w:lang w:eastAsia="es-ES"/>
        </w:rPr>
        <w:t>reporting</w:t>
      </w:r>
      <w:proofErr w:type="spellEnd"/>
      <w:r w:rsidRPr="00D03072">
        <w:rPr>
          <w:rFonts w:eastAsia="Times New Roman" w:cstheme="minorHAnsi"/>
          <w:sz w:val="24"/>
          <w:szCs w:val="24"/>
          <w:lang w:eastAsia="es-ES"/>
        </w:rPr>
        <w:t xml:space="preserve"> y anexos. </w:t>
      </w:r>
    </w:p>
    <w:p w14:paraId="55696B09" w14:textId="77777777" w:rsidR="00E81CA8" w:rsidRDefault="00E81CA8" w:rsidP="00E81CA8"/>
    <w:p w14:paraId="3DDF98F7" w14:textId="4F51CF26" w:rsidR="00366A3E" w:rsidRPr="00556DA4" w:rsidRDefault="00366A3E" w:rsidP="00556DA4"/>
    <w:sectPr w:rsidR="00366A3E" w:rsidRPr="00556DA4" w:rsidSect="00E45213">
      <w:headerReference w:type="default" r:id="rId10"/>
      <w:footerReference w:type="default" r:id="rId11"/>
      <w:pgSz w:w="11906" w:h="16838"/>
      <w:pgMar w:top="1417" w:right="1701" w:bottom="1417" w:left="1701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CC334" w14:textId="77777777" w:rsidR="00F123B9" w:rsidRDefault="00F123B9" w:rsidP="00C50184">
      <w:pPr>
        <w:spacing w:after="0" w:line="240" w:lineRule="auto"/>
      </w:pPr>
      <w:r>
        <w:separator/>
      </w:r>
    </w:p>
  </w:endnote>
  <w:endnote w:type="continuationSeparator" w:id="0">
    <w:p w14:paraId="47004007" w14:textId="77777777" w:rsidR="00F123B9" w:rsidRDefault="00F123B9" w:rsidP="00C50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o Sans Std">
    <w:altName w:val="Calibri"/>
    <w:panose1 w:val="00000000000000000000"/>
    <w:charset w:val="00"/>
    <w:family w:val="swiss"/>
    <w:notTrueType/>
    <w:pitch w:val="variable"/>
    <w:sig w:usb0="800000AF" w:usb1="5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8DDFD" w14:textId="50E4CCAF" w:rsidR="00E45213" w:rsidRDefault="00E45213" w:rsidP="0035561C">
    <w:pPr>
      <w:pStyle w:val="Piedepgina"/>
      <w:rPr>
        <w:rFonts w:ascii="Neo Sans Std" w:hAnsi="Neo Sans Std"/>
        <w:b/>
        <w:noProof/>
        <w:sz w:val="28"/>
        <w:szCs w:val="28"/>
        <w:lang w:eastAsia="es-ES"/>
      </w:rPr>
    </w:pPr>
    <w:r>
      <w:rPr>
        <w:rFonts w:ascii="Neo Sans Std" w:hAnsi="Neo Sans Std"/>
        <w:b/>
        <w:noProof/>
        <w:sz w:val="28"/>
        <w:szCs w:val="28"/>
        <w:lang w:eastAsia="es-ES"/>
      </w:rPr>
      <w:t>Lorea Fdez-Baldor Sáinz de la Maza</w:t>
    </w:r>
    <w:bookmarkStart w:id="0" w:name="_Hlk208332850"/>
  </w:p>
  <w:bookmarkEnd w:id="0"/>
  <w:p w14:paraId="59CE0BCD" w14:textId="5982F8C6" w:rsidR="00E45213" w:rsidRDefault="00E45213" w:rsidP="0035561C">
    <w:pPr>
      <w:pStyle w:val="Piedepgina"/>
    </w:pPr>
    <w:r>
      <w:rPr>
        <w:rFonts w:ascii="Neo Sans Std" w:hAnsi="Neo Sans Std"/>
        <w:b/>
        <w:noProof/>
        <w:sz w:val="28"/>
        <w:szCs w:val="28"/>
        <w:lang w:eastAsia="es-ES"/>
      </w:rPr>
      <w:t>Trabajo Social Individual y de Familia</w:t>
    </w:r>
  </w:p>
  <w:p w14:paraId="3DDF9906" w14:textId="77777777" w:rsidR="0035561C" w:rsidRDefault="0035561C">
    <w:pPr>
      <w:pStyle w:val="Piedepgina"/>
    </w:pPr>
  </w:p>
  <w:p w14:paraId="3DDF9907" w14:textId="77777777" w:rsidR="0035561C" w:rsidRDefault="003556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AF01F" w14:textId="77777777" w:rsidR="00F123B9" w:rsidRDefault="00F123B9" w:rsidP="00C50184">
      <w:pPr>
        <w:spacing w:after="0" w:line="240" w:lineRule="auto"/>
      </w:pPr>
      <w:r>
        <w:separator/>
      </w:r>
    </w:p>
  </w:footnote>
  <w:footnote w:type="continuationSeparator" w:id="0">
    <w:p w14:paraId="35CC6B3A" w14:textId="77777777" w:rsidR="00F123B9" w:rsidRDefault="00F123B9" w:rsidP="00C501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F98FC" w14:textId="4F12CFE8" w:rsidR="00C50184" w:rsidRDefault="00E45213">
    <w:pPr>
      <w:pStyle w:val="Encabezado"/>
    </w:pPr>
    <w:r>
      <w:rPr>
        <w:noProof/>
      </w:rPr>
      <w:drawing>
        <wp:anchor distT="0" distB="0" distL="114300" distR="114300" simplePos="0" relativeHeight="251664384" behindDoc="0" locked="0" layoutInCell="1" allowOverlap="1" wp14:anchorId="30DED1E6" wp14:editId="5A5C0B9D">
          <wp:simplePos x="0" y="0"/>
          <wp:positionH relativeFrom="column">
            <wp:posOffset>4520565</wp:posOffset>
          </wp:positionH>
          <wp:positionV relativeFrom="paragraph">
            <wp:posOffset>-100330</wp:posOffset>
          </wp:positionV>
          <wp:extent cx="1702800" cy="1234800"/>
          <wp:effectExtent l="0" t="0" r="0" b="3810"/>
          <wp:wrapSquare wrapText="bothSides"/>
          <wp:docPr id="2" name="Imagen 1" descr="Comillas - Florence School of Regul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omillas - Florence School of Regulat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800" cy="123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418B9DF" w14:textId="77777777" w:rsidR="00E45213" w:rsidRDefault="00E45213" w:rsidP="00E45213">
    <w:pPr>
      <w:pStyle w:val="Piedepgina"/>
      <w:rPr>
        <w:rFonts w:ascii="Neo Sans Std" w:hAnsi="Neo Sans Std"/>
        <w:b/>
        <w:noProof/>
        <w:sz w:val="28"/>
        <w:szCs w:val="28"/>
        <w:lang w:eastAsia="es-ES"/>
      </w:rPr>
    </w:pPr>
    <w:r>
      <w:rPr>
        <w:rFonts w:ascii="Neo Sans Std" w:hAnsi="Neo Sans Std"/>
        <w:b/>
        <w:noProof/>
        <w:sz w:val="28"/>
        <w:szCs w:val="28"/>
        <w:lang w:eastAsia="es-ES"/>
      </w:rPr>
      <w:t>Grado en Trabajo Social y Criminología</w:t>
    </w:r>
  </w:p>
  <w:p w14:paraId="3DDF98FF" w14:textId="77777777" w:rsidR="00C50184" w:rsidRDefault="00C50184">
    <w:pPr>
      <w:pStyle w:val="Encabezado"/>
    </w:pPr>
  </w:p>
  <w:p w14:paraId="3DDF9900" w14:textId="77777777" w:rsidR="00C50184" w:rsidRDefault="00C50184">
    <w:pPr>
      <w:pStyle w:val="Encabezado"/>
    </w:pPr>
  </w:p>
  <w:p w14:paraId="3DDF9901" w14:textId="77777777" w:rsidR="00C50184" w:rsidRDefault="00C50184">
    <w:pPr>
      <w:pStyle w:val="Encabezado"/>
    </w:pPr>
  </w:p>
  <w:p w14:paraId="3DDF9902" w14:textId="77777777" w:rsidR="00C50184" w:rsidRDefault="00AD229C">
    <w:pPr>
      <w:pStyle w:val="Encabezado"/>
    </w:pPr>
    <w:r>
      <w:softHyphen/>
    </w:r>
    <w:r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A5C05"/>
    <w:multiLevelType w:val="multilevel"/>
    <w:tmpl w:val="FE06F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86ABF"/>
    <w:multiLevelType w:val="hybridMultilevel"/>
    <w:tmpl w:val="72AEDCA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A006E"/>
    <w:multiLevelType w:val="hybridMultilevel"/>
    <w:tmpl w:val="2F2E59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F7712"/>
    <w:multiLevelType w:val="multilevel"/>
    <w:tmpl w:val="96A81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815BA0"/>
    <w:multiLevelType w:val="hybridMultilevel"/>
    <w:tmpl w:val="991AF13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61515E"/>
    <w:multiLevelType w:val="hybridMultilevel"/>
    <w:tmpl w:val="97BECD7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9189E"/>
    <w:multiLevelType w:val="hybridMultilevel"/>
    <w:tmpl w:val="3A3C866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A0B0D"/>
    <w:multiLevelType w:val="hybridMultilevel"/>
    <w:tmpl w:val="336AE3A6"/>
    <w:lvl w:ilvl="0" w:tplc="0C0A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13AE2801"/>
    <w:multiLevelType w:val="hybridMultilevel"/>
    <w:tmpl w:val="1E5038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2057B"/>
    <w:multiLevelType w:val="multilevel"/>
    <w:tmpl w:val="EDDA4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F84082"/>
    <w:multiLevelType w:val="hybridMultilevel"/>
    <w:tmpl w:val="84FE6C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806AFB"/>
    <w:multiLevelType w:val="hybridMultilevel"/>
    <w:tmpl w:val="FA88E98E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14A1CFD"/>
    <w:multiLevelType w:val="multilevel"/>
    <w:tmpl w:val="8D12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4B2CFB"/>
    <w:multiLevelType w:val="hybridMultilevel"/>
    <w:tmpl w:val="BB88F5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E48EB"/>
    <w:multiLevelType w:val="hybridMultilevel"/>
    <w:tmpl w:val="A2809038"/>
    <w:lvl w:ilvl="0" w:tplc="EE886B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3E07C0"/>
    <w:multiLevelType w:val="hybridMultilevel"/>
    <w:tmpl w:val="050E31B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BF0858"/>
    <w:multiLevelType w:val="hybridMultilevel"/>
    <w:tmpl w:val="A5FE83F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12777D"/>
    <w:multiLevelType w:val="hybridMultilevel"/>
    <w:tmpl w:val="F7E82A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CF6F95"/>
    <w:multiLevelType w:val="hybridMultilevel"/>
    <w:tmpl w:val="92DCA07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0B0DA4"/>
    <w:multiLevelType w:val="multilevel"/>
    <w:tmpl w:val="E6588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AE6A94"/>
    <w:multiLevelType w:val="hybridMultilevel"/>
    <w:tmpl w:val="52308E50"/>
    <w:lvl w:ilvl="0" w:tplc="5EC29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E8737B0"/>
    <w:multiLevelType w:val="hybridMultilevel"/>
    <w:tmpl w:val="BC3858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F47A98"/>
    <w:multiLevelType w:val="multilevel"/>
    <w:tmpl w:val="D130B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4625F68"/>
    <w:multiLevelType w:val="multilevel"/>
    <w:tmpl w:val="A84E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3011EC"/>
    <w:multiLevelType w:val="hybridMultilevel"/>
    <w:tmpl w:val="5E6E22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F224C3"/>
    <w:multiLevelType w:val="multilevel"/>
    <w:tmpl w:val="F7200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7D6E69"/>
    <w:multiLevelType w:val="multilevel"/>
    <w:tmpl w:val="15524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9D7895"/>
    <w:multiLevelType w:val="multilevel"/>
    <w:tmpl w:val="6EE81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3E907FA"/>
    <w:multiLevelType w:val="hybridMultilevel"/>
    <w:tmpl w:val="640A532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5439DD"/>
    <w:multiLevelType w:val="multilevel"/>
    <w:tmpl w:val="12B4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2A3C90"/>
    <w:multiLevelType w:val="multilevel"/>
    <w:tmpl w:val="375AD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82C0D74"/>
    <w:multiLevelType w:val="hybridMultilevel"/>
    <w:tmpl w:val="1BE6B69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676A09"/>
    <w:multiLevelType w:val="hybridMultilevel"/>
    <w:tmpl w:val="2DA4614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B732BA"/>
    <w:multiLevelType w:val="multilevel"/>
    <w:tmpl w:val="8368C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BD6811"/>
    <w:multiLevelType w:val="hybridMultilevel"/>
    <w:tmpl w:val="254408B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343021">
    <w:abstractNumId w:val="10"/>
  </w:num>
  <w:num w:numId="2" w16cid:durableId="787355561">
    <w:abstractNumId w:val="13"/>
  </w:num>
  <w:num w:numId="3" w16cid:durableId="1671760584">
    <w:abstractNumId w:val="14"/>
  </w:num>
  <w:num w:numId="4" w16cid:durableId="1428765756">
    <w:abstractNumId w:val="15"/>
  </w:num>
  <w:num w:numId="5" w16cid:durableId="2133864932">
    <w:abstractNumId w:val="32"/>
  </w:num>
  <w:num w:numId="6" w16cid:durableId="567695801">
    <w:abstractNumId w:val="8"/>
  </w:num>
  <w:num w:numId="7" w16cid:durableId="1355380694">
    <w:abstractNumId w:val="4"/>
  </w:num>
  <w:num w:numId="8" w16cid:durableId="1894733640">
    <w:abstractNumId w:val="21"/>
  </w:num>
  <w:num w:numId="9" w16cid:durableId="191040730">
    <w:abstractNumId w:val="2"/>
  </w:num>
  <w:num w:numId="10" w16cid:durableId="183635764">
    <w:abstractNumId w:val="16"/>
  </w:num>
  <w:num w:numId="11" w16cid:durableId="411437293">
    <w:abstractNumId w:val="24"/>
  </w:num>
  <w:num w:numId="12" w16cid:durableId="2097240191">
    <w:abstractNumId w:val="5"/>
  </w:num>
  <w:num w:numId="13" w16cid:durableId="1052343997">
    <w:abstractNumId w:val="1"/>
  </w:num>
  <w:num w:numId="14" w16cid:durableId="1882091369">
    <w:abstractNumId w:val="31"/>
  </w:num>
  <w:num w:numId="15" w16cid:durableId="122696666">
    <w:abstractNumId w:val="11"/>
  </w:num>
  <w:num w:numId="16" w16cid:durableId="187572208">
    <w:abstractNumId w:val="17"/>
  </w:num>
  <w:num w:numId="17" w16cid:durableId="358942404">
    <w:abstractNumId w:val="20"/>
  </w:num>
  <w:num w:numId="18" w16cid:durableId="309210451">
    <w:abstractNumId w:val="18"/>
  </w:num>
  <w:num w:numId="19" w16cid:durableId="849828725">
    <w:abstractNumId w:val="6"/>
  </w:num>
  <w:num w:numId="20" w16cid:durableId="544221636">
    <w:abstractNumId w:val="28"/>
  </w:num>
  <w:num w:numId="21" w16cid:durableId="1590504181">
    <w:abstractNumId w:val="34"/>
  </w:num>
  <w:num w:numId="22" w16cid:durableId="1629316171">
    <w:abstractNumId w:val="7"/>
  </w:num>
  <w:num w:numId="23" w16cid:durableId="1526019188">
    <w:abstractNumId w:val="19"/>
  </w:num>
  <w:num w:numId="24" w16cid:durableId="1462306878">
    <w:abstractNumId w:val="9"/>
  </w:num>
  <w:num w:numId="25" w16cid:durableId="847527776">
    <w:abstractNumId w:val="25"/>
  </w:num>
  <w:num w:numId="26" w16cid:durableId="932392719">
    <w:abstractNumId w:val="33"/>
  </w:num>
  <w:num w:numId="27" w16cid:durableId="1180654899">
    <w:abstractNumId w:val="0"/>
  </w:num>
  <w:num w:numId="28" w16cid:durableId="692533460">
    <w:abstractNumId w:val="12"/>
  </w:num>
  <w:num w:numId="29" w16cid:durableId="484203855">
    <w:abstractNumId w:val="22"/>
  </w:num>
  <w:num w:numId="30" w16cid:durableId="795680992">
    <w:abstractNumId w:val="29"/>
  </w:num>
  <w:num w:numId="31" w16cid:durableId="1378041065">
    <w:abstractNumId w:val="30"/>
  </w:num>
  <w:num w:numId="32" w16cid:durableId="1539007286">
    <w:abstractNumId w:val="3"/>
  </w:num>
  <w:num w:numId="33" w16cid:durableId="478351730">
    <w:abstractNumId w:val="27"/>
  </w:num>
  <w:num w:numId="34" w16cid:durableId="649137648">
    <w:abstractNumId w:val="26"/>
  </w:num>
  <w:num w:numId="35" w16cid:durableId="27826960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184"/>
    <w:rsid w:val="00057A7C"/>
    <w:rsid w:val="0008590E"/>
    <w:rsid w:val="00105905"/>
    <w:rsid w:val="00160064"/>
    <w:rsid w:val="001E2CBE"/>
    <w:rsid w:val="00202B6F"/>
    <w:rsid w:val="00214A67"/>
    <w:rsid w:val="00250C32"/>
    <w:rsid w:val="00285C37"/>
    <w:rsid w:val="002A5037"/>
    <w:rsid w:val="002D01EA"/>
    <w:rsid w:val="003001BC"/>
    <w:rsid w:val="00300F8D"/>
    <w:rsid w:val="003114B3"/>
    <w:rsid w:val="0035561C"/>
    <w:rsid w:val="0036229C"/>
    <w:rsid w:val="00366A3E"/>
    <w:rsid w:val="003A6AEB"/>
    <w:rsid w:val="003B1D22"/>
    <w:rsid w:val="003D58CA"/>
    <w:rsid w:val="005256A3"/>
    <w:rsid w:val="00534B82"/>
    <w:rsid w:val="0053770A"/>
    <w:rsid w:val="00556DA4"/>
    <w:rsid w:val="005A0DD5"/>
    <w:rsid w:val="005E0EAD"/>
    <w:rsid w:val="00664BBC"/>
    <w:rsid w:val="006E1FB9"/>
    <w:rsid w:val="00705FA5"/>
    <w:rsid w:val="00760398"/>
    <w:rsid w:val="007668BB"/>
    <w:rsid w:val="00770F75"/>
    <w:rsid w:val="00791A81"/>
    <w:rsid w:val="007B4002"/>
    <w:rsid w:val="00815454"/>
    <w:rsid w:val="00844A6F"/>
    <w:rsid w:val="00977777"/>
    <w:rsid w:val="009B63A6"/>
    <w:rsid w:val="00A60223"/>
    <w:rsid w:val="00A824C7"/>
    <w:rsid w:val="00AB4A3F"/>
    <w:rsid w:val="00AD229C"/>
    <w:rsid w:val="00B5301F"/>
    <w:rsid w:val="00BD141C"/>
    <w:rsid w:val="00BE738F"/>
    <w:rsid w:val="00BF25AD"/>
    <w:rsid w:val="00C22591"/>
    <w:rsid w:val="00C50184"/>
    <w:rsid w:val="00D11CF0"/>
    <w:rsid w:val="00D73E1E"/>
    <w:rsid w:val="00D84556"/>
    <w:rsid w:val="00D8796E"/>
    <w:rsid w:val="00DE00CB"/>
    <w:rsid w:val="00DE629E"/>
    <w:rsid w:val="00DF0953"/>
    <w:rsid w:val="00E45213"/>
    <w:rsid w:val="00E81CA8"/>
    <w:rsid w:val="00E95487"/>
    <w:rsid w:val="00EB0DC3"/>
    <w:rsid w:val="00ED59A5"/>
    <w:rsid w:val="00EE4743"/>
    <w:rsid w:val="00F123B9"/>
    <w:rsid w:val="00F46AD5"/>
    <w:rsid w:val="00FF0CC0"/>
    <w:rsid w:val="00FF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DF971A"/>
  <w15:chartTrackingRefBased/>
  <w15:docId w15:val="{B5585C82-0CFF-4307-942E-E2DBE104A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01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01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0184"/>
  </w:style>
  <w:style w:type="paragraph" w:styleId="Piedepgina">
    <w:name w:val="footer"/>
    <w:basedOn w:val="Normal"/>
    <w:link w:val="PiedepginaCar"/>
    <w:uiPriority w:val="99"/>
    <w:unhideWhenUsed/>
    <w:rsid w:val="00C501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0184"/>
  </w:style>
  <w:style w:type="paragraph" w:styleId="Prrafodelista">
    <w:name w:val="List Paragraph"/>
    <w:basedOn w:val="Normal"/>
    <w:uiPriority w:val="34"/>
    <w:qFormat/>
    <w:rsid w:val="003114B3"/>
    <w:pPr>
      <w:spacing w:after="160" w:line="259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D229C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664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F25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25A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A60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A60223"/>
    <w:rPr>
      <w:b/>
      <w:bCs/>
    </w:rPr>
  </w:style>
  <w:style w:type="character" w:styleId="nfasis">
    <w:name w:val="Emphasis"/>
    <w:basedOn w:val="Fuentedeprrafopredeter"/>
    <w:uiPriority w:val="20"/>
    <w:qFormat/>
    <w:rsid w:val="00A602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7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eb0952-6c08-4c91-b647-d1f0a64a675c" xsi:nil="true"/>
    <lcf76f155ced4ddcb4097134ff3c332f xmlns="782ff453-64b9-4e4d-b320-2ae000989aa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0DFBA6A5484742A48ED9304D949F8F" ma:contentTypeVersion="15" ma:contentTypeDescription="Crear nuevo documento." ma:contentTypeScope="" ma:versionID="fc6d990d1fb0332b1a4bdfb5ec6ed547">
  <xsd:schema xmlns:xsd="http://www.w3.org/2001/XMLSchema" xmlns:xs="http://www.w3.org/2001/XMLSchema" xmlns:p="http://schemas.microsoft.com/office/2006/metadata/properties" xmlns:ns2="782ff453-64b9-4e4d-b320-2ae000989aa6" xmlns:ns3="f3eb0952-6c08-4c91-b647-d1f0a64a675c" targetNamespace="http://schemas.microsoft.com/office/2006/metadata/properties" ma:root="true" ma:fieldsID="792c3ec74941e956553f2dd957ae6528" ns2:_="" ns3:_="">
    <xsd:import namespace="782ff453-64b9-4e4d-b320-2ae000989aa6"/>
    <xsd:import namespace="f3eb0952-6c08-4c91-b647-d1f0a64a67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2ff453-64b9-4e4d-b320-2ae000989a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4a10eedb-fff7-4adf-80e5-8c0ca3119e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eb0952-6c08-4c91-b647-d1f0a64a675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ce5ded2-c99d-422e-acb6-d5de005bcc8a}" ma:internalName="TaxCatchAll" ma:showField="CatchAllData" ma:web="f3eb0952-6c08-4c91-b647-d1f0a64a67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7B971B-66F4-46A9-9311-852A116487AA}">
  <ds:schemaRefs>
    <ds:schemaRef ds:uri="http://schemas.microsoft.com/office/2006/metadata/properties"/>
    <ds:schemaRef ds:uri="http://schemas.microsoft.com/office/infopath/2007/PartnerControls"/>
    <ds:schemaRef ds:uri="f3eb0952-6c08-4c91-b647-d1f0a64a675c"/>
    <ds:schemaRef ds:uri="782ff453-64b9-4e4d-b320-2ae000989aa6"/>
  </ds:schemaRefs>
</ds:datastoreItem>
</file>

<file path=customXml/itemProps2.xml><?xml version="1.0" encoding="utf-8"?>
<ds:datastoreItem xmlns:ds="http://schemas.openxmlformats.org/officeDocument/2006/customXml" ds:itemID="{43593971-9E29-4CED-9EED-2F866028BC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AAD1F2-B043-495B-97F3-9E8805171F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2ff453-64b9-4e4d-b320-2ae000989aa6"/>
    <ds:schemaRef ds:uri="f3eb0952-6c08-4c91-b647-d1f0a64a67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1354</Words>
  <Characters>7447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TuSoft.org</Company>
  <LinksUpToDate>false</LinksUpToDate>
  <CharactersWithSpaces>8784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Almudena Perez Pedrayo</dc:creator>
  <cp:keywords/>
  <dc:description/>
  <cp:lastModifiedBy>Lorea Baldor</cp:lastModifiedBy>
  <cp:revision>2</cp:revision>
  <cp:lastPrinted>2025-09-13T11:18:00Z</cp:lastPrinted>
  <dcterms:created xsi:type="dcterms:W3CDTF">2025-10-28T09:52:00Z</dcterms:created>
  <dcterms:modified xsi:type="dcterms:W3CDTF">2025-10-28T09:52:00Z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0x0101007B0DFBA6A5484742A48ED9304D949F8F</vt:lpwstr>
  </property>
</Properties>
</file>