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Emission Policy of the Enterprise: Methodological and Practical Aspects of Assessing Its Effectiveness</w:t>
      </w:r>
    </w:p>
    <w:p/>
    <w:p>
      <w:r>
        <w:t>©2024 Krasnokutska N. S., Kruhlova O. A., Peshko O. V.</w:t>
      </w:r>
    </w:p>
    <w:p/>
    <w:p>
      <w:r>
        <w:t>UDC 336.71</w:t>
      </w:r>
    </w:p>
    <w:p>
      <w:r>
        <w:t>JEL: G30; G39</w:t>
      </w:r>
    </w:p>
    <w:p>
      <w:r>
        <w:t>DOI: https://doi.org/10.32983/2222-4459-2024-8-310-318</w:t>
      </w:r>
    </w:p>
    <w:p/>
    <w:p>
      <w:r>
        <w:t>ABSTRACT</w:t>
      </w:r>
    </w:p>
    <w:p>
      <w:r>
        <w:t>The article examines methodological and practical aspects of assessing the effectiveness of the emission activity of enterprises. The effectiveness of emission policy is represented as a set of indicators reflecting the achievement of the goals of an Initial Public Offering (IPO) and the company’s performance in the post‑emission period. To evaluate the effectiveness of IPOs, the indicator of share underpricing/overpricing on the first day of trading is used. To evaluate the effectiveness of emission activity in the post‑listing period, indicators such as market capitalization, return on equity, financial leverage and return on assets are applied. A binary evaluation method is used to identify the effectiveness of emission policy based on individual indicators. A generalized conclusion about emission activity effectiveness is made using an effectiveness coefficient calculated as the ratio between the actual score and the maximum possible score.</w:t>
      </w:r>
    </w:p>
    <w:p/>
    <w:p>
      <w:r>
        <w:t>Keywords: enterprise, emission policy, effectiveness, evaluation.</w:t>
      </w:r>
    </w:p>
    <w:p/>
    <w:p>
      <w:r>
        <w:t>INTRODUCTION</w:t>
      </w:r>
    </w:p>
    <w:p>
      <w:r>
        <w:t>Emission policy is an important component of a company’s economic activity and one of the factors of its sustainable development and long‑term competitiveness. A properly constructed emission policy contributes to the implementation of long‑term investment projects, improves the company’s reputation, strengthens its competitive position and increases investor confidence.</w:t>
      </w:r>
    </w:p>
    <w:p/>
    <w:p>
      <w:r>
        <w:t>Because the implementation of emission policy is closely related to the strategic development of an enterprise, understanding the effectiveness of this activity is essential for issuing companies.</w:t>
      </w:r>
    </w:p>
    <w:p/>
    <w:p>
      <w:r>
        <w:t>PURPOSE OF THE STUDY</w:t>
      </w:r>
    </w:p>
    <w:p>
      <w:r>
        <w:t>The purpose of the article is to develop methodological tools to substantiate decisions regarding enterprise emission policy based on the criterion of effectiveness.</w:t>
      </w:r>
    </w:p>
    <w:p/>
    <w:p>
      <w:r>
        <w:t>OBJECTIVES</w:t>
      </w:r>
    </w:p>
    <w:p>
      <w:r>
        <w:t>1. Identify indicators for assessing emission activity effectiveness.</w:t>
      </w:r>
    </w:p>
    <w:p>
      <w:r>
        <w:t>2. Substantiate emission policy decisions based on these indicators.</w:t>
      </w:r>
    </w:p>
    <w:p>
      <w:r>
        <w:t>3. Identify trends in emission policy effectiveness among Ukrainian companies.</w:t>
      </w:r>
    </w:p>
    <w:p/>
    <w:p>
      <w:r>
        <w:t>METHODOLOGY</w:t>
      </w:r>
    </w:p>
    <w:p>
      <w:r>
        <w:t>The evaluation of emission policy effectiveness uses the following indicators:</w:t>
      </w:r>
    </w:p>
    <w:p/>
    <w:p>
      <w:r>
        <w:t>• Share underpricing/overpricing on the first trading day after IPO.</w:t>
      </w:r>
    </w:p>
    <w:p>
      <w:r>
        <w:t>• Market capitalization.</w:t>
      </w:r>
    </w:p>
    <w:p>
      <w:r>
        <w:t>• Return on equity (ROE).</w:t>
      </w:r>
    </w:p>
    <w:p>
      <w:r>
        <w:t>• Financial leverage (DER).</w:t>
      </w:r>
    </w:p>
    <w:p>
      <w:r>
        <w:t>• Return on assets (RA).</w:t>
      </w:r>
    </w:p>
    <w:p/>
    <w:p>
      <w:r>
        <w:t>Binary evaluation is used: effective indicators receive 1 point and ineffective indicators receive 0 points.</w:t>
      </w:r>
    </w:p>
    <w:p/>
    <w:p>
      <w:r>
        <w:t>The effectiveness coefficient is calculated as:</w:t>
      </w:r>
    </w:p>
    <w:p/>
    <w:p>
      <w:r>
        <w:t>K = Bf / Bmax</w:t>
      </w:r>
    </w:p>
    <w:p/>
    <w:p>
      <w:r>
        <w:t>where:</w:t>
      </w:r>
    </w:p>
    <w:p>
      <w:r>
        <w:t>K – effectiveness coefficient</w:t>
      </w:r>
    </w:p>
    <w:p>
      <w:r>
        <w:t>Bf – actual score</w:t>
      </w:r>
    </w:p>
    <w:p>
      <w:r>
        <w:t>Bmax – maximum possible score</w:t>
      </w:r>
    </w:p>
    <w:p/>
    <w:p>
      <w:r>
        <w:t>Levels of effectiveness:</w:t>
      </w:r>
    </w:p>
    <w:p>
      <w:r>
        <w:t>0–0.33 – low</w:t>
      </w:r>
    </w:p>
    <w:p>
      <w:r>
        <w:t>0.33–0.67 – satisfactory</w:t>
      </w:r>
    </w:p>
    <w:p>
      <w:r>
        <w:t>0.67–1.00 – acceptable</w:t>
      </w:r>
    </w:p>
    <w:p/>
    <w:p>
      <w:r>
        <w:t>EMPIRICAL ANALYSIS</w:t>
      </w:r>
    </w:p>
    <w:p>
      <w:r>
        <w:t>The study analyzes Ukrainian companies that conducted IPOs on foreign stock exchanges, including:</w:t>
      </w:r>
    </w:p>
    <w:p/>
    <w:p>
      <w:r>
        <w:t>Ukrproduct Group</w:t>
      </w:r>
    </w:p>
    <w:p>
      <w:r>
        <w:t>Astarta Holding PLC</w:t>
      </w:r>
    </w:p>
    <w:p>
      <w:r>
        <w:t>Ferrexpo</w:t>
      </w:r>
    </w:p>
    <w:p>
      <w:r>
        <w:t>Kernel</w:t>
      </w:r>
    </w:p>
    <w:p>
      <w:r>
        <w:t>MHP</w:t>
      </w:r>
    </w:p>
    <w:p>
      <w:r>
        <w:t>Industrial Milk Company</w:t>
      </w:r>
    </w:p>
    <w:p>
      <w:r>
        <w:t>KSG Agro S.A.</w:t>
      </w:r>
    </w:p>
    <w:p>
      <w:r>
        <w:t>Ovostar Union</w:t>
      </w:r>
    </w:p>
    <w:p>
      <w:r>
        <w:t>Coal Energy</w:t>
      </w:r>
    </w:p>
    <w:p/>
    <w:p>
      <w:r>
        <w:t>Most companies demonstrate acceptable or satisfactory emission policy effectiveness.</w:t>
      </w:r>
    </w:p>
    <w:p/>
    <w:p>
      <w:r>
        <w:t>DISCUSSION</w:t>
      </w:r>
    </w:p>
    <w:p>
      <w:r>
        <w:t>Many Ukrainian enterprises conduct IPOs under foreign jurisdictions due to listing requirements and institutional conditions. Limited transparency and incomplete implementation of corporate governance standards reduce investor confidence.</w:t>
      </w:r>
    </w:p>
    <w:p/>
    <w:p>
      <w:r>
        <w:t>Companies often focus strongly on the IPO stage but pay less attention to performance in the post‑emission period.</w:t>
      </w:r>
    </w:p>
    <w:p/>
    <w:p>
      <w:r>
        <w:t>CONCLUSIONS</w:t>
      </w:r>
    </w:p>
    <w:p>
      <w:r>
        <w:t>Emission policy is a key element of enterprise financial strategy and significantly affects long‑term competitiveness. The proposed evaluation method allows managers to assess emission policy effectiveness using a system of financial indicators and to make informed decisions regarding future emission activities.</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