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7F0" w:rsidRDefault="00FF07F0" w:rsidP="00FF07F0">
      <w:pPr>
        <w:widowControl w:val="0"/>
        <w:autoSpaceDE w:val="0"/>
        <w:autoSpaceDN w:val="0"/>
        <w:adjustRightInd w:val="0"/>
        <w:spacing w:after="264"/>
        <w:jc w:val="center"/>
        <w:rPr>
          <w:rFonts w:ascii="Arial" w:hAnsi="Arial" w:cs="Arial"/>
          <w:b/>
          <w:bCs/>
          <w:color w:val="A94000"/>
          <w:sz w:val="52"/>
          <w:szCs w:val="52"/>
          <w:lang w:val="es-ES"/>
        </w:rPr>
      </w:pPr>
      <w:r>
        <w:rPr>
          <w:rFonts w:ascii="Arial" w:hAnsi="Arial" w:cs="Arial"/>
          <w:b/>
          <w:bCs/>
          <w:color w:val="A94000"/>
          <w:sz w:val="52"/>
          <w:szCs w:val="52"/>
          <w:lang w:val="es-ES"/>
        </w:rPr>
        <w:t>TRATADO DE LA PRENDA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jc w:val="both"/>
        <w:rPr>
          <w:rFonts w:ascii="Arial" w:hAnsi="Arial" w:cs="Arial"/>
          <w:color w:val="191919"/>
          <w:sz w:val="36"/>
          <w:szCs w:val="36"/>
          <w:lang w:val="es-ES"/>
        </w:rPr>
      </w:pP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jc w:val="center"/>
        <w:rPr>
          <w:rFonts w:ascii="Arial" w:hAnsi="Arial" w:cs="Arial"/>
          <w:b/>
          <w:bCs/>
          <w:color w:val="A94000"/>
          <w:sz w:val="36"/>
          <w:szCs w:val="36"/>
          <w:lang w:val="es-ES"/>
        </w:rPr>
      </w:pPr>
      <w:r>
        <w:rPr>
          <w:rFonts w:ascii="Arial" w:hAnsi="Arial" w:cs="Arial"/>
          <w:b/>
          <w:bCs/>
          <w:color w:val="A94000"/>
          <w:sz w:val="36"/>
          <w:szCs w:val="36"/>
          <w:lang w:val="es-ES"/>
        </w:rPr>
        <w:t>Segunda Edición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jc w:val="center"/>
        <w:rPr>
          <w:rFonts w:ascii="Arial" w:hAnsi="Arial" w:cs="Arial"/>
          <w:b/>
          <w:bCs/>
          <w:color w:val="F0AC72"/>
          <w:sz w:val="36"/>
          <w:szCs w:val="36"/>
          <w:lang w:val="es-ES"/>
        </w:rPr>
      </w:pPr>
      <w:r>
        <w:rPr>
          <w:rFonts w:ascii="Arial" w:hAnsi="Arial" w:cs="Arial"/>
          <w:b/>
          <w:bCs/>
          <w:color w:val="F0AC72"/>
          <w:sz w:val="36"/>
          <w:szCs w:val="36"/>
          <w:lang w:val="es-ES"/>
        </w:rPr>
        <w:t>(Autor)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jc w:val="center"/>
        <w:rPr>
          <w:rFonts w:ascii="Arial" w:hAnsi="Arial" w:cs="Arial"/>
          <w:color w:val="191919"/>
          <w:sz w:val="36"/>
          <w:szCs w:val="36"/>
          <w:lang w:val="es-ES"/>
        </w:rPr>
      </w:pPr>
      <w:r>
        <w:rPr>
          <w:rFonts w:ascii="Arial" w:hAnsi="Arial" w:cs="Arial"/>
          <w:color w:val="191919"/>
          <w:sz w:val="36"/>
          <w:szCs w:val="36"/>
          <w:lang w:val="es-ES"/>
        </w:rPr>
        <w:t>ABEL B. VEIGA COPO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jc w:val="center"/>
        <w:rPr>
          <w:rFonts w:ascii="Arial" w:hAnsi="Arial" w:cs="Arial"/>
          <w:i/>
          <w:iCs/>
          <w:color w:val="878787"/>
          <w:sz w:val="36"/>
          <w:szCs w:val="36"/>
          <w:lang w:val="es-ES"/>
        </w:rPr>
      </w:pPr>
      <w:r>
        <w:rPr>
          <w:rFonts w:ascii="Arial" w:hAnsi="Arial" w:cs="Arial"/>
          <w:i/>
          <w:iCs/>
          <w:color w:val="878787"/>
          <w:sz w:val="36"/>
          <w:szCs w:val="36"/>
          <w:lang w:val="es-ES"/>
        </w:rPr>
        <w:t>Profesor Agregado de Derecho Mercantil. Universidad Pontificia Comillas de Madrid (ICADE)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jc w:val="both"/>
        <w:rPr>
          <w:rFonts w:ascii="Arial" w:hAnsi="Arial" w:cs="Arial"/>
          <w:color w:val="191919"/>
          <w:sz w:val="36"/>
          <w:szCs w:val="36"/>
          <w:lang w:val="es-ES"/>
        </w:rPr>
      </w:pPr>
    </w:p>
    <w:p w:rsidR="00FF07F0" w:rsidRDefault="00FF07F0" w:rsidP="00FF07F0">
      <w:pPr>
        <w:widowControl w:val="0"/>
        <w:autoSpaceDE w:val="0"/>
        <w:autoSpaceDN w:val="0"/>
        <w:adjustRightInd w:val="0"/>
        <w:spacing w:after="189"/>
        <w:rPr>
          <w:rFonts w:ascii="Arial" w:hAnsi="Arial" w:cs="Arial"/>
          <w:color w:val="191919"/>
          <w:sz w:val="38"/>
          <w:szCs w:val="38"/>
          <w:lang w:val="es-ES"/>
        </w:rPr>
      </w:pP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jc w:val="both"/>
        <w:rPr>
          <w:rFonts w:ascii="Arial" w:hAnsi="Arial" w:cs="Arial"/>
          <w:color w:val="191919"/>
          <w:sz w:val="36"/>
          <w:szCs w:val="36"/>
          <w:lang w:val="es-ES"/>
        </w:rPr>
      </w:pPr>
    </w:p>
    <w:p w:rsidR="00FF07F0" w:rsidRDefault="00FF07F0" w:rsidP="00FF07F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191919"/>
          <w:sz w:val="38"/>
          <w:szCs w:val="38"/>
          <w:lang w:val="es-ES"/>
        </w:rPr>
      </w:pPr>
      <w:r>
        <w:rPr>
          <w:rFonts w:ascii="Arial" w:hAnsi="Arial" w:cs="Arial"/>
          <w:b/>
          <w:bCs/>
          <w:noProof/>
          <w:color w:val="191919"/>
          <w:sz w:val="38"/>
          <w:szCs w:val="38"/>
          <w:lang w:val="es-ES"/>
        </w:rPr>
        <w:drawing>
          <wp:inline distT="0" distB="0" distL="0" distR="0">
            <wp:extent cx="6351270" cy="650240"/>
            <wp:effectExtent l="0" t="0" r="0" b="1016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270" cy="65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jc w:val="both"/>
        <w:rPr>
          <w:rFonts w:ascii="Arial" w:hAnsi="Arial" w:cs="Arial"/>
          <w:color w:val="191919"/>
          <w:sz w:val="36"/>
          <w:szCs w:val="36"/>
          <w:lang w:val="es-ES"/>
        </w:rPr>
      </w:pPr>
    </w:p>
    <w:p w:rsidR="00FF07F0" w:rsidRDefault="00FF07F0" w:rsidP="00FF07F0">
      <w:pPr>
        <w:widowControl w:val="0"/>
        <w:autoSpaceDE w:val="0"/>
        <w:autoSpaceDN w:val="0"/>
        <w:adjustRightInd w:val="0"/>
        <w:ind w:left="1077"/>
        <w:jc w:val="both"/>
        <w:rPr>
          <w:rFonts w:ascii="Arial" w:hAnsi="Arial" w:cs="Arial"/>
          <w:i/>
          <w:iCs/>
          <w:color w:val="191919"/>
          <w:sz w:val="36"/>
          <w:szCs w:val="36"/>
          <w:lang w:val="es-ES"/>
        </w:rPr>
      </w:pPr>
      <w:r>
        <w:rPr>
          <w:rFonts w:ascii="Arial" w:hAnsi="Arial" w:cs="Arial"/>
          <w:i/>
          <w:iCs/>
          <w:color w:val="191919"/>
          <w:sz w:val="36"/>
          <w:szCs w:val="36"/>
          <w:lang w:val="es-ES"/>
        </w:rPr>
        <w:t>Primera edición, 2011</w:t>
      </w:r>
    </w:p>
    <w:p w:rsidR="00FF07F0" w:rsidRDefault="00FF07F0" w:rsidP="00FF07F0">
      <w:pPr>
        <w:widowControl w:val="0"/>
        <w:autoSpaceDE w:val="0"/>
        <w:autoSpaceDN w:val="0"/>
        <w:adjustRightInd w:val="0"/>
        <w:ind w:left="1077"/>
        <w:jc w:val="both"/>
        <w:rPr>
          <w:rFonts w:ascii="Arial" w:hAnsi="Arial" w:cs="Arial"/>
          <w:i/>
          <w:iCs/>
          <w:color w:val="191919"/>
          <w:sz w:val="36"/>
          <w:szCs w:val="36"/>
          <w:lang w:val="es-ES"/>
        </w:rPr>
      </w:pPr>
      <w:r>
        <w:rPr>
          <w:rFonts w:ascii="Arial" w:hAnsi="Arial" w:cs="Arial"/>
          <w:i/>
          <w:iCs/>
          <w:color w:val="191919"/>
          <w:sz w:val="36"/>
          <w:szCs w:val="36"/>
          <w:lang w:val="es-ES"/>
        </w:rPr>
        <w:t>Segunda edición, 2017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ind w:left="1077"/>
        <w:jc w:val="both"/>
        <w:rPr>
          <w:rFonts w:ascii="Arial" w:hAnsi="Arial" w:cs="Arial"/>
          <w:color w:val="191919"/>
          <w:sz w:val="36"/>
          <w:szCs w:val="36"/>
          <w:lang w:val="es-ES"/>
        </w:rPr>
      </w:pPr>
      <w:r>
        <w:rPr>
          <w:rFonts w:ascii="Arial" w:hAnsi="Arial" w:cs="Arial"/>
          <w:color w:val="191919"/>
          <w:sz w:val="36"/>
          <w:szCs w:val="36"/>
          <w:lang w:val="es-ES"/>
        </w:rPr>
        <w:t>El editor no se hace responsable de las opiniones recogidas, comentarios y manifestaciones vertidas por los autores. La presente obra recoge exclusivamente la opinión de su autor como manifestación de su derecho de libertad de expresión.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ind w:left="1077"/>
        <w:jc w:val="both"/>
        <w:rPr>
          <w:rFonts w:ascii="Arial" w:hAnsi="Arial" w:cs="Arial"/>
          <w:color w:val="191919"/>
          <w:sz w:val="36"/>
          <w:szCs w:val="36"/>
          <w:lang w:val="es-ES"/>
        </w:rPr>
      </w:pPr>
      <w:r>
        <w:rPr>
          <w:rFonts w:ascii="Arial" w:hAnsi="Arial" w:cs="Arial"/>
          <w:color w:val="191919"/>
          <w:sz w:val="36"/>
          <w:szCs w:val="36"/>
          <w:lang w:val="es-ES"/>
        </w:rPr>
        <w:lastRenderedPageBreak/>
        <w:t>La Editorial se opone expresamente a que cualquiera de las páginas de esta obra o partes de ella sean utilizadas para la realización de resúmenes de prensa.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ind w:left="1077"/>
        <w:jc w:val="both"/>
        <w:rPr>
          <w:rFonts w:ascii="Arial" w:hAnsi="Arial" w:cs="Arial"/>
          <w:color w:val="191919"/>
          <w:sz w:val="36"/>
          <w:szCs w:val="36"/>
          <w:lang w:val="es-ES"/>
        </w:rPr>
      </w:pPr>
      <w:r>
        <w:rPr>
          <w:rFonts w:ascii="Arial" w:hAnsi="Arial" w:cs="Arial"/>
          <w:color w:val="191919"/>
          <w:sz w:val="36"/>
          <w:szCs w:val="36"/>
          <w:lang w:val="es-ES"/>
        </w:rPr>
        <w:t>Cualquier forma de reproducción, distribución, comunicación pública o transformación de esta obra solo puede ser realizada con la autorización de sus titulares, salvo excepción prevista por la ley. Diríjase a CEDRO (Centro Español de Derechos Reprográficos) si necesita fotocopiar o escanear algún fragmento de esta obra (www.conlicencia.com; 91 702 19 70 / 93 272 04 45).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ind w:left="1077"/>
        <w:jc w:val="both"/>
        <w:rPr>
          <w:rFonts w:ascii="Arial" w:hAnsi="Arial" w:cs="Arial"/>
          <w:color w:val="191919"/>
          <w:sz w:val="36"/>
          <w:szCs w:val="36"/>
          <w:lang w:val="es-ES"/>
        </w:rPr>
      </w:pPr>
      <w:r>
        <w:rPr>
          <w:rFonts w:ascii="Arial" w:hAnsi="Arial" w:cs="Arial"/>
          <w:color w:val="191919"/>
          <w:sz w:val="36"/>
          <w:szCs w:val="36"/>
          <w:lang w:val="es-ES"/>
        </w:rPr>
        <w:t>Por tanto, este libro no podrá ser reproducido total o parcialmente, ni transmitirse por procedimientos electrónicos, mecánicos, magnéticos o por sistemas de almacenamiento y recuperación informáticos o cualquier otro medio, quedando prohibidos su préstamo, alquiler o cualquier otra forma de cesión de uso del ejemplar, sin el permiso previo, por escrito, del titular o titulares del copyright.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ind w:left="1077"/>
        <w:jc w:val="both"/>
        <w:rPr>
          <w:rFonts w:ascii="Arial" w:hAnsi="Arial" w:cs="Arial"/>
          <w:color w:val="191919"/>
          <w:sz w:val="36"/>
          <w:szCs w:val="36"/>
          <w:lang w:val="es-ES"/>
        </w:rPr>
      </w:pPr>
      <w:r>
        <w:rPr>
          <w:rFonts w:ascii="Arial" w:hAnsi="Arial" w:cs="Arial"/>
          <w:color w:val="191919"/>
          <w:sz w:val="36"/>
          <w:szCs w:val="36"/>
          <w:lang w:val="es-ES"/>
        </w:rPr>
        <w:t>Thomson Reuters y el logotipo de Thomson Reuters son marcas de Thomson Reuters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359"/>
        <w:ind w:left="1077"/>
        <w:jc w:val="both"/>
        <w:rPr>
          <w:rFonts w:ascii="Arial" w:hAnsi="Arial" w:cs="Arial"/>
          <w:color w:val="191919"/>
          <w:sz w:val="36"/>
          <w:szCs w:val="36"/>
          <w:lang w:val="es-ES"/>
        </w:rPr>
      </w:pPr>
      <w:proofErr w:type="spellStart"/>
      <w:r>
        <w:rPr>
          <w:rFonts w:ascii="Arial" w:hAnsi="Arial" w:cs="Arial"/>
          <w:color w:val="191919"/>
          <w:sz w:val="36"/>
          <w:szCs w:val="36"/>
          <w:lang w:val="es-ES"/>
        </w:rPr>
        <w:t>Civitas</w:t>
      </w:r>
      <w:proofErr w:type="spellEnd"/>
      <w:r>
        <w:rPr>
          <w:rFonts w:ascii="Arial" w:hAnsi="Arial" w:cs="Arial"/>
          <w:color w:val="191919"/>
          <w:sz w:val="36"/>
          <w:szCs w:val="36"/>
          <w:lang w:val="es-ES"/>
        </w:rPr>
        <w:t xml:space="preserve"> es una marca de Thomson Reuters (Legal) </w:t>
      </w:r>
      <w:proofErr w:type="spellStart"/>
      <w:r>
        <w:rPr>
          <w:rFonts w:ascii="Arial" w:hAnsi="Arial" w:cs="Arial"/>
          <w:color w:val="191919"/>
          <w:sz w:val="36"/>
          <w:szCs w:val="36"/>
          <w:lang w:val="es-ES"/>
        </w:rPr>
        <w:t>Limited</w:t>
      </w:r>
      <w:proofErr w:type="spellEnd"/>
    </w:p>
    <w:p w:rsidR="00FF07F0" w:rsidRDefault="00FF07F0" w:rsidP="00FF07F0">
      <w:pPr>
        <w:widowControl w:val="0"/>
        <w:autoSpaceDE w:val="0"/>
        <w:autoSpaceDN w:val="0"/>
        <w:adjustRightInd w:val="0"/>
        <w:spacing w:after="60"/>
        <w:ind w:left="1512" w:right="1512"/>
        <w:jc w:val="both"/>
        <w:rPr>
          <w:rFonts w:ascii="Arial" w:hAnsi="Arial" w:cs="Arial"/>
          <w:color w:val="191919"/>
          <w:sz w:val="30"/>
          <w:szCs w:val="30"/>
          <w:lang w:val="es-ES"/>
        </w:rPr>
      </w:pPr>
      <w:r>
        <w:rPr>
          <w:rFonts w:ascii="Arial" w:hAnsi="Arial" w:cs="Arial"/>
          <w:color w:val="191919"/>
          <w:sz w:val="30"/>
          <w:szCs w:val="30"/>
          <w:lang w:val="es-ES"/>
        </w:rPr>
        <w:t xml:space="preserve">© 2017 [Thomson Reuters (Legal) </w:t>
      </w:r>
      <w:proofErr w:type="spellStart"/>
      <w:r>
        <w:rPr>
          <w:rFonts w:ascii="Arial" w:hAnsi="Arial" w:cs="Arial"/>
          <w:color w:val="191919"/>
          <w:sz w:val="30"/>
          <w:szCs w:val="30"/>
          <w:lang w:val="es-ES"/>
        </w:rPr>
        <w:t>Limited</w:t>
      </w:r>
      <w:proofErr w:type="spellEnd"/>
      <w:r>
        <w:rPr>
          <w:rFonts w:ascii="Arial" w:hAnsi="Arial" w:cs="Arial"/>
          <w:color w:val="191919"/>
          <w:sz w:val="30"/>
          <w:szCs w:val="30"/>
          <w:lang w:val="es-ES"/>
        </w:rPr>
        <w:t xml:space="preserve"> / Abel Veiga Copo]© Portada: Thomson Reuters (Legal) </w:t>
      </w:r>
      <w:proofErr w:type="spellStart"/>
      <w:r>
        <w:rPr>
          <w:rFonts w:ascii="Arial" w:hAnsi="Arial" w:cs="Arial"/>
          <w:color w:val="191919"/>
          <w:sz w:val="30"/>
          <w:szCs w:val="30"/>
          <w:lang w:val="es-ES"/>
        </w:rPr>
        <w:t>Limited</w:t>
      </w:r>
      <w:proofErr w:type="spellEnd"/>
    </w:p>
    <w:p w:rsidR="00FF07F0" w:rsidRDefault="00FF07F0" w:rsidP="00FF07F0">
      <w:pPr>
        <w:widowControl w:val="0"/>
        <w:autoSpaceDE w:val="0"/>
        <w:autoSpaceDN w:val="0"/>
        <w:adjustRightInd w:val="0"/>
        <w:spacing w:after="60"/>
        <w:ind w:left="1512" w:right="1512"/>
        <w:jc w:val="both"/>
        <w:rPr>
          <w:rFonts w:ascii="Arial" w:hAnsi="Arial" w:cs="Arial"/>
          <w:color w:val="191919"/>
          <w:sz w:val="30"/>
          <w:szCs w:val="30"/>
          <w:lang w:val="es-ES"/>
        </w:rPr>
      </w:pPr>
      <w:r>
        <w:rPr>
          <w:rFonts w:ascii="Arial" w:hAnsi="Arial" w:cs="Arial"/>
          <w:color w:val="191919"/>
          <w:sz w:val="30"/>
          <w:szCs w:val="30"/>
          <w:lang w:val="es-ES"/>
        </w:rPr>
        <w:t xml:space="preserve">Editorial </w:t>
      </w:r>
      <w:proofErr w:type="spellStart"/>
      <w:r>
        <w:rPr>
          <w:rFonts w:ascii="Arial" w:hAnsi="Arial" w:cs="Arial"/>
          <w:color w:val="191919"/>
          <w:sz w:val="30"/>
          <w:szCs w:val="30"/>
          <w:lang w:val="es-ES"/>
        </w:rPr>
        <w:t>Civitas</w:t>
      </w:r>
      <w:proofErr w:type="spellEnd"/>
      <w:r>
        <w:rPr>
          <w:rFonts w:ascii="Arial" w:hAnsi="Arial" w:cs="Arial"/>
          <w:color w:val="191919"/>
          <w:sz w:val="30"/>
          <w:szCs w:val="30"/>
          <w:lang w:val="es-ES"/>
        </w:rPr>
        <w:t>, SA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60"/>
        <w:ind w:left="1512" w:right="1512"/>
        <w:jc w:val="both"/>
        <w:rPr>
          <w:rFonts w:ascii="Arial" w:hAnsi="Arial" w:cs="Arial"/>
          <w:color w:val="191919"/>
          <w:sz w:val="30"/>
          <w:szCs w:val="30"/>
          <w:lang w:val="es-ES"/>
        </w:rPr>
      </w:pPr>
      <w:r>
        <w:rPr>
          <w:rFonts w:ascii="Arial" w:hAnsi="Arial" w:cs="Arial"/>
          <w:color w:val="191919"/>
          <w:sz w:val="30"/>
          <w:szCs w:val="30"/>
          <w:lang w:val="es-ES"/>
        </w:rPr>
        <w:t xml:space="preserve">Camino de </w:t>
      </w:r>
      <w:proofErr w:type="spellStart"/>
      <w:r>
        <w:rPr>
          <w:rFonts w:ascii="Arial" w:hAnsi="Arial" w:cs="Arial"/>
          <w:color w:val="191919"/>
          <w:sz w:val="30"/>
          <w:szCs w:val="30"/>
          <w:lang w:val="es-ES"/>
        </w:rPr>
        <w:t>Galar</w:t>
      </w:r>
      <w:proofErr w:type="spellEnd"/>
      <w:r>
        <w:rPr>
          <w:rFonts w:ascii="Arial" w:hAnsi="Arial" w:cs="Arial"/>
          <w:color w:val="191919"/>
          <w:sz w:val="30"/>
          <w:szCs w:val="30"/>
          <w:lang w:val="es-ES"/>
        </w:rPr>
        <w:t>, 15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60"/>
        <w:ind w:left="1512" w:right="1512"/>
        <w:jc w:val="both"/>
        <w:rPr>
          <w:rFonts w:ascii="Arial" w:hAnsi="Arial" w:cs="Arial"/>
          <w:color w:val="191919"/>
          <w:sz w:val="30"/>
          <w:szCs w:val="30"/>
          <w:lang w:val="es-ES"/>
        </w:rPr>
      </w:pPr>
      <w:r>
        <w:rPr>
          <w:rFonts w:ascii="Arial" w:hAnsi="Arial" w:cs="Arial"/>
          <w:color w:val="191919"/>
          <w:sz w:val="30"/>
          <w:szCs w:val="30"/>
          <w:lang w:val="es-ES"/>
        </w:rPr>
        <w:t xml:space="preserve">31190, </w:t>
      </w:r>
      <w:proofErr w:type="spellStart"/>
      <w:r>
        <w:rPr>
          <w:rFonts w:ascii="Arial" w:hAnsi="Arial" w:cs="Arial"/>
          <w:color w:val="191919"/>
          <w:sz w:val="30"/>
          <w:szCs w:val="30"/>
          <w:lang w:val="es-ES"/>
        </w:rPr>
        <w:t>Cizur</w:t>
      </w:r>
      <w:proofErr w:type="spellEnd"/>
      <w:r>
        <w:rPr>
          <w:rFonts w:ascii="Arial" w:hAnsi="Arial" w:cs="Arial"/>
          <w:color w:val="191919"/>
          <w:sz w:val="30"/>
          <w:szCs w:val="30"/>
          <w:lang w:val="es-ES"/>
        </w:rPr>
        <w:t xml:space="preserve"> Menor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60"/>
        <w:ind w:left="1512" w:right="1512"/>
        <w:jc w:val="both"/>
        <w:rPr>
          <w:rFonts w:ascii="Arial" w:hAnsi="Arial" w:cs="Arial"/>
          <w:color w:val="191919"/>
          <w:sz w:val="30"/>
          <w:szCs w:val="30"/>
          <w:lang w:val="es-ES"/>
        </w:rPr>
      </w:pPr>
      <w:r>
        <w:rPr>
          <w:rFonts w:ascii="Arial" w:hAnsi="Arial" w:cs="Arial"/>
          <w:color w:val="191919"/>
          <w:sz w:val="30"/>
          <w:szCs w:val="30"/>
          <w:lang w:val="es-ES"/>
        </w:rPr>
        <w:t>Teléfono: 902404047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60"/>
        <w:ind w:left="1512" w:right="1512"/>
        <w:jc w:val="both"/>
        <w:rPr>
          <w:rFonts w:ascii="Arial" w:hAnsi="Arial" w:cs="Arial"/>
          <w:color w:val="191919"/>
          <w:sz w:val="30"/>
          <w:szCs w:val="30"/>
          <w:lang w:val="es-ES"/>
        </w:rPr>
      </w:pPr>
      <w:r>
        <w:rPr>
          <w:rFonts w:ascii="Arial" w:hAnsi="Arial" w:cs="Arial"/>
          <w:color w:val="191919"/>
          <w:sz w:val="30"/>
          <w:szCs w:val="30"/>
          <w:lang w:val="es-ES"/>
        </w:rPr>
        <w:t>Fax: 948 297200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60"/>
        <w:ind w:left="1512" w:right="1512"/>
        <w:jc w:val="both"/>
        <w:rPr>
          <w:rFonts w:ascii="Arial" w:hAnsi="Arial" w:cs="Arial"/>
          <w:color w:val="191919"/>
          <w:sz w:val="30"/>
          <w:szCs w:val="30"/>
          <w:lang w:val="es-ES"/>
        </w:rPr>
      </w:pPr>
      <w:r>
        <w:rPr>
          <w:rFonts w:ascii="Arial" w:hAnsi="Arial" w:cs="Arial"/>
          <w:color w:val="191919"/>
          <w:sz w:val="30"/>
          <w:szCs w:val="30"/>
          <w:lang w:val="es-ES"/>
        </w:rPr>
        <w:t>atencionclientes@thomsonreuters.com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60"/>
        <w:ind w:left="1512" w:right="1512"/>
        <w:jc w:val="both"/>
        <w:rPr>
          <w:rFonts w:ascii="Arial" w:hAnsi="Arial" w:cs="Arial"/>
          <w:color w:val="191919"/>
          <w:sz w:val="30"/>
          <w:szCs w:val="30"/>
          <w:lang w:val="es-ES"/>
        </w:rPr>
      </w:pPr>
      <w:r>
        <w:rPr>
          <w:rFonts w:ascii="Arial" w:hAnsi="Arial" w:cs="Arial"/>
          <w:color w:val="191919"/>
          <w:sz w:val="30"/>
          <w:szCs w:val="30"/>
          <w:lang w:val="es-ES"/>
        </w:rPr>
        <w:t>www.aranzadi.es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60"/>
        <w:ind w:left="1512" w:right="1512"/>
        <w:jc w:val="both"/>
        <w:rPr>
          <w:rFonts w:ascii="Arial" w:hAnsi="Arial" w:cs="Arial"/>
          <w:color w:val="191919"/>
          <w:sz w:val="30"/>
          <w:szCs w:val="30"/>
          <w:lang w:val="es-ES"/>
        </w:rPr>
      </w:pPr>
      <w:r>
        <w:rPr>
          <w:rFonts w:ascii="Arial" w:hAnsi="Arial" w:cs="Arial"/>
          <w:color w:val="191919"/>
          <w:sz w:val="30"/>
          <w:szCs w:val="30"/>
          <w:lang w:val="es-ES"/>
        </w:rPr>
        <w:t>Depósito Legal: DL NA 2115-2017</w:t>
      </w:r>
    </w:p>
    <w:p w:rsidR="00FF07F0" w:rsidRDefault="00FF07F0" w:rsidP="00FF07F0">
      <w:pPr>
        <w:widowControl w:val="0"/>
        <w:autoSpaceDE w:val="0"/>
        <w:autoSpaceDN w:val="0"/>
        <w:adjustRightInd w:val="0"/>
        <w:spacing w:after="60"/>
        <w:ind w:left="1512" w:right="1512"/>
        <w:jc w:val="both"/>
        <w:rPr>
          <w:rFonts w:ascii="Arial" w:hAnsi="Arial" w:cs="Arial"/>
          <w:color w:val="191919"/>
          <w:sz w:val="30"/>
          <w:szCs w:val="30"/>
          <w:lang w:val="es-ES"/>
        </w:rPr>
      </w:pPr>
      <w:r>
        <w:rPr>
          <w:rFonts w:ascii="Arial" w:hAnsi="Arial" w:cs="Arial"/>
          <w:color w:val="191919"/>
          <w:sz w:val="30"/>
          <w:szCs w:val="30"/>
          <w:lang w:val="es-ES"/>
        </w:rPr>
        <w:t>ISBN 978-84-9152-643-8</w:t>
      </w:r>
    </w:p>
    <w:p w:rsidR="00454119" w:rsidRDefault="00454119">
      <w:bookmarkStart w:id="0" w:name="_GoBack"/>
      <w:bookmarkEnd w:id="0"/>
    </w:p>
    <w:sectPr w:rsidR="00454119" w:rsidSect="00D01A11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8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7F0"/>
    <w:rsid w:val="00454119"/>
    <w:rsid w:val="00FF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F07F0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07F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F07F0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07F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306</Words>
  <Characters>1504</Characters>
  <Application>Microsoft Macintosh Word</Application>
  <DocSecurity>0</DocSecurity>
  <Lines>25</Lines>
  <Paragraphs>4</Paragraphs>
  <ScaleCrop>false</ScaleCrop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2017-10-19T12:49:00Z</dcterms:created>
  <dcterms:modified xsi:type="dcterms:W3CDTF">2017-10-19T12:49:00Z</dcterms:modified>
</cp:coreProperties>
</file>