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136" w:rsidRDefault="00A13896">
      <w:pPr>
        <w:spacing w:after="0"/>
        <w:ind w:left="-140"/>
      </w:pPr>
      <w:r>
        <w:rPr>
          <w:noProof/>
        </w:rPr>
        <w:drawing>
          <wp:inline distT="0" distB="0" distL="0" distR="0">
            <wp:extent cx="1724188" cy="908304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4188" cy="90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spacing w:after="107"/>
      </w:pPr>
      <w:r>
        <w:rPr>
          <w:rFonts w:ascii="Berlin Sans FB" w:eastAsia="Berlin Sans FB" w:hAnsi="Berlin Sans FB" w:cs="Berlin Sans FB"/>
          <w:b/>
          <w:sz w:val="12"/>
        </w:rPr>
        <w:t xml:space="preserve"> </w:t>
      </w:r>
      <w:r>
        <w:rPr>
          <w:rFonts w:ascii="Berlin Sans FB" w:eastAsia="Berlin Sans FB" w:hAnsi="Berlin Sans FB" w:cs="Berlin Sans FB"/>
          <w:b/>
          <w:sz w:val="12"/>
        </w:rPr>
        <w:tab/>
      </w: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Times New Roman" w:eastAsia="Times New Roman" w:hAnsi="Times New Roman" w:cs="Times New Roman"/>
          <w:b/>
          <w:color w:val="003000"/>
          <w:sz w:val="23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FICHA TÉCNICA DE LA ASIGNATURA </w:t>
      </w:r>
    </w:p>
    <w:tbl>
      <w:tblPr>
        <w:tblStyle w:val="TableGrid"/>
        <w:tblpPr w:vertAnchor="page" w:horzAnchor="page" w:tblpX="7956" w:tblpY="1217"/>
        <w:tblOverlap w:val="never"/>
        <w:tblW w:w="2626" w:type="dxa"/>
        <w:tblInd w:w="0" w:type="dxa"/>
        <w:tblCellMar>
          <w:top w:w="8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626"/>
      </w:tblGrid>
      <w:tr w:rsidR="004B1136">
        <w:trPr>
          <w:trHeight w:val="701"/>
        </w:trPr>
        <w:tc>
          <w:tcPr>
            <w:tcW w:w="2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1136" w:rsidRDefault="002F7946">
            <w:pPr>
              <w:jc w:val="center"/>
            </w:pPr>
            <w:r>
              <w:rPr>
                <w:rFonts w:ascii="Arial" w:eastAsia="Arial" w:hAnsi="Arial" w:cs="Arial"/>
                <w:b/>
                <w:sz w:val="23"/>
              </w:rPr>
              <w:t>GUÍA DOCENTE CURSO 2017-18</w:t>
            </w:r>
            <w:bookmarkStart w:id="0" w:name="_GoBack"/>
            <w:bookmarkEnd w:id="0"/>
            <w:r w:rsidR="00A13896">
              <w:rPr>
                <w:rFonts w:ascii="Arial" w:eastAsia="Arial" w:hAnsi="Arial" w:cs="Arial"/>
                <w:b/>
                <w:sz w:val="23"/>
              </w:rPr>
              <w:t xml:space="preserve">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4" w:type="dxa"/>
        </w:tblCellMar>
        <w:tblLook w:val="04A0" w:firstRow="1" w:lastRow="0" w:firstColumn="1" w:lastColumn="0" w:noHBand="0" w:noVBand="1"/>
      </w:tblPr>
      <w:tblGrid>
        <w:gridCol w:w="1719"/>
        <w:gridCol w:w="7136"/>
      </w:tblGrid>
      <w:tr w:rsidR="004B1136">
        <w:trPr>
          <w:trHeight w:val="295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Datos de la asignatura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Nombre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Lengua aplicada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Código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E000002421 </w:t>
            </w:r>
          </w:p>
        </w:tc>
      </w:tr>
      <w:tr w:rsidR="004B1136" w:rsidRPr="002F794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Titulación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Grado en Traducción e Interpretación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Curso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FC1D0E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3º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Créditos ECTS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3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Carácter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Obligatorio 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jc w:val="both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Departamento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Traducción e Interpretación </w:t>
            </w:r>
          </w:p>
        </w:tc>
      </w:tr>
      <w:tr w:rsidR="004B1136">
        <w:trPr>
          <w:trHeight w:val="534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Lengua de instrucción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Inglés </w:t>
            </w:r>
          </w:p>
        </w:tc>
      </w:tr>
      <w:tr w:rsidR="004B1136" w:rsidRPr="002F7946">
        <w:trPr>
          <w:trHeight w:val="2107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  <w:vAlign w:val="center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Descriptor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 w:right="59"/>
              <w:jc w:val="both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Esta asignatura tiene el objetivo de facilitar al alumno las técnicas y estrategias para identificar distintas tipologías de texto y analizar, redactar y traducir textos específicos al inglés, aplicando el lenguaje apropiado en cada caso.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0D18F0" w:rsidRDefault="00A13896">
            <w:pPr>
              <w:ind w:left="2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</w:tbl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b/>
          <w:color w:val="003000"/>
          <w:sz w:val="23"/>
          <w:lang w:val="es-ES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6" w:type="dxa"/>
        </w:tblCellMar>
        <w:tblLook w:val="04A0" w:firstRow="1" w:lastRow="0" w:firstColumn="1" w:lastColumn="0" w:noHBand="0" w:noVBand="1"/>
      </w:tblPr>
      <w:tblGrid>
        <w:gridCol w:w="1719"/>
        <w:gridCol w:w="7136"/>
      </w:tblGrid>
      <w:tr w:rsidR="004B1136">
        <w:trPr>
          <w:trHeight w:val="294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Datos del profesorado </w:t>
            </w:r>
          </w:p>
        </w:tc>
      </w:tr>
      <w:tr w:rsidR="004B1136">
        <w:trPr>
          <w:trHeight w:val="272"/>
        </w:trPr>
        <w:tc>
          <w:tcPr>
            <w:tcW w:w="8855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99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Profesor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Nombre </w:t>
            </w:r>
          </w:p>
        </w:tc>
        <w:tc>
          <w:tcPr>
            <w:tcW w:w="713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Clare Nimmo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jc w:val="both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Departamento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Traducción e Interpretación </w:t>
            </w:r>
          </w:p>
        </w:tc>
      </w:tr>
      <w:tr w:rsidR="004B1136">
        <w:trPr>
          <w:trHeight w:val="534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Despacho y sede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Cantoblanco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e-mail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cnimmo@comillas.edu </w:t>
            </w:r>
          </w:p>
        </w:tc>
      </w:tr>
      <w:tr w:rsidR="004B1136">
        <w:trPr>
          <w:trHeight w:val="272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Teléfono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91 7343950 </w:t>
            </w:r>
          </w:p>
        </w:tc>
      </w:tr>
      <w:tr w:rsidR="004B1136">
        <w:trPr>
          <w:trHeight w:val="533"/>
        </w:trPr>
        <w:tc>
          <w:tcPr>
            <w:tcW w:w="1719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Horario de tutorías </w:t>
            </w:r>
          </w:p>
        </w:tc>
        <w:tc>
          <w:tcPr>
            <w:tcW w:w="7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Por cita </w:t>
            </w:r>
          </w:p>
        </w:tc>
      </w:tr>
    </w:tbl>
    <w:p w:rsidR="004B1136" w:rsidRDefault="00A13896">
      <w:pPr>
        <w:spacing w:after="0" w:line="239" w:lineRule="auto"/>
        <w:ind w:left="1092" w:right="5732"/>
        <w:jc w:val="both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 </w:t>
      </w:r>
      <w:r>
        <w:rPr>
          <w:rFonts w:ascii="Century Gothic" w:eastAsia="Century Gothic" w:hAnsi="Century Gothic" w:cs="Century Gothic"/>
          <w:b/>
          <w:color w:val="003000"/>
          <w:sz w:val="23"/>
        </w:rPr>
        <w:tab/>
        <w:t xml:space="preserve"> </w:t>
      </w:r>
    </w:p>
    <w:p w:rsidR="004B1136" w:rsidRDefault="00A13896">
      <w:pPr>
        <w:pStyle w:val="Ttulo1"/>
        <w:ind w:left="1087"/>
      </w:pPr>
      <w:r>
        <w:t>DATOS ESPECÍFICOS DE LA ASIGNATURA</w:t>
      </w:r>
      <w:r>
        <w:rPr>
          <w:b w:val="0"/>
          <w:color w:val="000000"/>
          <w:sz w:val="19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8855"/>
      </w:tblGrid>
      <w:tr w:rsidR="004B1136">
        <w:trPr>
          <w:trHeight w:val="295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Contextualización de la asignatura </w:t>
            </w:r>
          </w:p>
        </w:tc>
      </w:tr>
      <w:tr w:rsidR="004B1136" w:rsidRPr="002F7946">
        <w:trPr>
          <w:trHeight w:val="271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3365FF"/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FFFFFF"/>
                <w:sz w:val="21"/>
                <w:lang w:val="es-ES"/>
              </w:rPr>
              <w:t>Aportación al perfil formativo y profesional de la titulación</w:t>
            </w:r>
            <w:r w:rsidRPr="000D18F0">
              <w:rPr>
                <w:rFonts w:ascii="Century Gothic" w:eastAsia="Century Gothic" w:hAnsi="Century Gothic" w:cs="Century Gothic"/>
                <w:color w:val="FFFFFF"/>
                <w:sz w:val="21"/>
                <w:lang w:val="es-ES"/>
              </w:rPr>
              <w:t xml:space="preserve"> </w:t>
            </w:r>
          </w:p>
        </w:tc>
      </w:tr>
      <w:tr w:rsidR="004B1136" w:rsidRPr="002F7946">
        <w:trPr>
          <w:trHeight w:val="3660"/>
        </w:trPr>
        <w:tc>
          <w:tcPr>
            <w:tcW w:w="885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spacing w:after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lastRenderedPageBreak/>
              <w:t xml:space="preserve"> </w:t>
            </w:r>
          </w:p>
          <w:p w:rsidR="004B1136" w:rsidRPr="000D18F0" w:rsidRDefault="00A13896">
            <w:pPr>
              <w:spacing w:line="239" w:lineRule="auto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Estas competencias son esenciales para el éxito académico del alumno y para facilitarle herramientas que le sirvan para pensar críticamente sobre, redactar y traducir los documentos que encontrará en su vida profesional.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color w:val="003000"/>
                <w:sz w:val="19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>Prerrequisitos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 w:rsidRPr="002F7946">
        <w:trPr>
          <w:trHeight w:val="798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No existen formalmente requisitos previos.   Es recomendable tener el nivel de inglés y español suficiente para poder seguir el curso </w:t>
            </w:r>
          </w:p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</w:tbl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Pr="000D18F0" w:rsidRDefault="00A13896">
      <w:pPr>
        <w:spacing w:after="0"/>
        <w:ind w:left="1092"/>
        <w:rPr>
          <w:lang w:val="es-ES"/>
        </w:rPr>
      </w:pPr>
      <w:r w:rsidRPr="000D18F0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81" w:type="dxa"/>
          <w:right w:w="40" w:type="dxa"/>
        </w:tblCellMar>
        <w:tblLook w:val="04A0" w:firstRow="1" w:lastRow="0" w:firstColumn="1" w:lastColumn="0" w:noHBand="0" w:noVBand="1"/>
      </w:tblPr>
      <w:tblGrid>
        <w:gridCol w:w="956"/>
        <w:gridCol w:w="24"/>
        <w:gridCol w:w="876"/>
        <w:gridCol w:w="21"/>
        <w:gridCol w:w="6978"/>
      </w:tblGrid>
      <w:tr w:rsidR="004B1136">
        <w:trPr>
          <w:trHeight w:val="295"/>
        </w:trPr>
        <w:tc>
          <w:tcPr>
            <w:tcW w:w="885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Competencias – Objetivos </w:t>
            </w:r>
          </w:p>
        </w:tc>
      </w:tr>
      <w:tr w:rsidR="004B1136">
        <w:trPr>
          <w:trHeight w:val="272"/>
        </w:trPr>
        <w:tc>
          <w:tcPr>
            <w:tcW w:w="8855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>Competencias genéricas del título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Instrumentales </w:t>
            </w:r>
          </w:p>
        </w:tc>
      </w:tr>
      <w:tr w:rsidR="004B1136" w:rsidRPr="002F7946">
        <w:trPr>
          <w:trHeight w:val="331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CGI1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análisis y síntesis </w:t>
            </w:r>
          </w:p>
        </w:tc>
      </w:tr>
      <w:tr w:rsidR="004B1136" w:rsidRPr="002F7946">
        <w:trPr>
          <w:trHeight w:val="295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>Extrae las relaciones de sentido existentes en un texto.</w:t>
            </w: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</w:tr>
      <w:tr w:rsidR="004B1136" w:rsidRPr="002F7946">
        <w:trPr>
          <w:trHeight w:val="58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ind w:left="1"/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RA3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0D18F0" w:rsidRDefault="00A13896">
            <w:pPr>
              <w:rPr>
                <w:lang w:val="es-ES"/>
              </w:rPr>
            </w:pPr>
            <w:r w:rsidRPr="000D18F0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Puede formular ideas de varias maneras en la lengua de llegada. </w:t>
            </w:r>
          </w:p>
        </w:tc>
      </w:tr>
      <w:tr w:rsidR="004B1136">
        <w:trPr>
          <w:trHeight w:val="329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3"/>
              </w:rPr>
              <w:t xml:space="preserve">CG17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 xml:space="preserve">Toma de decisiones </w:t>
            </w:r>
          </w:p>
        </w:tc>
      </w:tr>
      <w:tr w:rsidR="004B1136" w:rsidRPr="002F7946">
        <w:trPr>
          <w:trHeight w:val="583"/>
        </w:trPr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3"/>
              </w:rPr>
              <w:t xml:space="preserve"> </w:t>
            </w:r>
          </w:p>
        </w:tc>
        <w:tc>
          <w:tcPr>
            <w:tcW w:w="8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Decide cuáles son los planos lingüísticos relevantes en el TO. </w:t>
            </w:r>
          </w:p>
        </w:tc>
      </w:tr>
      <w:tr w:rsidR="004B1136" w:rsidRPr="002F7946">
        <w:trPr>
          <w:trHeight w:val="58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Realiza correctamente la asignación de prioridades entre dichos planos. </w:t>
            </w:r>
          </w:p>
        </w:tc>
      </w:tr>
      <w:tr w:rsidR="004B1136" w:rsidRPr="002F7946">
        <w:trPr>
          <w:trHeight w:val="583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RA3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>Decide el peso específico de los componentes normativos y descriptivos del lenguaje.</w:t>
            </w:r>
            <w:r w:rsidRPr="008D2AE5">
              <w:rPr>
                <w:rFonts w:ascii="Arial" w:eastAsia="Arial" w:hAnsi="Arial" w:cs="Arial"/>
                <w:b/>
                <w:sz w:val="19"/>
                <w:lang w:val="es-ES"/>
              </w:rPr>
              <w:t xml:space="preserve"> </w:t>
            </w:r>
            <w:r w:rsidRPr="008D2AE5">
              <w:rPr>
                <w:rFonts w:ascii="Century Gothic" w:eastAsia="Century Gothic" w:hAnsi="Century Gothic" w:cs="Century Gothic"/>
                <w:i/>
                <w:sz w:val="23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Interpersonales </w:t>
            </w:r>
          </w:p>
        </w:tc>
      </w:tr>
      <w:tr w:rsidR="004B1136">
        <w:trPr>
          <w:trHeight w:val="330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CGP10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Razonamiento crítico </w:t>
            </w:r>
          </w:p>
        </w:tc>
      </w:tr>
      <w:tr w:rsidR="004B1136" w:rsidRPr="002F7946">
        <w:trPr>
          <w:trHeight w:val="535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Detecta e identifica incoherencias, carencias importantes y problemas en una situación dada. </w:t>
            </w:r>
          </w:p>
        </w:tc>
      </w:tr>
      <w:tr w:rsidR="004B1136" w:rsidRPr="002F7946">
        <w:trPr>
          <w:trHeight w:val="272"/>
        </w:trPr>
        <w:tc>
          <w:tcPr>
            <w:tcW w:w="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RA4 </w:t>
            </w:r>
          </w:p>
        </w:tc>
        <w:tc>
          <w:tcPr>
            <w:tcW w:w="6999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Muestra capacidad de valorar y discutir el propio trabajo. </w:t>
            </w:r>
          </w:p>
        </w:tc>
      </w:tr>
      <w:tr w:rsidR="004B1136" w:rsidRPr="002F7946">
        <w:trPr>
          <w:trHeight w:val="330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CGP12 </w:t>
            </w:r>
          </w:p>
        </w:tc>
        <w:tc>
          <w:tcPr>
            <w:tcW w:w="7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Rigor y seriedad en el trabajo </w:t>
            </w:r>
          </w:p>
        </w:tc>
      </w:tr>
      <w:tr w:rsidR="004B1136" w:rsidRPr="002F7946">
        <w:trPr>
          <w:trHeight w:val="272"/>
        </w:trPr>
        <w:tc>
          <w:tcPr>
            <w:tcW w:w="98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Enumera y distingue las fases de comprensión, documentación,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gestión de datos, formulación y revisión.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RA3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Aplica criterios de discriminación de las fuentes utilizadas.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RA4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Fundamenta adecuadamente sus decisiones de traducción. </w:t>
            </w:r>
          </w:p>
        </w:tc>
      </w:tr>
      <w:tr w:rsidR="004B1136">
        <w:trPr>
          <w:trHeight w:val="33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CGP13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Trabajo en equipo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Se integra en un equipo de trabajo. </w:t>
            </w:r>
          </w:p>
        </w:tc>
      </w:tr>
      <w:tr w:rsidR="004B1136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RA4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Contribuye al trabajo colectivo.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lastRenderedPageBreak/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RA6</w:t>
            </w:r>
            <w:r>
              <w:rPr>
                <w:rFonts w:ascii="Century Gothic" w:eastAsia="Century Gothic" w:hAnsi="Century Gothic" w:cs="Century Gothic"/>
                <w:i/>
                <w:sz w:val="23"/>
              </w:rPr>
              <w:t xml:space="preserve">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Respeta la experiencia ajena y aprende de ella. </w:t>
            </w:r>
          </w:p>
        </w:tc>
      </w:tr>
      <w:tr w:rsidR="004B1136" w:rsidRPr="002F7946">
        <w:trPr>
          <w:trHeight w:val="25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99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19"/>
                <w:lang w:val="es-ES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Sistémicas </w:t>
            </w:r>
          </w:p>
        </w:tc>
      </w:tr>
      <w:tr w:rsidR="004B1136" w:rsidRPr="002F7946">
        <w:trPr>
          <w:trHeight w:val="330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CGS19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8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aplicar los conocimientos a la práctica </w:t>
            </w:r>
          </w:p>
        </w:tc>
      </w:tr>
      <w:tr w:rsidR="004B1136" w:rsidRPr="002F7946">
        <w:trPr>
          <w:trHeight w:val="535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RA2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Identifica correctamente los conocimientos aplicables a cada situación.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Extrae denominadores comunes entre distintas materias. </w:t>
            </w:r>
          </w:p>
        </w:tc>
      </w:tr>
      <w:tr w:rsidR="004B1136">
        <w:trPr>
          <w:trHeight w:val="330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  <w:jc w:val="both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CGS26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Capacidad de comunicación </w:t>
            </w:r>
          </w:p>
        </w:tc>
      </w:tr>
      <w:tr w:rsidR="004B1136" w:rsidRPr="002F7946">
        <w:trPr>
          <w:trHeight w:val="535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RA1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Puede transmitir información, ideas, problemas y soluciones a un público tanto especializado como no especializado. </w:t>
            </w:r>
          </w:p>
        </w:tc>
      </w:tr>
      <w:tr w:rsidR="004B1136" w:rsidRPr="002F7946">
        <w:trPr>
          <w:trHeight w:val="796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48"/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RA2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2" w:right="61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Realiza presentaciones orales y escritas, claras, bien estructuradas, comprensibles, y adecuadas en su terminología y contenidos a diferentes audiencias. </w:t>
            </w:r>
          </w:p>
        </w:tc>
      </w:tr>
      <w:tr w:rsidR="004B1136" w:rsidRPr="002F7946">
        <w:trPr>
          <w:trHeight w:val="274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199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Competencias específicas </w:t>
            </w:r>
            <w:r>
              <w:rPr>
                <w:rFonts w:ascii="Century Gothic" w:eastAsia="Century Gothic" w:hAnsi="Century Gothic" w:cs="Century Gothic"/>
                <w:color w:val="FFFFFF"/>
                <w:sz w:val="21"/>
              </w:rPr>
              <w:t xml:space="preserve"> </w:t>
            </w:r>
          </w:p>
        </w:tc>
      </w:tr>
      <w:tr w:rsidR="004B1136">
        <w:trPr>
          <w:trHeight w:val="271"/>
        </w:trPr>
        <w:tc>
          <w:tcPr>
            <w:tcW w:w="8855" w:type="dxa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Conceptuales  </w:t>
            </w:r>
          </w:p>
        </w:tc>
      </w:tr>
      <w:tr w:rsidR="004B1136" w:rsidRPr="002F7946">
        <w:trPr>
          <w:trHeight w:val="31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CE19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Capacidad de entender textos especializados </w:t>
            </w:r>
          </w:p>
        </w:tc>
      </w:tr>
      <w:tr w:rsidR="004B1136" w:rsidRPr="002F7946">
        <w:trPr>
          <w:trHeight w:val="535"/>
        </w:trPr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RA3 </w:t>
            </w:r>
          </w:p>
        </w:tc>
        <w:tc>
          <w:tcPr>
            <w:tcW w:w="697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 w:firstLine="1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Conoce términos relacionados con algún campo especializado o profesional. </w:t>
            </w:r>
          </w:p>
        </w:tc>
      </w:tr>
      <w:tr w:rsidR="004B1136" w:rsidRPr="002F7946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RA4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Conoce estructuras que presentan problemas en textos especializados. </w:t>
            </w:r>
          </w:p>
        </w:tc>
      </w:tr>
      <w:tr w:rsidR="004B1136" w:rsidRPr="002F7946">
        <w:trPr>
          <w:trHeight w:val="272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sz w:val="21"/>
              </w:rPr>
              <w:t xml:space="preserve">RA5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Reconoce peculiaridades léxicos de textos especializados. </w:t>
            </w:r>
          </w:p>
        </w:tc>
      </w:tr>
      <w:tr w:rsidR="004B1136" w:rsidRPr="002F7946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sz w:val="21"/>
              </w:rPr>
              <w:t xml:space="preserve">RA6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Maneja estrategias de búsqueda y consulta para la comprensión de textos especializados. </w:t>
            </w:r>
          </w:p>
        </w:tc>
      </w:tr>
      <w:tr w:rsidR="004B1136">
        <w:trPr>
          <w:trHeight w:val="311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CE24 </w:t>
            </w:r>
          </w:p>
        </w:tc>
        <w:tc>
          <w:tcPr>
            <w:tcW w:w="7899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1"/>
              </w:rPr>
              <w:t xml:space="preserve">Destrezas de traducción </w:t>
            </w:r>
          </w:p>
        </w:tc>
      </w:tr>
      <w:tr w:rsidR="004B1136" w:rsidRPr="002F7946">
        <w:trPr>
          <w:trHeight w:val="534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pPr>
              <w:ind w:left="23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tabs>
                <w:tab w:val="center" w:pos="689"/>
              </w:tabs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RA1</w:t>
            </w:r>
            <w:r>
              <w:rPr>
                <w:rFonts w:ascii="Arial" w:eastAsia="Arial" w:hAnsi="Arial" w:cs="Arial"/>
                <w:i/>
                <w:sz w:val="21"/>
              </w:rPr>
              <w:t xml:space="preserve"> </w:t>
            </w:r>
            <w:r>
              <w:rPr>
                <w:rFonts w:ascii="Arial" w:eastAsia="Arial" w:hAnsi="Arial" w:cs="Arial"/>
                <w:i/>
                <w:sz w:val="21"/>
              </w:rPr>
              <w:tab/>
            </w: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Analiza funciones textuales, agentes y factores relevantes en el proceso de traducción o interpretación. </w:t>
            </w:r>
          </w:p>
        </w:tc>
      </w:tr>
      <w:tr w:rsidR="004B1136" w:rsidRPr="002F7946">
        <w:trPr>
          <w:trHeight w:val="536"/>
        </w:trPr>
        <w:tc>
          <w:tcPr>
            <w:tcW w:w="9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ind w:left="23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tabs>
                <w:tab w:val="center" w:pos="689"/>
              </w:tabs>
            </w:pPr>
            <w:r>
              <w:rPr>
                <w:rFonts w:ascii="Century Gothic" w:eastAsia="Century Gothic" w:hAnsi="Century Gothic" w:cs="Century Gothic"/>
                <w:i/>
                <w:sz w:val="21"/>
              </w:rPr>
              <w:t>RA2</w:t>
            </w:r>
            <w:r>
              <w:rPr>
                <w:rFonts w:ascii="Arial" w:eastAsia="Arial" w:hAnsi="Arial" w:cs="Arial"/>
                <w:i/>
                <w:sz w:val="21"/>
              </w:rPr>
              <w:t xml:space="preserve"> </w:t>
            </w:r>
            <w:r>
              <w:rPr>
                <w:rFonts w:ascii="Arial" w:eastAsia="Arial" w:hAnsi="Arial" w:cs="Arial"/>
                <w:i/>
                <w:sz w:val="21"/>
              </w:rPr>
              <w:tab/>
            </w:r>
            <w:r>
              <w:rPr>
                <w:rFonts w:ascii="Century Gothic" w:eastAsia="Century Gothic" w:hAnsi="Century Gothic" w:cs="Century Gothic"/>
                <w:i/>
                <w:sz w:val="21"/>
              </w:rPr>
              <w:t xml:space="preserve"> 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ind w:left="43"/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i/>
                <w:sz w:val="21"/>
                <w:lang w:val="es-ES"/>
              </w:rPr>
              <w:t xml:space="preserve">Es capaz de establecer diversas hipótesis de correspondencia en varios niveles textuales y discursivos. </w:t>
            </w:r>
          </w:p>
        </w:tc>
      </w:tr>
    </w:tbl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b/>
          <w:color w:val="003000"/>
          <w:sz w:val="21"/>
          <w:lang w:val="es-ES"/>
        </w:rPr>
        <w:t xml:space="preserve">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b/>
          <w:color w:val="003000"/>
          <w:sz w:val="23"/>
          <w:lang w:val="es-ES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BLOQUES TEMÁTICOS Y CONTENIDOS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3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8855"/>
      </w:tblGrid>
      <w:tr w:rsidR="004B1136">
        <w:trPr>
          <w:trHeight w:val="295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Contenidos – Bloques Temáticos </w:t>
            </w:r>
          </w:p>
        </w:tc>
      </w:tr>
      <w:tr w:rsidR="004B1136" w:rsidRPr="002F7946">
        <w:trPr>
          <w:trHeight w:val="271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Tema 1: Textos técnicos y estratégicos </w:t>
            </w:r>
          </w:p>
        </w:tc>
      </w:tr>
      <w:tr w:rsidR="004B1136" w:rsidRPr="002F7946">
        <w:trPr>
          <w:trHeight w:val="799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Incluye notas de prensa, seguimiento de prensa y correspondencia sobre la alta tecnología, los medios de comunicación y otros sectores industriales relacionados con empresas y organizaciones internacionales </w:t>
            </w:r>
          </w:p>
        </w:tc>
      </w:tr>
      <w:tr w:rsidR="004B1136" w:rsidRPr="002F7946">
        <w:trPr>
          <w:trHeight w:val="270"/>
        </w:trPr>
        <w:tc>
          <w:tcPr>
            <w:tcW w:w="885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FFCC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Tema 2: Textos comerciales (económicos y legales) </w:t>
            </w:r>
          </w:p>
        </w:tc>
      </w:tr>
    </w:tbl>
    <w:p w:rsidR="004B1136" w:rsidRPr="008D2AE5" w:rsidRDefault="00A13896" w:rsidP="00B10926">
      <w:pPr>
        <w:pBdr>
          <w:top w:val="single" w:sz="3" w:space="0" w:color="000000"/>
          <w:left w:val="single" w:sz="3" w:space="5" w:color="000000"/>
          <w:bottom w:val="single" w:sz="4" w:space="0" w:color="000000"/>
          <w:right w:val="single" w:sz="4" w:space="0" w:color="000000"/>
        </w:pBdr>
        <w:spacing w:after="28" w:line="240" w:lineRule="auto"/>
        <w:ind w:left="1077" w:right="-11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1"/>
          <w:lang w:val="es-ES"/>
        </w:rPr>
        <w:t xml:space="preserve">Incluye discursos, informes, contratos de empresas y organizaciones internacionales, además de documentación sobre la responsabilidad social y la gestión de crisis.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Pr="008D2AE5" w:rsidRDefault="00A13896">
      <w:pPr>
        <w:spacing w:after="0"/>
        <w:ind w:left="1092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3"/>
          <w:lang w:val="es-ES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METODOLOGÍA DOCENTE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19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2" w:type="dxa"/>
          <w:left w:w="104" w:type="dxa"/>
          <w:right w:w="45" w:type="dxa"/>
        </w:tblCellMar>
        <w:tblLook w:val="04A0" w:firstRow="1" w:lastRow="0" w:firstColumn="1" w:lastColumn="0" w:noHBand="0" w:noVBand="1"/>
      </w:tblPr>
      <w:tblGrid>
        <w:gridCol w:w="4323"/>
        <w:gridCol w:w="2346"/>
        <w:gridCol w:w="2186"/>
      </w:tblGrid>
      <w:tr w:rsidR="004B1136" w:rsidRPr="002F7946">
        <w:trPr>
          <w:trHeight w:val="293"/>
        </w:trPr>
        <w:tc>
          <w:tcPr>
            <w:tcW w:w="66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CC00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3"/>
                <w:lang w:val="es-ES"/>
              </w:rPr>
              <w:t xml:space="preserve">Aspectos metodológicos generales de la asignatura </w:t>
            </w:r>
          </w:p>
        </w:tc>
        <w:tc>
          <w:tcPr>
            <w:tcW w:w="2186" w:type="dxa"/>
            <w:tcBorders>
              <w:top w:val="single" w:sz="3" w:space="0" w:color="000000"/>
              <w:left w:val="nil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Pr="008D2AE5" w:rsidRDefault="004B1136">
            <w:pPr>
              <w:rPr>
                <w:lang w:val="es-ES"/>
              </w:rPr>
            </w:pPr>
          </w:p>
        </w:tc>
      </w:tr>
      <w:tr w:rsidR="004B1136" w:rsidRPr="002F7946">
        <w:trPr>
          <w:trHeight w:val="251"/>
        </w:trPr>
        <w:tc>
          <w:tcPr>
            <w:tcW w:w="6669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nil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19"/>
                <w:lang w:val="es-ES"/>
              </w:rPr>
              <w:t xml:space="preserve"> </w:t>
            </w:r>
          </w:p>
        </w:tc>
        <w:tc>
          <w:tcPr>
            <w:tcW w:w="2186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4B1136">
            <w:pPr>
              <w:rPr>
                <w:lang w:val="es-ES"/>
              </w:rPr>
            </w:pPr>
          </w:p>
        </w:tc>
      </w:tr>
      <w:tr w:rsidR="004B1136">
        <w:trPr>
          <w:trHeight w:val="580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3365FF"/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color w:val="FFFFFF"/>
                <w:sz w:val="23"/>
                <w:lang w:val="es-ES"/>
              </w:rPr>
              <w:lastRenderedPageBreak/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3"/>
              </w:rPr>
              <w:t>Competencias</w:t>
            </w:r>
            <w:r>
              <w:rPr>
                <w:rFonts w:ascii="Century Gothic" w:eastAsia="Century Gothic" w:hAnsi="Century Gothic" w:cs="Century Gothic"/>
                <w:color w:val="FFFFFF"/>
                <w:sz w:val="23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color w:val="FFFFFF"/>
                <w:sz w:val="23"/>
              </w:rPr>
              <w:t xml:space="preserve">Porcentaje de presencialidad </w:t>
            </w:r>
          </w:p>
        </w:tc>
      </w:tr>
      <w:tr w:rsidR="004B1136">
        <w:trPr>
          <w:trHeight w:val="1951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Lecciones de carácter expositivo </w:t>
            </w: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(AF1):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-CGI3 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-CGI1 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spacing w:after="1"/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>100%</w:t>
            </w: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</w:tc>
      </w:tr>
      <w:tr w:rsidR="004B1136">
        <w:trPr>
          <w:trHeight w:val="1522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1"/>
                <w:lang w:val="es-ES"/>
              </w:rPr>
              <w:t>Ejercicios prácticos/resolución de problemas</w:t>
            </w: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 (AF2)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-CGI7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-CGP12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-CGP10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19"/>
              </w:rPr>
              <w:t>-CE19</w:t>
            </w:r>
            <w:r>
              <w:rPr>
                <w:rFonts w:ascii="Century Gothic" w:eastAsia="Century Gothic" w:hAnsi="Century Gothic" w:cs="Century Gothic"/>
                <w:sz w:val="19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b/>
                <w:sz w:val="19"/>
              </w:rPr>
              <w:t xml:space="preserve"> </w:t>
            </w:r>
          </w:p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35% </w:t>
            </w:r>
          </w:p>
        </w:tc>
      </w:tr>
      <w:tr w:rsidR="004B1136">
        <w:trPr>
          <w:trHeight w:val="1540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 Trabajos individuales/grupales</w:t>
            </w: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 (AF3)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-CGS19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-CGP13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-CGI1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-CE24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-CE19 </w:t>
            </w:r>
          </w:p>
          <w:p w:rsidR="004B1136" w:rsidRPr="002F7946" w:rsidRDefault="00A13896">
            <w:pPr>
              <w:rPr>
                <w:lang w:val="fr-FR"/>
              </w:rPr>
            </w:pPr>
            <w:r w:rsidRPr="002F7946">
              <w:rPr>
                <w:rFonts w:ascii="Century Gothic" w:eastAsia="Century Gothic" w:hAnsi="Century Gothic" w:cs="Century Gothic"/>
                <w:b/>
                <w:sz w:val="19"/>
                <w:lang w:val="fr-FR"/>
              </w:rPr>
              <w:t xml:space="preserve">-CGI7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12% </w:t>
            </w:r>
          </w:p>
        </w:tc>
      </w:tr>
      <w:tr w:rsidR="004B1136">
        <w:trPr>
          <w:trHeight w:val="1772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 xml:space="preserve">Exposiciones 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1"/>
              </w:rPr>
              <w:tab/>
              <w:t>individuales/grupales</w:t>
            </w: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 (AF4)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-CGS26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-CGP13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-CGI1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50% </w:t>
            </w:r>
          </w:p>
        </w:tc>
      </w:tr>
      <w:tr w:rsidR="004B1136">
        <w:trPr>
          <w:trHeight w:val="2061"/>
        </w:trPr>
        <w:tc>
          <w:tcPr>
            <w:tcW w:w="432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B1136" w:rsidRPr="008D2AE5" w:rsidRDefault="00A13896">
            <w:pPr>
              <w:jc w:val="both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1"/>
                <w:lang w:val="es-ES"/>
              </w:rPr>
              <w:t>Estudio personal y documentación</w:t>
            </w: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color w:val="003000"/>
                <w:sz w:val="21"/>
                <w:lang w:val="es-ES"/>
              </w:rPr>
              <w:t xml:space="preserve">(AF5)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-CGP12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-CGI1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-CGI7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003000"/>
                <w:sz w:val="19"/>
              </w:rPr>
              <w:t xml:space="preserve">-CGP10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pPr>
              <w:ind w:left="1"/>
            </w:pPr>
            <w:r>
              <w:rPr>
                <w:rFonts w:ascii="Century Gothic" w:eastAsia="Century Gothic" w:hAnsi="Century Gothic" w:cs="Century Gothic"/>
                <w:color w:val="003000"/>
                <w:sz w:val="21"/>
              </w:rPr>
              <w:t xml:space="preserve">0%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1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EVALUACIÓN Y CRITERIOS DE CALIFICACIÓN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1"/>
        </w:rPr>
        <w:t xml:space="preserve"> </w:t>
      </w:r>
    </w:p>
    <w:tbl>
      <w:tblPr>
        <w:tblStyle w:val="TableGrid"/>
        <w:tblW w:w="8855" w:type="dxa"/>
        <w:tblInd w:w="988" w:type="dxa"/>
        <w:tblCellMar>
          <w:top w:w="3" w:type="dxa"/>
          <w:left w:w="104" w:type="dxa"/>
          <w:right w:w="56" w:type="dxa"/>
        </w:tblCellMar>
        <w:tblLook w:val="04A0" w:firstRow="1" w:lastRow="0" w:firstColumn="1" w:lastColumn="0" w:noHBand="0" w:noVBand="1"/>
      </w:tblPr>
      <w:tblGrid>
        <w:gridCol w:w="4739"/>
        <w:gridCol w:w="2699"/>
        <w:gridCol w:w="1417"/>
      </w:tblGrid>
      <w:tr w:rsidR="004B1136">
        <w:trPr>
          <w:trHeight w:val="579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3"/>
              </w:rPr>
              <w:t>Actividades de evaluación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3"/>
              </w:rPr>
              <w:t>Criterios de valoración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>Peso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2373"/>
        </w:trPr>
        <w:tc>
          <w:tcPr>
            <w:tcW w:w="473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lastRenderedPageBreak/>
              <w:t xml:space="preserve">SE1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Examen: </w:t>
            </w:r>
          </w:p>
          <w:p w:rsidR="00FC1D0E" w:rsidRPr="00FC1D0E" w:rsidRDefault="00FC1D0E" w:rsidP="00FC1D0E">
            <w:pPr>
              <w:spacing w:after="1" w:line="239" w:lineRule="auto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Prueba escrita 1-parcial 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en la que se deberá contestar a preguntas de conocimiento y comprensión.  </w:t>
            </w:r>
          </w:p>
          <w:p w:rsidR="004B1136" w:rsidRPr="00FC1D0E" w:rsidRDefault="004B1136">
            <w:pPr>
              <w:rPr>
                <w:color w:val="auto"/>
                <w:lang w:val="es-ES"/>
              </w:rPr>
            </w:pPr>
          </w:p>
          <w:p w:rsidR="004B1136" w:rsidRPr="00FC1D0E" w:rsidRDefault="00A13896">
            <w:pPr>
              <w:spacing w:after="1" w:line="239" w:lineRule="auto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Prueba </w:t>
            </w:r>
            <w:r w:rsidR="00FC1D0E"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>e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>scrita</w:t>
            </w:r>
            <w:r w:rsidR="00FC1D0E"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 2 -final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u w:val="single" w:color="000000"/>
                <w:lang w:val="es-ES"/>
              </w:rPr>
              <w:t xml:space="preserve"> 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en la que se deberá contestar a preguntas de conocimiento y comprensión de conjunto. 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</w:tc>
        <w:tc>
          <w:tcPr>
            <w:tcW w:w="269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numPr>
                <w:ilvl w:val="0"/>
                <w:numId w:val="2"/>
              </w:numPr>
              <w:spacing w:after="1"/>
              <w:ind w:right="186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Dominio de los conocimientos. - Capacidad de relacionar conocimientos para una comprensión de conjunto. </w:t>
            </w:r>
          </w:p>
          <w:p w:rsidR="004B1136" w:rsidRPr="00FC1D0E" w:rsidRDefault="00A13896">
            <w:pPr>
              <w:numPr>
                <w:ilvl w:val="0"/>
                <w:numId w:val="2"/>
              </w:numPr>
              <w:ind w:right="186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Claridad y concisión de la exposición. 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FC1D0E" w:rsidP="00FC1D0E">
            <w:pPr>
              <w:rPr>
                <w:color w:val="auto"/>
              </w:rPr>
            </w:pPr>
            <w:r w:rsidRPr="00FC1D0E">
              <w:rPr>
                <w:color w:val="auto"/>
              </w:rPr>
              <w:t>25%</w:t>
            </w: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</w:p>
          <w:p w:rsidR="00FC1D0E" w:rsidRPr="00FC1D0E" w:rsidRDefault="00FC1D0E" w:rsidP="00FC1D0E">
            <w:pPr>
              <w:rPr>
                <w:color w:val="auto"/>
              </w:rPr>
            </w:pPr>
            <w:r w:rsidRPr="00FC1D0E">
              <w:rPr>
                <w:color w:val="auto"/>
              </w:rPr>
              <w:t>50%</w:t>
            </w:r>
          </w:p>
        </w:tc>
      </w:tr>
      <w:tr w:rsidR="004B1136">
        <w:trPr>
          <w:trHeight w:val="2107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SE2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Evaluación de ejercicios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prácticos/resolución de problemas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ind w:right="22"/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-Adecuación a las pautas establecidas por el profesor.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 Claridad y concisión. -Análisis crítico de la </w:t>
            </w:r>
          </w:p>
          <w:p w:rsidR="004B1136" w:rsidRPr="00FC1D0E" w:rsidRDefault="00A13896">
            <w:pPr>
              <w:spacing w:after="1" w:line="239" w:lineRule="auto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información consultada.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10% </w:t>
            </w:r>
          </w:p>
        </w:tc>
      </w:tr>
      <w:tr w:rsidR="004B1136">
        <w:trPr>
          <w:trHeight w:val="2609"/>
        </w:trPr>
        <w:tc>
          <w:tcPr>
            <w:tcW w:w="47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SE3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Evaluación de exposiciones individuales(grupales)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-Adecuación de los contenidos al tema planteado.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 Claridad y concisión y utilidad de la exposición.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-Capacidad de síntesis -Calidad formal de la presentación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10% </w:t>
            </w:r>
          </w:p>
        </w:tc>
      </w:tr>
      <w:tr w:rsidR="004B1136">
        <w:trPr>
          <w:trHeight w:val="3421"/>
        </w:trPr>
        <w:tc>
          <w:tcPr>
            <w:tcW w:w="473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SE5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Participación activa del alumno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  <w:p w:rsidR="004B1136" w:rsidRPr="00FC1D0E" w:rsidRDefault="00A13896">
            <w:pPr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 </w:t>
            </w:r>
          </w:p>
        </w:tc>
        <w:tc>
          <w:tcPr>
            <w:tcW w:w="269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>-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Aportación de puntos de vista razonados a partir del estudio teórico.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 xml:space="preserve">-Apertura frente a otros puntos de vista y capacidad de variar su criterio inicial. </w:t>
            </w:r>
          </w:p>
          <w:p w:rsidR="004B1136" w:rsidRPr="00FC1D0E" w:rsidRDefault="00A13896">
            <w:pPr>
              <w:rPr>
                <w:color w:val="auto"/>
                <w:lang w:val="es-ES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  <w:lang w:val="es-ES"/>
              </w:rPr>
              <w:t>-Capacidad para asociar conceptos y sostener puntos de vista resultado de su aprendizaje.</w:t>
            </w:r>
            <w:r w:rsidRPr="00FC1D0E">
              <w:rPr>
                <w:rFonts w:ascii="Century Gothic" w:eastAsia="Century Gothic" w:hAnsi="Century Gothic" w:cs="Century Gothic"/>
                <w:color w:val="auto"/>
                <w:sz w:val="19"/>
                <w:lang w:val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136" w:rsidRPr="00FC1D0E" w:rsidRDefault="00A13896">
            <w:pPr>
              <w:ind w:left="2"/>
              <w:rPr>
                <w:color w:val="auto"/>
              </w:rPr>
            </w:pPr>
            <w:r w:rsidRPr="00FC1D0E">
              <w:rPr>
                <w:rFonts w:ascii="Century Gothic" w:eastAsia="Century Gothic" w:hAnsi="Century Gothic" w:cs="Century Gothic"/>
                <w:color w:val="auto"/>
                <w:sz w:val="21"/>
              </w:rPr>
              <w:t xml:space="preserve">5%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sz w:val="21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sz w:val="23"/>
        </w:rPr>
        <w:t xml:space="preserve">ACLARACIONES IMPORTANTES sobre la evaluación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b/>
          <w:color w:val="003000"/>
          <w:sz w:val="23"/>
        </w:rPr>
        <w:t xml:space="preserve"> </w:t>
      </w:r>
    </w:p>
    <w:p w:rsidR="004B1136" w:rsidRDefault="00A13896">
      <w:pPr>
        <w:spacing w:after="0"/>
        <w:ind w:left="1793"/>
      </w:pPr>
      <w:r>
        <w:rPr>
          <w:rFonts w:ascii="Century Gothic" w:eastAsia="Century Gothic" w:hAnsi="Century Gothic" w:cs="Century Gothic"/>
          <w:b/>
          <w:i/>
          <w:sz w:val="20"/>
          <w:u w:val="single" w:color="000000"/>
        </w:rPr>
        <w:t>Ejemplos:</w:t>
      </w:r>
      <w:r>
        <w:rPr>
          <w:rFonts w:ascii="Century Gothic" w:eastAsia="Century Gothic" w:hAnsi="Century Gothic" w:cs="Century Gothic"/>
          <w:b/>
          <w:i/>
          <w:sz w:val="20"/>
        </w:rPr>
        <w:t xml:space="preserve"> </w:t>
      </w:r>
    </w:p>
    <w:p w:rsidR="004B1136" w:rsidRPr="008D2AE5" w:rsidRDefault="00A13896">
      <w:pPr>
        <w:numPr>
          <w:ilvl w:val="0"/>
          <w:numId w:val="1"/>
        </w:numPr>
        <w:spacing w:after="33" w:line="239" w:lineRule="auto"/>
        <w:ind w:left="1777" w:right="-11" w:hanging="350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El incurrir en una falta académica grave, como es el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plagio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de materiales previamente publicados o el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copiar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en su examen u otra actividad evaluada,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 xml:space="preserve">puede llevar a la apertura de un expediente sancionador y la pérdida de dos convocatorias. </w:t>
      </w:r>
    </w:p>
    <w:p w:rsidR="004B1136" w:rsidRPr="002F7946" w:rsidRDefault="00A13896">
      <w:pPr>
        <w:tabs>
          <w:tab w:val="center" w:pos="1489"/>
          <w:tab w:val="center" w:pos="1793"/>
        </w:tabs>
        <w:spacing w:after="0"/>
        <w:rPr>
          <w:lang w:val="es-ES"/>
        </w:rPr>
      </w:pPr>
      <w:r w:rsidRPr="008D2AE5">
        <w:rPr>
          <w:lang w:val="es-ES"/>
        </w:rPr>
        <w:tab/>
      </w:r>
    </w:p>
    <w:p w:rsidR="004B1136" w:rsidRPr="008D2AE5" w:rsidRDefault="00A13896">
      <w:pPr>
        <w:numPr>
          <w:ilvl w:val="0"/>
          <w:numId w:val="1"/>
        </w:numPr>
        <w:spacing w:after="0" w:line="239" w:lineRule="auto"/>
        <w:ind w:left="1777" w:right="-11" w:hanging="350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lastRenderedPageBreak/>
        <w:t xml:space="preserve">Para poder presentarse al examen final es requisito </w:t>
      </w:r>
      <w:r w:rsidRPr="008D2AE5">
        <w:rPr>
          <w:rFonts w:ascii="Century Gothic" w:eastAsia="Century Gothic" w:hAnsi="Century Gothic" w:cs="Century Gothic"/>
          <w:b/>
          <w:sz w:val="20"/>
          <w:lang w:val="es-ES"/>
        </w:rPr>
        <w:t>no haber faltado injustificadamente a más de un tercio de las clases</w:t>
      </w: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. De no cumplir este requisito, el alumno perderá las convocatorias ordinaria y extraordinaria (art. 93.1 del Reglamento General). La no asistencia a la primera hora de una clase doble significa haber faltado a toda la sesión, independientemente de si el alumno asista o no a la segunda hora. </w:t>
      </w:r>
    </w:p>
    <w:p w:rsidR="004B1136" w:rsidRPr="008D2AE5" w:rsidRDefault="00A13896">
      <w:pPr>
        <w:spacing w:after="18"/>
        <w:ind w:left="179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</w:t>
      </w:r>
    </w:p>
    <w:p w:rsidR="004B1136" w:rsidRPr="008D2AE5" w:rsidRDefault="00A13896">
      <w:pPr>
        <w:spacing w:after="0"/>
        <w:ind w:left="1793"/>
        <w:rPr>
          <w:lang w:val="es-ES"/>
        </w:rPr>
      </w:pPr>
      <w:r w:rsidRPr="008D2AE5">
        <w:rPr>
          <w:rFonts w:ascii="Century Gothic" w:eastAsia="Century Gothic" w:hAnsi="Century Gothic" w:cs="Century Gothic"/>
          <w:sz w:val="20"/>
          <w:lang w:val="es-ES"/>
        </w:rPr>
        <w:t xml:space="preserve"> </w:t>
      </w:r>
    </w:p>
    <w:tbl>
      <w:tblPr>
        <w:tblStyle w:val="TableGrid"/>
        <w:tblW w:w="8854" w:type="dxa"/>
        <w:tblInd w:w="1003" w:type="dxa"/>
        <w:tblCellMar>
          <w:top w:w="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259"/>
        <w:gridCol w:w="4595"/>
      </w:tblGrid>
      <w:tr w:rsidR="004B1136" w:rsidRPr="002F7946">
        <w:trPr>
          <w:trHeight w:val="388"/>
        </w:trPr>
        <w:tc>
          <w:tcPr>
            <w:tcW w:w="8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FFCC00"/>
          </w:tcPr>
          <w:p w:rsidR="004B1136" w:rsidRPr="008D2AE5" w:rsidRDefault="00A13896">
            <w:pPr>
              <w:jc w:val="center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3"/>
                <w:lang w:val="es-ES"/>
              </w:rPr>
              <w:t>RESUMEN HORAS DE TRABAJO DEL ALUMNO</w:t>
            </w:r>
            <w:r w:rsidRPr="008D2AE5">
              <w:rPr>
                <w:rFonts w:ascii="Century Gothic" w:eastAsia="Century Gothic" w:hAnsi="Century Gothic" w:cs="Century Gothic"/>
                <w:b/>
                <w:color w:val="003000"/>
                <w:sz w:val="23"/>
                <w:lang w:val="es-ES"/>
              </w:rPr>
              <w:t xml:space="preserve"> </w:t>
            </w:r>
          </w:p>
        </w:tc>
      </w:tr>
      <w:tr w:rsidR="004B1136">
        <w:trPr>
          <w:trHeight w:val="362"/>
        </w:trPr>
        <w:tc>
          <w:tcPr>
            <w:tcW w:w="42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4B1136" w:rsidRDefault="00A13896">
            <w:pPr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>Horas presenciales</w:t>
            </w: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  <w:tc>
          <w:tcPr>
            <w:tcW w:w="4595" w:type="dxa"/>
            <w:tcBorders>
              <w:top w:val="single" w:sz="4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shd w:val="clear" w:color="auto" w:fill="FFFFCC"/>
          </w:tcPr>
          <w:p w:rsidR="004B1136" w:rsidRDefault="00A13896">
            <w:pPr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1"/>
              </w:rPr>
              <w:t>Horas no presenciales</w:t>
            </w:r>
            <w:r>
              <w:rPr>
                <w:rFonts w:ascii="Century Gothic" w:eastAsia="Century Gothic" w:hAnsi="Century Gothic" w:cs="Century Gothic"/>
                <w:sz w:val="21"/>
              </w:rPr>
              <w:t xml:space="preserve"> </w:t>
            </w:r>
          </w:p>
        </w:tc>
      </w:tr>
      <w:tr w:rsidR="004B1136">
        <w:trPr>
          <w:trHeight w:val="283"/>
        </w:trPr>
        <w:tc>
          <w:tcPr>
            <w:tcW w:w="4259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:rsidR="004B1136" w:rsidRDefault="00A13896">
            <w:pPr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30 </w:t>
            </w:r>
          </w:p>
        </w:tc>
        <w:tc>
          <w:tcPr>
            <w:tcW w:w="4595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B1136" w:rsidRDefault="00A13896">
            <w:pPr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21"/>
              </w:rPr>
              <w:t xml:space="preserve">45 </w:t>
            </w:r>
          </w:p>
        </w:tc>
      </w:tr>
    </w:tbl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sz w:val="23"/>
        </w:rPr>
        <w:t xml:space="preserve"> </w:t>
      </w:r>
    </w:p>
    <w:p w:rsidR="004B1136" w:rsidRDefault="00A13896">
      <w:pPr>
        <w:pStyle w:val="Ttulo1"/>
        <w:ind w:left="1087"/>
      </w:pPr>
      <w:r>
        <w:t xml:space="preserve">BIBLIOGRAFÍA Y RECURSOS </w:t>
      </w:r>
    </w:p>
    <w:p w:rsidR="004B1136" w:rsidRDefault="00A13896">
      <w:pPr>
        <w:spacing w:after="0"/>
        <w:ind w:left="1092"/>
      </w:pPr>
      <w:r>
        <w:rPr>
          <w:rFonts w:ascii="Century Gothic" w:eastAsia="Century Gothic" w:hAnsi="Century Gothic" w:cs="Century Gothic"/>
          <w:color w:val="003000"/>
          <w:sz w:val="21"/>
        </w:rPr>
        <w:t xml:space="preserve"> </w:t>
      </w:r>
    </w:p>
    <w:tbl>
      <w:tblPr>
        <w:tblStyle w:val="TableGrid"/>
        <w:tblW w:w="8815" w:type="dxa"/>
        <w:tblInd w:w="988" w:type="dxa"/>
        <w:tblCellMar>
          <w:top w:w="2" w:type="dxa"/>
          <w:left w:w="104" w:type="dxa"/>
          <w:right w:w="111" w:type="dxa"/>
        </w:tblCellMar>
        <w:tblLook w:val="04A0" w:firstRow="1" w:lastRow="0" w:firstColumn="1" w:lastColumn="0" w:noHBand="0" w:noVBand="1"/>
      </w:tblPr>
      <w:tblGrid>
        <w:gridCol w:w="8815"/>
      </w:tblGrid>
      <w:tr w:rsidR="004B1136">
        <w:trPr>
          <w:trHeight w:val="388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>Bibliografía Básica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270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Libros de texto </w:t>
            </w:r>
          </w:p>
        </w:tc>
      </w:tr>
      <w:tr w:rsidR="004B1136">
        <w:trPr>
          <w:trHeight w:val="1389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:rsidR="004B1136" w:rsidRDefault="00A13896">
            <w:pPr>
              <w:ind w:right="8543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</w:tr>
      <w:tr w:rsidR="004B1136">
        <w:trPr>
          <w:trHeight w:val="388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FFCC00"/>
          </w:tcPr>
          <w:p w:rsidR="004B1136" w:rsidRDefault="00A13896">
            <w:pPr>
              <w:ind w:left="1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3"/>
              </w:rPr>
              <w:t xml:space="preserve">Bibliografía Complementaria </w:t>
            </w:r>
            <w:r>
              <w:rPr>
                <w:rFonts w:ascii="Century Gothic" w:eastAsia="Century Gothic" w:hAnsi="Century Gothic" w:cs="Century Gothic"/>
                <w:b/>
                <w:color w:val="003000"/>
                <w:sz w:val="23"/>
              </w:rPr>
              <w:t xml:space="preserve"> </w:t>
            </w:r>
          </w:p>
        </w:tc>
      </w:tr>
      <w:tr w:rsidR="004B1136">
        <w:trPr>
          <w:trHeight w:val="402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Monografías </w:t>
            </w:r>
          </w:p>
        </w:tc>
      </w:tr>
      <w:tr w:rsidR="004B1136">
        <w:trPr>
          <w:trHeight w:val="3016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Samuelsson-Brown, G. (2010).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 xml:space="preserve">A Practical Guide for Translators 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(5th ed.) Clevedon: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Multilingual Matters. 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Chesterman, A. (1997)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Memes of Translation: The spread of ideas in translation theory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</w:t>
            </w:r>
          </w:p>
          <w:p w:rsidR="004B1136" w:rsidRDefault="00A13896">
            <w:pPr>
              <w:spacing w:after="106"/>
              <w:rPr>
                <w:rFonts w:ascii="Century Gothic" w:eastAsia="Century Gothic" w:hAnsi="Century Gothic" w:cs="Century Gothic"/>
                <w:sz w:val="20"/>
              </w:rPr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Amsterdam-Philadelphia: Benjamins. 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Crystal, D. (2004). </w:t>
            </w:r>
            <w:r w:rsidRPr="00425FAB">
              <w:rPr>
                <w:rFonts w:ascii="Century Gothic" w:hAnsi="Century Gothic" w:cs="Arial"/>
                <w:i/>
                <w:sz w:val="20"/>
                <w:szCs w:val="20"/>
              </w:rPr>
              <w:t>A glossary of Netspeak and Textspeak.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>Edinburgo: Edinburgh University</w:t>
            </w:r>
          </w:p>
          <w:p w:rsidR="00425FAB" w:rsidRPr="00425FAB" w:rsidRDefault="00425FAB" w:rsidP="00425FA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Crystal, D. (2003). </w:t>
            </w:r>
            <w:r w:rsidRPr="00425FAB">
              <w:rPr>
                <w:rFonts w:ascii="Century Gothic" w:hAnsi="Century Gothic" w:cs="Arial"/>
                <w:i/>
                <w:sz w:val="20"/>
                <w:szCs w:val="20"/>
              </w:rPr>
              <w:t>The Cambridge Encyclopedia of the English Language.</w:t>
            </w:r>
            <w:r w:rsidRPr="00425FAB">
              <w:rPr>
                <w:rFonts w:ascii="Century Gothic" w:hAnsi="Century Gothic" w:cs="Arial"/>
                <w:sz w:val="20"/>
                <w:szCs w:val="20"/>
              </w:rPr>
              <w:t xml:space="preserve"> Cambridge: Cambridge University Press.</w:t>
            </w:r>
          </w:p>
          <w:p w:rsidR="004B1136" w:rsidRDefault="00A13896">
            <w:pPr>
              <w:spacing w:after="1" w:line="358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Munday, J. (2001).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Introducing translation studies: theories and applications</w:t>
            </w:r>
            <w:r w:rsidR="0048617E">
              <w:rPr>
                <w:rFonts w:ascii="Century Gothic" w:eastAsia="Century Gothic" w:hAnsi="Century Gothic" w:cs="Century Gothic"/>
                <w:sz w:val="20"/>
              </w:rPr>
              <w:t>.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London and New York, Routledge.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Munday, J. (2009).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Routledge Companion to Translation Studies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 London and New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sz w:val="20"/>
              </w:rPr>
              <w:t xml:space="preserve">York: Routledge  </w:t>
            </w:r>
          </w:p>
        </w:tc>
      </w:tr>
      <w:tr w:rsidR="004B1136">
        <w:trPr>
          <w:trHeight w:val="3767"/>
        </w:trPr>
        <w:tc>
          <w:tcPr>
            <w:tcW w:w="881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Default="00A13896">
            <w:pPr>
              <w:spacing w:after="106"/>
            </w:pPr>
            <w:r>
              <w:rPr>
                <w:rFonts w:ascii="Century Gothic" w:eastAsia="Century Gothic" w:hAnsi="Century Gothic" w:cs="Century Gothic"/>
                <w:sz w:val="20"/>
              </w:rPr>
              <w:lastRenderedPageBreak/>
              <w:t xml:space="preserve">Newmark, P. (1991). 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About Translation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.  Clevedon: Multilingual Matters. </w:t>
            </w:r>
          </w:p>
          <w:p w:rsidR="004B1136" w:rsidRDefault="00A13896">
            <w:pPr>
              <w:spacing w:line="359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Nord, C. (2005).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 xml:space="preserve">Text Analysis in Translation: Theory, Methodology, and Didactic Application of a Model for Translation-Oriented Text Analysis </w:t>
            </w:r>
            <w:r>
              <w:rPr>
                <w:rFonts w:ascii="Century Gothic" w:eastAsia="Century Gothic" w:hAnsi="Century Gothic" w:cs="Century Gothic"/>
                <w:sz w:val="20"/>
              </w:rPr>
              <w:t>(2nd ed.). Amsterdam</w:t>
            </w:r>
            <w:r w:rsidR="00C05793">
              <w:rPr>
                <w:rFonts w:ascii="Century Gothic" w:eastAsia="Century Gothic" w:hAnsi="Century Gothic" w:cs="Century Gothic"/>
                <w:sz w:val="20"/>
              </w:rPr>
              <w:t>-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Atlanta GA: Rodopi. </w:t>
            </w:r>
          </w:p>
          <w:p w:rsidR="004B1136" w:rsidRDefault="00A13896">
            <w:pPr>
              <w:spacing w:after="1" w:line="358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Pym, A. (2004).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Moving Text: Localization, Translation and Distribution</w:t>
            </w:r>
            <w:r>
              <w:rPr>
                <w:rFonts w:ascii="Century Gothic" w:eastAsia="Century Gothic" w:hAnsi="Century Gothic" w:cs="Century Gothic"/>
                <w:sz w:val="20"/>
              </w:rPr>
              <w:t>.  Amsterdam</w:t>
            </w:r>
            <w:r w:rsidR="00C05793">
              <w:rPr>
                <w:rFonts w:ascii="Century Gothic" w:eastAsia="Century Gothic" w:hAnsi="Century Gothic" w:cs="Century Gothic"/>
                <w:sz w:val="20"/>
              </w:rPr>
              <w:t>-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Philadelphia: Benjamins.  </w:t>
            </w:r>
          </w:p>
          <w:p w:rsidR="004B1136" w:rsidRDefault="00A13896">
            <w:pPr>
              <w:spacing w:line="360" w:lineRule="auto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Venuti, L. (1995). </w:t>
            </w:r>
            <w:r w:rsidRPr="0048617E">
              <w:rPr>
                <w:rFonts w:ascii="Century Gothic" w:eastAsia="Century Gothic" w:hAnsi="Century Gothic" w:cs="Century Gothic"/>
                <w:i/>
                <w:sz w:val="20"/>
              </w:rPr>
              <w:t>The Translator’s Invisibility: A History of Translation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, London &amp; New York, Routledge. </w:t>
            </w:r>
          </w:p>
          <w:p w:rsidR="004B1136" w:rsidRDefault="00A13896">
            <w:pPr>
              <w:spacing w:after="105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  <w:p w:rsidR="004B1136" w:rsidRDefault="00A13896"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</w:tr>
      <w:tr w:rsidR="004B1136">
        <w:trPr>
          <w:trHeight w:val="400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3365FF"/>
          </w:tcPr>
          <w:p w:rsidR="004B1136" w:rsidRDefault="00A13896">
            <w:r>
              <w:rPr>
                <w:rFonts w:ascii="Century Gothic" w:eastAsia="Century Gothic" w:hAnsi="Century Gothic" w:cs="Century Gothic"/>
                <w:b/>
                <w:color w:val="FFFFFF"/>
                <w:sz w:val="21"/>
              </w:rPr>
              <w:t xml:space="preserve">Otros materiales y recursos </w:t>
            </w:r>
          </w:p>
        </w:tc>
      </w:tr>
      <w:tr w:rsidR="004B1136" w:rsidRPr="002F7946">
        <w:trPr>
          <w:trHeight w:val="1585"/>
        </w:trPr>
        <w:tc>
          <w:tcPr>
            <w:tcW w:w="881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B1136" w:rsidRPr="008D2AE5" w:rsidRDefault="00A13896">
            <w:pPr>
              <w:spacing w:after="111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spacing w:after="1" w:line="359" w:lineRule="auto"/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sz w:val="21"/>
                <w:lang w:val="es-ES"/>
              </w:rPr>
              <w:t>Uso adecuado y general de una gran variedad de fuentes especializados (online y offline)</w:t>
            </w:r>
            <w:r w:rsidRPr="008D2AE5">
              <w:rPr>
                <w:rFonts w:ascii="Century Gothic" w:eastAsia="Century Gothic" w:hAnsi="Century Gothic" w:cs="Century Gothic"/>
                <w:color w:val="FFFFFF"/>
                <w:sz w:val="21"/>
                <w:lang w:val="es-ES"/>
              </w:rPr>
              <w:t xml:space="preserve"> </w:t>
            </w:r>
          </w:p>
          <w:p w:rsidR="004B1136" w:rsidRPr="008D2AE5" w:rsidRDefault="00A13896">
            <w:pPr>
              <w:rPr>
                <w:lang w:val="es-ES"/>
              </w:rPr>
            </w:pPr>
            <w:r w:rsidRPr="008D2AE5">
              <w:rPr>
                <w:rFonts w:ascii="Century Gothic" w:eastAsia="Century Gothic" w:hAnsi="Century Gothic" w:cs="Century Gothic"/>
                <w:b/>
                <w:color w:val="FFFFFF"/>
                <w:sz w:val="21"/>
                <w:lang w:val="es-ES"/>
              </w:rPr>
              <w:t xml:space="preserve"> </w:t>
            </w:r>
          </w:p>
        </w:tc>
      </w:tr>
    </w:tbl>
    <w:p w:rsidR="004B1136" w:rsidRPr="008D2AE5" w:rsidRDefault="00A13896">
      <w:pPr>
        <w:spacing w:after="0"/>
        <w:ind w:left="1092"/>
        <w:jc w:val="both"/>
        <w:rPr>
          <w:lang w:val="es-ES"/>
        </w:rPr>
      </w:pPr>
      <w:r w:rsidRPr="008D2AE5">
        <w:rPr>
          <w:rFonts w:ascii="Century Gothic" w:eastAsia="Century Gothic" w:hAnsi="Century Gothic" w:cs="Century Gothic"/>
          <w:color w:val="003000"/>
          <w:sz w:val="21"/>
          <w:lang w:val="es-ES"/>
        </w:rPr>
        <w:t xml:space="preserve"> </w:t>
      </w:r>
    </w:p>
    <w:sectPr w:rsidR="004B1136" w:rsidRPr="008D2AE5">
      <w:footerReference w:type="even" r:id="rId8"/>
      <w:footerReference w:type="default" r:id="rId9"/>
      <w:footerReference w:type="first" r:id="rId10"/>
      <w:pgSz w:w="11900" w:h="16840"/>
      <w:pgMar w:top="860" w:right="1647" w:bottom="2160" w:left="563" w:header="720" w:footer="1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29B" w:rsidRDefault="00BF729B">
      <w:pPr>
        <w:spacing w:after="0" w:line="240" w:lineRule="auto"/>
      </w:pPr>
      <w:r>
        <w:separator/>
      </w:r>
    </w:p>
  </w:endnote>
  <w:endnote w:type="continuationSeparator" w:id="0">
    <w:p w:rsidR="00BF729B" w:rsidRDefault="00BF7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entury Gothic" w:eastAsia="Century Gothic" w:hAnsi="Century Gothic" w:cs="Century Gothic"/>
        <w:sz w:val="23"/>
      </w:rPr>
      <w:t>1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22093E" w:rsidRPr="0022093E">
      <w:rPr>
        <w:rFonts w:ascii="Century Gothic" w:eastAsia="Century Gothic" w:hAnsi="Century Gothic" w:cs="Century Gothic"/>
        <w:noProof/>
        <w:sz w:val="23"/>
      </w:rPr>
      <w:t>3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36" w:rsidRDefault="00A13896">
    <w:pPr>
      <w:tabs>
        <w:tab w:val="center" w:pos="1092"/>
        <w:tab w:val="right" w:pos="9691"/>
      </w:tabs>
      <w:spacing w:after="0"/>
    </w:pPr>
    <w:r>
      <w:tab/>
    </w:r>
    <w:r>
      <w:rPr>
        <w:rFonts w:ascii="Times New Roman" w:eastAsia="Times New Roman" w:hAnsi="Times New Roman" w:cs="Times New Roman"/>
        <w:sz w:val="23"/>
      </w:rPr>
      <w:t xml:space="preserve"> </w:t>
    </w:r>
    <w:r>
      <w:rPr>
        <w:rFonts w:ascii="Times New Roman" w:eastAsia="Times New Roman" w:hAnsi="Times New Roman" w:cs="Times New Roman"/>
        <w:sz w:val="23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entury Gothic" w:eastAsia="Century Gothic" w:hAnsi="Century Gothic" w:cs="Century Gothic"/>
        <w:sz w:val="23"/>
      </w:rPr>
      <w:t>1</w:t>
    </w:r>
    <w:r>
      <w:rPr>
        <w:rFonts w:ascii="Century Gothic" w:eastAsia="Century Gothic" w:hAnsi="Century Gothic" w:cs="Century Gothic"/>
        <w:sz w:val="2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29B" w:rsidRDefault="00BF729B">
      <w:pPr>
        <w:spacing w:after="0" w:line="240" w:lineRule="auto"/>
      </w:pPr>
      <w:r>
        <w:separator/>
      </w:r>
    </w:p>
  </w:footnote>
  <w:footnote w:type="continuationSeparator" w:id="0">
    <w:p w:rsidR="00BF729B" w:rsidRDefault="00BF72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12DE2"/>
    <w:multiLevelType w:val="hybridMultilevel"/>
    <w:tmpl w:val="CC2411BC"/>
    <w:lvl w:ilvl="0" w:tplc="AA4C94F0">
      <w:start w:val="1"/>
      <w:numFmt w:val="bullet"/>
      <w:lvlText w:val="•"/>
      <w:lvlJc w:val="left"/>
      <w:pPr>
        <w:ind w:left="1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923F3E">
      <w:start w:val="1"/>
      <w:numFmt w:val="bullet"/>
      <w:lvlText w:val="o"/>
      <w:lvlJc w:val="left"/>
      <w:pPr>
        <w:ind w:left="1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320B60">
      <w:start w:val="1"/>
      <w:numFmt w:val="bullet"/>
      <w:lvlText w:val="▪"/>
      <w:lvlJc w:val="left"/>
      <w:pPr>
        <w:ind w:left="2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48F6D4">
      <w:start w:val="1"/>
      <w:numFmt w:val="bullet"/>
      <w:lvlText w:val="•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D66752">
      <w:start w:val="1"/>
      <w:numFmt w:val="bullet"/>
      <w:lvlText w:val="o"/>
      <w:lvlJc w:val="left"/>
      <w:pPr>
        <w:ind w:left="3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7929110">
      <w:start w:val="1"/>
      <w:numFmt w:val="bullet"/>
      <w:lvlText w:val="▪"/>
      <w:lvlJc w:val="left"/>
      <w:pPr>
        <w:ind w:left="43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A82240">
      <w:start w:val="1"/>
      <w:numFmt w:val="bullet"/>
      <w:lvlText w:val="•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8C3894">
      <w:start w:val="1"/>
      <w:numFmt w:val="bullet"/>
      <w:lvlText w:val="o"/>
      <w:lvlJc w:val="left"/>
      <w:pPr>
        <w:ind w:left="57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3A6DF0">
      <w:start w:val="1"/>
      <w:numFmt w:val="bullet"/>
      <w:lvlText w:val="▪"/>
      <w:lvlJc w:val="left"/>
      <w:pPr>
        <w:ind w:left="6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F12FE2"/>
    <w:multiLevelType w:val="hybridMultilevel"/>
    <w:tmpl w:val="54944450"/>
    <w:lvl w:ilvl="0" w:tplc="45789BFA">
      <w:start w:val="1"/>
      <w:numFmt w:val="bullet"/>
      <w:lvlText w:val="-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B18BAB2">
      <w:start w:val="1"/>
      <w:numFmt w:val="bullet"/>
      <w:lvlText w:val="o"/>
      <w:lvlJc w:val="left"/>
      <w:pPr>
        <w:ind w:left="118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D7E7BE8">
      <w:start w:val="1"/>
      <w:numFmt w:val="bullet"/>
      <w:lvlText w:val="▪"/>
      <w:lvlJc w:val="left"/>
      <w:pPr>
        <w:ind w:left="19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F3EB162">
      <w:start w:val="1"/>
      <w:numFmt w:val="bullet"/>
      <w:lvlText w:val="•"/>
      <w:lvlJc w:val="left"/>
      <w:pPr>
        <w:ind w:left="262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784BC0">
      <w:start w:val="1"/>
      <w:numFmt w:val="bullet"/>
      <w:lvlText w:val="o"/>
      <w:lvlJc w:val="left"/>
      <w:pPr>
        <w:ind w:left="334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B04AE90">
      <w:start w:val="1"/>
      <w:numFmt w:val="bullet"/>
      <w:lvlText w:val="▪"/>
      <w:lvlJc w:val="left"/>
      <w:pPr>
        <w:ind w:left="40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4D6575E">
      <w:start w:val="1"/>
      <w:numFmt w:val="bullet"/>
      <w:lvlText w:val="•"/>
      <w:lvlJc w:val="left"/>
      <w:pPr>
        <w:ind w:left="478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D583BDE">
      <w:start w:val="1"/>
      <w:numFmt w:val="bullet"/>
      <w:lvlText w:val="o"/>
      <w:lvlJc w:val="left"/>
      <w:pPr>
        <w:ind w:left="55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41E44AC">
      <w:start w:val="1"/>
      <w:numFmt w:val="bullet"/>
      <w:lvlText w:val="▪"/>
      <w:lvlJc w:val="left"/>
      <w:pPr>
        <w:ind w:left="622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3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36"/>
    <w:rsid w:val="000D18F0"/>
    <w:rsid w:val="0022093E"/>
    <w:rsid w:val="002F7946"/>
    <w:rsid w:val="00425FAB"/>
    <w:rsid w:val="0048617E"/>
    <w:rsid w:val="004B1136"/>
    <w:rsid w:val="00610BDA"/>
    <w:rsid w:val="00796655"/>
    <w:rsid w:val="00872890"/>
    <w:rsid w:val="008D2AE5"/>
    <w:rsid w:val="00A13896"/>
    <w:rsid w:val="00B10926"/>
    <w:rsid w:val="00BB01F8"/>
    <w:rsid w:val="00BF729B"/>
    <w:rsid w:val="00C05793"/>
    <w:rsid w:val="00FC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FFD3"/>
  <w15:docId w15:val="{A0CE87CE-15C3-4AAD-BC46-8B924591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02" w:hanging="10"/>
      <w:outlineLvl w:val="0"/>
    </w:pPr>
    <w:rPr>
      <w:rFonts w:ascii="Century Gothic" w:eastAsia="Century Gothic" w:hAnsi="Century Gothic" w:cs="Century Gothic"/>
      <w:b/>
      <w:color w:val="003000"/>
      <w:sz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entury Gothic" w:eastAsia="Century Gothic" w:hAnsi="Century Gothic" w:cs="Century Gothic"/>
      <w:b/>
      <w:color w:val="003000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1240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Guía docente 2015-16 - plantilla Grado TI - Grado RRIILenguaAplicadaInglés</vt:lpstr>
    </vt:vector>
  </TitlesOfParts>
  <Company/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Guía docente 2015-16 - plantilla Grado TI - Grado RRIILenguaAplicadaInglés</dc:title>
  <dc:subject/>
  <dc:creator>scadera</dc:creator>
  <cp:keywords/>
  <cp:lastModifiedBy>Clare Nimmo</cp:lastModifiedBy>
  <cp:revision>2</cp:revision>
  <dcterms:created xsi:type="dcterms:W3CDTF">2017-10-09T10:15:00Z</dcterms:created>
  <dcterms:modified xsi:type="dcterms:W3CDTF">2017-10-09T10:15:00Z</dcterms:modified>
</cp:coreProperties>
</file>