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136" w:rsidRDefault="00A13896">
      <w:pPr>
        <w:spacing w:after="0"/>
        <w:ind w:left="-140"/>
      </w:pPr>
      <w:bookmarkStart w:id="0" w:name="_GoBack"/>
      <w:bookmarkEnd w:id="0"/>
      <w:r>
        <w:rPr>
          <w:noProof/>
          <w:lang w:val="es-ES" w:eastAsia="es-ES"/>
        </w:rPr>
        <w:drawing>
          <wp:inline distT="0" distB="0" distL="0" distR="0">
            <wp:extent cx="1724188" cy="908304"/>
            <wp:effectExtent l="0" t="0" r="0" b="0"/>
            <wp:docPr id="242" name="Picture 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4188" cy="908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3000"/>
          <w:sz w:val="23"/>
        </w:rPr>
        <w:t xml:space="preserve"> </w:t>
      </w:r>
    </w:p>
    <w:p w:rsidR="004B1136" w:rsidRDefault="00A13896">
      <w:pPr>
        <w:spacing w:after="107"/>
      </w:pPr>
      <w:r>
        <w:rPr>
          <w:rFonts w:ascii="Berlin Sans FB" w:eastAsia="Berlin Sans FB" w:hAnsi="Berlin Sans FB" w:cs="Berlin Sans FB"/>
          <w:b/>
          <w:sz w:val="12"/>
        </w:rPr>
        <w:t xml:space="preserve"> </w:t>
      </w:r>
      <w:r>
        <w:rPr>
          <w:rFonts w:ascii="Berlin Sans FB" w:eastAsia="Berlin Sans FB" w:hAnsi="Berlin Sans FB" w:cs="Berlin Sans FB"/>
          <w:b/>
          <w:sz w:val="12"/>
        </w:rPr>
        <w:tab/>
      </w:r>
      <w:r>
        <w:rPr>
          <w:rFonts w:ascii="Times New Roman" w:eastAsia="Times New Roman" w:hAnsi="Times New Roman" w:cs="Times New Roman"/>
          <w:b/>
          <w:color w:val="003000"/>
          <w:sz w:val="23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Times New Roman" w:eastAsia="Times New Roman" w:hAnsi="Times New Roman" w:cs="Times New Roman"/>
          <w:b/>
          <w:color w:val="003000"/>
          <w:sz w:val="23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FICHA TÉCNICA DE LA ASIGNATURA </w:t>
      </w:r>
    </w:p>
    <w:tbl>
      <w:tblPr>
        <w:tblStyle w:val="TableGrid"/>
        <w:tblpPr w:vertAnchor="page" w:horzAnchor="page" w:tblpX="7956" w:tblpY="1217"/>
        <w:tblOverlap w:val="never"/>
        <w:tblW w:w="2626" w:type="dxa"/>
        <w:tblInd w:w="0" w:type="dxa"/>
        <w:tblCellMar>
          <w:top w:w="8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626"/>
      </w:tblGrid>
      <w:tr w:rsidR="004B1136">
        <w:trPr>
          <w:trHeight w:val="701"/>
        </w:trPr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1136" w:rsidRDefault="002F7946">
            <w:pPr>
              <w:jc w:val="center"/>
            </w:pPr>
            <w:r>
              <w:rPr>
                <w:rFonts w:ascii="Arial" w:eastAsia="Arial" w:hAnsi="Arial" w:cs="Arial"/>
                <w:b/>
                <w:sz w:val="23"/>
              </w:rPr>
              <w:t>GUÍA DOCENTE CURSO 2017-18</w:t>
            </w:r>
            <w:r w:rsidR="00A13896">
              <w:rPr>
                <w:rFonts w:ascii="Arial" w:eastAsia="Arial" w:hAnsi="Arial" w:cs="Arial"/>
                <w:b/>
                <w:sz w:val="23"/>
              </w:rPr>
              <w:t xml:space="preserve"> </w:t>
            </w:r>
          </w:p>
        </w:tc>
      </w:tr>
    </w:tbl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3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104" w:type="dxa"/>
          <w:right w:w="44" w:type="dxa"/>
        </w:tblCellMar>
        <w:tblLook w:val="04A0" w:firstRow="1" w:lastRow="0" w:firstColumn="1" w:lastColumn="0" w:noHBand="0" w:noVBand="1"/>
      </w:tblPr>
      <w:tblGrid>
        <w:gridCol w:w="1719"/>
        <w:gridCol w:w="7136"/>
      </w:tblGrid>
      <w:tr w:rsidR="004B1136">
        <w:trPr>
          <w:trHeight w:val="295"/>
        </w:trPr>
        <w:tc>
          <w:tcPr>
            <w:tcW w:w="8855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Datos de la asignatura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Nombre 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Lengua aplicada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Código 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  <w:tc>
          <w:tcPr>
            <w:tcW w:w="713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E000002421 </w:t>
            </w:r>
          </w:p>
        </w:tc>
      </w:tr>
      <w:tr w:rsidR="004B1136" w:rsidRPr="00DD5021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Titulación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Grado en Traducción e Interpretación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Curso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FC1D0E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3º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Créditos ECTS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3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Carácter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Obligatorio 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jc w:val="both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Departamento </w:t>
            </w:r>
          </w:p>
        </w:tc>
        <w:tc>
          <w:tcPr>
            <w:tcW w:w="713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Traducción e Interpretación </w:t>
            </w:r>
          </w:p>
        </w:tc>
      </w:tr>
      <w:tr w:rsidR="004B1136">
        <w:trPr>
          <w:trHeight w:val="534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Lengua de instrucción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Inglés </w:t>
            </w:r>
          </w:p>
        </w:tc>
      </w:tr>
      <w:tr w:rsidR="004B1136" w:rsidRPr="00DD5021">
        <w:trPr>
          <w:trHeight w:val="2107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  <w:vAlign w:val="center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Descriptor </w:t>
            </w:r>
          </w:p>
        </w:tc>
        <w:tc>
          <w:tcPr>
            <w:tcW w:w="713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  <w:p w:rsidR="004B1136" w:rsidRPr="000D18F0" w:rsidRDefault="00A13896">
            <w:pPr>
              <w:ind w:left="2" w:right="59"/>
              <w:jc w:val="both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Esta asignatura tiene el objetivo de facilitar al alumno las técnicas y estrategias para identificar distintas tipologías de texto y analizar, redactar y traducir textos específicos al inglés, aplicando el lenguaje apropiado en cada caso. </w:t>
            </w:r>
          </w:p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</w:tr>
    </w:tbl>
    <w:p w:rsidR="004B1136" w:rsidRPr="000D18F0" w:rsidRDefault="00A13896">
      <w:pPr>
        <w:spacing w:after="0"/>
        <w:ind w:left="1092"/>
        <w:rPr>
          <w:lang w:val="es-ES"/>
        </w:rPr>
      </w:pPr>
      <w:r w:rsidRPr="000D18F0">
        <w:rPr>
          <w:rFonts w:ascii="Century Gothic" w:eastAsia="Century Gothic" w:hAnsi="Century Gothic" w:cs="Century Gothic"/>
          <w:b/>
          <w:color w:val="003000"/>
          <w:sz w:val="23"/>
          <w:lang w:val="es-ES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104" w:type="dxa"/>
          <w:right w:w="46" w:type="dxa"/>
        </w:tblCellMar>
        <w:tblLook w:val="04A0" w:firstRow="1" w:lastRow="0" w:firstColumn="1" w:lastColumn="0" w:noHBand="0" w:noVBand="1"/>
      </w:tblPr>
      <w:tblGrid>
        <w:gridCol w:w="1719"/>
        <w:gridCol w:w="7136"/>
      </w:tblGrid>
      <w:tr w:rsidR="004B1136">
        <w:trPr>
          <w:trHeight w:val="294"/>
        </w:trPr>
        <w:tc>
          <w:tcPr>
            <w:tcW w:w="8855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Datos del profesorado </w:t>
            </w:r>
          </w:p>
        </w:tc>
      </w:tr>
      <w:tr w:rsidR="004B1136">
        <w:trPr>
          <w:trHeight w:val="272"/>
        </w:trPr>
        <w:tc>
          <w:tcPr>
            <w:tcW w:w="8855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99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Profesor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Nombre </w:t>
            </w:r>
          </w:p>
        </w:tc>
        <w:tc>
          <w:tcPr>
            <w:tcW w:w="713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Clare Nimmo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jc w:val="both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Departamento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Traducción e Interpretación </w:t>
            </w:r>
          </w:p>
        </w:tc>
      </w:tr>
      <w:tr w:rsidR="004B1136">
        <w:trPr>
          <w:trHeight w:val="534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Despacho y sede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Cantoblanco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e-mail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cnimmo@comillas.edu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Teléfono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91 7343950 </w:t>
            </w:r>
          </w:p>
        </w:tc>
      </w:tr>
      <w:tr w:rsidR="004B1136">
        <w:trPr>
          <w:trHeight w:val="533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Horario de tutorías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Por cita </w:t>
            </w:r>
          </w:p>
        </w:tc>
      </w:tr>
    </w:tbl>
    <w:p w:rsidR="004B1136" w:rsidRDefault="00A13896">
      <w:pPr>
        <w:spacing w:after="0" w:line="239" w:lineRule="auto"/>
        <w:ind w:left="1092" w:right="5732"/>
        <w:jc w:val="both"/>
      </w:pPr>
      <w:r>
        <w:rPr>
          <w:rFonts w:ascii="Century Gothic" w:eastAsia="Century Gothic" w:hAnsi="Century Gothic" w:cs="Century Gothic"/>
          <w:b/>
          <w:color w:val="003000"/>
          <w:sz w:val="23"/>
        </w:rPr>
        <w:t xml:space="preserve">  </w:t>
      </w:r>
      <w:r>
        <w:rPr>
          <w:rFonts w:ascii="Century Gothic" w:eastAsia="Century Gothic" w:hAnsi="Century Gothic" w:cs="Century Gothic"/>
          <w:b/>
          <w:color w:val="003000"/>
          <w:sz w:val="23"/>
        </w:rPr>
        <w:tab/>
        <w:t xml:space="preserve"> </w:t>
      </w:r>
    </w:p>
    <w:p w:rsidR="004B1136" w:rsidRDefault="00A13896">
      <w:pPr>
        <w:pStyle w:val="Ttulo1"/>
        <w:ind w:left="1087"/>
      </w:pPr>
      <w:r>
        <w:t>DATOS ESPECÍFICOS DE LA ASIGNATURA</w:t>
      </w:r>
      <w:r>
        <w:rPr>
          <w:b w:val="0"/>
          <w:color w:val="000000"/>
          <w:sz w:val="19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3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8855"/>
      </w:tblGrid>
      <w:tr w:rsidR="004B1136">
        <w:trPr>
          <w:trHeight w:val="295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Contextualización de la asignatura </w:t>
            </w:r>
          </w:p>
        </w:tc>
      </w:tr>
      <w:tr w:rsidR="004B1136" w:rsidRPr="00DD5021">
        <w:trPr>
          <w:trHeight w:val="271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3365FF"/>
          </w:tcPr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FFFFFF"/>
                <w:sz w:val="21"/>
                <w:lang w:val="es-ES"/>
              </w:rPr>
              <w:t>Aportación al perfil formativo y profesional de la titulación</w:t>
            </w:r>
            <w:r w:rsidRPr="000D18F0">
              <w:rPr>
                <w:rFonts w:ascii="Century Gothic" w:eastAsia="Century Gothic" w:hAnsi="Century Gothic" w:cs="Century Gothic"/>
                <w:color w:val="FFFFFF"/>
                <w:sz w:val="21"/>
                <w:lang w:val="es-ES"/>
              </w:rPr>
              <w:t xml:space="preserve"> </w:t>
            </w:r>
          </w:p>
        </w:tc>
      </w:tr>
      <w:tr w:rsidR="004B1136" w:rsidRPr="00DD5021">
        <w:trPr>
          <w:trHeight w:val="3660"/>
        </w:trPr>
        <w:tc>
          <w:tcPr>
            <w:tcW w:w="885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spacing w:after="1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lastRenderedPageBreak/>
              <w:t xml:space="preserve"> </w:t>
            </w:r>
          </w:p>
          <w:p w:rsidR="004B1136" w:rsidRPr="000D18F0" w:rsidRDefault="00A13896">
            <w:pPr>
              <w:spacing w:line="239" w:lineRule="auto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Estas competencias son esenciales para el éxito académico del alumno y para facilitarle herramientas que le sirvan para pensar críticamente sobre, redactar y traducir los documentos que encontrará en su vida profesional.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</w:tc>
      </w:tr>
      <w:tr w:rsidR="004B1136">
        <w:trPr>
          <w:trHeight w:val="270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>Prerrequisitos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</w:tr>
      <w:tr w:rsidR="004B1136" w:rsidRPr="00DD5021">
        <w:trPr>
          <w:trHeight w:val="798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No existen formalmente requisitos previos.   Es recomendable tener el nivel de inglés y español suficiente para poder seguir el curso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</w:tr>
    </w:tbl>
    <w:p w:rsidR="004B1136" w:rsidRPr="000D18F0" w:rsidRDefault="00A13896">
      <w:pPr>
        <w:spacing w:after="0"/>
        <w:ind w:left="1092"/>
        <w:rPr>
          <w:lang w:val="es-ES"/>
        </w:rPr>
      </w:pPr>
      <w:r w:rsidRPr="000D18F0">
        <w:rPr>
          <w:rFonts w:ascii="Century Gothic" w:eastAsia="Century Gothic" w:hAnsi="Century Gothic" w:cs="Century Gothic"/>
          <w:sz w:val="23"/>
          <w:lang w:val="es-ES"/>
        </w:rPr>
        <w:t xml:space="preserve"> </w:t>
      </w:r>
    </w:p>
    <w:p w:rsidR="004B1136" w:rsidRPr="000D18F0" w:rsidRDefault="00A13896">
      <w:pPr>
        <w:spacing w:after="0"/>
        <w:ind w:left="1092"/>
        <w:rPr>
          <w:lang w:val="es-ES"/>
        </w:rPr>
      </w:pPr>
      <w:r w:rsidRPr="000D18F0">
        <w:rPr>
          <w:rFonts w:ascii="Century Gothic" w:eastAsia="Century Gothic" w:hAnsi="Century Gothic" w:cs="Century Gothic"/>
          <w:sz w:val="23"/>
          <w:lang w:val="es-ES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81" w:type="dxa"/>
          <w:right w:w="40" w:type="dxa"/>
        </w:tblCellMar>
        <w:tblLook w:val="04A0" w:firstRow="1" w:lastRow="0" w:firstColumn="1" w:lastColumn="0" w:noHBand="0" w:noVBand="1"/>
      </w:tblPr>
      <w:tblGrid>
        <w:gridCol w:w="956"/>
        <w:gridCol w:w="24"/>
        <w:gridCol w:w="876"/>
        <w:gridCol w:w="21"/>
        <w:gridCol w:w="6978"/>
      </w:tblGrid>
      <w:tr w:rsidR="004B1136">
        <w:trPr>
          <w:trHeight w:val="295"/>
        </w:trPr>
        <w:tc>
          <w:tcPr>
            <w:tcW w:w="885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Competencias – Objetivos </w:t>
            </w:r>
          </w:p>
        </w:tc>
      </w:tr>
      <w:tr w:rsidR="004B1136">
        <w:trPr>
          <w:trHeight w:val="272"/>
        </w:trPr>
        <w:tc>
          <w:tcPr>
            <w:tcW w:w="8855" w:type="dxa"/>
            <w:gridSpan w:val="5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>Competencias genéricas del título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</w:tr>
      <w:tr w:rsidR="004B1136">
        <w:trPr>
          <w:trHeight w:val="271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Instrumentales </w:t>
            </w:r>
          </w:p>
        </w:tc>
      </w:tr>
      <w:tr w:rsidR="004B1136" w:rsidRPr="00DD5021">
        <w:trPr>
          <w:trHeight w:val="331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CGI1 </w:t>
            </w:r>
          </w:p>
        </w:tc>
        <w:tc>
          <w:tcPr>
            <w:tcW w:w="7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1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Capacidad de análisis y síntesis </w:t>
            </w:r>
          </w:p>
        </w:tc>
      </w:tr>
      <w:tr w:rsidR="004B1136" w:rsidRPr="00DD5021">
        <w:trPr>
          <w:trHeight w:val="295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1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RA2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>Extrae las relaciones de sentido existentes en un texto.</w:t>
            </w:r>
            <w:r w:rsidRPr="000D18F0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</w:tr>
      <w:tr w:rsidR="004B1136" w:rsidRPr="00DD5021">
        <w:trPr>
          <w:trHeight w:val="582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1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RA3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Puede formular ideas de varias maneras en la lengua de llegada. </w:t>
            </w:r>
          </w:p>
        </w:tc>
      </w:tr>
      <w:tr w:rsidR="004B1136">
        <w:trPr>
          <w:trHeight w:val="329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3"/>
              </w:rPr>
              <w:t xml:space="preserve">CG17 </w:t>
            </w:r>
          </w:p>
        </w:tc>
        <w:tc>
          <w:tcPr>
            <w:tcW w:w="7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23"/>
              </w:rPr>
              <w:t xml:space="preserve">Toma de decisiones </w:t>
            </w:r>
          </w:p>
        </w:tc>
      </w:tr>
      <w:tr w:rsidR="004B1136" w:rsidRPr="00DD5021">
        <w:trPr>
          <w:trHeight w:val="583"/>
        </w:trPr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3"/>
              </w:rPr>
              <w:t xml:space="preserve"> </w:t>
            </w:r>
          </w:p>
        </w:tc>
        <w:tc>
          <w:tcPr>
            <w:tcW w:w="87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RA1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Decide cuáles son los planos lingüísticos relevantes en el TO. </w:t>
            </w:r>
          </w:p>
        </w:tc>
      </w:tr>
      <w:tr w:rsidR="004B1136" w:rsidRPr="00DD5021">
        <w:trPr>
          <w:trHeight w:val="582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RA2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Realiza correctamente la asignación de prioridades entre dichos planos. </w:t>
            </w:r>
          </w:p>
        </w:tc>
      </w:tr>
      <w:tr w:rsidR="004B1136" w:rsidRPr="00DD5021">
        <w:trPr>
          <w:trHeight w:val="583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RA3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>Decide el peso específico de los componentes normativos y descriptivos del lenguaje.</w:t>
            </w:r>
            <w:r w:rsidRPr="008D2AE5">
              <w:rPr>
                <w:rFonts w:ascii="Arial" w:eastAsia="Arial" w:hAnsi="Arial" w:cs="Arial"/>
                <w:b/>
                <w:sz w:val="19"/>
                <w:lang w:val="es-ES"/>
              </w:rPr>
              <w:t xml:space="preserve"> </w:t>
            </w: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</w:tr>
      <w:tr w:rsidR="004B1136">
        <w:trPr>
          <w:trHeight w:val="270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Interpersonales </w:t>
            </w:r>
          </w:p>
        </w:tc>
      </w:tr>
      <w:tr w:rsidR="004B1136">
        <w:trPr>
          <w:trHeight w:val="330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CGP10 </w:t>
            </w:r>
          </w:p>
        </w:tc>
        <w:tc>
          <w:tcPr>
            <w:tcW w:w="7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Razonamiento crítico </w:t>
            </w:r>
          </w:p>
        </w:tc>
      </w:tr>
      <w:tr w:rsidR="004B1136" w:rsidRPr="00DD5021">
        <w:trPr>
          <w:trHeight w:val="535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RA3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Detecta e identifica incoherencias, carencias importantes y problemas en una situación dada. </w:t>
            </w:r>
          </w:p>
        </w:tc>
      </w:tr>
      <w:tr w:rsidR="004B1136" w:rsidRPr="00DD5021">
        <w:trPr>
          <w:trHeight w:val="272"/>
        </w:trPr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RA4 </w:t>
            </w:r>
          </w:p>
        </w:tc>
        <w:tc>
          <w:tcPr>
            <w:tcW w:w="6999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Muestra capacidad de valorar y discutir el propio trabajo. </w:t>
            </w:r>
          </w:p>
        </w:tc>
      </w:tr>
      <w:tr w:rsidR="004B1136" w:rsidRPr="00DD5021">
        <w:trPr>
          <w:trHeight w:val="330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CGP12 </w:t>
            </w:r>
          </w:p>
        </w:tc>
        <w:tc>
          <w:tcPr>
            <w:tcW w:w="7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Rigor y seriedad en el trabajo </w:t>
            </w:r>
          </w:p>
        </w:tc>
      </w:tr>
      <w:tr w:rsidR="004B1136" w:rsidRPr="00DD5021">
        <w:trPr>
          <w:trHeight w:val="272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RA2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Enumera y distingue las fases de comprensión, documentación, </w:t>
            </w:r>
          </w:p>
        </w:tc>
      </w:tr>
      <w:tr w:rsidR="004B1136" w:rsidRPr="00DD5021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4B1136">
            <w:pPr>
              <w:rPr>
                <w:lang w:val="es-ES"/>
              </w:rPr>
            </w:pP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4B1136">
            <w:pPr>
              <w:rPr>
                <w:lang w:val="es-ES"/>
              </w:rPr>
            </w:pP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gestión de datos, formulación y revisión. </w:t>
            </w:r>
          </w:p>
        </w:tc>
      </w:tr>
      <w:tr w:rsidR="004B1136" w:rsidRPr="00DD5021">
        <w:trPr>
          <w:trHeight w:val="272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RA3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Aplica criterios de discriminación de las fuentes utilizadas. </w:t>
            </w:r>
          </w:p>
        </w:tc>
      </w:tr>
      <w:tr w:rsidR="004B1136" w:rsidRPr="00DD5021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RA4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Fundamenta adecuadamente sus decisiones de traducción. </w:t>
            </w:r>
          </w:p>
        </w:tc>
      </w:tr>
      <w:tr w:rsidR="004B1136">
        <w:trPr>
          <w:trHeight w:val="331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CGP13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Trabajo en equipo </w:t>
            </w:r>
          </w:p>
        </w:tc>
      </w:tr>
      <w:tr w:rsidR="004B1136" w:rsidRPr="00DD5021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RA1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Se integra en un equipo de trabajo. </w:t>
            </w:r>
          </w:p>
        </w:tc>
      </w:tr>
      <w:tr w:rsidR="004B1136">
        <w:trPr>
          <w:trHeight w:val="272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RA4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Contribuye al trabajo colectivo. </w:t>
            </w:r>
          </w:p>
        </w:tc>
      </w:tr>
      <w:tr w:rsidR="004B1136" w:rsidRPr="00DD5021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lastRenderedPageBreak/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RA6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Respeta la experiencia ajena y aprende de ella. </w:t>
            </w:r>
          </w:p>
        </w:tc>
      </w:tr>
      <w:tr w:rsidR="004B1136" w:rsidRPr="00DD5021">
        <w:trPr>
          <w:trHeight w:val="250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99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19"/>
                <w:lang w:val="es-ES"/>
              </w:rPr>
              <w:t xml:space="preserve"> </w:t>
            </w:r>
          </w:p>
        </w:tc>
      </w:tr>
      <w:tr w:rsidR="004B1136">
        <w:trPr>
          <w:trHeight w:val="270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Sistémicas </w:t>
            </w:r>
          </w:p>
        </w:tc>
      </w:tr>
      <w:tr w:rsidR="004B1136" w:rsidRPr="00DD5021">
        <w:trPr>
          <w:trHeight w:val="330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CGS19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8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Capacidad de aplicar los conocimientos a la práctica </w:t>
            </w:r>
          </w:p>
        </w:tc>
      </w:tr>
      <w:tr w:rsidR="004B1136" w:rsidRPr="00DD5021">
        <w:trPr>
          <w:trHeight w:val="535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RA2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Identifica correctamente los conocimientos aplicables a cada situación. </w:t>
            </w:r>
          </w:p>
        </w:tc>
      </w:tr>
      <w:tr w:rsidR="004B1136" w:rsidRPr="00DD5021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RA3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Extrae denominadores comunes entre distintas materias. </w:t>
            </w:r>
          </w:p>
        </w:tc>
      </w:tr>
      <w:tr w:rsidR="004B1136">
        <w:trPr>
          <w:trHeight w:val="330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CGS26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Capacidad de comunicación </w:t>
            </w:r>
          </w:p>
        </w:tc>
      </w:tr>
      <w:tr w:rsidR="004B1136" w:rsidRPr="00DD5021">
        <w:trPr>
          <w:trHeight w:val="535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RA1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Puede transmitir información, ideas, problemas y soluciones a un público tanto especializado como no especializado. </w:t>
            </w:r>
          </w:p>
        </w:tc>
      </w:tr>
      <w:tr w:rsidR="004B1136" w:rsidRPr="00DD5021">
        <w:trPr>
          <w:trHeight w:val="796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RA2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 w:right="61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Realiza presentaciones orales y escritas, claras, bien estructuradas, comprensibles, y adecuadas en su terminología y contenidos a diferentes audiencias. </w:t>
            </w:r>
          </w:p>
        </w:tc>
      </w:tr>
      <w:tr w:rsidR="004B1136" w:rsidRPr="00DD5021">
        <w:trPr>
          <w:trHeight w:val="274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99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</w:tr>
      <w:tr w:rsidR="004B1136">
        <w:trPr>
          <w:trHeight w:val="271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Competencias específicas 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</w:tr>
      <w:tr w:rsidR="004B1136">
        <w:trPr>
          <w:trHeight w:val="271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Conceptuales  </w:t>
            </w:r>
          </w:p>
        </w:tc>
      </w:tr>
      <w:tr w:rsidR="004B1136" w:rsidRPr="00DD5021">
        <w:trPr>
          <w:trHeight w:val="311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CE19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Capacidad de entender textos especializados </w:t>
            </w:r>
          </w:p>
        </w:tc>
      </w:tr>
      <w:tr w:rsidR="004B1136" w:rsidRPr="00DD5021">
        <w:trPr>
          <w:trHeight w:val="535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RA3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 w:firstLine="1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Conoce términos relacionados con algún campo especializado o profesional. </w:t>
            </w:r>
          </w:p>
        </w:tc>
      </w:tr>
      <w:tr w:rsidR="004B1136" w:rsidRPr="00DD5021">
        <w:trPr>
          <w:trHeight w:val="534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RA4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Conoce estructuras que presentan problemas en textos especializados. </w:t>
            </w:r>
          </w:p>
        </w:tc>
      </w:tr>
      <w:tr w:rsidR="004B1136" w:rsidRPr="00DD5021">
        <w:trPr>
          <w:trHeight w:val="272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sz w:val="21"/>
              </w:rPr>
              <w:t xml:space="preserve">RA5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Reconoce peculiaridades léxicos de textos especializados. </w:t>
            </w:r>
          </w:p>
        </w:tc>
      </w:tr>
      <w:tr w:rsidR="004B1136" w:rsidRPr="00DD5021">
        <w:trPr>
          <w:trHeight w:val="534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sz w:val="21"/>
              </w:rPr>
              <w:t xml:space="preserve">RA6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Maneja estrategias de búsqueda y consulta para la comprensión de textos especializados. </w:t>
            </w:r>
          </w:p>
        </w:tc>
      </w:tr>
      <w:tr w:rsidR="004B1136">
        <w:trPr>
          <w:trHeight w:val="311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CE24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Destrezas de traducción </w:t>
            </w:r>
          </w:p>
        </w:tc>
      </w:tr>
      <w:tr w:rsidR="004B1136" w:rsidRPr="00DD5021">
        <w:trPr>
          <w:trHeight w:val="534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tabs>
                <w:tab w:val="center" w:pos="689"/>
              </w:tabs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RA1</w:t>
            </w:r>
            <w:r>
              <w:rPr>
                <w:rFonts w:ascii="Arial" w:eastAsia="Arial" w:hAnsi="Arial" w:cs="Arial"/>
                <w:i/>
                <w:sz w:val="21"/>
              </w:rPr>
              <w:t xml:space="preserve"> </w:t>
            </w:r>
            <w:r>
              <w:rPr>
                <w:rFonts w:ascii="Arial" w:eastAsia="Arial" w:hAnsi="Arial" w:cs="Arial"/>
                <w:i/>
                <w:sz w:val="21"/>
              </w:rPr>
              <w:tab/>
            </w: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Analiza funciones textuales, agentes y factores relevantes en el proceso de traducción o interpretación. </w:t>
            </w:r>
          </w:p>
        </w:tc>
      </w:tr>
      <w:tr w:rsidR="004B1136" w:rsidRPr="00DD5021">
        <w:trPr>
          <w:trHeight w:val="536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tabs>
                <w:tab w:val="center" w:pos="689"/>
              </w:tabs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RA2</w:t>
            </w:r>
            <w:r>
              <w:rPr>
                <w:rFonts w:ascii="Arial" w:eastAsia="Arial" w:hAnsi="Arial" w:cs="Arial"/>
                <w:i/>
                <w:sz w:val="21"/>
              </w:rPr>
              <w:t xml:space="preserve"> </w:t>
            </w:r>
            <w:r>
              <w:rPr>
                <w:rFonts w:ascii="Arial" w:eastAsia="Arial" w:hAnsi="Arial" w:cs="Arial"/>
                <w:i/>
                <w:sz w:val="21"/>
              </w:rPr>
              <w:tab/>
            </w: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Es capaz de establecer diversas hipótesis de correspondencia en varios niveles textuales y discursivos. </w:t>
            </w:r>
          </w:p>
        </w:tc>
      </w:tr>
    </w:tbl>
    <w:p w:rsidR="004B1136" w:rsidRPr="008D2AE5" w:rsidRDefault="00A13896">
      <w:pPr>
        <w:spacing w:after="0"/>
        <w:ind w:left="1092"/>
        <w:rPr>
          <w:lang w:val="es-ES"/>
        </w:rPr>
      </w:pPr>
      <w:r w:rsidRPr="008D2AE5">
        <w:rPr>
          <w:rFonts w:ascii="Century Gothic" w:eastAsia="Century Gothic" w:hAnsi="Century Gothic" w:cs="Century Gothic"/>
          <w:b/>
          <w:color w:val="003000"/>
          <w:sz w:val="21"/>
          <w:lang w:val="es-ES"/>
        </w:rPr>
        <w:t xml:space="preserve"> </w:t>
      </w:r>
    </w:p>
    <w:p w:rsidR="004B1136" w:rsidRPr="008D2AE5" w:rsidRDefault="00A13896">
      <w:pPr>
        <w:spacing w:after="0"/>
        <w:ind w:left="1092"/>
        <w:rPr>
          <w:lang w:val="es-ES"/>
        </w:rPr>
      </w:pPr>
      <w:r w:rsidRPr="008D2AE5">
        <w:rPr>
          <w:rFonts w:ascii="Century Gothic" w:eastAsia="Century Gothic" w:hAnsi="Century Gothic" w:cs="Century Gothic"/>
          <w:b/>
          <w:color w:val="003000"/>
          <w:sz w:val="23"/>
          <w:lang w:val="es-ES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BLOQUES TEMÁTICOS Y CONTENIDOS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3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3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8855"/>
      </w:tblGrid>
      <w:tr w:rsidR="004B1136">
        <w:trPr>
          <w:trHeight w:val="295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Contenidos – Bloques Temáticos </w:t>
            </w:r>
          </w:p>
        </w:tc>
      </w:tr>
      <w:tr w:rsidR="004B1136" w:rsidRPr="00DD5021">
        <w:trPr>
          <w:trHeight w:val="271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Tema 1: Textos técnicos y estratégicos </w:t>
            </w:r>
          </w:p>
        </w:tc>
      </w:tr>
      <w:tr w:rsidR="004B1136" w:rsidRPr="00DD5021">
        <w:trPr>
          <w:trHeight w:val="799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Incluye notas de prensa, seguimiento de prensa y correspondencia sobre la alta tecnología, los medios de comunicación y otros sectores industriales relacionados con empresas y organizaciones internacionales </w:t>
            </w:r>
          </w:p>
        </w:tc>
      </w:tr>
      <w:tr w:rsidR="004B1136" w:rsidRPr="00DD5021">
        <w:trPr>
          <w:trHeight w:val="270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FFCC"/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Tema 2: Textos comerciales (económicos y legales) </w:t>
            </w:r>
          </w:p>
        </w:tc>
      </w:tr>
    </w:tbl>
    <w:p w:rsidR="004B1136" w:rsidRPr="008D2AE5" w:rsidRDefault="00A13896" w:rsidP="00B10926">
      <w:pPr>
        <w:pBdr>
          <w:top w:val="single" w:sz="3" w:space="0" w:color="000000"/>
          <w:left w:val="single" w:sz="3" w:space="5" w:color="000000"/>
          <w:bottom w:val="single" w:sz="4" w:space="0" w:color="000000"/>
          <w:right w:val="single" w:sz="4" w:space="0" w:color="000000"/>
        </w:pBdr>
        <w:spacing w:after="28" w:line="240" w:lineRule="auto"/>
        <w:ind w:left="1077" w:right="-113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1"/>
          <w:lang w:val="es-ES"/>
        </w:rPr>
        <w:t xml:space="preserve">Incluye discursos, informes, contratos de empresas y organizaciones internacionales, además de documentación sobre la responsabilidad social y la gestión de crisis. </w:t>
      </w:r>
    </w:p>
    <w:p w:rsidR="004B1136" w:rsidRPr="008D2AE5" w:rsidRDefault="00A13896">
      <w:pPr>
        <w:spacing w:after="0"/>
        <w:ind w:left="1092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3"/>
          <w:lang w:val="es-ES"/>
        </w:rPr>
        <w:t xml:space="preserve"> </w:t>
      </w:r>
    </w:p>
    <w:p w:rsidR="004B1136" w:rsidRPr="008D2AE5" w:rsidRDefault="00A13896">
      <w:pPr>
        <w:spacing w:after="0"/>
        <w:ind w:left="1092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3"/>
          <w:lang w:val="es-ES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METODOLOGÍA DOCENTE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19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104" w:type="dxa"/>
          <w:right w:w="45" w:type="dxa"/>
        </w:tblCellMar>
        <w:tblLook w:val="04A0" w:firstRow="1" w:lastRow="0" w:firstColumn="1" w:lastColumn="0" w:noHBand="0" w:noVBand="1"/>
      </w:tblPr>
      <w:tblGrid>
        <w:gridCol w:w="4323"/>
        <w:gridCol w:w="2346"/>
        <w:gridCol w:w="2186"/>
      </w:tblGrid>
      <w:tr w:rsidR="004B1136" w:rsidRPr="00DD5021">
        <w:trPr>
          <w:trHeight w:val="293"/>
        </w:trPr>
        <w:tc>
          <w:tcPr>
            <w:tcW w:w="66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CC00"/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color w:val="003000"/>
                <w:sz w:val="23"/>
                <w:lang w:val="es-ES"/>
              </w:rPr>
              <w:t xml:space="preserve">Aspectos metodológicos generales de la asignatura </w:t>
            </w:r>
          </w:p>
        </w:tc>
        <w:tc>
          <w:tcPr>
            <w:tcW w:w="21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Pr="008D2AE5" w:rsidRDefault="004B1136">
            <w:pPr>
              <w:rPr>
                <w:lang w:val="es-ES"/>
              </w:rPr>
            </w:pPr>
          </w:p>
        </w:tc>
      </w:tr>
      <w:tr w:rsidR="004B1136" w:rsidRPr="00DD5021">
        <w:trPr>
          <w:trHeight w:val="251"/>
        </w:trPr>
        <w:tc>
          <w:tcPr>
            <w:tcW w:w="6669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nil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19"/>
                <w:lang w:val="es-ES"/>
              </w:rPr>
              <w:t xml:space="preserve"> </w:t>
            </w:r>
          </w:p>
        </w:tc>
        <w:tc>
          <w:tcPr>
            <w:tcW w:w="2186" w:type="dxa"/>
            <w:tcBorders>
              <w:top w:val="single" w:sz="3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4B1136">
            <w:pPr>
              <w:rPr>
                <w:lang w:val="es-ES"/>
              </w:rPr>
            </w:pPr>
          </w:p>
        </w:tc>
      </w:tr>
      <w:tr w:rsidR="004B1136">
        <w:trPr>
          <w:trHeight w:val="580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3365FF"/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color w:val="FFFFFF"/>
                <w:sz w:val="23"/>
                <w:lang w:val="es-ES"/>
              </w:rPr>
              <w:lastRenderedPageBreak/>
              <w:t xml:space="preserve">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3"/>
              </w:rPr>
              <w:t>Competencias</w:t>
            </w:r>
            <w:r>
              <w:rPr>
                <w:rFonts w:ascii="Century Gothic" w:eastAsia="Century Gothic" w:hAnsi="Century Gothic" w:cs="Century Gothic"/>
                <w:color w:val="FFFFFF"/>
                <w:sz w:val="23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3"/>
              </w:rPr>
              <w:t xml:space="preserve">Porcentaje de presencialidad </w:t>
            </w:r>
          </w:p>
        </w:tc>
      </w:tr>
      <w:tr w:rsidR="004B1136">
        <w:trPr>
          <w:trHeight w:val="1951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Lecciones de carácter expositivo </w:t>
            </w: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(AF1): </w:t>
            </w:r>
          </w:p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-CGI3 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-CGI1 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  <w:p w:rsidR="004B1136" w:rsidRDefault="00A13896">
            <w:pPr>
              <w:spacing w:after="1"/>
              <w:ind w:left="1"/>
            </w:pPr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1"/>
              </w:rPr>
              <w:t>100%</w:t>
            </w:r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</w:tc>
      </w:tr>
      <w:tr w:rsidR="004B1136">
        <w:trPr>
          <w:trHeight w:val="1522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color w:val="003000"/>
                <w:sz w:val="21"/>
                <w:lang w:val="es-ES"/>
              </w:rPr>
              <w:t>Ejercicios prácticos/resolución de problemas</w:t>
            </w:r>
            <w:r w:rsidRPr="008D2AE5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 (AF2)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-CGI7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-CGP12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-CGP10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>-CE19</w:t>
            </w:r>
            <w:r>
              <w:rPr>
                <w:rFonts w:ascii="Century Gothic" w:eastAsia="Century Gothic" w:hAnsi="Century Gothic" w:cs="Century Gothic"/>
                <w:sz w:val="19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35% </w:t>
            </w:r>
          </w:p>
        </w:tc>
      </w:tr>
      <w:tr w:rsidR="004B1136">
        <w:trPr>
          <w:trHeight w:val="1540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 Trabajos individuales/grupales</w:t>
            </w: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 (AF3)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-CGS19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-CGP13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-CGI1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-CE24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-CE19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-CGI7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12% </w:t>
            </w:r>
          </w:p>
        </w:tc>
      </w:tr>
      <w:tr w:rsidR="004B1136">
        <w:trPr>
          <w:trHeight w:val="1772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Exposiciones 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ab/>
              <w:t>individuales/grupales</w:t>
            </w: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 (AF4)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-CGS26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-CGP13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-CGI1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50% </w:t>
            </w:r>
          </w:p>
        </w:tc>
      </w:tr>
      <w:tr w:rsidR="004B1136">
        <w:trPr>
          <w:trHeight w:val="2061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color w:val="003000"/>
                <w:sz w:val="21"/>
                <w:lang w:val="es-ES"/>
              </w:rPr>
              <w:t>Estudio personal y documentación</w:t>
            </w:r>
            <w:r w:rsidRPr="008D2AE5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 </w:t>
            </w:r>
          </w:p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(AF5)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-CGP12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-CGI1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-CGI7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-CGP10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0% </w:t>
            </w:r>
          </w:p>
        </w:tc>
      </w:tr>
    </w:tbl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1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1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1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EVALUACIÓN Y CRITERIOS DE CALIFICACIÓN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1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3" w:type="dxa"/>
          <w:left w:w="104" w:type="dxa"/>
          <w:right w:w="56" w:type="dxa"/>
        </w:tblCellMar>
        <w:tblLook w:val="04A0" w:firstRow="1" w:lastRow="0" w:firstColumn="1" w:lastColumn="0" w:noHBand="0" w:noVBand="1"/>
      </w:tblPr>
      <w:tblGrid>
        <w:gridCol w:w="4739"/>
        <w:gridCol w:w="2699"/>
        <w:gridCol w:w="1417"/>
      </w:tblGrid>
      <w:tr w:rsidR="004B1136">
        <w:trPr>
          <w:trHeight w:val="579"/>
        </w:trPr>
        <w:tc>
          <w:tcPr>
            <w:tcW w:w="473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3"/>
              </w:rPr>
              <w:t>Actividades de evaluación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3"/>
              </w:rPr>
              <w:t>Criterios de valoración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3"/>
              </w:rPr>
              <w:t>Peso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</w:t>
            </w:r>
          </w:p>
        </w:tc>
      </w:tr>
      <w:tr w:rsidR="004B1136">
        <w:trPr>
          <w:trHeight w:val="2373"/>
        </w:trPr>
        <w:tc>
          <w:tcPr>
            <w:tcW w:w="473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lastRenderedPageBreak/>
              <w:t xml:space="preserve">SE1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Examen: </w:t>
            </w:r>
          </w:p>
          <w:p w:rsidR="00FC1D0E" w:rsidRPr="00FC1D0E" w:rsidRDefault="00FC1D0E" w:rsidP="00FC1D0E">
            <w:pPr>
              <w:spacing w:after="1" w:line="239" w:lineRule="auto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 xml:space="preserve">Prueba escrita 1-parcial 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en la que se deberá contestar a preguntas de conocimiento y comprensión.  </w:t>
            </w:r>
          </w:p>
          <w:p w:rsidR="004B1136" w:rsidRPr="00FC1D0E" w:rsidRDefault="004B1136">
            <w:pPr>
              <w:rPr>
                <w:color w:val="auto"/>
                <w:lang w:val="es-ES"/>
              </w:rPr>
            </w:pPr>
          </w:p>
          <w:p w:rsidR="004B1136" w:rsidRPr="00FC1D0E" w:rsidRDefault="00A13896">
            <w:pPr>
              <w:spacing w:after="1" w:line="239" w:lineRule="auto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 xml:space="preserve">Prueba </w:t>
            </w:r>
            <w:r w:rsidR="00FC1D0E"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>e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>scrita</w:t>
            </w:r>
            <w:r w:rsidR="00FC1D0E"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 xml:space="preserve"> 2 -final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 xml:space="preserve"> 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en la que se deberá contestar a preguntas de conocimiento y comprensión de conjunto. 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</w:tc>
        <w:tc>
          <w:tcPr>
            <w:tcW w:w="269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FC1D0E" w:rsidRDefault="00A13896">
            <w:pPr>
              <w:numPr>
                <w:ilvl w:val="0"/>
                <w:numId w:val="2"/>
              </w:numPr>
              <w:spacing w:after="1"/>
              <w:ind w:right="186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Dominio de los conocimientos. - Capacidad de relacionar conocimientos para una comprensión de conjunto. </w:t>
            </w:r>
          </w:p>
          <w:p w:rsidR="004B1136" w:rsidRPr="00FC1D0E" w:rsidRDefault="00A13896">
            <w:pPr>
              <w:numPr>
                <w:ilvl w:val="0"/>
                <w:numId w:val="2"/>
              </w:numPr>
              <w:ind w:right="186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Claridad y concisión de la exposición. 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FC1D0E" w:rsidP="00FC1D0E">
            <w:pPr>
              <w:rPr>
                <w:color w:val="auto"/>
              </w:rPr>
            </w:pPr>
            <w:r w:rsidRPr="00FC1D0E">
              <w:rPr>
                <w:color w:val="auto"/>
              </w:rPr>
              <w:t>25%</w:t>
            </w:r>
          </w:p>
          <w:p w:rsidR="00FC1D0E" w:rsidRPr="00FC1D0E" w:rsidRDefault="00FC1D0E" w:rsidP="00FC1D0E">
            <w:pPr>
              <w:rPr>
                <w:color w:val="auto"/>
              </w:rPr>
            </w:pPr>
          </w:p>
          <w:p w:rsidR="00FC1D0E" w:rsidRPr="00FC1D0E" w:rsidRDefault="00FC1D0E" w:rsidP="00FC1D0E">
            <w:pPr>
              <w:rPr>
                <w:color w:val="auto"/>
              </w:rPr>
            </w:pPr>
          </w:p>
          <w:p w:rsidR="00FC1D0E" w:rsidRPr="00FC1D0E" w:rsidRDefault="00FC1D0E" w:rsidP="00FC1D0E">
            <w:pPr>
              <w:rPr>
                <w:color w:val="auto"/>
              </w:rPr>
            </w:pPr>
          </w:p>
          <w:p w:rsidR="00FC1D0E" w:rsidRPr="00FC1D0E" w:rsidRDefault="00FC1D0E" w:rsidP="00FC1D0E">
            <w:pPr>
              <w:rPr>
                <w:color w:val="auto"/>
              </w:rPr>
            </w:pPr>
            <w:r w:rsidRPr="00FC1D0E">
              <w:rPr>
                <w:color w:val="auto"/>
              </w:rPr>
              <w:t>50%</w:t>
            </w:r>
          </w:p>
        </w:tc>
      </w:tr>
      <w:tr w:rsidR="004B1136">
        <w:trPr>
          <w:trHeight w:val="2107"/>
        </w:trPr>
        <w:tc>
          <w:tcPr>
            <w:tcW w:w="473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SE2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Evaluación de ejercicios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prácticos/resolución de problemas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FC1D0E" w:rsidRDefault="00A13896">
            <w:pPr>
              <w:ind w:right="22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-Adecuación a las pautas establecidas por el profesor.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 Claridad y concisión. -Análisis crítico de la </w:t>
            </w:r>
          </w:p>
          <w:p w:rsidR="004B1136" w:rsidRPr="00FC1D0E" w:rsidRDefault="00A13896">
            <w:pPr>
              <w:spacing w:after="1" w:line="239" w:lineRule="auto"/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información consultada.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ind w:left="2"/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10% </w:t>
            </w:r>
          </w:p>
        </w:tc>
      </w:tr>
      <w:tr w:rsidR="004B1136">
        <w:trPr>
          <w:trHeight w:val="2609"/>
        </w:trPr>
        <w:tc>
          <w:tcPr>
            <w:tcW w:w="473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SE3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Evaluación de exposiciones individuales(grupales)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-Adecuación de los contenidos al tema planteado.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 Claridad y concisión y utilidad de la exposición.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-Capacidad de síntesis -Calidad formal de la presentación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19"/>
                <w:lang w:val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ind w:left="2"/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10% </w:t>
            </w:r>
          </w:p>
        </w:tc>
      </w:tr>
      <w:tr w:rsidR="004B1136">
        <w:trPr>
          <w:trHeight w:val="3421"/>
        </w:trPr>
        <w:tc>
          <w:tcPr>
            <w:tcW w:w="473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SE5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Participación activa del alumno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</w:tc>
        <w:tc>
          <w:tcPr>
            <w:tcW w:w="269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19"/>
                <w:lang w:val="es-ES"/>
              </w:rPr>
              <w:t>-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Aportación de puntos de vista razonados a partir del estudio teórico.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-Apertura frente a otros puntos de vista y capacidad de variar su criterio inicial.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>-Capacidad para asociar conceptos y sostener puntos de vista resultado de su aprendizaje.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19"/>
                <w:lang w:val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ind w:left="2"/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5% </w:t>
            </w:r>
          </w:p>
        </w:tc>
      </w:tr>
    </w:tbl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3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sz w:val="21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sz w:val="23"/>
        </w:rPr>
        <w:t xml:space="preserve">ACLARACIONES IMPORTANTES sobre la evaluación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3"/>
        </w:rPr>
        <w:t xml:space="preserve"> </w:t>
      </w:r>
    </w:p>
    <w:p w:rsidR="004B1136" w:rsidRDefault="00A13896">
      <w:pPr>
        <w:spacing w:after="0"/>
        <w:ind w:left="1793"/>
      </w:pPr>
      <w:r>
        <w:rPr>
          <w:rFonts w:ascii="Century Gothic" w:eastAsia="Century Gothic" w:hAnsi="Century Gothic" w:cs="Century Gothic"/>
          <w:b/>
          <w:i/>
          <w:sz w:val="20"/>
          <w:u w:val="single" w:color="000000"/>
        </w:rPr>
        <w:t>Ejemplos:</w:t>
      </w:r>
      <w:r>
        <w:rPr>
          <w:rFonts w:ascii="Century Gothic" w:eastAsia="Century Gothic" w:hAnsi="Century Gothic" w:cs="Century Gothic"/>
          <w:b/>
          <w:i/>
          <w:sz w:val="20"/>
        </w:rPr>
        <w:t xml:space="preserve"> </w:t>
      </w:r>
    </w:p>
    <w:p w:rsidR="004B1136" w:rsidRPr="008D2AE5" w:rsidRDefault="00A13896">
      <w:pPr>
        <w:numPr>
          <w:ilvl w:val="0"/>
          <w:numId w:val="1"/>
        </w:numPr>
        <w:spacing w:after="33" w:line="239" w:lineRule="auto"/>
        <w:ind w:left="1777" w:right="-11" w:hanging="350"/>
        <w:jc w:val="both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El incurrir en una falta académica grave, como es el </w:t>
      </w:r>
      <w:r w:rsidRPr="008D2AE5">
        <w:rPr>
          <w:rFonts w:ascii="Century Gothic" w:eastAsia="Century Gothic" w:hAnsi="Century Gothic" w:cs="Century Gothic"/>
          <w:b/>
          <w:sz w:val="20"/>
          <w:lang w:val="es-ES"/>
        </w:rPr>
        <w:t>plagio</w:t>
      </w: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 de materiales previamente publicados o el </w:t>
      </w:r>
      <w:r w:rsidRPr="008D2AE5">
        <w:rPr>
          <w:rFonts w:ascii="Century Gothic" w:eastAsia="Century Gothic" w:hAnsi="Century Gothic" w:cs="Century Gothic"/>
          <w:b/>
          <w:sz w:val="20"/>
          <w:lang w:val="es-ES"/>
        </w:rPr>
        <w:t>copiar</w:t>
      </w: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 en su examen u otra actividad evaluada, </w:t>
      </w:r>
      <w:r w:rsidRPr="008D2AE5">
        <w:rPr>
          <w:rFonts w:ascii="Century Gothic" w:eastAsia="Century Gothic" w:hAnsi="Century Gothic" w:cs="Century Gothic"/>
          <w:b/>
          <w:sz w:val="20"/>
          <w:lang w:val="es-ES"/>
        </w:rPr>
        <w:t xml:space="preserve">puede llevar a la apertura de un expediente sancionador y la pérdida de dos convocatorias. </w:t>
      </w:r>
    </w:p>
    <w:p w:rsidR="004B1136" w:rsidRPr="002F7946" w:rsidRDefault="00A13896">
      <w:pPr>
        <w:tabs>
          <w:tab w:val="center" w:pos="1489"/>
          <w:tab w:val="center" w:pos="1793"/>
        </w:tabs>
        <w:spacing w:after="0"/>
        <w:rPr>
          <w:lang w:val="es-ES"/>
        </w:rPr>
      </w:pPr>
      <w:r w:rsidRPr="008D2AE5">
        <w:rPr>
          <w:lang w:val="es-ES"/>
        </w:rPr>
        <w:tab/>
      </w:r>
    </w:p>
    <w:p w:rsidR="004B1136" w:rsidRPr="008D2AE5" w:rsidRDefault="00A13896">
      <w:pPr>
        <w:numPr>
          <w:ilvl w:val="0"/>
          <w:numId w:val="1"/>
        </w:numPr>
        <w:spacing w:after="0" w:line="239" w:lineRule="auto"/>
        <w:ind w:left="1777" w:right="-11" w:hanging="350"/>
        <w:jc w:val="both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0"/>
          <w:lang w:val="es-ES"/>
        </w:rPr>
        <w:lastRenderedPageBreak/>
        <w:t xml:space="preserve">Para poder presentarse al examen final es requisito </w:t>
      </w:r>
      <w:r w:rsidRPr="008D2AE5">
        <w:rPr>
          <w:rFonts w:ascii="Century Gothic" w:eastAsia="Century Gothic" w:hAnsi="Century Gothic" w:cs="Century Gothic"/>
          <w:b/>
          <w:sz w:val="20"/>
          <w:lang w:val="es-ES"/>
        </w:rPr>
        <w:t>no haber faltado injustificadamente a más de un tercio de las clases</w:t>
      </w: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. De no cumplir este requisito, el alumno perderá las convocatorias ordinaria y extraordinaria (art. 93.1 del Reglamento General). La no asistencia a la primera hora de una clase doble significa haber faltado a toda la sesión, independientemente de si el alumno asista o no a la segunda hora. </w:t>
      </w:r>
    </w:p>
    <w:p w:rsidR="004B1136" w:rsidRPr="008D2AE5" w:rsidRDefault="00A13896">
      <w:pPr>
        <w:spacing w:after="18"/>
        <w:ind w:left="1793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 </w:t>
      </w:r>
    </w:p>
    <w:p w:rsidR="004B1136" w:rsidRPr="008D2AE5" w:rsidRDefault="00A13896">
      <w:pPr>
        <w:spacing w:after="0"/>
        <w:ind w:left="1793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 </w:t>
      </w:r>
    </w:p>
    <w:tbl>
      <w:tblPr>
        <w:tblStyle w:val="TableGrid"/>
        <w:tblW w:w="8854" w:type="dxa"/>
        <w:tblInd w:w="1003" w:type="dxa"/>
        <w:tblCellMar>
          <w:top w:w="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259"/>
        <w:gridCol w:w="4595"/>
      </w:tblGrid>
      <w:tr w:rsidR="004B1136" w:rsidRPr="00DD5021">
        <w:trPr>
          <w:trHeight w:val="388"/>
        </w:trPr>
        <w:tc>
          <w:tcPr>
            <w:tcW w:w="8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FFCC00"/>
          </w:tcPr>
          <w:p w:rsidR="004B1136" w:rsidRPr="008D2AE5" w:rsidRDefault="00A13896">
            <w:pPr>
              <w:jc w:val="center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3"/>
                <w:lang w:val="es-ES"/>
              </w:rPr>
              <w:t>RESUMEN HORAS DE TRABAJO DEL ALUMNO</w:t>
            </w:r>
            <w:r w:rsidRPr="008D2AE5">
              <w:rPr>
                <w:rFonts w:ascii="Century Gothic" w:eastAsia="Century Gothic" w:hAnsi="Century Gothic" w:cs="Century Gothic"/>
                <w:b/>
                <w:color w:val="003000"/>
                <w:sz w:val="23"/>
                <w:lang w:val="es-ES"/>
              </w:rPr>
              <w:t xml:space="preserve"> </w:t>
            </w:r>
          </w:p>
        </w:tc>
      </w:tr>
      <w:tr w:rsidR="004B1136">
        <w:trPr>
          <w:trHeight w:val="362"/>
        </w:trPr>
        <w:tc>
          <w:tcPr>
            <w:tcW w:w="42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4B1136" w:rsidRDefault="00A13896">
            <w:pPr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>Horas presenciales</w:t>
            </w:r>
            <w:r>
              <w:rPr>
                <w:rFonts w:ascii="Century Gothic" w:eastAsia="Century Gothic" w:hAnsi="Century Gothic" w:cs="Century Gothic"/>
                <w:sz w:val="21"/>
              </w:rPr>
              <w:t xml:space="preserve"> </w:t>
            </w:r>
          </w:p>
        </w:tc>
        <w:tc>
          <w:tcPr>
            <w:tcW w:w="4595" w:type="dxa"/>
            <w:tcBorders>
              <w:top w:val="single" w:sz="4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4B1136" w:rsidRDefault="00A13896">
            <w:pPr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>Horas no presenciales</w:t>
            </w:r>
            <w:r>
              <w:rPr>
                <w:rFonts w:ascii="Century Gothic" w:eastAsia="Century Gothic" w:hAnsi="Century Gothic" w:cs="Century Gothic"/>
                <w:sz w:val="21"/>
              </w:rPr>
              <w:t xml:space="preserve"> </w:t>
            </w:r>
          </w:p>
        </w:tc>
      </w:tr>
      <w:tr w:rsidR="004B1136">
        <w:trPr>
          <w:trHeight w:val="283"/>
        </w:trPr>
        <w:tc>
          <w:tcPr>
            <w:tcW w:w="4259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:rsidR="004B1136" w:rsidRDefault="00A13896">
            <w:pPr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30 </w:t>
            </w:r>
          </w:p>
        </w:tc>
        <w:tc>
          <w:tcPr>
            <w:tcW w:w="4595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B1136" w:rsidRDefault="00A13896">
            <w:pPr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45 </w:t>
            </w:r>
          </w:p>
        </w:tc>
      </w:tr>
    </w:tbl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3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3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BIBLIOGRAFÍA Y RECURSOS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color w:val="003000"/>
          <w:sz w:val="21"/>
        </w:rPr>
        <w:t xml:space="preserve"> </w:t>
      </w:r>
    </w:p>
    <w:tbl>
      <w:tblPr>
        <w:tblStyle w:val="TableGrid"/>
        <w:tblW w:w="8815" w:type="dxa"/>
        <w:tblInd w:w="988" w:type="dxa"/>
        <w:tblCellMar>
          <w:top w:w="2" w:type="dxa"/>
          <w:left w:w="104" w:type="dxa"/>
          <w:right w:w="111" w:type="dxa"/>
        </w:tblCellMar>
        <w:tblLook w:val="04A0" w:firstRow="1" w:lastRow="0" w:firstColumn="1" w:lastColumn="0" w:noHBand="0" w:noVBand="1"/>
      </w:tblPr>
      <w:tblGrid>
        <w:gridCol w:w="8815"/>
      </w:tblGrid>
      <w:tr w:rsidR="004B1136">
        <w:trPr>
          <w:trHeight w:val="388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pPr>
              <w:ind w:left="9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3"/>
              </w:rPr>
              <w:t>Bibliografía Básica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</w:t>
            </w:r>
          </w:p>
        </w:tc>
      </w:tr>
      <w:tr w:rsidR="004B1136">
        <w:trPr>
          <w:trHeight w:val="270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Libros de texto </w:t>
            </w:r>
          </w:p>
        </w:tc>
      </w:tr>
      <w:tr w:rsidR="004B1136">
        <w:trPr>
          <w:trHeight w:val="1389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  <w:p w:rsidR="004B1136" w:rsidRDefault="00A13896">
            <w:pPr>
              <w:ind w:right="8543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</w:p>
        </w:tc>
      </w:tr>
      <w:tr w:rsidR="004B1136">
        <w:trPr>
          <w:trHeight w:val="388"/>
        </w:trPr>
        <w:tc>
          <w:tcPr>
            <w:tcW w:w="88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pPr>
              <w:ind w:left="1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3"/>
              </w:rPr>
              <w:t xml:space="preserve">Bibliografía Complementaria 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</w:t>
            </w:r>
          </w:p>
        </w:tc>
      </w:tr>
      <w:tr w:rsidR="004B1136">
        <w:trPr>
          <w:trHeight w:val="402"/>
        </w:trPr>
        <w:tc>
          <w:tcPr>
            <w:tcW w:w="881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Monografías </w:t>
            </w:r>
          </w:p>
        </w:tc>
      </w:tr>
      <w:tr w:rsidR="004B1136">
        <w:trPr>
          <w:trHeight w:val="3016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Samuelsson-Brown, G. (2010).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 xml:space="preserve">A Practical Guide for Translators 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(5th ed.) Clevedon: </w:t>
            </w:r>
          </w:p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Multilingual Matters.  </w:t>
            </w:r>
          </w:p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Chesterman, A. (1997)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Memes of Translation: The spread of ideas in translation theory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. </w:t>
            </w:r>
          </w:p>
          <w:p w:rsidR="004B1136" w:rsidRDefault="00A13896">
            <w:pPr>
              <w:spacing w:after="106"/>
              <w:rPr>
                <w:rFonts w:ascii="Century Gothic" w:eastAsia="Century Gothic" w:hAnsi="Century Gothic" w:cs="Century Gothic"/>
                <w:sz w:val="20"/>
              </w:rPr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Amsterdam-Philadelphia: Benjamins. </w:t>
            </w:r>
          </w:p>
          <w:p w:rsidR="00425FAB" w:rsidRPr="00425FAB" w:rsidRDefault="00425FAB" w:rsidP="00425FA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25FAB">
              <w:rPr>
                <w:rFonts w:ascii="Century Gothic" w:hAnsi="Century Gothic" w:cs="Arial"/>
                <w:sz w:val="20"/>
                <w:szCs w:val="20"/>
              </w:rPr>
              <w:t xml:space="preserve">Crystal, D. (2004). </w:t>
            </w:r>
            <w:r w:rsidRPr="00425FAB">
              <w:rPr>
                <w:rFonts w:ascii="Century Gothic" w:hAnsi="Century Gothic" w:cs="Arial"/>
                <w:i/>
                <w:sz w:val="20"/>
                <w:szCs w:val="20"/>
              </w:rPr>
              <w:t>A glossary of Netspeak and Textspeak.</w:t>
            </w:r>
          </w:p>
          <w:p w:rsidR="00425FAB" w:rsidRPr="00425FAB" w:rsidRDefault="00425FAB" w:rsidP="00425FA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25FAB">
              <w:rPr>
                <w:rFonts w:ascii="Century Gothic" w:hAnsi="Century Gothic" w:cs="Arial"/>
                <w:sz w:val="20"/>
                <w:szCs w:val="20"/>
              </w:rPr>
              <w:t>Edinburgo: Edinburgh University</w:t>
            </w:r>
          </w:p>
          <w:p w:rsidR="00425FAB" w:rsidRPr="00425FAB" w:rsidRDefault="00425FAB" w:rsidP="00425FA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25FAB">
              <w:rPr>
                <w:rFonts w:ascii="Century Gothic" w:hAnsi="Century Gothic" w:cs="Arial"/>
                <w:sz w:val="20"/>
                <w:szCs w:val="20"/>
              </w:rPr>
              <w:t xml:space="preserve">Crystal, D. (2003). </w:t>
            </w:r>
            <w:r w:rsidRPr="00425FAB">
              <w:rPr>
                <w:rFonts w:ascii="Century Gothic" w:hAnsi="Century Gothic" w:cs="Arial"/>
                <w:i/>
                <w:sz w:val="20"/>
                <w:szCs w:val="20"/>
              </w:rPr>
              <w:t>The Cambridge Encyclopedia of the English Language.</w:t>
            </w:r>
            <w:r w:rsidRPr="00425FAB">
              <w:rPr>
                <w:rFonts w:ascii="Century Gothic" w:hAnsi="Century Gothic" w:cs="Arial"/>
                <w:sz w:val="20"/>
                <w:szCs w:val="20"/>
              </w:rPr>
              <w:t xml:space="preserve"> Cambridge: Cambridge University Press.</w:t>
            </w:r>
          </w:p>
          <w:p w:rsidR="004B1136" w:rsidRDefault="00A13896">
            <w:pPr>
              <w:spacing w:after="1" w:line="358" w:lineRule="auto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Munday, J. (2001).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Introducing translation studies: theories and applications</w:t>
            </w:r>
            <w:r w:rsidR="0048617E">
              <w:rPr>
                <w:rFonts w:ascii="Century Gothic" w:eastAsia="Century Gothic" w:hAnsi="Century Gothic" w:cs="Century Gothic"/>
                <w:sz w:val="20"/>
              </w:rPr>
              <w:t>.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 London and New York, Routledge. </w:t>
            </w:r>
          </w:p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Munday, J. (2009).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The Routledge Companion to Translation Studies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.  London and New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sz w:val="20"/>
              </w:rPr>
              <w:t xml:space="preserve">York: Routledge  </w:t>
            </w:r>
          </w:p>
        </w:tc>
      </w:tr>
      <w:tr w:rsidR="004B1136">
        <w:trPr>
          <w:trHeight w:val="3767"/>
        </w:trPr>
        <w:tc>
          <w:tcPr>
            <w:tcW w:w="881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spacing w:after="106"/>
            </w:pPr>
            <w:r>
              <w:rPr>
                <w:rFonts w:ascii="Century Gothic" w:eastAsia="Century Gothic" w:hAnsi="Century Gothic" w:cs="Century Gothic"/>
                <w:sz w:val="20"/>
              </w:rPr>
              <w:lastRenderedPageBreak/>
              <w:t xml:space="preserve">Newmark, P. (1991). 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About Translation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.  Clevedon: Multilingual Matters. </w:t>
            </w:r>
          </w:p>
          <w:p w:rsidR="004B1136" w:rsidRDefault="00A13896">
            <w:pPr>
              <w:spacing w:line="359" w:lineRule="auto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Nord, C. (2005).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 xml:space="preserve">Text Analysis in Translation: Theory, Methodology, and Didactic Application of a Model for Translation-Oriented Text Analysis </w:t>
            </w:r>
            <w:r>
              <w:rPr>
                <w:rFonts w:ascii="Century Gothic" w:eastAsia="Century Gothic" w:hAnsi="Century Gothic" w:cs="Century Gothic"/>
                <w:sz w:val="20"/>
              </w:rPr>
              <w:t>(2nd ed.). Amsterdam</w:t>
            </w:r>
            <w:r w:rsidR="00C05793">
              <w:rPr>
                <w:rFonts w:ascii="Century Gothic" w:eastAsia="Century Gothic" w:hAnsi="Century Gothic" w:cs="Century Gothic"/>
                <w:sz w:val="20"/>
              </w:rPr>
              <w:t>-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Atlanta GA: Rodopi. </w:t>
            </w:r>
          </w:p>
          <w:p w:rsidR="004B1136" w:rsidRDefault="00A13896">
            <w:pPr>
              <w:spacing w:after="1" w:line="358" w:lineRule="auto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Pym, A. (2004).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The Moving Text: Localization, Translation and Distribution</w:t>
            </w:r>
            <w:r>
              <w:rPr>
                <w:rFonts w:ascii="Century Gothic" w:eastAsia="Century Gothic" w:hAnsi="Century Gothic" w:cs="Century Gothic"/>
                <w:sz w:val="20"/>
              </w:rPr>
              <w:t>.  Amsterdam</w:t>
            </w:r>
            <w:r w:rsidR="00C05793">
              <w:rPr>
                <w:rFonts w:ascii="Century Gothic" w:eastAsia="Century Gothic" w:hAnsi="Century Gothic" w:cs="Century Gothic"/>
                <w:sz w:val="20"/>
              </w:rPr>
              <w:t>-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Philadelphia: Benjamins.  </w:t>
            </w:r>
          </w:p>
          <w:p w:rsidR="004B1136" w:rsidRDefault="00A13896">
            <w:pPr>
              <w:spacing w:line="360" w:lineRule="auto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Venuti, L. (1995).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The Translator’s Invisibility: A History of Translation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, London &amp; New York, Routledge. </w:t>
            </w:r>
          </w:p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</w:p>
        </w:tc>
      </w:tr>
      <w:tr w:rsidR="004B1136">
        <w:trPr>
          <w:trHeight w:val="400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Otros materiales y recursos </w:t>
            </w:r>
          </w:p>
        </w:tc>
      </w:tr>
      <w:tr w:rsidR="004B1136" w:rsidRPr="00DD5021">
        <w:trPr>
          <w:trHeight w:val="1585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spacing w:after="11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 </w:t>
            </w:r>
          </w:p>
          <w:p w:rsidR="004B1136" w:rsidRPr="008D2AE5" w:rsidRDefault="00A13896">
            <w:pPr>
              <w:spacing w:after="1" w:line="359" w:lineRule="auto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>Uso adecuado y general de una gran variedad de fuentes especializados (online y offline)</w:t>
            </w:r>
            <w:r w:rsidRPr="008D2AE5">
              <w:rPr>
                <w:rFonts w:ascii="Century Gothic" w:eastAsia="Century Gothic" w:hAnsi="Century Gothic" w:cs="Century Gothic"/>
                <w:color w:val="FFFFFF"/>
                <w:sz w:val="21"/>
                <w:lang w:val="es-ES"/>
              </w:rPr>
              <w:t xml:space="preserve"> </w:t>
            </w:r>
          </w:p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color w:val="FFFFFF"/>
                <w:sz w:val="21"/>
                <w:lang w:val="es-ES"/>
              </w:rPr>
              <w:t xml:space="preserve"> </w:t>
            </w:r>
          </w:p>
        </w:tc>
      </w:tr>
    </w:tbl>
    <w:p w:rsidR="004B1136" w:rsidRPr="008D2AE5" w:rsidRDefault="00A13896">
      <w:pPr>
        <w:spacing w:after="0"/>
        <w:ind w:left="1092"/>
        <w:jc w:val="both"/>
        <w:rPr>
          <w:lang w:val="es-ES"/>
        </w:rPr>
      </w:pPr>
      <w:r w:rsidRPr="008D2AE5">
        <w:rPr>
          <w:rFonts w:ascii="Century Gothic" w:eastAsia="Century Gothic" w:hAnsi="Century Gothic" w:cs="Century Gothic"/>
          <w:color w:val="003000"/>
          <w:sz w:val="21"/>
          <w:lang w:val="es-ES"/>
        </w:rPr>
        <w:t xml:space="preserve"> </w:t>
      </w:r>
    </w:p>
    <w:sectPr w:rsidR="004B1136" w:rsidRPr="008D2AE5">
      <w:footerReference w:type="even" r:id="rId8"/>
      <w:footerReference w:type="default" r:id="rId9"/>
      <w:footerReference w:type="first" r:id="rId10"/>
      <w:pgSz w:w="11900" w:h="16840"/>
      <w:pgMar w:top="860" w:right="1647" w:bottom="2160" w:left="563" w:header="720" w:footer="14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60D" w:rsidRDefault="0050360D">
      <w:pPr>
        <w:spacing w:after="0" w:line="240" w:lineRule="auto"/>
      </w:pPr>
      <w:r>
        <w:separator/>
      </w:r>
    </w:p>
  </w:endnote>
  <w:endnote w:type="continuationSeparator" w:id="0">
    <w:p w:rsidR="0050360D" w:rsidRDefault="00503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36" w:rsidRDefault="00A13896">
    <w:pPr>
      <w:tabs>
        <w:tab w:val="center" w:pos="1092"/>
        <w:tab w:val="right" w:pos="9691"/>
      </w:tabs>
      <w:spacing w:after="0"/>
    </w:pPr>
    <w:r>
      <w:tab/>
    </w:r>
    <w:r>
      <w:rPr>
        <w:rFonts w:ascii="Times New Roman" w:eastAsia="Times New Roman" w:hAnsi="Times New Roman" w:cs="Times New Roman"/>
        <w:sz w:val="23"/>
      </w:rPr>
      <w:t xml:space="preserve"> </w:t>
    </w:r>
    <w:r>
      <w:rPr>
        <w:rFonts w:ascii="Times New Roman" w:eastAsia="Times New Roman" w:hAnsi="Times New Roman" w:cs="Times New Roman"/>
        <w:sz w:val="23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entury Gothic" w:eastAsia="Century Gothic" w:hAnsi="Century Gothic" w:cs="Century Gothic"/>
        <w:sz w:val="23"/>
      </w:rPr>
      <w:t>1</w:t>
    </w:r>
    <w:r>
      <w:rPr>
        <w:rFonts w:ascii="Century Gothic" w:eastAsia="Century Gothic" w:hAnsi="Century Gothic" w:cs="Century Gothic"/>
        <w:sz w:val="23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36" w:rsidRDefault="00A13896">
    <w:pPr>
      <w:tabs>
        <w:tab w:val="center" w:pos="1092"/>
        <w:tab w:val="right" w:pos="9691"/>
      </w:tabs>
      <w:spacing w:after="0"/>
    </w:pPr>
    <w:r>
      <w:tab/>
    </w:r>
    <w:r>
      <w:rPr>
        <w:rFonts w:ascii="Times New Roman" w:eastAsia="Times New Roman" w:hAnsi="Times New Roman" w:cs="Times New Roman"/>
        <w:sz w:val="23"/>
      </w:rPr>
      <w:t xml:space="preserve"> </w:t>
    </w:r>
    <w:r>
      <w:rPr>
        <w:rFonts w:ascii="Times New Roman" w:eastAsia="Times New Roman" w:hAnsi="Times New Roman" w:cs="Times New Roman"/>
        <w:sz w:val="23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DD5021" w:rsidRPr="00DD5021">
      <w:rPr>
        <w:rFonts w:ascii="Century Gothic" w:eastAsia="Century Gothic" w:hAnsi="Century Gothic" w:cs="Century Gothic"/>
        <w:noProof/>
        <w:sz w:val="23"/>
      </w:rPr>
      <w:t>1</w:t>
    </w:r>
    <w:r>
      <w:rPr>
        <w:rFonts w:ascii="Century Gothic" w:eastAsia="Century Gothic" w:hAnsi="Century Gothic" w:cs="Century Gothic"/>
        <w:sz w:val="23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36" w:rsidRDefault="00A13896">
    <w:pPr>
      <w:tabs>
        <w:tab w:val="center" w:pos="1092"/>
        <w:tab w:val="right" w:pos="9691"/>
      </w:tabs>
      <w:spacing w:after="0"/>
    </w:pPr>
    <w:r>
      <w:tab/>
    </w:r>
    <w:r>
      <w:rPr>
        <w:rFonts w:ascii="Times New Roman" w:eastAsia="Times New Roman" w:hAnsi="Times New Roman" w:cs="Times New Roman"/>
        <w:sz w:val="23"/>
      </w:rPr>
      <w:t xml:space="preserve"> </w:t>
    </w:r>
    <w:r>
      <w:rPr>
        <w:rFonts w:ascii="Times New Roman" w:eastAsia="Times New Roman" w:hAnsi="Times New Roman" w:cs="Times New Roman"/>
        <w:sz w:val="23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entury Gothic" w:eastAsia="Century Gothic" w:hAnsi="Century Gothic" w:cs="Century Gothic"/>
        <w:sz w:val="23"/>
      </w:rPr>
      <w:t>1</w:t>
    </w:r>
    <w:r>
      <w:rPr>
        <w:rFonts w:ascii="Century Gothic" w:eastAsia="Century Gothic" w:hAnsi="Century Gothic" w:cs="Century Gothic"/>
        <w:sz w:val="23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60D" w:rsidRDefault="0050360D">
      <w:pPr>
        <w:spacing w:after="0" w:line="240" w:lineRule="auto"/>
      </w:pPr>
      <w:r>
        <w:separator/>
      </w:r>
    </w:p>
  </w:footnote>
  <w:footnote w:type="continuationSeparator" w:id="0">
    <w:p w:rsidR="0050360D" w:rsidRDefault="005036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12DE2"/>
    <w:multiLevelType w:val="hybridMultilevel"/>
    <w:tmpl w:val="CC2411BC"/>
    <w:lvl w:ilvl="0" w:tplc="AA4C94F0">
      <w:start w:val="1"/>
      <w:numFmt w:val="bullet"/>
      <w:lvlText w:val="•"/>
      <w:lvlJc w:val="left"/>
      <w:pPr>
        <w:ind w:left="1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5923F3E">
      <w:start w:val="1"/>
      <w:numFmt w:val="bullet"/>
      <w:lvlText w:val="o"/>
      <w:lvlJc w:val="left"/>
      <w:pPr>
        <w:ind w:left="1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320B60">
      <w:start w:val="1"/>
      <w:numFmt w:val="bullet"/>
      <w:lvlText w:val="▪"/>
      <w:lvlJc w:val="left"/>
      <w:pPr>
        <w:ind w:left="2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48F6D4">
      <w:start w:val="1"/>
      <w:numFmt w:val="bullet"/>
      <w:lvlText w:val="•"/>
      <w:lvlJc w:val="left"/>
      <w:pPr>
        <w:ind w:left="2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D66752">
      <w:start w:val="1"/>
      <w:numFmt w:val="bullet"/>
      <w:lvlText w:val="o"/>
      <w:lvlJc w:val="left"/>
      <w:pPr>
        <w:ind w:left="3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7929110">
      <w:start w:val="1"/>
      <w:numFmt w:val="bullet"/>
      <w:lvlText w:val="▪"/>
      <w:lvlJc w:val="left"/>
      <w:pPr>
        <w:ind w:left="43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A82240">
      <w:start w:val="1"/>
      <w:numFmt w:val="bullet"/>
      <w:lvlText w:val="•"/>
      <w:lvlJc w:val="left"/>
      <w:pPr>
        <w:ind w:left="5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8C3894">
      <w:start w:val="1"/>
      <w:numFmt w:val="bullet"/>
      <w:lvlText w:val="o"/>
      <w:lvlJc w:val="left"/>
      <w:pPr>
        <w:ind w:left="57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3A6DF0">
      <w:start w:val="1"/>
      <w:numFmt w:val="bullet"/>
      <w:lvlText w:val="▪"/>
      <w:lvlJc w:val="left"/>
      <w:pPr>
        <w:ind w:left="6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F12FE2"/>
    <w:multiLevelType w:val="hybridMultilevel"/>
    <w:tmpl w:val="54944450"/>
    <w:lvl w:ilvl="0" w:tplc="45789BFA">
      <w:start w:val="1"/>
      <w:numFmt w:val="bullet"/>
      <w:lvlText w:val="-"/>
      <w:lvlJc w:val="left"/>
      <w:pPr>
        <w:ind w:left="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B18BAB2">
      <w:start w:val="1"/>
      <w:numFmt w:val="bullet"/>
      <w:lvlText w:val="o"/>
      <w:lvlJc w:val="left"/>
      <w:pPr>
        <w:ind w:left="118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D7E7BE8">
      <w:start w:val="1"/>
      <w:numFmt w:val="bullet"/>
      <w:lvlText w:val="▪"/>
      <w:lvlJc w:val="left"/>
      <w:pPr>
        <w:ind w:left="190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F3EB162">
      <w:start w:val="1"/>
      <w:numFmt w:val="bullet"/>
      <w:lvlText w:val="•"/>
      <w:lvlJc w:val="left"/>
      <w:pPr>
        <w:ind w:left="262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784BC0">
      <w:start w:val="1"/>
      <w:numFmt w:val="bullet"/>
      <w:lvlText w:val="o"/>
      <w:lvlJc w:val="left"/>
      <w:pPr>
        <w:ind w:left="334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B04AE90">
      <w:start w:val="1"/>
      <w:numFmt w:val="bullet"/>
      <w:lvlText w:val="▪"/>
      <w:lvlJc w:val="left"/>
      <w:pPr>
        <w:ind w:left="406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4D6575E">
      <w:start w:val="1"/>
      <w:numFmt w:val="bullet"/>
      <w:lvlText w:val="•"/>
      <w:lvlJc w:val="left"/>
      <w:pPr>
        <w:ind w:left="478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D583BDE">
      <w:start w:val="1"/>
      <w:numFmt w:val="bullet"/>
      <w:lvlText w:val="o"/>
      <w:lvlJc w:val="left"/>
      <w:pPr>
        <w:ind w:left="550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41E44AC">
      <w:start w:val="1"/>
      <w:numFmt w:val="bullet"/>
      <w:lvlText w:val="▪"/>
      <w:lvlJc w:val="left"/>
      <w:pPr>
        <w:ind w:left="622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36"/>
    <w:rsid w:val="000D18F0"/>
    <w:rsid w:val="0022093E"/>
    <w:rsid w:val="002F7946"/>
    <w:rsid w:val="00425FAB"/>
    <w:rsid w:val="0048617E"/>
    <w:rsid w:val="004B1136"/>
    <w:rsid w:val="0050360D"/>
    <w:rsid w:val="00610BDA"/>
    <w:rsid w:val="00796655"/>
    <w:rsid w:val="00872890"/>
    <w:rsid w:val="008D2AE5"/>
    <w:rsid w:val="00A13896"/>
    <w:rsid w:val="00B10926"/>
    <w:rsid w:val="00BB01F8"/>
    <w:rsid w:val="00BF729B"/>
    <w:rsid w:val="00C05793"/>
    <w:rsid w:val="00DD5021"/>
    <w:rsid w:val="00FC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CE87CE-15C3-4AAD-BC46-8B924591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102" w:hanging="10"/>
      <w:outlineLvl w:val="0"/>
    </w:pPr>
    <w:rPr>
      <w:rFonts w:ascii="Century Gothic" w:eastAsia="Century Gothic" w:hAnsi="Century Gothic" w:cs="Century Gothic"/>
      <w:b/>
      <w:color w:val="003000"/>
      <w:sz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entury Gothic" w:eastAsia="Century Gothic" w:hAnsi="Century Gothic" w:cs="Century Gothic"/>
      <w:b/>
      <w:color w:val="003000"/>
      <w:sz w:val="2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1278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Guía docente 2015-16 - plantilla Grado TI - Grado RRIILenguaAplicadaInglés</vt:lpstr>
    </vt:vector>
  </TitlesOfParts>
  <Company/>
  <LinksUpToDate>false</LinksUpToDate>
  <CharactersWithSpaces>8296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Guía docente 2015-16 - plantilla Grado TI - Grado RRIILenguaAplicadaInglés</dc:title>
  <dc:subject/>
  <dc:creator>scadera</dc:creator>
  <cp:keywords/>
  <cp:lastModifiedBy>Dolores Rodríguez Melchor</cp:lastModifiedBy>
  <cp:revision>2</cp:revision>
  <dcterms:created xsi:type="dcterms:W3CDTF">2018-02-07T09:50:00Z</dcterms:created>
  <dcterms:modified xsi:type="dcterms:W3CDTF">2018-02-07T09:50:00Z</dcterms:modified>
</cp:coreProperties>
</file>