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A5B" w:rsidRPr="005C3EF8" w:rsidRDefault="00262A5B" w:rsidP="00227C90">
      <w:pPr>
        <w:spacing w:after="120" w:line="360" w:lineRule="auto"/>
        <w:jc w:val="center"/>
        <w:rPr>
          <w:rFonts w:ascii="Times New Roman" w:hAnsi="Times New Roman" w:cs="Times New Roman"/>
          <w:b/>
          <w:sz w:val="24"/>
          <w:szCs w:val="24"/>
        </w:rPr>
      </w:pPr>
      <w:r w:rsidRPr="005C3EF8">
        <w:rPr>
          <w:rFonts w:ascii="Times New Roman" w:hAnsi="Times New Roman" w:cs="Times New Roman"/>
          <w:b/>
          <w:sz w:val="24"/>
          <w:szCs w:val="24"/>
        </w:rPr>
        <w:t xml:space="preserve">Management Plan 2017 DG Competition: </w:t>
      </w:r>
    </w:p>
    <w:p w:rsidR="00262A5B" w:rsidRPr="005C3EF8" w:rsidRDefault="00262A5B" w:rsidP="00262A5B">
      <w:pPr>
        <w:spacing w:after="120" w:line="360" w:lineRule="auto"/>
        <w:jc w:val="center"/>
        <w:rPr>
          <w:rFonts w:ascii="Times New Roman" w:hAnsi="Times New Roman" w:cs="Times New Roman"/>
          <w:b/>
          <w:sz w:val="24"/>
          <w:szCs w:val="24"/>
        </w:rPr>
      </w:pPr>
      <w:r w:rsidRPr="005C3EF8">
        <w:rPr>
          <w:rFonts w:ascii="Times New Roman" w:hAnsi="Times New Roman" w:cs="Times New Roman"/>
          <w:b/>
          <w:sz w:val="24"/>
          <w:szCs w:val="24"/>
        </w:rPr>
        <w:t>P</w:t>
      </w:r>
      <w:r w:rsidR="003A31F8" w:rsidRPr="005C3EF8">
        <w:rPr>
          <w:rFonts w:ascii="Times New Roman" w:hAnsi="Times New Roman" w:cs="Times New Roman"/>
          <w:b/>
          <w:sz w:val="24"/>
          <w:szCs w:val="24"/>
        </w:rPr>
        <w:t xml:space="preserve">rácticas potencialmente </w:t>
      </w:r>
      <w:r w:rsidR="00722D8A" w:rsidRPr="005C3EF8">
        <w:rPr>
          <w:rFonts w:ascii="Times New Roman" w:hAnsi="Times New Roman" w:cs="Times New Roman"/>
          <w:b/>
          <w:sz w:val="24"/>
          <w:szCs w:val="24"/>
        </w:rPr>
        <w:t xml:space="preserve">anticompetitivas en </w:t>
      </w:r>
      <w:r w:rsidRPr="005C3EF8">
        <w:rPr>
          <w:rFonts w:ascii="Times New Roman" w:hAnsi="Times New Roman" w:cs="Times New Roman"/>
          <w:b/>
          <w:sz w:val="24"/>
          <w:szCs w:val="24"/>
        </w:rPr>
        <w:t xml:space="preserve">el </w:t>
      </w:r>
    </w:p>
    <w:p w:rsidR="001D1865" w:rsidRPr="005C3EF8" w:rsidRDefault="00262A5B" w:rsidP="00262A5B">
      <w:pPr>
        <w:spacing w:after="120" w:line="360" w:lineRule="auto"/>
        <w:jc w:val="center"/>
        <w:rPr>
          <w:rFonts w:ascii="Times New Roman" w:hAnsi="Times New Roman" w:cs="Times New Roman"/>
          <w:b/>
          <w:sz w:val="24"/>
          <w:szCs w:val="24"/>
        </w:rPr>
      </w:pPr>
      <w:r w:rsidRPr="005C3EF8">
        <w:rPr>
          <w:rFonts w:ascii="Times New Roman" w:hAnsi="Times New Roman" w:cs="Times New Roman"/>
          <w:b/>
          <w:sz w:val="24"/>
          <w:szCs w:val="24"/>
        </w:rPr>
        <w:t>mercado de financiación sindicada</w:t>
      </w:r>
    </w:p>
    <w:p w:rsidR="00722D8A" w:rsidRPr="005C3EF8" w:rsidRDefault="00722D8A" w:rsidP="00227C90">
      <w:pPr>
        <w:spacing w:after="120" w:line="360" w:lineRule="auto"/>
        <w:jc w:val="both"/>
        <w:rPr>
          <w:rFonts w:ascii="Times New Roman" w:hAnsi="Times New Roman" w:cs="Times New Roman"/>
          <w:sz w:val="24"/>
          <w:szCs w:val="24"/>
        </w:rPr>
      </w:pPr>
    </w:p>
    <w:p w:rsidR="00A76FBA" w:rsidRPr="005C3EF8" w:rsidRDefault="00A76FBA" w:rsidP="00227C90">
      <w:pPr>
        <w:spacing w:after="120" w:line="360" w:lineRule="auto"/>
        <w:jc w:val="center"/>
        <w:rPr>
          <w:rFonts w:ascii="Times New Roman" w:hAnsi="Times New Roman" w:cs="Times New Roman"/>
          <w:sz w:val="24"/>
          <w:szCs w:val="24"/>
        </w:rPr>
      </w:pPr>
      <w:r w:rsidRPr="005C3EF8">
        <w:rPr>
          <w:rFonts w:ascii="Times New Roman" w:hAnsi="Times New Roman" w:cs="Times New Roman"/>
          <w:sz w:val="24"/>
          <w:szCs w:val="24"/>
        </w:rPr>
        <w:t xml:space="preserve">Bruno </w:t>
      </w:r>
      <w:r w:rsidR="00AF14B0" w:rsidRPr="005C3EF8">
        <w:rPr>
          <w:rFonts w:ascii="Times New Roman" w:hAnsi="Times New Roman" w:cs="Times New Roman"/>
          <w:sz w:val="24"/>
          <w:szCs w:val="24"/>
        </w:rPr>
        <w:t xml:space="preserve">W. </w:t>
      </w:r>
      <w:r w:rsidRPr="005C3EF8">
        <w:rPr>
          <w:rFonts w:ascii="Times New Roman" w:hAnsi="Times New Roman" w:cs="Times New Roman"/>
          <w:sz w:val="24"/>
          <w:szCs w:val="24"/>
        </w:rPr>
        <w:t>Martín Baumeister</w:t>
      </w:r>
    </w:p>
    <w:p w:rsidR="00262A5B" w:rsidRPr="005C3EF8" w:rsidRDefault="00262A5B" w:rsidP="00227C90">
      <w:pPr>
        <w:spacing w:after="120" w:line="360" w:lineRule="auto"/>
        <w:jc w:val="center"/>
        <w:rPr>
          <w:rFonts w:ascii="Times New Roman" w:hAnsi="Times New Roman" w:cs="Times New Roman"/>
          <w:sz w:val="24"/>
          <w:szCs w:val="24"/>
        </w:rPr>
      </w:pPr>
    </w:p>
    <w:p w:rsidR="001D1865" w:rsidRPr="005C3EF8" w:rsidRDefault="001D1865" w:rsidP="00227C90">
      <w:pPr>
        <w:spacing w:after="120" w:line="360" w:lineRule="auto"/>
        <w:jc w:val="center"/>
        <w:rPr>
          <w:rFonts w:ascii="Times New Roman" w:hAnsi="Times New Roman" w:cs="Times New Roman"/>
          <w:i/>
          <w:sz w:val="24"/>
          <w:szCs w:val="24"/>
        </w:rPr>
      </w:pPr>
      <w:r w:rsidRPr="005C3EF8">
        <w:rPr>
          <w:rFonts w:ascii="Times New Roman" w:hAnsi="Times New Roman" w:cs="Times New Roman"/>
          <w:i/>
          <w:sz w:val="24"/>
          <w:szCs w:val="24"/>
        </w:rPr>
        <w:t xml:space="preserve">Profesor </w:t>
      </w:r>
      <w:r w:rsidR="00930E98" w:rsidRPr="005C3EF8">
        <w:rPr>
          <w:rFonts w:ascii="Times New Roman" w:hAnsi="Times New Roman" w:cs="Times New Roman"/>
          <w:i/>
          <w:sz w:val="24"/>
          <w:szCs w:val="24"/>
        </w:rPr>
        <w:t xml:space="preserve">Propio </w:t>
      </w:r>
      <w:r w:rsidRPr="005C3EF8">
        <w:rPr>
          <w:rFonts w:ascii="Times New Roman" w:hAnsi="Times New Roman" w:cs="Times New Roman"/>
          <w:i/>
          <w:sz w:val="24"/>
          <w:szCs w:val="24"/>
        </w:rPr>
        <w:t>Adjunto de Derecho Mercantil</w:t>
      </w:r>
    </w:p>
    <w:p w:rsidR="003A31F8" w:rsidRPr="005C3EF8" w:rsidRDefault="001D1865" w:rsidP="00227C90">
      <w:pPr>
        <w:spacing w:after="120" w:line="360" w:lineRule="auto"/>
        <w:jc w:val="center"/>
        <w:rPr>
          <w:rFonts w:ascii="Times New Roman" w:hAnsi="Times New Roman" w:cs="Times New Roman"/>
          <w:i/>
          <w:sz w:val="24"/>
          <w:szCs w:val="24"/>
        </w:rPr>
      </w:pPr>
      <w:r w:rsidRPr="005C3EF8">
        <w:rPr>
          <w:rFonts w:ascii="Times New Roman" w:hAnsi="Times New Roman" w:cs="Times New Roman"/>
          <w:i/>
          <w:sz w:val="24"/>
          <w:szCs w:val="24"/>
        </w:rPr>
        <w:t xml:space="preserve">Universidad Pontificia Comillas ICAI-ICADE </w:t>
      </w:r>
    </w:p>
    <w:p w:rsidR="001D1865" w:rsidRPr="005C3EF8" w:rsidRDefault="003A31F8" w:rsidP="00227C90">
      <w:pPr>
        <w:spacing w:after="120" w:line="360" w:lineRule="auto"/>
        <w:jc w:val="center"/>
        <w:rPr>
          <w:rFonts w:ascii="Times New Roman" w:hAnsi="Times New Roman" w:cs="Times New Roman"/>
          <w:i/>
          <w:sz w:val="24"/>
          <w:szCs w:val="24"/>
        </w:rPr>
      </w:pPr>
      <w:r w:rsidRPr="005C3EF8">
        <w:rPr>
          <w:rFonts w:ascii="Times New Roman" w:hAnsi="Times New Roman" w:cs="Times New Roman"/>
          <w:i/>
          <w:sz w:val="24"/>
          <w:szCs w:val="24"/>
        </w:rPr>
        <w:t>c/ Alberto Aguilera 23, 28105 Madrid</w:t>
      </w:r>
    </w:p>
    <w:p w:rsidR="003A31F8" w:rsidRPr="005C3EF8" w:rsidRDefault="00ED7CA9" w:rsidP="00227C90">
      <w:pPr>
        <w:spacing w:after="120" w:line="360" w:lineRule="auto"/>
        <w:jc w:val="center"/>
        <w:rPr>
          <w:rFonts w:ascii="Times New Roman" w:hAnsi="Times New Roman" w:cs="Times New Roman"/>
          <w:i/>
          <w:sz w:val="24"/>
          <w:szCs w:val="24"/>
        </w:rPr>
      </w:pPr>
      <w:hyperlink r:id="rId8" w:history="1">
        <w:r w:rsidR="003A31F8" w:rsidRPr="005C3EF8">
          <w:rPr>
            <w:rStyle w:val="Hipervnculo"/>
            <w:rFonts w:ascii="Times New Roman" w:hAnsi="Times New Roman" w:cs="Times New Roman"/>
            <w:i/>
            <w:sz w:val="24"/>
            <w:szCs w:val="24"/>
          </w:rPr>
          <w:t>bruno.martin@comillas.edu</w:t>
        </w:r>
      </w:hyperlink>
      <w:r w:rsidR="003A31F8" w:rsidRPr="005C3EF8">
        <w:rPr>
          <w:rFonts w:ascii="Times New Roman" w:hAnsi="Times New Roman" w:cs="Times New Roman"/>
          <w:i/>
          <w:sz w:val="24"/>
          <w:szCs w:val="24"/>
        </w:rPr>
        <w:t xml:space="preserve"> </w:t>
      </w:r>
    </w:p>
    <w:p w:rsidR="006772CC" w:rsidRPr="005C3EF8" w:rsidRDefault="006772CC" w:rsidP="00227C90">
      <w:pPr>
        <w:spacing w:after="120" w:line="360" w:lineRule="auto"/>
        <w:jc w:val="both"/>
        <w:rPr>
          <w:rFonts w:ascii="Times New Roman" w:hAnsi="Times New Roman" w:cs="Times New Roman"/>
          <w:b/>
          <w:sz w:val="24"/>
          <w:szCs w:val="24"/>
        </w:rPr>
      </w:pPr>
    </w:p>
    <w:p w:rsidR="0005175F" w:rsidRPr="005C3EF8" w:rsidRDefault="0005175F" w:rsidP="00227C90">
      <w:pPr>
        <w:spacing w:after="120" w:line="360" w:lineRule="auto"/>
        <w:ind w:left="567" w:right="567"/>
        <w:jc w:val="both"/>
        <w:rPr>
          <w:rFonts w:ascii="Times New Roman" w:hAnsi="Times New Roman" w:cs="Times New Roman"/>
          <w:b/>
          <w:sz w:val="24"/>
          <w:szCs w:val="24"/>
        </w:rPr>
      </w:pPr>
      <w:r w:rsidRPr="005C3EF8">
        <w:rPr>
          <w:rFonts w:ascii="Times New Roman" w:hAnsi="Times New Roman" w:cs="Times New Roman"/>
          <w:b/>
          <w:sz w:val="24"/>
          <w:szCs w:val="24"/>
        </w:rPr>
        <w:t>Resumen:</w:t>
      </w:r>
      <w:r w:rsidRPr="005C3EF8">
        <w:rPr>
          <w:rFonts w:ascii="Times New Roman" w:hAnsi="Times New Roman" w:cs="Times New Roman"/>
          <w:sz w:val="24"/>
          <w:szCs w:val="24"/>
        </w:rPr>
        <w:t xml:space="preserve"> Este trabajo analiza los motivos a los que obedece el interés reciente de las autoridades de competencia europeas en examinar la naturaleza potencialmente anticompetitiva de ciertas prácticas asociadas a la financiación sindicada. El proceso de sindicación en el mercado primario conlleva riesgos anticompetitivos en la medida en que exige algún grado de concertación entre partes financieras competidoras. La cuestión clave es si la formación de un sindicato y el inevitable intercambio de información comercial entre acreedores que comporta pueden dar lugar a una conducta colusoria. En caso de que las autoridades de competencia logren acreditar la existencia de posiciones de dominio en ciertos mercados relevantes, tampoco se puede descartar que algunas prácticas (pre)contractuales propias de la financiación sindicada resulten abusivas. </w:t>
      </w:r>
    </w:p>
    <w:p w:rsidR="00F83681" w:rsidRPr="005C3EF8" w:rsidRDefault="0005175F" w:rsidP="00227C90">
      <w:pPr>
        <w:spacing w:after="120" w:line="360" w:lineRule="auto"/>
        <w:ind w:left="567" w:right="567"/>
        <w:jc w:val="both"/>
        <w:rPr>
          <w:rFonts w:ascii="Times New Roman" w:hAnsi="Times New Roman" w:cs="Times New Roman"/>
          <w:b/>
          <w:sz w:val="24"/>
          <w:szCs w:val="24"/>
          <w:lang w:val="en-US"/>
        </w:rPr>
      </w:pPr>
      <w:r w:rsidRPr="005C3EF8">
        <w:rPr>
          <w:rFonts w:ascii="Times New Roman" w:hAnsi="Times New Roman" w:cs="Times New Roman"/>
          <w:b/>
          <w:sz w:val="24"/>
          <w:szCs w:val="24"/>
          <w:lang w:val="en-US"/>
        </w:rPr>
        <w:t xml:space="preserve">Abstract: </w:t>
      </w:r>
      <w:r w:rsidRPr="005C3EF8">
        <w:rPr>
          <w:rFonts w:ascii="Times New Roman" w:hAnsi="Times New Roman" w:cs="Times New Roman"/>
          <w:sz w:val="24"/>
          <w:szCs w:val="24"/>
          <w:lang w:val="en-US"/>
        </w:rPr>
        <w:t>This paper addresses the underlying reasons for the interest recently shown by EU competition authorities in analyzing potential competition issues related to syndicated lending. Syndication carries inherent competition law risk as it requires at least some degree of cooperation between competitors. The key competition law concern is that syndication and the unavoidable exchange of competitively sensitive information it requires between lenders may lead to potentially anti-competitive co-</w:t>
      </w:r>
      <w:r w:rsidRPr="005C3EF8">
        <w:rPr>
          <w:rFonts w:ascii="Times New Roman" w:hAnsi="Times New Roman" w:cs="Times New Roman"/>
          <w:sz w:val="24"/>
          <w:szCs w:val="24"/>
          <w:lang w:val="en-US"/>
        </w:rPr>
        <w:lastRenderedPageBreak/>
        <w:t>ordination. In addition, if EU competition authorities were able to prove the existence of dominant positions in certain relevant markets, it cannot be ruled out that at least some (pre)contractual practices of syndicated financing may be found to be abusive.</w:t>
      </w:r>
      <w:r w:rsidR="008F50E0" w:rsidRPr="005C3EF8">
        <w:rPr>
          <w:rFonts w:ascii="Times New Roman" w:hAnsi="Times New Roman" w:cs="Times New Roman"/>
          <w:sz w:val="24"/>
          <w:szCs w:val="24"/>
          <w:lang w:val="en-US"/>
        </w:rPr>
        <w:t xml:space="preserve"> </w:t>
      </w:r>
    </w:p>
    <w:p w:rsidR="00F83681" w:rsidRPr="005C3EF8" w:rsidRDefault="00F83681" w:rsidP="00227C90">
      <w:pPr>
        <w:spacing w:after="120" w:line="360" w:lineRule="auto"/>
        <w:ind w:left="567" w:right="567"/>
        <w:jc w:val="both"/>
        <w:rPr>
          <w:rFonts w:ascii="Times New Roman" w:hAnsi="Times New Roman" w:cs="Times New Roman"/>
          <w:sz w:val="24"/>
          <w:szCs w:val="24"/>
        </w:rPr>
      </w:pPr>
      <w:r w:rsidRPr="005C3EF8">
        <w:rPr>
          <w:rFonts w:ascii="Times New Roman" w:hAnsi="Times New Roman" w:cs="Times New Roman"/>
          <w:b/>
          <w:sz w:val="24"/>
          <w:szCs w:val="24"/>
        </w:rPr>
        <w:t>Palabras clave:</w:t>
      </w:r>
      <w:r w:rsidR="005F2B8F" w:rsidRPr="005C3EF8">
        <w:rPr>
          <w:rFonts w:ascii="Times New Roman" w:hAnsi="Times New Roman" w:cs="Times New Roman"/>
          <w:b/>
          <w:sz w:val="24"/>
          <w:szCs w:val="24"/>
        </w:rPr>
        <w:t xml:space="preserve"> </w:t>
      </w:r>
      <w:r w:rsidR="005F2B8F" w:rsidRPr="005C3EF8">
        <w:rPr>
          <w:rFonts w:ascii="Times New Roman" w:hAnsi="Times New Roman" w:cs="Times New Roman"/>
          <w:sz w:val="24"/>
          <w:szCs w:val="24"/>
        </w:rPr>
        <w:t>créditos sindicados; fijación de precios; reparto de mercados; intercambio de información; facilitador de acuerdo colusorio.</w:t>
      </w:r>
    </w:p>
    <w:p w:rsidR="00F83681" w:rsidRPr="005C3EF8" w:rsidRDefault="00F83681" w:rsidP="00227C90">
      <w:pPr>
        <w:spacing w:after="120" w:line="360" w:lineRule="auto"/>
        <w:ind w:left="567" w:right="567"/>
        <w:jc w:val="both"/>
        <w:rPr>
          <w:rFonts w:ascii="Times New Roman" w:hAnsi="Times New Roman" w:cs="Times New Roman"/>
          <w:sz w:val="24"/>
          <w:szCs w:val="24"/>
          <w:lang w:val="en-US"/>
        </w:rPr>
      </w:pPr>
      <w:r w:rsidRPr="005C3EF8">
        <w:rPr>
          <w:rFonts w:ascii="Times New Roman" w:hAnsi="Times New Roman" w:cs="Times New Roman"/>
          <w:b/>
          <w:sz w:val="24"/>
          <w:szCs w:val="24"/>
          <w:lang w:val="en-US"/>
        </w:rPr>
        <w:t xml:space="preserve">Keywords: </w:t>
      </w:r>
      <w:r w:rsidR="005F2B8F" w:rsidRPr="005C3EF8">
        <w:rPr>
          <w:rFonts w:ascii="Times New Roman" w:hAnsi="Times New Roman" w:cs="Times New Roman"/>
          <w:sz w:val="24"/>
          <w:szCs w:val="24"/>
          <w:lang w:val="en-US"/>
        </w:rPr>
        <w:t>syndicated loans; price fixing; market p</w:t>
      </w:r>
      <w:r w:rsidR="00F731FF" w:rsidRPr="005C3EF8">
        <w:rPr>
          <w:rFonts w:ascii="Times New Roman" w:hAnsi="Times New Roman" w:cs="Times New Roman"/>
          <w:sz w:val="24"/>
          <w:szCs w:val="24"/>
          <w:lang w:val="en-US"/>
        </w:rPr>
        <w:t>a</w:t>
      </w:r>
      <w:r w:rsidR="005F2B8F" w:rsidRPr="005C3EF8">
        <w:rPr>
          <w:rFonts w:ascii="Times New Roman" w:hAnsi="Times New Roman" w:cs="Times New Roman"/>
          <w:sz w:val="24"/>
          <w:szCs w:val="24"/>
          <w:lang w:val="en-US"/>
        </w:rPr>
        <w:t>r</w:t>
      </w:r>
      <w:r w:rsidR="00F731FF" w:rsidRPr="005C3EF8">
        <w:rPr>
          <w:rFonts w:ascii="Times New Roman" w:hAnsi="Times New Roman" w:cs="Times New Roman"/>
          <w:sz w:val="24"/>
          <w:szCs w:val="24"/>
          <w:lang w:val="en-US"/>
        </w:rPr>
        <w:t>ti</w:t>
      </w:r>
      <w:r w:rsidR="005F2B8F" w:rsidRPr="005C3EF8">
        <w:rPr>
          <w:rFonts w:ascii="Times New Roman" w:hAnsi="Times New Roman" w:cs="Times New Roman"/>
          <w:sz w:val="24"/>
          <w:szCs w:val="24"/>
          <w:lang w:val="en-US"/>
        </w:rPr>
        <w:t>tioning; exchange of information; cartel facilitator.</w:t>
      </w:r>
    </w:p>
    <w:p w:rsidR="00AB1D1C" w:rsidRPr="005C3EF8" w:rsidRDefault="00AB1D1C" w:rsidP="00227C90">
      <w:pPr>
        <w:pStyle w:val="Prrafodelista"/>
        <w:spacing w:after="120" w:line="360" w:lineRule="auto"/>
        <w:rPr>
          <w:rFonts w:ascii="Times New Roman" w:hAnsi="Times New Roman" w:cs="Times New Roman"/>
          <w:b/>
          <w:sz w:val="24"/>
          <w:szCs w:val="24"/>
        </w:rPr>
      </w:pPr>
    </w:p>
    <w:p w:rsidR="001C00F2" w:rsidRPr="005C3EF8" w:rsidRDefault="009D2893" w:rsidP="00227C90">
      <w:pPr>
        <w:spacing w:after="120" w:line="360" w:lineRule="auto"/>
        <w:jc w:val="both"/>
        <w:rPr>
          <w:rFonts w:ascii="Times New Roman" w:hAnsi="Times New Roman" w:cs="Times New Roman"/>
          <w:sz w:val="24"/>
          <w:szCs w:val="24"/>
        </w:rPr>
      </w:pPr>
      <w:r w:rsidRPr="005C3EF8">
        <w:rPr>
          <w:rFonts w:ascii="Times New Roman" w:hAnsi="Times New Roman" w:cs="Times New Roman"/>
          <w:sz w:val="24"/>
          <w:szCs w:val="24"/>
        </w:rPr>
        <w:t>E</w:t>
      </w:r>
      <w:r w:rsidR="00C81292" w:rsidRPr="005C3EF8">
        <w:rPr>
          <w:rFonts w:ascii="Times New Roman" w:hAnsi="Times New Roman" w:cs="Times New Roman"/>
          <w:sz w:val="24"/>
          <w:szCs w:val="24"/>
        </w:rPr>
        <w:t xml:space="preserve">n su </w:t>
      </w:r>
      <w:r w:rsidR="004C6D36" w:rsidRPr="005C3EF8">
        <w:rPr>
          <w:rFonts w:ascii="Times New Roman" w:hAnsi="Times New Roman" w:cs="Times New Roman"/>
          <w:sz w:val="24"/>
          <w:szCs w:val="24"/>
        </w:rPr>
        <w:t>“</w:t>
      </w:r>
      <w:r w:rsidR="00C81292" w:rsidRPr="005C3EF8">
        <w:rPr>
          <w:rFonts w:ascii="Times New Roman" w:hAnsi="Times New Roman" w:cs="Times New Roman"/>
          <w:sz w:val="24"/>
          <w:szCs w:val="24"/>
        </w:rPr>
        <w:t>Management Plan</w:t>
      </w:r>
      <w:r w:rsidR="004C6D36" w:rsidRPr="005C3EF8">
        <w:rPr>
          <w:rFonts w:ascii="Times New Roman" w:hAnsi="Times New Roman" w:cs="Times New Roman"/>
          <w:sz w:val="24"/>
          <w:szCs w:val="24"/>
        </w:rPr>
        <w:t>”</w:t>
      </w:r>
      <w:r w:rsidR="00C81292" w:rsidRPr="005C3EF8">
        <w:rPr>
          <w:rFonts w:ascii="Times New Roman" w:hAnsi="Times New Roman" w:cs="Times New Roman"/>
          <w:sz w:val="24"/>
          <w:szCs w:val="24"/>
        </w:rPr>
        <w:t xml:space="preserve"> publicado el 15 de febrero de 2017,  </w:t>
      </w:r>
      <w:r w:rsidRPr="005C3EF8">
        <w:rPr>
          <w:rFonts w:ascii="Times New Roman" w:hAnsi="Times New Roman" w:cs="Times New Roman"/>
          <w:sz w:val="24"/>
          <w:szCs w:val="24"/>
        </w:rPr>
        <w:t xml:space="preserve">la </w:t>
      </w:r>
      <w:r w:rsidR="00C81292" w:rsidRPr="005C3EF8">
        <w:rPr>
          <w:rFonts w:ascii="Times New Roman" w:hAnsi="Times New Roman" w:cs="Times New Roman"/>
          <w:sz w:val="24"/>
          <w:szCs w:val="24"/>
        </w:rPr>
        <w:t xml:space="preserve">Dirección General de Competencia de la </w:t>
      </w:r>
      <w:r w:rsidRPr="005C3EF8">
        <w:rPr>
          <w:rFonts w:ascii="Times New Roman" w:hAnsi="Times New Roman" w:cs="Times New Roman"/>
          <w:sz w:val="24"/>
          <w:szCs w:val="24"/>
        </w:rPr>
        <w:t xml:space="preserve">Comisión Europea </w:t>
      </w:r>
      <w:r w:rsidR="00C81292" w:rsidRPr="005C3EF8">
        <w:rPr>
          <w:rFonts w:ascii="Times New Roman" w:hAnsi="Times New Roman" w:cs="Times New Roman"/>
          <w:sz w:val="24"/>
          <w:szCs w:val="24"/>
        </w:rPr>
        <w:t>sitúa entre sus prioridades de investigación los aspectos de competencia relacionados con</w:t>
      </w:r>
      <w:r w:rsidR="005F2B8F" w:rsidRPr="005C3EF8">
        <w:rPr>
          <w:rFonts w:ascii="Times New Roman" w:hAnsi="Times New Roman" w:cs="Times New Roman"/>
          <w:sz w:val="24"/>
          <w:szCs w:val="24"/>
        </w:rPr>
        <w:t xml:space="preserve"> </w:t>
      </w:r>
      <w:r w:rsidR="002046F3" w:rsidRPr="005C3EF8">
        <w:rPr>
          <w:rFonts w:ascii="Times New Roman" w:hAnsi="Times New Roman" w:cs="Times New Roman"/>
          <w:sz w:val="24"/>
          <w:szCs w:val="24"/>
        </w:rPr>
        <w:t xml:space="preserve">la negociación y conclusión de </w:t>
      </w:r>
      <w:r w:rsidRPr="005C3EF8">
        <w:rPr>
          <w:rFonts w:ascii="Times New Roman" w:hAnsi="Times New Roman" w:cs="Times New Roman"/>
          <w:sz w:val="24"/>
          <w:szCs w:val="24"/>
        </w:rPr>
        <w:t>contratos de financiación sindicada</w:t>
      </w:r>
      <w:r w:rsidR="00533822" w:rsidRPr="005C3EF8">
        <w:rPr>
          <w:rStyle w:val="Refdenotaalpie"/>
          <w:rFonts w:ascii="Times New Roman" w:hAnsi="Times New Roman" w:cs="Times New Roman"/>
          <w:sz w:val="24"/>
          <w:szCs w:val="24"/>
        </w:rPr>
        <w:footnoteReference w:id="1"/>
      </w:r>
      <w:r w:rsidRPr="005C3EF8">
        <w:rPr>
          <w:rFonts w:ascii="Times New Roman" w:hAnsi="Times New Roman" w:cs="Times New Roman"/>
          <w:sz w:val="24"/>
          <w:szCs w:val="24"/>
        </w:rPr>
        <w:t>.</w:t>
      </w:r>
      <w:r w:rsidR="00C81292" w:rsidRPr="005C3EF8">
        <w:rPr>
          <w:rFonts w:ascii="Times New Roman" w:hAnsi="Times New Roman" w:cs="Times New Roman"/>
          <w:sz w:val="24"/>
          <w:szCs w:val="24"/>
        </w:rPr>
        <w:t xml:space="preserve"> </w:t>
      </w:r>
      <w:r w:rsidR="00E73B81" w:rsidRPr="005C3EF8">
        <w:rPr>
          <w:rFonts w:ascii="Times New Roman" w:hAnsi="Times New Roman" w:cs="Times New Roman"/>
          <w:sz w:val="24"/>
          <w:szCs w:val="24"/>
        </w:rPr>
        <w:t>E</w:t>
      </w:r>
      <w:r w:rsidR="00C81292" w:rsidRPr="005C3EF8">
        <w:rPr>
          <w:rFonts w:ascii="Times New Roman" w:hAnsi="Times New Roman" w:cs="Times New Roman"/>
          <w:sz w:val="24"/>
          <w:szCs w:val="24"/>
        </w:rPr>
        <w:t xml:space="preserve">sta declaración de principios </w:t>
      </w:r>
      <w:r w:rsidR="001B712E" w:rsidRPr="005C3EF8">
        <w:rPr>
          <w:rFonts w:ascii="Times New Roman" w:hAnsi="Times New Roman" w:cs="Times New Roman"/>
          <w:sz w:val="24"/>
          <w:szCs w:val="24"/>
        </w:rPr>
        <w:t xml:space="preserve">se materializará </w:t>
      </w:r>
      <w:r w:rsidR="00E73B81" w:rsidRPr="005C3EF8">
        <w:rPr>
          <w:rFonts w:ascii="Times New Roman" w:hAnsi="Times New Roman" w:cs="Times New Roman"/>
          <w:sz w:val="24"/>
          <w:szCs w:val="24"/>
        </w:rPr>
        <w:t xml:space="preserve">con toda probabilidad </w:t>
      </w:r>
      <w:r w:rsidR="001B712E" w:rsidRPr="005C3EF8">
        <w:rPr>
          <w:rFonts w:ascii="Times New Roman" w:hAnsi="Times New Roman" w:cs="Times New Roman"/>
          <w:sz w:val="24"/>
          <w:szCs w:val="24"/>
        </w:rPr>
        <w:t>en</w:t>
      </w:r>
      <w:r w:rsidR="00C81292" w:rsidRPr="005C3EF8">
        <w:rPr>
          <w:rFonts w:ascii="Times New Roman" w:hAnsi="Times New Roman" w:cs="Times New Roman"/>
          <w:sz w:val="24"/>
          <w:szCs w:val="24"/>
        </w:rPr>
        <w:t xml:space="preserve"> </w:t>
      </w:r>
      <w:r w:rsidR="001C00F2" w:rsidRPr="005C3EF8">
        <w:rPr>
          <w:rFonts w:ascii="Times New Roman" w:hAnsi="Times New Roman" w:cs="Times New Roman"/>
          <w:sz w:val="24"/>
          <w:szCs w:val="24"/>
        </w:rPr>
        <w:t>el encargo de un estudio</w:t>
      </w:r>
      <w:r w:rsidR="00FF11DB" w:rsidRPr="005C3EF8">
        <w:rPr>
          <w:rFonts w:ascii="Times New Roman" w:hAnsi="Times New Roman" w:cs="Times New Roman"/>
          <w:sz w:val="24"/>
          <w:szCs w:val="24"/>
        </w:rPr>
        <w:t xml:space="preserve"> </w:t>
      </w:r>
      <w:r w:rsidR="002A4AB1" w:rsidRPr="005C3EF8">
        <w:rPr>
          <w:rFonts w:ascii="Times New Roman" w:hAnsi="Times New Roman" w:cs="Times New Roman"/>
          <w:sz w:val="24"/>
          <w:szCs w:val="24"/>
        </w:rPr>
        <w:t>sobre “estructuras de mercado”</w:t>
      </w:r>
      <w:r w:rsidR="00567AAF" w:rsidRPr="005C3EF8">
        <w:rPr>
          <w:rFonts w:ascii="Times New Roman" w:hAnsi="Times New Roman" w:cs="Times New Roman"/>
          <w:sz w:val="24"/>
          <w:szCs w:val="24"/>
        </w:rPr>
        <w:t xml:space="preserve"> </w:t>
      </w:r>
      <w:r w:rsidR="00E8367B" w:rsidRPr="005C3EF8">
        <w:rPr>
          <w:rFonts w:ascii="Times New Roman" w:hAnsi="Times New Roman" w:cs="Times New Roman"/>
          <w:sz w:val="24"/>
          <w:szCs w:val="24"/>
        </w:rPr>
        <w:t xml:space="preserve">y </w:t>
      </w:r>
      <w:r w:rsidR="004C6D36" w:rsidRPr="005C3EF8">
        <w:rPr>
          <w:rFonts w:ascii="Times New Roman" w:hAnsi="Times New Roman" w:cs="Times New Roman"/>
          <w:sz w:val="24"/>
          <w:szCs w:val="24"/>
        </w:rPr>
        <w:t>“</w:t>
      </w:r>
      <w:r w:rsidR="00E8367B" w:rsidRPr="005C3EF8">
        <w:rPr>
          <w:rFonts w:ascii="Times New Roman" w:hAnsi="Times New Roman" w:cs="Times New Roman"/>
          <w:sz w:val="24"/>
          <w:szCs w:val="24"/>
        </w:rPr>
        <w:t>cuestiones potenciales de competencia</w:t>
      </w:r>
      <w:r w:rsidR="004C6D36" w:rsidRPr="005C3EF8">
        <w:rPr>
          <w:rFonts w:ascii="Times New Roman" w:hAnsi="Times New Roman" w:cs="Times New Roman"/>
          <w:sz w:val="24"/>
          <w:szCs w:val="24"/>
        </w:rPr>
        <w:t>”</w:t>
      </w:r>
      <w:r w:rsidR="00E8367B" w:rsidRPr="005C3EF8">
        <w:rPr>
          <w:rFonts w:ascii="Times New Roman" w:hAnsi="Times New Roman" w:cs="Times New Roman"/>
          <w:sz w:val="24"/>
          <w:szCs w:val="24"/>
        </w:rPr>
        <w:t xml:space="preserve"> </w:t>
      </w:r>
      <w:r w:rsidR="00567AAF" w:rsidRPr="005C3EF8">
        <w:rPr>
          <w:rFonts w:ascii="Times New Roman" w:hAnsi="Times New Roman" w:cs="Times New Roman"/>
          <w:sz w:val="24"/>
          <w:szCs w:val="24"/>
        </w:rPr>
        <w:t>en Alemania, Francia, Países Bajos, Polonia, España y el Reino Unido</w:t>
      </w:r>
      <w:r w:rsidR="001B712E" w:rsidRPr="005C3EF8">
        <w:rPr>
          <w:rFonts w:ascii="Times New Roman" w:hAnsi="Times New Roman" w:cs="Times New Roman"/>
          <w:sz w:val="24"/>
          <w:szCs w:val="24"/>
        </w:rPr>
        <w:t xml:space="preserve">, </w:t>
      </w:r>
      <w:r w:rsidR="00797558" w:rsidRPr="005C3EF8">
        <w:rPr>
          <w:rFonts w:ascii="Times New Roman" w:hAnsi="Times New Roman" w:cs="Times New Roman"/>
          <w:sz w:val="24"/>
          <w:szCs w:val="24"/>
        </w:rPr>
        <w:t>cuya licitación</w:t>
      </w:r>
      <w:r w:rsidR="001B712E" w:rsidRPr="005C3EF8">
        <w:rPr>
          <w:rFonts w:ascii="Times New Roman" w:hAnsi="Times New Roman" w:cs="Times New Roman"/>
          <w:sz w:val="24"/>
          <w:szCs w:val="24"/>
        </w:rPr>
        <w:t xml:space="preserve"> </w:t>
      </w:r>
      <w:r w:rsidR="00B062C9" w:rsidRPr="005C3EF8">
        <w:rPr>
          <w:rFonts w:ascii="Times New Roman" w:hAnsi="Times New Roman" w:cs="Times New Roman"/>
          <w:sz w:val="24"/>
          <w:szCs w:val="24"/>
        </w:rPr>
        <w:t>se ha publicado recientemente</w:t>
      </w:r>
      <w:r w:rsidR="00C81292" w:rsidRPr="005C3EF8">
        <w:rPr>
          <w:rFonts w:ascii="Times New Roman" w:hAnsi="Times New Roman" w:cs="Times New Roman"/>
          <w:sz w:val="24"/>
          <w:szCs w:val="24"/>
        </w:rPr>
        <w:t xml:space="preserve">. </w:t>
      </w:r>
      <w:r w:rsidR="001C00F2" w:rsidRPr="005C3EF8">
        <w:rPr>
          <w:rFonts w:ascii="Times New Roman" w:hAnsi="Times New Roman" w:cs="Times New Roman"/>
          <w:sz w:val="24"/>
          <w:szCs w:val="24"/>
        </w:rPr>
        <w:t>El encargo de l</w:t>
      </w:r>
      <w:r w:rsidR="00AD15C7" w:rsidRPr="005C3EF8">
        <w:rPr>
          <w:rFonts w:ascii="Times New Roman" w:hAnsi="Times New Roman" w:cs="Times New Roman"/>
          <w:sz w:val="24"/>
          <w:szCs w:val="24"/>
        </w:rPr>
        <w:t xml:space="preserve">a Comisión </w:t>
      </w:r>
      <w:r w:rsidR="001C00F2" w:rsidRPr="005C3EF8">
        <w:rPr>
          <w:rFonts w:ascii="Times New Roman" w:hAnsi="Times New Roman" w:cs="Times New Roman"/>
          <w:sz w:val="24"/>
          <w:szCs w:val="24"/>
        </w:rPr>
        <w:t>comprende el análisis de</w:t>
      </w:r>
      <w:r w:rsidR="00B573C2" w:rsidRPr="005C3EF8">
        <w:rPr>
          <w:rFonts w:ascii="Times New Roman" w:hAnsi="Times New Roman" w:cs="Times New Roman"/>
          <w:sz w:val="24"/>
          <w:szCs w:val="24"/>
        </w:rPr>
        <w:t xml:space="preserve"> las </w:t>
      </w:r>
      <w:r w:rsidR="004C6D36" w:rsidRPr="005C3EF8">
        <w:rPr>
          <w:rFonts w:ascii="Times New Roman" w:hAnsi="Times New Roman" w:cs="Times New Roman"/>
          <w:sz w:val="24"/>
          <w:szCs w:val="24"/>
        </w:rPr>
        <w:t>“</w:t>
      </w:r>
      <w:r w:rsidR="00B573C2" w:rsidRPr="005C3EF8">
        <w:rPr>
          <w:rFonts w:ascii="Times New Roman" w:hAnsi="Times New Roman" w:cs="Times New Roman"/>
          <w:sz w:val="24"/>
          <w:szCs w:val="24"/>
        </w:rPr>
        <w:t>dinámicas</w:t>
      </w:r>
      <w:r w:rsidR="00AD15C7" w:rsidRPr="005C3EF8">
        <w:rPr>
          <w:rFonts w:ascii="Times New Roman" w:hAnsi="Times New Roman" w:cs="Times New Roman"/>
          <w:sz w:val="24"/>
          <w:szCs w:val="24"/>
        </w:rPr>
        <w:t xml:space="preserve"> </w:t>
      </w:r>
      <w:r w:rsidR="004C6D36" w:rsidRPr="005C3EF8">
        <w:rPr>
          <w:rFonts w:ascii="Times New Roman" w:hAnsi="Times New Roman" w:cs="Times New Roman"/>
          <w:sz w:val="24"/>
          <w:szCs w:val="24"/>
        </w:rPr>
        <w:t>entre actores del mercado”</w:t>
      </w:r>
      <w:r w:rsidR="00B573C2" w:rsidRPr="005C3EF8">
        <w:rPr>
          <w:rFonts w:ascii="Times New Roman" w:hAnsi="Times New Roman" w:cs="Times New Roman"/>
          <w:sz w:val="24"/>
          <w:szCs w:val="24"/>
        </w:rPr>
        <w:t xml:space="preserve">, sobre todo </w:t>
      </w:r>
      <w:r w:rsidR="00AD15C7" w:rsidRPr="005C3EF8">
        <w:rPr>
          <w:rFonts w:ascii="Times New Roman" w:hAnsi="Times New Roman" w:cs="Times New Roman"/>
          <w:sz w:val="24"/>
          <w:szCs w:val="24"/>
        </w:rPr>
        <w:t>la</w:t>
      </w:r>
      <w:r w:rsidR="00534596" w:rsidRPr="005C3EF8">
        <w:rPr>
          <w:rFonts w:ascii="Times New Roman" w:hAnsi="Times New Roman" w:cs="Times New Roman"/>
          <w:sz w:val="24"/>
          <w:szCs w:val="24"/>
        </w:rPr>
        <w:t>s restricciones a la</w:t>
      </w:r>
      <w:r w:rsidR="00AD15C7" w:rsidRPr="005C3EF8">
        <w:rPr>
          <w:rFonts w:ascii="Times New Roman" w:hAnsi="Times New Roman" w:cs="Times New Roman"/>
          <w:sz w:val="24"/>
          <w:szCs w:val="24"/>
        </w:rPr>
        <w:t xml:space="preserve"> liquidez de los merc</w:t>
      </w:r>
      <w:r w:rsidR="00B573C2" w:rsidRPr="005C3EF8">
        <w:rPr>
          <w:rFonts w:ascii="Times New Roman" w:hAnsi="Times New Roman" w:cs="Times New Roman"/>
          <w:sz w:val="24"/>
          <w:szCs w:val="24"/>
        </w:rPr>
        <w:t>ados secundarios de sindicación</w:t>
      </w:r>
      <w:r w:rsidR="00137CFD" w:rsidRPr="005C3EF8">
        <w:rPr>
          <w:rFonts w:ascii="Times New Roman" w:hAnsi="Times New Roman" w:cs="Times New Roman"/>
          <w:sz w:val="24"/>
          <w:szCs w:val="24"/>
        </w:rPr>
        <w:t xml:space="preserve">, la presencia de entidades de </w:t>
      </w:r>
      <w:r w:rsidR="00137CFD" w:rsidRPr="005C3EF8">
        <w:rPr>
          <w:rFonts w:ascii="Times New Roman" w:hAnsi="Times New Roman" w:cs="Times New Roman"/>
          <w:i/>
          <w:sz w:val="24"/>
          <w:szCs w:val="24"/>
        </w:rPr>
        <w:t>shadow banking</w:t>
      </w:r>
      <w:r w:rsidR="00B573C2" w:rsidRPr="005C3EF8">
        <w:rPr>
          <w:rFonts w:ascii="Times New Roman" w:hAnsi="Times New Roman" w:cs="Times New Roman"/>
          <w:sz w:val="24"/>
          <w:szCs w:val="24"/>
        </w:rPr>
        <w:t xml:space="preserve"> y</w:t>
      </w:r>
      <w:r w:rsidR="00AD15C7" w:rsidRPr="005C3EF8">
        <w:rPr>
          <w:rFonts w:ascii="Times New Roman" w:hAnsi="Times New Roman" w:cs="Times New Roman"/>
          <w:sz w:val="24"/>
          <w:szCs w:val="24"/>
        </w:rPr>
        <w:t xml:space="preserve"> </w:t>
      </w:r>
      <w:r w:rsidR="00B573C2" w:rsidRPr="005C3EF8">
        <w:rPr>
          <w:rFonts w:ascii="Times New Roman" w:hAnsi="Times New Roman" w:cs="Times New Roman"/>
          <w:sz w:val="24"/>
          <w:szCs w:val="24"/>
        </w:rPr>
        <w:t xml:space="preserve">las </w:t>
      </w:r>
      <w:r w:rsidR="00AD15C7" w:rsidRPr="005C3EF8">
        <w:rPr>
          <w:rFonts w:ascii="Times New Roman" w:hAnsi="Times New Roman" w:cs="Times New Roman"/>
          <w:sz w:val="24"/>
          <w:szCs w:val="24"/>
        </w:rPr>
        <w:t xml:space="preserve">diferencias en el poder </w:t>
      </w:r>
      <w:r w:rsidR="00952702" w:rsidRPr="005C3EF8">
        <w:rPr>
          <w:rFonts w:ascii="Times New Roman" w:hAnsi="Times New Roman" w:cs="Times New Roman"/>
          <w:sz w:val="24"/>
          <w:szCs w:val="24"/>
        </w:rPr>
        <w:t xml:space="preserve">de mercado </w:t>
      </w:r>
      <w:r w:rsidR="00AD15C7" w:rsidRPr="005C3EF8">
        <w:rPr>
          <w:rFonts w:ascii="Times New Roman" w:hAnsi="Times New Roman" w:cs="Times New Roman"/>
          <w:sz w:val="24"/>
          <w:szCs w:val="24"/>
        </w:rPr>
        <w:t>segú</w:t>
      </w:r>
      <w:r w:rsidR="00B573C2" w:rsidRPr="005C3EF8">
        <w:rPr>
          <w:rFonts w:ascii="Times New Roman" w:hAnsi="Times New Roman" w:cs="Times New Roman"/>
          <w:sz w:val="24"/>
          <w:szCs w:val="24"/>
        </w:rPr>
        <w:t>n el tipo de partes financiadas. En cuanto a las posibles conductas anticompetitivas, el foco estará en</w:t>
      </w:r>
      <w:r w:rsidR="00AD15C7" w:rsidRPr="005C3EF8">
        <w:rPr>
          <w:rFonts w:ascii="Times New Roman" w:hAnsi="Times New Roman" w:cs="Times New Roman"/>
          <w:sz w:val="24"/>
          <w:szCs w:val="24"/>
        </w:rPr>
        <w:t xml:space="preserve"> los intercambios de información en la fase de originación</w:t>
      </w:r>
      <w:r w:rsidR="00B573C2" w:rsidRPr="005C3EF8">
        <w:rPr>
          <w:rFonts w:ascii="Times New Roman" w:hAnsi="Times New Roman" w:cs="Times New Roman"/>
          <w:sz w:val="24"/>
          <w:szCs w:val="24"/>
        </w:rPr>
        <w:t>,</w:t>
      </w:r>
      <w:r w:rsidR="00952702" w:rsidRPr="005C3EF8">
        <w:rPr>
          <w:rFonts w:ascii="Times New Roman" w:hAnsi="Times New Roman" w:cs="Times New Roman"/>
          <w:sz w:val="24"/>
          <w:szCs w:val="24"/>
        </w:rPr>
        <w:t xml:space="preserve"> la formación del sindicato en el mercado primario</w:t>
      </w:r>
      <w:r w:rsidR="00B573C2" w:rsidRPr="005C3EF8">
        <w:rPr>
          <w:rFonts w:ascii="Times New Roman" w:hAnsi="Times New Roman" w:cs="Times New Roman"/>
          <w:sz w:val="24"/>
          <w:szCs w:val="24"/>
        </w:rPr>
        <w:t>,</w:t>
      </w:r>
      <w:r w:rsidR="00952702" w:rsidRPr="005C3EF8">
        <w:rPr>
          <w:rFonts w:ascii="Times New Roman" w:hAnsi="Times New Roman" w:cs="Times New Roman"/>
          <w:sz w:val="24"/>
          <w:szCs w:val="24"/>
        </w:rPr>
        <w:t xml:space="preserve"> las cláusulas contractuales de </w:t>
      </w:r>
      <w:r w:rsidR="00952702" w:rsidRPr="005C3EF8">
        <w:rPr>
          <w:rFonts w:ascii="Times New Roman" w:hAnsi="Times New Roman" w:cs="Times New Roman"/>
          <w:i/>
          <w:sz w:val="24"/>
          <w:szCs w:val="24"/>
        </w:rPr>
        <w:t>marketflex</w:t>
      </w:r>
      <w:r w:rsidR="00952702" w:rsidRPr="005C3EF8">
        <w:rPr>
          <w:rFonts w:ascii="Times New Roman" w:hAnsi="Times New Roman" w:cs="Times New Roman"/>
          <w:sz w:val="24"/>
          <w:szCs w:val="24"/>
        </w:rPr>
        <w:t xml:space="preserve"> y </w:t>
      </w:r>
      <w:r w:rsidR="00952702" w:rsidRPr="005C3EF8">
        <w:rPr>
          <w:rFonts w:ascii="Times New Roman" w:hAnsi="Times New Roman" w:cs="Times New Roman"/>
          <w:i/>
          <w:sz w:val="24"/>
          <w:szCs w:val="24"/>
        </w:rPr>
        <w:t>reverseflex</w:t>
      </w:r>
      <w:r w:rsidR="00AD15C7" w:rsidRPr="005C3EF8">
        <w:rPr>
          <w:rFonts w:ascii="Times New Roman" w:hAnsi="Times New Roman" w:cs="Times New Roman"/>
          <w:sz w:val="24"/>
          <w:szCs w:val="24"/>
        </w:rPr>
        <w:t xml:space="preserve">, </w:t>
      </w:r>
      <w:r w:rsidR="00852744" w:rsidRPr="005C3EF8">
        <w:rPr>
          <w:rFonts w:ascii="Times New Roman" w:hAnsi="Times New Roman" w:cs="Times New Roman"/>
          <w:sz w:val="24"/>
          <w:szCs w:val="24"/>
        </w:rPr>
        <w:t>las obligaciones financieras (</w:t>
      </w:r>
      <w:r w:rsidR="00852744" w:rsidRPr="005C3EF8">
        <w:rPr>
          <w:rFonts w:ascii="Times New Roman" w:hAnsi="Times New Roman" w:cs="Times New Roman"/>
          <w:i/>
          <w:sz w:val="24"/>
          <w:szCs w:val="24"/>
        </w:rPr>
        <w:t>financial compliance covenants</w:t>
      </w:r>
      <w:r w:rsidR="00852744" w:rsidRPr="005C3EF8">
        <w:rPr>
          <w:rFonts w:ascii="Times New Roman" w:hAnsi="Times New Roman" w:cs="Times New Roman"/>
          <w:sz w:val="24"/>
          <w:szCs w:val="24"/>
        </w:rPr>
        <w:t xml:space="preserve">), </w:t>
      </w:r>
      <w:r w:rsidR="004618F4" w:rsidRPr="005C3EF8">
        <w:rPr>
          <w:rFonts w:ascii="Times New Roman" w:hAnsi="Times New Roman" w:cs="Times New Roman"/>
          <w:sz w:val="24"/>
          <w:szCs w:val="24"/>
        </w:rPr>
        <w:t xml:space="preserve">la </w:t>
      </w:r>
      <w:r w:rsidR="00952702" w:rsidRPr="005C3EF8">
        <w:rPr>
          <w:rFonts w:ascii="Times New Roman" w:hAnsi="Times New Roman" w:cs="Times New Roman"/>
          <w:sz w:val="24"/>
          <w:szCs w:val="24"/>
        </w:rPr>
        <w:t xml:space="preserve">vinculación de servicios accesorios y </w:t>
      </w:r>
      <w:r w:rsidR="004618F4" w:rsidRPr="005C3EF8">
        <w:rPr>
          <w:rFonts w:ascii="Times New Roman" w:hAnsi="Times New Roman" w:cs="Times New Roman"/>
          <w:sz w:val="24"/>
          <w:szCs w:val="24"/>
        </w:rPr>
        <w:t xml:space="preserve">los </w:t>
      </w:r>
      <w:r w:rsidR="00952702" w:rsidRPr="005C3EF8">
        <w:rPr>
          <w:rFonts w:ascii="Times New Roman" w:hAnsi="Times New Roman" w:cs="Times New Roman"/>
          <w:sz w:val="24"/>
          <w:szCs w:val="24"/>
        </w:rPr>
        <w:t>pactos de refinanciación y restructuración</w:t>
      </w:r>
      <w:r w:rsidR="00AD15C7" w:rsidRPr="005C3EF8">
        <w:rPr>
          <w:rFonts w:ascii="Times New Roman" w:hAnsi="Times New Roman" w:cs="Times New Roman"/>
          <w:sz w:val="24"/>
          <w:szCs w:val="24"/>
        </w:rPr>
        <w:t>.</w:t>
      </w:r>
      <w:r w:rsidR="004666D0" w:rsidRPr="005C3EF8">
        <w:rPr>
          <w:rFonts w:ascii="Times New Roman" w:hAnsi="Times New Roman" w:cs="Times New Roman"/>
          <w:sz w:val="24"/>
          <w:szCs w:val="24"/>
        </w:rPr>
        <w:t xml:space="preserve"> </w:t>
      </w:r>
      <w:r w:rsidR="00E8367B" w:rsidRPr="005C3EF8">
        <w:rPr>
          <w:rFonts w:ascii="Times New Roman" w:hAnsi="Times New Roman" w:cs="Times New Roman"/>
          <w:sz w:val="24"/>
          <w:szCs w:val="24"/>
        </w:rPr>
        <w:t>E</w:t>
      </w:r>
      <w:r w:rsidR="00012AF9" w:rsidRPr="005C3EF8">
        <w:rPr>
          <w:rFonts w:ascii="Times New Roman" w:hAnsi="Times New Roman" w:cs="Times New Roman"/>
          <w:sz w:val="24"/>
          <w:szCs w:val="24"/>
        </w:rPr>
        <w:t>ntre las áreas de práctica</w:t>
      </w:r>
      <w:r w:rsidR="00E8367B" w:rsidRPr="005C3EF8">
        <w:rPr>
          <w:rFonts w:ascii="Times New Roman" w:hAnsi="Times New Roman" w:cs="Times New Roman"/>
          <w:sz w:val="24"/>
          <w:szCs w:val="24"/>
        </w:rPr>
        <w:t xml:space="preserve"> el objeto del estudio menciona expresamente financiaciones de proyectos –especialmente los de naturaleza transfronteriza y que cuenten con subvenciones de la UE– y de adquisición apalancada (LBO). </w:t>
      </w:r>
    </w:p>
    <w:p w:rsidR="007F6AF4" w:rsidRPr="005C3EF8" w:rsidRDefault="00E8367B" w:rsidP="00227C90">
      <w:pPr>
        <w:spacing w:after="120" w:line="360" w:lineRule="auto"/>
        <w:jc w:val="both"/>
        <w:rPr>
          <w:rFonts w:ascii="Times New Roman" w:hAnsi="Times New Roman" w:cs="Times New Roman"/>
          <w:sz w:val="24"/>
          <w:szCs w:val="24"/>
        </w:rPr>
      </w:pPr>
      <w:r w:rsidRPr="005C3EF8">
        <w:rPr>
          <w:rFonts w:ascii="Times New Roman" w:hAnsi="Times New Roman" w:cs="Times New Roman"/>
          <w:sz w:val="24"/>
          <w:szCs w:val="24"/>
        </w:rPr>
        <w:t xml:space="preserve">Por su parte, </w:t>
      </w:r>
      <w:r w:rsidR="001B712E" w:rsidRPr="005C3EF8">
        <w:rPr>
          <w:rFonts w:ascii="Times New Roman" w:hAnsi="Times New Roman" w:cs="Times New Roman"/>
          <w:sz w:val="24"/>
          <w:szCs w:val="24"/>
        </w:rPr>
        <w:t xml:space="preserve">la </w:t>
      </w:r>
      <w:r w:rsidR="001B712E" w:rsidRPr="005C3EF8">
        <w:rPr>
          <w:rFonts w:ascii="Times New Roman" w:hAnsi="Times New Roman" w:cs="Times New Roman"/>
          <w:i/>
          <w:sz w:val="24"/>
          <w:szCs w:val="24"/>
        </w:rPr>
        <w:t>Financial Conduct Authority</w:t>
      </w:r>
      <w:r w:rsidR="00717FDD" w:rsidRPr="005C3EF8">
        <w:rPr>
          <w:rFonts w:ascii="Times New Roman" w:hAnsi="Times New Roman" w:cs="Times New Roman"/>
          <w:sz w:val="24"/>
          <w:szCs w:val="24"/>
        </w:rPr>
        <w:t xml:space="preserve"> (FCA)</w:t>
      </w:r>
      <w:r w:rsidR="001B712E" w:rsidRPr="005C3EF8">
        <w:rPr>
          <w:rFonts w:ascii="Times New Roman" w:hAnsi="Times New Roman" w:cs="Times New Roman"/>
          <w:sz w:val="24"/>
          <w:szCs w:val="24"/>
        </w:rPr>
        <w:t xml:space="preserve"> del Reino Unido public</w:t>
      </w:r>
      <w:r w:rsidR="009272FD" w:rsidRPr="005C3EF8">
        <w:rPr>
          <w:rFonts w:ascii="Times New Roman" w:hAnsi="Times New Roman" w:cs="Times New Roman"/>
          <w:sz w:val="24"/>
          <w:szCs w:val="24"/>
        </w:rPr>
        <w:t>ó</w:t>
      </w:r>
      <w:r w:rsidR="001B712E" w:rsidRPr="005C3EF8">
        <w:rPr>
          <w:rFonts w:ascii="Times New Roman" w:hAnsi="Times New Roman" w:cs="Times New Roman"/>
          <w:sz w:val="24"/>
          <w:szCs w:val="24"/>
        </w:rPr>
        <w:t xml:space="preserve"> una nota de prensa </w:t>
      </w:r>
      <w:r w:rsidRPr="005C3EF8">
        <w:rPr>
          <w:rFonts w:ascii="Times New Roman" w:hAnsi="Times New Roman" w:cs="Times New Roman"/>
          <w:sz w:val="24"/>
          <w:szCs w:val="24"/>
        </w:rPr>
        <w:t xml:space="preserve">en febrero de 2017 </w:t>
      </w:r>
      <w:r w:rsidR="001B712E" w:rsidRPr="005C3EF8">
        <w:rPr>
          <w:rFonts w:ascii="Times New Roman" w:hAnsi="Times New Roman" w:cs="Times New Roman"/>
          <w:sz w:val="24"/>
          <w:szCs w:val="24"/>
        </w:rPr>
        <w:t xml:space="preserve">en la que declara estar investigando a varias entidades financieras por conductas anticompetitivas relacionadas con el intercambio de </w:t>
      </w:r>
      <w:r w:rsidR="001B712E" w:rsidRPr="005C3EF8">
        <w:rPr>
          <w:rFonts w:ascii="Times New Roman" w:hAnsi="Times New Roman" w:cs="Times New Roman"/>
          <w:sz w:val="24"/>
          <w:szCs w:val="24"/>
        </w:rPr>
        <w:lastRenderedPageBreak/>
        <w:t>información que va</w:t>
      </w:r>
      <w:r w:rsidR="00613599" w:rsidRPr="005C3EF8">
        <w:rPr>
          <w:rFonts w:ascii="Times New Roman" w:hAnsi="Times New Roman" w:cs="Times New Roman"/>
          <w:sz w:val="24"/>
          <w:szCs w:val="24"/>
        </w:rPr>
        <w:t>ya</w:t>
      </w:r>
      <w:r w:rsidR="001B712E" w:rsidRPr="005C3EF8">
        <w:rPr>
          <w:rFonts w:ascii="Times New Roman" w:hAnsi="Times New Roman" w:cs="Times New Roman"/>
          <w:sz w:val="24"/>
          <w:szCs w:val="24"/>
        </w:rPr>
        <w:t xml:space="preserve"> más allá de lo estrictamente necesario para la formación de un sindicato</w:t>
      </w:r>
      <w:r w:rsidR="001B712E" w:rsidRPr="005C3EF8">
        <w:rPr>
          <w:rStyle w:val="Refdenotaalpie"/>
          <w:rFonts w:ascii="Times New Roman" w:hAnsi="Times New Roman" w:cs="Times New Roman"/>
          <w:sz w:val="24"/>
          <w:szCs w:val="24"/>
        </w:rPr>
        <w:footnoteReference w:id="2"/>
      </w:r>
      <w:r w:rsidR="001B712E" w:rsidRPr="005C3EF8">
        <w:rPr>
          <w:rFonts w:ascii="Times New Roman" w:hAnsi="Times New Roman" w:cs="Times New Roman"/>
          <w:sz w:val="24"/>
          <w:szCs w:val="24"/>
        </w:rPr>
        <w:t xml:space="preserve">. </w:t>
      </w:r>
      <w:r w:rsidR="00C81292" w:rsidRPr="005C3EF8">
        <w:rPr>
          <w:rFonts w:ascii="Times New Roman" w:hAnsi="Times New Roman" w:cs="Times New Roman"/>
          <w:sz w:val="24"/>
          <w:szCs w:val="24"/>
        </w:rPr>
        <w:t xml:space="preserve">En fechas recientes la </w:t>
      </w:r>
      <w:r w:rsidR="00717FDD" w:rsidRPr="005C3EF8">
        <w:rPr>
          <w:rFonts w:ascii="Times New Roman" w:hAnsi="Times New Roman" w:cs="Times New Roman"/>
          <w:sz w:val="24"/>
          <w:szCs w:val="24"/>
        </w:rPr>
        <w:t>Comisión Nacional de los Mercados y la Competencia (</w:t>
      </w:r>
      <w:r w:rsidR="00C81292" w:rsidRPr="005C3EF8">
        <w:rPr>
          <w:rFonts w:ascii="Times New Roman" w:hAnsi="Times New Roman" w:cs="Times New Roman"/>
          <w:sz w:val="24"/>
          <w:szCs w:val="24"/>
        </w:rPr>
        <w:t>CNMC</w:t>
      </w:r>
      <w:r w:rsidR="00717FDD" w:rsidRPr="005C3EF8">
        <w:rPr>
          <w:rFonts w:ascii="Times New Roman" w:hAnsi="Times New Roman" w:cs="Times New Roman"/>
          <w:sz w:val="24"/>
          <w:szCs w:val="24"/>
        </w:rPr>
        <w:t>)</w:t>
      </w:r>
      <w:r w:rsidR="00C81292" w:rsidRPr="005C3EF8">
        <w:rPr>
          <w:rFonts w:ascii="Times New Roman" w:hAnsi="Times New Roman" w:cs="Times New Roman"/>
          <w:sz w:val="24"/>
          <w:szCs w:val="24"/>
        </w:rPr>
        <w:t xml:space="preserve"> ha expresado su interés en investigar la contratación de </w:t>
      </w:r>
      <w:r w:rsidR="00533822" w:rsidRPr="005C3EF8">
        <w:rPr>
          <w:rFonts w:ascii="Times New Roman" w:hAnsi="Times New Roman" w:cs="Times New Roman"/>
          <w:sz w:val="24"/>
          <w:szCs w:val="24"/>
        </w:rPr>
        <w:t>derivados de tipos de interés utilizados como instrumento de cobertura de riesgo de créditos sindicados</w:t>
      </w:r>
      <w:r w:rsidR="001C00F2" w:rsidRPr="005C3EF8">
        <w:rPr>
          <w:rFonts w:ascii="Times New Roman" w:hAnsi="Times New Roman" w:cs="Times New Roman"/>
          <w:sz w:val="24"/>
          <w:szCs w:val="24"/>
        </w:rPr>
        <w:t xml:space="preserve"> y ha procedido a incoar</w:t>
      </w:r>
      <w:r w:rsidR="00B140DA" w:rsidRPr="005C3EF8">
        <w:rPr>
          <w:rFonts w:ascii="Times New Roman" w:hAnsi="Times New Roman" w:cs="Times New Roman"/>
          <w:sz w:val="24"/>
          <w:szCs w:val="24"/>
        </w:rPr>
        <w:t xml:space="preserve"> </w:t>
      </w:r>
      <w:r w:rsidR="004666D0" w:rsidRPr="005C3EF8">
        <w:rPr>
          <w:rFonts w:ascii="Times New Roman" w:hAnsi="Times New Roman" w:cs="Times New Roman"/>
          <w:sz w:val="24"/>
          <w:szCs w:val="24"/>
        </w:rPr>
        <w:t>expedientes</w:t>
      </w:r>
      <w:r w:rsidR="00B140DA" w:rsidRPr="005C3EF8">
        <w:rPr>
          <w:rFonts w:ascii="Times New Roman" w:hAnsi="Times New Roman" w:cs="Times New Roman"/>
          <w:sz w:val="24"/>
          <w:szCs w:val="24"/>
        </w:rPr>
        <w:t xml:space="preserve"> sancionadores contra cuatro entidades</w:t>
      </w:r>
      <w:r w:rsidR="00B140DA" w:rsidRPr="005C3EF8">
        <w:rPr>
          <w:rStyle w:val="Refdenotaalpie"/>
          <w:rFonts w:ascii="Times New Roman" w:hAnsi="Times New Roman" w:cs="Times New Roman"/>
          <w:sz w:val="24"/>
          <w:szCs w:val="24"/>
        </w:rPr>
        <w:footnoteReference w:id="3"/>
      </w:r>
      <w:r w:rsidR="00C81292" w:rsidRPr="005C3EF8">
        <w:rPr>
          <w:rFonts w:ascii="Times New Roman" w:hAnsi="Times New Roman" w:cs="Times New Roman"/>
          <w:sz w:val="24"/>
          <w:szCs w:val="24"/>
        </w:rPr>
        <w:t xml:space="preserve">. </w:t>
      </w:r>
    </w:p>
    <w:p w:rsidR="00103CB6" w:rsidRPr="005C3EF8" w:rsidRDefault="00555E36" w:rsidP="00227C90">
      <w:pPr>
        <w:spacing w:after="120" w:line="360" w:lineRule="auto"/>
        <w:jc w:val="both"/>
        <w:rPr>
          <w:rFonts w:ascii="Times New Roman" w:hAnsi="Times New Roman" w:cs="Times New Roman"/>
          <w:sz w:val="24"/>
          <w:szCs w:val="24"/>
        </w:rPr>
      </w:pPr>
      <w:r w:rsidRPr="005C3EF8">
        <w:rPr>
          <w:rFonts w:ascii="Times New Roman" w:hAnsi="Times New Roman" w:cs="Times New Roman"/>
          <w:sz w:val="24"/>
          <w:szCs w:val="24"/>
        </w:rPr>
        <w:t>Este trabajo analiza</w:t>
      </w:r>
      <w:r w:rsidR="00441A0F" w:rsidRPr="005C3EF8">
        <w:rPr>
          <w:rFonts w:ascii="Times New Roman" w:hAnsi="Times New Roman" w:cs="Times New Roman"/>
          <w:sz w:val="24"/>
          <w:szCs w:val="24"/>
        </w:rPr>
        <w:t xml:space="preserve"> los aspectos </w:t>
      </w:r>
      <w:r w:rsidR="00F93785" w:rsidRPr="005C3EF8">
        <w:rPr>
          <w:rFonts w:ascii="Times New Roman" w:hAnsi="Times New Roman" w:cs="Times New Roman"/>
          <w:sz w:val="24"/>
          <w:szCs w:val="24"/>
        </w:rPr>
        <w:t>potencialmente anticompetitivos</w:t>
      </w:r>
      <w:r w:rsidR="00441A0F" w:rsidRPr="005C3EF8">
        <w:rPr>
          <w:rFonts w:ascii="Times New Roman" w:hAnsi="Times New Roman" w:cs="Times New Roman"/>
          <w:sz w:val="24"/>
          <w:szCs w:val="24"/>
        </w:rPr>
        <w:t xml:space="preserve"> </w:t>
      </w:r>
      <w:r w:rsidR="00D7713A" w:rsidRPr="005C3EF8">
        <w:rPr>
          <w:rFonts w:ascii="Times New Roman" w:hAnsi="Times New Roman" w:cs="Times New Roman"/>
          <w:sz w:val="24"/>
          <w:szCs w:val="24"/>
        </w:rPr>
        <w:t xml:space="preserve">asociados a la </w:t>
      </w:r>
      <w:r w:rsidR="00D250A7" w:rsidRPr="005C3EF8">
        <w:rPr>
          <w:rFonts w:ascii="Times New Roman" w:hAnsi="Times New Roman" w:cs="Times New Roman"/>
          <w:sz w:val="24"/>
          <w:szCs w:val="24"/>
        </w:rPr>
        <w:t xml:space="preserve">negociación y conclusión de contratos de </w:t>
      </w:r>
      <w:r w:rsidR="00D7713A" w:rsidRPr="005C3EF8">
        <w:rPr>
          <w:rFonts w:ascii="Times New Roman" w:hAnsi="Times New Roman" w:cs="Times New Roman"/>
          <w:sz w:val="24"/>
          <w:szCs w:val="24"/>
        </w:rPr>
        <w:t xml:space="preserve">financiación sindicada </w:t>
      </w:r>
      <w:r w:rsidR="00F93785" w:rsidRPr="005C3EF8">
        <w:rPr>
          <w:rFonts w:ascii="Times New Roman" w:hAnsi="Times New Roman" w:cs="Times New Roman"/>
          <w:sz w:val="24"/>
          <w:szCs w:val="24"/>
        </w:rPr>
        <w:t xml:space="preserve">a </w:t>
      </w:r>
      <w:r w:rsidR="00D250A7" w:rsidRPr="005C3EF8">
        <w:rPr>
          <w:rFonts w:ascii="Times New Roman" w:hAnsi="Times New Roman" w:cs="Times New Roman"/>
          <w:sz w:val="24"/>
          <w:szCs w:val="24"/>
        </w:rPr>
        <w:t>la luz</w:t>
      </w:r>
      <w:r w:rsidR="00F93785" w:rsidRPr="005C3EF8">
        <w:rPr>
          <w:rFonts w:ascii="Times New Roman" w:hAnsi="Times New Roman" w:cs="Times New Roman"/>
          <w:sz w:val="24"/>
          <w:szCs w:val="24"/>
        </w:rPr>
        <w:t xml:space="preserve"> de las directrices generales </w:t>
      </w:r>
      <w:r w:rsidR="00441A0F" w:rsidRPr="005C3EF8">
        <w:rPr>
          <w:rFonts w:ascii="Times New Roman" w:hAnsi="Times New Roman" w:cs="Times New Roman"/>
          <w:sz w:val="24"/>
          <w:szCs w:val="24"/>
        </w:rPr>
        <w:t xml:space="preserve">formuladas por la Comisión Europea, </w:t>
      </w:r>
      <w:r w:rsidR="00FB5B16">
        <w:rPr>
          <w:rFonts w:ascii="Times New Roman" w:hAnsi="Times New Roman" w:cs="Times New Roman"/>
          <w:sz w:val="24"/>
          <w:szCs w:val="24"/>
        </w:rPr>
        <w:t>FCA y</w:t>
      </w:r>
      <w:r w:rsidR="00D250A7" w:rsidRPr="005C3EF8">
        <w:rPr>
          <w:rFonts w:ascii="Times New Roman" w:hAnsi="Times New Roman" w:cs="Times New Roman"/>
          <w:sz w:val="24"/>
          <w:szCs w:val="24"/>
        </w:rPr>
        <w:t xml:space="preserve"> </w:t>
      </w:r>
      <w:r w:rsidR="00D7713A" w:rsidRPr="005C3EF8">
        <w:rPr>
          <w:rFonts w:ascii="Times New Roman" w:hAnsi="Times New Roman" w:cs="Times New Roman"/>
          <w:sz w:val="24"/>
          <w:szCs w:val="24"/>
        </w:rPr>
        <w:t xml:space="preserve">CNMC. </w:t>
      </w:r>
      <w:r w:rsidR="006D15CF" w:rsidRPr="005C3EF8">
        <w:rPr>
          <w:rFonts w:ascii="Times New Roman" w:hAnsi="Times New Roman" w:cs="Times New Roman"/>
          <w:sz w:val="24"/>
          <w:szCs w:val="24"/>
        </w:rPr>
        <w:t>E</w:t>
      </w:r>
      <w:r w:rsidR="00FB5B16">
        <w:rPr>
          <w:rFonts w:ascii="Times New Roman" w:hAnsi="Times New Roman" w:cs="Times New Roman"/>
          <w:sz w:val="24"/>
          <w:szCs w:val="24"/>
        </w:rPr>
        <w:t>n particular,</w:t>
      </w:r>
      <w:r w:rsidR="00451A58" w:rsidRPr="005C3EF8">
        <w:rPr>
          <w:rFonts w:ascii="Times New Roman" w:hAnsi="Times New Roman" w:cs="Times New Roman"/>
          <w:sz w:val="24"/>
          <w:szCs w:val="24"/>
        </w:rPr>
        <w:t xml:space="preserve"> </w:t>
      </w:r>
      <w:r w:rsidR="008154F7" w:rsidRPr="005C3EF8">
        <w:rPr>
          <w:rFonts w:ascii="Times New Roman" w:hAnsi="Times New Roman" w:cs="Times New Roman"/>
          <w:sz w:val="24"/>
          <w:szCs w:val="24"/>
        </w:rPr>
        <w:t>an</w:t>
      </w:r>
      <w:r w:rsidR="00863CAF" w:rsidRPr="005C3EF8">
        <w:rPr>
          <w:rFonts w:ascii="Times New Roman" w:hAnsi="Times New Roman" w:cs="Times New Roman"/>
          <w:sz w:val="24"/>
          <w:szCs w:val="24"/>
        </w:rPr>
        <w:t>a</w:t>
      </w:r>
      <w:r w:rsidR="008154F7" w:rsidRPr="005C3EF8">
        <w:rPr>
          <w:rFonts w:ascii="Times New Roman" w:hAnsi="Times New Roman" w:cs="Times New Roman"/>
          <w:sz w:val="24"/>
          <w:szCs w:val="24"/>
        </w:rPr>
        <w:t>li</w:t>
      </w:r>
      <w:r w:rsidR="00863CAF" w:rsidRPr="005C3EF8">
        <w:rPr>
          <w:rFonts w:ascii="Times New Roman" w:hAnsi="Times New Roman" w:cs="Times New Roman"/>
          <w:sz w:val="24"/>
          <w:szCs w:val="24"/>
        </w:rPr>
        <w:t>za</w:t>
      </w:r>
      <w:r w:rsidR="008154F7" w:rsidRPr="005C3EF8">
        <w:rPr>
          <w:rFonts w:ascii="Times New Roman" w:hAnsi="Times New Roman" w:cs="Times New Roman"/>
          <w:sz w:val="24"/>
          <w:szCs w:val="24"/>
        </w:rPr>
        <w:t xml:space="preserve"> </w:t>
      </w:r>
      <w:r w:rsidRPr="005C3EF8">
        <w:rPr>
          <w:rFonts w:ascii="Times New Roman" w:hAnsi="Times New Roman" w:cs="Times New Roman"/>
          <w:sz w:val="24"/>
          <w:szCs w:val="24"/>
        </w:rPr>
        <w:t>la</w:t>
      </w:r>
      <w:r w:rsidR="00DE09B5" w:rsidRPr="005C3EF8">
        <w:rPr>
          <w:rFonts w:ascii="Times New Roman" w:hAnsi="Times New Roman" w:cs="Times New Roman"/>
          <w:sz w:val="24"/>
          <w:szCs w:val="24"/>
        </w:rPr>
        <w:t xml:space="preserve"> naturaleza </w:t>
      </w:r>
      <w:r w:rsidR="00451A58" w:rsidRPr="005C3EF8">
        <w:rPr>
          <w:rFonts w:ascii="Times New Roman" w:hAnsi="Times New Roman" w:cs="Times New Roman"/>
          <w:sz w:val="24"/>
          <w:szCs w:val="24"/>
        </w:rPr>
        <w:t xml:space="preserve">potencialmente </w:t>
      </w:r>
      <w:r w:rsidR="00DE09B5" w:rsidRPr="005C3EF8">
        <w:rPr>
          <w:rFonts w:ascii="Times New Roman" w:hAnsi="Times New Roman" w:cs="Times New Roman"/>
          <w:sz w:val="24"/>
          <w:szCs w:val="24"/>
        </w:rPr>
        <w:t xml:space="preserve">anticompetitiva de ciertas prácticas </w:t>
      </w:r>
      <w:r w:rsidR="00451A58" w:rsidRPr="005C3EF8">
        <w:rPr>
          <w:rFonts w:ascii="Times New Roman" w:hAnsi="Times New Roman" w:cs="Times New Roman"/>
          <w:sz w:val="24"/>
          <w:szCs w:val="24"/>
        </w:rPr>
        <w:t>que tienen lugar en las fases de originación y sindicación</w:t>
      </w:r>
      <w:r w:rsidR="00C7439B" w:rsidRPr="005C3EF8">
        <w:rPr>
          <w:rFonts w:ascii="Times New Roman" w:hAnsi="Times New Roman" w:cs="Times New Roman"/>
          <w:sz w:val="24"/>
          <w:szCs w:val="24"/>
        </w:rPr>
        <w:t xml:space="preserve"> en el mercado primario</w:t>
      </w:r>
      <w:r w:rsidR="005E4C3C" w:rsidRPr="005C3EF8">
        <w:rPr>
          <w:rFonts w:ascii="Times New Roman" w:hAnsi="Times New Roman" w:cs="Times New Roman"/>
          <w:sz w:val="24"/>
          <w:szCs w:val="24"/>
        </w:rPr>
        <w:t xml:space="preserve">, </w:t>
      </w:r>
      <w:r w:rsidR="00FB5B16">
        <w:rPr>
          <w:rFonts w:ascii="Times New Roman" w:hAnsi="Times New Roman" w:cs="Times New Roman"/>
          <w:sz w:val="24"/>
          <w:szCs w:val="24"/>
        </w:rPr>
        <w:t>esto es</w:t>
      </w:r>
      <w:r w:rsidR="005E4C3C" w:rsidRPr="005C3EF8">
        <w:rPr>
          <w:rFonts w:ascii="Times New Roman" w:hAnsi="Times New Roman" w:cs="Times New Roman"/>
          <w:sz w:val="24"/>
          <w:szCs w:val="24"/>
        </w:rPr>
        <w:t>, los sondeos de mercado entre la solicitud de financiación y la suscripción de la carta de mandato, las actuaciones del MLA como facilitador de un cártel y las prácticas anticompetitivas de las entidades colocadoras en posición de dominio colectiva</w:t>
      </w:r>
      <w:r w:rsidR="00C7439B" w:rsidRPr="005C3EF8">
        <w:rPr>
          <w:rFonts w:ascii="Times New Roman" w:hAnsi="Times New Roman" w:cs="Times New Roman"/>
          <w:sz w:val="24"/>
          <w:szCs w:val="24"/>
        </w:rPr>
        <w:t>.</w:t>
      </w:r>
      <w:r w:rsidR="00974E7F" w:rsidRPr="005C3EF8">
        <w:rPr>
          <w:rFonts w:ascii="Times New Roman" w:hAnsi="Times New Roman" w:cs="Times New Roman"/>
          <w:sz w:val="24"/>
          <w:szCs w:val="24"/>
        </w:rPr>
        <w:t xml:space="preserve"> </w:t>
      </w:r>
    </w:p>
    <w:sectPr w:rsidR="00103CB6" w:rsidRPr="005C3EF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CA9" w:rsidRDefault="00ED7CA9" w:rsidP="009D2893">
      <w:pPr>
        <w:spacing w:after="0" w:line="240" w:lineRule="auto"/>
      </w:pPr>
      <w:r>
        <w:separator/>
      </w:r>
    </w:p>
  </w:endnote>
  <w:endnote w:type="continuationSeparator" w:id="0">
    <w:p w:rsidR="00ED7CA9" w:rsidRDefault="00ED7CA9" w:rsidP="009D2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CA9" w:rsidRDefault="00ED7CA9" w:rsidP="009D2893">
      <w:pPr>
        <w:spacing w:after="0" w:line="240" w:lineRule="auto"/>
      </w:pPr>
      <w:r>
        <w:separator/>
      </w:r>
    </w:p>
  </w:footnote>
  <w:footnote w:type="continuationSeparator" w:id="0">
    <w:p w:rsidR="00ED7CA9" w:rsidRDefault="00ED7CA9" w:rsidP="009D2893">
      <w:pPr>
        <w:spacing w:after="0" w:line="240" w:lineRule="auto"/>
      </w:pPr>
      <w:r>
        <w:continuationSeparator/>
      </w:r>
    </w:p>
  </w:footnote>
  <w:footnote w:id="1">
    <w:p w:rsidR="00E14622" w:rsidRPr="00FB5B16" w:rsidRDefault="00E14622" w:rsidP="00374FBE">
      <w:pPr>
        <w:pStyle w:val="Textonotapie"/>
        <w:spacing w:line="288" w:lineRule="auto"/>
        <w:jc w:val="both"/>
        <w:rPr>
          <w:rFonts w:ascii="Times New Roman" w:hAnsi="Times New Roman" w:cs="Times New Roman"/>
          <w:sz w:val="18"/>
          <w:szCs w:val="18"/>
        </w:rPr>
      </w:pPr>
      <w:r w:rsidRPr="00FB5B16">
        <w:rPr>
          <w:rStyle w:val="Refdenotaalpie"/>
          <w:rFonts w:ascii="Times New Roman" w:hAnsi="Times New Roman" w:cs="Times New Roman"/>
          <w:sz w:val="18"/>
          <w:szCs w:val="18"/>
        </w:rPr>
        <w:footnoteRef/>
      </w:r>
      <w:r w:rsidRPr="00FB5B16">
        <w:rPr>
          <w:rFonts w:ascii="Times New Roman" w:hAnsi="Times New Roman" w:cs="Times New Roman"/>
          <w:sz w:val="18"/>
          <w:szCs w:val="18"/>
        </w:rPr>
        <w:t xml:space="preserve"> Management Plan 2017, </w:t>
      </w:r>
      <w:hyperlink r:id="rId1" w:history="1">
        <w:r w:rsidRPr="00FB5B16">
          <w:rPr>
            <w:rStyle w:val="Hipervnculo"/>
            <w:rFonts w:ascii="Times New Roman" w:hAnsi="Times New Roman" w:cs="Times New Roman"/>
            <w:sz w:val="18"/>
            <w:szCs w:val="18"/>
          </w:rPr>
          <w:t>https://ec.europa.eu/info/sites/info/files/file_import/management-plan-comp-2017_en_0.pdf</w:t>
        </w:r>
      </w:hyperlink>
      <w:r w:rsidRPr="00FB5B16">
        <w:rPr>
          <w:rFonts w:ascii="Times New Roman" w:hAnsi="Times New Roman" w:cs="Times New Roman"/>
          <w:sz w:val="18"/>
          <w:szCs w:val="18"/>
        </w:rPr>
        <w:t xml:space="preserve"> (último acceso 21/0</w:t>
      </w:r>
      <w:r w:rsidR="00FB5B16" w:rsidRPr="00FB5B16">
        <w:rPr>
          <w:rFonts w:ascii="Times New Roman" w:hAnsi="Times New Roman" w:cs="Times New Roman"/>
          <w:sz w:val="18"/>
          <w:szCs w:val="18"/>
        </w:rPr>
        <w:t>2</w:t>
      </w:r>
      <w:r w:rsidRPr="00FB5B16">
        <w:rPr>
          <w:rFonts w:ascii="Times New Roman" w:hAnsi="Times New Roman" w:cs="Times New Roman"/>
          <w:sz w:val="18"/>
          <w:szCs w:val="18"/>
        </w:rPr>
        <w:t>/201</w:t>
      </w:r>
      <w:r w:rsidR="00FB5B16" w:rsidRPr="00FB5B16">
        <w:rPr>
          <w:rFonts w:ascii="Times New Roman" w:hAnsi="Times New Roman" w:cs="Times New Roman"/>
          <w:sz w:val="18"/>
          <w:szCs w:val="18"/>
        </w:rPr>
        <w:t>8</w:t>
      </w:r>
      <w:r w:rsidRPr="00FB5B16">
        <w:rPr>
          <w:rFonts w:ascii="Times New Roman" w:hAnsi="Times New Roman" w:cs="Times New Roman"/>
          <w:sz w:val="18"/>
          <w:szCs w:val="18"/>
        </w:rPr>
        <w:t>), véase pág. 11 y nota al pie 31.</w:t>
      </w:r>
    </w:p>
  </w:footnote>
  <w:footnote w:id="2">
    <w:p w:rsidR="00E14622" w:rsidRPr="00FB5B16" w:rsidRDefault="00E14622" w:rsidP="00374FBE">
      <w:pPr>
        <w:pStyle w:val="Textonotapie"/>
        <w:spacing w:line="288" w:lineRule="auto"/>
        <w:jc w:val="both"/>
        <w:rPr>
          <w:rFonts w:ascii="Times New Roman" w:hAnsi="Times New Roman" w:cs="Times New Roman"/>
          <w:sz w:val="18"/>
          <w:szCs w:val="18"/>
        </w:rPr>
      </w:pPr>
      <w:r w:rsidRPr="00FB5B16">
        <w:rPr>
          <w:rStyle w:val="Refdenotaalpie"/>
          <w:rFonts w:ascii="Times New Roman" w:hAnsi="Times New Roman" w:cs="Times New Roman"/>
          <w:sz w:val="18"/>
          <w:szCs w:val="18"/>
        </w:rPr>
        <w:footnoteRef/>
      </w:r>
      <w:r w:rsidRPr="00FB5B16">
        <w:rPr>
          <w:rFonts w:ascii="Times New Roman" w:hAnsi="Times New Roman" w:cs="Times New Roman"/>
          <w:sz w:val="18"/>
          <w:szCs w:val="18"/>
        </w:rPr>
        <w:t xml:space="preserve"> Véase </w:t>
      </w:r>
      <w:r w:rsidRPr="00FB5B16">
        <w:rPr>
          <w:rFonts w:ascii="Times New Roman" w:hAnsi="Times New Roman" w:cs="Times New Roman"/>
          <w:i/>
          <w:sz w:val="18"/>
          <w:szCs w:val="18"/>
        </w:rPr>
        <w:t>FCA Regulation Round-up</w:t>
      </w:r>
      <w:r w:rsidRPr="00FB5B16">
        <w:rPr>
          <w:rFonts w:ascii="Times New Roman" w:hAnsi="Times New Roman" w:cs="Times New Roman"/>
          <w:sz w:val="18"/>
          <w:szCs w:val="18"/>
        </w:rPr>
        <w:t xml:space="preserve">, febrero de 2017: </w:t>
      </w:r>
      <w:hyperlink r:id="rId2" w:history="1">
        <w:r w:rsidRPr="00FB5B16">
          <w:rPr>
            <w:rStyle w:val="Hipervnculo"/>
            <w:rFonts w:ascii="Times New Roman" w:hAnsi="Times New Roman" w:cs="Times New Roman"/>
            <w:sz w:val="18"/>
            <w:szCs w:val="18"/>
          </w:rPr>
          <w:t>https://www.fca.org.uk/publication/documents/rru-february-2017.pdf</w:t>
        </w:r>
      </w:hyperlink>
      <w:r w:rsidRPr="00FB5B16">
        <w:rPr>
          <w:rFonts w:ascii="Times New Roman" w:hAnsi="Times New Roman" w:cs="Times New Roman"/>
          <w:sz w:val="18"/>
          <w:szCs w:val="18"/>
        </w:rPr>
        <w:t xml:space="preserve">. La </w:t>
      </w:r>
      <w:r w:rsidRPr="00FB5B16">
        <w:rPr>
          <w:rFonts w:ascii="Times New Roman" w:hAnsi="Times New Roman" w:cs="Times New Roman"/>
          <w:i/>
          <w:sz w:val="18"/>
          <w:szCs w:val="18"/>
        </w:rPr>
        <w:t>Financial Conduct Authority</w:t>
      </w:r>
      <w:r w:rsidRPr="00FB5B16">
        <w:rPr>
          <w:rFonts w:ascii="Times New Roman" w:hAnsi="Times New Roman" w:cs="Times New Roman"/>
          <w:sz w:val="18"/>
          <w:szCs w:val="18"/>
        </w:rPr>
        <w:t xml:space="preserve"> del Reino Unido ya trató algunos problemas asociados a los contratos de financiación sindicada en su informe de octubre de 2016 y descartó, en principio, su naturaleza anticompetitiva. Véase informe final de octubre de 2016: </w:t>
      </w:r>
      <w:hyperlink r:id="rId3" w:history="1">
        <w:r w:rsidRPr="00FB5B16">
          <w:rPr>
            <w:rStyle w:val="Hipervnculo"/>
            <w:rFonts w:ascii="Times New Roman" w:hAnsi="Times New Roman" w:cs="Times New Roman"/>
            <w:sz w:val="18"/>
            <w:szCs w:val="18"/>
          </w:rPr>
          <w:t>https://www.fca.org.uk/publications/market-studies/investment-corporate-banking</w:t>
        </w:r>
      </w:hyperlink>
      <w:r w:rsidRPr="00FB5B16">
        <w:rPr>
          <w:rFonts w:ascii="Times New Roman" w:hAnsi="Times New Roman" w:cs="Times New Roman"/>
          <w:sz w:val="18"/>
          <w:szCs w:val="18"/>
        </w:rPr>
        <w:t xml:space="preserve"> (último acceso 2</w:t>
      </w:r>
      <w:r w:rsidR="00FB5B16">
        <w:rPr>
          <w:rFonts w:ascii="Times New Roman" w:hAnsi="Times New Roman" w:cs="Times New Roman"/>
          <w:sz w:val="18"/>
          <w:szCs w:val="18"/>
        </w:rPr>
        <w:t>2</w:t>
      </w:r>
      <w:r w:rsidRPr="00FB5B16">
        <w:rPr>
          <w:rFonts w:ascii="Times New Roman" w:hAnsi="Times New Roman" w:cs="Times New Roman"/>
          <w:sz w:val="18"/>
          <w:szCs w:val="18"/>
        </w:rPr>
        <w:t>/0</w:t>
      </w:r>
      <w:r w:rsidR="00FB5B16">
        <w:rPr>
          <w:rFonts w:ascii="Times New Roman" w:hAnsi="Times New Roman" w:cs="Times New Roman"/>
          <w:sz w:val="18"/>
          <w:szCs w:val="18"/>
        </w:rPr>
        <w:t>2</w:t>
      </w:r>
      <w:r w:rsidRPr="00FB5B16">
        <w:rPr>
          <w:rFonts w:ascii="Times New Roman" w:hAnsi="Times New Roman" w:cs="Times New Roman"/>
          <w:sz w:val="18"/>
          <w:szCs w:val="18"/>
        </w:rPr>
        <w:t>/201</w:t>
      </w:r>
      <w:r w:rsidR="00FB5B16">
        <w:rPr>
          <w:rFonts w:ascii="Times New Roman" w:hAnsi="Times New Roman" w:cs="Times New Roman"/>
          <w:sz w:val="18"/>
          <w:szCs w:val="18"/>
        </w:rPr>
        <w:t>8</w:t>
      </w:r>
      <w:bookmarkStart w:id="0" w:name="_GoBack"/>
      <w:bookmarkEnd w:id="0"/>
      <w:r w:rsidRPr="00FB5B16">
        <w:rPr>
          <w:rFonts w:ascii="Times New Roman" w:hAnsi="Times New Roman" w:cs="Times New Roman"/>
          <w:sz w:val="18"/>
          <w:szCs w:val="18"/>
        </w:rPr>
        <w:t xml:space="preserve">). </w:t>
      </w:r>
    </w:p>
  </w:footnote>
  <w:footnote w:id="3">
    <w:p w:rsidR="00E14622" w:rsidRPr="00316898" w:rsidRDefault="00E14622" w:rsidP="00374FBE">
      <w:pPr>
        <w:pStyle w:val="Textonotapie"/>
        <w:spacing w:line="288" w:lineRule="auto"/>
        <w:jc w:val="both"/>
        <w:rPr>
          <w:rFonts w:ascii="Arial" w:hAnsi="Arial" w:cs="Arial"/>
          <w:sz w:val="18"/>
          <w:szCs w:val="18"/>
        </w:rPr>
      </w:pPr>
      <w:r w:rsidRPr="00FB5B16">
        <w:rPr>
          <w:rStyle w:val="Refdenotaalpie"/>
          <w:rFonts w:ascii="Times New Roman" w:hAnsi="Times New Roman" w:cs="Times New Roman"/>
          <w:sz w:val="18"/>
          <w:szCs w:val="18"/>
        </w:rPr>
        <w:footnoteRef/>
      </w:r>
      <w:r w:rsidRPr="00FB5B16">
        <w:rPr>
          <w:rFonts w:ascii="Times New Roman" w:hAnsi="Times New Roman" w:cs="Times New Roman"/>
          <w:sz w:val="18"/>
          <w:szCs w:val="18"/>
        </w:rPr>
        <w:t xml:space="preserve"> Véase nota de prensa de 7 de abril de 2016: “La CNMC incoa expediente sancionador contra Banco Bilbao Vizcaya Argentaria, Banco Sabadell, Banco Santander y Caixabank por posibles prácticas restrictivas de la competencia”</w:t>
      </w:r>
      <w:r w:rsidR="00020AE8" w:rsidRPr="00FB5B16">
        <w:rPr>
          <w:rFonts w:ascii="Times New Roman" w:hAnsi="Times New Roman" w:cs="Times New Roman"/>
          <w:sz w:val="18"/>
          <w:szCs w:val="18"/>
        </w:rPr>
        <w:t>:</w:t>
      </w:r>
      <w:r w:rsidRPr="00FB5B16">
        <w:rPr>
          <w:rFonts w:ascii="Times New Roman" w:hAnsi="Times New Roman" w:cs="Times New Roman"/>
          <w:sz w:val="18"/>
          <w:szCs w:val="18"/>
        </w:rPr>
        <w:t xml:space="preserve"> </w:t>
      </w:r>
      <w:hyperlink r:id="rId4" w:history="1">
        <w:r w:rsidRPr="00FB5B16">
          <w:rPr>
            <w:rStyle w:val="Hipervnculo"/>
            <w:rFonts w:ascii="Times New Roman" w:hAnsi="Times New Roman" w:cs="Times New Roman"/>
            <w:sz w:val="18"/>
            <w:szCs w:val="18"/>
          </w:rPr>
          <w:t>https://www.cnmc.es/node/232272</w:t>
        </w:r>
      </w:hyperlink>
      <w:r w:rsidRPr="00FB5B16">
        <w:rPr>
          <w:rFonts w:ascii="Times New Roman" w:hAnsi="Times New Roman" w:cs="Times New Roman"/>
          <w:sz w:val="18"/>
          <w:szCs w:val="18"/>
        </w:rPr>
        <w:t xml:space="preserve"> (último acceso 21/03/2017). El pliego de concreción de hechos parece que fue remitido a las cuatro entidades afectadas en enero de 2017. Véase: </w:t>
      </w:r>
      <w:hyperlink r:id="rId5" w:history="1">
        <w:r w:rsidRPr="00FB5B16">
          <w:rPr>
            <w:rStyle w:val="Hipervnculo"/>
            <w:rFonts w:ascii="Times New Roman" w:hAnsi="Times New Roman" w:cs="Times New Roman"/>
            <w:sz w:val="18"/>
            <w:szCs w:val="18"/>
          </w:rPr>
          <w:t>http://cincodias.elpais.com/cincodias/2017/01/24/mercados/1485285611_808237.html</w:t>
        </w:r>
      </w:hyperlink>
      <w:r w:rsidRPr="00FB5B16">
        <w:rPr>
          <w:rFonts w:ascii="Times New Roman" w:hAnsi="Times New Roman" w:cs="Times New Roman"/>
          <w:sz w:val="18"/>
          <w:szCs w:val="18"/>
        </w:rPr>
        <w:t xml:space="preserve"> (último acceso </w:t>
      </w:r>
      <w:r w:rsidR="00FB5B16" w:rsidRPr="00FB5B16">
        <w:rPr>
          <w:rFonts w:ascii="Times New Roman" w:hAnsi="Times New Roman" w:cs="Times New Roman"/>
          <w:sz w:val="18"/>
          <w:szCs w:val="18"/>
        </w:rPr>
        <w:t>22</w:t>
      </w:r>
      <w:r w:rsidRPr="00FB5B16">
        <w:rPr>
          <w:rFonts w:ascii="Times New Roman" w:hAnsi="Times New Roman" w:cs="Times New Roman"/>
          <w:sz w:val="18"/>
          <w:szCs w:val="18"/>
        </w:rPr>
        <w:t>/0</w:t>
      </w:r>
      <w:r w:rsidR="00FB5B16" w:rsidRPr="00FB5B16">
        <w:rPr>
          <w:rFonts w:ascii="Times New Roman" w:hAnsi="Times New Roman" w:cs="Times New Roman"/>
          <w:sz w:val="18"/>
          <w:szCs w:val="18"/>
        </w:rPr>
        <w:t>2</w:t>
      </w:r>
      <w:r w:rsidRPr="00FB5B16">
        <w:rPr>
          <w:rFonts w:ascii="Times New Roman" w:hAnsi="Times New Roman" w:cs="Times New Roman"/>
          <w:sz w:val="18"/>
          <w:szCs w:val="18"/>
        </w:rPr>
        <w:t>/201</w:t>
      </w:r>
      <w:r w:rsidR="00FB5B16" w:rsidRPr="00FB5B16">
        <w:rPr>
          <w:rFonts w:ascii="Times New Roman" w:hAnsi="Times New Roman" w:cs="Times New Roman"/>
          <w:sz w:val="18"/>
          <w:szCs w:val="18"/>
        </w:rPr>
        <w:t>8</w:t>
      </w:r>
      <w:r w:rsidRPr="00FB5B16">
        <w:rPr>
          <w:rFonts w:ascii="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0D1"/>
    <w:multiLevelType w:val="hybridMultilevel"/>
    <w:tmpl w:val="FA6A6186"/>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885B37"/>
    <w:multiLevelType w:val="multilevel"/>
    <w:tmpl w:val="C4C691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9452479"/>
    <w:multiLevelType w:val="hybridMultilevel"/>
    <w:tmpl w:val="21144BA6"/>
    <w:lvl w:ilvl="0" w:tplc="BD74BC10">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AFF525F"/>
    <w:multiLevelType w:val="hybridMultilevel"/>
    <w:tmpl w:val="246003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990F72"/>
    <w:multiLevelType w:val="hybridMultilevel"/>
    <w:tmpl w:val="81B434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053038"/>
    <w:multiLevelType w:val="hybridMultilevel"/>
    <w:tmpl w:val="5A7C9F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0"/>
  </w:num>
  <w:num w:numId="5">
    <w:abstractNumId w:val="4"/>
  </w:num>
  <w:num w:numId="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93"/>
    <w:rsid w:val="000007BB"/>
    <w:rsid w:val="00000AF1"/>
    <w:rsid w:val="000030F0"/>
    <w:rsid w:val="00003D66"/>
    <w:rsid w:val="00004733"/>
    <w:rsid w:val="00004C19"/>
    <w:rsid w:val="000108DE"/>
    <w:rsid w:val="00012826"/>
    <w:rsid w:val="00012AF9"/>
    <w:rsid w:val="00016156"/>
    <w:rsid w:val="00016D79"/>
    <w:rsid w:val="0001704A"/>
    <w:rsid w:val="00020893"/>
    <w:rsid w:val="00020A06"/>
    <w:rsid w:val="00020AE8"/>
    <w:rsid w:val="00022503"/>
    <w:rsid w:val="00023768"/>
    <w:rsid w:val="00024919"/>
    <w:rsid w:val="00031534"/>
    <w:rsid w:val="00031668"/>
    <w:rsid w:val="00031C70"/>
    <w:rsid w:val="000342EC"/>
    <w:rsid w:val="000366B9"/>
    <w:rsid w:val="0004167E"/>
    <w:rsid w:val="00042C45"/>
    <w:rsid w:val="0004411B"/>
    <w:rsid w:val="00046F7F"/>
    <w:rsid w:val="0005175F"/>
    <w:rsid w:val="00052837"/>
    <w:rsid w:val="000539FD"/>
    <w:rsid w:val="00053E37"/>
    <w:rsid w:val="00054F69"/>
    <w:rsid w:val="00066B6A"/>
    <w:rsid w:val="00070CB1"/>
    <w:rsid w:val="0007269F"/>
    <w:rsid w:val="00073BD7"/>
    <w:rsid w:val="0007406A"/>
    <w:rsid w:val="00074C86"/>
    <w:rsid w:val="0007508D"/>
    <w:rsid w:val="000753BD"/>
    <w:rsid w:val="0007594F"/>
    <w:rsid w:val="0007655B"/>
    <w:rsid w:val="00082F9A"/>
    <w:rsid w:val="0008377D"/>
    <w:rsid w:val="00084174"/>
    <w:rsid w:val="000857E5"/>
    <w:rsid w:val="000919B1"/>
    <w:rsid w:val="00092D1B"/>
    <w:rsid w:val="000946D7"/>
    <w:rsid w:val="000947E2"/>
    <w:rsid w:val="00095858"/>
    <w:rsid w:val="00095EB5"/>
    <w:rsid w:val="0009678B"/>
    <w:rsid w:val="00097399"/>
    <w:rsid w:val="000A06D5"/>
    <w:rsid w:val="000A1FD1"/>
    <w:rsid w:val="000A36F0"/>
    <w:rsid w:val="000A5404"/>
    <w:rsid w:val="000A6B0D"/>
    <w:rsid w:val="000A7BF6"/>
    <w:rsid w:val="000A7DE2"/>
    <w:rsid w:val="000B0911"/>
    <w:rsid w:val="000B1063"/>
    <w:rsid w:val="000B55EA"/>
    <w:rsid w:val="000B6536"/>
    <w:rsid w:val="000B780F"/>
    <w:rsid w:val="000B7A57"/>
    <w:rsid w:val="000B7B2E"/>
    <w:rsid w:val="000C2821"/>
    <w:rsid w:val="000C3406"/>
    <w:rsid w:val="000C43EF"/>
    <w:rsid w:val="000C6CA8"/>
    <w:rsid w:val="000C7C47"/>
    <w:rsid w:val="000D057D"/>
    <w:rsid w:val="000D0E3E"/>
    <w:rsid w:val="000D2D93"/>
    <w:rsid w:val="000D58BE"/>
    <w:rsid w:val="000D7870"/>
    <w:rsid w:val="000D79DC"/>
    <w:rsid w:val="000D7ACF"/>
    <w:rsid w:val="000E28E7"/>
    <w:rsid w:val="000E2EF1"/>
    <w:rsid w:val="000E4502"/>
    <w:rsid w:val="000E4A01"/>
    <w:rsid w:val="000E567D"/>
    <w:rsid w:val="000E733C"/>
    <w:rsid w:val="000F006D"/>
    <w:rsid w:val="000F15A0"/>
    <w:rsid w:val="000F5F36"/>
    <w:rsid w:val="000F7674"/>
    <w:rsid w:val="00101B11"/>
    <w:rsid w:val="00103CB6"/>
    <w:rsid w:val="001063EE"/>
    <w:rsid w:val="001065AF"/>
    <w:rsid w:val="0011385E"/>
    <w:rsid w:val="001146F4"/>
    <w:rsid w:val="00116B87"/>
    <w:rsid w:val="00117018"/>
    <w:rsid w:val="00117790"/>
    <w:rsid w:val="0012457C"/>
    <w:rsid w:val="001245B1"/>
    <w:rsid w:val="001305CB"/>
    <w:rsid w:val="00130A09"/>
    <w:rsid w:val="00132349"/>
    <w:rsid w:val="0013355E"/>
    <w:rsid w:val="00133700"/>
    <w:rsid w:val="00136492"/>
    <w:rsid w:val="00137CFD"/>
    <w:rsid w:val="00141A1A"/>
    <w:rsid w:val="001435A9"/>
    <w:rsid w:val="001435E3"/>
    <w:rsid w:val="00143C56"/>
    <w:rsid w:val="001451E5"/>
    <w:rsid w:val="00145752"/>
    <w:rsid w:val="00147207"/>
    <w:rsid w:val="00150F47"/>
    <w:rsid w:val="00157EE7"/>
    <w:rsid w:val="00160E4C"/>
    <w:rsid w:val="001614C7"/>
    <w:rsid w:val="00161640"/>
    <w:rsid w:val="0016414C"/>
    <w:rsid w:val="0016553F"/>
    <w:rsid w:val="00167F88"/>
    <w:rsid w:val="00170CCC"/>
    <w:rsid w:val="00172142"/>
    <w:rsid w:val="0017427F"/>
    <w:rsid w:val="0017542D"/>
    <w:rsid w:val="00175DDE"/>
    <w:rsid w:val="00176356"/>
    <w:rsid w:val="001764C9"/>
    <w:rsid w:val="00176A6F"/>
    <w:rsid w:val="0018194C"/>
    <w:rsid w:val="00182E3F"/>
    <w:rsid w:val="00183986"/>
    <w:rsid w:val="0018399A"/>
    <w:rsid w:val="0018583A"/>
    <w:rsid w:val="00192CD6"/>
    <w:rsid w:val="001931EB"/>
    <w:rsid w:val="00194CA5"/>
    <w:rsid w:val="00196114"/>
    <w:rsid w:val="00197612"/>
    <w:rsid w:val="001977AF"/>
    <w:rsid w:val="001A0826"/>
    <w:rsid w:val="001A2897"/>
    <w:rsid w:val="001A5243"/>
    <w:rsid w:val="001A60EA"/>
    <w:rsid w:val="001B048F"/>
    <w:rsid w:val="001B3A54"/>
    <w:rsid w:val="001B3CD4"/>
    <w:rsid w:val="001B712E"/>
    <w:rsid w:val="001C00F2"/>
    <w:rsid w:val="001C1A66"/>
    <w:rsid w:val="001C53CB"/>
    <w:rsid w:val="001D0C13"/>
    <w:rsid w:val="001D1865"/>
    <w:rsid w:val="001D405C"/>
    <w:rsid w:val="001D5DDC"/>
    <w:rsid w:val="001D6D2E"/>
    <w:rsid w:val="001D6E56"/>
    <w:rsid w:val="001D715C"/>
    <w:rsid w:val="001E0F18"/>
    <w:rsid w:val="001E7151"/>
    <w:rsid w:val="001F0D5C"/>
    <w:rsid w:val="001F1010"/>
    <w:rsid w:val="001F2735"/>
    <w:rsid w:val="001F3924"/>
    <w:rsid w:val="001F6AC3"/>
    <w:rsid w:val="001F7551"/>
    <w:rsid w:val="001F77F7"/>
    <w:rsid w:val="001F7B2D"/>
    <w:rsid w:val="00203A70"/>
    <w:rsid w:val="002046F3"/>
    <w:rsid w:val="00206081"/>
    <w:rsid w:val="0020784B"/>
    <w:rsid w:val="00211833"/>
    <w:rsid w:val="00214339"/>
    <w:rsid w:val="00215848"/>
    <w:rsid w:val="0021690D"/>
    <w:rsid w:val="002265E2"/>
    <w:rsid w:val="00226831"/>
    <w:rsid w:val="00227BCB"/>
    <w:rsid w:val="00227C90"/>
    <w:rsid w:val="00230061"/>
    <w:rsid w:val="00230920"/>
    <w:rsid w:val="00230EA1"/>
    <w:rsid w:val="00234886"/>
    <w:rsid w:val="00235437"/>
    <w:rsid w:val="00240103"/>
    <w:rsid w:val="002415CD"/>
    <w:rsid w:val="00241AFA"/>
    <w:rsid w:val="00243DCD"/>
    <w:rsid w:val="002444F6"/>
    <w:rsid w:val="0025043A"/>
    <w:rsid w:val="002514A6"/>
    <w:rsid w:val="002563A3"/>
    <w:rsid w:val="002617D6"/>
    <w:rsid w:val="00262A5B"/>
    <w:rsid w:val="002641ED"/>
    <w:rsid w:val="00264AD7"/>
    <w:rsid w:val="00265662"/>
    <w:rsid w:val="0026700F"/>
    <w:rsid w:val="00270E52"/>
    <w:rsid w:val="00271183"/>
    <w:rsid w:val="00272532"/>
    <w:rsid w:val="00272AE1"/>
    <w:rsid w:val="0027483F"/>
    <w:rsid w:val="00280539"/>
    <w:rsid w:val="0028313A"/>
    <w:rsid w:val="00284ED3"/>
    <w:rsid w:val="002858C6"/>
    <w:rsid w:val="00292366"/>
    <w:rsid w:val="00294459"/>
    <w:rsid w:val="00295052"/>
    <w:rsid w:val="0029719F"/>
    <w:rsid w:val="00297349"/>
    <w:rsid w:val="002A1A86"/>
    <w:rsid w:val="002A36D7"/>
    <w:rsid w:val="002A4AB1"/>
    <w:rsid w:val="002A606A"/>
    <w:rsid w:val="002B0986"/>
    <w:rsid w:val="002B09AE"/>
    <w:rsid w:val="002B0F9E"/>
    <w:rsid w:val="002B2C80"/>
    <w:rsid w:val="002B2D98"/>
    <w:rsid w:val="002B5AD5"/>
    <w:rsid w:val="002B5F9B"/>
    <w:rsid w:val="002B67AB"/>
    <w:rsid w:val="002C04C1"/>
    <w:rsid w:val="002C4129"/>
    <w:rsid w:val="002C4A8B"/>
    <w:rsid w:val="002C5387"/>
    <w:rsid w:val="002D0B3D"/>
    <w:rsid w:val="002D2FA3"/>
    <w:rsid w:val="002D4051"/>
    <w:rsid w:val="002D6034"/>
    <w:rsid w:val="002D7937"/>
    <w:rsid w:val="002E0C41"/>
    <w:rsid w:val="002E64AE"/>
    <w:rsid w:val="002E74A8"/>
    <w:rsid w:val="002F09A8"/>
    <w:rsid w:val="002F3C36"/>
    <w:rsid w:val="002F61FF"/>
    <w:rsid w:val="002F62A7"/>
    <w:rsid w:val="002F7044"/>
    <w:rsid w:val="002F7898"/>
    <w:rsid w:val="002F7FAC"/>
    <w:rsid w:val="0030283B"/>
    <w:rsid w:val="00303BD5"/>
    <w:rsid w:val="00305C46"/>
    <w:rsid w:val="00306877"/>
    <w:rsid w:val="003104B5"/>
    <w:rsid w:val="003105AA"/>
    <w:rsid w:val="00313073"/>
    <w:rsid w:val="00316898"/>
    <w:rsid w:val="00320552"/>
    <w:rsid w:val="003207A5"/>
    <w:rsid w:val="003212BE"/>
    <w:rsid w:val="0032143C"/>
    <w:rsid w:val="00321A2B"/>
    <w:rsid w:val="00323163"/>
    <w:rsid w:val="00323C92"/>
    <w:rsid w:val="003240A0"/>
    <w:rsid w:val="00325756"/>
    <w:rsid w:val="00325F2A"/>
    <w:rsid w:val="003264C3"/>
    <w:rsid w:val="00327EA2"/>
    <w:rsid w:val="00334F7F"/>
    <w:rsid w:val="0033563E"/>
    <w:rsid w:val="00335C12"/>
    <w:rsid w:val="003363C5"/>
    <w:rsid w:val="00336FD7"/>
    <w:rsid w:val="00337B9E"/>
    <w:rsid w:val="00337F4A"/>
    <w:rsid w:val="003413D2"/>
    <w:rsid w:val="00342B78"/>
    <w:rsid w:val="00344143"/>
    <w:rsid w:val="00344553"/>
    <w:rsid w:val="00346608"/>
    <w:rsid w:val="00347EF2"/>
    <w:rsid w:val="00353F45"/>
    <w:rsid w:val="00355873"/>
    <w:rsid w:val="0035623B"/>
    <w:rsid w:val="00357C45"/>
    <w:rsid w:val="00361663"/>
    <w:rsid w:val="00362844"/>
    <w:rsid w:val="003646A4"/>
    <w:rsid w:val="00365ADF"/>
    <w:rsid w:val="00366A59"/>
    <w:rsid w:val="00372456"/>
    <w:rsid w:val="00373279"/>
    <w:rsid w:val="003735E5"/>
    <w:rsid w:val="00374FBE"/>
    <w:rsid w:val="00375A84"/>
    <w:rsid w:val="003770A7"/>
    <w:rsid w:val="00377662"/>
    <w:rsid w:val="00383210"/>
    <w:rsid w:val="0038322F"/>
    <w:rsid w:val="00383DFE"/>
    <w:rsid w:val="00387469"/>
    <w:rsid w:val="00391335"/>
    <w:rsid w:val="00392FBF"/>
    <w:rsid w:val="00394FAC"/>
    <w:rsid w:val="00397747"/>
    <w:rsid w:val="003A0F3A"/>
    <w:rsid w:val="003A1331"/>
    <w:rsid w:val="003A1531"/>
    <w:rsid w:val="003A16AA"/>
    <w:rsid w:val="003A19A2"/>
    <w:rsid w:val="003A31F8"/>
    <w:rsid w:val="003A400A"/>
    <w:rsid w:val="003A4B1C"/>
    <w:rsid w:val="003A4C90"/>
    <w:rsid w:val="003A6664"/>
    <w:rsid w:val="003A6EF1"/>
    <w:rsid w:val="003B181C"/>
    <w:rsid w:val="003B1F90"/>
    <w:rsid w:val="003B27E9"/>
    <w:rsid w:val="003B3C4C"/>
    <w:rsid w:val="003B61D4"/>
    <w:rsid w:val="003C0B8F"/>
    <w:rsid w:val="003C507F"/>
    <w:rsid w:val="003C6F54"/>
    <w:rsid w:val="003C733B"/>
    <w:rsid w:val="003D3358"/>
    <w:rsid w:val="003D46D4"/>
    <w:rsid w:val="003D4E19"/>
    <w:rsid w:val="003D5AEB"/>
    <w:rsid w:val="003D69DC"/>
    <w:rsid w:val="003E0AEA"/>
    <w:rsid w:val="003E22F6"/>
    <w:rsid w:val="003F0DCB"/>
    <w:rsid w:val="003F23DE"/>
    <w:rsid w:val="003F382A"/>
    <w:rsid w:val="003F3A2C"/>
    <w:rsid w:val="003F4841"/>
    <w:rsid w:val="003F768E"/>
    <w:rsid w:val="004002FD"/>
    <w:rsid w:val="00404CD9"/>
    <w:rsid w:val="00412073"/>
    <w:rsid w:val="00416807"/>
    <w:rsid w:val="00421D8C"/>
    <w:rsid w:val="00422D72"/>
    <w:rsid w:val="0042437E"/>
    <w:rsid w:val="00424C2B"/>
    <w:rsid w:val="00425767"/>
    <w:rsid w:val="00425D62"/>
    <w:rsid w:val="00427421"/>
    <w:rsid w:val="0042789C"/>
    <w:rsid w:val="00435DCD"/>
    <w:rsid w:val="00441856"/>
    <w:rsid w:val="00441A0F"/>
    <w:rsid w:val="00441C37"/>
    <w:rsid w:val="00442B00"/>
    <w:rsid w:val="004436BC"/>
    <w:rsid w:val="0044452D"/>
    <w:rsid w:val="00444810"/>
    <w:rsid w:val="0044509F"/>
    <w:rsid w:val="00446B36"/>
    <w:rsid w:val="00446F03"/>
    <w:rsid w:val="00450CA5"/>
    <w:rsid w:val="00451137"/>
    <w:rsid w:val="00451A58"/>
    <w:rsid w:val="00453958"/>
    <w:rsid w:val="0045563D"/>
    <w:rsid w:val="00455C20"/>
    <w:rsid w:val="00460134"/>
    <w:rsid w:val="00460E78"/>
    <w:rsid w:val="004618F4"/>
    <w:rsid w:val="004622CF"/>
    <w:rsid w:val="004637AC"/>
    <w:rsid w:val="00464F71"/>
    <w:rsid w:val="00466210"/>
    <w:rsid w:val="00466328"/>
    <w:rsid w:val="004666D0"/>
    <w:rsid w:val="004721B7"/>
    <w:rsid w:val="00474987"/>
    <w:rsid w:val="004767FE"/>
    <w:rsid w:val="00477CB4"/>
    <w:rsid w:val="00480ADB"/>
    <w:rsid w:val="0048225B"/>
    <w:rsid w:val="00483C35"/>
    <w:rsid w:val="004840D9"/>
    <w:rsid w:val="00484CC6"/>
    <w:rsid w:val="00485610"/>
    <w:rsid w:val="00487DB7"/>
    <w:rsid w:val="00491DD7"/>
    <w:rsid w:val="00492B1E"/>
    <w:rsid w:val="00493928"/>
    <w:rsid w:val="004940A2"/>
    <w:rsid w:val="004971E8"/>
    <w:rsid w:val="004978B5"/>
    <w:rsid w:val="004A044D"/>
    <w:rsid w:val="004A097B"/>
    <w:rsid w:val="004A14FD"/>
    <w:rsid w:val="004A1C47"/>
    <w:rsid w:val="004A259E"/>
    <w:rsid w:val="004A296B"/>
    <w:rsid w:val="004A3C37"/>
    <w:rsid w:val="004A5D4D"/>
    <w:rsid w:val="004A61CD"/>
    <w:rsid w:val="004A6591"/>
    <w:rsid w:val="004A6970"/>
    <w:rsid w:val="004B2684"/>
    <w:rsid w:val="004B2C42"/>
    <w:rsid w:val="004B2C5C"/>
    <w:rsid w:val="004B443C"/>
    <w:rsid w:val="004B7AFF"/>
    <w:rsid w:val="004C1F36"/>
    <w:rsid w:val="004C3A3E"/>
    <w:rsid w:val="004C6D36"/>
    <w:rsid w:val="004D6C1E"/>
    <w:rsid w:val="004E03F5"/>
    <w:rsid w:val="004E08D8"/>
    <w:rsid w:val="004E489C"/>
    <w:rsid w:val="004E4C92"/>
    <w:rsid w:val="004E4D67"/>
    <w:rsid w:val="004F4697"/>
    <w:rsid w:val="004F6C56"/>
    <w:rsid w:val="00501A15"/>
    <w:rsid w:val="005042AE"/>
    <w:rsid w:val="005102E6"/>
    <w:rsid w:val="00512F97"/>
    <w:rsid w:val="00512F9A"/>
    <w:rsid w:val="00517AA8"/>
    <w:rsid w:val="005212A7"/>
    <w:rsid w:val="00521501"/>
    <w:rsid w:val="005246B2"/>
    <w:rsid w:val="00526F89"/>
    <w:rsid w:val="00531292"/>
    <w:rsid w:val="005318C9"/>
    <w:rsid w:val="005324B5"/>
    <w:rsid w:val="00533822"/>
    <w:rsid w:val="0053384B"/>
    <w:rsid w:val="00533EDB"/>
    <w:rsid w:val="00533EF3"/>
    <w:rsid w:val="005342A0"/>
    <w:rsid w:val="00534596"/>
    <w:rsid w:val="00535B5C"/>
    <w:rsid w:val="0053761D"/>
    <w:rsid w:val="00537728"/>
    <w:rsid w:val="0054033A"/>
    <w:rsid w:val="0054081F"/>
    <w:rsid w:val="00541D41"/>
    <w:rsid w:val="005420E4"/>
    <w:rsid w:val="00543E98"/>
    <w:rsid w:val="005535CE"/>
    <w:rsid w:val="00553666"/>
    <w:rsid w:val="00554FDE"/>
    <w:rsid w:val="00555E36"/>
    <w:rsid w:val="005613A9"/>
    <w:rsid w:val="0056180C"/>
    <w:rsid w:val="00567AAF"/>
    <w:rsid w:val="00570D56"/>
    <w:rsid w:val="00573C41"/>
    <w:rsid w:val="00575A99"/>
    <w:rsid w:val="00576698"/>
    <w:rsid w:val="00576D66"/>
    <w:rsid w:val="00577015"/>
    <w:rsid w:val="0058055B"/>
    <w:rsid w:val="0058189A"/>
    <w:rsid w:val="005844D7"/>
    <w:rsid w:val="005850A2"/>
    <w:rsid w:val="00590DD3"/>
    <w:rsid w:val="0059147F"/>
    <w:rsid w:val="00591DCB"/>
    <w:rsid w:val="00592D4D"/>
    <w:rsid w:val="0059360E"/>
    <w:rsid w:val="00593B6F"/>
    <w:rsid w:val="00594795"/>
    <w:rsid w:val="00595204"/>
    <w:rsid w:val="00596294"/>
    <w:rsid w:val="005975B7"/>
    <w:rsid w:val="005A092D"/>
    <w:rsid w:val="005A0E9B"/>
    <w:rsid w:val="005A37AF"/>
    <w:rsid w:val="005B0E4A"/>
    <w:rsid w:val="005B1B9B"/>
    <w:rsid w:val="005B318E"/>
    <w:rsid w:val="005B354F"/>
    <w:rsid w:val="005B3904"/>
    <w:rsid w:val="005B7027"/>
    <w:rsid w:val="005C23F1"/>
    <w:rsid w:val="005C3EF8"/>
    <w:rsid w:val="005C5350"/>
    <w:rsid w:val="005C5D9B"/>
    <w:rsid w:val="005C608E"/>
    <w:rsid w:val="005D02A3"/>
    <w:rsid w:val="005D07A8"/>
    <w:rsid w:val="005D152C"/>
    <w:rsid w:val="005D189D"/>
    <w:rsid w:val="005D26C5"/>
    <w:rsid w:val="005D2A2D"/>
    <w:rsid w:val="005D36F3"/>
    <w:rsid w:val="005D3FEB"/>
    <w:rsid w:val="005D5859"/>
    <w:rsid w:val="005D5AAF"/>
    <w:rsid w:val="005D720A"/>
    <w:rsid w:val="005E2749"/>
    <w:rsid w:val="005E4A66"/>
    <w:rsid w:val="005E4C3C"/>
    <w:rsid w:val="005F0ED4"/>
    <w:rsid w:val="005F1AE5"/>
    <w:rsid w:val="005F2B8F"/>
    <w:rsid w:val="005F2F04"/>
    <w:rsid w:val="005F5EA7"/>
    <w:rsid w:val="006029CF"/>
    <w:rsid w:val="00605CBA"/>
    <w:rsid w:val="0061103C"/>
    <w:rsid w:val="00612994"/>
    <w:rsid w:val="006131A5"/>
    <w:rsid w:val="00613599"/>
    <w:rsid w:val="0061492F"/>
    <w:rsid w:val="006151F7"/>
    <w:rsid w:val="00622E99"/>
    <w:rsid w:val="00627355"/>
    <w:rsid w:val="00627CF9"/>
    <w:rsid w:val="00630821"/>
    <w:rsid w:val="006311D9"/>
    <w:rsid w:val="00631B72"/>
    <w:rsid w:val="00631CC7"/>
    <w:rsid w:val="00633421"/>
    <w:rsid w:val="00633737"/>
    <w:rsid w:val="00634142"/>
    <w:rsid w:val="00635D7C"/>
    <w:rsid w:val="00636FF9"/>
    <w:rsid w:val="00637882"/>
    <w:rsid w:val="006404A5"/>
    <w:rsid w:val="00640AAA"/>
    <w:rsid w:val="00645F0B"/>
    <w:rsid w:val="00646C02"/>
    <w:rsid w:val="00646D05"/>
    <w:rsid w:val="00653023"/>
    <w:rsid w:val="00660E7C"/>
    <w:rsid w:val="00662289"/>
    <w:rsid w:val="00663473"/>
    <w:rsid w:val="00664F53"/>
    <w:rsid w:val="0066753B"/>
    <w:rsid w:val="00667FE7"/>
    <w:rsid w:val="00671763"/>
    <w:rsid w:val="00672581"/>
    <w:rsid w:val="00674B84"/>
    <w:rsid w:val="006772CC"/>
    <w:rsid w:val="0067743C"/>
    <w:rsid w:val="0068089B"/>
    <w:rsid w:val="00681DC7"/>
    <w:rsid w:val="00682CEC"/>
    <w:rsid w:val="00683A37"/>
    <w:rsid w:val="00685608"/>
    <w:rsid w:val="00685B2C"/>
    <w:rsid w:val="00693EA9"/>
    <w:rsid w:val="00694D87"/>
    <w:rsid w:val="006968F8"/>
    <w:rsid w:val="006A0036"/>
    <w:rsid w:val="006A09CB"/>
    <w:rsid w:val="006A0CE6"/>
    <w:rsid w:val="006A1CD0"/>
    <w:rsid w:val="006A35F7"/>
    <w:rsid w:val="006A6889"/>
    <w:rsid w:val="006B0B30"/>
    <w:rsid w:val="006B1D17"/>
    <w:rsid w:val="006B2021"/>
    <w:rsid w:val="006B4F3E"/>
    <w:rsid w:val="006B681F"/>
    <w:rsid w:val="006B73E4"/>
    <w:rsid w:val="006C2851"/>
    <w:rsid w:val="006C35A6"/>
    <w:rsid w:val="006C4367"/>
    <w:rsid w:val="006C50E5"/>
    <w:rsid w:val="006D15CF"/>
    <w:rsid w:val="006D24A4"/>
    <w:rsid w:val="006D37AC"/>
    <w:rsid w:val="006D42FA"/>
    <w:rsid w:val="006D65CF"/>
    <w:rsid w:val="006D66B2"/>
    <w:rsid w:val="006E2357"/>
    <w:rsid w:val="006E2B48"/>
    <w:rsid w:val="006E3902"/>
    <w:rsid w:val="006E4220"/>
    <w:rsid w:val="006E71FE"/>
    <w:rsid w:val="006E7368"/>
    <w:rsid w:val="0070110D"/>
    <w:rsid w:val="00703257"/>
    <w:rsid w:val="00705CB0"/>
    <w:rsid w:val="00707D65"/>
    <w:rsid w:val="00710289"/>
    <w:rsid w:val="00712E63"/>
    <w:rsid w:val="0071460B"/>
    <w:rsid w:val="00716F11"/>
    <w:rsid w:val="00717FDD"/>
    <w:rsid w:val="00722D8A"/>
    <w:rsid w:val="00722F4C"/>
    <w:rsid w:val="00723887"/>
    <w:rsid w:val="00725625"/>
    <w:rsid w:val="0072563B"/>
    <w:rsid w:val="007256E8"/>
    <w:rsid w:val="00725B6A"/>
    <w:rsid w:val="00725DE3"/>
    <w:rsid w:val="00725FA2"/>
    <w:rsid w:val="007279B9"/>
    <w:rsid w:val="00735626"/>
    <w:rsid w:val="00736A0A"/>
    <w:rsid w:val="00736C39"/>
    <w:rsid w:val="007403B8"/>
    <w:rsid w:val="007413F6"/>
    <w:rsid w:val="00741845"/>
    <w:rsid w:val="00741F86"/>
    <w:rsid w:val="007428FF"/>
    <w:rsid w:val="00742B45"/>
    <w:rsid w:val="0074380D"/>
    <w:rsid w:val="007446E1"/>
    <w:rsid w:val="00744C96"/>
    <w:rsid w:val="00745120"/>
    <w:rsid w:val="00747A9A"/>
    <w:rsid w:val="007512B8"/>
    <w:rsid w:val="007534F6"/>
    <w:rsid w:val="00753BEC"/>
    <w:rsid w:val="00753D97"/>
    <w:rsid w:val="00755FF1"/>
    <w:rsid w:val="007608F2"/>
    <w:rsid w:val="00762179"/>
    <w:rsid w:val="00762DBF"/>
    <w:rsid w:val="0076462A"/>
    <w:rsid w:val="007653D5"/>
    <w:rsid w:val="00765569"/>
    <w:rsid w:val="00767D14"/>
    <w:rsid w:val="007713C7"/>
    <w:rsid w:val="00772102"/>
    <w:rsid w:val="00772B47"/>
    <w:rsid w:val="0077310E"/>
    <w:rsid w:val="0077465C"/>
    <w:rsid w:val="00775EFC"/>
    <w:rsid w:val="00776568"/>
    <w:rsid w:val="00777F02"/>
    <w:rsid w:val="007807AE"/>
    <w:rsid w:val="00783AB6"/>
    <w:rsid w:val="00790FB2"/>
    <w:rsid w:val="00791004"/>
    <w:rsid w:val="007917C2"/>
    <w:rsid w:val="0079697E"/>
    <w:rsid w:val="00797558"/>
    <w:rsid w:val="00797563"/>
    <w:rsid w:val="007A0318"/>
    <w:rsid w:val="007A1F7B"/>
    <w:rsid w:val="007A21EF"/>
    <w:rsid w:val="007A378C"/>
    <w:rsid w:val="007A5293"/>
    <w:rsid w:val="007A545A"/>
    <w:rsid w:val="007A5617"/>
    <w:rsid w:val="007A6493"/>
    <w:rsid w:val="007A6954"/>
    <w:rsid w:val="007B3993"/>
    <w:rsid w:val="007B3CB7"/>
    <w:rsid w:val="007B3D79"/>
    <w:rsid w:val="007B618F"/>
    <w:rsid w:val="007C581A"/>
    <w:rsid w:val="007C62AE"/>
    <w:rsid w:val="007C631F"/>
    <w:rsid w:val="007C6661"/>
    <w:rsid w:val="007D4320"/>
    <w:rsid w:val="007D442D"/>
    <w:rsid w:val="007D4AF0"/>
    <w:rsid w:val="007D65D0"/>
    <w:rsid w:val="007D771F"/>
    <w:rsid w:val="007D7E76"/>
    <w:rsid w:val="007E013D"/>
    <w:rsid w:val="007E0F06"/>
    <w:rsid w:val="007E371A"/>
    <w:rsid w:val="007E50F7"/>
    <w:rsid w:val="007E6601"/>
    <w:rsid w:val="007E73BD"/>
    <w:rsid w:val="007F1DD8"/>
    <w:rsid w:val="007F3325"/>
    <w:rsid w:val="007F3995"/>
    <w:rsid w:val="007F4E21"/>
    <w:rsid w:val="007F5E22"/>
    <w:rsid w:val="007F6AF4"/>
    <w:rsid w:val="00801752"/>
    <w:rsid w:val="00802C8D"/>
    <w:rsid w:val="00804364"/>
    <w:rsid w:val="008056F0"/>
    <w:rsid w:val="00810533"/>
    <w:rsid w:val="00811C05"/>
    <w:rsid w:val="0081342E"/>
    <w:rsid w:val="00813D22"/>
    <w:rsid w:val="00813F95"/>
    <w:rsid w:val="008154F7"/>
    <w:rsid w:val="00815E32"/>
    <w:rsid w:val="00817073"/>
    <w:rsid w:val="008215A4"/>
    <w:rsid w:val="00821AF0"/>
    <w:rsid w:val="00821F48"/>
    <w:rsid w:val="00822E94"/>
    <w:rsid w:val="00824B62"/>
    <w:rsid w:val="00830B35"/>
    <w:rsid w:val="00834604"/>
    <w:rsid w:val="00836865"/>
    <w:rsid w:val="00836A03"/>
    <w:rsid w:val="00836A91"/>
    <w:rsid w:val="00840A21"/>
    <w:rsid w:val="00841710"/>
    <w:rsid w:val="008431F3"/>
    <w:rsid w:val="0084526F"/>
    <w:rsid w:val="00846923"/>
    <w:rsid w:val="00847A60"/>
    <w:rsid w:val="00850FAE"/>
    <w:rsid w:val="00851B0D"/>
    <w:rsid w:val="00851D90"/>
    <w:rsid w:val="00852221"/>
    <w:rsid w:val="00852744"/>
    <w:rsid w:val="00854A54"/>
    <w:rsid w:val="0085559C"/>
    <w:rsid w:val="00855F1A"/>
    <w:rsid w:val="00861939"/>
    <w:rsid w:val="008635AA"/>
    <w:rsid w:val="008635FD"/>
    <w:rsid w:val="008638F7"/>
    <w:rsid w:val="00863CAF"/>
    <w:rsid w:val="00864704"/>
    <w:rsid w:val="00867D72"/>
    <w:rsid w:val="00870BEB"/>
    <w:rsid w:val="00871608"/>
    <w:rsid w:val="008718A2"/>
    <w:rsid w:val="00871C82"/>
    <w:rsid w:val="008721CE"/>
    <w:rsid w:val="00873C6E"/>
    <w:rsid w:val="00874AB0"/>
    <w:rsid w:val="00876516"/>
    <w:rsid w:val="00880611"/>
    <w:rsid w:val="00880854"/>
    <w:rsid w:val="00882A4B"/>
    <w:rsid w:val="00884EFA"/>
    <w:rsid w:val="008855A4"/>
    <w:rsid w:val="0088709E"/>
    <w:rsid w:val="00890245"/>
    <w:rsid w:val="00893AD5"/>
    <w:rsid w:val="00893BD5"/>
    <w:rsid w:val="00894A9C"/>
    <w:rsid w:val="00896A0E"/>
    <w:rsid w:val="008A0547"/>
    <w:rsid w:val="008A15A3"/>
    <w:rsid w:val="008A2A9D"/>
    <w:rsid w:val="008A34C1"/>
    <w:rsid w:val="008A5932"/>
    <w:rsid w:val="008A6C1A"/>
    <w:rsid w:val="008A6D68"/>
    <w:rsid w:val="008A71EC"/>
    <w:rsid w:val="008B11C8"/>
    <w:rsid w:val="008B1FF9"/>
    <w:rsid w:val="008C26A2"/>
    <w:rsid w:val="008C281D"/>
    <w:rsid w:val="008C4DBB"/>
    <w:rsid w:val="008C6EA3"/>
    <w:rsid w:val="008C72AF"/>
    <w:rsid w:val="008D0A97"/>
    <w:rsid w:val="008D3B63"/>
    <w:rsid w:val="008E125A"/>
    <w:rsid w:val="008E2DF5"/>
    <w:rsid w:val="008E3C3E"/>
    <w:rsid w:val="008F133F"/>
    <w:rsid w:val="008F1FF5"/>
    <w:rsid w:val="008F2F2C"/>
    <w:rsid w:val="008F3FFD"/>
    <w:rsid w:val="008F50E0"/>
    <w:rsid w:val="008F625C"/>
    <w:rsid w:val="009005A6"/>
    <w:rsid w:val="00900DB9"/>
    <w:rsid w:val="009017A5"/>
    <w:rsid w:val="00902C12"/>
    <w:rsid w:val="00902C5B"/>
    <w:rsid w:val="00902DAD"/>
    <w:rsid w:val="0090724B"/>
    <w:rsid w:val="00911F0F"/>
    <w:rsid w:val="00915DE9"/>
    <w:rsid w:val="00915F43"/>
    <w:rsid w:val="009169A7"/>
    <w:rsid w:val="009229AD"/>
    <w:rsid w:val="00925089"/>
    <w:rsid w:val="009272FD"/>
    <w:rsid w:val="009279D6"/>
    <w:rsid w:val="00930E98"/>
    <w:rsid w:val="00931BE4"/>
    <w:rsid w:val="009323FF"/>
    <w:rsid w:val="00934115"/>
    <w:rsid w:val="00934E4C"/>
    <w:rsid w:val="009367D4"/>
    <w:rsid w:val="00936C5E"/>
    <w:rsid w:val="00936F11"/>
    <w:rsid w:val="00937406"/>
    <w:rsid w:val="00940755"/>
    <w:rsid w:val="009442EE"/>
    <w:rsid w:val="009512B5"/>
    <w:rsid w:val="00952702"/>
    <w:rsid w:val="009553B0"/>
    <w:rsid w:val="009558F8"/>
    <w:rsid w:val="00956886"/>
    <w:rsid w:val="00961836"/>
    <w:rsid w:val="00961986"/>
    <w:rsid w:val="00961C4C"/>
    <w:rsid w:val="0096377A"/>
    <w:rsid w:val="0096452E"/>
    <w:rsid w:val="00965329"/>
    <w:rsid w:val="009715CD"/>
    <w:rsid w:val="00972C21"/>
    <w:rsid w:val="00973196"/>
    <w:rsid w:val="00973782"/>
    <w:rsid w:val="00973D85"/>
    <w:rsid w:val="009743A5"/>
    <w:rsid w:val="00974778"/>
    <w:rsid w:val="00974E7F"/>
    <w:rsid w:val="00976187"/>
    <w:rsid w:val="009769AC"/>
    <w:rsid w:val="0098163A"/>
    <w:rsid w:val="009843F7"/>
    <w:rsid w:val="00985746"/>
    <w:rsid w:val="0098631B"/>
    <w:rsid w:val="00987290"/>
    <w:rsid w:val="00987521"/>
    <w:rsid w:val="009903C2"/>
    <w:rsid w:val="00990625"/>
    <w:rsid w:val="009906AE"/>
    <w:rsid w:val="009911F7"/>
    <w:rsid w:val="00994E9C"/>
    <w:rsid w:val="00995623"/>
    <w:rsid w:val="009A09BB"/>
    <w:rsid w:val="009A1595"/>
    <w:rsid w:val="009A3021"/>
    <w:rsid w:val="009A43FA"/>
    <w:rsid w:val="009B011E"/>
    <w:rsid w:val="009B09BB"/>
    <w:rsid w:val="009B1751"/>
    <w:rsid w:val="009B3094"/>
    <w:rsid w:val="009B3B5B"/>
    <w:rsid w:val="009B463C"/>
    <w:rsid w:val="009C584A"/>
    <w:rsid w:val="009C611F"/>
    <w:rsid w:val="009C6290"/>
    <w:rsid w:val="009D05E5"/>
    <w:rsid w:val="009D1952"/>
    <w:rsid w:val="009D1F7C"/>
    <w:rsid w:val="009D2893"/>
    <w:rsid w:val="009D3B3D"/>
    <w:rsid w:val="009D47ED"/>
    <w:rsid w:val="009D7E0D"/>
    <w:rsid w:val="009E2F24"/>
    <w:rsid w:val="009E3436"/>
    <w:rsid w:val="009E58B5"/>
    <w:rsid w:val="009E6789"/>
    <w:rsid w:val="009F06EB"/>
    <w:rsid w:val="009F13FC"/>
    <w:rsid w:val="009F257E"/>
    <w:rsid w:val="009F3268"/>
    <w:rsid w:val="00A0055B"/>
    <w:rsid w:val="00A01459"/>
    <w:rsid w:val="00A01C02"/>
    <w:rsid w:val="00A02CA4"/>
    <w:rsid w:val="00A07CB1"/>
    <w:rsid w:val="00A122B2"/>
    <w:rsid w:val="00A12CED"/>
    <w:rsid w:val="00A131BF"/>
    <w:rsid w:val="00A14061"/>
    <w:rsid w:val="00A1410E"/>
    <w:rsid w:val="00A142BA"/>
    <w:rsid w:val="00A21B19"/>
    <w:rsid w:val="00A250B4"/>
    <w:rsid w:val="00A32202"/>
    <w:rsid w:val="00A41B41"/>
    <w:rsid w:val="00A439E2"/>
    <w:rsid w:val="00A43EC6"/>
    <w:rsid w:val="00A45B0D"/>
    <w:rsid w:val="00A46794"/>
    <w:rsid w:val="00A47A9E"/>
    <w:rsid w:val="00A50B88"/>
    <w:rsid w:val="00A53D80"/>
    <w:rsid w:val="00A556BD"/>
    <w:rsid w:val="00A562B1"/>
    <w:rsid w:val="00A614D5"/>
    <w:rsid w:val="00A61F27"/>
    <w:rsid w:val="00A643A3"/>
    <w:rsid w:val="00A66A38"/>
    <w:rsid w:val="00A7008B"/>
    <w:rsid w:val="00A73871"/>
    <w:rsid w:val="00A7534F"/>
    <w:rsid w:val="00A755BA"/>
    <w:rsid w:val="00A75E86"/>
    <w:rsid w:val="00A763AA"/>
    <w:rsid w:val="00A76A94"/>
    <w:rsid w:val="00A76FBA"/>
    <w:rsid w:val="00A80888"/>
    <w:rsid w:val="00A8143D"/>
    <w:rsid w:val="00A867A4"/>
    <w:rsid w:val="00A90240"/>
    <w:rsid w:val="00A90326"/>
    <w:rsid w:val="00A90F91"/>
    <w:rsid w:val="00A93665"/>
    <w:rsid w:val="00A954F2"/>
    <w:rsid w:val="00A95B29"/>
    <w:rsid w:val="00A96D78"/>
    <w:rsid w:val="00AA209E"/>
    <w:rsid w:val="00AA2B42"/>
    <w:rsid w:val="00AA2D36"/>
    <w:rsid w:val="00AA4F5B"/>
    <w:rsid w:val="00AA7095"/>
    <w:rsid w:val="00AB1933"/>
    <w:rsid w:val="00AB1D1C"/>
    <w:rsid w:val="00AB380C"/>
    <w:rsid w:val="00AB4182"/>
    <w:rsid w:val="00AB4B23"/>
    <w:rsid w:val="00AB507F"/>
    <w:rsid w:val="00AB73D1"/>
    <w:rsid w:val="00AB7A28"/>
    <w:rsid w:val="00AC0085"/>
    <w:rsid w:val="00AC47B5"/>
    <w:rsid w:val="00AD15C7"/>
    <w:rsid w:val="00AD5660"/>
    <w:rsid w:val="00AD65B7"/>
    <w:rsid w:val="00AE248A"/>
    <w:rsid w:val="00AE4133"/>
    <w:rsid w:val="00AE51BA"/>
    <w:rsid w:val="00AE60CB"/>
    <w:rsid w:val="00AF05D5"/>
    <w:rsid w:val="00AF14B0"/>
    <w:rsid w:val="00AF3390"/>
    <w:rsid w:val="00AF4C69"/>
    <w:rsid w:val="00B0087F"/>
    <w:rsid w:val="00B01A80"/>
    <w:rsid w:val="00B01CC0"/>
    <w:rsid w:val="00B02D0A"/>
    <w:rsid w:val="00B04962"/>
    <w:rsid w:val="00B062C9"/>
    <w:rsid w:val="00B07C01"/>
    <w:rsid w:val="00B11CA1"/>
    <w:rsid w:val="00B140DA"/>
    <w:rsid w:val="00B175F4"/>
    <w:rsid w:val="00B17A79"/>
    <w:rsid w:val="00B221EE"/>
    <w:rsid w:val="00B25582"/>
    <w:rsid w:val="00B26052"/>
    <w:rsid w:val="00B2702E"/>
    <w:rsid w:val="00B27EEA"/>
    <w:rsid w:val="00B32564"/>
    <w:rsid w:val="00B327EE"/>
    <w:rsid w:val="00B33440"/>
    <w:rsid w:val="00B33AC3"/>
    <w:rsid w:val="00B44983"/>
    <w:rsid w:val="00B45FFF"/>
    <w:rsid w:val="00B47B9E"/>
    <w:rsid w:val="00B47BED"/>
    <w:rsid w:val="00B47CA3"/>
    <w:rsid w:val="00B5144A"/>
    <w:rsid w:val="00B5162C"/>
    <w:rsid w:val="00B51E59"/>
    <w:rsid w:val="00B55D20"/>
    <w:rsid w:val="00B55E71"/>
    <w:rsid w:val="00B56CEA"/>
    <w:rsid w:val="00B573C2"/>
    <w:rsid w:val="00B60A2D"/>
    <w:rsid w:val="00B623AC"/>
    <w:rsid w:val="00B6328C"/>
    <w:rsid w:val="00B65BB0"/>
    <w:rsid w:val="00B671AF"/>
    <w:rsid w:val="00B7132F"/>
    <w:rsid w:val="00B71471"/>
    <w:rsid w:val="00B71925"/>
    <w:rsid w:val="00B7638A"/>
    <w:rsid w:val="00B77987"/>
    <w:rsid w:val="00B80D51"/>
    <w:rsid w:val="00B8450F"/>
    <w:rsid w:val="00B847BD"/>
    <w:rsid w:val="00B84FCD"/>
    <w:rsid w:val="00B85087"/>
    <w:rsid w:val="00B85DF1"/>
    <w:rsid w:val="00B86281"/>
    <w:rsid w:val="00B91208"/>
    <w:rsid w:val="00B92AA9"/>
    <w:rsid w:val="00B94C01"/>
    <w:rsid w:val="00B95BCA"/>
    <w:rsid w:val="00B96523"/>
    <w:rsid w:val="00B97AF5"/>
    <w:rsid w:val="00BA4FB3"/>
    <w:rsid w:val="00BB00F3"/>
    <w:rsid w:val="00BB2640"/>
    <w:rsid w:val="00BB2FB0"/>
    <w:rsid w:val="00BB48E8"/>
    <w:rsid w:val="00BB78EB"/>
    <w:rsid w:val="00BC0BE5"/>
    <w:rsid w:val="00BC16E3"/>
    <w:rsid w:val="00BC310C"/>
    <w:rsid w:val="00BC467A"/>
    <w:rsid w:val="00BD32A1"/>
    <w:rsid w:val="00BD3633"/>
    <w:rsid w:val="00BD6239"/>
    <w:rsid w:val="00BE0D2C"/>
    <w:rsid w:val="00BE303E"/>
    <w:rsid w:val="00BE304C"/>
    <w:rsid w:val="00BE5669"/>
    <w:rsid w:val="00BF101D"/>
    <w:rsid w:val="00BF5635"/>
    <w:rsid w:val="00BF7BCB"/>
    <w:rsid w:val="00C00958"/>
    <w:rsid w:val="00C01C1D"/>
    <w:rsid w:val="00C01D26"/>
    <w:rsid w:val="00C02558"/>
    <w:rsid w:val="00C04185"/>
    <w:rsid w:val="00C06861"/>
    <w:rsid w:val="00C103FC"/>
    <w:rsid w:val="00C1189A"/>
    <w:rsid w:val="00C11D9B"/>
    <w:rsid w:val="00C1337C"/>
    <w:rsid w:val="00C14754"/>
    <w:rsid w:val="00C14CDD"/>
    <w:rsid w:val="00C15E17"/>
    <w:rsid w:val="00C16869"/>
    <w:rsid w:val="00C16A3D"/>
    <w:rsid w:val="00C2171E"/>
    <w:rsid w:val="00C21F9E"/>
    <w:rsid w:val="00C25DFE"/>
    <w:rsid w:val="00C3157F"/>
    <w:rsid w:val="00C31C2C"/>
    <w:rsid w:val="00C32DC6"/>
    <w:rsid w:val="00C36143"/>
    <w:rsid w:val="00C362C4"/>
    <w:rsid w:val="00C36FC4"/>
    <w:rsid w:val="00C4008D"/>
    <w:rsid w:val="00C41706"/>
    <w:rsid w:val="00C41995"/>
    <w:rsid w:val="00C42F82"/>
    <w:rsid w:val="00C45208"/>
    <w:rsid w:val="00C45216"/>
    <w:rsid w:val="00C4578D"/>
    <w:rsid w:val="00C4718C"/>
    <w:rsid w:val="00C521EB"/>
    <w:rsid w:val="00C534D7"/>
    <w:rsid w:val="00C54DC2"/>
    <w:rsid w:val="00C54F19"/>
    <w:rsid w:val="00C57788"/>
    <w:rsid w:val="00C618C5"/>
    <w:rsid w:val="00C631D5"/>
    <w:rsid w:val="00C66101"/>
    <w:rsid w:val="00C70C4A"/>
    <w:rsid w:val="00C71056"/>
    <w:rsid w:val="00C720EB"/>
    <w:rsid w:val="00C7299F"/>
    <w:rsid w:val="00C7439B"/>
    <w:rsid w:val="00C744CA"/>
    <w:rsid w:val="00C765D7"/>
    <w:rsid w:val="00C7780A"/>
    <w:rsid w:val="00C80958"/>
    <w:rsid w:val="00C81292"/>
    <w:rsid w:val="00C81DC3"/>
    <w:rsid w:val="00C8276E"/>
    <w:rsid w:val="00C8369C"/>
    <w:rsid w:val="00C84629"/>
    <w:rsid w:val="00C865D6"/>
    <w:rsid w:val="00C866AF"/>
    <w:rsid w:val="00C91AEC"/>
    <w:rsid w:val="00C971FF"/>
    <w:rsid w:val="00CA1485"/>
    <w:rsid w:val="00CA72F4"/>
    <w:rsid w:val="00CB02F5"/>
    <w:rsid w:val="00CB26CA"/>
    <w:rsid w:val="00CB4247"/>
    <w:rsid w:val="00CB57E9"/>
    <w:rsid w:val="00CB707A"/>
    <w:rsid w:val="00CC03B0"/>
    <w:rsid w:val="00CC093C"/>
    <w:rsid w:val="00CC0D10"/>
    <w:rsid w:val="00CC23AC"/>
    <w:rsid w:val="00CC24E6"/>
    <w:rsid w:val="00CC2E9C"/>
    <w:rsid w:val="00CC36D3"/>
    <w:rsid w:val="00CC461B"/>
    <w:rsid w:val="00CC578D"/>
    <w:rsid w:val="00CC60D1"/>
    <w:rsid w:val="00CC7498"/>
    <w:rsid w:val="00CD1F33"/>
    <w:rsid w:val="00CD34AB"/>
    <w:rsid w:val="00CE18BD"/>
    <w:rsid w:val="00CE213C"/>
    <w:rsid w:val="00CE3654"/>
    <w:rsid w:val="00CE43FF"/>
    <w:rsid w:val="00CE45EF"/>
    <w:rsid w:val="00CE58F6"/>
    <w:rsid w:val="00CF2317"/>
    <w:rsid w:val="00CF28F6"/>
    <w:rsid w:val="00CF5967"/>
    <w:rsid w:val="00D072AA"/>
    <w:rsid w:val="00D10053"/>
    <w:rsid w:val="00D113C9"/>
    <w:rsid w:val="00D12289"/>
    <w:rsid w:val="00D130F4"/>
    <w:rsid w:val="00D13D16"/>
    <w:rsid w:val="00D16108"/>
    <w:rsid w:val="00D16A8A"/>
    <w:rsid w:val="00D1724A"/>
    <w:rsid w:val="00D17AA9"/>
    <w:rsid w:val="00D22125"/>
    <w:rsid w:val="00D22626"/>
    <w:rsid w:val="00D240B5"/>
    <w:rsid w:val="00D2429A"/>
    <w:rsid w:val="00D24C75"/>
    <w:rsid w:val="00D250A7"/>
    <w:rsid w:val="00D251BA"/>
    <w:rsid w:val="00D25CCF"/>
    <w:rsid w:val="00D3028D"/>
    <w:rsid w:val="00D3029C"/>
    <w:rsid w:val="00D3146B"/>
    <w:rsid w:val="00D33D39"/>
    <w:rsid w:val="00D35B03"/>
    <w:rsid w:val="00D36148"/>
    <w:rsid w:val="00D37021"/>
    <w:rsid w:val="00D37211"/>
    <w:rsid w:val="00D3726F"/>
    <w:rsid w:val="00D411E7"/>
    <w:rsid w:val="00D41398"/>
    <w:rsid w:val="00D44163"/>
    <w:rsid w:val="00D47569"/>
    <w:rsid w:val="00D50487"/>
    <w:rsid w:val="00D52104"/>
    <w:rsid w:val="00D521B0"/>
    <w:rsid w:val="00D529D6"/>
    <w:rsid w:val="00D549DF"/>
    <w:rsid w:val="00D55F6F"/>
    <w:rsid w:val="00D564D6"/>
    <w:rsid w:val="00D60E1C"/>
    <w:rsid w:val="00D62422"/>
    <w:rsid w:val="00D64F34"/>
    <w:rsid w:val="00D666AE"/>
    <w:rsid w:val="00D726A2"/>
    <w:rsid w:val="00D72D7C"/>
    <w:rsid w:val="00D7401D"/>
    <w:rsid w:val="00D76061"/>
    <w:rsid w:val="00D7713A"/>
    <w:rsid w:val="00D77C9F"/>
    <w:rsid w:val="00D80023"/>
    <w:rsid w:val="00D8006A"/>
    <w:rsid w:val="00D81031"/>
    <w:rsid w:val="00D81F7F"/>
    <w:rsid w:val="00D82880"/>
    <w:rsid w:val="00D82E31"/>
    <w:rsid w:val="00D8358E"/>
    <w:rsid w:val="00D86D26"/>
    <w:rsid w:val="00D92A01"/>
    <w:rsid w:val="00D974CE"/>
    <w:rsid w:val="00DA1183"/>
    <w:rsid w:val="00DA2236"/>
    <w:rsid w:val="00DA4230"/>
    <w:rsid w:val="00DA733A"/>
    <w:rsid w:val="00DA7771"/>
    <w:rsid w:val="00DB0099"/>
    <w:rsid w:val="00DB0AF9"/>
    <w:rsid w:val="00DB235F"/>
    <w:rsid w:val="00DB3131"/>
    <w:rsid w:val="00DB7011"/>
    <w:rsid w:val="00DB72A5"/>
    <w:rsid w:val="00DC0E66"/>
    <w:rsid w:val="00DC2E32"/>
    <w:rsid w:val="00DC47EF"/>
    <w:rsid w:val="00DC5DD8"/>
    <w:rsid w:val="00DC6249"/>
    <w:rsid w:val="00DC668C"/>
    <w:rsid w:val="00DC6DCE"/>
    <w:rsid w:val="00DD1A27"/>
    <w:rsid w:val="00DD287F"/>
    <w:rsid w:val="00DD350E"/>
    <w:rsid w:val="00DD4092"/>
    <w:rsid w:val="00DE00D3"/>
    <w:rsid w:val="00DE09B5"/>
    <w:rsid w:val="00DE0CE1"/>
    <w:rsid w:val="00DE1EEC"/>
    <w:rsid w:val="00DE600E"/>
    <w:rsid w:val="00DF1599"/>
    <w:rsid w:val="00DF35B3"/>
    <w:rsid w:val="00DF3F57"/>
    <w:rsid w:val="00DF5F4A"/>
    <w:rsid w:val="00DF7A2A"/>
    <w:rsid w:val="00E0436A"/>
    <w:rsid w:val="00E052F9"/>
    <w:rsid w:val="00E107C5"/>
    <w:rsid w:val="00E10F8E"/>
    <w:rsid w:val="00E12281"/>
    <w:rsid w:val="00E14622"/>
    <w:rsid w:val="00E15EFF"/>
    <w:rsid w:val="00E20EC1"/>
    <w:rsid w:val="00E22508"/>
    <w:rsid w:val="00E2275F"/>
    <w:rsid w:val="00E22860"/>
    <w:rsid w:val="00E22B56"/>
    <w:rsid w:val="00E2303A"/>
    <w:rsid w:val="00E24AF9"/>
    <w:rsid w:val="00E24D01"/>
    <w:rsid w:val="00E251FF"/>
    <w:rsid w:val="00E26342"/>
    <w:rsid w:val="00E27F24"/>
    <w:rsid w:val="00E3180A"/>
    <w:rsid w:val="00E342D1"/>
    <w:rsid w:val="00E35E82"/>
    <w:rsid w:val="00E37F04"/>
    <w:rsid w:val="00E41301"/>
    <w:rsid w:val="00E446A6"/>
    <w:rsid w:val="00E44D3C"/>
    <w:rsid w:val="00E46DF4"/>
    <w:rsid w:val="00E4735B"/>
    <w:rsid w:val="00E4789A"/>
    <w:rsid w:val="00E47ED9"/>
    <w:rsid w:val="00E50C2E"/>
    <w:rsid w:val="00E511A9"/>
    <w:rsid w:val="00E567CF"/>
    <w:rsid w:val="00E61025"/>
    <w:rsid w:val="00E625DF"/>
    <w:rsid w:val="00E643C7"/>
    <w:rsid w:val="00E726A3"/>
    <w:rsid w:val="00E73B81"/>
    <w:rsid w:val="00E81E0E"/>
    <w:rsid w:val="00E824C6"/>
    <w:rsid w:val="00E828DB"/>
    <w:rsid w:val="00E82EEB"/>
    <w:rsid w:val="00E82F99"/>
    <w:rsid w:val="00E8367B"/>
    <w:rsid w:val="00E855A9"/>
    <w:rsid w:val="00E860E0"/>
    <w:rsid w:val="00E911F0"/>
    <w:rsid w:val="00E94D6C"/>
    <w:rsid w:val="00E953CF"/>
    <w:rsid w:val="00E9589E"/>
    <w:rsid w:val="00E9703A"/>
    <w:rsid w:val="00EA13EB"/>
    <w:rsid w:val="00EA3816"/>
    <w:rsid w:val="00EA4A8D"/>
    <w:rsid w:val="00EA5B12"/>
    <w:rsid w:val="00EB12A3"/>
    <w:rsid w:val="00EB1D23"/>
    <w:rsid w:val="00EB5634"/>
    <w:rsid w:val="00EB6C11"/>
    <w:rsid w:val="00EB6D2D"/>
    <w:rsid w:val="00EC036B"/>
    <w:rsid w:val="00EC0A19"/>
    <w:rsid w:val="00EC2BD9"/>
    <w:rsid w:val="00EC5D7F"/>
    <w:rsid w:val="00ED229D"/>
    <w:rsid w:val="00ED3CAF"/>
    <w:rsid w:val="00ED7CA9"/>
    <w:rsid w:val="00EE1A3F"/>
    <w:rsid w:val="00EE20D8"/>
    <w:rsid w:val="00EE2A66"/>
    <w:rsid w:val="00EF322D"/>
    <w:rsid w:val="00EF48ED"/>
    <w:rsid w:val="00EF4F0D"/>
    <w:rsid w:val="00EF7F9C"/>
    <w:rsid w:val="00F01B52"/>
    <w:rsid w:val="00F02709"/>
    <w:rsid w:val="00F1292E"/>
    <w:rsid w:val="00F12D60"/>
    <w:rsid w:val="00F13490"/>
    <w:rsid w:val="00F20FA3"/>
    <w:rsid w:val="00F237E2"/>
    <w:rsid w:val="00F2406D"/>
    <w:rsid w:val="00F2559A"/>
    <w:rsid w:val="00F26E0D"/>
    <w:rsid w:val="00F27752"/>
    <w:rsid w:val="00F30A67"/>
    <w:rsid w:val="00F30AA5"/>
    <w:rsid w:val="00F32990"/>
    <w:rsid w:val="00F34981"/>
    <w:rsid w:val="00F406F8"/>
    <w:rsid w:val="00F4274E"/>
    <w:rsid w:val="00F42AEC"/>
    <w:rsid w:val="00F44497"/>
    <w:rsid w:val="00F449E7"/>
    <w:rsid w:val="00F462A7"/>
    <w:rsid w:val="00F46F53"/>
    <w:rsid w:val="00F518E6"/>
    <w:rsid w:val="00F5371E"/>
    <w:rsid w:val="00F54D84"/>
    <w:rsid w:val="00F57859"/>
    <w:rsid w:val="00F601AB"/>
    <w:rsid w:val="00F60A13"/>
    <w:rsid w:val="00F60F88"/>
    <w:rsid w:val="00F61AAA"/>
    <w:rsid w:val="00F632C0"/>
    <w:rsid w:val="00F6672E"/>
    <w:rsid w:val="00F71782"/>
    <w:rsid w:val="00F718AC"/>
    <w:rsid w:val="00F731FF"/>
    <w:rsid w:val="00F73EA1"/>
    <w:rsid w:val="00F749DC"/>
    <w:rsid w:val="00F7589A"/>
    <w:rsid w:val="00F764C1"/>
    <w:rsid w:val="00F767B0"/>
    <w:rsid w:val="00F82455"/>
    <w:rsid w:val="00F826BD"/>
    <w:rsid w:val="00F828FF"/>
    <w:rsid w:val="00F8357E"/>
    <w:rsid w:val="00F83681"/>
    <w:rsid w:val="00F85120"/>
    <w:rsid w:val="00F87777"/>
    <w:rsid w:val="00F92F35"/>
    <w:rsid w:val="00F932E0"/>
    <w:rsid w:val="00F93785"/>
    <w:rsid w:val="00F95E98"/>
    <w:rsid w:val="00F97C2E"/>
    <w:rsid w:val="00FA5145"/>
    <w:rsid w:val="00FA58E6"/>
    <w:rsid w:val="00FB0A24"/>
    <w:rsid w:val="00FB0F9B"/>
    <w:rsid w:val="00FB3BA9"/>
    <w:rsid w:val="00FB432E"/>
    <w:rsid w:val="00FB5B16"/>
    <w:rsid w:val="00FB727F"/>
    <w:rsid w:val="00FB79D6"/>
    <w:rsid w:val="00FC0ED3"/>
    <w:rsid w:val="00FC2128"/>
    <w:rsid w:val="00FC2667"/>
    <w:rsid w:val="00FC3179"/>
    <w:rsid w:val="00FC413F"/>
    <w:rsid w:val="00FC69B8"/>
    <w:rsid w:val="00FD2776"/>
    <w:rsid w:val="00FD5083"/>
    <w:rsid w:val="00FD525C"/>
    <w:rsid w:val="00FD55EC"/>
    <w:rsid w:val="00FD5D0F"/>
    <w:rsid w:val="00FD6D9B"/>
    <w:rsid w:val="00FE01D0"/>
    <w:rsid w:val="00FE3335"/>
    <w:rsid w:val="00FE3889"/>
    <w:rsid w:val="00FE4212"/>
    <w:rsid w:val="00FE52D1"/>
    <w:rsid w:val="00FE60A3"/>
    <w:rsid w:val="00FE69AD"/>
    <w:rsid w:val="00FE76B9"/>
    <w:rsid w:val="00FE7CBC"/>
    <w:rsid w:val="00FF024C"/>
    <w:rsid w:val="00FF045E"/>
    <w:rsid w:val="00FF11DB"/>
    <w:rsid w:val="00FF1F0E"/>
    <w:rsid w:val="00FF2C90"/>
    <w:rsid w:val="00FF3902"/>
    <w:rsid w:val="00FF6243"/>
    <w:rsid w:val="00FF7B46"/>
    <w:rsid w:val="00FF7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E25CC"/>
  <w15:docId w15:val="{E93807B8-75F5-4E23-9C5D-E6D2C271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89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9D2893"/>
    <w:pPr>
      <w:spacing w:after="0" w:line="240" w:lineRule="auto"/>
    </w:pPr>
    <w:rPr>
      <w:sz w:val="20"/>
      <w:szCs w:val="20"/>
    </w:rPr>
  </w:style>
  <w:style w:type="character" w:customStyle="1" w:styleId="TextonotapieCar">
    <w:name w:val="Texto nota pie Car"/>
    <w:basedOn w:val="Fuentedeprrafopredeter"/>
    <w:link w:val="Textonotapie"/>
    <w:uiPriority w:val="99"/>
    <w:rsid w:val="009D2893"/>
    <w:rPr>
      <w:sz w:val="20"/>
      <w:szCs w:val="20"/>
    </w:rPr>
  </w:style>
  <w:style w:type="character" w:styleId="Refdenotaalpie">
    <w:name w:val="footnote reference"/>
    <w:basedOn w:val="Fuentedeprrafopredeter"/>
    <w:unhideWhenUsed/>
    <w:rsid w:val="009D2893"/>
    <w:rPr>
      <w:vertAlign w:val="superscript"/>
    </w:rPr>
  </w:style>
  <w:style w:type="character" w:styleId="Hipervnculo">
    <w:name w:val="Hyperlink"/>
    <w:basedOn w:val="Fuentedeprrafopredeter"/>
    <w:uiPriority w:val="99"/>
    <w:unhideWhenUsed/>
    <w:rsid w:val="009D2893"/>
    <w:rPr>
      <w:color w:val="0000FF" w:themeColor="hyperlink"/>
      <w:u w:val="single"/>
    </w:rPr>
  </w:style>
  <w:style w:type="paragraph" w:styleId="Textodeglobo">
    <w:name w:val="Balloon Text"/>
    <w:basedOn w:val="Normal"/>
    <w:link w:val="TextodegloboCar"/>
    <w:uiPriority w:val="99"/>
    <w:semiHidden/>
    <w:unhideWhenUsed/>
    <w:rsid w:val="00850F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50FAE"/>
    <w:rPr>
      <w:rFonts w:ascii="Tahoma" w:hAnsi="Tahoma" w:cs="Tahoma"/>
      <w:sz w:val="16"/>
      <w:szCs w:val="16"/>
    </w:rPr>
  </w:style>
  <w:style w:type="paragraph" w:styleId="Prrafodelista">
    <w:name w:val="List Paragraph"/>
    <w:basedOn w:val="Normal"/>
    <w:uiPriority w:val="34"/>
    <w:qFormat/>
    <w:rsid w:val="006772CC"/>
    <w:pPr>
      <w:ind w:left="720"/>
      <w:contextualSpacing/>
    </w:pPr>
  </w:style>
  <w:style w:type="character" w:styleId="Hipervnculovisitado">
    <w:name w:val="FollowedHyperlink"/>
    <w:basedOn w:val="Fuentedeprrafopredeter"/>
    <w:uiPriority w:val="99"/>
    <w:semiHidden/>
    <w:unhideWhenUsed/>
    <w:rsid w:val="002D7937"/>
    <w:rPr>
      <w:color w:val="800080" w:themeColor="followedHyperlink"/>
      <w:u w:val="single"/>
    </w:rPr>
  </w:style>
  <w:style w:type="paragraph" w:styleId="Sinespaciado">
    <w:name w:val="No Spacing"/>
    <w:uiPriority w:val="1"/>
    <w:qFormat/>
    <w:rsid w:val="002D7937"/>
    <w:pPr>
      <w:spacing w:after="0" w:line="240" w:lineRule="auto"/>
    </w:pPr>
    <w:rPr>
      <w:rFonts w:eastAsiaTheme="minorEastAsia"/>
      <w:lang w:eastAsia="es-ES"/>
    </w:rPr>
  </w:style>
  <w:style w:type="table" w:styleId="Tablaconcuadrcula">
    <w:name w:val="Table Grid"/>
    <w:basedOn w:val="Tablanormal"/>
    <w:uiPriority w:val="59"/>
    <w:rsid w:val="002D7937"/>
    <w:pPr>
      <w:spacing w:after="0" w:line="240" w:lineRule="auto"/>
    </w:pPr>
    <w:rPr>
      <w:rFonts w:eastAsiaTheme="minorEastAsia"/>
      <w:lang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semiHidden/>
    <w:unhideWhenUsed/>
    <w:rsid w:val="002D7937"/>
    <w:pPr>
      <w:tabs>
        <w:tab w:val="center" w:pos="4252"/>
        <w:tab w:val="right" w:pos="8504"/>
      </w:tabs>
      <w:spacing w:after="0" w:line="240" w:lineRule="auto"/>
    </w:pPr>
    <w:rPr>
      <w:rFonts w:eastAsiaTheme="minorEastAsia"/>
      <w:lang w:eastAsia="es-ES"/>
    </w:rPr>
  </w:style>
  <w:style w:type="character" w:customStyle="1" w:styleId="EncabezadoCar">
    <w:name w:val="Encabezado Car"/>
    <w:basedOn w:val="Fuentedeprrafopredeter"/>
    <w:link w:val="Encabezado"/>
    <w:uiPriority w:val="99"/>
    <w:semiHidden/>
    <w:rsid w:val="002D7937"/>
    <w:rPr>
      <w:rFonts w:eastAsiaTheme="minorEastAsia"/>
      <w:lang w:eastAsia="es-ES"/>
    </w:rPr>
  </w:style>
  <w:style w:type="paragraph" w:styleId="Piedepgina">
    <w:name w:val="footer"/>
    <w:basedOn w:val="Normal"/>
    <w:link w:val="PiedepginaCar"/>
    <w:uiPriority w:val="99"/>
    <w:semiHidden/>
    <w:unhideWhenUsed/>
    <w:rsid w:val="002D7937"/>
    <w:pPr>
      <w:tabs>
        <w:tab w:val="center" w:pos="4252"/>
        <w:tab w:val="right" w:pos="8504"/>
      </w:tabs>
      <w:spacing w:after="0" w:line="240" w:lineRule="auto"/>
    </w:pPr>
    <w:rPr>
      <w:rFonts w:eastAsiaTheme="minorEastAsia"/>
      <w:lang w:eastAsia="es-ES"/>
    </w:rPr>
  </w:style>
  <w:style w:type="character" w:customStyle="1" w:styleId="PiedepginaCar">
    <w:name w:val="Pie de página Car"/>
    <w:basedOn w:val="Fuentedeprrafopredeter"/>
    <w:link w:val="Piedepgina"/>
    <w:uiPriority w:val="99"/>
    <w:semiHidden/>
    <w:rsid w:val="002D7937"/>
    <w:rPr>
      <w:rFonts w:eastAsiaTheme="minorEastAsia"/>
      <w:lang w:eastAsia="es-ES"/>
    </w:rPr>
  </w:style>
  <w:style w:type="character" w:styleId="nfasissutil">
    <w:name w:val="Subtle Emphasis"/>
    <w:basedOn w:val="Fuentedeprrafopredeter"/>
    <w:uiPriority w:val="19"/>
    <w:qFormat/>
    <w:rsid w:val="002D7937"/>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871898">
      <w:bodyDiv w:val="1"/>
      <w:marLeft w:val="0"/>
      <w:marRight w:val="0"/>
      <w:marTop w:val="0"/>
      <w:marBottom w:val="0"/>
      <w:divBdr>
        <w:top w:val="none" w:sz="0" w:space="0" w:color="auto"/>
        <w:left w:val="none" w:sz="0" w:space="0" w:color="auto"/>
        <w:bottom w:val="none" w:sz="0" w:space="0" w:color="auto"/>
        <w:right w:val="none" w:sz="0" w:space="0" w:color="auto"/>
      </w:divBdr>
      <w:divsChild>
        <w:div w:id="285819172">
          <w:marLeft w:val="0"/>
          <w:marRight w:val="0"/>
          <w:marTop w:val="0"/>
          <w:marBottom w:val="0"/>
          <w:divBdr>
            <w:top w:val="none" w:sz="0" w:space="0" w:color="auto"/>
            <w:left w:val="none" w:sz="0" w:space="0" w:color="auto"/>
            <w:bottom w:val="none" w:sz="0" w:space="0" w:color="auto"/>
            <w:right w:val="none" w:sz="0" w:space="0" w:color="auto"/>
          </w:divBdr>
          <w:divsChild>
            <w:div w:id="1947498321">
              <w:marLeft w:val="0"/>
              <w:marRight w:val="0"/>
              <w:marTop w:val="0"/>
              <w:marBottom w:val="0"/>
              <w:divBdr>
                <w:top w:val="none" w:sz="0" w:space="0" w:color="auto"/>
                <w:left w:val="none" w:sz="0" w:space="0" w:color="auto"/>
                <w:bottom w:val="none" w:sz="0" w:space="0" w:color="auto"/>
                <w:right w:val="none" w:sz="0" w:space="0" w:color="auto"/>
              </w:divBdr>
              <w:divsChild>
                <w:div w:id="929585318">
                  <w:marLeft w:val="0"/>
                  <w:marRight w:val="0"/>
                  <w:marTop w:val="0"/>
                  <w:marBottom w:val="0"/>
                  <w:divBdr>
                    <w:top w:val="none" w:sz="0" w:space="0" w:color="auto"/>
                    <w:left w:val="none" w:sz="0" w:space="0" w:color="auto"/>
                    <w:bottom w:val="none" w:sz="0" w:space="0" w:color="auto"/>
                    <w:right w:val="none" w:sz="0" w:space="0" w:color="auto"/>
                  </w:divBdr>
                  <w:divsChild>
                    <w:div w:id="155269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uno.martin@comillas.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fca.org.uk/publications/market-studies/investment-corporate-banking" TargetMode="External"/><Relationship Id="rId2" Type="http://schemas.openxmlformats.org/officeDocument/2006/relationships/hyperlink" Target="https://www.fca.org.uk/publication/documents/rru-february-2017.pdf" TargetMode="External"/><Relationship Id="rId1" Type="http://schemas.openxmlformats.org/officeDocument/2006/relationships/hyperlink" Target="https://ec.europa.eu/info/sites/info/files/file_import/management-plan-comp-2017_en_0.pdf" TargetMode="External"/><Relationship Id="rId5" Type="http://schemas.openxmlformats.org/officeDocument/2006/relationships/hyperlink" Target="http://cincodias.elpais.com/cincodias/2017/01/24/mercados/1485285611_808237.html" TargetMode="External"/><Relationship Id="rId4" Type="http://schemas.openxmlformats.org/officeDocument/2006/relationships/hyperlink" Target="https://www.cnmc.es/node/23227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43858-FA04-40F3-81FE-F836F0814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774</Words>
  <Characters>4257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S.T.I.C.</dc:creator>
  <cp:lastModifiedBy>Bruno Martín Baumeister</cp:lastModifiedBy>
  <cp:revision>3</cp:revision>
  <cp:lastPrinted>2018-02-08T09:41:00Z</cp:lastPrinted>
  <dcterms:created xsi:type="dcterms:W3CDTF">2018-02-22T15:50:00Z</dcterms:created>
  <dcterms:modified xsi:type="dcterms:W3CDTF">2018-02-22T15:55:00Z</dcterms:modified>
</cp:coreProperties>
</file>