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95" w:rsidRDefault="00B71595" w:rsidP="00B71595">
      <w:pPr>
        <w:pStyle w:val="01TEMATIT"/>
        <w:jc w:val="center"/>
        <w:rPr>
          <w:lang w:val="es-ES"/>
        </w:rPr>
      </w:pPr>
      <w:r>
        <w:rPr>
          <w:lang w:val="es-ES"/>
        </w:rPr>
        <w:t>Índice</w:t>
      </w:r>
      <w:bookmarkStart w:id="0" w:name="_GoBack"/>
      <w:bookmarkEnd w:id="0"/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Presentación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IX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PRESENTACIÓN A LA 1ª REIMPRESIÓN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xii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PRESENTACIÓN A LA 2ª EDICIÓN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xii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Bibliografía general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Xiii</w:t>
      </w:r>
    </w:p>
    <w:p w:rsidR="00B71595" w:rsidRDefault="00B71595" w:rsidP="00B71595">
      <w:pPr>
        <w:pStyle w:val="IndicCAPITULOS"/>
        <w:spacing w:before="340"/>
        <w:jc w:val="center"/>
        <w:rPr>
          <w:lang w:val="es-ES"/>
        </w:rPr>
      </w:pPr>
      <w:r>
        <w:rPr>
          <w:lang w:val="es-ES"/>
        </w:rPr>
        <w:t xml:space="preserve">I. </w:t>
      </w:r>
      <w:r>
        <w:rPr>
          <w:lang w:val="es-ES"/>
        </w:rPr>
        <w:t>INTRODUCCIÓN</w:t>
      </w:r>
    </w:p>
    <w:p w:rsidR="00B71595" w:rsidRP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>
        <w:rPr>
          <w:lang w:val="es-ES"/>
        </w:rPr>
        <w:t>Tema 1.</w:t>
      </w:r>
      <w:r>
        <w:rPr>
          <w:lang w:val="es-ES"/>
        </w:rPr>
        <w:tab/>
      </w:r>
      <w:r w:rsidRPr="00B71595">
        <w:rPr>
          <w:rStyle w:val="Negrita"/>
          <w:b/>
          <w:lang w:val="es-ES"/>
        </w:rPr>
        <w:t>El Derecho. El sistema normativo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3</w:t>
      </w:r>
    </w:p>
    <w:p w:rsid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>
        <w:rPr>
          <w:lang w:val="es-ES"/>
        </w:rPr>
        <w:t>Tema 2.</w:t>
      </w:r>
      <w:r>
        <w:rPr>
          <w:lang w:val="es-ES"/>
        </w:rPr>
        <w:tab/>
      </w:r>
      <w:r w:rsidRPr="00B71595">
        <w:rPr>
          <w:rStyle w:val="Negrita"/>
          <w:b/>
          <w:lang w:val="es-ES"/>
        </w:rPr>
        <w:t>La aplicación y eficacia del derecho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41</w:t>
      </w:r>
    </w:p>
    <w:p w:rsidR="00B71595" w:rsidRP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3.</w:t>
      </w:r>
      <w:r>
        <w:rPr>
          <w:lang w:val="es-ES"/>
        </w:rPr>
        <w:tab/>
      </w:r>
      <w:r>
        <w:rPr>
          <w:lang w:val="es-ES"/>
        </w:rPr>
        <w:t xml:space="preserve">El </w:t>
      </w:r>
      <w:r>
        <w:rPr>
          <w:lang w:val="es-ES"/>
        </w:rPr>
        <w:t xml:space="preserve">Derecho Civil. El Código Civil </w:t>
      </w:r>
      <w:r>
        <w:rPr>
          <w:lang w:val="es-ES"/>
        </w:rPr>
        <w:t>español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73</w:t>
      </w:r>
    </w:p>
    <w:p w:rsidR="00B71595" w:rsidRP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>
        <w:rPr>
          <w:lang w:val="es-ES"/>
        </w:rPr>
        <w:t>Tema 4.</w:t>
      </w:r>
      <w:r>
        <w:rPr>
          <w:lang w:val="es-ES"/>
        </w:rPr>
        <w:tab/>
      </w:r>
      <w:r w:rsidRPr="00B71595">
        <w:rPr>
          <w:rStyle w:val="Negrita"/>
          <w:b/>
          <w:lang w:val="es-ES"/>
        </w:rPr>
        <w:t>Los derechos forales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109</w:t>
      </w:r>
    </w:p>
    <w:p w:rsidR="00B71595" w:rsidRPr="00B71595" w:rsidRDefault="00B71595" w:rsidP="00B71595">
      <w:pPr>
        <w:pStyle w:val="IndicCAPITULOS"/>
        <w:spacing w:before="283"/>
        <w:jc w:val="center"/>
        <w:rPr>
          <w:lang w:val="es-ES"/>
        </w:rPr>
      </w:pPr>
      <w:r>
        <w:rPr>
          <w:lang w:val="es-ES"/>
        </w:rPr>
        <w:t xml:space="preserve">II. </w:t>
      </w:r>
      <w:r>
        <w:rPr>
          <w:lang w:val="es-ES"/>
        </w:rPr>
        <w:t>derecho de la persona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5.</w:t>
      </w:r>
      <w:r>
        <w:rPr>
          <w:lang w:val="es-ES"/>
        </w:rPr>
        <w:tab/>
        <w:t>Persona, Capacidad y Estado civil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149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6.</w:t>
      </w:r>
      <w:r>
        <w:rPr>
          <w:lang w:val="es-ES"/>
        </w:rPr>
        <w:tab/>
        <w:t>El Registro civil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183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7.</w:t>
      </w:r>
      <w:r>
        <w:rPr>
          <w:lang w:val="es-ES"/>
        </w:rPr>
        <w:tab/>
        <w:t>Comienzo y fin de la personalidad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197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8.</w:t>
      </w:r>
      <w:r>
        <w:rPr>
          <w:lang w:val="es-ES"/>
        </w:rPr>
        <w:tab/>
        <w:t>Estados civiles relativos a la edad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213</w:t>
      </w:r>
    </w:p>
    <w:p w:rsidR="00B71595" w:rsidRDefault="00B71595" w:rsidP="00B71595">
      <w:pPr>
        <w:pStyle w:val="IndicCAPITULOS"/>
        <w:rPr>
          <w:spacing w:val="-7"/>
          <w:lang w:val="es-ES"/>
        </w:rPr>
      </w:pPr>
      <w:r>
        <w:rPr>
          <w:lang w:val="es-ES"/>
        </w:rPr>
        <w:t>Tema 9.</w:t>
      </w:r>
      <w:r>
        <w:rPr>
          <w:lang w:val="es-ES"/>
        </w:rPr>
        <w:tab/>
        <w:t xml:space="preserve">Estados civiles relativos a la </w:t>
      </w:r>
      <w:r>
        <w:rPr>
          <w:spacing w:val="-7"/>
          <w:lang w:val="es-ES"/>
        </w:rPr>
        <w:t xml:space="preserve">discapacidad y 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spacing w:val="-7"/>
          <w:lang w:val="es-ES"/>
        </w:rPr>
        <w:tab/>
      </w:r>
      <w:r>
        <w:rPr>
          <w:spacing w:val="-7"/>
          <w:lang w:val="es-ES"/>
        </w:rPr>
        <w:t>conducta de la persona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237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10.</w:t>
      </w:r>
      <w:r>
        <w:rPr>
          <w:lang w:val="es-ES"/>
        </w:rPr>
        <w:tab/>
        <w:t>El domicilio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257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11.</w:t>
      </w:r>
      <w:r>
        <w:rPr>
          <w:lang w:val="es-ES"/>
        </w:rPr>
        <w:tab/>
        <w:t>La ausencia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265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12.</w:t>
      </w:r>
      <w:r>
        <w:rPr>
          <w:lang w:val="es-ES"/>
        </w:rPr>
        <w:tab/>
        <w:t>La nacionalidad y la vecindad civil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279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13.</w:t>
      </w:r>
      <w:r>
        <w:rPr>
          <w:lang w:val="es-ES"/>
        </w:rPr>
        <w:tab/>
        <w:t>Los derechos de la personalidad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305</w:t>
      </w:r>
    </w:p>
    <w:p w:rsidR="00B71595" w:rsidRDefault="00B71595" w:rsidP="00B71595">
      <w:pPr>
        <w:pStyle w:val="IndicCAPITULOS"/>
        <w:spacing w:before="340"/>
        <w:jc w:val="center"/>
        <w:rPr>
          <w:lang w:val="es-ES"/>
        </w:rPr>
      </w:pPr>
      <w:r>
        <w:rPr>
          <w:lang w:val="es-ES"/>
        </w:rPr>
        <w:t xml:space="preserve">III. </w:t>
      </w:r>
      <w:r>
        <w:rPr>
          <w:lang w:val="es-ES"/>
        </w:rPr>
        <w:t>personas jurídicas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14.</w:t>
      </w:r>
      <w:r>
        <w:rPr>
          <w:lang w:val="es-ES"/>
        </w:rPr>
        <w:tab/>
        <w:t>Las personas jurídicas en general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329</w:t>
      </w:r>
    </w:p>
    <w:p w:rsid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15.</w:t>
      </w:r>
      <w:r>
        <w:rPr>
          <w:lang w:val="es-ES"/>
        </w:rPr>
        <w:tab/>
        <w:t>Las personas jurídicas en particular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347</w:t>
      </w:r>
    </w:p>
    <w:p w:rsidR="00B71595" w:rsidRDefault="00B71595" w:rsidP="00B71595">
      <w:pPr>
        <w:pStyle w:val="IndicCAPITULOS"/>
        <w:spacing w:before="340"/>
        <w:jc w:val="center"/>
        <w:rPr>
          <w:lang w:val="es-ES"/>
        </w:rPr>
      </w:pPr>
      <w:r>
        <w:rPr>
          <w:lang w:val="es-ES"/>
        </w:rPr>
        <w:t xml:space="preserve">IV. </w:t>
      </w:r>
      <w:r>
        <w:rPr>
          <w:lang w:val="es-ES"/>
        </w:rPr>
        <w:t>LA ESFERA JURÍDICA DE LA PERSONA</w:t>
      </w:r>
    </w:p>
    <w:p w:rsidR="00B71595" w:rsidRPr="00B71595" w:rsidRDefault="00B71595" w:rsidP="00B71595">
      <w:pPr>
        <w:pStyle w:val="IndicCAPITULOS"/>
        <w:rPr>
          <w:rStyle w:val="Negrita"/>
          <w:b/>
          <w:lang w:val="es-ES"/>
        </w:rPr>
      </w:pPr>
      <w:r>
        <w:rPr>
          <w:lang w:val="es-ES"/>
        </w:rPr>
        <w:t>Tema 16.</w:t>
      </w:r>
      <w:r>
        <w:rPr>
          <w:lang w:val="es-ES"/>
        </w:rPr>
        <w:tab/>
      </w:r>
      <w:r w:rsidRPr="00B71595">
        <w:rPr>
          <w:rStyle w:val="Negrita"/>
          <w:b/>
          <w:lang w:val="es-ES"/>
        </w:rPr>
        <w:t xml:space="preserve">La </w:t>
      </w:r>
      <w:r w:rsidRPr="00B71595">
        <w:rPr>
          <w:rStyle w:val="Negrita"/>
          <w:b/>
          <w:lang w:val="es-ES"/>
        </w:rPr>
        <w:t xml:space="preserve">esfera jurídica de la persona. </w:t>
      </w:r>
      <w:r w:rsidRPr="00B71595">
        <w:rPr>
          <w:rStyle w:val="Negrita"/>
          <w:b/>
          <w:lang w:val="es-ES"/>
        </w:rPr>
        <w:t xml:space="preserve">Su actuación </w:t>
      </w:r>
    </w:p>
    <w:p w:rsidR="00B71595" w:rsidRP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 w:rsidRPr="00B71595">
        <w:rPr>
          <w:rStyle w:val="Negrita"/>
          <w:b/>
          <w:lang w:val="es-ES"/>
        </w:rPr>
        <w:tab/>
      </w:r>
      <w:r w:rsidRPr="00B71595">
        <w:rPr>
          <w:rStyle w:val="Negrita"/>
          <w:b/>
          <w:lang w:val="es-ES"/>
        </w:rPr>
        <w:t>jurídica</w:t>
      </w:r>
      <w:r>
        <w:rPr>
          <w:rStyle w:val="Negrita"/>
          <w:lang w:val="es-ES"/>
        </w:rPr>
        <w:tab/>
      </w:r>
      <w:r>
        <w:rPr>
          <w:rStyle w:val="Negrita"/>
          <w:lang w:val="es-ES"/>
        </w:rPr>
        <w:tab/>
      </w:r>
      <w:r>
        <w:rPr>
          <w:b w:val="0"/>
          <w:bCs w:val="0"/>
          <w:lang w:val="es-ES"/>
        </w:rPr>
        <w:t>367</w:t>
      </w:r>
    </w:p>
    <w:p w:rsid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>
        <w:rPr>
          <w:lang w:val="es-ES"/>
        </w:rPr>
        <w:t>Tema 17.</w:t>
      </w:r>
      <w:r>
        <w:rPr>
          <w:lang w:val="es-ES"/>
        </w:rPr>
        <w:tab/>
      </w:r>
      <w:r w:rsidRPr="00B71595">
        <w:rPr>
          <w:rStyle w:val="Negrita"/>
          <w:b/>
          <w:lang w:val="es-ES"/>
        </w:rPr>
        <w:t>Los límites del derecho subjetivo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389</w:t>
      </w:r>
    </w:p>
    <w:p w:rsidR="00B71595" w:rsidRDefault="00B71595" w:rsidP="00B71595">
      <w:pPr>
        <w:pStyle w:val="IndicCAPITULOS"/>
        <w:rPr>
          <w:rStyle w:val="Negrita"/>
          <w:b/>
          <w:bCs/>
          <w:lang w:val="es-ES"/>
        </w:rPr>
      </w:pPr>
      <w:r>
        <w:rPr>
          <w:lang w:val="es-ES"/>
        </w:rPr>
        <w:t>Tema 18.</w:t>
      </w:r>
      <w:r>
        <w:rPr>
          <w:lang w:val="es-ES"/>
        </w:rPr>
        <w:tab/>
      </w:r>
      <w:r w:rsidRPr="00B71595">
        <w:rPr>
          <w:rStyle w:val="Negrita"/>
          <w:b/>
          <w:spacing w:val="-7"/>
          <w:lang w:val="es-ES"/>
        </w:rPr>
        <w:t>La dinámica de los derechos subjetivos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415</w:t>
      </w:r>
    </w:p>
    <w:p w:rsidR="00B71595" w:rsidRP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lastRenderedPageBreak/>
        <w:t>Tema 19.</w:t>
      </w:r>
      <w:r>
        <w:rPr>
          <w:lang w:val="es-ES"/>
        </w:rPr>
        <w:tab/>
        <w:t>El patrimonio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431</w:t>
      </w:r>
    </w:p>
    <w:p w:rsidR="00B71595" w:rsidRDefault="00B71595" w:rsidP="00B71595">
      <w:pPr>
        <w:pStyle w:val="IndicCAPITULOS"/>
        <w:rPr>
          <w:b w:val="0"/>
          <w:bCs w:val="0"/>
          <w:lang w:val="es-ES"/>
        </w:rPr>
      </w:pPr>
      <w:r>
        <w:rPr>
          <w:lang w:val="es-ES"/>
        </w:rPr>
        <w:t>Tema 20.</w:t>
      </w:r>
      <w:r>
        <w:rPr>
          <w:lang w:val="es-ES"/>
        </w:rPr>
        <w:tab/>
        <w:t>El negocio jurídico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>465</w:t>
      </w:r>
    </w:p>
    <w:p w:rsidR="00B71595" w:rsidRPr="00B71595" w:rsidRDefault="00B71595" w:rsidP="00B71595">
      <w:pPr>
        <w:pStyle w:val="IndicCAPITULOS"/>
        <w:rPr>
          <w:lang w:val="es-ES"/>
        </w:rPr>
      </w:pPr>
      <w:r>
        <w:rPr>
          <w:lang w:val="es-ES"/>
        </w:rPr>
        <w:t>Tema 21.</w:t>
      </w:r>
      <w:r>
        <w:rPr>
          <w:lang w:val="es-ES"/>
        </w:rPr>
        <w:tab/>
        <w:t>La representación</w:t>
      </w:r>
      <w:r>
        <w:rPr>
          <w:b w:val="0"/>
          <w:bCs w:val="0"/>
          <w:lang w:val="es-ES"/>
        </w:rPr>
        <w:tab/>
      </w:r>
      <w:r>
        <w:rPr>
          <w:b w:val="0"/>
          <w:bCs w:val="0"/>
          <w:lang w:val="es-ES"/>
        </w:rPr>
        <w:tab/>
        <w:t xml:space="preserve">499 </w:t>
      </w:r>
    </w:p>
    <w:p w:rsidR="0021777A" w:rsidRPr="00B71595" w:rsidRDefault="00B71595" w:rsidP="00B71595"/>
    <w:sectPr w:rsidR="0021777A" w:rsidRPr="00B715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TC New Baskerville Std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93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BB"/>
    <w:rsid w:val="00233F7A"/>
    <w:rsid w:val="00334BDC"/>
    <w:rsid w:val="003F6E31"/>
    <w:rsid w:val="00626656"/>
    <w:rsid w:val="00655EBB"/>
    <w:rsid w:val="006B2CC2"/>
    <w:rsid w:val="00805298"/>
    <w:rsid w:val="00846AC9"/>
    <w:rsid w:val="00A253EB"/>
    <w:rsid w:val="00B226A3"/>
    <w:rsid w:val="00B71595"/>
    <w:rsid w:val="00BB74DA"/>
    <w:rsid w:val="00D0091C"/>
    <w:rsid w:val="00E402C7"/>
    <w:rsid w:val="00FD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007EB-E7D4-494D-9C09-B7C58135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semiHidden/>
    <w:qFormat/>
    <w:rsid w:val="003F6E31"/>
    <w:pPr>
      <w:spacing w:before="200" w:after="0" w:line="320" w:lineRule="atLeast"/>
      <w:ind w:left="280" w:hanging="280"/>
      <w:jc w:val="both"/>
    </w:pPr>
    <w:rPr>
      <w:rFonts w:ascii="Helvetica" w:hAnsi="Helvetica"/>
      <w:sz w:val="18"/>
    </w:rPr>
  </w:style>
  <w:style w:type="character" w:customStyle="1" w:styleId="TextonotapieCar">
    <w:name w:val="Texto nota pie Car"/>
    <w:basedOn w:val="Fuentedeprrafopredeter"/>
    <w:link w:val="Textonotapie"/>
    <w:semiHidden/>
    <w:rsid w:val="003F6E31"/>
    <w:rPr>
      <w:rFonts w:ascii="Helvetica" w:hAnsi="Helvetica"/>
      <w:sz w:val="18"/>
    </w:rPr>
  </w:style>
  <w:style w:type="paragraph" w:customStyle="1" w:styleId="01TEMATIT">
    <w:name w:val="01 TEMA TIT"/>
    <w:basedOn w:val="Normal"/>
    <w:uiPriority w:val="99"/>
    <w:rsid w:val="00B71595"/>
    <w:pPr>
      <w:widowControl w:val="0"/>
      <w:autoSpaceDE w:val="0"/>
      <w:autoSpaceDN w:val="0"/>
      <w:adjustRightInd w:val="0"/>
      <w:spacing w:before="113" w:after="260" w:line="288" w:lineRule="auto"/>
      <w:ind w:firstLine="340"/>
      <w:jc w:val="right"/>
    </w:pPr>
    <w:rPr>
      <w:rFonts w:ascii="ITC New Baskerville Std" w:eastAsiaTheme="minorEastAsia" w:hAnsi="ITC New Baskerville Std" w:cs="ITC New Baskerville Std"/>
      <w:b/>
      <w:bCs/>
      <w:caps/>
      <w:color w:val="000000"/>
      <w:sz w:val="36"/>
      <w:szCs w:val="36"/>
      <w:lang w:val="en-US" w:eastAsia="es-ES"/>
    </w:rPr>
  </w:style>
  <w:style w:type="paragraph" w:customStyle="1" w:styleId="IndicCAPITULOS">
    <w:name w:val="Indic CAPITULOS"/>
    <w:basedOn w:val="01TEMATIT"/>
    <w:uiPriority w:val="99"/>
    <w:rsid w:val="00B71595"/>
    <w:pPr>
      <w:tabs>
        <w:tab w:val="left" w:pos="1134"/>
        <w:tab w:val="right" w:leader="dot" w:pos="5953"/>
        <w:tab w:val="right" w:pos="6746"/>
      </w:tabs>
      <w:spacing w:after="57"/>
      <w:ind w:firstLine="0"/>
      <w:jc w:val="left"/>
    </w:pPr>
    <w:rPr>
      <w:sz w:val="22"/>
      <w:szCs w:val="22"/>
    </w:rPr>
  </w:style>
  <w:style w:type="character" w:customStyle="1" w:styleId="Negrita">
    <w:name w:val="Negrita"/>
    <w:uiPriority w:val="99"/>
    <w:rsid w:val="00B715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9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 Ruiz de Huidobro de Carlos</dc:creator>
  <cp:keywords/>
  <dc:description/>
  <cp:lastModifiedBy>Jose M Ruiz de Huidobro de Carlos</cp:lastModifiedBy>
  <cp:revision>2</cp:revision>
  <dcterms:created xsi:type="dcterms:W3CDTF">2017-10-21T09:55:00Z</dcterms:created>
  <dcterms:modified xsi:type="dcterms:W3CDTF">2018-10-09T12:39:00Z</dcterms:modified>
</cp:coreProperties>
</file>