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60128A" w:rsidRDefault="00DD61CB">
      <w:r>
        <w:rPr>
          <w:noProof/>
          <w:lang w:eastAsia="es-ES"/>
        </w:rPr>
        <w:drawing>
          <wp:inline distT="0" distB="0" distL="0" distR="0" wp14:anchorId="4F1CA877" wp14:editId="1FD3E96E">
            <wp:extent cx="1581150" cy="1095375"/>
            <wp:effectExtent l="0" t="0" r="0" b="9525"/>
            <wp:docPr id="1" name="Imagen 2" descr="cid:image001.png@01D190C6.EEE9D040"/>
            <wp:cNvGraphicFramePr/>
            <a:graphic xmlns:a="http://schemas.openxmlformats.org/drawingml/2006/main">
              <a:graphicData uri="http://schemas.openxmlformats.org/drawingml/2006/picture">
                <pic:pic xmlns:pic="http://schemas.openxmlformats.org/drawingml/2006/picture">
                  <pic:nvPicPr>
                    <pic:cNvPr id="1" name="Imagen 2" descr="cid:image001.png@01D190C6.EEE9D040"/>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1581150" cy="1095375"/>
                    </a:xfrm>
                    <a:prstGeom prst="rect">
                      <a:avLst/>
                    </a:prstGeom>
                    <a:noFill/>
                    <a:ln>
                      <a:noFill/>
                    </a:ln>
                  </pic:spPr>
                </pic:pic>
              </a:graphicData>
            </a:graphic>
          </wp:inline>
        </w:drawing>
      </w:r>
    </w:p>
    <w:p w:rsidR="0060128A" w:rsidRDefault="0060128A"/>
    <w:p w:rsidR="00DD61CB" w:rsidRDefault="00F10B36" w:rsidP="00DD61CB">
      <w:pPr>
        <w:jc w:val="center"/>
        <w:rPr>
          <w:b/>
        </w:rPr>
      </w:pPr>
      <w:r>
        <w:rPr>
          <w:b/>
        </w:rPr>
        <w:t xml:space="preserve">Propuesta de comunicación al IV </w:t>
      </w:r>
      <w:r w:rsidR="00C30581">
        <w:rPr>
          <w:b/>
        </w:rPr>
        <w:t xml:space="preserve">ENCUENTRO </w:t>
      </w:r>
      <w:r w:rsidR="00C30581" w:rsidRPr="00DD61CB">
        <w:rPr>
          <w:b/>
        </w:rPr>
        <w:t>SOBRE JURISPRUDENCIA EUROPEA</w:t>
      </w:r>
      <w:r w:rsidR="00C30581">
        <w:rPr>
          <w:b/>
        </w:rPr>
        <w:t xml:space="preserve"> del </w:t>
      </w:r>
      <w:proofErr w:type="spellStart"/>
      <w:r w:rsidR="00C30581">
        <w:rPr>
          <w:b/>
          <w:i/>
        </w:rPr>
        <w:t>European</w:t>
      </w:r>
      <w:proofErr w:type="spellEnd"/>
      <w:r w:rsidR="00C30581">
        <w:rPr>
          <w:b/>
          <w:i/>
        </w:rPr>
        <w:t xml:space="preserve"> Law </w:t>
      </w:r>
      <w:proofErr w:type="spellStart"/>
      <w:r w:rsidR="00C30581">
        <w:rPr>
          <w:b/>
          <w:i/>
        </w:rPr>
        <w:t>Institute</w:t>
      </w:r>
      <w:proofErr w:type="spellEnd"/>
      <w:r w:rsidR="00C30581">
        <w:rPr>
          <w:b/>
          <w:i/>
        </w:rPr>
        <w:t xml:space="preserve"> </w:t>
      </w:r>
      <w:proofErr w:type="spellStart"/>
      <w:r w:rsidR="00C30581">
        <w:rPr>
          <w:b/>
          <w:i/>
        </w:rPr>
        <w:t>Spanish</w:t>
      </w:r>
      <w:proofErr w:type="spellEnd"/>
      <w:r w:rsidR="00C30581">
        <w:rPr>
          <w:b/>
          <w:i/>
        </w:rPr>
        <w:t xml:space="preserve"> </w:t>
      </w:r>
      <w:proofErr w:type="spellStart"/>
      <w:r w:rsidR="00C30581">
        <w:rPr>
          <w:b/>
          <w:i/>
        </w:rPr>
        <w:t>Hub</w:t>
      </w:r>
      <w:proofErr w:type="spellEnd"/>
      <w:r w:rsidR="00DD61CB">
        <w:rPr>
          <w:b/>
        </w:rPr>
        <w:t xml:space="preserve"> </w:t>
      </w:r>
    </w:p>
    <w:p w:rsidR="0060128A" w:rsidRPr="00DD61CB" w:rsidRDefault="00F10B36" w:rsidP="00DD61CB">
      <w:pPr>
        <w:jc w:val="center"/>
        <w:rPr>
          <w:b/>
        </w:rPr>
      </w:pPr>
      <w:r>
        <w:rPr>
          <w:b/>
        </w:rPr>
        <w:t>Universidad Miguel Hernández, Elche, 9 de mayo de 2019</w:t>
      </w:r>
    </w:p>
    <w:p w:rsidR="001F5EA7" w:rsidRPr="00F10B36" w:rsidRDefault="00F10B36" w:rsidP="00F10B36">
      <w:pPr>
        <w:rPr>
          <w:sz w:val="20"/>
        </w:rPr>
      </w:pPr>
      <w:r>
        <w:t xml:space="preserve">Para enviar su propuesta, por favor rellene la ficha siguiente y envíela antes del 31 de marzo de 2019 a la dirección: </w:t>
      </w:r>
      <w:hyperlink r:id="rId8" w:history="1">
        <w:r w:rsidR="00BE1679" w:rsidRPr="00F10B36">
          <w:rPr>
            <w:rStyle w:val="Hipervnculo"/>
            <w:rFonts w:ascii="Arial" w:hAnsi="Arial" w:cs="Arial"/>
            <w:sz w:val="20"/>
          </w:rPr>
          <w:t>spanish.hub@europeanlawinstitute.eu</w:t>
        </w:r>
      </w:hyperlink>
    </w:p>
    <w:p w:rsidR="009D4808" w:rsidRDefault="00F10B36" w:rsidP="009D4808">
      <w:r>
        <w:t>Datos del autor</w:t>
      </w:r>
      <w:r w:rsidR="009D4808">
        <w:t>:</w:t>
      </w:r>
    </w:p>
    <w:tbl>
      <w:tblPr>
        <w:tblStyle w:val="Tablaconcuadrcula"/>
        <w:tblW w:w="0" w:type="auto"/>
        <w:tblLook w:val="04A0" w:firstRow="1" w:lastRow="0" w:firstColumn="1" w:lastColumn="0" w:noHBand="0" w:noVBand="1"/>
      </w:tblPr>
      <w:tblGrid>
        <w:gridCol w:w="2972"/>
        <w:gridCol w:w="5522"/>
      </w:tblGrid>
      <w:tr w:rsidR="009D4808" w:rsidTr="00F10B36">
        <w:tc>
          <w:tcPr>
            <w:tcW w:w="2972" w:type="dxa"/>
          </w:tcPr>
          <w:p w:rsidR="009D4808" w:rsidRDefault="009D4808" w:rsidP="00175593">
            <w:r>
              <w:t>Apellidos:</w:t>
            </w:r>
          </w:p>
        </w:tc>
        <w:tc>
          <w:tcPr>
            <w:tcW w:w="5522" w:type="dxa"/>
          </w:tcPr>
          <w:p w:rsidR="009D4808" w:rsidRDefault="003D2B8C" w:rsidP="00175593">
            <w:r>
              <w:t>MARTÍN BAUMEISTER</w:t>
            </w:r>
          </w:p>
        </w:tc>
      </w:tr>
      <w:tr w:rsidR="009D4808" w:rsidTr="00F10B36">
        <w:tc>
          <w:tcPr>
            <w:tcW w:w="2972" w:type="dxa"/>
          </w:tcPr>
          <w:p w:rsidR="009D4808" w:rsidRDefault="009D4808" w:rsidP="00175593">
            <w:r>
              <w:t>Nombre:</w:t>
            </w:r>
          </w:p>
        </w:tc>
        <w:tc>
          <w:tcPr>
            <w:tcW w:w="5522" w:type="dxa"/>
          </w:tcPr>
          <w:p w:rsidR="009D4808" w:rsidRDefault="003D2B8C" w:rsidP="00175593">
            <w:r>
              <w:t>Bruno Walter</w:t>
            </w:r>
          </w:p>
        </w:tc>
      </w:tr>
      <w:tr w:rsidR="009D4808" w:rsidTr="00F10B36">
        <w:tc>
          <w:tcPr>
            <w:tcW w:w="2972" w:type="dxa"/>
          </w:tcPr>
          <w:p w:rsidR="009D4808" w:rsidRDefault="009D4808" w:rsidP="00175593">
            <w:r>
              <w:t>Profesión/Cargo:</w:t>
            </w:r>
          </w:p>
        </w:tc>
        <w:tc>
          <w:tcPr>
            <w:tcW w:w="5522" w:type="dxa"/>
          </w:tcPr>
          <w:p w:rsidR="009D4808" w:rsidRDefault="003D2B8C" w:rsidP="00175593">
            <w:r>
              <w:t>Profesor Adjunto de Derecho Mercantil</w:t>
            </w:r>
          </w:p>
        </w:tc>
      </w:tr>
      <w:tr w:rsidR="00F10B36" w:rsidTr="00F10B36">
        <w:tc>
          <w:tcPr>
            <w:tcW w:w="2972" w:type="dxa"/>
          </w:tcPr>
          <w:p w:rsidR="00F10B36" w:rsidRDefault="00F10B36" w:rsidP="00175593">
            <w:r>
              <w:t>Departamento o Instituto:</w:t>
            </w:r>
          </w:p>
        </w:tc>
        <w:tc>
          <w:tcPr>
            <w:tcW w:w="5522" w:type="dxa"/>
          </w:tcPr>
          <w:p w:rsidR="00F10B36" w:rsidRDefault="003D2B8C" w:rsidP="00175593">
            <w:r>
              <w:t>Derecho Mercantil</w:t>
            </w:r>
          </w:p>
        </w:tc>
      </w:tr>
      <w:tr w:rsidR="00F10B36" w:rsidTr="00F10B36">
        <w:tc>
          <w:tcPr>
            <w:tcW w:w="2972" w:type="dxa"/>
          </w:tcPr>
          <w:p w:rsidR="00F10B36" w:rsidRDefault="00F10B36" w:rsidP="00175593">
            <w:r>
              <w:t>Facultad y Universidad:</w:t>
            </w:r>
          </w:p>
        </w:tc>
        <w:tc>
          <w:tcPr>
            <w:tcW w:w="5522" w:type="dxa"/>
          </w:tcPr>
          <w:p w:rsidR="00F10B36" w:rsidRDefault="003D2B8C" w:rsidP="00175593">
            <w:r>
              <w:t>Universidad Pontificia Comillas</w:t>
            </w:r>
          </w:p>
        </w:tc>
      </w:tr>
      <w:tr w:rsidR="001F5EA7" w:rsidTr="00F10B36">
        <w:tc>
          <w:tcPr>
            <w:tcW w:w="2972" w:type="dxa"/>
          </w:tcPr>
          <w:p w:rsidR="001F5EA7" w:rsidRDefault="001F5EA7" w:rsidP="00175593">
            <w:r>
              <w:t>Correo electrónico:</w:t>
            </w:r>
          </w:p>
        </w:tc>
        <w:tc>
          <w:tcPr>
            <w:tcW w:w="5522" w:type="dxa"/>
          </w:tcPr>
          <w:p w:rsidR="001F5EA7" w:rsidRDefault="003D2B8C" w:rsidP="00175593">
            <w:hyperlink r:id="rId9" w:history="1">
              <w:r w:rsidRPr="009B1935">
                <w:rPr>
                  <w:rStyle w:val="Hipervnculo"/>
                </w:rPr>
                <w:t>bruno.martin@comillas.edu</w:t>
              </w:r>
            </w:hyperlink>
          </w:p>
        </w:tc>
      </w:tr>
      <w:tr w:rsidR="00620B43" w:rsidTr="00F10B36">
        <w:tc>
          <w:tcPr>
            <w:tcW w:w="2972" w:type="dxa"/>
          </w:tcPr>
          <w:p w:rsidR="00620B43" w:rsidRDefault="00620B43" w:rsidP="00620B43">
            <w:r>
              <w:t>Dirección de envío para recibir la publicación del libro, en su caso:</w:t>
            </w:r>
          </w:p>
        </w:tc>
        <w:tc>
          <w:tcPr>
            <w:tcW w:w="5522" w:type="dxa"/>
          </w:tcPr>
          <w:p w:rsidR="003D2B8C" w:rsidRDefault="003D2B8C" w:rsidP="00175593">
            <w:r>
              <w:t>Universidad Pontificia Comillas</w:t>
            </w:r>
          </w:p>
          <w:p w:rsidR="00620B43" w:rsidRDefault="003D2B8C" w:rsidP="00175593">
            <w:r>
              <w:t>c/ Alberto Aguilera 23</w:t>
            </w:r>
          </w:p>
          <w:p w:rsidR="003D2B8C" w:rsidRDefault="003D2B8C" w:rsidP="003D2B8C">
            <w:r>
              <w:t>28015 Madrid</w:t>
            </w:r>
          </w:p>
        </w:tc>
      </w:tr>
    </w:tbl>
    <w:p w:rsidR="009D4808" w:rsidRDefault="009D4808" w:rsidP="009D4808">
      <w:r>
        <w:t xml:space="preserve"> </w:t>
      </w:r>
    </w:p>
    <w:p w:rsidR="00F10B36" w:rsidRDefault="00F10B36" w:rsidP="00F10B36">
      <w:r>
        <w:t>Sentencia que quiere comentar:</w:t>
      </w:r>
    </w:p>
    <w:tbl>
      <w:tblPr>
        <w:tblStyle w:val="Tablaconcuadrcula"/>
        <w:tblW w:w="0" w:type="auto"/>
        <w:tblLook w:val="04A0" w:firstRow="1" w:lastRow="0" w:firstColumn="1" w:lastColumn="0" w:noHBand="0" w:noVBand="1"/>
      </w:tblPr>
      <w:tblGrid>
        <w:gridCol w:w="4390"/>
        <w:gridCol w:w="4104"/>
      </w:tblGrid>
      <w:tr w:rsidR="00F10B36" w:rsidTr="00F10B36">
        <w:tc>
          <w:tcPr>
            <w:tcW w:w="4390" w:type="dxa"/>
          </w:tcPr>
          <w:p w:rsidR="00F10B36" w:rsidRDefault="00F10B36" w:rsidP="00F10B36">
            <w:r>
              <w:t>Órgano (por favor indique si es TJUE o TEDH)</w:t>
            </w:r>
          </w:p>
        </w:tc>
        <w:tc>
          <w:tcPr>
            <w:tcW w:w="4104" w:type="dxa"/>
          </w:tcPr>
          <w:p w:rsidR="00F10B36" w:rsidRDefault="003D2B8C" w:rsidP="003C0F79">
            <w:r>
              <w:t>TJUE</w:t>
            </w:r>
          </w:p>
        </w:tc>
      </w:tr>
      <w:tr w:rsidR="00F10B36" w:rsidTr="00F10B36">
        <w:tc>
          <w:tcPr>
            <w:tcW w:w="4390" w:type="dxa"/>
          </w:tcPr>
          <w:p w:rsidR="00F10B36" w:rsidRDefault="00F10B36" w:rsidP="003C0F79">
            <w:r>
              <w:t>Fecha:</w:t>
            </w:r>
          </w:p>
        </w:tc>
        <w:tc>
          <w:tcPr>
            <w:tcW w:w="4104" w:type="dxa"/>
          </w:tcPr>
          <w:p w:rsidR="00F10B36" w:rsidRDefault="003D2B8C" w:rsidP="003C0F79">
            <w:r w:rsidRPr="003D2B8C">
              <w:t>10 de noviembre de 2016</w:t>
            </w:r>
          </w:p>
        </w:tc>
      </w:tr>
      <w:tr w:rsidR="00F10B36" w:rsidRPr="003D2B8C" w:rsidTr="00F10B36">
        <w:tc>
          <w:tcPr>
            <w:tcW w:w="4390" w:type="dxa"/>
          </w:tcPr>
          <w:p w:rsidR="00F10B36" w:rsidRDefault="00F10B36" w:rsidP="003C0F79">
            <w:r>
              <w:t>Partes:</w:t>
            </w:r>
          </w:p>
        </w:tc>
        <w:tc>
          <w:tcPr>
            <w:tcW w:w="4104" w:type="dxa"/>
          </w:tcPr>
          <w:p w:rsidR="00F10B36" w:rsidRPr="003D2B8C" w:rsidRDefault="003D2B8C" w:rsidP="003C0F79">
            <w:pPr>
              <w:rPr>
                <w:lang w:val="en-US"/>
              </w:rPr>
            </w:pPr>
            <w:r w:rsidRPr="003D2B8C">
              <w:rPr>
                <w:lang w:val="en-US"/>
              </w:rPr>
              <w:t xml:space="preserve">Private Equity Insurance Group y </w:t>
            </w:r>
            <w:proofErr w:type="spellStart"/>
            <w:r w:rsidRPr="003D2B8C">
              <w:rPr>
                <w:lang w:val="en-US"/>
              </w:rPr>
              <w:t>Swedbank</w:t>
            </w:r>
            <w:proofErr w:type="spellEnd"/>
            <w:r w:rsidRPr="003D2B8C">
              <w:rPr>
                <w:lang w:val="en-US"/>
              </w:rPr>
              <w:t xml:space="preserve"> AS</w:t>
            </w:r>
          </w:p>
        </w:tc>
      </w:tr>
    </w:tbl>
    <w:p w:rsidR="00F10B36" w:rsidRPr="003D2B8C" w:rsidRDefault="00F10B36" w:rsidP="00F10B36">
      <w:pPr>
        <w:rPr>
          <w:lang w:val="en-US"/>
        </w:rPr>
      </w:pPr>
      <w:r w:rsidRPr="003D2B8C">
        <w:rPr>
          <w:lang w:val="en-US"/>
        </w:rPr>
        <w:t xml:space="preserve"> </w:t>
      </w:r>
    </w:p>
    <w:p w:rsidR="0060128A" w:rsidRDefault="00DD61CB">
      <w:r>
        <w:t xml:space="preserve">Título de la </w:t>
      </w:r>
      <w:r w:rsidR="00F10B36">
        <w:t>comunicación</w:t>
      </w:r>
      <w:r>
        <w:t xml:space="preserve">: </w:t>
      </w:r>
    </w:p>
    <w:tbl>
      <w:tblPr>
        <w:tblStyle w:val="Tablaconcuadrcula"/>
        <w:tblW w:w="0" w:type="auto"/>
        <w:tblLook w:val="04A0" w:firstRow="1" w:lastRow="0" w:firstColumn="1" w:lastColumn="0" w:noHBand="0" w:noVBand="1"/>
      </w:tblPr>
      <w:tblGrid>
        <w:gridCol w:w="8494"/>
      </w:tblGrid>
      <w:tr w:rsidR="00DD61CB" w:rsidTr="00DD61CB">
        <w:tc>
          <w:tcPr>
            <w:tcW w:w="8494" w:type="dxa"/>
          </w:tcPr>
          <w:p w:rsidR="00DD61CB" w:rsidRDefault="003D2B8C" w:rsidP="003D2B8C">
            <w:r w:rsidRPr="003D2B8C">
              <w:t xml:space="preserve">La pignoración de cuentas de </w:t>
            </w:r>
            <w:r>
              <w:t>depósito de efectivo</w:t>
            </w:r>
            <w:r w:rsidRPr="003D2B8C">
              <w:t xml:space="preserve"> mediante la constitución de garantías financieras</w:t>
            </w:r>
            <w:r>
              <w:t xml:space="preserve"> después de la </w:t>
            </w:r>
            <w:r w:rsidRPr="003D2B8C">
              <w:t xml:space="preserve">Sentencia del Tribunal de Justicia (Sala Cuarta) de 10 de noviembre de 2016, C-156/15, </w:t>
            </w:r>
            <w:proofErr w:type="spellStart"/>
            <w:r w:rsidRPr="00A61809">
              <w:rPr>
                <w:i/>
              </w:rPr>
              <w:t>Private</w:t>
            </w:r>
            <w:proofErr w:type="spellEnd"/>
            <w:r w:rsidRPr="00A61809">
              <w:rPr>
                <w:i/>
              </w:rPr>
              <w:t xml:space="preserve"> </w:t>
            </w:r>
            <w:proofErr w:type="spellStart"/>
            <w:r w:rsidRPr="00A61809">
              <w:rPr>
                <w:i/>
              </w:rPr>
              <w:t>Equity</w:t>
            </w:r>
            <w:proofErr w:type="spellEnd"/>
            <w:r w:rsidRPr="00A61809">
              <w:rPr>
                <w:i/>
              </w:rPr>
              <w:t xml:space="preserve"> </w:t>
            </w:r>
            <w:proofErr w:type="spellStart"/>
            <w:r w:rsidRPr="00A61809">
              <w:rPr>
                <w:i/>
              </w:rPr>
              <w:t>Insurance</w:t>
            </w:r>
            <w:proofErr w:type="spellEnd"/>
            <w:r w:rsidRPr="00A61809">
              <w:rPr>
                <w:i/>
              </w:rPr>
              <w:t xml:space="preserve"> </w:t>
            </w:r>
            <w:proofErr w:type="spellStart"/>
            <w:r w:rsidRPr="00A61809">
              <w:rPr>
                <w:i/>
              </w:rPr>
              <w:t>Group</w:t>
            </w:r>
            <w:proofErr w:type="spellEnd"/>
            <w:r w:rsidRPr="00A61809">
              <w:rPr>
                <w:i/>
              </w:rPr>
              <w:t>, SIA y “</w:t>
            </w:r>
            <w:proofErr w:type="spellStart"/>
            <w:r w:rsidRPr="00A61809">
              <w:rPr>
                <w:i/>
              </w:rPr>
              <w:t>Swedbank</w:t>
            </w:r>
            <w:proofErr w:type="spellEnd"/>
            <w:r w:rsidRPr="00A61809">
              <w:rPr>
                <w:i/>
              </w:rPr>
              <w:t>” AS</w:t>
            </w:r>
            <w:r w:rsidRPr="003D2B8C">
              <w:t>, números 12 a 20; ECLI:EU:C:2016:856</w:t>
            </w:r>
          </w:p>
        </w:tc>
      </w:tr>
    </w:tbl>
    <w:p w:rsidR="009D4808" w:rsidRDefault="009D4808" w:rsidP="00DD61CB"/>
    <w:p w:rsidR="009D4808" w:rsidRDefault="009D4808" w:rsidP="00DD61CB">
      <w:r>
        <w:t>Palabras clave:</w:t>
      </w:r>
    </w:p>
    <w:tbl>
      <w:tblPr>
        <w:tblStyle w:val="Tablaconcuadrcula"/>
        <w:tblW w:w="0" w:type="auto"/>
        <w:tblLook w:val="04A0" w:firstRow="1" w:lastRow="0" w:firstColumn="1" w:lastColumn="0" w:noHBand="0" w:noVBand="1"/>
      </w:tblPr>
      <w:tblGrid>
        <w:gridCol w:w="8494"/>
      </w:tblGrid>
      <w:tr w:rsidR="009D4808" w:rsidTr="009D4808">
        <w:tc>
          <w:tcPr>
            <w:tcW w:w="8494" w:type="dxa"/>
          </w:tcPr>
          <w:p w:rsidR="009D4808" w:rsidRDefault="003D2B8C" w:rsidP="00DD61CB">
            <w:r>
              <w:t>Garantía financiera, cuenta de depósito de efectivo, control, desposesión</w:t>
            </w:r>
          </w:p>
          <w:p w:rsidR="009D4808" w:rsidRDefault="009D4808" w:rsidP="00DD61CB"/>
        </w:tc>
      </w:tr>
    </w:tbl>
    <w:p w:rsidR="00C30581" w:rsidRDefault="00C30581" w:rsidP="00DD61CB"/>
    <w:p w:rsidR="00F10B36" w:rsidRDefault="00F10B36" w:rsidP="00DD61CB">
      <w:r>
        <w:t>Panel o sección a la que pertenece la sentencia: (elija la opción en el menú desplegable)</w:t>
      </w:r>
    </w:p>
    <w:sdt>
      <w:sdtPr>
        <w:alias w:val="Panel o mesa"/>
        <w:tag w:val="Panel o mesa"/>
        <w:id w:val="-715665551"/>
        <w:placeholder>
          <w:docPart w:val="F0C6EAF1668C4D5EA76B95AF3C246F5C"/>
        </w:placeholder>
        <w:dropDownList>
          <w:listItem w:value="Elija un elemento."/>
          <w:listItem w:displayText="Derecho administrativo" w:value="Derecho administrativo"/>
          <w:listItem w:displayText="Derecho civil" w:value="Derecho civil"/>
          <w:listItem w:displayText="Derecho constitucional" w:value="Derecho constitucional"/>
          <w:listItem w:displayText="Derecho del trabajo y SS" w:value="Derecho del trabajo y SS"/>
          <w:listItem w:displayText="Derecho financiero" w:value="Derecho financiero"/>
          <w:listItem w:displayText="Derecho mercantil" w:value="Derecho mercantil"/>
          <w:listItem w:displayText="Derecho penal" w:value="Derecho penal"/>
          <w:listItem w:displayText="Derecho procesal civil" w:value="Derecho procesal civil"/>
          <w:listItem w:displayText="Derecho procesal penal" w:value="Derecho procesal penal"/>
          <w:listItem w:displayText="Inmigración y asilo" w:value="Inmigración y asilo"/>
          <w:listItem w:displayText="Otros" w:value="Otros"/>
        </w:dropDownList>
      </w:sdtPr>
      <w:sdtEndPr/>
      <w:sdtContent>
        <w:p w:rsidR="00F10B36" w:rsidRDefault="00525F6E" w:rsidP="00DD61CB">
          <w:r>
            <w:t>Derecho mercantil</w:t>
          </w:r>
        </w:p>
      </w:sdtContent>
    </w:sdt>
    <w:p w:rsidR="00CC50D0" w:rsidRDefault="00CC50D0"/>
    <w:p w:rsidR="00CC50D0" w:rsidRDefault="00CC50D0"/>
    <w:p w:rsidR="00CC50D0" w:rsidRDefault="00CC50D0"/>
    <w:p w:rsidR="0060128A" w:rsidRDefault="001F5EA7">
      <w:r>
        <w:t>Introducción (hechos del caso y objetivos del estudio)</w:t>
      </w:r>
      <w:r w:rsidR="0060128A">
        <w:t>:</w:t>
      </w:r>
    </w:p>
    <w:tbl>
      <w:tblPr>
        <w:tblStyle w:val="Tablaconcuadrcula"/>
        <w:tblW w:w="0" w:type="auto"/>
        <w:tblLook w:val="04A0" w:firstRow="1" w:lastRow="0" w:firstColumn="1" w:lastColumn="0" w:noHBand="0" w:noVBand="1"/>
      </w:tblPr>
      <w:tblGrid>
        <w:gridCol w:w="8494"/>
      </w:tblGrid>
      <w:tr w:rsidR="0060128A" w:rsidTr="0060128A">
        <w:tc>
          <w:tcPr>
            <w:tcW w:w="8494" w:type="dxa"/>
          </w:tcPr>
          <w:p w:rsidR="003D2B8C" w:rsidRDefault="003D2B8C" w:rsidP="003D2B8C">
            <w:pPr>
              <w:jc w:val="both"/>
            </w:pPr>
            <w:r>
              <w:t>En el litigio principal una sociedad suscribió con una entidad de crédito un contrato tipo de cuenta corriente, que contenía una cláusula de garantía financiera en virtud de la cual los fondos de la sociedad depositados en la cuenta corriente quedaban pignorados con el fin de asegurar el repago de las obligaciones de la sociedad frente a la entidad de crédito. Posteriormente, la sociedad fue declarada insolvente y, transcurridos unos meses desde la apertura del concurso de acreedores, la entidad de crédito retiró un importe equivalente aproximadamente a 274 euros para satisfacer la comisión de mantenimiento correspondiente al periodo que finalizaba con la fecha de apert</w:t>
            </w:r>
            <w:r>
              <w:t>ura del procedimiento concursal</w:t>
            </w:r>
            <w:r>
              <w:t>.</w:t>
            </w:r>
          </w:p>
          <w:p w:rsidR="003D2B8C" w:rsidRDefault="003D2B8C" w:rsidP="003D2B8C">
            <w:pPr>
              <w:jc w:val="both"/>
            </w:pPr>
            <w:r>
              <w:t xml:space="preserve">La sociedad, representada por su administrador concursal, interpuso entonces una demanda judicial contra la entidad de crédito para recuperar dicha cantidad, invocando a este efecto el principio </w:t>
            </w:r>
            <w:r w:rsidRPr="00A61809">
              <w:rPr>
                <w:i/>
              </w:rPr>
              <w:t xml:space="preserve">par </w:t>
            </w:r>
            <w:proofErr w:type="spellStart"/>
            <w:r w:rsidRPr="00A61809">
              <w:rPr>
                <w:i/>
              </w:rPr>
              <w:t>conditio</w:t>
            </w:r>
            <w:proofErr w:type="spellEnd"/>
            <w:r w:rsidRPr="00A61809">
              <w:rPr>
                <w:i/>
              </w:rPr>
              <w:t xml:space="preserve"> </w:t>
            </w:r>
            <w:proofErr w:type="spellStart"/>
            <w:r w:rsidRPr="00A61809">
              <w:rPr>
                <w:i/>
              </w:rPr>
              <w:t>creditorum</w:t>
            </w:r>
            <w:proofErr w:type="spellEnd"/>
            <w:r>
              <w:t>, que fue desestimada los órganos jurisdiccionales letones en primera y segunda instancia. La sociedad interpuso entonces recurso de casación ante el Tribunal Supremo de Letonia, que plantea cinco cuestiones prejudiciales al Tribunal de Justicia de la Unión Europea (TJUE), de las cuales solo fueron admitidas las dos siguientes: (i) ¿debe interpretarse el artículo 4 de la Directiva 2002/47/CE, relativo a la ejecución de una garantía financiera, atendiendo a los considerandos 1 y 4 de dicha Directiva, en el sentido de que este artículo se aplica únicamente a las cuentas que se utilizan para las liquidaciones en los sistemas de liquidación de valores, o en el sentido de que se aplica igualmente a cualquier cuenta abierta en un banco, incluida una cuenta corriente que no se utiliza para las liquidaciones de las operaciones con valores?; y (ii) ¿deben interpretarse los artículos 3 y 8 de la Directiva 2002/47/CE, atendiendo a sus considerandos 3 y 5, en el sentido de que la finalidad de la Directiva es garantizar un tratamiento prioritario especialmente favorable para las entidades de crédito en los casos de insolvencia de sus clientes, en particular frente a otros acreedores de esos clientes, tales como los trabajadores, en cuanto a sus reclamaciones salariales, el Estado, en cuanto a sus reclamaciones fiscales, y los acreedores garantizados, cuyos créditos están cubiertos mediante garantías amparadas por la fe pública registral?</w:t>
            </w:r>
          </w:p>
          <w:p w:rsidR="0060128A" w:rsidRDefault="0060128A"/>
        </w:tc>
      </w:tr>
    </w:tbl>
    <w:p w:rsidR="0060128A" w:rsidRDefault="0060128A"/>
    <w:p w:rsidR="0060128A" w:rsidRDefault="001F5EA7">
      <w:r>
        <w:t>Resumen de la sentencia (extracto de la doctrina de la sentencia)</w:t>
      </w:r>
      <w:r w:rsidR="0060128A">
        <w:t>:</w:t>
      </w:r>
    </w:p>
    <w:tbl>
      <w:tblPr>
        <w:tblStyle w:val="Tablaconcuadrcula"/>
        <w:tblW w:w="0" w:type="auto"/>
        <w:tblLook w:val="04A0" w:firstRow="1" w:lastRow="0" w:firstColumn="1" w:lastColumn="0" w:noHBand="0" w:noVBand="1"/>
      </w:tblPr>
      <w:tblGrid>
        <w:gridCol w:w="8494"/>
      </w:tblGrid>
      <w:tr w:rsidR="0060128A" w:rsidTr="0060128A">
        <w:tc>
          <w:tcPr>
            <w:tcW w:w="8494" w:type="dxa"/>
          </w:tcPr>
          <w:p w:rsidR="003D2B8C" w:rsidRDefault="003D2B8C" w:rsidP="003D2B8C">
            <w:pPr>
              <w:jc w:val="both"/>
            </w:pPr>
            <w:r>
              <w:t xml:space="preserve">En relación con la primera cuestión prejudicial el TJUE establece que no se puede considerar que el ámbito de aplicación </w:t>
            </w:r>
            <w:proofErr w:type="spellStart"/>
            <w:r w:rsidRPr="00A61809">
              <w:rPr>
                <w:i/>
              </w:rPr>
              <w:t>ratione</w:t>
            </w:r>
            <w:proofErr w:type="spellEnd"/>
            <w:r w:rsidRPr="00A61809">
              <w:rPr>
                <w:i/>
              </w:rPr>
              <w:t xml:space="preserve"> </w:t>
            </w:r>
            <w:proofErr w:type="spellStart"/>
            <w:r w:rsidRPr="00A61809">
              <w:rPr>
                <w:i/>
              </w:rPr>
              <w:t>materiae</w:t>
            </w:r>
            <w:proofErr w:type="spellEnd"/>
            <w:r>
              <w:t xml:space="preserve"> de la Directiva 2002/47 se limite a los fondos depositados en cuentas que se utilizan para los sistemas de pagos y de liquidación de valores contemplados en la Directiva 98/26, sino que incluye también los fondos depositados en una cuenta corriente bancaria a los efectos de la constitución de una garantía financiera. En relación con la segunda cuestión, el TJUE considera (i) que el requisito relativo a la prestación de la garantía financiera tiene por objeto garantizar que el beneficiario designado en el acuerdo de garantía financiera pueda efectivamente disponer de ella si se produce un acontecimiento de ejecución, de modo que solo cabe considerar que el beneficiario de una garantía prestada sobre fondos depositados en una cuenta bancaria ordinaria tiene estos fondos en su ‘poder’ o ‘bajo su control’ si se impide al garante disponer de ellos; y (ii) los fondos depositados en la cuenta después de la declaración de concurso no se beneficiarán del régimen de la Directiva 47/2002</w:t>
            </w:r>
            <w:r w:rsidR="005626E8">
              <w:t>.</w:t>
            </w:r>
          </w:p>
          <w:p w:rsidR="003D2B8C" w:rsidRDefault="003D2B8C" w:rsidP="005626E8">
            <w:pPr>
              <w:jc w:val="both"/>
            </w:pPr>
            <w:r>
              <w:lastRenderedPageBreak/>
              <w:t>A propósito del pronunciamiento sobre la prestación de la garantía financiera, el TJUE comienza por señalar que la Directiva 2002/47 no especifica en qué circunstancias se cumple el criterio de que la garantía ‘obre en poder o esté bajo el control’ del beneficiario en caso de garantía incorporal, como ocurre en el litigio principal, sobre fondos depositados en una cuenta bancaria (apartado 38). No obstante, a falta de una remisión expresa al Derecho de los Estados miembros, este criterio debiera ser objeto de una interpretación autónoma y uniforme que debe buscarse teniendo en cuenta su tenor, su contexto y el objetivo perseguido (apartado 39). A este respecto, del considerando 10 de la Directiva 2002/47 se desprende que ésta pretende establecer un equilibrio entre, por un lado, la eficiencia del mercado, evitando los formalismos que rodean la prestación de una garantía financiera, y, por otro lado, la seguridad de las partes en el acuerdo de garantía financiera y de los terceros, al exigir que las garantías financieras se presten bajo alguna forma de desposesión (apartado 40). El requisito relativo a la prestación de la garantía financiera tiene por objeto garantizar que el beneficiario designado en el acuerdo de garantía financiera pueda, efectivamente, disponer de ella si se produce un acontecimiento de ejecución (apartado 41). Por consiguiente, sólo cabe considerar que el beneficiario de una garantía prestada sobre fondos depositados en una cuenta bancaria ordinaria, tiene estos fondos en su ‘poder’ o ‘bajo su control’ si puede impedir al garante disponer de ellos (apartado 44). Por otra parte, el artículo 2.2 segunda frase de la Directiva 2002/47 dispone que los derechos de sustitución o de retirada del excedente de garantía financiera en favor del garante se entienden sin perjuicio de que la garantía financiera se haya prestado al beneficiario, pero es importante puntualizar que los requisitos de la prestación –las nociones de ‘poder’ o ‘bajo su control’– no se considerarían propiamente satisfechos si estos derechos de sustitución o de retirada del excedente fueran más allá de lo previsto en la Directiva 47/2002, por ejemplo, en el caso de que el titular de la cuenta pueda disponer libremente de los fondos (apartado 43).</w:t>
            </w:r>
          </w:p>
          <w:p w:rsidR="0060128A" w:rsidRDefault="003D2B8C" w:rsidP="005626E8">
            <w:pPr>
              <w:jc w:val="both"/>
            </w:pPr>
            <w:r>
              <w:t xml:space="preserve">Merece la pena resumir en este punto las conclusiones del Abogado General, que profundizan más en la noción de ‘control’ que la sentencia del TJUE y hacen suyo el razonamiento de las dos sentencias citadas supra del Tribunal Supremo de Inglaterra y Gales en los asuntos Gray y </w:t>
            </w:r>
            <w:proofErr w:type="spellStart"/>
            <w:r>
              <w:t>Lehman</w:t>
            </w:r>
            <w:proofErr w:type="spellEnd"/>
            <w:r>
              <w:t xml:space="preserve"> </w:t>
            </w:r>
            <w:proofErr w:type="spellStart"/>
            <w:r>
              <w:t>Brothers</w:t>
            </w:r>
            <w:proofErr w:type="spellEnd"/>
            <w:r>
              <w:t xml:space="preserve"> a propósito del considerando 10 y del artíc</w:t>
            </w:r>
            <w:r w:rsidR="005626E8">
              <w:t>ulo 2.2 de la Directiva 47/2002</w:t>
            </w:r>
            <w:r>
              <w:t>. Coincide el Abogado General en señalar que la prestación de la garantía presupone que el beneficiario pueda impedir al garante disponer de la misma. Esto implica que el beneficiario debe tener el control ‘legal’ sobre el objeto de la garantía, siendo insuficiente un mero control administrativo o práctico, en particular cuando el garante tiene derecho a disponer sin límite alguno de los fondos en cuestión (apartados 44 a 46). El Abogado General señala que la Comisión sostuvo en la vista la misma postura adoptada por los órganos jurisdiccionales del Reino Unido en los asuntos citados y que las consideraciones que les llevaron a rechazar la tesis según la cual el mero control administrativo sobre el objeto de la garantía es suficiente son igualmente pertinentes en el presente asunto en relación con la interpretación del artículo 2.2 de la Directiva 2002/47 (apartado 48). La exigencia relativa a que la garantía ‘obre en poder o esté bajo el control’ del beneficiario, prevista en el artículo 2.2 quedaría desprovista de todo efecto útil si se interpretara en el sentido de que cubre la situación en la que el garante puede continuar disponiendo del objeto de la garantía libremente. Si bien el artículo 2.2 permite aplicar las técnicas de garantía que facultan al garante a sustituirla o a retirar el excedente, puede deducirse, en sentido contrario, que conceder derechos más amplios al garante entrañaría que no se cumplieran los requisitos de prestación de la garantía. Concluye el Abogado General que, en el caso de una garantía prestada en efectivo y depositada en una cuenta, que la garantía obre en poder o esté bajo el control del beneficiario implica necesariamente que éste no sólo disponga de un control práctico sobre la cuenta objeto de la garantía, sino que también tenga el derecho a impedir la retirada de efectivo por parte del garante, en la medida que sea necesaria para garantizar las obligaciones principales (apartado 51).</w:t>
            </w:r>
          </w:p>
          <w:p w:rsidR="0060128A" w:rsidRDefault="0060128A"/>
        </w:tc>
      </w:tr>
    </w:tbl>
    <w:p w:rsidR="0060128A" w:rsidRDefault="0060128A"/>
    <w:p w:rsidR="0060128A" w:rsidRDefault="00CC50D0">
      <w:r>
        <w:t>Relevancia para</w:t>
      </w:r>
      <w:r w:rsidR="001F5EA7">
        <w:t xml:space="preserve"> el Derecho interno</w:t>
      </w:r>
      <w:r w:rsidR="0060128A">
        <w:t>:</w:t>
      </w:r>
    </w:p>
    <w:tbl>
      <w:tblPr>
        <w:tblStyle w:val="Tablaconcuadrcula"/>
        <w:tblW w:w="0" w:type="auto"/>
        <w:tblLook w:val="04A0" w:firstRow="1" w:lastRow="0" w:firstColumn="1" w:lastColumn="0" w:noHBand="0" w:noVBand="1"/>
      </w:tblPr>
      <w:tblGrid>
        <w:gridCol w:w="8494"/>
      </w:tblGrid>
      <w:tr w:rsidR="0060128A" w:rsidTr="0060128A">
        <w:tc>
          <w:tcPr>
            <w:tcW w:w="8494" w:type="dxa"/>
          </w:tcPr>
          <w:p w:rsidR="0060128A" w:rsidRDefault="005626E8" w:rsidP="005626E8">
            <w:pPr>
              <w:jc w:val="both"/>
            </w:pPr>
            <w:r w:rsidRPr="005626E8">
              <w:t xml:space="preserve">La sentencia del TJUE en el asunto </w:t>
            </w:r>
            <w:bookmarkStart w:id="0" w:name="_GoBack"/>
            <w:bookmarkEnd w:id="0"/>
            <w:proofErr w:type="spellStart"/>
            <w:r w:rsidRPr="00101FC6">
              <w:rPr>
                <w:i/>
              </w:rPr>
              <w:t>Private</w:t>
            </w:r>
            <w:proofErr w:type="spellEnd"/>
            <w:r w:rsidRPr="00101FC6">
              <w:rPr>
                <w:i/>
              </w:rPr>
              <w:t xml:space="preserve"> </w:t>
            </w:r>
            <w:proofErr w:type="spellStart"/>
            <w:r w:rsidRPr="00101FC6">
              <w:rPr>
                <w:i/>
              </w:rPr>
              <w:t>Equity</w:t>
            </w:r>
            <w:proofErr w:type="spellEnd"/>
            <w:r w:rsidRPr="00101FC6">
              <w:rPr>
                <w:i/>
              </w:rPr>
              <w:t xml:space="preserve"> </w:t>
            </w:r>
            <w:proofErr w:type="spellStart"/>
            <w:r w:rsidRPr="00101FC6">
              <w:rPr>
                <w:i/>
              </w:rPr>
              <w:t>Insurance</w:t>
            </w:r>
            <w:proofErr w:type="spellEnd"/>
            <w:r w:rsidRPr="00101FC6">
              <w:rPr>
                <w:i/>
              </w:rPr>
              <w:t xml:space="preserve"> </w:t>
            </w:r>
            <w:proofErr w:type="spellStart"/>
            <w:r w:rsidRPr="00101FC6">
              <w:rPr>
                <w:i/>
              </w:rPr>
              <w:t>Group</w:t>
            </w:r>
            <w:proofErr w:type="spellEnd"/>
            <w:r w:rsidRPr="00101FC6">
              <w:rPr>
                <w:i/>
              </w:rPr>
              <w:t xml:space="preserve"> y </w:t>
            </w:r>
            <w:proofErr w:type="spellStart"/>
            <w:r w:rsidRPr="00101FC6">
              <w:rPr>
                <w:i/>
              </w:rPr>
              <w:t>Swedbank</w:t>
            </w:r>
            <w:proofErr w:type="spellEnd"/>
            <w:r w:rsidRPr="00101FC6">
              <w:rPr>
                <w:i/>
              </w:rPr>
              <w:t xml:space="preserve"> AS</w:t>
            </w:r>
            <w:r w:rsidRPr="005626E8">
              <w:t xml:space="preserve"> introduce algunas novedades que afectan a la garantía financiera en su modalidad de acuerdo de pignoración sobre efectivo depositado en una cuenta corriente formalizada de acuerdo con el RDL 5/2005. En primer lugar, tanto en los supuestos en los que el acreedor beneficiario es también depositario de la cuenta en la que se encuentra ingresado el efectivo como en aquellos en los que el depositario es un tercero, parece necesario un acuerdo de control en virtud del cual el acreedor beneficiario obtenga un control ‘legal’ que vaya más allá del mero ‘control administrativo’ de la cuenta de depósito, de modo que se garantice su derecho a impedir la retirada de efectivo por parte del garante en la medida que sea necesaria para garantizar las obligaciones principales. En este sentido, la cláusula en virtud de la cual queda bloqueado un determinado importe del saldo de la cuenta de depósito parece la más congruente con la noción de ‘control’ establecida en la sentencia. Por el contrario, la facultad de revocación del poder de disposición del saldo limitada al caso de incumplimiento del garante bajo la obligación principal garantizada –admitida por la Audiencia Provincial de Barcelona en su sentencia del asunto </w:t>
            </w:r>
            <w:proofErr w:type="spellStart"/>
            <w:r w:rsidRPr="005626E8">
              <w:t>Spanair</w:t>
            </w:r>
            <w:proofErr w:type="spellEnd"/>
            <w:r w:rsidRPr="005626E8">
              <w:t xml:space="preserve"> – no parecería compatible con la noción de ‘control’ establecida por el TJUE– y, en general, cualquier cláusula que permita al garante disponer íntegramente del saldo de la cuenta, aunque solo sea en determinadas fechas o periodos o con la obligación de acreditar un saldo mínimo en determinadas fechas cuantitativas. En el caso de las cláusulas que imponen limitaciones subjetivas parecen admisibles los modelos de control negativo del acreedor beneficiario –por ejemplo, el modelo analizado en la sentencia de Audiencia Provincial de Navarra – así como de control mancomunado de acreedor beneficiario y garante, especialmente en los supuestos en los que cada disposición singular del saldo está sujeta a autorización del acreedor beneficiario, pero no aquellas que prevén una mera facultad de revocación del acreedor beneficiario de la orden de disposición cursada por el garante. En segundo lugar, el poder de disposición del garante sobre el saldo de la cuenta quedaría reducido a dos supuestos expresamente compatibles con la noción de control: el derecho de sustitución y –aunque el RDL 5/2005 no lo reconoce expresamente– el derecho de retirada del excedente. El derecho de sustitución queda condicionado a la aportación de un objeto de valor equivalente –en el caso de cuentas de depósito de efectivo, el pago de un importe idéntico y en la misma divisa–, mientras que el derecho de retirada del excedente de garantía financiera en favor del garante queda limitado al importe del saldo de la cuenta corriente gravada que exceda del importe bloqueado o indisponible que hayan establecido las partes en el acuerdo de garantía financiera, aunque es cierto que la sentencia del TJUE solo enuncia este derecho como compatible con la noción de control, pero no explicita el contenido preciso del mismo.</w:t>
            </w:r>
          </w:p>
        </w:tc>
      </w:tr>
    </w:tbl>
    <w:p w:rsidR="0060128A" w:rsidRDefault="0060128A"/>
    <w:p w:rsidR="0060128A" w:rsidRDefault="001F5EA7">
      <w:r>
        <w:t>Conclusiones</w:t>
      </w:r>
      <w:r w:rsidR="0060128A">
        <w:t>:</w:t>
      </w:r>
    </w:p>
    <w:tbl>
      <w:tblPr>
        <w:tblStyle w:val="Tablaconcuadrcula"/>
        <w:tblW w:w="0" w:type="auto"/>
        <w:tblLook w:val="04A0" w:firstRow="1" w:lastRow="0" w:firstColumn="1" w:lastColumn="0" w:noHBand="0" w:noVBand="1"/>
      </w:tblPr>
      <w:tblGrid>
        <w:gridCol w:w="8494"/>
      </w:tblGrid>
      <w:tr w:rsidR="0060128A" w:rsidTr="0060128A">
        <w:tc>
          <w:tcPr>
            <w:tcW w:w="8494" w:type="dxa"/>
          </w:tcPr>
          <w:p w:rsidR="00033E34" w:rsidRDefault="005626E8" w:rsidP="00A61809">
            <w:pPr>
              <w:jc w:val="both"/>
            </w:pPr>
            <w:r w:rsidRPr="005626E8">
              <w:t xml:space="preserve">La sentencia del TJUE en el asunto </w:t>
            </w:r>
            <w:proofErr w:type="spellStart"/>
            <w:r w:rsidRPr="00A61809">
              <w:rPr>
                <w:i/>
              </w:rPr>
              <w:t>Private</w:t>
            </w:r>
            <w:proofErr w:type="spellEnd"/>
            <w:r w:rsidRPr="00A61809">
              <w:rPr>
                <w:i/>
              </w:rPr>
              <w:t xml:space="preserve"> </w:t>
            </w:r>
            <w:proofErr w:type="spellStart"/>
            <w:r w:rsidRPr="00A61809">
              <w:rPr>
                <w:i/>
              </w:rPr>
              <w:t>Equity</w:t>
            </w:r>
            <w:proofErr w:type="spellEnd"/>
            <w:r w:rsidRPr="00A61809">
              <w:rPr>
                <w:i/>
              </w:rPr>
              <w:t xml:space="preserve"> </w:t>
            </w:r>
            <w:proofErr w:type="spellStart"/>
            <w:r w:rsidRPr="00A61809">
              <w:rPr>
                <w:i/>
              </w:rPr>
              <w:t>Insurance</w:t>
            </w:r>
            <w:proofErr w:type="spellEnd"/>
            <w:r w:rsidRPr="00A61809">
              <w:rPr>
                <w:i/>
              </w:rPr>
              <w:t xml:space="preserve"> </w:t>
            </w:r>
            <w:proofErr w:type="spellStart"/>
            <w:r w:rsidRPr="00A61809">
              <w:rPr>
                <w:i/>
              </w:rPr>
              <w:t>Group</w:t>
            </w:r>
            <w:proofErr w:type="spellEnd"/>
            <w:r w:rsidRPr="00A61809">
              <w:rPr>
                <w:i/>
              </w:rPr>
              <w:t xml:space="preserve"> y </w:t>
            </w:r>
            <w:proofErr w:type="spellStart"/>
            <w:r w:rsidRPr="00A61809">
              <w:rPr>
                <w:i/>
              </w:rPr>
              <w:t>Swedbank</w:t>
            </w:r>
            <w:proofErr w:type="spellEnd"/>
            <w:r w:rsidRPr="00A61809">
              <w:rPr>
                <w:i/>
              </w:rPr>
              <w:t xml:space="preserve"> AS</w:t>
            </w:r>
            <w:r w:rsidRPr="005626E8">
              <w:t xml:space="preserve"> </w:t>
            </w:r>
            <w:r>
              <w:t>endurece los requisitos aplicables a la prenda</w:t>
            </w:r>
            <w:r w:rsidRPr="005626E8">
              <w:t xml:space="preserve"> sobre efectivo depositado en una cuenta corriente formalizada de acuerdo con el RDL 5/2005.</w:t>
            </w:r>
            <w:r>
              <w:t xml:space="preserve"> De ahora en adelante, parece que (i) será preceptivo bloquear todo o parte del saldo de la cuenta pignorada para poder acreditar el requisito de control; y (ii) el derecho de disposición sobre el saldo estará limitado a los derechos de sustitución y de retirada del excedente contemplados en la Directiva 47/2002 y en el RDL 5/2005.</w:t>
            </w:r>
          </w:p>
        </w:tc>
      </w:tr>
    </w:tbl>
    <w:p w:rsidR="0060128A" w:rsidRDefault="0060128A"/>
    <w:sectPr w:rsidR="0060128A">
      <w:footerReference w:type="default" r:id="rId10"/>
      <w:pgSz w:w="11906" w:h="16838"/>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343DA3" w:rsidRDefault="00343DA3" w:rsidP="00620B43">
      <w:pPr>
        <w:spacing w:after="0" w:line="240" w:lineRule="auto"/>
      </w:pPr>
      <w:r>
        <w:separator/>
      </w:r>
    </w:p>
  </w:endnote>
  <w:endnote w:type="continuationSeparator" w:id="0">
    <w:p w:rsidR="00343DA3" w:rsidRDefault="00343DA3" w:rsidP="00620B4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3"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2AEF" w:usb1="4000207B" w:usb2="00000000"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2064013491"/>
      <w:docPartObj>
        <w:docPartGallery w:val="Page Numbers (Bottom of Page)"/>
        <w:docPartUnique/>
      </w:docPartObj>
    </w:sdtPr>
    <w:sdtEndPr/>
    <w:sdtContent>
      <w:p w:rsidR="00620B43" w:rsidRDefault="00620B43">
        <w:pPr>
          <w:pStyle w:val="Piedepgina"/>
          <w:jc w:val="center"/>
        </w:pPr>
        <w:r>
          <w:fldChar w:fldCharType="begin"/>
        </w:r>
        <w:r>
          <w:instrText>PAGE   \* MERGEFORMAT</w:instrText>
        </w:r>
        <w:r>
          <w:fldChar w:fldCharType="separate"/>
        </w:r>
        <w:r w:rsidR="00101FC6">
          <w:rPr>
            <w:noProof/>
          </w:rPr>
          <w:t>4</w:t>
        </w:r>
        <w:r>
          <w:fldChar w:fldCharType="end"/>
        </w:r>
      </w:p>
    </w:sdtContent>
  </w:sdt>
  <w:p w:rsidR="00620B43" w:rsidRDefault="00620B43">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343DA3" w:rsidRDefault="00343DA3" w:rsidP="00620B43">
      <w:pPr>
        <w:spacing w:after="0" w:line="240" w:lineRule="auto"/>
      </w:pPr>
      <w:r>
        <w:separator/>
      </w:r>
    </w:p>
  </w:footnote>
  <w:footnote w:type="continuationSeparator" w:id="0">
    <w:p w:rsidR="00343DA3" w:rsidRDefault="00343DA3" w:rsidP="00620B43">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0128A"/>
    <w:rsid w:val="00033E34"/>
    <w:rsid w:val="00101FC6"/>
    <w:rsid w:val="001F5EA7"/>
    <w:rsid w:val="00343DA3"/>
    <w:rsid w:val="003D2B8C"/>
    <w:rsid w:val="00525F6E"/>
    <w:rsid w:val="005626E8"/>
    <w:rsid w:val="005A7BDA"/>
    <w:rsid w:val="0060128A"/>
    <w:rsid w:val="00620B43"/>
    <w:rsid w:val="00627868"/>
    <w:rsid w:val="007B077D"/>
    <w:rsid w:val="009D4808"/>
    <w:rsid w:val="00A61809"/>
    <w:rsid w:val="00BE1679"/>
    <w:rsid w:val="00C30581"/>
    <w:rsid w:val="00CA03FD"/>
    <w:rsid w:val="00CC50D0"/>
    <w:rsid w:val="00D17A00"/>
    <w:rsid w:val="00D7168E"/>
    <w:rsid w:val="00D87D33"/>
    <w:rsid w:val="00DD61CB"/>
    <w:rsid w:val="00F02223"/>
    <w:rsid w:val="00F10B36"/>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A033579"/>
  <w15:chartTrackingRefBased/>
  <w15:docId w15:val="{FC303866-1069-4803-834C-C2754B73ECA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s-E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table" w:styleId="Tablaconcuadrcula">
    <w:name w:val="Table Grid"/>
    <w:basedOn w:val="Tablanormal"/>
    <w:uiPriority w:val="39"/>
    <w:rsid w:val="0060128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ipervnculo">
    <w:name w:val="Hyperlink"/>
    <w:basedOn w:val="Fuentedeprrafopredeter"/>
    <w:uiPriority w:val="99"/>
    <w:unhideWhenUsed/>
    <w:rsid w:val="009D4808"/>
    <w:rPr>
      <w:color w:val="0563C1" w:themeColor="hyperlink"/>
      <w:u w:val="single"/>
    </w:rPr>
  </w:style>
  <w:style w:type="character" w:styleId="Textodelmarcadordeposicin">
    <w:name w:val="Placeholder Text"/>
    <w:basedOn w:val="Fuentedeprrafopredeter"/>
    <w:uiPriority w:val="99"/>
    <w:semiHidden/>
    <w:rsid w:val="00F10B36"/>
    <w:rPr>
      <w:color w:val="808080"/>
    </w:rPr>
  </w:style>
  <w:style w:type="paragraph" w:styleId="Encabezado">
    <w:name w:val="header"/>
    <w:basedOn w:val="Normal"/>
    <w:link w:val="EncabezadoCar"/>
    <w:uiPriority w:val="99"/>
    <w:unhideWhenUsed/>
    <w:rsid w:val="00620B43"/>
    <w:pPr>
      <w:tabs>
        <w:tab w:val="center" w:pos="4252"/>
        <w:tab w:val="right" w:pos="8504"/>
      </w:tabs>
      <w:spacing w:after="0" w:line="240" w:lineRule="auto"/>
    </w:pPr>
  </w:style>
  <w:style w:type="character" w:customStyle="1" w:styleId="EncabezadoCar">
    <w:name w:val="Encabezado Car"/>
    <w:basedOn w:val="Fuentedeprrafopredeter"/>
    <w:link w:val="Encabezado"/>
    <w:uiPriority w:val="99"/>
    <w:rsid w:val="00620B43"/>
  </w:style>
  <w:style w:type="paragraph" w:styleId="Piedepgina">
    <w:name w:val="footer"/>
    <w:basedOn w:val="Normal"/>
    <w:link w:val="PiedepginaCar"/>
    <w:uiPriority w:val="99"/>
    <w:unhideWhenUsed/>
    <w:rsid w:val="00620B43"/>
    <w:pPr>
      <w:tabs>
        <w:tab w:val="center" w:pos="4252"/>
        <w:tab w:val="right" w:pos="8504"/>
      </w:tabs>
      <w:spacing w:after="0" w:line="240" w:lineRule="auto"/>
    </w:pPr>
  </w:style>
  <w:style w:type="character" w:customStyle="1" w:styleId="PiedepginaCar">
    <w:name w:val="Pie de página Car"/>
    <w:basedOn w:val="Fuentedeprrafopredeter"/>
    <w:link w:val="Piedepgina"/>
    <w:uiPriority w:val="99"/>
    <w:rsid w:val="00620B43"/>
  </w:style>
  <w:style w:type="paragraph" w:styleId="Textodeglobo">
    <w:name w:val="Balloon Text"/>
    <w:basedOn w:val="Normal"/>
    <w:link w:val="TextodegloboCar"/>
    <w:uiPriority w:val="99"/>
    <w:semiHidden/>
    <w:unhideWhenUsed/>
    <w:rsid w:val="00525F6E"/>
    <w:pPr>
      <w:spacing w:after="0" w:line="240" w:lineRule="auto"/>
    </w:pPr>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525F6E"/>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mailto:spanish.hub@europeanlawinstitute.eu" TargetMode="External"/><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glossaryDocument" Target="glossary/document.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yperlink" Target="mailto:bruno.martin@comillas.edu" TargetMode="Externa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docParts>
    <w:docPart>
      <w:docPartPr>
        <w:name w:val="F0C6EAF1668C4D5EA76B95AF3C246F5C"/>
        <w:category>
          <w:name w:val="General"/>
          <w:gallery w:val="placeholder"/>
        </w:category>
        <w:types>
          <w:type w:val="bbPlcHdr"/>
        </w:types>
        <w:behaviors>
          <w:behavior w:val="content"/>
        </w:behaviors>
        <w:guid w:val="{0E7B81ED-EB6D-43C8-8C6D-66BA0CBD7390}"/>
      </w:docPartPr>
      <w:docPartBody>
        <w:p w:rsidR="00C35AE1" w:rsidRDefault="00F33B7B" w:rsidP="00F33B7B">
          <w:pPr>
            <w:pStyle w:val="F0C6EAF1668C4D5EA76B95AF3C246F5C"/>
          </w:pPr>
          <w:r w:rsidRPr="00003A56">
            <w:rPr>
              <w:rStyle w:val="Textodelmarcadordeposicin"/>
            </w:rPr>
            <w:t>Elija un elemento.</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3"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2AEF" w:usb1="4000207B" w:usb2="00000000"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view w:val="normal"/>
  <w:revisionView w:inkAnnotations="0"/>
  <w:defaultTabStop w:val="708"/>
  <w:hyphenationZone w:val="425"/>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B2419"/>
    <w:rsid w:val="000547CE"/>
    <w:rsid w:val="000611C9"/>
    <w:rsid w:val="00C35AE1"/>
    <w:rsid w:val="00CE1C25"/>
    <w:rsid w:val="00DB2419"/>
    <w:rsid w:val="00F33B7B"/>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sz w:val="22"/>
        <w:szCs w:val="22"/>
        <w:lang w:val="es-ES" w:eastAsia="es-E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Textodelmarcadordeposicin">
    <w:name w:val="Placeholder Text"/>
    <w:basedOn w:val="Fuentedeprrafopredeter"/>
    <w:uiPriority w:val="99"/>
    <w:semiHidden/>
    <w:rsid w:val="00F33B7B"/>
    <w:rPr>
      <w:color w:val="808080"/>
    </w:rPr>
  </w:style>
  <w:style w:type="paragraph" w:customStyle="1" w:styleId="F0C6EAF1668C4D5EA76B95AF3C246F5C">
    <w:name w:val="F0C6EAF1668C4D5EA76B95AF3C246F5C"/>
    <w:rsid w:val="00F33B7B"/>
    <w:rPr>
      <w:rFonts w:eastAsiaTheme="minorHAnsi"/>
      <w:lang w:eastAsia="en-US"/>
    </w:r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974B73B-20BD-48E6-A71E-AD1FA15D314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9</TotalTime>
  <Pages>4</Pages>
  <Words>2075</Words>
  <Characters>11417</Characters>
  <Application>Microsoft Office Word</Application>
  <DocSecurity>0</DocSecurity>
  <Lines>95</Lines>
  <Paragraphs>26</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13466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carmen.jerez</dc:creator>
  <cp:keywords/>
  <dc:description/>
  <cp:lastModifiedBy>Bruno Martín Baumeister</cp:lastModifiedBy>
  <cp:revision>5</cp:revision>
  <cp:lastPrinted>2019-04-01T14:59:00Z</cp:lastPrinted>
  <dcterms:created xsi:type="dcterms:W3CDTF">2019-04-01T14:58:00Z</dcterms:created>
  <dcterms:modified xsi:type="dcterms:W3CDTF">2019-04-01T15:03:00Z</dcterms:modified>
</cp:coreProperties>
</file>