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CFB" w:rsidRPr="002F2CFB" w:rsidRDefault="002F2CFB" w:rsidP="002F2CFB">
      <w:pPr>
        <w:shd w:val="clear" w:color="auto" w:fill="FFFFFF"/>
        <w:spacing w:after="200" w:line="253" w:lineRule="atLeast"/>
        <w:jc w:val="both"/>
        <w:rPr>
          <w:rFonts w:ascii="Calibri" w:eastAsia="Times New Roman" w:hAnsi="Calibri" w:cs="Calibri"/>
          <w:color w:val="222222"/>
          <w:lang w:eastAsia="es-ES"/>
        </w:rPr>
      </w:pPr>
      <w:r w:rsidRPr="002F2CF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s-ES"/>
        </w:rPr>
        <w:t>Multidisciplinary school-based intervention reduces negative symptoms in victims of bullying</w:t>
      </w:r>
      <w:r w:rsidRPr="002F2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s-ES"/>
        </w:rPr>
        <w:t>.</w:t>
      </w:r>
    </w:p>
    <w:p w:rsidR="002F2CFB" w:rsidRPr="002F2CFB" w:rsidRDefault="002F2CFB" w:rsidP="002F2CFB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ES"/>
        </w:rPr>
      </w:pPr>
      <w:r w:rsidRPr="002F2CF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 w:eastAsia="es-ES"/>
        </w:rPr>
        <w:t> </w:t>
      </w:r>
      <w:r w:rsidRPr="002F2CF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s-ES"/>
        </w:rPr>
        <w:t>Del Nogal, M. </w:t>
      </w:r>
      <w:r w:rsidRPr="002F2CF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vertAlign w:val="superscript"/>
          <w:lang w:eastAsia="es-ES"/>
        </w:rPr>
        <w:t>1</w:t>
      </w:r>
      <w:r w:rsidRPr="002F2CF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s-ES"/>
        </w:rPr>
        <w:t>, </w:t>
      </w:r>
      <w:r w:rsidRPr="002F2CF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u w:val="single"/>
          <w:lang w:eastAsia="es-ES"/>
        </w:rPr>
        <w:t>Bueno-Guerra, N. </w:t>
      </w:r>
      <w:r w:rsidRPr="002F2CF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vertAlign w:val="superscript"/>
          <w:lang w:eastAsia="es-ES"/>
        </w:rPr>
        <w:t>2</w:t>
      </w:r>
    </w:p>
    <w:p w:rsidR="002F2CFB" w:rsidRPr="002F2CFB" w:rsidRDefault="002F2CFB" w:rsidP="002F2C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lang w:eastAsia="es-ES"/>
        </w:rPr>
      </w:pPr>
      <w:proofErr w:type="gramStart"/>
      <w:r w:rsidRPr="002F2CFB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  <w:lang w:val="en-US" w:eastAsia="es-ES"/>
        </w:rPr>
        <w:t>1</w:t>
      </w:r>
      <w:proofErr w:type="gramEnd"/>
      <w:r w:rsidRPr="002F2CFB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s-ES"/>
        </w:rPr>
        <w:t> </w:t>
      </w:r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AEPAE, Spain</w:t>
      </w:r>
    </w:p>
    <w:p w:rsidR="002F2CFB" w:rsidRPr="002F2CFB" w:rsidRDefault="002F2CFB" w:rsidP="002F2C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lang w:eastAsia="es-ES"/>
        </w:rPr>
      </w:pPr>
      <w:proofErr w:type="gramStart"/>
      <w:r w:rsidRPr="002F2CFB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  <w:lang w:val="en-US" w:eastAsia="es-ES"/>
        </w:rPr>
        <w:t>2</w:t>
      </w:r>
      <w:proofErr w:type="gramEnd"/>
      <w:r w:rsidRPr="002F2CFB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s-ES"/>
        </w:rPr>
        <w:t> </w:t>
      </w:r>
      <w:proofErr w:type="spellStart"/>
      <w:r w:rsidRPr="002F2CFB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s-ES"/>
        </w:rPr>
        <w:t>Comillas</w:t>
      </w:r>
      <w:proofErr w:type="spellEnd"/>
      <w:r w:rsidRPr="002F2CFB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s-ES"/>
        </w:rPr>
        <w:t xml:space="preserve"> Pontifical University, Spain</w:t>
      </w:r>
    </w:p>
    <w:p w:rsidR="002F2CFB" w:rsidRPr="002F2CFB" w:rsidRDefault="002F2CFB" w:rsidP="002F2C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  <w:lang w:eastAsia="es-ES"/>
        </w:rPr>
      </w:pPr>
      <w:r w:rsidRPr="002F2CFB">
        <w:rPr>
          <w:rFonts w:ascii="Arial" w:eastAsia="Times New Roman" w:hAnsi="Arial" w:cs="Arial"/>
          <w:color w:val="333333"/>
          <w:spacing w:val="-1"/>
          <w:sz w:val="21"/>
          <w:szCs w:val="21"/>
          <w:lang w:val="en-US" w:eastAsia="es-ES"/>
        </w:rPr>
        <w:t> </w:t>
      </w:r>
    </w:p>
    <w:p w:rsidR="002F2CFB" w:rsidRPr="002F2CFB" w:rsidRDefault="002F2CFB" w:rsidP="002F2CFB">
      <w:pPr>
        <w:shd w:val="clear" w:color="auto" w:fill="FFFFFF"/>
        <w:spacing w:after="225" w:line="240" w:lineRule="auto"/>
        <w:jc w:val="both"/>
        <w:rPr>
          <w:rFonts w:ascii="Calibri" w:eastAsia="Times New Roman" w:hAnsi="Calibri" w:cs="Calibri"/>
          <w:color w:val="222222"/>
          <w:lang w:eastAsia="es-ES"/>
        </w:rPr>
      </w:pPr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Bullying is an intentional, repeated, long-term and unjustified aggression perpetrated by some students on their peers (Smith et al., 2008) Bullying prevalence is around 35% in Western countries (</w:t>
      </w:r>
      <w:proofErr w:type="spell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Modecki</w:t>
      </w:r>
      <w:proofErr w:type="spell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et al, 2014). Bullying impact on victims’ health is severe: low self-esteem, poor school adjustment, anxiety, depression and sleep difficulties (Center for Educational Statistics, 2016). Since prevention is a matter of public health, many school-based intervention programs </w:t>
      </w:r>
      <w:proofErr w:type="gram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have been developed</w:t>
      </w:r>
      <w:proofErr w:type="gram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(</w:t>
      </w:r>
      <w:proofErr w:type="spell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eg</w:t>
      </w:r>
      <w:proofErr w:type="spell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. </w:t>
      </w:r>
      <w:proofErr w:type="spell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KiVa</w:t>
      </w:r>
      <w:proofErr w:type="spell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, </w:t>
      </w:r>
      <w:proofErr w:type="spell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Kärnä</w:t>
      </w:r>
      <w:proofErr w:type="spell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et al, 2011). We present the results of a transversal intervention conducted by the Spanish Association for Bullying Prevention.</w:t>
      </w:r>
    </w:p>
    <w:p w:rsidR="002F2CFB" w:rsidRPr="002F2CFB" w:rsidRDefault="002F2CFB" w:rsidP="002F2CFB">
      <w:pPr>
        <w:shd w:val="clear" w:color="auto" w:fill="FFFFFF"/>
        <w:spacing w:after="225" w:line="240" w:lineRule="auto"/>
        <w:jc w:val="both"/>
        <w:rPr>
          <w:rFonts w:ascii="Calibri" w:eastAsia="Times New Roman" w:hAnsi="Calibri" w:cs="Calibri"/>
          <w:color w:val="222222"/>
          <w:lang w:eastAsia="es-ES"/>
        </w:rPr>
      </w:pPr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The program is composed of prevention talks addressed to the school community plus three modules (9h, addressed only to victims). Modules include self-defense (learning non-offensive techniques to respond to potential aggression)</w:t>
      </w:r>
      <w:proofErr w:type="gram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;</w:t>
      </w:r>
      <w:proofErr w:type="gram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theatre (learning how to express emotions assertively) and psychology (increasing low self-esteem). Victims </w:t>
      </w:r>
      <w:proofErr w:type="gram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are identified</w:t>
      </w:r>
      <w:proofErr w:type="gram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through the analysis of the self-applied TEBAE test (</w:t>
      </w:r>
      <w:proofErr w:type="spell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Piñuel</w:t>
      </w:r>
      <w:proofErr w:type="spell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&amp; </w:t>
      </w:r>
      <w:proofErr w:type="spell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Gisbert</w:t>
      </w:r>
      <w:proofErr w:type="spell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, 2016). This test informs about perception of </w:t>
      </w:r>
      <w:proofErr w:type="gram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being bullied</w:t>
      </w:r>
      <w:proofErr w:type="gram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; bullying intensity and its impact over the victims’ health. Modules assessment </w:t>
      </w:r>
      <w:proofErr w:type="gram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is done</w:t>
      </w:r>
      <w:proofErr w:type="gram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comparing pre/post TEBAE punctuations.</w:t>
      </w:r>
    </w:p>
    <w:p w:rsidR="002F2CFB" w:rsidRPr="002F2CFB" w:rsidRDefault="002F2CFB" w:rsidP="002F2CFB">
      <w:pPr>
        <w:shd w:val="clear" w:color="auto" w:fill="FFFFFF"/>
        <w:spacing w:after="225" w:line="240" w:lineRule="auto"/>
        <w:jc w:val="both"/>
        <w:rPr>
          <w:rFonts w:ascii="Calibri" w:eastAsia="Times New Roman" w:hAnsi="Calibri" w:cs="Calibri"/>
          <w:color w:val="222222"/>
          <w:lang w:eastAsia="es-ES"/>
        </w:rPr>
      </w:pPr>
      <w:proofErr w:type="gramStart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A total of 101 children out of 1191 (5%, sex was not registered) reported being victims of peer bullying (second grade: 24 (21%, N=110); third grade: 31 (16%, N=184); fourth grade: 6 (4%, N=140); fifth grade: 14 (8%, N=177); sixth grade: 9(4%, N=201); seventh grade: 3(2%, N=122); eight grade: 4 (4%, N=95); ninth grade: 8 (9%, N=86); tenth grade: 2 (2%, N=76)) across five public non-religious schools.</w:t>
      </w:r>
      <w:proofErr w:type="gramEnd"/>
      <w:r w:rsidRPr="002F2CF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Modules were successful because victims reported receiving significantly fewer (Z=-7.587, p&lt;.001) less severe (Z=-6.555, p&lt;.001) bullying actions as well as feeling significantly fewer negative symptoms (Z=-2.393, p&lt;.05). However, the program failed to reduce bullying prevalence in previously non-victim population. Therefore, further interventions should apply modules to all students to avoid displacing victimization to new subjects.</w:t>
      </w:r>
    </w:p>
    <w:p w:rsidR="00091AD7" w:rsidRDefault="00091AD7">
      <w:bookmarkStart w:id="0" w:name="_GoBack"/>
      <w:bookmarkEnd w:id="0"/>
    </w:p>
    <w:sectPr w:rsidR="00091A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CFB"/>
    <w:rsid w:val="00091AD7"/>
    <w:rsid w:val="002F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A6201-93BC-4BB1-AD89-20F16F1D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0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Nereida Bueno Guerra</dc:creator>
  <cp:keywords/>
  <dc:description/>
  <cp:lastModifiedBy>Nereida Bueno Guerra</cp:lastModifiedBy>
  <cp:revision>1</cp:revision>
  <dcterms:created xsi:type="dcterms:W3CDTF">2019-04-04T08:40:00Z</dcterms:created>
  <dcterms:modified xsi:type="dcterms:W3CDTF">2019-04-04T08:41:00Z</dcterms:modified>
</cp:coreProperties>
</file>