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71A" w:rsidRDefault="00BE271A" w:rsidP="00BE271A">
      <w:pPr>
        <w:jc w:val="both"/>
        <w:rPr>
          <w:b/>
          <w:bCs/>
        </w:rPr>
      </w:pPr>
    </w:p>
    <w:p w:rsidR="003E472B" w:rsidRDefault="003E472B" w:rsidP="00BE271A">
      <w:pPr>
        <w:jc w:val="both"/>
        <w:rPr>
          <w:b/>
          <w:caps/>
        </w:rPr>
      </w:pPr>
      <w:r w:rsidRPr="003E472B">
        <w:rPr>
          <w:b/>
          <w:caps/>
        </w:rPr>
        <w:t xml:space="preserve">El principio de </w:t>
      </w:r>
      <w:r>
        <w:rPr>
          <w:b/>
          <w:caps/>
        </w:rPr>
        <w:t>IGUALDAD</w:t>
      </w:r>
      <w:r w:rsidRPr="003E472B">
        <w:rPr>
          <w:b/>
          <w:caps/>
        </w:rPr>
        <w:t xml:space="preserve"> entre el </w:t>
      </w:r>
      <w:r>
        <w:rPr>
          <w:b/>
          <w:caps/>
        </w:rPr>
        <w:t xml:space="preserve">concebido </w:t>
      </w:r>
      <w:r w:rsidRPr="003E472B">
        <w:rPr>
          <w:b/>
          <w:caps/>
        </w:rPr>
        <w:t>y el nacido</w:t>
      </w:r>
      <w:r w:rsidR="00A15604">
        <w:rPr>
          <w:b/>
          <w:caps/>
        </w:rPr>
        <w:t xml:space="preserve"> Y LA</w:t>
      </w:r>
      <w:r w:rsidR="00C8232F">
        <w:rPr>
          <w:b/>
          <w:caps/>
        </w:rPr>
        <w:t xml:space="preserve"> relación</w:t>
      </w:r>
      <w:r w:rsidR="00F84FFD">
        <w:rPr>
          <w:b/>
          <w:caps/>
        </w:rPr>
        <w:t xml:space="preserve"> jurídica</w:t>
      </w:r>
      <w:r w:rsidR="00C8232F">
        <w:rPr>
          <w:b/>
          <w:caps/>
        </w:rPr>
        <w:t xml:space="preserve"> </w:t>
      </w:r>
      <w:r w:rsidR="00A15604">
        <w:rPr>
          <w:b/>
          <w:caps/>
        </w:rPr>
        <w:t>PRENATAL</w:t>
      </w:r>
      <w:r w:rsidR="00C8232F">
        <w:rPr>
          <w:b/>
          <w:caps/>
        </w:rPr>
        <w:t xml:space="preserve"> </w:t>
      </w:r>
    </w:p>
    <w:p w:rsidR="003E472B" w:rsidRPr="00852003" w:rsidRDefault="003E472B" w:rsidP="00BE271A">
      <w:pPr>
        <w:jc w:val="both"/>
        <w:rPr>
          <w:lang w:val="en-US"/>
        </w:rPr>
      </w:pPr>
    </w:p>
    <w:p w:rsidR="00CF4142" w:rsidRPr="00BE271A" w:rsidRDefault="00CF4142" w:rsidP="00BE271A">
      <w:pPr>
        <w:jc w:val="both"/>
        <w:rPr>
          <w:b/>
          <w:bCs/>
        </w:rPr>
      </w:pPr>
      <w:r>
        <w:rPr>
          <w:b/>
          <w:bCs/>
        </w:rPr>
        <w:t>María de los Reyes Corripio Gil Delgado</w:t>
      </w:r>
    </w:p>
    <w:p w:rsidR="00BE271A" w:rsidRDefault="00BE271A" w:rsidP="00BE271A">
      <w:pPr>
        <w:jc w:val="both"/>
      </w:pPr>
    </w:p>
    <w:p w:rsidR="00421A57" w:rsidRPr="006863F6" w:rsidRDefault="00421A57">
      <w:pPr>
        <w:spacing w:after="200" w:line="276" w:lineRule="auto"/>
        <w:rPr>
          <w:bCs/>
        </w:rPr>
      </w:pPr>
      <w:bookmarkStart w:id="0" w:name="_GoBack"/>
      <w:bookmarkEnd w:id="0"/>
      <w:r w:rsidRPr="006863F6">
        <w:rPr>
          <w:bCs/>
        </w:rPr>
        <w:t>INDICE</w:t>
      </w:r>
    </w:p>
    <w:p w:rsidR="00852003" w:rsidRDefault="00421A57" w:rsidP="00165FAB">
      <w:pPr>
        <w:spacing w:after="200" w:line="276" w:lineRule="auto"/>
        <w:jc w:val="both"/>
      </w:pPr>
      <w:r>
        <w:rPr>
          <w:bCs/>
        </w:rPr>
        <w:t>I.</w:t>
      </w:r>
      <w:r w:rsidR="00165FAB">
        <w:rPr>
          <w:bCs/>
        </w:rPr>
        <w:t xml:space="preserve"> </w:t>
      </w:r>
      <w:r w:rsidRPr="00421A57">
        <w:rPr>
          <w:bCs/>
        </w:rPr>
        <w:t>Introducción. II. El concebido como persona humana. 1.</w:t>
      </w:r>
      <w:r>
        <w:rPr>
          <w:bCs/>
        </w:rPr>
        <w:t xml:space="preserve"> </w:t>
      </w:r>
      <w:r w:rsidRPr="00421A57">
        <w:rPr>
          <w:bCs/>
        </w:rPr>
        <w:t>El concebido y la práctica del aborto.</w:t>
      </w:r>
      <w:r>
        <w:rPr>
          <w:bCs/>
        </w:rPr>
        <w:t xml:space="preserve"> 2. El concebido y las técnicas de reproducción asistida. III. La relación jurídica prenatal. 1. </w:t>
      </w:r>
      <w:r w:rsidRPr="00421A57">
        <w:rPr>
          <w:bCs/>
        </w:rPr>
        <w:t>El reconocimiento de una relación jurídica prenatal</w:t>
      </w:r>
      <w:r>
        <w:rPr>
          <w:bCs/>
        </w:rPr>
        <w:t>. 2.</w:t>
      </w:r>
      <w:r w:rsidRPr="00421A57">
        <w:rPr>
          <w:bCs/>
        </w:rPr>
        <w:t xml:space="preserve"> </w:t>
      </w:r>
      <w:r w:rsidRPr="00421A57">
        <w:t>Propuestas de mejora de la protección de la mujer gestante y el hijo</w:t>
      </w:r>
      <w:r>
        <w:t>: 2.1.</w:t>
      </w:r>
      <w:r w:rsidR="00165FAB">
        <w:t xml:space="preserve"> La guarda </w:t>
      </w:r>
      <w:r w:rsidR="00BF3A4E">
        <w:t xml:space="preserve">prenatal </w:t>
      </w:r>
      <w:r w:rsidR="00165FAB">
        <w:t xml:space="preserve">y la </w:t>
      </w:r>
      <w:proofErr w:type="spellStart"/>
      <w:r w:rsidR="00BF3A4E">
        <w:t>preconstitución</w:t>
      </w:r>
      <w:proofErr w:type="spellEnd"/>
      <w:r w:rsidR="00BF3A4E">
        <w:t xml:space="preserve"> de la </w:t>
      </w:r>
      <w:r w:rsidR="00165FAB">
        <w:t>adopción. 2.2. A vueltas con el parto anónimo. IV. Conclusiones.</w:t>
      </w:r>
    </w:p>
    <w:p w:rsidR="00165FAB" w:rsidRPr="00421A57" w:rsidRDefault="00165FAB" w:rsidP="00165FAB">
      <w:pPr>
        <w:spacing w:after="200" w:line="276" w:lineRule="auto"/>
        <w:jc w:val="both"/>
        <w:rPr>
          <w:bCs/>
        </w:rPr>
      </w:pPr>
    </w:p>
    <w:p w:rsidR="00BE271A" w:rsidRPr="00421A57" w:rsidRDefault="009D2195" w:rsidP="00421A57">
      <w:pPr>
        <w:pStyle w:val="Prrafodelista"/>
        <w:numPr>
          <w:ilvl w:val="0"/>
          <w:numId w:val="20"/>
        </w:numPr>
        <w:spacing w:after="200" w:line="276" w:lineRule="auto"/>
        <w:rPr>
          <w:bCs/>
        </w:rPr>
      </w:pPr>
      <w:r w:rsidRPr="00421A57">
        <w:rPr>
          <w:bCs/>
        </w:rPr>
        <w:t>INTRODUCCIÓN</w:t>
      </w:r>
    </w:p>
    <w:p w:rsidR="009D2195" w:rsidRPr="00EC0790" w:rsidRDefault="009D2195" w:rsidP="00BE271A">
      <w:pPr>
        <w:jc w:val="both"/>
        <w:rPr>
          <w:bCs/>
        </w:rPr>
      </w:pPr>
    </w:p>
    <w:p w:rsidR="00B41AEC" w:rsidRDefault="00EC0790" w:rsidP="00B41AEC">
      <w:pPr>
        <w:jc w:val="both"/>
        <w:rPr>
          <w:bCs/>
        </w:rPr>
      </w:pPr>
      <w:r>
        <w:rPr>
          <w:bCs/>
        </w:rPr>
        <w:t>Como nos</w:t>
      </w:r>
      <w:r w:rsidR="00F01FE5">
        <w:rPr>
          <w:bCs/>
        </w:rPr>
        <w:t xml:space="preserve"> dejó escrito</w:t>
      </w:r>
      <w:r>
        <w:rPr>
          <w:bCs/>
        </w:rPr>
        <w:t xml:space="preserve"> el Prof. Castán Vázquez, l</w:t>
      </w:r>
      <w:r w:rsidR="00A75527">
        <w:rPr>
          <w:bCs/>
        </w:rPr>
        <w:t>a</w:t>
      </w:r>
      <w:r w:rsidR="00E3684D">
        <w:rPr>
          <w:bCs/>
        </w:rPr>
        <w:t xml:space="preserve"> igualdad </w:t>
      </w:r>
      <w:r w:rsidR="00530D3A">
        <w:rPr>
          <w:bCs/>
        </w:rPr>
        <w:t xml:space="preserve">entre </w:t>
      </w:r>
      <w:r w:rsidR="00E3684D">
        <w:rPr>
          <w:bCs/>
        </w:rPr>
        <w:t xml:space="preserve">el concebido y el nacido </w:t>
      </w:r>
      <w:r w:rsidR="00BC15E3">
        <w:rPr>
          <w:bCs/>
        </w:rPr>
        <w:t>constituye</w:t>
      </w:r>
      <w:r w:rsidR="00E3684D">
        <w:rPr>
          <w:bCs/>
        </w:rPr>
        <w:t xml:space="preserve"> un principio de carácter general </w:t>
      </w:r>
      <w:r w:rsidR="00965EC6">
        <w:rPr>
          <w:bCs/>
        </w:rPr>
        <w:t>en Derecho Justiniano</w:t>
      </w:r>
      <w:r w:rsidR="00E71A91">
        <w:rPr>
          <w:bCs/>
        </w:rPr>
        <w:t xml:space="preserve"> y castellano</w:t>
      </w:r>
      <w:r w:rsidR="00965EC6">
        <w:rPr>
          <w:bCs/>
        </w:rPr>
        <w:t xml:space="preserve">, </w:t>
      </w:r>
      <w:r w:rsidR="00E3684D">
        <w:rPr>
          <w:bCs/>
        </w:rPr>
        <w:t>del que beben los derechos del área ibérica</w:t>
      </w:r>
      <w:r w:rsidR="00A75527">
        <w:rPr>
          <w:rStyle w:val="Refdenotaalpie"/>
          <w:bCs/>
        </w:rPr>
        <w:footnoteReference w:id="1"/>
      </w:r>
      <w:r w:rsidR="002E4C56">
        <w:rPr>
          <w:bCs/>
        </w:rPr>
        <w:t>.</w:t>
      </w:r>
      <w:r w:rsidR="00E3684D">
        <w:rPr>
          <w:bCs/>
        </w:rPr>
        <w:t xml:space="preserve"> </w:t>
      </w:r>
      <w:r w:rsidR="00E71A91">
        <w:rPr>
          <w:bCs/>
        </w:rPr>
        <w:t>La realidad de este principio en las Partidas, que implica reconocerle al no nacido una existencia y equipara</w:t>
      </w:r>
      <w:r w:rsidR="00BC15E3">
        <w:rPr>
          <w:bCs/>
        </w:rPr>
        <w:t>ción fundamental al nacido, se trasluce</w:t>
      </w:r>
      <w:r w:rsidR="00E71A91">
        <w:rPr>
          <w:bCs/>
        </w:rPr>
        <w:t xml:space="preserve"> precisamente en los </w:t>
      </w:r>
      <w:r w:rsidR="00175E70">
        <w:rPr>
          <w:bCs/>
        </w:rPr>
        <w:t xml:space="preserve">trabajos codificadores </w:t>
      </w:r>
      <w:r w:rsidR="00E3684D">
        <w:rPr>
          <w:bCs/>
        </w:rPr>
        <w:t xml:space="preserve">iberoamericanos </w:t>
      </w:r>
      <w:r w:rsidR="008A2E61">
        <w:rPr>
          <w:bCs/>
        </w:rPr>
        <w:t>que</w:t>
      </w:r>
      <w:r w:rsidR="00BC15E3">
        <w:rPr>
          <w:bCs/>
        </w:rPr>
        <w:t xml:space="preserve"> </w:t>
      </w:r>
      <w:r w:rsidR="00175E70">
        <w:rPr>
          <w:bCs/>
        </w:rPr>
        <w:t>se inspiraron en ellas</w:t>
      </w:r>
      <w:r w:rsidR="00FE0D29">
        <w:rPr>
          <w:rStyle w:val="Refdenotaalpie"/>
          <w:bCs/>
        </w:rPr>
        <w:footnoteReference w:id="2"/>
      </w:r>
      <w:r w:rsidR="008A2E61">
        <w:rPr>
          <w:bCs/>
        </w:rPr>
        <w:t xml:space="preserve">, </w:t>
      </w:r>
      <w:r w:rsidR="00BC15E3">
        <w:rPr>
          <w:bCs/>
        </w:rPr>
        <w:t>particularmente en el Código civil</w:t>
      </w:r>
      <w:r w:rsidR="00487A37">
        <w:rPr>
          <w:bCs/>
        </w:rPr>
        <w:t xml:space="preserve"> chileno, </w:t>
      </w:r>
      <w:r w:rsidR="00E71A91">
        <w:rPr>
          <w:bCs/>
        </w:rPr>
        <w:t>el colombiano</w:t>
      </w:r>
      <w:r w:rsidR="00175E70">
        <w:rPr>
          <w:bCs/>
        </w:rPr>
        <w:t xml:space="preserve"> o </w:t>
      </w:r>
      <w:r w:rsidR="00155121">
        <w:rPr>
          <w:bCs/>
        </w:rPr>
        <w:t xml:space="preserve">el </w:t>
      </w:r>
      <w:proofErr w:type="spellStart"/>
      <w:r w:rsidR="00155121">
        <w:rPr>
          <w:bCs/>
        </w:rPr>
        <w:t>Esboço</w:t>
      </w:r>
      <w:proofErr w:type="spellEnd"/>
      <w:r w:rsidR="00155121">
        <w:rPr>
          <w:bCs/>
        </w:rPr>
        <w:t xml:space="preserve"> </w:t>
      </w:r>
      <w:r w:rsidR="00175E70">
        <w:rPr>
          <w:bCs/>
        </w:rPr>
        <w:t xml:space="preserve"> brasileño redactado por Teixeira de Freitas.</w:t>
      </w:r>
      <w:r w:rsidR="008A2E61">
        <w:rPr>
          <w:bCs/>
        </w:rPr>
        <w:t xml:space="preserve"> Es algo, pues  que nos es propio y está inserto en la tradición jurídica que conforma el Derecho español.</w:t>
      </w:r>
      <w:r w:rsidR="00B41AEC">
        <w:rPr>
          <w:bCs/>
        </w:rPr>
        <w:t xml:space="preserve"> </w:t>
      </w:r>
      <w:r w:rsidR="004740D9">
        <w:rPr>
          <w:bCs/>
        </w:rPr>
        <w:t>Además, este principio opera con unicidad respecto a todas las fases de vida del concebido, por entender que la condición humana es única e igual para todos, como determina la medicina y la genética actuales</w:t>
      </w:r>
      <w:r w:rsidR="00A83AE3" w:rsidRPr="009F0FD2">
        <w:rPr>
          <w:rStyle w:val="Refdenotaalpie"/>
          <w:rFonts w:asciiTheme="minorHAnsi" w:hAnsiTheme="minorHAnsi"/>
          <w:bCs/>
        </w:rPr>
        <w:footnoteReference w:id="3"/>
      </w:r>
      <w:r w:rsidR="004740D9">
        <w:rPr>
          <w:bCs/>
        </w:rPr>
        <w:t xml:space="preserve">. </w:t>
      </w:r>
    </w:p>
    <w:p w:rsidR="00EC0790" w:rsidRDefault="00EC0790" w:rsidP="00B41AEC">
      <w:pPr>
        <w:jc w:val="both"/>
        <w:rPr>
          <w:bCs/>
        </w:rPr>
      </w:pPr>
    </w:p>
    <w:p w:rsidR="00B41AEC" w:rsidRDefault="00B41AEC" w:rsidP="00B41AEC">
      <w:pPr>
        <w:jc w:val="both"/>
        <w:rPr>
          <w:bCs/>
        </w:rPr>
      </w:pPr>
      <w:r>
        <w:t xml:space="preserve">Sin embargo, en los últimos decenios han emergido normas sectoriales como la </w:t>
      </w:r>
      <w:r>
        <w:rPr>
          <w:bCs/>
        </w:rPr>
        <w:t xml:space="preserve">relativa a las técnicas de reproducción asistida y a la despenalización del aborto </w:t>
      </w:r>
      <w:r w:rsidR="00A83AE3">
        <w:rPr>
          <w:bCs/>
        </w:rPr>
        <w:t>incompatibles con</w:t>
      </w:r>
      <w:r w:rsidR="00487A37">
        <w:rPr>
          <w:bCs/>
        </w:rPr>
        <w:t xml:space="preserve"> este principio</w:t>
      </w:r>
      <w:r>
        <w:rPr>
          <w:bCs/>
        </w:rPr>
        <w:t xml:space="preserve">. La Ley de </w:t>
      </w:r>
      <w:r w:rsidR="00A15604">
        <w:rPr>
          <w:bCs/>
        </w:rPr>
        <w:t xml:space="preserve">salud </w:t>
      </w:r>
      <w:r>
        <w:rPr>
          <w:bCs/>
        </w:rPr>
        <w:t>sexual e interrupción del embarazo</w:t>
      </w:r>
      <w:r w:rsidR="00A15604">
        <w:rPr>
          <w:rStyle w:val="Refdenotaalpie"/>
          <w:bCs/>
        </w:rPr>
        <w:footnoteReference w:id="4"/>
      </w:r>
      <w:r>
        <w:rPr>
          <w:bCs/>
        </w:rPr>
        <w:t xml:space="preserve"> priva al concebido de su derecho a la vida y a nacer por una decisión arbitraria </w:t>
      </w:r>
      <w:r w:rsidR="00487A37">
        <w:rPr>
          <w:bCs/>
        </w:rPr>
        <w:t xml:space="preserve">de la madre </w:t>
      </w:r>
      <w:r>
        <w:rPr>
          <w:bCs/>
        </w:rPr>
        <w:t>y la Ley de Técnicas de Reproducción Humana Asistida</w:t>
      </w:r>
      <w:r w:rsidR="00B35071">
        <w:rPr>
          <w:rStyle w:val="Refdenotaalpie"/>
          <w:bCs/>
        </w:rPr>
        <w:footnoteReference w:id="5"/>
      </w:r>
      <w:r>
        <w:rPr>
          <w:bCs/>
        </w:rPr>
        <w:t xml:space="preserve">, permite </w:t>
      </w:r>
      <w:r w:rsidR="00487A37">
        <w:rPr>
          <w:bCs/>
        </w:rPr>
        <w:t xml:space="preserve">la destrucción de </w:t>
      </w:r>
      <w:proofErr w:type="spellStart"/>
      <w:r>
        <w:rPr>
          <w:bCs/>
        </w:rPr>
        <w:t>pre</w:t>
      </w:r>
      <w:r w:rsidR="00487A37">
        <w:rPr>
          <w:bCs/>
        </w:rPr>
        <w:t>embriones</w:t>
      </w:r>
      <w:proofErr w:type="spellEnd"/>
      <w:r w:rsidR="00487A37">
        <w:rPr>
          <w:bCs/>
        </w:rPr>
        <w:t xml:space="preserve"> viables</w:t>
      </w:r>
      <w:r w:rsidR="00B35071">
        <w:rPr>
          <w:bCs/>
        </w:rPr>
        <w:t xml:space="preserve"> (art. 11.4 LTRHA)</w:t>
      </w:r>
      <w:r>
        <w:rPr>
          <w:bCs/>
        </w:rPr>
        <w:t>.</w:t>
      </w:r>
      <w:r w:rsidRPr="00A352FD">
        <w:rPr>
          <w:bCs/>
        </w:rPr>
        <w:t xml:space="preserve"> </w:t>
      </w:r>
      <w:r>
        <w:rPr>
          <w:bCs/>
        </w:rPr>
        <w:t>Ciertamente estas leyes se refieren sólo a las primeras fases de vida del concebido y no son reglas que afecten a la totalidad de la esfera de la persona por nacer, sin embargo, al</w:t>
      </w:r>
      <w:r w:rsidR="00487A37">
        <w:rPr>
          <w:bCs/>
        </w:rPr>
        <w:t xml:space="preserve"> regularse </w:t>
      </w:r>
      <w:r w:rsidR="00A83AE3">
        <w:rPr>
          <w:bCs/>
        </w:rPr>
        <w:t xml:space="preserve"> como poderes </w:t>
      </w:r>
      <w:r>
        <w:rPr>
          <w:bCs/>
        </w:rPr>
        <w:t>arbitrario</w:t>
      </w:r>
      <w:r w:rsidR="00A83AE3">
        <w:rPr>
          <w:bCs/>
        </w:rPr>
        <w:t>s</w:t>
      </w:r>
      <w:r>
        <w:rPr>
          <w:bCs/>
        </w:rPr>
        <w:t>, desfigura</w:t>
      </w:r>
      <w:r w:rsidR="00A83AE3">
        <w:rPr>
          <w:bCs/>
        </w:rPr>
        <w:t>n</w:t>
      </w:r>
      <w:r>
        <w:rPr>
          <w:bCs/>
        </w:rPr>
        <w:t xml:space="preserve"> totalmente la relación jurídica entre la mujer y su hijo, </w:t>
      </w:r>
      <w:r w:rsidR="00A83AE3">
        <w:rPr>
          <w:bCs/>
        </w:rPr>
        <w:t>y rompe</w:t>
      </w:r>
      <w:r w:rsidR="00487A37">
        <w:rPr>
          <w:bCs/>
        </w:rPr>
        <w:t>n</w:t>
      </w:r>
      <w:r>
        <w:rPr>
          <w:bCs/>
        </w:rPr>
        <w:t xml:space="preserve"> el principio de igualdad entre concebidos</w:t>
      </w:r>
      <w:r w:rsidR="00EC0790">
        <w:rPr>
          <w:bCs/>
        </w:rPr>
        <w:t xml:space="preserve"> y nacidos</w:t>
      </w:r>
      <w:r>
        <w:rPr>
          <w:bCs/>
        </w:rPr>
        <w:t xml:space="preserve">. </w:t>
      </w:r>
    </w:p>
    <w:p w:rsidR="00B41AEC" w:rsidRDefault="00B41AEC" w:rsidP="004740D9">
      <w:pPr>
        <w:jc w:val="both"/>
        <w:rPr>
          <w:bCs/>
        </w:rPr>
      </w:pPr>
    </w:p>
    <w:p w:rsidR="004740D9" w:rsidRDefault="004740D9" w:rsidP="004740D9">
      <w:pPr>
        <w:jc w:val="both"/>
        <w:rPr>
          <w:bCs/>
        </w:rPr>
      </w:pPr>
      <w:r>
        <w:rPr>
          <w:bCs/>
        </w:rPr>
        <w:lastRenderedPageBreak/>
        <w:t xml:space="preserve">El Prof. Castán </w:t>
      </w:r>
      <w:r w:rsidR="00EC0790">
        <w:rPr>
          <w:bCs/>
        </w:rPr>
        <w:t>pidió</w:t>
      </w:r>
      <w:r>
        <w:rPr>
          <w:bCs/>
        </w:rPr>
        <w:t xml:space="preserve"> al legislador atenerse a la mejor tradición justinianea y “mantener una línea protectora de la vida humana que coincide con el Derecho natural y con las conclusiones científicas actuales”</w:t>
      </w:r>
      <w:r>
        <w:rPr>
          <w:rStyle w:val="Refdenotaalpie"/>
          <w:bCs/>
        </w:rPr>
        <w:footnoteReference w:id="6"/>
      </w:r>
      <w:r>
        <w:rPr>
          <w:bCs/>
        </w:rPr>
        <w:t xml:space="preserve">, </w:t>
      </w:r>
      <w:r w:rsidR="00487A37">
        <w:rPr>
          <w:bCs/>
        </w:rPr>
        <w:t xml:space="preserve">algo que exige </w:t>
      </w:r>
      <w:r>
        <w:rPr>
          <w:bCs/>
        </w:rPr>
        <w:t xml:space="preserve">una regulación unitaria civil de la “persona” que clarifique el estatuto propio de “la vida humana por nacer” y que pueda alumbrar también el tratamiento de la normativa sectorial en relación a las primeras fases de la vida de la persona </w:t>
      </w:r>
      <w:r w:rsidR="00487A37">
        <w:rPr>
          <w:bCs/>
        </w:rPr>
        <w:t>y la</w:t>
      </w:r>
      <w:r>
        <w:rPr>
          <w:bCs/>
        </w:rPr>
        <w:t xml:space="preserve"> relación jurídica </w:t>
      </w:r>
      <w:r w:rsidR="00E74788">
        <w:rPr>
          <w:bCs/>
        </w:rPr>
        <w:t>prenatal</w:t>
      </w:r>
      <w:r>
        <w:rPr>
          <w:bCs/>
        </w:rPr>
        <w:t xml:space="preserve"> entre el hijo no nacido y su madre.</w:t>
      </w:r>
    </w:p>
    <w:p w:rsidR="0027433F" w:rsidRDefault="0027433F" w:rsidP="004740D9">
      <w:pPr>
        <w:jc w:val="both"/>
        <w:rPr>
          <w:bCs/>
        </w:rPr>
      </w:pPr>
      <w:r>
        <w:rPr>
          <w:bCs/>
        </w:rPr>
        <w:t>(….)</w:t>
      </w:r>
    </w:p>
    <w:sectPr w:rsidR="0027433F" w:rsidSect="008F2E32">
      <w:footerReference w:type="default" r:id="rId8"/>
      <w:pgSz w:w="11906" w:h="16838"/>
      <w:pgMar w:top="1417" w:right="170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74A" w:rsidRDefault="0056374A" w:rsidP="00BE271A">
      <w:r>
        <w:separator/>
      </w:r>
    </w:p>
  </w:endnote>
  <w:endnote w:type="continuationSeparator" w:id="0">
    <w:p w:rsidR="0056374A" w:rsidRDefault="0056374A" w:rsidP="00BE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Janson Text">
    <w:altName w:val="Janson Tex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1515897"/>
      <w:docPartObj>
        <w:docPartGallery w:val="Page Numbers (Bottom of Page)"/>
        <w:docPartUnique/>
      </w:docPartObj>
    </w:sdtPr>
    <w:sdtEndPr/>
    <w:sdtContent>
      <w:p w:rsidR="00EF2336" w:rsidRDefault="00EF233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EA7">
          <w:rPr>
            <w:noProof/>
          </w:rPr>
          <w:t>2</w:t>
        </w:r>
        <w:r>
          <w:fldChar w:fldCharType="end"/>
        </w:r>
      </w:p>
    </w:sdtContent>
  </w:sdt>
  <w:p w:rsidR="00EF2336" w:rsidRDefault="00EF23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74A" w:rsidRDefault="0056374A" w:rsidP="00BE271A">
      <w:r>
        <w:separator/>
      </w:r>
    </w:p>
  </w:footnote>
  <w:footnote w:type="continuationSeparator" w:id="0">
    <w:p w:rsidR="0056374A" w:rsidRDefault="0056374A" w:rsidP="00BE271A">
      <w:r>
        <w:continuationSeparator/>
      </w:r>
    </w:p>
  </w:footnote>
  <w:footnote w:id="1">
    <w:p w:rsidR="00EF2336" w:rsidRPr="009A7D5A" w:rsidRDefault="00EF2336" w:rsidP="00E64159">
      <w:pPr>
        <w:pStyle w:val="Textonotapie"/>
        <w:jc w:val="both"/>
      </w:pPr>
      <w:r w:rsidRPr="009A7D5A">
        <w:rPr>
          <w:rStyle w:val="Refdenotaalpie"/>
        </w:rPr>
        <w:footnoteRef/>
      </w:r>
      <w:r w:rsidRPr="009A7D5A">
        <w:t xml:space="preserve"> </w:t>
      </w:r>
      <w:r w:rsidRPr="009A7D5A">
        <w:rPr>
          <w:smallCaps/>
        </w:rPr>
        <w:t>Castán Vázquez</w:t>
      </w:r>
      <w:r w:rsidRPr="009A7D5A">
        <w:t xml:space="preserve">, J. M., </w:t>
      </w:r>
      <w:r w:rsidRPr="009A7D5A">
        <w:rPr>
          <w:i/>
        </w:rPr>
        <w:t xml:space="preserve">La tradición jurídica sobre el comienzo de la vida humana (del Derecho justinianeo a los Códigos civiles), </w:t>
      </w:r>
      <w:r w:rsidRPr="009A7D5A">
        <w:t xml:space="preserve">Universidad San Pablo CEU, 16 de septiembre de 1994, pág. 4. Publicado en </w:t>
      </w:r>
      <w:r w:rsidRPr="009A7D5A">
        <w:rPr>
          <w:i/>
        </w:rPr>
        <w:t xml:space="preserve">Revista General del Derecho, </w:t>
      </w:r>
      <w:r w:rsidRPr="009A7D5A">
        <w:t>603, diciembre 1994, págs. 12457-12470.</w:t>
      </w:r>
    </w:p>
  </w:footnote>
  <w:footnote w:id="2">
    <w:p w:rsidR="00EF2336" w:rsidRPr="009A7D5A" w:rsidRDefault="00EF2336" w:rsidP="00E64159">
      <w:pPr>
        <w:pStyle w:val="Textonotapie"/>
        <w:jc w:val="both"/>
      </w:pPr>
      <w:r w:rsidRPr="009A7D5A">
        <w:rPr>
          <w:rStyle w:val="Refdenotaalpie"/>
        </w:rPr>
        <w:footnoteRef/>
      </w:r>
      <w:r w:rsidRPr="009A7D5A">
        <w:t xml:space="preserve"> </w:t>
      </w:r>
      <w:r w:rsidRPr="009A7D5A">
        <w:rPr>
          <w:smallCaps/>
        </w:rPr>
        <w:t>Castán Vázquez</w:t>
      </w:r>
      <w:r w:rsidRPr="009A7D5A">
        <w:t xml:space="preserve">, J. M., </w:t>
      </w:r>
      <w:r w:rsidRPr="009A7D5A">
        <w:rPr>
          <w:i/>
        </w:rPr>
        <w:t xml:space="preserve">La tradición jurídica… </w:t>
      </w:r>
      <w:proofErr w:type="spellStart"/>
      <w:r w:rsidRPr="009A7D5A">
        <w:rPr>
          <w:i/>
        </w:rPr>
        <w:t>Op.cit</w:t>
      </w:r>
      <w:proofErr w:type="spellEnd"/>
      <w:r w:rsidRPr="009A7D5A">
        <w:t>, pág. 11 a 15.</w:t>
      </w:r>
    </w:p>
  </w:footnote>
  <w:footnote w:id="3">
    <w:p w:rsidR="00EF2336" w:rsidRPr="009A7D5A" w:rsidRDefault="00EF2336" w:rsidP="00E64159">
      <w:pPr>
        <w:pStyle w:val="Textonotapie"/>
        <w:jc w:val="both"/>
      </w:pPr>
      <w:r w:rsidRPr="009A7D5A">
        <w:rPr>
          <w:rStyle w:val="Refdenotaalpie"/>
        </w:rPr>
        <w:footnoteRef/>
      </w:r>
      <w:r w:rsidRPr="009A7D5A">
        <w:t xml:space="preserve"> Y así sostiene el</w:t>
      </w:r>
      <w:r w:rsidRPr="009A7D5A">
        <w:rPr>
          <w:bCs/>
        </w:rPr>
        <w:t xml:space="preserve"> TJCE  cuando indica que </w:t>
      </w:r>
      <w:r w:rsidRPr="009A7D5A">
        <w:t xml:space="preserve">todo óvulo humano, a partir de la fecundación, deberá considerarse un «embrión humano» (aunque la sentencia se refiere a los efectos concretos de la investigación biotecnológica (STJUE “Gran Sala” de 18 octubre 2011, Caso Oliver </w:t>
      </w:r>
      <w:proofErr w:type="spellStart"/>
      <w:r w:rsidRPr="009A7D5A">
        <w:t>Brústle</w:t>
      </w:r>
      <w:proofErr w:type="spellEnd"/>
      <w:r w:rsidRPr="009A7D5A">
        <w:t xml:space="preserve"> contra Greenpeace. TJCE 2011\316)</w:t>
      </w:r>
    </w:p>
  </w:footnote>
  <w:footnote w:id="4">
    <w:p w:rsidR="00EF2336" w:rsidRPr="009A7D5A" w:rsidRDefault="00EF2336" w:rsidP="00E64159">
      <w:pPr>
        <w:pStyle w:val="Textonotapie"/>
        <w:jc w:val="both"/>
      </w:pPr>
      <w:r w:rsidRPr="009A7D5A">
        <w:rPr>
          <w:rStyle w:val="Refdenotaalpie"/>
        </w:rPr>
        <w:footnoteRef/>
      </w:r>
      <w:r w:rsidRPr="009A7D5A">
        <w:t xml:space="preserve"> Ley Orgánica 2/2010, de 3 de marzo, de Salud Sexual y Reproductiva y de la Interrupción Voluntaria del Embarazo</w:t>
      </w:r>
      <w:r w:rsidR="00B35071" w:rsidRPr="009A7D5A">
        <w:t>. (BOE 4 de marzo de 2010)</w:t>
      </w:r>
    </w:p>
  </w:footnote>
  <w:footnote w:id="5">
    <w:p w:rsidR="00B35071" w:rsidRPr="009A7D5A" w:rsidRDefault="00B35071" w:rsidP="00E64159">
      <w:pPr>
        <w:pStyle w:val="Textonotapie"/>
        <w:jc w:val="both"/>
      </w:pPr>
      <w:r w:rsidRPr="009A7D5A">
        <w:rPr>
          <w:rStyle w:val="Refdenotaalpie"/>
        </w:rPr>
        <w:footnoteRef/>
      </w:r>
      <w:r w:rsidRPr="009A7D5A">
        <w:t xml:space="preserve"> Ley 14/2006, de 26 de mayo de técnicas de reproducción humana asistida (BOE 27 de mayo de 2006)</w:t>
      </w:r>
    </w:p>
  </w:footnote>
  <w:footnote w:id="6">
    <w:p w:rsidR="00EF2336" w:rsidRPr="009A7D5A" w:rsidRDefault="00EF2336" w:rsidP="00E64159">
      <w:pPr>
        <w:pStyle w:val="Textonotapie"/>
        <w:jc w:val="both"/>
      </w:pPr>
      <w:r w:rsidRPr="009A7D5A">
        <w:rPr>
          <w:rStyle w:val="Refdenotaalpie"/>
        </w:rPr>
        <w:footnoteRef/>
      </w:r>
      <w:r w:rsidRPr="009A7D5A">
        <w:t xml:space="preserve"> </w:t>
      </w:r>
      <w:r w:rsidRPr="009A7D5A">
        <w:rPr>
          <w:smallCaps/>
        </w:rPr>
        <w:t>Castán Vázquez</w:t>
      </w:r>
      <w:r w:rsidRPr="009A7D5A">
        <w:t xml:space="preserve">, J. M., </w:t>
      </w:r>
      <w:r w:rsidRPr="009A7D5A">
        <w:rPr>
          <w:i/>
        </w:rPr>
        <w:t xml:space="preserve">La tradición jurídica… </w:t>
      </w:r>
      <w:proofErr w:type="spellStart"/>
      <w:r w:rsidRPr="009A7D5A">
        <w:rPr>
          <w:i/>
        </w:rPr>
        <w:t>Op.cit</w:t>
      </w:r>
      <w:proofErr w:type="spellEnd"/>
      <w:r w:rsidRPr="009A7D5A">
        <w:t>, pág. 22.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2548"/>
    <w:multiLevelType w:val="hybridMultilevel"/>
    <w:tmpl w:val="64AC74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62BE6"/>
    <w:multiLevelType w:val="multilevel"/>
    <w:tmpl w:val="E84A23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C5F3A4A"/>
    <w:multiLevelType w:val="multilevel"/>
    <w:tmpl w:val="CF440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F100CD"/>
    <w:multiLevelType w:val="hybridMultilevel"/>
    <w:tmpl w:val="043E22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029C8"/>
    <w:multiLevelType w:val="hybridMultilevel"/>
    <w:tmpl w:val="E0EA3100"/>
    <w:lvl w:ilvl="0" w:tplc="77A6AD18">
      <w:start w:val="1"/>
      <w:numFmt w:val="decimal"/>
      <w:lvlText w:val="%1."/>
      <w:lvlJc w:val="left"/>
      <w:pPr>
        <w:ind w:left="180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6F61D26"/>
    <w:multiLevelType w:val="hybridMultilevel"/>
    <w:tmpl w:val="10785002"/>
    <w:lvl w:ilvl="0" w:tplc="768C38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C067F"/>
    <w:multiLevelType w:val="hybridMultilevel"/>
    <w:tmpl w:val="F46EB24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060AC"/>
    <w:multiLevelType w:val="hybridMultilevel"/>
    <w:tmpl w:val="25BC21F2"/>
    <w:lvl w:ilvl="0" w:tplc="7D328A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3C7111"/>
    <w:multiLevelType w:val="multilevel"/>
    <w:tmpl w:val="C4AED1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1D263DC"/>
    <w:multiLevelType w:val="multilevel"/>
    <w:tmpl w:val="E84A23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B33E7A"/>
    <w:multiLevelType w:val="hybridMultilevel"/>
    <w:tmpl w:val="25E06066"/>
    <w:lvl w:ilvl="0" w:tplc="B1D24A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937645"/>
    <w:multiLevelType w:val="hybridMultilevel"/>
    <w:tmpl w:val="283261E2"/>
    <w:lvl w:ilvl="0" w:tplc="1074A39C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C0A0019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29F700B"/>
    <w:multiLevelType w:val="multilevel"/>
    <w:tmpl w:val="E84A23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886562D"/>
    <w:multiLevelType w:val="multilevel"/>
    <w:tmpl w:val="E84A23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3343C2"/>
    <w:multiLevelType w:val="hybridMultilevel"/>
    <w:tmpl w:val="3AB0E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783AF9"/>
    <w:multiLevelType w:val="hybridMultilevel"/>
    <w:tmpl w:val="C472F028"/>
    <w:lvl w:ilvl="0" w:tplc="0A6084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0EB7152"/>
    <w:multiLevelType w:val="multilevel"/>
    <w:tmpl w:val="2F8205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3A16072"/>
    <w:multiLevelType w:val="hybridMultilevel"/>
    <w:tmpl w:val="C868F5EE"/>
    <w:lvl w:ilvl="0" w:tplc="154A33A6">
      <w:start w:val="2"/>
      <w:numFmt w:val="lowerLetter"/>
      <w:lvlText w:val="%1)"/>
      <w:lvlJc w:val="left"/>
      <w:pPr>
        <w:ind w:left="216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509186E"/>
    <w:multiLevelType w:val="hybridMultilevel"/>
    <w:tmpl w:val="3F02A07E"/>
    <w:lvl w:ilvl="0" w:tplc="245AF7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2631C6"/>
    <w:multiLevelType w:val="hybridMultilevel"/>
    <w:tmpl w:val="1CDECD90"/>
    <w:lvl w:ilvl="0" w:tplc="E97008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9"/>
  </w:num>
  <w:num w:numId="3">
    <w:abstractNumId w:val="4"/>
  </w:num>
  <w:num w:numId="4">
    <w:abstractNumId w:val="8"/>
  </w:num>
  <w:num w:numId="5">
    <w:abstractNumId w:val="6"/>
  </w:num>
  <w:num w:numId="6">
    <w:abstractNumId w:val="12"/>
  </w:num>
  <w:num w:numId="7">
    <w:abstractNumId w:val="2"/>
  </w:num>
  <w:num w:numId="8">
    <w:abstractNumId w:val="0"/>
  </w:num>
  <w:num w:numId="9">
    <w:abstractNumId w:val="17"/>
  </w:num>
  <w:num w:numId="10">
    <w:abstractNumId w:val="14"/>
  </w:num>
  <w:num w:numId="11">
    <w:abstractNumId w:val="9"/>
  </w:num>
  <w:num w:numId="12">
    <w:abstractNumId w:val="13"/>
  </w:num>
  <w:num w:numId="13">
    <w:abstractNumId w:val="16"/>
  </w:num>
  <w:num w:numId="14">
    <w:abstractNumId w:val="1"/>
  </w:num>
  <w:num w:numId="15">
    <w:abstractNumId w:val="7"/>
  </w:num>
  <w:num w:numId="16">
    <w:abstractNumId w:val="15"/>
  </w:num>
  <w:num w:numId="17">
    <w:abstractNumId w:val="11"/>
  </w:num>
  <w:num w:numId="18">
    <w:abstractNumId w:val="10"/>
  </w:num>
  <w:num w:numId="19">
    <w:abstractNumId w:val="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71A"/>
    <w:rsid w:val="00012AB4"/>
    <w:rsid w:val="000319CD"/>
    <w:rsid w:val="00033193"/>
    <w:rsid w:val="0003384C"/>
    <w:rsid w:val="00050DC8"/>
    <w:rsid w:val="0006153C"/>
    <w:rsid w:val="00070FE4"/>
    <w:rsid w:val="0007271C"/>
    <w:rsid w:val="000832C6"/>
    <w:rsid w:val="00083819"/>
    <w:rsid w:val="000873E0"/>
    <w:rsid w:val="00091D1E"/>
    <w:rsid w:val="00093151"/>
    <w:rsid w:val="000D6208"/>
    <w:rsid w:val="000D7425"/>
    <w:rsid w:val="000F251F"/>
    <w:rsid w:val="0010447A"/>
    <w:rsid w:val="00133A15"/>
    <w:rsid w:val="00155121"/>
    <w:rsid w:val="00163C4C"/>
    <w:rsid w:val="00165FAB"/>
    <w:rsid w:val="00167C18"/>
    <w:rsid w:val="001750EC"/>
    <w:rsid w:val="00175E70"/>
    <w:rsid w:val="00191687"/>
    <w:rsid w:val="00192054"/>
    <w:rsid w:val="001D37A7"/>
    <w:rsid w:val="001D4CD0"/>
    <w:rsid w:val="00227270"/>
    <w:rsid w:val="0023726A"/>
    <w:rsid w:val="002435AB"/>
    <w:rsid w:val="00253EBC"/>
    <w:rsid w:val="0027433F"/>
    <w:rsid w:val="002966A2"/>
    <w:rsid w:val="002C113D"/>
    <w:rsid w:val="002E4C56"/>
    <w:rsid w:val="00300412"/>
    <w:rsid w:val="00306732"/>
    <w:rsid w:val="00312D8C"/>
    <w:rsid w:val="00317D19"/>
    <w:rsid w:val="00337087"/>
    <w:rsid w:val="00350272"/>
    <w:rsid w:val="00357AFB"/>
    <w:rsid w:val="0037570D"/>
    <w:rsid w:val="00376FD3"/>
    <w:rsid w:val="00381899"/>
    <w:rsid w:val="003828D1"/>
    <w:rsid w:val="00391A8C"/>
    <w:rsid w:val="00392335"/>
    <w:rsid w:val="003948E3"/>
    <w:rsid w:val="00396011"/>
    <w:rsid w:val="003C0EF5"/>
    <w:rsid w:val="003C5A8D"/>
    <w:rsid w:val="003C7791"/>
    <w:rsid w:val="003D34FA"/>
    <w:rsid w:val="003E472B"/>
    <w:rsid w:val="003E4E0D"/>
    <w:rsid w:val="003E53CF"/>
    <w:rsid w:val="003F68C5"/>
    <w:rsid w:val="00402DB8"/>
    <w:rsid w:val="00421A57"/>
    <w:rsid w:val="00431B3F"/>
    <w:rsid w:val="004451FC"/>
    <w:rsid w:val="00455D8D"/>
    <w:rsid w:val="00465EB9"/>
    <w:rsid w:val="00470DCF"/>
    <w:rsid w:val="004740D9"/>
    <w:rsid w:val="00487A37"/>
    <w:rsid w:val="00492BF5"/>
    <w:rsid w:val="004A1D3E"/>
    <w:rsid w:val="004A3EA7"/>
    <w:rsid w:val="004B2DE8"/>
    <w:rsid w:val="004B3097"/>
    <w:rsid w:val="004C13AA"/>
    <w:rsid w:val="004E2FF5"/>
    <w:rsid w:val="004F5B52"/>
    <w:rsid w:val="00501BF8"/>
    <w:rsid w:val="00520DAA"/>
    <w:rsid w:val="0053030C"/>
    <w:rsid w:val="00530D3A"/>
    <w:rsid w:val="00530E14"/>
    <w:rsid w:val="005528C0"/>
    <w:rsid w:val="0056374A"/>
    <w:rsid w:val="005652F4"/>
    <w:rsid w:val="00576373"/>
    <w:rsid w:val="005C7535"/>
    <w:rsid w:val="005E3B9D"/>
    <w:rsid w:val="005E7894"/>
    <w:rsid w:val="00621FD4"/>
    <w:rsid w:val="00625930"/>
    <w:rsid w:val="006420E6"/>
    <w:rsid w:val="0064415D"/>
    <w:rsid w:val="006449CB"/>
    <w:rsid w:val="00654A1E"/>
    <w:rsid w:val="0065716C"/>
    <w:rsid w:val="0066226D"/>
    <w:rsid w:val="00665AE5"/>
    <w:rsid w:val="00676E34"/>
    <w:rsid w:val="006863F6"/>
    <w:rsid w:val="006C33F5"/>
    <w:rsid w:val="006D6CB5"/>
    <w:rsid w:val="006E18BD"/>
    <w:rsid w:val="006E2E1B"/>
    <w:rsid w:val="0070043A"/>
    <w:rsid w:val="00710940"/>
    <w:rsid w:val="00722803"/>
    <w:rsid w:val="00751F58"/>
    <w:rsid w:val="0075366A"/>
    <w:rsid w:val="007628B2"/>
    <w:rsid w:val="00762BAE"/>
    <w:rsid w:val="00763D28"/>
    <w:rsid w:val="00767AF5"/>
    <w:rsid w:val="00772AEC"/>
    <w:rsid w:val="00780682"/>
    <w:rsid w:val="0078206E"/>
    <w:rsid w:val="00794E48"/>
    <w:rsid w:val="007A123D"/>
    <w:rsid w:val="007A3C5D"/>
    <w:rsid w:val="007A5E5B"/>
    <w:rsid w:val="007B30C5"/>
    <w:rsid w:val="007B3328"/>
    <w:rsid w:val="007B4DB1"/>
    <w:rsid w:val="007B76DA"/>
    <w:rsid w:val="007C2EEC"/>
    <w:rsid w:val="007C5BF7"/>
    <w:rsid w:val="007D77C5"/>
    <w:rsid w:val="00800C14"/>
    <w:rsid w:val="00816667"/>
    <w:rsid w:val="00825C3D"/>
    <w:rsid w:val="00831247"/>
    <w:rsid w:val="00841814"/>
    <w:rsid w:val="00843A4C"/>
    <w:rsid w:val="00852003"/>
    <w:rsid w:val="008535E9"/>
    <w:rsid w:val="0086664C"/>
    <w:rsid w:val="0086707B"/>
    <w:rsid w:val="0088708A"/>
    <w:rsid w:val="00895607"/>
    <w:rsid w:val="008A2E61"/>
    <w:rsid w:val="008B0A8C"/>
    <w:rsid w:val="008C0F86"/>
    <w:rsid w:val="008C3B1F"/>
    <w:rsid w:val="008D296D"/>
    <w:rsid w:val="008D4ACA"/>
    <w:rsid w:val="008F2E32"/>
    <w:rsid w:val="008F31DF"/>
    <w:rsid w:val="009302BA"/>
    <w:rsid w:val="00947F2D"/>
    <w:rsid w:val="00952C49"/>
    <w:rsid w:val="00953393"/>
    <w:rsid w:val="00961586"/>
    <w:rsid w:val="00963D06"/>
    <w:rsid w:val="00965EC6"/>
    <w:rsid w:val="009743F9"/>
    <w:rsid w:val="009A7D5A"/>
    <w:rsid w:val="009B5371"/>
    <w:rsid w:val="009C0BFA"/>
    <w:rsid w:val="009D2195"/>
    <w:rsid w:val="009E2B89"/>
    <w:rsid w:val="009E4394"/>
    <w:rsid w:val="009E7EC9"/>
    <w:rsid w:val="009F523C"/>
    <w:rsid w:val="00A1235A"/>
    <w:rsid w:val="00A15604"/>
    <w:rsid w:val="00A238DA"/>
    <w:rsid w:val="00A352FD"/>
    <w:rsid w:val="00A425F9"/>
    <w:rsid w:val="00A53716"/>
    <w:rsid w:val="00A54019"/>
    <w:rsid w:val="00A570E0"/>
    <w:rsid w:val="00A75527"/>
    <w:rsid w:val="00A80086"/>
    <w:rsid w:val="00A83AE3"/>
    <w:rsid w:val="00AA1A8A"/>
    <w:rsid w:val="00AB1BC8"/>
    <w:rsid w:val="00AC6DE3"/>
    <w:rsid w:val="00AD64F8"/>
    <w:rsid w:val="00AF1BED"/>
    <w:rsid w:val="00AF65CD"/>
    <w:rsid w:val="00B05E3B"/>
    <w:rsid w:val="00B07E51"/>
    <w:rsid w:val="00B10890"/>
    <w:rsid w:val="00B1617E"/>
    <w:rsid w:val="00B30AAF"/>
    <w:rsid w:val="00B33650"/>
    <w:rsid w:val="00B34541"/>
    <w:rsid w:val="00B35071"/>
    <w:rsid w:val="00B35E57"/>
    <w:rsid w:val="00B405A4"/>
    <w:rsid w:val="00B41AEC"/>
    <w:rsid w:val="00B569C4"/>
    <w:rsid w:val="00B7006D"/>
    <w:rsid w:val="00B81DB1"/>
    <w:rsid w:val="00B965A6"/>
    <w:rsid w:val="00BB0825"/>
    <w:rsid w:val="00BC0700"/>
    <w:rsid w:val="00BC15E3"/>
    <w:rsid w:val="00BC176F"/>
    <w:rsid w:val="00BD1E5C"/>
    <w:rsid w:val="00BD6EB1"/>
    <w:rsid w:val="00BE271A"/>
    <w:rsid w:val="00BE77EE"/>
    <w:rsid w:val="00BF3A4E"/>
    <w:rsid w:val="00C12D72"/>
    <w:rsid w:val="00C2385E"/>
    <w:rsid w:val="00C42487"/>
    <w:rsid w:val="00C44131"/>
    <w:rsid w:val="00C51583"/>
    <w:rsid w:val="00C60C48"/>
    <w:rsid w:val="00C66A75"/>
    <w:rsid w:val="00C73343"/>
    <w:rsid w:val="00C77AE9"/>
    <w:rsid w:val="00C77CB0"/>
    <w:rsid w:val="00C8232F"/>
    <w:rsid w:val="00C86201"/>
    <w:rsid w:val="00C92073"/>
    <w:rsid w:val="00CC10CE"/>
    <w:rsid w:val="00CC2D1C"/>
    <w:rsid w:val="00CC4E2F"/>
    <w:rsid w:val="00CD21DD"/>
    <w:rsid w:val="00CD3E24"/>
    <w:rsid w:val="00CD3F27"/>
    <w:rsid w:val="00CD589E"/>
    <w:rsid w:val="00CE77DC"/>
    <w:rsid w:val="00CF4142"/>
    <w:rsid w:val="00CF759D"/>
    <w:rsid w:val="00D4106F"/>
    <w:rsid w:val="00D41CBF"/>
    <w:rsid w:val="00D46C53"/>
    <w:rsid w:val="00D523E7"/>
    <w:rsid w:val="00D61E51"/>
    <w:rsid w:val="00D647F2"/>
    <w:rsid w:val="00D843B7"/>
    <w:rsid w:val="00D9078F"/>
    <w:rsid w:val="00DA712A"/>
    <w:rsid w:val="00DB1F6C"/>
    <w:rsid w:val="00DC33F4"/>
    <w:rsid w:val="00DC707C"/>
    <w:rsid w:val="00DF1D4B"/>
    <w:rsid w:val="00DF40DC"/>
    <w:rsid w:val="00E01DF3"/>
    <w:rsid w:val="00E01EAA"/>
    <w:rsid w:val="00E3684D"/>
    <w:rsid w:val="00E37BD7"/>
    <w:rsid w:val="00E42919"/>
    <w:rsid w:val="00E44E26"/>
    <w:rsid w:val="00E53E37"/>
    <w:rsid w:val="00E56AD3"/>
    <w:rsid w:val="00E64159"/>
    <w:rsid w:val="00E65EDC"/>
    <w:rsid w:val="00E67683"/>
    <w:rsid w:val="00E71A91"/>
    <w:rsid w:val="00E74788"/>
    <w:rsid w:val="00E82B7B"/>
    <w:rsid w:val="00E95597"/>
    <w:rsid w:val="00EA4675"/>
    <w:rsid w:val="00EC0790"/>
    <w:rsid w:val="00EE4B4D"/>
    <w:rsid w:val="00EF18E9"/>
    <w:rsid w:val="00EF2336"/>
    <w:rsid w:val="00EF5969"/>
    <w:rsid w:val="00F01FE5"/>
    <w:rsid w:val="00F04766"/>
    <w:rsid w:val="00F07D8E"/>
    <w:rsid w:val="00F10C8A"/>
    <w:rsid w:val="00F2372C"/>
    <w:rsid w:val="00F51BD7"/>
    <w:rsid w:val="00F710FA"/>
    <w:rsid w:val="00F74279"/>
    <w:rsid w:val="00F8033F"/>
    <w:rsid w:val="00F80992"/>
    <w:rsid w:val="00F84FFD"/>
    <w:rsid w:val="00FA4528"/>
    <w:rsid w:val="00FD05F8"/>
    <w:rsid w:val="00FE0D29"/>
    <w:rsid w:val="00FE27E0"/>
    <w:rsid w:val="00FF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8E27D5-3E4D-4D6F-81C6-EF8F767F3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46C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E271A"/>
    <w:rPr>
      <w:strike w:val="0"/>
      <w:dstrike w:val="0"/>
      <w:color w:val="0083BF"/>
      <w:u w:val="none"/>
      <w:effect w:val="none"/>
    </w:rPr>
  </w:style>
  <w:style w:type="character" w:customStyle="1" w:styleId="highlight">
    <w:name w:val="highlight"/>
    <w:basedOn w:val="Fuentedeprrafopredeter"/>
    <w:rsid w:val="00BE271A"/>
  </w:style>
  <w:style w:type="paragraph" w:styleId="Textonotapie">
    <w:name w:val="footnote text"/>
    <w:aliases w:val="5_G"/>
    <w:basedOn w:val="Normal"/>
    <w:link w:val="TextonotapieCar"/>
    <w:uiPriority w:val="99"/>
    <w:unhideWhenUsed/>
    <w:rsid w:val="00BE271A"/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99"/>
    <w:rsid w:val="00BE271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aliases w:val="4_G"/>
    <w:basedOn w:val="Fuentedeprrafopredeter"/>
    <w:uiPriority w:val="99"/>
    <w:unhideWhenUsed/>
    <w:rsid w:val="00BE271A"/>
    <w:rPr>
      <w:vertAlign w:val="superscript"/>
    </w:rPr>
  </w:style>
  <w:style w:type="character" w:customStyle="1" w:styleId="Normal1">
    <w:name w:val="Normal1"/>
    <w:rsid w:val="00BE271A"/>
  </w:style>
  <w:style w:type="character" w:customStyle="1" w:styleId="searchterm">
    <w:name w:val="searchterm"/>
    <w:basedOn w:val="Fuentedeprrafopredeter"/>
    <w:rsid w:val="00BE271A"/>
  </w:style>
  <w:style w:type="paragraph" w:styleId="NormalWeb">
    <w:name w:val="Normal (Web)"/>
    <w:basedOn w:val="Normal"/>
    <w:uiPriority w:val="99"/>
    <w:unhideWhenUsed/>
    <w:rsid w:val="00BE271A"/>
    <w:pPr>
      <w:spacing w:before="100" w:beforeAutospacing="1" w:after="100" w:afterAutospacing="1"/>
    </w:pPr>
  </w:style>
  <w:style w:type="character" w:customStyle="1" w:styleId="Normal4">
    <w:name w:val="Normal4"/>
    <w:basedOn w:val="Fuentedeprrafopredeter"/>
    <w:rsid w:val="00BE271A"/>
  </w:style>
  <w:style w:type="character" w:customStyle="1" w:styleId="negrita">
    <w:name w:val="negrita"/>
    <w:basedOn w:val="Fuentedeprrafopredeter"/>
    <w:rsid w:val="00BE271A"/>
  </w:style>
  <w:style w:type="character" w:customStyle="1" w:styleId="titdoc">
    <w:name w:val="titdoc"/>
    <w:basedOn w:val="Fuentedeprrafopredeter"/>
    <w:rsid w:val="00BE271A"/>
  </w:style>
  <w:style w:type="paragraph" w:customStyle="1" w:styleId="suggested-citation">
    <w:name w:val="suggested-citation"/>
    <w:basedOn w:val="Normal"/>
    <w:rsid w:val="00BE271A"/>
    <w:pPr>
      <w:spacing w:before="100" w:beforeAutospacing="1" w:after="100" w:afterAutospacing="1"/>
    </w:pPr>
  </w:style>
  <w:style w:type="character" w:customStyle="1" w:styleId="Normal7">
    <w:name w:val="Normal7"/>
    <w:basedOn w:val="Fuentedeprrafopredeter"/>
    <w:rsid w:val="00BE271A"/>
  </w:style>
  <w:style w:type="character" w:customStyle="1" w:styleId="Normal2">
    <w:name w:val="Normal2"/>
    <w:basedOn w:val="Fuentedeprrafopredeter"/>
    <w:rsid w:val="00767AF5"/>
  </w:style>
  <w:style w:type="paragraph" w:customStyle="1" w:styleId="Default">
    <w:name w:val="Default"/>
    <w:rsid w:val="006D6CB5"/>
    <w:pPr>
      <w:autoSpaceDE w:val="0"/>
      <w:autoSpaceDN w:val="0"/>
      <w:adjustRightInd w:val="0"/>
      <w:spacing w:after="0" w:line="240" w:lineRule="auto"/>
    </w:pPr>
    <w:rPr>
      <w:rFonts w:ascii="Janson Text" w:hAnsi="Janson Text" w:cs="Janson Text"/>
      <w:color w:val="000000"/>
      <w:sz w:val="24"/>
      <w:szCs w:val="24"/>
    </w:rPr>
  </w:style>
  <w:style w:type="character" w:customStyle="1" w:styleId="A16">
    <w:name w:val="A16"/>
    <w:uiPriority w:val="99"/>
    <w:rsid w:val="006D6CB5"/>
    <w:rPr>
      <w:rFonts w:cs="Janson Text"/>
      <w:color w:val="221E1F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6D6CB5"/>
    <w:rPr>
      <w:b/>
      <w:bCs/>
    </w:rPr>
  </w:style>
  <w:style w:type="character" w:customStyle="1" w:styleId="titulo">
    <w:name w:val="titulo"/>
    <w:basedOn w:val="Fuentedeprrafopredeter"/>
    <w:rsid w:val="0023726A"/>
  </w:style>
  <w:style w:type="character" w:customStyle="1" w:styleId="publicaciondesc">
    <w:name w:val="publicacion_desc"/>
    <w:basedOn w:val="Fuentedeprrafopredeter"/>
    <w:rsid w:val="0023726A"/>
  </w:style>
  <w:style w:type="character" w:customStyle="1" w:styleId="titulo1">
    <w:name w:val="titulo1"/>
    <w:basedOn w:val="Fuentedeprrafopredeter"/>
    <w:rsid w:val="00D61E51"/>
  </w:style>
  <w:style w:type="character" w:customStyle="1" w:styleId="separador">
    <w:name w:val="separador"/>
    <w:basedOn w:val="Fuentedeprrafopredeter"/>
    <w:rsid w:val="00D61E51"/>
  </w:style>
  <w:style w:type="character" w:customStyle="1" w:styleId="subtitulo">
    <w:name w:val="subtitulo"/>
    <w:basedOn w:val="Fuentedeprrafopredeter"/>
    <w:rsid w:val="00D61E51"/>
  </w:style>
  <w:style w:type="paragraph" w:customStyle="1" w:styleId="autores">
    <w:name w:val="autores"/>
    <w:basedOn w:val="Normal"/>
    <w:rsid w:val="00D61E51"/>
    <w:pPr>
      <w:spacing w:before="100" w:beforeAutospacing="1" w:after="100" w:afterAutospacing="1"/>
    </w:pPr>
  </w:style>
  <w:style w:type="paragraph" w:customStyle="1" w:styleId="localizacion">
    <w:name w:val="localizacion"/>
    <w:basedOn w:val="Normal"/>
    <w:rsid w:val="00D61E51"/>
    <w:pPr>
      <w:spacing w:before="100" w:beforeAutospacing="1" w:after="100" w:afterAutospacing="1"/>
    </w:pPr>
  </w:style>
  <w:style w:type="character" w:styleId="AcrnimoHTML">
    <w:name w:val="HTML Acronym"/>
    <w:basedOn w:val="Fuentedeprrafopredeter"/>
    <w:uiPriority w:val="99"/>
    <w:semiHidden/>
    <w:unhideWhenUsed/>
    <w:rsid w:val="00D61E51"/>
  </w:style>
  <w:style w:type="paragraph" w:styleId="Textodeglobo">
    <w:name w:val="Balloon Text"/>
    <w:basedOn w:val="Normal"/>
    <w:link w:val="TextodegloboCar"/>
    <w:uiPriority w:val="99"/>
    <w:semiHidden/>
    <w:unhideWhenUsed/>
    <w:rsid w:val="00D61E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1E51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F5B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5B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F5B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5B5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laceholderbegin21">
    <w:name w:val="placeholder_begin21"/>
    <w:basedOn w:val="Fuentedeprrafopredeter"/>
    <w:rsid w:val="006449CB"/>
    <w:rPr>
      <w:vanish/>
      <w:webHidden w:val="0"/>
      <w:specVanish w:val="0"/>
    </w:rPr>
  </w:style>
  <w:style w:type="character" w:customStyle="1" w:styleId="placeholderend21">
    <w:name w:val="placeholder_end21"/>
    <w:basedOn w:val="Fuentedeprrafopredeter"/>
    <w:rsid w:val="000D6208"/>
    <w:rPr>
      <w:vanish/>
      <w:webHidden w:val="0"/>
      <w:specVanish w:val="0"/>
    </w:rPr>
  </w:style>
  <w:style w:type="paragraph" w:customStyle="1" w:styleId="ydp372c7215msonormal">
    <w:name w:val="ydp372c7215msonormal"/>
    <w:basedOn w:val="Normal"/>
    <w:rsid w:val="00470DCF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5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52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977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50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2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35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23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98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95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3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85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4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30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09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3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32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65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47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020100">
                                  <w:marLeft w:val="0"/>
                                  <w:marRight w:val="0"/>
                                  <w:marTop w:val="30"/>
                                  <w:marBottom w:val="2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052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117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61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330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753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1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42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736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4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52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78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4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14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21169">
                                  <w:marLeft w:val="0"/>
                                  <w:marRight w:val="0"/>
                                  <w:marTop w:val="30"/>
                                  <w:marBottom w:val="22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135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272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788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6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2917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AA0E0C2D-568F-4191-85D1-0537DF2CC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S.T.I.C.</dc:creator>
  <cp:lastModifiedBy>Reyes Corripio</cp:lastModifiedBy>
  <cp:revision>4</cp:revision>
  <cp:lastPrinted>2018-06-04T09:28:00Z</cp:lastPrinted>
  <dcterms:created xsi:type="dcterms:W3CDTF">2019-06-12T12:34:00Z</dcterms:created>
  <dcterms:modified xsi:type="dcterms:W3CDTF">2019-06-12T12:37:00Z</dcterms:modified>
</cp:coreProperties>
</file>