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829" w:rsidRDefault="00162829" w:rsidP="00162829">
      <w:pPr>
        <w:jc w:val="center"/>
        <w:rPr>
          <w:lang w:val="en-US"/>
        </w:rPr>
      </w:pPr>
      <w:bookmarkStart w:id="0" w:name="_GoBack"/>
      <w:bookmarkEnd w:id="0"/>
    </w:p>
    <w:p w:rsidR="00267992" w:rsidRPr="00162829" w:rsidRDefault="00162829" w:rsidP="00162829">
      <w:pPr>
        <w:jc w:val="center"/>
        <w:rPr>
          <w:lang w:val="en-US"/>
        </w:rPr>
      </w:pPr>
      <w:r w:rsidRPr="00162829">
        <w:rPr>
          <w:lang w:val="en-US"/>
        </w:rPr>
        <w:t>Fiscal union, monetary policy normalization and populism in the Eurozone</w:t>
      </w:r>
    </w:p>
    <w:p w:rsidR="00162829" w:rsidRDefault="00162829" w:rsidP="00162829">
      <w:pPr>
        <w:jc w:val="center"/>
        <w:rPr>
          <w:lang w:val="en-US"/>
        </w:rPr>
      </w:pPr>
    </w:p>
    <w:p w:rsidR="00162829" w:rsidRPr="00162829" w:rsidRDefault="00162829" w:rsidP="00162829">
      <w:pPr>
        <w:jc w:val="center"/>
      </w:pPr>
      <w:r w:rsidRPr="00162829">
        <w:t>Alfredo Arahuetes García</w:t>
      </w:r>
      <w:r>
        <w:t xml:space="preserve"> – Universidad Pontificia Comillas</w:t>
      </w:r>
    </w:p>
    <w:p w:rsidR="00162829" w:rsidRDefault="00162829" w:rsidP="00162829">
      <w:pPr>
        <w:jc w:val="center"/>
      </w:pPr>
      <w:r w:rsidRPr="00162829">
        <w:t>Gonzalo Gómez Bengoechea</w:t>
      </w:r>
      <w:r>
        <w:t xml:space="preserve"> – Universidad Pontificia Comillas</w:t>
      </w:r>
    </w:p>
    <w:p w:rsidR="00162829" w:rsidRDefault="00162829" w:rsidP="00162829">
      <w:pPr>
        <w:jc w:val="center"/>
      </w:pPr>
    </w:p>
    <w:p w:rsidR="00162829" w:rsidRPr="006F5D25" w:rsidRDefault="00162829" w:rsidP="00162829">
      <w:pPr>
        <w:jc w:val="center"/>
        <w:rPr>
          <w:lang w:val="en-US"/>
        </w:rPr>
      </w:pPr>
      <w:r w:rsidRPr="006F5D25">
        <w:rPr>
          <w:lang w:val="en-US"/>
        </w:rPr>
        <w:t>November 2018</w:t>
      </w:r>
    </w:p>
    <w:p w:rsidR="00162829" w:rsidRPr="006F5D25" w:rsidRDefault="00162829" w:rsidP="00162829">
      <w:pPr>
        <w:jc w:val="center"/>
        <w:rPr>
          <w:lang w:val="en-US"/>
        </w:rPr>
      </w:pPr>
    </w:p>
    <w:p w:rsidR="00162829" w:rsidRPr="006F5D25" w:rsidRDefault="00162829" w:rsidP="00162829">
      <w:pPr>
        <w:jc w:val="center"/>
        <w:rPr>
          <w:lang w:val="en-US"/>
        </w:rPr>
      </w:pPr>
    </w:p>
    <w:p w:rsidR="00162829" w:rsidRDefault="00162829" w:rsidP="00162829">
      <w:pPr>
        <w:jc w:val="center"/>
        <w:rPr>
          <w:lang w:val="en-US"/>
        </w:rPr>
      </w:pPr>
      <w:r w:rsidRPr="00162829">
        <w:rPr>
          <w:lang w:val="en-US"/>
        </w:rPr>
        <w:t>This paper studies the different scenarios for the fiscal union in the Eurozone beyond 201</w:t>
      </w:r>
      <w:r w:rsidR="006F5D25">
        <w:rPr>
          <w:lang w:val="en-US"/>
        </w:rPr>
        <w:t>8</w:t>
      </w:r>
      <w:r w:rsidRPr="00162829">
        <w:rPr>
          <w:lang w:val="en-US"/>
        </w:rPr>
        <w:t xml:space="preserve">. It explains the different alternatives that the literature has explored to ensure fiscal transfers within Eurozone estates as well as for common debt issuance. It also describes the role that the monetary policy has played as </w:t>
      </w:r>
      <w:r w:rsidR="00772960">
        <w:rPr>
          <w:lang w:val="en-US"/>
        </w:rPr>
        <w:t xml:space="preserve">a </w:t>
      </w:r>
      <w:r w:rsidRPr="00162829">
        <w:rPr>
          <w:lang w:val="en-US"/>
        </w:rPr>
        <w:t xml:space="preserve">backstop for sovereign defaults and highlights the limits that inflation and anti-euro backlash </w:t>
      </w:r>
      <w:r w:rsidR="006F5D25">
        <w:rPr>
          <w:lang w:val="en-US"/>
        </w:rPr>
        <w:t>impose</w:t>
      </w:r>
      <w:r w:rsidRPr="00162829">
        <w:rPr>
          <w:lang w:val="en-US"/>
        </w:rPr>
        <w:t xml:space="preserve"> on public debt sustainability.</w:t>
      </w:r>
    </w:p>
    <w:p w:rsidR="00162829" w:rsidRDefault="00162829" w:rsidP="00162829">
      <w:pPr>
        <w:jc w:val="center"/>
        <w:rPr>
          <w:lang w:val="en-US"/>
        </w:rPr>
      </w:pPr>
    </w:p>
    <w:p w:rsidR="00162829" w:rsidRDefault="00BF4553" w:rsidP="00BF4553">
      <w:pPr>
        <w:rPr>
          <w:lang w:val="en-US"/>
        </w:rPr>
      </w:pPr>
      <w:r>
        <w:rPr>
          <w:lang w:val="en-US"/>
        </w:rPr>
        <w:t>Keywords: Fiscal Union, Debt Mutualization, Monetary Policy normalization, Populism</w:t>
      </w:r>
    </w:p>
    <w:p w:rsidR="00BF4553" w:rsidRDefault="00BF4553" w:rsidP="00BF4553">
      <w:pPr>
        <w:rPr>
          <w:lang w:val="en-US"/>
        </w:rPr>
      </w:pPr>
      <w:r>
        <w:rPr>
          <w:lang w:val="en-US"/>
        </w:rPr>
        <w:t xml:space="preserve">JEL classification: </w:t>
      </w:r>
      <w:r w:rsidR="00497EC5">
        <w:rPr>
          <w:lang w:val="en-US"/>
        </w:rPr>
        <w:t>E63, F36</w:t>
      </w: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162829">
      <w:pPr>
        <w:jc w:val="center"/>
        <w:rPr>
          <w:lang w:val="en-US"/>
        </w:rPr>
      </w:pPr>
    </w:p>
    <w:p w:rsidR="00162829" w:rsidRDefault="00162829" w:rsidP="00FA0F6E">
      <w:pPr>
        <w:rPr>
          <w:lang w:val="en-US"/>
        </w:rPr>
      </w:pPr>
    </w:p>
    <w:p w:rsidR="00162829" w:rsidRPr="00162829" w:rsidRDefault="00162829" w:rsidP="00162829">
      <w:pPr>
        <w:pStyle w:val="Prrafodelista"/>
        <w:numPr>
          <w:ilvl w:val="0"/>
          <w:numId w:val="1"/>
        </w:numPr>
        <w:rPr>
          <w:b/>
          <w:lang w:val="en-US"/>
        </w:rPr>
      </w:pPr>
      <w:r w:rsidRPr="00162829">
        <w:rPr>
          <w:b/>
          <w:lang w:val="en-US"/>
        </w:rPr>
        <w:lastRenderedPageBreak/>
        <w:t>Introduction</w:t>
      </w:r>
    </w:p>
    <w:p w:rsidR="00162829" w:rsidRPr="00162829" w:rsidRDefault="00162829" w:rsidP="00162829">
      <w:pPr>
        <w:jc w:val="both"/>
        <w:rPr>
          <w:lang w:val="en-US"/>
        </w:rPr>
      </w:pPr>
      <w:r w:rsidRPr="00162829">
        <w:rPr>
          <w:lang w:val="en-US"/>
        </w:rPr>
        <w:t>After the election of Emmanuel Macron as French president, the debate about the future of the Eurozone regained momentum. The pro-Eur</w:t>
      </w:r>
      <w:r w:rsidR="00772960">
        <w:rPr>
          <w:lang w:val="en-US"/>
        </w:rPr>
        <w:t>opean policies supported by the F</w:t>
      </w:r>
      <w:r w:rsidR="00772960" w:rsidRPr="00162829">
        <w:rPr>
          <w:lang w:val="en-US"/>
        </w:rPr>
        <w:t>rench</w:t>
      </w:r>
      <w:r w:rsidRPr="00162829">
        <w:rPr>
          <w:lang w:val="en-US"/>
        </w:rPr>
        <w:t xml:space="preserve"> administration found a perfect complement in the German government coalition. </w:t>
      </w:r>
      <w:r w:rsidR="00772960">
        <w:rPr>
          <w:lang w:val="en-US"/>
        </w:rPr>
        <w:t xml:space="preserve">On the other side, the Italian government is pushing from more national autonomy and a weaker Eurozone. </w:t>
      </w:r>
      <w:r w:rsidRPr="00162829">
        <w:rPr>
          <w:lang w:val="en-US"/>
        </w:rPr>
        <w:t xml:space="preserve">Policy-makers and researchers are publishing new proposals on how to enhance Eurozone’s institutional framework to transform it </w:t>
      </w:r>
      <w:r>
        <w:rPr>
          <w:lang w:val="en-US"/>
        </w:rPr>
        <w:t>into an optimal currency area</w:t>
      </w:r>
      <w:r w:rsidR="00616188">
        <w:rPr>
          <w:lang w:val="en-US"/>
        </w:rPr>
        <w:t xml:space="preserve"> (Mundell, 1961)</w:t>
      </w:r>
      <w:r>
        <w:rPr>
          <w:lang w:val="en-US"/>
        </w:rPr>
        <w:t xml:space="preserve">. </w:t>
      </w:r>
    </w:p>
    <w:p w:rsidR="00162829" w:rsidRPr="00CC223B" w:rsidRDefault="00162829" w:rsidP="00162829">
      <w:pPr>
        <w:jc w:val="both"/>
        <w:rPr>
          <w:lang w:val="en-US"/>
        </w:rPr>
      </w:pPr>
      <w:r w:rsidRPr="00162829">
        <w:rPr>
          <w:lang w:val="en-US"/>
        </w:rPr>
        <w:t xml:space="preserve">Among the different policy alternatives currently under discussion, </w:t>
      </w:r>
      <w:r w:rsidRPr="00CC223B">
        <w:rPr>
          <w:lang w:val="en-US"/>
        </w:rPr>
        <w:t>debt mutu</w:t>
      </w:r>
      <w:r w:rsidR="003405D7" w:rsidRPr="00CC223B">
        <w:rPr>
          <w:lang w:val="en-US"/>
        </w:rPr>
        <w:t>aliz</w:t>
      </w:r>
      <w:r w:rsidRPr="00CC223B">
        <w:rPr>
          <w:lang w:val="en-US"/>
        </w:rPr>
        <w:t>ation seems to be losing political interest in favor of other proposals, like tax reform or the creation of the so-called European Monetary Fund (EMF). Although we welcome those efforts, we believe that the current economic and institutional environment demands some form of solution from the center to ease sovereign market conditions</w:t>
      </w:r>
      <w:r w:rsidR="00616188" w:rsidRPr="00CC223B">
        <w:rPr>
          <w:lang w:val="en-US"/>
        </w:rPr>
        <w:t xml:space="preserve"> </w:t>
      </w:r>
      <w:r w:rsidRPr="00CC223B">
        <w:rPr>
          <w:lang w:val="en-US"/>
        </w:rPr>
        <w:t>and to reduce dependence from the European Central Bank (ECB)</w:t>
      </w:r>
      <w:r w:rsidR="00616188" w:rsidRPr="00CC223B">
        <w:rPr>
          <w:lang w:val="en-US"/>
        </w:rPr>
        <w:t>.</w:t>
      </w:r>
      <w:r w:rsidRPr="00CC223B">
        <w:rPr>
          <w:lang w:val="en-US"/>
        </w:rPr>
        <w:t xml:space="preserve"> </w:t>
      </w:r>
    </w:p>
    <w:p w:rsidR="00162829" w:rsidRPr="00162829" w:rsidRDefault="00162829" w:rsidP="00162829">
      <w:pPr>
        <w:jc w:val="both"/>
        <w:rPr>
          <w:lang w:val="en-US"/>
        </w:rPr>
      </w:pPr>
      <w:r w:rsidRPr="00CC223B">
        <w:rPr>
          <w:lang w:val="en-US"/>
        </w:rPr>
        <w:t>This paper studies the diffe</w:t>
      </w:r>
      <w:r w:rsidR="003405D7" w:rsidRPr="00CC223B">
        <w:rPr>
          <w:lang w:val="en-US"/>
        </w:rPr>
        <w:t>rent scenarios for debt mutualiz</w:t>
      </w:r>
      <w:r w:rsidRPr="00CC223B">
        <w:rPr>
          <w:lang w:val="en-US"/>
        </w:rPr>
        <w:t>ation in the Eurozone</w:t>
      </w:r>
      <w:r w:rsidRPr="00162829">
        <w:rPr>
          <w:lang w:val="en-US"/>
        </w:rPr>
        <w:t xml:space="preserve"> beyond 2018. The main question that we try to answer is whether the current sovereign debt stability is sustainable, given the lack of political consensus about further fiscal integration and the inflation target that the European Central B</w:t>
      </w:r>
      <w:r>
        <w:rPr>
          <w:lang w:val="en-US"/>
        </w:rPr>
        <w:t>ank (ECB) is committed to.</w:t>
      </w:r>
    </w:p>
    <w:p w:rsidR="00162829" w:rsidRPr="00162829" w:rsidRDefault="00162829" w:rsidP="00162829">
      <w:pPr>
        <w:jc w:val="both"/>
        <w:rPr>
          <w:lang w:val="en-US"/>
        </w:rPr>
      </w:pPr>
      <w:r w:rsidRPr="00162829">
        <w:rPr>
          <w:lang w:val="en-US"/>
        </w:rPr>
        <w:t>This question is particularly relevant for two reasons. The first one is that there is an increasing threat to the European integration project on the newly-born populist movements in Europe. The second one is that monetary policy is currently playing a fiscal role in the Eurozone. For how long</w:t>
      </w:r>
      <w:r w:rsidR="00616188">
        <w:rPr>
          <w:lang w:val="en-US"/>
        </w:rPr>
        <w:t xml:space="preserve"> will</w:t>
      </w:r>
      <w:r w:rsidRPr="00162829">
        <w:rPr>
          <w:lang w:val="en-US"/>
        </w:rPr>
        <w:t xml:space="preserve"> the ECB be able to play it is a quest</w:t>
      </w:r>
      <w:r>
        <w:rPr>
          <w:lang w:val="en-US"/>
        </w:rPr>
        <w:t xml:space="preserve">ion that remains unanswered.   </w:t>
      </w:r>
    </w:p>
    <w:p w:rsidR="00162829" w:rsidRDefault="00162829" w:rsidP="00162829">
      <w:pPr>
        <w:jc w:val="both"/>
        <w:rPr>
          <w:lang w:val="en-US"/>
        </w:rPr>
      </w:pPr>
      <w:r w:rsidRPr="00162829">
        <w:rPr>
          <w:lang w:val="en-US"/>
        </w:rPr>
        <w:t>The current stability in sovereign debt markets, shown in Figure 1, is the result of better macroeconomic fundamentals in the Eurozone and the active role that t</w:t>
      </w:r>
      <w:r w:rsidR="00616188">
        <w:rPr>
          <w:lang w:val="en-US"/>
        </w:rPr>
        <w:t>he ECB has been playing in debt</w:t>
      </w:r>
      <w:r w:rsidRPr="00162829">
        <w:rPr>
          <w:lang w:val="en-US"/>
        </w:rPr>
        <w:t xml:space="preserve"> markets. </w:t>
      </w:r>
      <w:r w:rsidR="00616188" w:rsidRPr="00162829">
        <w:rPr>
          <w:lang w:val="en-US"/>
        </w:rPr>
        <w:t>Because</w:t>
      </w:r>
      <w:r w:rsidRPr="00162829">
        <w:rPr>
          <w:lang w:val="en-US"/>
        </w:rPr>
        <w:t xml:space="preserve"> of this, sovereign yields are now lower and more stable than in previous years.</w:t>
      </w:r>
    </w:p>
    <w:p w:rsidR="00162829" w:rsidRPr="00162829" w:rsidRDefault="00162829" w:rsidP="00162829">
      <w:pPr>
        <w:jc w:val="center"/>
        <w:rPr>
          <w:b/>
          <w:lang w:val="en-US"/>
        </w:rPr>
      </w:pPr>
      <w:r w:rsidRPr="00162829">
        <w:rPr>
          <w:b/>
          <w:lang w:val="en-US"/>
        </w:rPr>
        <w:t>Figure 1. 10-year sovereign bond yields. Eurozone 12</w:t>
      </w:r>
    </w:p>
    <w:p w:rsidR="00162829" w:rsidRDefault="00162829" w:rsidP="00162829">
      <w:pPr>
        <w:jc w:val="both"/>
        <w:rPr>
          <w:lang w:val="en-US"/>
        </w:rPr>
      </w:pPr>
      <w:r w:rsidRPr="00162829">
        <w:rPr>
          <w:noProof/>
          <w:lang w:eastAsia="es-ES"/>
        </w:rPr>
        <w:drawing>
          <wp:inline distT="0" distB="0" distL="0" distR="0" wp14:anchorId="05B23CA2" wp14:editId="0AEE1596">
            <wp:extent cx="5057775" cy="306705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62829" w:rsidRDefault="00162829" w:rsidP="00162829">
      <w:pPr>
        <w:jc w:val="both"/>
        <w:rPr>
          <w:lang w:val="en-US"/>
        </w:rPr>
      </w:pPr>
      <w:r>
        <w:rPr>
          <w:lang w:val="en-US"/>
        </w:rPr>
        <w:t>Source: European Central Bank.</w:t>
      </w:r>
    </w:p>
    <w:p w:rsidR="00162829" w:rsidRPr="00162829" w:rsidRDefault="00162829" w:rsidP="00616188">
      <w:pPr>
        <w:jc w:val="both"/>
        <w:rPr>
          <w:lang w:val="en-US"/>
        </w:rPr>
      </w:pPr>
      <w:r w:rsidRPr="00162829">
        <w:rPr>
          <w:lang w:val="en-US"/>
        </w:rPr>
        <w:lastRenderedPageBreak/>
        <w:t xml:space="preserve">There is huge homogeneity on the evolution of default risk, as </w:t>
      </w:r>
      <w:r w:rsidR="00616188">
        <w:rPr>
          <w:lang w:val="en-US"/>
        </w:rPr>
        <w:t xml:space="preserve">De Grauwe </w:t>
      </w:r>
      <w:r w:rsidR="00616188" w:rsidRPr="00616188">
        <w:rPr>
          <w:lang w:val="en-US"/>
        </w:rPr>
        <w:t xml:space="preserve">and Moesen </w:t>
      </w:r>
      <w:r w:rsidR="00616188">
        <w:rPr>
          <w:lang w:val="en-US"/>
        </w:rPr>
        <w:t>(</w:t>
      </w:r>
      <w:r w:rsidR="00616188" w:rsidRPr="00616188">
        <w:rPr>
          <w:lang w:val="en-US"/>
        </w:rPr>
        <w:t>2009)</w:t>
      </w:r>
      <w:r w:rsidR="00616188">
        <w:rPr>
          <w:lang w:val="en-US"/>
        </w:rPr>
        <w:t xml:space="preserve"> define</w:t>
      </w:r>
      <w:r w:rsidRPr="00162829">
        <w:rPr>
          <w:lang w:val="en-US"/>
        </w:rPr>
        <w:t xml:space="preserve"> it, in the years 2000 to 2009. After that p</w:t>
      </w:r>
      <w:r w:rsidR="00616188">
        <w:rPr>
          <w:lang w:val="en-US"/>
        </w:rPr>
        <w:t>eriod</w:t>
      </w:r>
      <w:r w:rsidRPr="00162829">
        <w:rPr>
          <w:lang w:val="en-US"/>
        </w:rPr>
        <w:t>, there is a group of countries (Portugal, Ireland, Italy and, specially, Greece) that experience</w:t>
      </w:r>
      <w:r w:rsidR="00772960">
        <w:rPr>
          <w:lang w:val="en-US"/>
        </w:rPr>
        <w:t>d</w:t>
      </w:r>
      <w:r w:rsidRPr="00162829">
        <w:rPr>
          <w:lang w:val="en-US"/>
        </w:rPr>
        <w:t xml:space="preserve"> a dramatic surge in their yields. From the second quarter of the year 2012 on, all countries but Greece return</w:t>
      </w:r>
      <w:r w:rsidR="00772960">
        <w:rPr>
          <w:lang w:val="en-US"/>
        </w:rPr>
        <w:t>ed</w:t>
      </w:r>
      <w:r w:rsidRPr="00162829">
        <w:rPr>
          <w:lang w:val="en-US"/>
        </w:rPr>
        <w:t xml:space="preserve"> </w:t>
      </w:r>
      <w:r>
        <w:rPr>
          <w:lang w:val="en-US"/>
        </w:rPr>
        <w:t xml:space="preserve">to the pre-crisis homogeneity. </w:t>
      </w:r>
      <w:r w:rsidR="00616188">
        <w:rPr>
          <w:lang w:val="en-US"/>
        </w:rPr>
        <w:t xml:space="preserve">Italy </w:t>
      </w:r>
      <w:r w:rsidR="00FA0F6E">
        <w:rPr>
          <w:lang w:val="en-US"/>
        </w:rPr>
        <w:t>started to threaten</w:t>
      </w:r>
      <w:r w:rsidR="00616188">
        <w:rPr>
          <w:lang w:val="en-US"/>
        </w:rPr>
        <w:t xml:space="preserve"> this </w:t>
      </w:r>
      <w:r w:rsidR="00FA0F6E">
        <w:rPr>
          <w:lang w:val="en-US"/>
        </w:rPr>
        <w:t>stability</w:t>
      </w:r>
      <w:r w:rsidR="00616188">
        <w:rPr>
          <w:lang w:val="en-US"/>
        </w:rPr>
        <w:t xml:space="preserve"> </w:t>
      </w:r>
      <w:r w:rsidR="00FA0F6E">
        <w:rPr>
          <w:lang w:val="en-US"/>
        </w:rPr>
        <w:t xml:space="preserve">soon </w:t>
      </w:r>
      <w:r w:rsidR="00616188">
        <w:rPr>
          <w:lang w:val="en-US"/>
        </w:rPr>
        <w:t>after t</w:t>
      </w:r>
      <w:r w:rsidR="00703799">
        <w:rPr>
          <w:lang w:val="en-US"/>
        </w:rPr>
        <w:t xml:space="preserve">he election of Matteo Salvini </w:t>
      </w:r>
      <w:r w:rsidR="00772960">
        <w:rPr>
          <w:lang w:val="en-US"/>
        </w:rPr>
        <w:t>as</w:t>
      </w:r>
      <w:r w:rsidR="00616188" w:rsidRPr="00CC223B">
        <w:rPr>
          <w:lang w:val="en-US"/>
        </w:rPr>
        <w:t xml:space="preserve"> </w:t>
      </w:r>
      <w:r w:rsidR="00703799" w:rsidRPr="00CC223B">
        <w:rPr>
          <w:lang w:val="en-US"/>
        </w:rPr>
        <w:t>Deputy Prime Mini</w:t>
      </w:r>
      <w:r w:rsidR="003405D7" w:rsidRPr="00CC223B">
        <w:rPr>
          <w:lang w:val="en-US"/>
        </w:rPr>
        <w:t>s</w:t>
      </w:r>
      <w:r w:rsidR="00703799" w:rsidRPr="00CC223B">
        <w:rPr>
          <w:lang w:val="en-US"/>
        </w:rPr>
        <w:t>ter</w:t>
      </w:r>
      <w:r w:rsidR="00616188" w:rsidRPr="00CC223B">
        <w:rPr>
          <w:lang w:val="en-US"/>
        </w:rPr>
        <w:t xml:space="preserve"> of the country.</w:t>
      </w:r>
    </w:p>
    <w:p w:rsidR="00162829" w:rsidRPr="00162829" w:rsidRDefault="00162829" w:rsidP="00162829">
      <w:pPr>
        <w:jc w:val="both"/>
        <w:rPr>
          <w:lang w:val="en-US"/>
        </w:rPr>
      </w:pPr>
      <w:r w:rsidRPr="00162829">
        <w:rPr>
          <w:lang w:val="en-US"/>
        </w:rPr>
        <w:t>The reduction in sovereign yields is correlated with the announcement, from the ECB, of the Outright Monetary Transactions (OMT) program and other monetary stimuli designed to alleviate the sovereign debt burden. The stability achieved by ECB's interven</w:t>
      </w:r>
      <w:r>
        <w:rPr>
          <w:lang w:val="en-US"/>
        </w:rPr>
        <w:t xml:space="preserve">tion is very fragile, however. </w:t>
      </w:r>
      <w:r w:rsidRPr="00162829">
        <w:rPr>
          <w:lang w:val="en-US"/>
        </w:rPr>
        <w:t xml:space="preserve">First, because of the ECB's commitment with its inflation targeting. If inflation </w:t>
      </w:r>
      <w:r w:rsidR="00B41A79" w:rsidRPr="00162829">
        <w:rPr>
          <w:lang w:val="en-US"/>
        </w:rPr>
        <w:t>rises</w:t>
      </w:r>
      <w:r w:rsidRPr="00162829">
        <w:rPr>
          <w:lang w:val="en-US"/>
        </w:rPr>
        <w:t xml:space="preserve"> above two percent per year over, sovereign debt buying cou</w:t>
      </w:r>
      <w:r>
        <w:rPr>
          <w:lang w:val="en-US"/>
        </w:rPr>
        <w:t>ld be reduced or even stopped</w:t>
      </w:r>
      <w:r w:rsidR="00616188">
        <w:rPr>
          <w:lang w:val="en-US"/>
        </w:rPr>
        <w:t>, as it has been already announced</w:t>
      </w:r>
      <w:r w:rsidR="00772960">
        <w:rPr>
          <w:lang w:val="en-US"/>
        </w:rPr>
        <w:t xml:space="preserve"> (ECB, 2018). </w:t>
      </w:r>
    </w:p>
    <w:p w:rsidR="00162829" w:rsidRPr="00162829" w:rsidRDefault="00162829" w:rsidP="00162829">
      <w:pPr>
        <w:jc w:val="both"/>
        <w:rPr>
          <w:lang w:val="en-US"/>
        </w:rPr>
      </w:pPr>
      <w:r w:rsidRPr="00162829">
        <w:rPr>
          <w:lang w:val="en-US"/>
        </w:rPr>
        <w:t xml:space="preserve">Second, because </w:t>
      </w:r>
      <w:r w:rsidR="00616188">
        <w:rPr>
          <w:lang w:val="en-US"/>
        </w:rPr>
        <w:t xml:space="preserve">populist and anti-European forces are limiting the scope of new reforms and further integration in the Eurozone. </w:t>
      </w:r>
      <w:r w:rsidRPr="00162829">
        <w:rPr>
          <w:lang w:val="en-US"/>
        </w:rPr>
        <w:t>The support that the ECB is providing to the sovereign debt markets has reduced the need for a fiscal union and for a co</w:t>
      </w:r>
      <w:r w:rsidR="00616188">
        <w:rPr>
          <w:lang w:val="en-US"/>
        </w:rPr>
        <w:t xml:space="preserve">mmon debt issuance </w:t>
      </w:r>
      <w:r w:rsidR="00772960">
        <w:rPr>
          <w:lang w:val="en-US"/>
        </w:rPr>
        <w:t>mechanism. I</w:t>
      </w:r>
      <w:r w:rsidR="00616188">
        <w:rPr>
          <w:lang w:val="en-US"/>
        </w:rPr>
        <w:t>n case of monetary normalization,</w:t>
      </w:r>
      <w:r w:rsidRPr="00162829">
        <w:rPr>
          <w:lang w:val="en-US"/>
        </w:rPr>
        <w:t xml:space="preserve"> eurobonds and fiscal union would probably be the only solution to kee</w:t>
      </w:r>
      <w:r>
        <w:rPr>
          <w:lang w:val="en-US"/>
        </w:rPr>
        <w:t xml:space="preserve">p sovereign markets stability. </w:t>
      </w:r>
    </w:p>
    <w:p w:rsidR="00162829" w:rsidRPr="00162829" w:rsidRDefault="00162829" w:rsidP="00162829">
      <w:pPr>
        <w:jc w:val="both"/>
        <w:rPr>
          <w:lang w:val="en-US"/>
        </w:rPr>
      </w:pPr>
      <w:r w:rsidRPr="00CC223B">
        <w:rPr>
          <w:lang w:val="en-US"/>
        </w:rPr>
        <w:t xml:space="preserve">Is it possible </w:t>
      </w:r>
      <w:r w:rsidRPr="00162829">
        <w:rPr>
          <w:lang w:val="en-US"/>
        </w:rPr>
        <w:t xml:space="preserve">to achieve a common fiscal policy or to create </w:t>
      </w:r>
      <w:r w:rsidR="00AA30E4">
        <w:rPr>
          <w:lang w:val="en-US"/>
        </w:rPr>
        <w:t xml:space="preserve">a </w:t>
      </w:r>
      <w:r w:rsidRPr="00162829">
        <w:rPr>
          <w:lang w:val="en-US"/>
        </w:rPr>
        <w:t>mutual public debt</w:t>
      </w:r>
      <w:r w:rsidR="00AA30E4">
        <w:rPr>
          <w:lang w:val="en-US"/>
        </w:rPr>
        <w:t xml:space="preserve"> asset</w:t>
      </w:r>
      <w:r w:rsidRPr="00162829">
        <w:rPr>
          <w:lang w:val="en-US"/>
        </w:rPr>
        <w:t xml:space="preserve"> under the current political pressures? What are the different alternatives under this extraordinary set of circumstances? This paper assess </w:t>
      </w:r>
      <w:r w:rsidR="00FA0F6E" w:rsidRPr="00162829">
        <w:rPr>
          <w:lang w:val="en-US"/>
        </w:rPr>
        <w:t>these questions</w:t>
      </w:r>
      <w:r w:rsidRPr="00162829">
        <w:rPr>
          <w:lang w:val="en-US"/>
        </w:rPr>
        <w:t xml:space="preserve"> following these steps. First, we analyze the literature on fiscal unions and eurobonds. In </w:t>
      </w:r>
      <w:r w:rsidR="00AA30E4">
        <w:rPr>
          <w:lang w:val="en-US"/>
        </w:rPr>
        <w:t>s</w:t>
      </w:r>
      <w:r w:rsidRPr="00162829">
        <w:rPr>
          <w:lang w:val="en-US"/>
        </w:rPr>
        <w:t xml:space="preserve">ection </w:t>
      </w:r>
      <w:r w:rsidR="00AA30E4">
        <w:rPr>
          <w:lang w:val="en-US"/>
        </w:rPr>
        <w:t>3,</w:t>
      </w:r>
      <w:r w:rsidRPr="00162829">
        <w:rPr>
          <w:lang w:val="en-US"/>
        </w:rPr>
        <w:t xml:space="preserve"> we explain ECB's </w:t>
      </w:r>
      <w:r w:rsidR="00025981">
        <w:rPr>
          <w:lang w:val="en-US"/>
        </w:rPr>
        <w:t>role</w:t>
      </w:r>
      <w:r w:rsidRPr="00162829">
        <w:rPr>
          <w:lang w:val="en-US"/>
        </w:rPr>
        <w:t xml:space="preserve"> as a backstop for sovereign defaults. We also study the limitations that this approach may have and its connection with the political climate in Europe. </w:t>
      </w:r>
      <w:r w:rsidR="00AA30E4">
        <w:rPr>
          <w:lang w:val="en-US"/>
        </w:rPr>
        <w:t xml:space="preserve">In section 4, we stress the relationship between adjustment costs and populism. </w:t>
      </w:r>
      <w:r w:rsidRPr="00162829">
        <w:rPr>
          <w:lang w:val="en-US"/>
        </w:rPr>
        <w:t xml:space="preserve">In </w:t>
      </w:r>
      <w:r w:rsidR="00AA30E4">
        <w:rPr>
          <w:lang w:val="en-US"/>
        </w:rPr>
        <w:t>s</w:t>
      </w:r>
      <w:r w:rsidRPr="00162829">
        <w:rPr>
          <w:lang w:val="en-US"/>
        </w:rPr>
        <w:t xml:space="preserve">ection </w:t>
      </w:r>
      <w:r w:rsidR="00AA30E4">
        <w:rPr>
          <w:lang w:val="en-US"/>
        </w:rPr>
        <w:t>5,</w:t>
      </w:r>
      <w:r w:rsidRPr="00162829">
        <w:rPr>
          <w:lang w:val="en-US"/>
        </w:rPr>
        <w:t xml:space="preserve"> we study the different scenarios that the Eurozone faces on the creation of a fiscal union. Fi</w:t>
      </w:r>
      <w:r>
        <w:rPr>
          <w:lang w:val="en-US"/>
        </w:rPr>
        <w:t xml:space="preserve">nally, </w:t>
      </w:r>
      <w:r w:rsidR="00AA30E4">
        <w:rPr>
          <w:lang w:val="en-US"/>
        </w:rPr>
        <w:t>s</w:t>
      </w:r>
      <w:r>
        <w:rPr>
          <w:lang w:val="en-US"/>
        </w:rPr>
        <w:t xml:space="preserve">ection </w:t>
      </w:r>
      <w:r w:rsidR="00AA30E4">
        <w:rPr>
          <w:lang w:val="en-US"/>
        </w:rPr>
        <w:t>6</w:t>
      </w:r>
      <w:r>
        <w:rPr>
          <w:lang w:val="en-US"/>
        </w:rPr>
        <w:t xml:space="preserve"> concludes. </w:t>
      </w:r>
    </w:p>
    <w:p w:rsidR="00162829" w:rsidRPr="00162829" w:rsidRDefault="00162829" w:rsidP="00F22617">
      <w:pPr>
        <w:pStyle w:val="Prrafodelista"/>
        <w:numPr>
          <w:ilvl w:val="0"/>
          <w:numId w:val="1"/>
        </w:numPr>
        <w:jc w:val="both"/>
        <w:rPr>
          <w:b/>
          <w:lang w:val="en-US"/>
        </w:rPr>
      </w:pPr>
      <w:r w:rsidRPr="00162829">
        <w:rPr>
          <w:b/>
          <w:lang w:val="en-US"/>
        </w:rPr>
        <w:t>Eurobonds: Literature Review and Alternatives</w:t>
      </w:r>
    </w:p>
    <w:p w:rsidR="00162829" w:rsidRPr="00162829" w:rsidRDefault="00162829" w:rsidP="00F22617">
      <w:pPr>
        <w:jc w:val="both"/>
        <w:rPr>
          <w:lang w:val="en-US"/>
        </w:rPr>
      </w:pPr>
      <w:r w:rsidRPr="00162829">
        <w:rPr>
          <w:lang w:val="en-US"/>
        </w:rPr>
        <w:t xml:space="preserve">This section examines the different alternatives that the literature and the policy makers have proposed for common sovereign debt issuance in the Eurozone. The International Monetary Fund </w:t>
      </w:r>
      <w:r w:rsidR="00AA30E4">
        <w:rPr>
          <w:lang w:val="en-US"/>
        </w:rPr>
        <w:t>(Allard et al., 2013</w:t>
      </w:r>
      <w:r w:rsidR="00AA30E4" w:rsidRPr="00AA30E4">
        <w:rPr>
          <w:lang w:val="en-US"/>
        </w:rPr>
        <w:t>)</w:t>
      </w:r>
      <w:r w:rsidR="00AA30E4">
        <w:rPr>
          <w:lang w:val="en-US"/>
        </w:rPr>
        <w:t xml:space="preserve"> </w:t>
      </w:r>
      <w:r w:rsidRPr="00162829">
        <w:rPr>
          <w:lang w:val="en-US"/>
        </w:rPr>
        <w:t xml:space="preserve">has highlighted the need of a fiscal union as a prior step before the issuance of </w:t>
      </w:r>
      <w:r w:rsidR="00FA0F6E">
        <w:rPr>
          <w:lang w:val="en-US"/>
        </w:rPr>
        <w:t xml:space="preserve">a </w:t>
      </w:r>
      <w:r w:rsidRPr="00162829">
        <w:rPr>
          <w:lang w:val="en-US"/>
        </w:rPr>
        <w:t xml:space="preserve">common European debt </w:t>
      </w:r>
      <w:r w:rsidR="00AA30E4">
        <w:rPr>
          <w:lang w:val="en-US"/>
        </w:rPr>
        <w:t>asset</w:t>
      </w:r>
      <w:r>
        <w:rPr>
          <w:lang w:val="en-US"/>
        </w:rPr>
        <w:t xml:space="preserve">. </w:t>
      </w:r>
    </w:p>
    <w:p w:rsidR="00162829" w:rsidRDefault="00162829" w:rsidP="00F22617">
      <w:pPr>
        <w:jc w:val="both"/>
        <w:rPr>
          <w:lang w:val="en-US"/>
        </w:rPr>
      </w:pPr>
      <w:r w:rsidRPr="00162829">
        <w:rPr>
          <w:lang w:val="en-US"/>
        </w:rPr>
        <w:t xml:space="preserve">According to the Fund's </w:t>
      </w:r>
      <w:r w:rsidR="00E9287D" w:rsidRPr="00162829">
        <w:rPr>
          <w:lang w:val="en-US"/>
        </w:rPr>
        <w:t>view,</w:t>
      </w:r>
      <w:r w:rsidRPr="00162829">
        <w:rPr>
          <w:lang w:val="en-US"/>
        </w:rPr>
        <w:t xml:space="preserve"> there are four conditions that must be fulfilled to </w:t>
      </w:r>
      <w:r w:rsidR="00FA0F6E">
        <w:rPr>
          <w:lang w:val="en-US"/>
        </w:rPr>
        <w:t>close</w:t>
      </w:r>
      <w:r w:rsidRPr="00162829">
        <w:rPr>
          <w:lang w:val="en-US"/>
        </w:rPr>
        <w:t xml:space="preserve"> the institutional gap that the Eurozone is still suffering from</w:t>
      </w:r>
      <w:r w:rsidR="00E9287D">
        <w:rPr>
          <w:lang w:val="en-US"/>
        </w:rPr>
        <w:t xml:space="preserve">: </w:t>
      </w:r>
      <w:r w:rsidRPr="00162829">
        <w:rPr>
          <w:lang w:val="en-US"/>
        </w:rPr>
        <w:t>better design of fiscal policies, discipline and accountability, enforcement of agreements from central authorities and the creation of a mechanism for fiscal transfers. The four of them will be briefly analyz</w:t>
      </w:r>
      <w:r w:rsidR="00E9287D">
        <w:rPr>
          <w:lang w:val="en-US"/>
        </w:rPr>
        <w:t xml:space="preserve">ed in the following section. </w:t>
      </w:r>
    </w:p>
    <w:p w:rsidR="000E592B" w:rsidRDefault="000E592B" w:rsidP="00F22617">
      <w:pPr>
        <w:jc w:val="both"/>
        <w:rPr>
          <w:lang w:val="en-US"/>
        </w:rPr>
      </w:pPr>
    </w:p>
    <w:p w:rsidR="000E592B" w:rsidRDefault="000E592B" w:rsidP="00F22617">
      <w:pPr>
        <w:jc w:val="both"/>
        <w:rPr>
          <w:lang w:val="en-US"/>
        </w:rPr>
      </w:pPr>
    </w:p>
    <w:p w:rsidR="000E592B" w:rsidRDefault="000E592B" w:rsidP="00F22617">
      <w:pPr>
        <w:jc w:val="both"/>
        <w:rPr>
          <w:lang w:val="en-US"/>
        </w:rPr>
      </w:pPr>
    </w:p>
    <w:p w:rsidR="000E592B" w:rsidRDefault="000E592B" w:rsidP="00F22617">
      <w:pPr>
        <w:jc w:val="both"/>
        <w:rPr>
          <w:lang w:val="en-US"/>
        </w:rPr>
      </w:pPr>
    </w:p>
    <w:p w:rsidR="00FA0F6E" w:rsidRDefault="00FA0F6E" w:rsidP="00F22617">
      <w:pPr>
        <w:jc w:val="both"/>
        <w:rPr>
          <w:lang w:val="en-US"/>
        </w:rPr>
      </w:pPr>
    </w:p>
    <w:p w:rsidR="00FA0F6E" w:rsidRPr="00162829" w:rsidRDefault="00FA0F6E" w:rsidP="00F22617">
      <w:pPr>
        <w:jc w:val="both"/>
        <w:rPr>
          <w:lang w:val="en-US"/>
        </w:rPr>
      </w:pPr>
    </w:p>
    <w:p w:rsidR="00E9287D" w:rsidRDefault="00E9287D" w:rsidP="00F22617">
      <w:pPr>
        <w:jc w:val="both"/>
        <w:rPr>
          <w:lang w:val="en-US"/>
        </w:rPr>
      </w:pPr>
      <w:r>
        <w:rPr>
          <w:b/>
          <w:lang w:val="en-US"/>
        </w:rPr>
        <w:lastRenderedPageBreak/>
        <w:t xml:space="preserve">2.1 </w:t>
      </w:r>
      <w:r w:rsidR="00162829" w:rsidRPr="00E9287D">
        <w:rPr>
          <w:b/>
          <w:lang w:val="en-US"/>
        </w:rPr>
        <w:t>Minimal Elements for a Fiscal Union</w:t>
      </w:r>
    </w:p>
    <w:p w:rsidR="00162829" w:rsidRPr="00E9287D" w:rsidRDefault="00E9287D" w:rsidP="00F22617">
      <w:pPr>
        <w:jc w:val="both"/>
        <w:rPr>
          <w:b/>
          <w:lang w:val="en-US"/>
        </w:rPr>
      </w:pPr>
      <w:r w:rsidRPr="00E9287D">
        <w:rPr>
          <w:b/>
          <w:lang w:val="en-US"/>
        </w:rPr>
        <w:t xml:space="preserve">2.1.1. </w:t>
      </w:r>
      <w:r>
        <w:rPr>
          <w:b/>
          <w:lang w:val="en-US"/>
        </w:rPr>
        <w:t xml:space="preserve">   </w:t>
      </w:r>
      <w:r w:rsidRPr="00E9287D">
        <w:rPr>
          <w:b/>
          <w:lang w:val="en-US"/>
        </w:rPr>
        <w:t>Fiscal Policy Design</w:t>
      </w:r>
    </w:p>
    <w:p w:rsidR="00AA30E4" w:rsidRDefault="00162829" w:rsidP="00AA30E4">
      <w:pPr>
        <w:jc w:val="both"/>
        <w:rPr>
          <w:lang w:val="en-US"/>
        </w:rPr>
      </w:pPr>
      <w:r w:rsidRPr="00162829">
        <w:rPr>
          <w:lang w:val="en-US"/>
        </w:rPr>
        <w:t>Fiscal rules and policies at the estate-level should be coordinated from the center. Common rules and goals are essential. The fiscal compact is a step in</w:t>
      </w:r>
      <w:r w:rsidR="00AA30E4">
        <w:rPr>
          <w:lang w:val="en-US"/>
        </w:rPr>
        <w:t>to</w:t>
      </w:r>
      <w:r w:rsidRPr="00162829">
        <w:rPr>
          <w:lang w:val="en-US"/>
        </w:rPr>
        <w:t xml:space="preserve"> this direction, but the enforcement of fiscal plans is a critical element for the success of </w:t>
      </w:r>
      <w:r w:rsidR="00025981">
        <w:rPr>
          <w:lang w:val="en-US"/>
        </w:rPr>
        <w:t xml:space="preserve">the </w:t>
      </w:r>
      <w:r w:rsidRPr="00162829">
        <w:rPr>
          <w:lang w:val="en-US"/>
        </w:rPr>
        <w:t xml:space="preserve">fiscal union. </w:t>
      </w:r>
      <w:r w:rsidR="00FA0F6E">
        <w:rPr>
          <w:lang w:val="en-US"/>
        </w:rPr>
        <w:t>The IMF proposes four policy changes i</w:t>
      </w:r>
      <w:r w:rsidRPr="00162829">
        <w:rPr>
          <w:lang w:val="en-US"/>
        </w:rPr>
        <w:t xml:space="preserve">n order to enhance </w:t>
      </w:r>
      <w:r w:rsidR="00025981">
        <w:rPr>
          <w:lang w:val="en-US"/>
        </w:rPr>
        <w:t xml:space="preserve">the </w:t>
      </w:r>
      <w:r w:rsidR="00FA0F6E">
        <w:rPr>
          <w:lang w:val="en-US"/>
        </w:rPr>
        <w:t xml:space="preserve">current </w:t>
      </w:r>
      <w:r w:rsidRPr="00162829">
        <w:rPr>
          <w:lang w:val="en-US"/>
        </w:rPr>
        <w:t xml:space="preserve">fiscal </w:t>
      </w:r>
      <w:r w:rsidR="00FA0F6E">
        <w:rPr>
          <w:lang w:val="en-US"/>
        </w:rPr>
        <w:t>framework.</w:t>
      </w:r>
    </w:p>
    <w:p w:rsidR="00E9287D" w:rsidRPr="00293FC9" w:rsidRDefault="00293FC9" w:rsidP="00293FC9">
      <w:pPr>
        <w:jc w:val="both"/>
        <w:rPr>
          <w:lang w:val="en-US"/>
        </w:rPr>
      </w:pPr>
      <w:r>
        <w:rPr>
          <w:lang w:val="en-US"/>
        </w:rPr>
        <w:t>First, t</w:t>
      </w:r>
      <w:r w:rsidR="00162829" w:rsidRPr="00E9287D">
        <w:rPr>
          <w:lang w:val="en-US"/>
        </w:rPr>
        <w:t>he concept of structural fiscal balance tar</w:t>
      </w:r>
      <w:r w:rsidR="00FA0F6E">
        <w:rPr>
          <w:lang w:val="en-US"/>
        </w:rPr>
        <w:t xml:space="preserve">gets, instead of headline ones </w:t>
      </w:r>
      <w:r w:rsidR="00162829" w:rsidRPr="00E9287D">
        <w:rPr>
          <w:lang w:val="en-US"/>
        </w:rPr>
        <w:t>should be applied more systemically. All the adjustment paths proposed by member estates, as well as policy recommendations from European authorities, should be designed in terms of structural goals.</w:t>
      </w:r>
      <w:r>
        <w:rPr>
          <w:lang w:val="en-US"/>
        </w:rPr>
        <w:t xml:space="preserve"> Second, the u</w:t>
      </w:r>
      <w:r w:rsidR="00162829" w:rsidRPr="00293FC9">
        <w:rPr>
          <w:lang w:val="en-US"/>
        </w:rPr>
        <w:t>s</w:t>
      </w:r>
      <w:r>
        <w:rPr>
          <w:lang w:val="en-US"/>
        </w:rPr>
        <w:t>e of</w:t>
      </w:r>
      <w:r w:rsidR="00162829" w:rsidRPr="00293FC9">
        <w:rPr>
          <w:lang w:val="en-US"/>
        </w:rPr>
        <w:t xml:space="preserve"> structural targets require from careful estimates of the output gap. </w:t>
      </w:r>
      <w:r w:rsidR="00FA0F6E">
        <w:rPr>
          <w:lang w:val="en-US"/>
        </w:rPr>
        <w:t>Independent regional agencies would provide those estimations,</w:t>
      </w:r>
      <w:r w:rsidR="00162829" w:rsidRPr="00293FC9">
        <w:rPr>
          <w:lang w:val="en-US"/>
        </w:rPr>
        <w:t xml:space="preserve"> in coordination with central oversight, to asse</w:t>
      </w:r>
      <w:r>
        <w:rPr>
          <w:lang w:val="en-US"/>
        </w:rPr>
        <w:t>s</w:t>
      </w:r>
      <w:r w:rsidR="00162829" w:rsidRPr="00293FC9">
        <w:rPr>
          <w:lang w:val="en-US"/>
        </w:rPr>
        <w:t xml:space="preserve">s fiscal policy design and </w:t>
      </w:r>
      <w:r w:rsidR="00FA0F6E">
        <w:rPr>
          <w:lang w:val="en-US"/>
        </w:rPr>
        <w:t xml:space="preserve">its </w:t>
      </w:r>
      <w:r w:rsidR="00162829" w:rsidRPr="00293FC9">
        <w:rPr>
          <w:lang w:val="en-US"/>
        </w:rPr>
        <w:t>implementation.</w:t>
      </w:r>
    </w:p>
    <w:p w:rsidR="00162829" w:rsidRPr="00162829" w:rsidRDefault="00293FC9" w:rsidP="00F22617">
      <w:pPr>
        <w:jc w:val="both"/>
        <w:rPr>
          <w:lang w:val="en-US"/>
        </w:rPr>
      </w:pPr>
      <w:r>
        <w:rPr>
          <w:lang w:val="en-US"/>
        </w:rPr>
        <w:t>Third, f</w:t>
      </w:r>
      <w:r w:rsidR="00162829" w:rsidRPr="00293FC9">
        <w:rPr>
          <w:lang w:val="en-US"/>
        </w:rPr>
        <w:t xml:space="preserve">iscal rules must be flexible, but they should be accompanied by medium-term fiscal plans that clearly highlight the path to lower debt levels. They should also include automatic corrective mechanisms designed at the national level and made consistent across countries. </w:t>
      </w:r>
      <w:r>
        <w:rPr>
          <w:lang w:val="en-US"/>
        </w:rPr>
        <w:t>Finally, t</w:t>
      </w:r>
      <w:r w:rsidR="00162829" w:rsidRPr="00293FC9">
        <w:rPr>
          <w:lang w:val="en-US"/>
        </w:rPr>
        <w:t>he harmonization of budget presentation, fiscal reporting and accounting, at all levels of government</w:t>
      </w:r>
      <w:r w:rsidR="00025981">
        <w:rPr>
          <w:lang w:val="en-US"/>
        </w:rPr>
        <w:t>,</w:t>
      </w:r>
      <w:r w:rsidR="00162829" w:rsidRPr="00293FC9">
        <w:rPr>
          <w:lang w:val="en-US"/>
        </w:rPr>
        <w:t xml:space="preserve"> would increase transparency and accountability. It would also send a message to the markets about the unity of the fiscal framework in the Eurozone. </w:t>
      </w:r>
    </w:p>
    <w:p w:rsidR="00162829" w:rsidRPr="00E9287D" w:rsidRDefault="00E9287D" w:rsidP="00F22617">
      <w:pPr>
        <w:pStyle w:val="Prrafodelista"/>
        <w:numPr>
          <w:ilvl w:val="2"/>
          <w:numId w:val="1"/>
        </w:numPr>
        <w:jc w:val="both"/>
        <w:rPr>
          <w:b/>
          <w:lang w:val="en-US"/>
        </w:rPr>
      </w:pPr>
      <w:r w:rsidRPr="00E9287D">
        <w:rPr>
          <w:b/>
          <w:lang w:val="en-US"/>
        </w:rPr>
        <w:t>Discipline and accountability</w:t>
      </w:r>
    </w:p>
    <w:p w:rsidR="00162829" w:rsidRPr="00293FC9" w:rsidRDefault="00162829" w:rsidP="00293FC9">
      <w:pPr>
        <w:jc w:val="both"/>
        <w:rPr>
          <w:lang w:val="en-US"/>
        </w:rPr>
      </w:pPr>
      <w:r w:rsidRPr="00162829">
        <w:rPr>
          <w:lang w:val="en-US"/>
        </w:rPr>
        <w:t xml:space="preserve">It is essential to increase the accountability of fiscal plans and to enhance the mechanisms already operating in </w:t>
      </w:r>
      <w:r w:rsidR="00E9287D">
        <w:rPr>
          <w:lang w:val="en-US"/>
        </w:rPr>
        <w:t>its</w:t>
      </w:r>
      <w:r w:rsidRPr="00162829">
        <w:rPr>
          <w:lang w:val="en-US"/>
        </w:rPr>
        <w:t xml:space="preserve"> design. There are</w:t>
      </w:r>
      <w:r w:rsidR="00FA0F6E">
        <w:rPr>
          <w:lang w:val="en-US"/>
        </w:rPr>
        <w:t xml:space="preserve"> </w:t>
      </w:r>
      <w:r w:rsidR="00E9287D">
        <w:rPr>
          <w:lang w:val="en-US"/>
        </w:rPr>
        <w:t>two ways of doing that:</w:t>
      </w:r>
      <w:r w:rsidR="00293FC9">
        <w:rPr>
          <w:lang w:val="en-US"/>
        </w:rPr>
        <w:t xml:space="preserve"> first, t</w:t>
      </w:r>
      <w:r w:rsidRPr="00293FC9">
        <w:rPr>
          <w:lang w:val="en-US"/>
        </w:rPr>
        <w:t>hrough a center-based approach complementary to market discipline. This approach, that could take the form a new common fiscal institution, would also provide technical assistance in case of being necessary</w:t>
      </w:r>
      <w:r w:rsidR="00025981">
        <w:rPr>
          <w:lang w:val="en-US"/>
        </w:rPr>
        <w:t xml:space="preserve"> and prevent fiscal imbalances to appear</w:t>
      </w:r>
      <w:r w:rsidRPr="00293FC9">
        <w:rPr>
          <w:lang w:val="en-US"/>
        </w:rPr>
        <w:t xml:space="preserve">. </w:t>
      </w:r>
    </w:p>
    <w:p w:rsidR="00162829" w:rsidRPr="00293FC9" w:rsidRDefault="00293FC9" w:rsidP="00293FC9">
      <w:pPr>
        <w:jc w:val="both"/>
        <w:rPr>
          <w:lang w:val="en-US"/>
        </w:rPr>
      </w:pPr>
      <w:r>
        <w:rPr>
          <w:lang w:val="en-US"/>
        </w:rPr>
        <w:t>Second, w</w:t>
      </w:r>
      <w:r w:rsidR="00162829" w:rsidRPr="00293FC9">
        <w:rPr>
          <w:lang w:val="en-US"/>
        </w:rPr>
        <w:t>hile the new design of fiscal policies and common debt issuance in the Eurozone is ready, the European Stability Mechanism (ESM) still stands as the main tool for fighting against sovereign market disturbances. It is necessary</w:t>
      </w:r>
      <w:r w:rsidR="00FA0F6E">
        <w:rPr>
          <w:lang w:val="en-US"/>
        </w:rPr>
        <w:t xml:space="preserve"> </w:t>
      </w:r>
      <w:r w:rsidR="00162829" w:rsidRPr="00293FC9">
        <w:rPr>
          <w:lang w:val="en-US"/>
        </w:rPr>
        <w:t>to clarify bailout rules and conditionality to make sure that the necessary reforms are implemented after interventions</w:t>
      </w:r>
      <w:r w:rsidR="00025981">
        <w:rPr>
          <w:lang w:val="en-US"/>
        </w:rPr>
        <w:t>.</w:t>
      </w:r>
    </w:p>
    <w:p w:rsidR="00E9287D" w:rsidRPr="00293FC9" w:rsidRDefault="00293FC9" w:rsidP="00F22617">
      <w:pPr>
        <w:jc w:val="both"/>
        <w:rPr>
          <w:lang w:val="en-US"/>
        </w:rPr>
      </w:pPr>
      <w:r w:rsidRPr="00293FC9">
        <w:rPr>
          <w:lang w:val="en-US"/>
        </w:rPr>
        <w:t>Cottarelli (2013)</w:t>
      </w:r>
      <w:r>
        <w:rPr>
          <w:lang w:val="en-US"/>
        </w:rPr>
        <w:t xml:space="preserve"> </w:t>
      </w:r>
      <w:r w:rsidR="00162829" w:rsidRPr="00162829">
        <w:rPr>
          <w:lang w:val="en-US"/>
        </w:rPr>
        <w:t xml:space="preserve">stresses that the main goal of a fiscal union is </w:t>
      </w:r>
      <w:r>
        <w:rPr>
          <w:lang w:val="en-US"/>
        </w:rPr>
        <w:t>“</w:t>
      </w:r>
      <w:r w:rsidR="00162829" w:rsidRPr="00162829">
        <w:rPr>
          <w:lang w:val="en-US"/>
        </w:rPr>
        <w:t>to prevent unsustainable fiscal behavior at the local level from exerting negative</w:t>
      </w:r>
      <w:r>
        <w:rPr>
          <w:lang w:val="en-US"/>
        </w:rPr>
        <w:t xml:space="preserve"> effects over the entire union”</w:t>
      </w:r>
      <w:r w:rsidR="00162829" w:rsidRPr="00162829">
        <w:rPr>
          <w:lang w:val="en-US"/>
        </w:rPr>
        <w:t xml:space="preserve">, an idea also included in the following condition from the IMF's proposal. </w:t>
      </w:r>
    </w:p>
    <w:p w:rsidR="00162829" w:rsidRPr="00E9287D" w:rsidRDefault="00E9287D" w:rsidP="00F22617">
      <w:pPr>
        <w:jc w:val="both"/>
        <w:rPr>
          <w:b/>
          <w:lang w:val="en-US"/>
        </w:rPr>
      </w:pPr>
      <w:r w:rsidRPr="00E9287D">
        <w:rPr>
          <w:b/>
          <w:lang w:val="en-US"/>
        </w:rPr>
        <w:t>2.1.3</w:t>
      </w:r>
      <w:r>
        <w:rPr>
          <w:b/>
          <w:lang w:val="en-US"/>
        </w:rPr>
        <w:t>.</w:t>
      </w:r>
      <w:r w:rsidRPr="00E9287D">
        <w:rPr>
          <w:b/>
          <w:lang w:val="en-US"/>
        </w:rPr>
        <w:t xml:space="preserve">    Enforceme</w:t>
      </w:r>
      <w:r>
        <w:rPr>
          <w:b/>
          <w:lang w:val="en-US"/>
        </w:rPr>
        <w:t>nt</w:t>
      </w:r>
    </w:p>
    <w:p w:rsidR="00162829" w:rsidRPr="00162829" w:rsidRDefault="00162829" w:rsidP="00F22617">
      <w:pPr>
        <w:jc w:val="both"/>
        <w:rPr>
          <w:lang w:val="en-US"/>
        </w:rPr>
      </w:pPr>
      <w:r w:rsidRPr="00162829">
        <w:rPr>
          <w:lang w:val="en-US"/>
        </w:rPr>
        <w:t xml:space="preserve">It would be necessary to increase the involvement of central authorities in fiscal decisions to make </w:t>
      </w:r>
      <w:r w:rsidR="005D4C62">
        <w:rPr>
          <w:lang w:val="en-US"/>
        </w:rPr>
        <w:t>its</w:t>
      </w:r>
      <w:r w:rsidRPr="00162829">
        <w:rPr>
          <w:lang w:val="en-US"/>
        </w:rPr>
        <w:t xml:space="preserve"> design more homogeneous. Deeper relation between national and central aut</w:t>
      </w:r>
      <w:r w:rsidR="00E9287D">
        <w:rPr>
          <w:lang w:val="en-US"/>
        </w:rPr>
        <w:t>horities could take three forms</w:t>
      </w:r>
      <w:r w:rsidR="00F22617">
        <w:rPr>
          <w:lang w:val="en-US"/>
        </w:rPr>
        <w:t>:</w:t>
      </w:r>
    </w:p>
    <w:p w:rsidR="00E9287D" w:rsidRDefault="00162829" w:rsidP="005D4C62">
      <w:pPr>
        <w:pStyle w:val="Prrafodelista"/>
        <w:numPr>
          <w:ilvl w:val="0"/>
          <w:numId w:val="5"/>
        </w:numPr>
        <w:jc w:val="both"/>
        <w:rPr>
          <w:lang w:val="en-US"/>
        </w:rPr>
      </w:pPr>
      <w:r w:rsidRPr="00E9287D">
        <w:rPr>
          <w:lang w:val="en-US"/>
        </w:rPr>
        <w:t xml:space="preserve">Since fiscal rules are expected to be part of national legal bodies, non-compliance could also be prosecuted at domestic courts. </w:t>
      </w:r>
      <w:r w:rsidR="005D4C62" w:rsidRPr="00E9287D">
        <w:rPr>
          <w:lang w:val="en-US"/>
        </w:rPr>
        <w:t>In addition</w:t>
      </w:r>
      <w:r w:rsidRPr="00E9287D">
        <w:rPr>
          <w:lang w:val="en-US"/>
        </w:rPr>
        <w:t xml:space="preserve">, as the IMF points, </w:t>
      </w:r>
      <w:r w:rsidR="005D4C62">
        <w:rPr>
          <w:lang w:val="en-US"/>
        </w:rPr>
        <w:t>“</w:t>
      </w:r>
      <w:r w:rsidRPr="00E9287D">
        <w:rPr>
          <w:lang w:val="en-US"/>
        </w:rPr>
        <w:t>EU court jurisdiction over national domestic rules could also be considered</w:t>
      </w:r>
      <w:r w:rsidR="005D4C62">
        <w:rPr>
          <w:lang w:val="en-US"/>
        </w:rPr>
        <w:t>”</w:t>
      </w:r>
      <w:r w:rsidRPr="00E9287D">
        <w:rPr>
          <w:lang w:val="en-US"/>
        </w:rPr>
        <w:t>. In all cases, changes</w:t>
      </w:r>
      <w:r w:rsidR="005D4C62">
        <w:rPr>
          <w:lang w:val="en-US"/>
        </w:rPr>
        <w:t xml:space="preserve"> in treaties would be necessary, which</w:t>
      </w:r>
      <w:r w:rsidRPr="00E9287D">
        <w:rPr>
          <w:lang w:val="en-US"/>
        </w:rPr>
        <w:t xml:space="preserve"> makes thi</w:t>
      </w:r>
      <w:r w:rsidR="00FA0F6E">
        <w:rPr>
          <w:lang w:val="en-US"/>
        </w:rPr>
        <w:t>s possibility hard to implement.</w:t>
      </w:r>
    </w:p>
    <w:p w:rsidR="00FA0F6E" w:rsidRPr="00FA0F6E" w:rsidRDefault="00FA0F6E" w:rsidP="00FA0F6E">
      <w:pPr>
        <w:jc w:val="both"/>
        <w:rPr>
          <w:lang w:val="en-US"/>
        </w:rPr>
      </w:pPr>
    </w:p>
    <w:p w:rsidR="005D4C62" w:rsidRPr="000E592B" w:rsidRDefault="00162829" w:rsidP="005D4C62">
      <w:pPr>
        <w:pStyle w:val="Prrafodelista"/>
        <w:numPr>
          <w:ilvl w:val="0"/>
          <w:numId w:val="5"/>
        </w:numPr>
        <w:jc w:val="both"/>
        <w:rPr>
          <w:lang w:val="en-US"/>
        </w:rPr>
      </w:pPr>
      <w:r w:rsidRPr="00E9287D">
        <w:rPr>
          <w:lang w:val="en-US"/>
        </w:rPr>
        <w:lastRenderedPageBreak/>
        <w:t xml:space="preserve">The existence of a central budget would make enforcement easier to </w:t>
      </w:r>
      <w:r w:rsidR="00FA0F6E">
        <w:rPr>
          <w:lang w:val="en-US"/>
        </w:rPr>
        <w:t>achieve</w:t>
      </w:r>
      <w:r w:rsidRPr="00E9287D">
        <w:rPr>
          <w:lang w:val="en-US"/>
        </w:rPr>
        <w:t xml:space="preserve">. Let's suppose that </w:t>
      </w:r>
      <w:r w:rsidR="005D4C62">
        <w:rPr>
          <w:lang w:val="en-US"/>
        </w:rPr>
        <w:t>a given country</w:t>
      </w:r>
      <w:r w:rsidRPr="00E9287D">
        <w:rPr>
          <w:lang w:val="en-US"/>
        </w:rPr>
        <w:t xml:space="preserve"> does not fulfill some of the fiscal targets that have been agreed or that have been imposed from the center. In that case, it could be possible to reduce transfers until compliance with the established </w:t>
      </w:r>
      <w:r w:rsidR="005D4C62">
        <w:rPr>
          <w:lang w:val="en-US"/>
        </w:rPr>
        <w:t>goals</w:t>
      </w:r>
      <w:r w:rsidRPr="00E9287D">
        <w:rPr>
          <w:lang w:val="en-US"/>
        </w:rPr>
        <w:t xml:space="preserve">. </w:t>
      </w:r>
    </w:p>
    <w:p w:rsidR="00E9287D" w:rsidRPr="00E9287D" w:rsidRDefault="00162829" w:rsidP="00F22617">
      <w:pPr>
        <w:pStyle w:val="Prrafodelista"/>
        <w:numPr>
          <w:ilvl w:val="0"/>
          <w:numId w:val="5"/>
        </w:numPr>
        <w:jc w:val="both"/>
        <w:rPr>
          <w:lang w:val="en-US"/>
        </w:rPr>
      </w:pPr>
      <w:r w:rsidRPr="00E9287D">
        <w:rPr>
          <w:lang w:val="en-US"/>
        </w:rPr>
        <w:t xml:space="preserve">A veto power from the center is an alternative that would allow a common fiscal authority to revise and to overrule domestic budgets when they do not fulfill fiscal targets or agreements. This mechanism would probably be the most effective one, but it would require from member estates to previously give up a big part of its sovereignty, which is </w:t>
      </w:r>
      <w:r w:rsidR="005D4C62">
        <w:rPr>
          <w:lang w:val="en-US"/>
        </w:rPr>
        <w:t>unlikely</w:t>
      </w:r>
      <w:r w:rsidRPr="00E9287D">
        <w:rPr>
          <w:lang w:val="en-US"/>
        </w:rPr>
        <w:t xml:space="preserve"> under current political circumstances. </w:t>
      </w:r>
    </w:p>
    <w:p w:rsidR="00E9287D" w:rsidRPr="00E9287D" w:rsidRDefault="00E9287D" w:rsidP="00F22617">
      <w:pPr>
        <w:pStyle w:val="Prrafodelista"/>
        <w:ind w:left="360"/>
        <w:jc w:val="both"/>
        <w:rPr>
          <w:lang w:val="en-US"/>
        </w:rPr>
      </w:pPr>
    </w:p>
    <w:p w:rsidR="00162829" w:rsidRPr="00E9287D" w:rsidRDefault="00E9287D" w:rsidP="00F22617">
      <w:pPr>
        <w:pStyle w:val="Prrafodelista"/>
        <w:numPr>
          <w:ilvl w:val="2"/>
          <w:numId w:val="6"/>
        </w:numPr>
        <w:jc w:val="both"/>
        <w:rPr>
          <w:b/>
          <w:lang w:val="en-US"/>
        </w:rPr>
      </w:pPr>
      <w:r w:rsidRPr="00E9287D">
        <w:rPr>
          <w:b/>
          <w:lang w:val="en-US"/>
        </w:rPr>
        <w:t>Fiscal transfers mechanism</w:t>
      </w:r>
    </w:p>
    <w:p w:rsidR="00E9287D" w:rsidRPr="005D4C62" w:rsidRDefault="00162829" w:rsidP="005D4C62">
      <w:pPr>
        <w:jc w:val="both"/>
        <w:rPr>
          <w:lang w:val="en-US"/>
        </w:rPr>
      </w:pPr>
      <w:r w:rsidRPr="00162829">
        <w:rPr>
          <w:lang w:val="en-US"/>
        </w:rPr>
        <w:t xml:space="preserve">According to </w:t>
      </w:r>
      <w:r w:rsidR="005D4C62">
        <w:rPr>
          <w:lang w:val="en-US"/>
        </w:rPr>
        <w:t>Mundell (1961)</w:t>
      </w:r>
      <w:r w:rsidRPr="00162829">
        <w:rPr>
          <w:lang w:val="en-US"/>
        </w:rPr>
        <w:t xml:space="preserve">, currency unions need fiscal transfers as a way to protect countries suffering from asymmetric shocks. </w:t>
      </w:r>
      <w:r w:rsidR="00025981">
        <w:rPr>
          <w:lang w:val="en-US"/>
        </w:rPr>
        <w:t>Following</w:t>
      </w:r>
      <w:r w:rsidR="005D4C62">
        <w:rPr>
          <w:lang w:val="en-US"/>
        </w:rPr>
        <w:t xml:space="preserve"> </w:t>
      </w:r>
      <w:r w:rsidR="005D4C62" w:rsidRPr="005D4C62">
        <w:rPr>
          <w:lang w:val="en-US"/>
        </w:rPr>
        <w:t>Allard et al. (2013)</w:t>
      </w:r>
      <w:r w:rsidR="00E9287D">
        <w:rPr>
          <w:lang w:val="en-US"/>
        </w:rPr>
        <w:t>, there are thr</w:t>
      </w:r>
      <w:r w:rsidR="005D4C62">
        <w:rPr>
          <w:lang w:val="en-US"/>
        </w:rPr>
        <w:t xml:space="preserve">ee ways </w:t>
      </w:r>
      <w:r w:rsidR="00025981">
        <w:rPr>
          <w:lang w:val="en-US"/>
        </w:rPr>
        <w:t>to achieve</w:t>
      </w:r>
      <w:r w:rsidR="005D4C62">
        <w:rPr>
          <w:lang w:val="en-US"/>
        </w:rPr>
        <w:t xml:space="preserve"> this goal. First, t</w:t>
      </w:r>
      <w:r w:rsidRPr="005D4C62">
        <w:rPr>
          <w:lang w:val="en-US"/>
        </w:rPr>
        <w:t xml:space="preserve">he creation of a </w:t>
      </w:r>
      <w:r w:rsidR="005D4C62">
        <w:rPr>
          <w:lang w:val="en-US"/>
        </w:rPr>
        <w:t>“</w:t>
      </w:r>
      <w:r w:rsidRPr="005D4C62">
        <w:rPr>
          <w:lang w:val="en-US"/>
        </w:rPr>
        <w:t>rainy-day fund</w:t>
      </w:r>
      <w:r w:rsidR="005D4C62">
        <w:rPr>
          <w:lang w:val="en-US"/>
        </w:rPr>
        <w:t>”</w:t>
      </w:r>
      <w:r w:rsidRPr="005D4C62">
        <w:rPr>
          <w:lang w:val="en-US"/>
        </w:rPr>
        <w:t xml:space="preserve"> as the one </w:t>
      </w:r>
      <w:r w:rsidR="00025981">
        <w:rPr>
          <w:lang w:val="en-US"/>
        </w:rPr>
        <w:t>contained</w:t>
      </w:r>
      <w:r w:rsidRPr="005D4C62">
        <w:rPr>
          <w:lang w:val="en-US"/>
        </w:rPr>
        <w:t xml:space="preserve"> in </w:t>
      </w:r>
      <w:r w:rsidR="005D4C62" w:rsidRPr="005D4C62">
        <w:rPr>
          <w:lang w:val="en-US"/>
        </w:rPr>
        <w:t>Padoa-Schioppa (2012)</w:t>
      </w:r>
      <w:r w:rsidRPr="005D4C62">
        <w:rPr>
          <w:lang w:val="en-US"/>
        </w:rPr>
        <w:t xml:space="preserve">. The fund would collect revenues from Eurozone countries and make transfers to those economies affected by an asymmetric shock. It would provide an ex ante support and a </w:t>
      </w:r>
      <w:r w:rsidR="00286B7F" w:rsidRPr="005D4C62">
        <w:rPr>
          <w:lang w:val="en-US"/>
        </w:rPr>
        <w:t>cross-country</w:t>
      </w:r>
      <w:r w:rsidRPr="005D4C62">
        <w:rPr>
          <w:lang w:val="en-US"/>
        </w:rPr>
        <w:t xml:space="preserve"> insurance without the need of establishing new institutions, </w:t>
      </w:r>
      <w:r w:rsidR="00286B7F">
        <w:rPr>
          <w:lang w:val="en-US"/>
        </w:rPr>
        <w:t xml:space="preserve">which could reduce </w:t>
      </w:r>
      <w:r w:rsidRPr="005D4C62">
        <w:rPr>
          <w:lang w:val="en-US"/>
        </w:rPr>
        <w:t xml:space="preserve">the political cost of it. </w:t>
      </w:r>
    </w:p>
    <w:p w:rsidR="00E9287D" w:rsidRPr="005D4C62" w:rsidRDefault="005D4C62" w:rsidP="005D4C62">
      <w:pPr>
        <w:jc w:val="both"/>
        <w:rPr>
          <w:lang w:val="en-US"/>
        </w:rPr>
      </w:pPr>
      <w:r>
        <w:rPr>
          <w:lang w:val="en-US"/>
        </w:rPr>
        <w:t>Second, a</w:t>
      </w:r>
      <w:r w:rsidR="00162829" w:rsidRPr="005D4C62">
        <w:rPr>
          <w:lang w:val="en-US"/>
        </w:rPr>
        <w:t xml:space="preserve"> common unemployment insurance</w:t>
      </w:r>
      <w:r>
        <w:rPr>
          <w:lang w:val="en-US"/>
        </w:rPr>
        <w:t>. It</w:t>
      </w:r>
      <w:r w:rsidR="00162829" w:rsidRPr="005D4C62">
        <w:rPr>
          <w:lang w:val="en-US"/>
        </w:rPr>
        <w:t xml:space="preserve"> would be a </w:t>
      </w:r>
      <w:r w:rsidRPr="005D4C62">
        <w:rPr>
          <w:lang w:val="en-US"/>
        </w:rPr>
        <w:t>socially acceptable</w:t>
      </w:r>
      <w:r w:rsidR="00162829" w:rsidRPr="005D4C62">
        <w:rPr>
          <w:lang w:val="en-US"/>
        </w:rPr>
        <w:t xml:space="preserve"> way for deeper risk and fiscal sharing in the Eurozone. </w:t>
      </w:r>
      <w:r w:rsidR="00E9287D" w:rsidRPr="005D4C62">
        <w:rPr>
          <w:lang w:val="en-US"/>
        </w:rPr>
        <w:t>A</w:t>
      </w:r>
      <w:r w:rsidR="00162829" w:rsidRPr="005D4C62">
        <w:rPr>
          <w:lang w:val="en-US"/>
        </w:rPr>
        <w:t xml:space="preserve"> common unemployment insurance would require</w:t>
      </w:r>
      <w:r w:rsidR="00E9287D" w:rsidRPr="005D4C62">
        <w:rPr>
          <w:lang w:val="en-US"/>
        </w:rPr>
        <w:t xml:space="preserve"> of</w:t>
      </w:r>
      <w:r w:rsidR="00162829" w:rsidRPr="005D4C62">
        <w:rPr>
          <w:lang w:val="en-US"/>
        </w:rPr>
        <w:t xml:space="preserve"> </w:t>
      </w:r>
      <w:r>
        <w:rPr>
          <w:lang w:val="en-US"/>
        </w:rPr>
        <w:t>a higher</w:t>
      </w:r>
      <w:r w:rsidR="00162829" w:rsidRPr="005D4C62">
        <w:rPr>
          <w:lang w:val="en-US"/>
        </w:rPr>
        <w:t xml:space="preserve"> degree of legal harmonization on labor market policies and the overcoming of some technical difficulties; the fund would probably need to be focused on short-term unemployment, given the huge heterogeneity that the Eurozone experiences on long-term rates. </w:t>
      </w:r>
    </w:p>
    <w:p w:rsidR="00162829" w:rsidRPr="005D4C62" w:rsidRDefault="005D4C62" w:rsidP="005D4C62">
      <w:pPr>
        <w:jc w:val="both"/>
        <w:rPr>
          <w:lang w:val="en-US"/>
        </w:rPr>
      </w:pPr>
      <w:r>
        <w:rPr>
          <w:lang w:val="en-US"/>
        </w:rPr>
        <w:t>Finally, t</w:t>
      </w:r>
      <w:r w:rsidR="00162829" w:rsidRPr="005D4C62">
        <w:rPr>
          <w:lang w:val="en-US"/>
        </w:rPr>
        <w:t xml:space="preserve">he deepest way of fiscal risk sharing would be the implementation of a common budget for all Eurozone countries. Risk sharing would come from the expenditure and </w:t>
      </w:r>
      <w:r w:rsidR="00286B7F">
        <w:rPr>
          <w:lang w:val="en-US"/>
        </w:rPr>
        <w:t>from</w:t>
      </w:r>
      <w:r w:rsidR="00162829" w:rsidRPr="005D4C62">
        <w:rPr>
          <w:lang w:val="en-US"/>
        </w:rPr>
        <w:t xml:space="preserve"> the revenue sides at the same time. The high degree of risk sharing that this alternative requires</w:t>
      </w:r>
      <w:r w:rsidR="00286B7F">
        <w:rPr>
          <w:lang w:val="en-US"/>
        </w:rPr>
        <w:t xml:space="preserve"> from</w:t>
      </w:r>
      <w:r w:rsidR="00162829" w:rsidRPr="005D4C62">
        <w:rPr>
          <w:lang w:val="en-US"/>
        </w:rPr>
        <w:t xml:space="preserve"> should generate a deeper involvement in the responsibilities attached to the budget management. Coordination would be easier and the impact on Eurozone's economy would be potentially higher. </w:t>
      </w:r>
    </w:p>
    <w:p w:rsidR="005D4C62" w:rsidRDefault="00162829" w:rsidP="005D4C62">
      <w:pPr>
        <w:jc w:val="both"/>
        <w:rPr>
          <w:lang w:val="en-US"/>
        </w:rPr>
      </w:pPr>
      <w:r w:rsidRPr="00162829">
        <w:rPr>
          <w:lang w:val="en-US"/>
        </w:rPr>
        <w:t xml:space="preserve">There would be two additional </w:t>
      </w:r>
      <w:r w:rsidR="005D4C62">
        <w:rPr>
          <w:lang w:val="en-US"/>
        </w:rPr>
        <w:t>strategies</w:t>
      </w:r>
      <w:r w:rsidRPr="00162829">
        <w:rPr>
          <w:lang w:val="en-US"/>
        </w:rPr>
        <w:t xml:space="preserve"> to make fiscal risk sharing possible in the Eurozone. The first one would be a single resolution mechanism covering all financial systems in the Eurozone capable to disentangle the relationship between sovereign debt and financial institutions. This backstop would be funded both from national governments and from the industry. This possibility goes beyond the scope of this paper since it has a strong connection with the banking union proposals and it should be a</w:t>
      </w:r>
      <w:r w:rsidR="00E9287D">
        <w:rPr>
          <w:lang w:val="en-US"/>
        </w:rPr>
        <w:t xml:space="preserve">ddressed separately. </w:t>
      </w:r>
      <w:r w:rsidRPr="00162829">
        <w:rPr>
          <w:lang w:val="en-US"/>
        </w:rPr>
        <w:t>The second one would be borrowing from</w:t>
      </w:r>
      <w:r w:rsidR="005D4C62">
        <w:rPr>
          <w:lang w:val="en-US"/>
        </w:rPr>
        <w:t xml:space="preserve"> the center. This is an option t</w:t>
      </w:r>
      <w:r w:rsidRPr="00162829">
        <w:rPr>
          <w:lang w:val="en-US"/>
        </w:rPr>
        <w:t>hat will be analyzed in the following pages. Debt issuance from the center, as has been previously pointed, would require from an adequate governance</w:t>
      </w:r>
      <w:r w:rsidR="00FA0F6E">
        <w:rPr>
          <w:lang w:val="en-US"/>
        </w:rPr>
        <w:t>,</w:t>
      </w:r>
      <w:r w:rsidRPr="00162829">
        <w:rPr>
          <w:lang w:val="en-US"/>
        </w:rPr>
        <w:t xml:space="preserve"> </w:t>
      </w:r>
      <w:r w:rsidR="00FA0F6E">
        <w:rPr>
          <w:lang w:val="en-US"/>
        </w:rPr>
        <w:t>as well as a high degree of social and political support.</w:t>
      </w:r>
      <w:r w:rsidRPr="00162829">
        <w:rPr>
          <w:lang w:val="en-US"/>
        </w:rPr>
        <w:t xml:space="preserve"> </w:t>
      </w:r>
    </w:p>
    <w:p w:rsidR="00162829" w:rsidRPr="00F22617" w:rsidRDefault="005D4C62" w:rsidP="005D4C62">
      <w:pPr>
        <w:jc w:val="both"/>
        <w:rPr>
          <w:b/>
          <w:lang w:val="en-US"/>
        </w:rPr>
      </w:pPr>
      <w:r>
        <w:rPr>
          <w:b/>
          <w:lang w:val="en-US"/>
        </w:rPr>
        <w:t xml:space="preserve">2.2    </w:t>
      </w:r>
      <w:r w:rsidR="00F22617" w:rsidRPr="00F22617">
        <w:rPr>
          <w:b/>
          <w:lang w:val="en-US"/>
        </w:rPr>
        <w:t>Eurobonds: the next step</w:t>
      </w:r>
    </w:p>
    <w:p w:rsidR="005D4C62" w:rsidRDefault="00162829" w:rsidP="00F22617">
      <w:pPr>
        <w:jc w:val="both"/>
        <w:rPr>
          <w:lang w:val="en-US"/>
        </w:rPr>
      </w:pPr>
      <w:r w:rsidRPr="00162829">
        <w:rPr>
          <w:lang w:val="en-US"/>
        </w:rPr>
        <w:t>From the theoretical point of view, borrowing at the center would be an option not necessar</w:t>
      </w:r>
      <w:r w:rsidR="005D4C62">
        <w:rPr>
          <w:lang w:val="en-US"/>
        </w:rPr>
        <w:t>il</w:t>
      </w:r>
      <w:r w:rsidRPr="00162829">
        <w:rPr>
          <w:lang w:val="en-US"/>
        </w:rPr>
        <w:t xml:space="preserve">y proceeded by the existence of some degree of fiscal risk sharing. </w:t>
      </w:r>
      <w:r w:rsidR="00F22617">
        <w:rPr>
          <w:lang w:val="en-US"/>
        </w:rPr>
        <w:t>Nevertheless, a</w:t>
      </w:r>
      <w:r w:rsidRPr="00162829">
        <w:rPr>
          <w:lang w:val="en-US"/>
        </w:rPr>
        <w:t xml:space="preserve"> fiscal union, in any of the forms previously described</w:t>
      </w:r>
      <w:r w:rsidR="00FA0F6E">
        <w:rPr>
          <w:lang w:val="en-US"/>
        </w:rPr>
        <w:t>,</w:t>
      </w:r>
      <w:r w:rsidRPr="00162829">
        <w:rPr>
          <w:lang w:val="en-US"/>
        </w:rPr>
        <w:t xml:space="preserve"> would be a good test for the political and social willingness of</w:t>
      </w:r>
      <w:r w:rsidR="005D4C62">
        <w:rPr>
          <w:lang w:val="en-US"/>
        </w:rPr>
        <w:t xml:space="preserve"> deeper political and economic</w:t>
      </w:r>
      <w:r w:rsidRPr="00162829">
        <w:rPr>
          <w:lang w:val="en-US"/>
        </w:rPr>
        <w:t xml:space="preserve"> integration</w:t>
      </w:r>
      <w:r w:rsidR="005D4C62">
        <w:rPr>
          <w:lang w:val="en-US"/>
        </w:rPr>
        <w:t>;</w:t>
      </w:r>
      <w:r w:rsidRPr="00162829">
        <w:rPr>
          <w:lang w:val="en-US"/>
        </w:rPr>
        <w:t xml:space="preserve"> some of the technical difficulties that would arise from common debt issuance could be solved ex ante</w:t>
      </w:r>
      <w:r w:rsidR="00F22617">
        <w:rPr>
          <w:lang w:val="en-US"/>
        </w:rPr>
        <w:t>.</w:t>
      </w:r>
    </w:p>
    <w:p w:rsidR="00162829" w:rsidRPr="00162829" w:rsidRDefault="00162829" w:rsidP="005D4C62">
      <w:pPr>
        <w:jc w:val="both"/>
        <w:rPr>
          <w:lang w:val="en-US"/>
        </w:rPr>
      </w:pPr>
      <w:r w:rsidRPr="00162829">
        <w:rPr>
          <w:lang w:val="en-US"/>
        </w:rPr>
        <w:lastRenderedPageBreak/>
        <w:t xml:space="preserve">Given the fact that the European Stability Mechanism (ESM) issues bonds with a guarantee proportional to each estate participation on the capital of the ECB, some form of Eurobonds already exist. There is not, however, a joint guarantee. </w:t>
      </w:r>
      <w:r w:rsidR="005D4C62">
        <w:rPr>
          <w:lang w:val="en-US"/>
        </w:rPr>
        <w:t xml:space="preserve">De la Dehesa </w:t>
      </w:r>
      <w:r w:rsidR="005D4C62" w:rsidRPr="005D4C62">
        <w:rPr>
          <w:lang w:val="en-US"/>
        </w:rPr>
        <w:t>(2011)</w:t>
      </w:r>
      <w:r w:rsidR="005D4C62">
        <w:rPr>
          <w:lang w:val="en-US"/>
        </w:rPr>
        <w:t xml:space="preserve"> grouped the main proposals contained in the literature in a briefing n</w:t>
      </w:r>
      <w:r w:rsidRPr="00162829">
        <w:rPr>
          <w:lang w:val="en-US"/>
        </w:rPr>
        <w:t xml:space="preserve">ote published by the European Parliament. According to his view, there are four different proposals for common debt issuance in the Eurozone. Two other alternatives will also be included in this section: the ones from </w:t>
      </w:r>
      <w:r w:rsidR="005D4C62">
        <w:rPr>
          <w:lang w:val="en-US"/>
        </w:rPr>
        <w:t xml:space="preserve">di Mauro </w:t>
      </w:r>
      <w:r w:rsidR="005D4C62" w:rsidRPr="005D4C62">
        <w:rPr>
          <w:lang w:val="en-US"/>
        </w:rPr>
        <w:t>(2011) and Brunnermeier et al. (2016)</w:t>
      </w:r>
      <w:r w:rsidR="00F22617">
        <w:rPr>
          <w:lang w:val="en-US"/>
        </w:rPr>
        <w:t>.</w:t>
      </w:r>
    </w:p>
    <w:p w:rsidR="00162829" w:rsidRPr="00162829" w:rsidRDefault="00F22617" w:rsidP="00F22617">
      <w:pPr>
        <w:jc w:val="both"/>
        <w:rPr>
          <w:lang w:val="en-US"/>
        </w:rPr>
      </w:pPr>
      <w:r>
        <w:rPr>
          <w:b/>
          <w:lang w:val="en-US"/>
        </w:rPr>
        <w:t xml:space="preserve">2.2.1.     </w:t>
      </w:r>
      <w:r w:rsidRPr="00F22617">
        <w:rPr>
          <w:b/>
          <w:lang w:val="en-US"/>
        </w:rPr>
        <w:t>The Gros / Micossi Proposal</w:t>
      </w:r>
    </w:p>
    <w:p w:rsidR="005D4C62" w:rsidRPr="00162829" w:rsidRDefault="00162829" w:rsidP="00F22617">
      <w:pPr>
        <w:jc w:val="both"/>
        <w:rPr>
          <w:lang w:val="en-US"/>
        </w:rPr>
      </w:pPr>
      <w:r w:rsidRPr="00162829">
        <w:rPr>
          <w:lang w:val="en-US"/>
        </w:rPr>
        <w:t>Since the financial crisis bust in 2008, economic agents developed a strong preference towards public debt</w:t>
      </w:r>
      <w:r w:rsidR="00CC223B">
        <w:rPr>
          <w:lang w:val="en-US"/>
        </w:rPr>
        <w:t xml:space="preserve">. </w:t>
      </w:r>
      <w:r w:rsidR="00CC223B" w:rsidRPr="00CC223B">
        <w:rPr>
          <w:lang w:val="en-US"/>
        </w:rPr>
        <w:t>Gros and Micossi (2008)</w:t>
      </w:r>
      <w:r w:rsidRPr="00162829">
        <w:rPr>
          <w:lang w:val="en-US"/>
        </w:rPr>
        <w:t xml:space="preserve"> proposed the creation of a European fund as an answer to American Troubled Assets Relief Prog</w:t>
      </w:r>
      <w:r w:rsidR="00F22617">
        <w:rPr>
          <w:lang w:val="en-US"/>
        </w:rPr>
        <w:t xml:space="preserve">ram (TARP). </w:t>
      </w:r>
      <w:r w:rsidRPr="00162829">
        <w:rPr>
          <w:lang w:val="en-US"/>
        </w:rPr>
        <w:t xml:space="preserve">This fund would issue bonds with the explicit guarantee of all Eurozone </w:t>
      </w:r>
      <w:r w:rsidR="00286B7F">
        <w:rPr>
          <w:lang w:val="en-US"/>
        </w:rPr>
        <w:t>member states. According to Gro</w:t>
      </w:r>
      <w:r w:rsidRPr="00162829">
        <w:rPr>
          <w:lang w:val="en-US"/>
        </w:rPr>
        <w:t xml:space="preserve">s and Micossi, the fund would be operative only during a limited time; as long as there was demand for this newly created instrument. </w:t>
      </w:r>
    </w:p>
    <w:p w:rsidR="00F22617" w:rsidRPr="00162829" w:rsidRDefault="00162829" w:rsidP="00F22617">
      <w:pPr>
        <w:jc w:val="both"/>
        <w:rPr>
          <w:lang w:val="en-US"/>
        </w:rPr>
      </w:pPr>
      <w:r w:rsidRPr="00162829">
        <w:rPr>
          <w:lang w:val="en-US"/>
        </w:rPr>
        <w:t>From the moral hazard point of view, this proposal does not necessarily imply that stronger states would have to cover for the mistakes of others</w:t>
      </w:r>
      <w:r w:rsidR="00FA0F6E">
        <w:rPr>
          <w:lang w:val="en-US"/>
        </w:rPr>
        <w:t>,</w:t>
      </w:r>
      <w:r w:rsidRPr="00162829">
        <w:rPr>
          <w:lang w:val="en-US"/>
        </w:rPr>
        <w:t xml:space="preserve"> since losses could be distributed according to each case. This is one of the reasons that explains the interest </w:t>
      </w:r>
      <w:r w:rsidR="005D4C62">
        <w:rPr>
          <w:lang w:val="en-US"/>
        </w:rPr>
        <w:t>of</w:t>
      </w:r>
      <w:r w:rsidRPr="00162829">
        <w:rPr>
          <w:lang w:val="en-US"/>
        </w:rPr>
        <w:t xml:space="preserve"> core Eurozone count</w:t>
      </w:r>
      <w:r w:rsidR="00F22617">
        <w:rPr>
          <w:lang w:val="en-US"/>
        </w:rPr>
        <w:t xml:space="preserve">ries on this mechanism. </w:t>
      </w:r>
      <w:r w:rsidR="005D4C62">
        <w:rPr>
          <w:lang w:val="en-US"/>
        </w:rPr>
        <w:t xml:space="preserve"> </w:t>
      </w:r>
      <w:r w:rsidR="00286B7F">
        <w:rPr>
          <w:lang w:val="en-US"/>
        </w:rPr>
        <w:t>Gro</w:t>
      </w:r>
      <w:r w:rsidRPr="00162829">
        <w:rPr>
          <w:lang w:val="en-US"/>
        </w:rPr>
        <w:t xml:space="preserve">s and Micossi proposal was partially adopted by European </w:t>
      </w:r>
      <w:r w:rsidR="005D4C62">
        <w:rPr>
          <w:lang w:val="en-US"/>
        </w:rPr>
        <w:t>authorities</w:t>
      </w:r>
      <w:r w:rsidRPr="00162829">
        <w:rPr>
          <w:lang w:val="en-US"/>
        </w:rPr>
        <w:t xml:space="preserve">. On </w:t>
      </w:r>
      <w:r w:rsidR="005D4C62" w:rsidRPr="00162829">
        <w:rPr>
          <w:lang w:val="en-US"/>
        </w:rPr>
        <w:t>May</w:t>
      </w:r>
      <w:r w:rsidRPr="00162829">
        <w:rPr>
          <w:lang w:val="en-US"/>
        </w:rPr>
        <w:t xml:space="preserve"> 24th 2010, the European Financial Stability Facility (EFSF) was officially created. The EFSF is authorized to borrow up to 440 billion euros, a similar amount that</w:t>
      </w:r>
      <w:r w:rsidR="00F22617">
        <w:rPr>
          <w:lang w:val="en-US"/>
        </w:rPr>
        <w:t xml:space="preserve"> the one </w:t>
      </w:r>
      <w:r w:rsidR="00286B7F">
        <w:rPr>
          <w:lang w:val="en-US"/>
        </w:rPr>
        <w:t xml:space="preserve">proposed </w:t>
      </w:r>
      <w:r w:rsidR="00F22617">
        <w:rPr>
          <w:lang w:val="en-US"/>
        </w:rPr>
        <w:t xml:space="preserve">by Gros and Micossi. </w:t>
      </w:r>
    </w:p>
    <w:p w:rsidR="00162829" w:rsidRPr="00162829" w:rsidRDefault="00F22617" w:rsidP="00F22617">
      <w:pPr>
        <w:jc w:val="both"/>
        <w:rPr>
          <w:lang w:val="en-US"/>
        </w:rPr>
      </w:pPr>
      <w:r>
        <w:rPr>
          <w:b/>
          <w:lang w:val="en-US"/>
        </w:rPr>
        <w:t xml:space="preserve">2.2.2.     </w:t>
      </w:r>
      <w:r w:rsidR="00162829" w:rsidRPr="00F22617">
        <w:rPr>
          <w:b/>
          <w:lang w:val="en-US"/>
        </w:rPr>
        <w:t>De Grauw</w:t>
      </w:r>
      <w:r w:rsidRPr="00F22617">
        <w:rPr>
          <w:b/>
          <w:lang w:val="en-US"/>
        </w:rPr>
        <w:t>e and Moesen: Market p</w:t>
      </w:r>
      <w:r>
        <w:rPr>
          <w:b/>
          <w:lang w:val="en-US"/>
        </w:rPr>
        <w:t>erception</w:t>
      </w:r>
    </w:p>
    <w:p w:rsidR="00162829" w:rsidRPr="00162829" w:rsidRDefault="00162829" w:rsidP="00F22617">
      <w:pPr>
        <w:jc w:val="both"/>
        <w:rPr>
          <w:lang w:val="en-US"/>
        </w:rPr>
      </w:pPr>
      <w:r w:rsidRPr="00162829">
        <w:rPr>
          <w:lang w:val="en-US"/>
        </w:rPr>
        <w:t xml:space="preserve">The increasing pressure on sovereign bond yields of the years 2009 and 2010 is behind </w:t>
      </w:r>
      <w:r w:rsidR="005D4C62" w:rsidRPr="005D4C62">
        <w:rPr>
          <w:lang w:val="en-US"/>
        </w:rPr>
        <w:t xml:space="preserve">De Grauwe and Moesen (2009) </w:t>
      </w:r>
      <w:r w:rsidRPr="00162829">
        <w:rPr>
          <w:lang w:val="en-US"/>
        </w:rPr>
        <w:t xml:space="preserve">proposal. The goal of their common debt issuance alternative was to reduce the </w:t>
      </w:r>
      <w:r w:rsidR="005D4C62">
        <w:rPr>
          <w:lang w:val="en-US"/>
        </w:rPr>
        <w:t>pressure</w:t>
      </w:r>
      <w:r w:rsidRPr="00162829">
        <w:rPr>
          <w:lang w:val="en-US"/>
        </w:rPr>
        <w:t xml:space="preserve"> that was affecting market perception on sovereign risk in the Eurozone. </w:t>
      </w:r>
      <w:r w:rsidR="000B69A5">
        <w:rPr>
          <w:lang w:val="en-US"/>
        </w:rPr>
        <w:t>T</w:t>
      </w:r>
      <w:r w:rsidRPr="00162829">
        <w:rPr>
          <w:lang w:val="en-US"/>
        </w:rPr>
        <w:t xml:space="preserve">hey expected to create enough fiscal space for public stimuli and to control the </w:t>
      </w:r>
      <w:r w:rsidR="00FA0F6E" w:rsidRPr="00162829">
        <w:rPr>
          <w:lang w:val="en-US"/>
        </w:rPr>
        <w:t>side effects</w:t>
      </w:r>
      <w:r w:rsidRPr="00162829">
        <w:rPr>
          <w:lang w:val="en-US"/>
        </w:rPr>
        <w:t xml:space="preserve"> generated by the reduction of sovereign debt qu</w:t>
      </w:r>
      <w:r w:rsidR="00F22617">
        <w:rPr>
          <w:lang w:val="en-US"/>
        </w:rPr>
        <w:t xml:space="preserve">ality in the financial system. </w:t>
      </w:r>
    </w:p>
    <w:p w:rsidR="000B69A5" w:rsidRDefault="00162829" w:rsidP="00F22617">
      <w:pPr>
        <w:jc w:val="both"/>
        <w:rPr>
          <w:lang w:val="en-US"/>
        </w:rPr>
      </w:pPr>
      <w:r w:rsidRPr="00162829">
        <w:rPr>
          <w:lang w:val="en-US"/>
        </w:rPr>
        <w:t xml:space="preserve">There would be two ways to achieve </w:t>
      </w:r>
      <w:r w:rsidR="000B69A5">
        <w:rPr>
          <w:lang w:val="en-US"/>
        </w:rPr>
        <w:t>this</w:t>
      </w:r>
      <w:r w:rsidRPr="00162829">
        <w:rPr>
          <w:lang w:val="en-US"/>
        </w:rPr>
        <w:t xml:space="preserve">: by opening the door to the ECB's intervention in sovereign debt markets or by implementing their Eurobonds proposal. </w:t>
      </w:r>
      <w:r w:rsidR="000B69A5">
        <w:rPr>
          <w:lang w:val="en-US"/>
        </w:rPr>
        <w:t>T</w:t>
      </w:r>
      <w:r w:rsidRPr="00162829">
        <w:rPr>
          <w:lang w:val="en-US"/>
        </w:rPr>
        <w:t xml:space="preserve">he institution </w:t>
      </w:r>
      <w:r w:rsidR="000B69A5">
        <w:rPr>
          <w:lang w:val="en-US"/>
        </w:rPr>
        <w:t xml:space="preserve">in charge of </w:t>
      </w:r>
      <w:r w:rsidRPr="00162829">
        <w:rPr>
          <w:lang w:val="en-US"/>
        </w:rPr>
        <w:t xml:space="preserve">public debt issuance would be the European Investment Bank (EIB) or, alternatively, national governments. </w:t>
      </w:r>
    </w:p>
    <w:p w:rsidR="00162829" w:rsidRDefault="00162829" w:rsidP="00F22617">
      <w:pPr>
        <w:jc w:val="both"/>
        <w:rPr>
          <w:lang w:val="en-US"/>
        </w:rPr>
      </w:pPr>
      <w:r w:rsidRPr="00162829">
        <w:rPr>
          <w:lang w:val="en-US"/>
        </w:rPr>
        <w:t xml:space="preserve">To fulfill its targets, debt issuance should satisfy </w:t>
      </w:r>
      <w:r w:rsidR="000B69A5">
        <w:rPr>
          <w:lang w:val="en-US"/>
        </w:rPr>
        <w:t>the following four conditions, a</w:t>
      </w:r>
      <w:r w:rsidRPr="00162829">
        <w:rPr>
          <w:lang w:val="en-US"/>
        </w:rPr>
        <w:t xml:space="preserve">s </w:t>
      </w:r>
      <w:r w:rsidR="000B69A5" w:rsidRPr="000B69A5">
        <w:rPr>
          <w:lang w:val="en-US"/>
        </w:rPr>
        <w:t xml:space="preserve">De la Dehesa (2011) </w:t>
      </w:r>
      <w:r w:rsidR="000B69A5">
        <w:rPr>
          <w:lang w:val="en-US"/>
        </w:rPr>
        <w:t>summarizes: “</w:t>
      </w:r>
      <w:r w:rsidRPr="00162829">
        <w:rPr>
          <w:lang w:val="en-US"/>
        </w:rPr>
        <w:t>first, each euro area government would participate in the issue on the basis of its equity shares in the EIB. Second, the coupon on the Eurobond would be a weighted average of the yields observed in each government bond market at the moment of the issue weighted also by their equity shares in the EIB. Third, the proceeds of the bonds would be channeled to each member government according to the same EIB share weights. Fourth, each government would pay the yearly interest rate on its part of the bond, using the same national interest rate used to compute the avera</w:t>
      </w:r>
      <w:r w:rsidR="00F22617">
        <w:rPr>
          <w:lang w:val="en-US"/>
        </w:rPr>
        <w:t>ge interest of the euro bond</w:t>
      </w:r>
      <w:r w:rsidR="000B69A5">
        <w:rPr>
          <w:lang w:val="en-US"/>
        </w:rPr>
        <w:t xml:space="preserve">”. </w:t>
      </w:r>
    </w:p>
    <w:p w:rsidR="000B69A5" w:rsidRDefault="000B69A5" w:rsidP="00F22617">
      <w:pPr>
        <w:jc w:val="both"/>
        <w:rPr>
          <w:lang w:val="en-US"/>
        </w:rPr>
      </w:pPr>
    </w:p>
    <w:p w:rsidR="000B69A5" w:rsidRDefault="000B69A5" w:rsidP="00F22617">
      <w:pPr>
        <w:jc w:val="both"/>
        <w:rPr>
          <w:lang w:val="en-US"/>
        </w:rPr>
      </w:pPr>
    </w:p>
    <w:p w:rsidR="00FA0F6E" w:rsidRPr="00162829" w:rsidRDefault="00FA0F6E" w:rsidP="00F22617">
      <w:pPr>
        <w:jc w:val="both"/>
        <w:rPr>
          <w:lang w:val="en-US"/>
        </w:rPr>
      </w:pPr>
    </w:p>
    <w:p w:rsidR="00162829" w:rsidRPr="00162829" w:rsidRDefault="00F22617" w:rsidP="00F22617">
      <w:pPr>
        <w:jc w:val="both"/>
        <w:rPr>
          <w:lang w:val="en-US"/>
        </w:rPr>
      </w:pPr>
      <w:r>
        <w:rPr>
          <w:b/>
          <w:lang w:val="en-US"/>
        </w:rPr>
        <w:lastRenderedPageBreak/>
        <w:t xml:space="preserve">2.2.3.      </w:t>
      </w:r>
      <w:r w:rsidR="00162829" w:rsidRPr="00F22617">
        <w:rPr>
          <w:b/>
          <w:lang w:val="en-US"/>
        </w:rPr>
        <w:t>Delpla and Von Weizsäcker: blue bond proposal</w:t>
      </w:r>
    </w:p>
    <w:p w:rsidR="00162829" w:rsidRPr="00162829" w:rsidRDefault="00162829" w:rsidP="00F22617">
      <w:pPr>
        <w:jc w:val="both"/>
        <w:rPr>
          <w:lang w:val="en-US"/>
        </w:rPr>
      </w:pPr>
      <w:r w:rsidRPr="00162829">
        <w:rPr>
          <w:lang w:val="en-US"/>
        </w:rPr>
        <w:t xml:space="preserve">According to </w:t>
      </w:r>
      <w:r w:rsidR="00CC223B" w:rsidRPr="00CC223B">
        <w:rPr>
          <w:lang w:val="en-US"/>
        </w:rPr>
        <w:t>Weizsacker and Delpla (2011)</w:t>
      </w:r>
      <w:r w:rsidR="00286B7F">
        <w:rPr>
          <w:lang w:val="en-US"/>
        </w:rPr>
        <w:t>,</w:t>
      </w:r>
      <w:r w:rsidRPr="00162829">
        <w:rPr>
          <w:lang w:val="en-US"/>
        </w:rPr>
        <w:t xml:space="preserve"> the only possible solution to the moral hazard problems </w:t>
      </w:r>
      <w:r w:rsidR="000B69A5">
        <w:rPr>
          <w:lang w:val="en-US"/>
        </w:rPr>
        <w:t>hidden</w:t>
      </w:r>
      <w:r w:rsidRPr="00162829">
        <w:rPr>
          <w:lang w:val="en-US"/>
        </w:rPr>
        <w:t xml:space="preserve"> in previous proposals </w:t>
      </w:r>
      <w:r w:rsidR="00FA0F6E">
        <w:rPr>
          <w:lang w:val="en-US"/>
        </w:rPr>
        <w:t>is</w:t>
      </w:r>
      <w:r w:rsidR="000B69A5">
        <w:rPr>
          <w:lang w:val="en-US"/>
        </w:rPr>
        <w:t xml:space="preserve"> be a double-tranche </w:t>
      </w:r>
      <w:r w:rsidRPr="00162829">
        <w:rPr>
          <w:lang w:val="en-US"/>
        </w:rPr>
        <w:t>European public debt</w:t>
      </w:r>
      <w:r w:rsidR="000B69A5">
        <w:rPr>
          <w:lang w:val="en-US"/>
        </w:rPr>
        <w:t xml:space="preserve"> asset</w:t>
      </w:r>
      <w:r w:rsidRPr="00162829">
        <w:rPr>
          <w:lang w:val="en-US"/>
        </w:rPr>
        <w:t xml:space="preserve">. </w:t>
      </w:r>
      <w:r w:rsidR="000B69A5">
        <w:rPr>
          <w:lang w:val="en-US"/>
        </w:rPr>
        <w:t>T</w:t>
      </w:r>
      <w:r w:rsidRPr="00162829">
        <w:rPr>
          <w:lang w:val="en-US"/>
        </w:rPr>
        <w:t>he senior tranche (blue bond) would be constructed by pooling 60 per cent of the national sovereign debt of the euro area member states, under joint liabil</w:t>
      </w:r>
      <w:r w:rsidR="00F22617">
        <w:rPr>
          <w:lang w:val="en-US"/>
        </w:rPr>
        <w:t xml:space="preserve">ity and common responsibility. </w:t>
      </w:r>
    </w:p>
    <w:p w:rsidR="00162829" w:rsidRPr="00162829" w:rsidRDefault="00162829" w:rsidP="00F22617">
      <w:pPr>
        <w:jc w:val="both"/>
        <w:rPr>
          <w:lang w:val="en-US"/>
        </w:rPr>
      </w:pPr>
      <w:r w:rsidRPr="00162829">
        <w:rPr>
          <w:lang w:val="en-US"/>
        </w:rPr>
        <w:t xml:space="preserve">The junior tranche (red bond) would be constructed with the public debt of member estates above 60 per cent of GDP. Interest would be higher and it would work as an incentive to reduce their leverage in order to enjoy the conditions granted on the senior tranche </w:t>
      </w:r>
      <w:r w:rsidR="00CC223B" w:rsidRPr="00CC223B">
        <w:rPr>
          <w:lang w:val="en-US"/>
        </w:rPr>
        <w:t>(Weizsacker and Delpla</w:t>
      </w:r>
      <w:r w:rsidR="00CC223B">
        <w:rPr>
          <w:lang w:val="en-US"/>
        </w:rPr>
        <w:t xml:space="preserve">, </w:t>
      </w:r>
      <w:r w:rsidR="00CC223B" w:rsidRPr="00CC223B">
        <w:rPr>
          <w:lang w:val="en-US"/>
        </w:rPr>
        <w:t>2011)</w:t>
      </w:r>
      <w:r w:rsidR="00F22617">
        <w:rPr>
          <w:lang w:val="en-US"/>
        </w:rPr>
        <w:t xml:space="preserve"> </w:t>
      </w:r>
    </w:p>
    <w:p w:rsidR="00F22617" w:rsidRPr="00162829" w:rsidRDefault="000B69A5" w:rsidP="00F22617">
      <w:pPr>
        <w:jc w:val="both"/>
        <w:rPr>
          <w:lang w:val="en-US"/>
        </w:rPr>
      </w:pPr>
      <w:r>
        <w:rPr>
          <w:lang w:val="en-US"/>
        </w:rPr>
        <w:t>This</w:t>
      </w:r>
      <w:r w:rsidR="00162829" w:rsidRPr="00162829">
        <w:rPr>
          <w:lang w:val="en-US"/>
        </w:rPr>
        <w:t xml:space="preserve"> proposal has several strong points. First, it splits responsibilities within the euro area, making the </w:t>
      </w:r>
      <w:r>
        <w:rPr>
          <w:lang w:val="en-US"/>
        </w:rPr>
        <w:t>“</w:t>
      </w:r>
      <w:r w:rsidR="00162829" w:rsidRPr="00162829">
        <w:rPr>
          <w:lang w:val="en-US"/>
        </w:rPr>
        <w:t>no-bailout</w:t>
      </w:r>
      <w:r>
        <w:rPr>
          <w:lang w:val="en-US"/>
        </w:rPr>
        <w:t>”</w:t>
      </w:r>
      <w:r w:rsidR="00162829" w:rsidRPr="00162829">
        <w:rPr>
          <w:lang w:val="en-US"/>
        </w:rPr>
        <w:t xml:space="preserve"> clause of the Lisbon Treaty more credible, not only de jure but also de facto. The higher cost of borrowing would act as an alarm sign; countries would need to adjust their public balances to ga</w:t>
      </w:r>
      <w:r w:rsidR="00F22617">
        <w:rPr>
          <w:lang w:val="en-US"/>
        </w:rPr>
        <w:t xml:space="preserve">in access to the blue tranche. </w:t>
      </w:r>
    </w:p>
    <w:p w:rsidR="00162829" w:rsidRPr="00162829" w:rsidRDefault="00162829" w:rsidP="00F22617">
      <w:pPr>
        <w:jc w:val="both"/>
        <w:rPr>
          <w:lang w:val="en-US"/>
        </w:rPr>
      </w:pPr>
      <w:r w:rsidRPr="00162829">
        <w:rPr>
          <w:lang w:val="en-US"/>
        </w:rPr>
        <w:t>Second, it is a politically feasible proposal since the borrowing capacity of the blue tranche would not be polluted by the weak performance of some specific countries. Countries meeting their budget balance and public debt commitments would be less affected by free-riding pro</w:t>
      </w:r>
      <w:r w:rsidR="00F22617">
        <w:rPr>
          <w:lang w:val="en-US"/>
        </w:rPr>
        <w:t>blems and</w:t>
      </w:r>
      <w:r w:rsidR="00C10772">
        <w:rPr>
          <w:lang w:val="en-US"/>
        </w:rPr>
        <w:t xml:space="preserve"> by</w:t>
      </w:r>
      <w:r w:rsidR="00F22617">
        <w:rPr>
          <w:lang w:val="en-US"/>
        </w:rPr>
        <w:t xml:space="preserve"> asymmetrical shocks. </w:t>
      </w:r>
    </w:p>
    <w:p w:rsidR="00F22617" w:rsidRPr="00162829" w:rsidRDefault="00162829" w:rsidP="00F22617">
      <w:pPr>
        <w:jc w:val="both"/>
        <w:rPr>
          <w:lang w:val="en-US"/>
        </w:rPr>
      </w:pPr>
      <w:r w:rsidRPr="00162829">
        <w:rPr>
          <w:lang w:val="en-US"/>
        </w:rPr>
        <w:t xml:space="preserve">Third, ECB's intervention in the market </w:t>
      </w:r>
      <w:r w:rsidR="000B69A5">
        <w:rPr>
          <w:lang w:val="en-US"/>
        </w:rPr>
        <w:t>w</w:t>
      </w:r>
      <w:r w:rsidRPr="00162829">
        <w:rPr>
          <w:lang w:val="en-US"/>
        </w:rPr>
        <w:t xml:space="preserve">ould be limited to blue bonds. This </w:t>
      </w:r>
      <w:r w:rsidR="00C10772">
        <w:rPr>
          <w:lang w:val="en-US"/>
        </w:rPr>
        <w:t xml:space="preserve">should </w:t>
      </w:r>
      <w:r w:rsidRPr="00162829">
        <w:rPr>
          <w:lang w:val="en-US"/>
        </w:rPr>
        <w:t>act as secondary incentive for countries to achieve public debt issuance in the senior tranche. ECB's intervention would depend, however, on the evolution of future inflation and on the political fragmentation that could hit Eurozone countries, as</w:t>
      </w:r>
      <w:r w:rsidR="00F22617">
        <w:rPr>
          <w:lang w:val="en-US"/>
        </w:rPr>
        <w:t xml:space="preserve"> it will be shown in Section </w:t>
      </w:r>
      <w:r w:rsidR="000B69A5">
        <w:rPr>
          <w:lang w:val="en-US"/>
        </w:rPr>
        <w:t>3</w:t>
      </w:r>
      <w:r w:rsidR="00F22617">
        <w:rPr>
          <w:lang w:val="en-US"/>
        </w:rPr>
        <w:t>.</w:t>
      </w:r>
    </w:p>
    <w:p w:rsidR="00162829" w:rsidRPr="00162829" w:rsidRDefault="00286B7F" w:rsidP="00F22617">
      <w:pPr>
        <w:jc w:val="both"/>
        <w:rPr>
          <w:lang w:val="en-US"/>
        </w:rPr>
      </w:pPr>
      <w:r>
        <w:rPr>
          <w:lang w:val="en-US"/>
        </w:rPr>
        <w:t>Financial Times published the evolution of the Blue/Red Bond proposal</w:t>
      </w:r>
      <w:r w:rsidR="00162829" w:rsidRPr="00162829">
        <w:rPr>
          <w:lang w:val="en-US"/>
        </w:rPr>
        <w:t xml:space="preserve"> in December 2010. According to </w:t>
      </w:r>
      <w:r w:rsidR="000B69A5" w:rsidRPr="000B69A5">
        <w:rPr>
          <w:lang w:val="en-US"/>
        </w:rPr>
        <w:t>Juncker and Tremonti (2010)</w:t>
      </w:r>
      <w:r w:rsidR="00162829" w:rsidRPr="00162829">
        <w:rPr>
          <w:lang w:val="en-US"/>
        </w:rPr>
        <w:t xml:space="preserve">, Eurobonds should be issued by a new institution, the European Debt Agency (EDA). The EDA would finance up to 50 per cent of issuance by member states. </w:t>
      </w:r>
      <w:r>
        <w:rPr>
          <w:lang w:val="en-US"/>
        </w:rPr>
        <w:t>It</w:t>
      </w:r>
      <w:r w:rsidR="00162829" w:rsidRPr="00162829">
        <w:rPr>
          <w:lang w:val="en-US"/>
        </w:rPr>
        <w:t xml:space="preserve"> would offer a switch between existing national bonds and newly created eurobonds. </w:t>
      </w:r>
      <w:r>
        <w:rPr>
          <w:lang w:val="en-US"/>
        </w:rPr>
        <w:t>T</w:t>
      </w:r>
      <w:r w:rsidR="00162829" w:rsidRPr="00162829">
        <w:rPr>
          <w:lang w:val="en-US"/>
        </w:rPr>
        <w:t>he EDA would have a mandate to issue eurobonds up to a total equivalent to 40 per cent of the total GDP of the European Union a</w:t>
      </w:r>
      <w:r>
        <w:rPr>
          <w:lang w:val="en-US"/>
        </w:rPr>
        <w:t xml:space="preserve">nd of each member's state GDP. </w:t>
      </w:r>
    </w:p>
    <w:p w:rsidR="00162829" w:rsidRPr="00C10772" w:rsidRDefault="00F22617" w:rsidP="00C10772">
      <w:pPr>
        <w:pStyle w:val="Prrafodelista"/>
        <w:numPr>
          <w:ilvl w:val="2"/>
          <w:numId w:val="8"/>
        </w:numPr>
        <w:jc w:val="both"/>
        <w:rPr>
          <w:b/>
          <w:lang w:val="en-US"/>
        </w:rPr>
      </w:pPr>
      <w:r w:rsidRPr="00C10772">
        <w:rPr>
          <w:b/>
          <w:lang w:val="en-US"/>
        </w:rPr>
        <w:t>Eurobills, not Eurobonds</w:t>
      </w:r>
    </w:p>
    <w:p w:rsidR="00162829" w:rsidRPr="00162829" w:rsidRDefault="00162829" w:rsidP="00F22617">
      <w:pPr>
        <w:jc w:val="both"/>
        <w:rPr>
          <w:lang w:val="en-US"/>
        </w:rPr>
      </w:pPr>
      <w:r w:rsidRPr="00162829">
        <w:rPr>
          <w:lang w:val="en-US"/>
        </w:rPr>
        <w:t xml:space="preserve">Eurobills proposal </w:t>
      </w:r>
      <w:r w:rsidR="00286B7F">
        <w:rPr>
          <w:lang w:val="en-US"/>
        </w:rPr>
        <w:t xml:space="preserve">(Philippon and Hellwig, </w:t>
      </w:r>
      <w:r w:rsidR="000B69A5" w:rsidRPr="000B69A5">
        <w:rPr>
          <w:lang w:val="en-US"/>
        </w:rPr>
        <w:t>2011</w:t>
      </w:r>
      <w:r w:rsidR="000B69A5">
        <w:rPr>
          <w:lang w:val="en-US"/>
        </w:rPr>
        <w:t>)</w:t>
      </w:r>
      <w:r w:rsidRPr="00162829">
        <w:rPr>
          <w:lang w:val="en-US"/>
        </w:rPr>
        <w:t xml:space="preserve"> is based on the idea that the introduction of </w:t>
      </w:r>
      <w:r w:rsidR="00C10772">
        <w:rPr>
          <w:lang w:val="en-US"/>
        </w:rPr>
        <w:t>e</w:t>
      </w:r>
      <w:r w:rsidRPr="00162829">
        <w:rPr>
          <w:lang w:val="en-US"/>
        </w:rPr>
        <w:t xml:space="preserve">urobills – common debt with maturity of less than a year – </w:t>
      </w:r>
      <w:r w:rsidR="00286B7F">
        <w:rPr>
          <w:lang w:val="en-US"/>
        </w:rPr>
        <w:t>“</w:t>
      </w:r>
      <w:r w:rsidRPr="00162829">
        <w:rPr>
          <w:lang w:val="en-US"/>
        </w:rPr>
        <w:t>could provide a large part of the benefits</w:t>
      </w:r>
      <w:r w:rsidR="00C10772">
        <w:rPr>
          <w:lang w:val="en-US"/>
        </w:rPr>
        <w:t xml:space="preserve">” of other assets with longer maturities, </w:t>
      </w:r>
      <w:r w:rsidRPr="00162829">
        <w:rPr>
          <w:lang w:val="en-US"/>
        </w:rPr>
        <w:t xml:space="preserve"> </w:t>
      </w:r>
      <w:r w:rsidR="00C10772">
        <w:rPr>
          <w:lang w:val="en-US"/>
        </w:rPr>
        <w:t>“</w:t>
      </w:r>
      <w:r w:rsidRPr="00162829">
        <w:rPr>
          <w:lang w:val="en-US"/>
        </w:rPr>
        <w:t>while allowing for significant checks on the risks, both in terms of magnitudes, and i</w:t>
      </w:r>
      <w:r w:rsidR="00F22617">
        <w:rPr>
          <w:lang w:val="en-US"/>
        </w:rPr>
        <w:t>n terms of effective control</w:t>
      </w:r>
      <w:r w:rsidR="000B69A5">
        <w:rPr>
          <w:lang w:val="en-US"/>
        </w:rPr>
        <w:t>”</w:t>
      </w:r>
      <w:r w:rsidR="00F22617">
        <w:rPr>
          <w:lang w:val="en-US"/>
        </w:rPr>
        <w:t>.</w:t>
      </w:r>
    </w:p>
    <w:p w:rsidR="00162829" w:rsidRDefault="00162829" w:rsidP="00F22617">
      <w:pPr>
        <w:jc w:val="both"/>
        <w:rPr>
          <w:lang w:val="en-US"/>
        </w:rPr>
      </w:pPr>
      <w:r w:rsidRPr="00162829">
        <w:rPr>
          <w:lang w:val="en-US"/>
        </w:rPr>
        <w:t xml:space="preserve">The original proposal includes the creation of a new institution that the authors call Debt Management Office (DMO). This office would be the only issuer of short-term bills for all Eurozone countries. The DMO </w:t>
      </w:r>
      <w:r w:rsidR="00C10772">
        <w:rPr>
          <w:lang w:val="en-US"/>
        </w:rPr>
        <w:t xml:space="preserve">should </w:t>
      </w:r>
      <w:r w:rsidRPr="00162829">
        <w:rPr>
          <w:lang w:val="en-US"/>
        </w:rPr>
        <w:t xml:space="preserve">also </w:t>
      </w:r>
      <w:r w:rsidR="00F22617">
        <w:rPr>
          <w:lang w:val="en-US"/>
        </w:rPr>
        <w:t xml:space="preserve">manage </w:t>
      </w:r>
      <w:r w:rsidR="000B69A5">
        <w:rPr>
          <w:lang w:val="en-US"/>
        </w:rPr>
        <w:t xml:space="preserve">debt </w:t>
      </w:r>
      <w:r w:rsidR="00286B7F">
        <w:rPr>
          <w:lang w:val="en-US"/>
        </w:rPr>
        <w:t xml:space="preserve">issuance, </w:t>
      </w:r>
      <w:r w:rsidR="00F22617">
        <w:rPr>
          <w:lang w:val="en-US"/>
        </w:rPr>
        <w:t>redemptio</w:t>
      </w:r>
      <w:r w:rsidR="00286B7F">
        <w:rPr>
          <w:lang w:val="en-US"/>
        </w:rPr>
        <w:t xml:space="preserve">n and debt auctions. </w:t>
      </w:r>
      <w:r w:rsidRPr="00162829">
        <w:rPr>
          <w:lang w:val="en-US"/>
        </w:rPr>
        <w:t>It would conduct them in order to satisfy the needs of all EZ countries, subject to the constraint that no country can have more than 10</w:t>
      </w:r>
      <w:r w:rsidR="00CC223B">
        <w:rPr>
          <w:lang w:val="en-US"/>
        </w:rPr>
        <w:t xml:space="preserve">% </w:t>
      </w:r>
      <w:r w:rsidRPr="00162829">
        <w:rPr>
          <w:lang w:val="en-US"/>
        </w:rPr>
        <w:t xml:space="preserve">of its GDP in </w:t>
      </w:r>
      <w:r w:rsidR="00C10772">
        <w:rPr>
          <w:lang w:val="en-US"/>
        </w:rPr>
        <w:t>e</w:t>
      </w:r>
      <w:r w:rsidRPr="00162829">
        <w:rPr>
          <w:lang w:val="en-US"/>
        </w:rPr>
        <w:t xml:space="preserve">urobills at any given time. </w:t>
      </w:r>
      <w:r w:rsidR="00C10772">
        <w:rPr>
          <w:lang w:val="en-US"/>
        </w:rPr>
        <w:t>e</w:t>
      </w:r>
      <w:r w:rsidRPr="00162829">
        <w:rPr>
          <w:lang w:val="en-US"/>
        </w:rPr>
        <w:t xml:space="preserve">urobills would be </w:t>
      </w:r>
      <w:r w:rsidR="00286B7F">
        <w:rPr>
          <w:lang w:val="en-US"/>
        </w:rPr>
        <w:t>“</w:t>
      </w:r>
      <w:r w:rsidRPr="00162829">
        <w:rPr>
          <w:lang w:val="en-US"/>
        </w:rPr>
        <w:t>the joint-and-several liabilities of the Euroz</w:t>
      </w:r>
      <w:r w:rsidR="00286B7F">
        <w:rPr>
          <w:lang w:val="en-US"/>
        </w:rPr>
        <w:t>one”</w:t>
      </w:r>
      <w:r w:rsidR="00F22617">
        <w:rPr>
          <w:lang w:val="en-US"/>
        </w:rPr>
        <w:t xml:space="preserve"> as the authors highlight.</w:t>
      </w:r>
    </w:p>
    <w:p w:rsidR="000B69A5" w:rsidRDefault="000B69A5" w:rsidP="00F22617">
      <w:pPr>
        <w:jc w:val="both"/>
        <w:rPr>
          <w:lang w:val="en-US"/>
        </w:rPr>
      </w:pPr>
    </w:p>
    <w:p w:rsidR="00C10772" w:rsidRPr="00162829" w:rsidRDefault="00C10772" w:rsidP="00F22617">
      <w:pPr>
        <w:jc w:val="both"/>
        <w:rPr>
          <w:lang w:val="en-US"/>
        </w:rPr>
      </w:pPr>
    </w:p>
    <w:p w:rsidR="00162829" w:rsidRPr="00162829" w:rsidRDefault="00162829" w:rsidP="00F22617">
      <w:pPr>
        <w:jc w:val="both"/>
        <w:rPr>
          <w:lang w:val="en-US"/>
        </w:rPr>
      </w:pPr>
      <w:r w:rsidRPr="00162829">
        <w:rPr>
          <w:lang w:val="en-US"/>
        </w:rPr>
        <w:lastRenderedPageBreak/>
        <w:t>Participation in Eurobills emi</w:t>
      </w:r>
      <w:r w:rsidR="00C10772">
        <w:rPr>
          <w:lang w:val="en-US"/>
        </w:rPr>
        <w:t>ssions would be conditional to the achievement of</w:t>
      </w:r>
      <w:r w:rsidRPr="00162829">
        <w:rPr>
          <w:lang w:val="en-US"/>
        </w:rPr>
        <w:t xml:space="preserve"> the different economic convergence goals established by European authorities. Countries </w:t>
      </w:r>
      <w:r w:rsidR="00C10772">
        <w:rPr>
          <w:lang w:val="en-US"/>
        </w:rPr>
        <w:t>could not</w:t>
      </w:r>
      <w:r w:rsidRPr="00162829">
        <w:rPr>
          <w:lang w:val="en-US"/>
        </w:rPr>
        <w:t xml:space="preserve"> issue any more short-term debt on their own. They would continue </w:t>
      </w:r>
      <w:r w:rsidR="00286B7F">
        <w:rPr>
          <w:lang w:val="en-US"/>
        </w:rPr>
        <w:t>to issue</w:t>
      </w:r>
      <w:r w:rsidRPr="00162829">
        <w:rPr>
          <w:lang w:val="en-US"/>
        </w:rPr>
        <w:t xml:space="preserve"> their own debt for mat</w:t>
      </w:r>
      <w:r w:rsidR="00F22617">
        <w:rPr>
          <w:lang w:val="en-US"/>
        </w:rPr>
        <w:t xml:space="preserve">urities longer than two years. </w:t>
      </w:r>
    </w:p>
    <w:p w:rsidR="00162829" w:rsidRPr="00162829" w:rsidRDefault="00162829" w:rsidP="00F22617">
      <w:pPr>
        <w:jc w:val="both"/>
        <w:rPr>
          <w:lang w:val="en-US"/>
        </w:rPr>
      </w:pPr>
      <w:r w:rsidRPr="00162829">
        <w:rPr>
          <w:lang w:val="en-US"/>
        </w:rPr>
        <w:t xml:space="preserve">Eurobills would be senior to other debts. All market participants (investors and governments) should understand this point, since it is a key feature </w:t>
      </w:r>
      <w:r w:rsidR="00286B7F">
        <w:rPr>
          <w:lang w:val="en-US"/>
        </w:rPr>
        <w:t>to reduce</w:t>
      </w:r>
      <w:r w:rsidRPr="00162829">
        <w:rPr>
          <w:lang w:val="en-US"/>
        </w:rPr>
        <w:t xml:space="preserve"> moral hazard. </w:t>
      </w:r>
      <w:r w:rsidR="000B69A5">
        <w:rPr>
          <w:lang w:val="en-US"/>
        </w:rPr>
        <w:t>Philippon and Hellwig (</w:t>
      </w:r>
      <w:r w:rsidR="000B69A5" w:rsidRPr="000B69A5">
        <w:rPr>
          <w:lang w:val="en-US"/>
        </w:rPr>
        <w:t>2011</w:t>
      </w:r>
      <w:r w:rsidR="000B69A5">
        <w:rPr>
          <w:lang w:val="en-US"/>
        </w:rPr>
        <w:t>)</w:t>
      </w:r>
      <w:r w:rsidR="000B69A5" w:rsidRPr="000B69A5">
        <w:rPr>
          <w:lang w:val="en-US"/>
        </w:rPr>
        <w:t xml:space="preserve"> </w:t>
      </w:r>
      <w:r w:rsidRPr="00162829">
        <w:rPr>
          <w:lang w:val="en-US"/>
        </w:rPr>
        <w:t>highlight that their proposal would be complementary to budgetary disc</w:t>
      </w:r>
      <w:r w:rsidR="00F22617">
        <w:rPr>
          <w:lang w:val="en-US"/>
        </w:rPr>
        <w:t>ipline and fiscal surveillance.</w:t>
      </w:r>
    </w:p>
    <w:p w:rsidR="00F22617" w:rsidRPr="00162829" w:rsidRDefault="00162829" w:rsidP="00F22617">
      <w:pPr>
        <w:jc w:val="both"/>
        <w:rPr>
          <w:lang w:val="en-US"/>
        </w:rPr>
      </w:pPr>
      <w:r w:rsidRPr="00162829">
        <w:rPr>
          <w:lang w:val="en-US"/>
        </w:rPr>
        <w:t xml:space="preserve">They recognize, however, that </w:t>
      </w:r>
      <w:r w:rsidR="000B69A5">
        <w:rPr>
          <w:lang w:val="en-US"/>
        </w:rPr>
        <w:t>“</w:t>
      </w:r>
      <w:r w:rsidRPr="00162829">
        <w:rPr>
          <w:lang w:val="en-US"/>
        </w:rPr>
        <w:t xml:space="preserve">it is important to understand that effective market discipline requires that jointly issued debt be credibly senior to any other debt. Enforcing </w:t>
      </w:r>
      <w:r w:rsidR="00F22617">
        <w:rPr>
          <w:lang w:val="en-US"/>
        </w:rPr>
        <w:t>this is difficult and risky</w:t>
      </w:r>
      <w:r w:rsidR="000B69A5">
        <w:rPr>
          <w:lang w:val="en-US"/>
        </w:rPr>
        <w:t>”</w:t>
      </w:r>
      <w:r w:rsidR="00F22617">
        <w:rPr>
          <w:lang w:val="en-US"/>
        </w:rPr>
        <w:t xml:space="preserve">. </w:t>
      </w:r>
    </w:p>
    <w:p w:rsidR="00162829" w:rsidRPr="00C10772" w:rsidRDefault="00F22617" w:rsidP="00C10772">
      <w:pPr>
        <w:pStyle w:val="Prrafodelista"/>
        <w:numPr>
          <w:ilvl w:val="2"/>
          <w:numId w:val="8"/>
        </w:numPr>
        <w:jc w:val="both"/>
        <w:rPr>
          <w:b/>
          <w:lang w:val="en-US"/>
        </w:rPr>
      </w:pPr>
      <w:r w:rsidRPr="00C10772">
        <w:rPr>
          <w:b/>
          <w:lang w:val="en-US"/>
        </w:rPr>
        <w:t>A debt redemption fund?</w:t>
      </w:r>
    </w:p>
    <w:p w:rsidR="00C10772" w:rsidRDefault="00162829" w:rsidP="00F22617">
      <w:pPr>
        <w:jc w:val="both"/>
        <w:rPr>
          <w:lang w:val="en-US"/>
        </w:rPr>
      </w:pPr>
      <w:r w:rsidRPr="00162829">
        <w:rPr>
          <w:lang w:val="en-US"/>
        </w:rPr>
        <w:t xml:space="preserve">Following </w:t>
      </w:r>
      <w:r w:rsidR="000B69A5" w:rsidRPr="000B69A5">
        <w:rPr>
          <w:lang w:val="en-US"/>
        </w:rPr>
        <w:t>di Mauro (2011)</w:t>
      </w:r>
      <w:r w:rsidRPr="00162829">
        <w:rPr>
          <w:lang w:val="en-US"/>
        </w:rPr>
        <w:t xml:space="preserve">, the </w:t>
      </w:r>
      <w:r w:rsidR="00C10772">
        <w:rPr>
          <w:lang w:val="en-US"/>
        </w:rPr>
        <w:t>d</w:t>
      </w:r>
      <w:r w:rsidRPr="00162829">
        <w:rPr>
          <w:lang w:val="en-US"/>
        </w:rPr>
        <w:t xml:space="preserve">ebt </w:t>
      </w:r>
      <w:r w:rsidR="00C10772">
        <w:rPr>
          <w:lang w:val="en-US"/>
        </w:rPr>
        <w:t>r</w:t>
      </w:r>
      <w:r w:rsidRPr="00162829">
        <w:rPr>
          <w:lang w:val="en-US"/>
        </w:rPr>
        <w:t xml:space="preserve">edemption </w:t>
      </w:r>
      <w:r w:rsidR="00C10772">
        <w:rPr>
          <w:lang w:val="en-US"/>
        </w:rPr>
        <w:t>p</w:t>
      </w:r>
      <w:r w:rsidRPr="00162829">
        <w:rPr>
          <w:lang w:val="en-US"/>
        </w:rPr>
        <w:t>act</w:t>
      </w:r>
      <w:r w:rsidR="00C10772">
        <w:rPr>
          <w:lang w:val="en-US"/>
        </w:rPr>
        <w:t xml:space="preserve"> would act as a temporary mechanism formed by a pact and funding scheme. The pact would entail a country specific plan for reforms and public adjustment. It would follow the demands set by the </w:t>
      </w:r>
      <w:r w:rsidR="00C10772" w:rsidRPr="00C10772">
        <w:rPr>
          <w:lang w:val="en-US"/>
        </w:rPr>
        <w:t>Treaty on Stability, Coordination and Governance</w:t>
      </w:r>
      <w:r w:rsidR="00C10772">
        <w:rPr>
          <w:lang w:val="en-US"/>
        </w:rPr>
        <w:t xml:space="preserve"> (TSCG) and act as a safeguard against moral hazard. </w:t>
      </w:r>
    </w:p>
    <w:p w:rsidR="00162829" w:rsidRPr="00162829" w:rsidRDefault="00162829" w:rsidP="00F22617">
      <w:pPr>
        <w:jc w:val="both"/>
        <w:rPr>
          <w:lang w:val="en-US"/>
        </w:rPr>
      </w:pPr>
      <w:r w:rsidRPr="00162829">
        <w:rPr>
          <w:lang w:val="en-US"/>
        </w:rPr>
        <w:t xml:space="preserve">Each country would service its own debt financed via the new fund until it is completely redeemed and the new fund expires. Participant estates would be jointly responsible for debt, which </w:t>
      </w:r>
      <w:r w:rsidR="00C10772">
        <w:rPr>
          <w:lang w:val="en-US"/>
        </w:rPr>
        <w:t>should</w:t>
      </w:r>
      <w:r w:rsidRPr="00162829">
        <w:rPr>
          <w:lang w:val="en-US"/>
        </w:rPr>
        <w:t xml:space="preserve"> make refinancing costs </w:t>
      </w:r>
      <w:r w:rsidR="00F22617">
        <w:rPr>
          <w:lang w:val="en-US"/>
        </w:rPr>
        <w:t>affordable.</w:t>
      </w:r>
    </w:p>
    <w:p w:rsidR="00162829" w:rsidRPr="00162829" w:rsidRDefault="00162829" w:rsidP="00F22617">
      <w:pPr>
        <w:jc w:val="both"/>
        <w:rPr>
          <w:lang w:val="en-US"/>
        </w:rPr>
      </w:pPr>
      <w:r w:rsidRPr="00162829">
        <w:rPr>
          <w:lang w:val="en-US"/>
        </w:rPr>
        <w:t>The Redemption Fund allows countries to refinance public debt in excess of 60 per cent of GDP. Repayment obligations are set as a percentage of nominal GDP to provide some automatic stabilization and backload redemption of debt when growth picks up. By design, the countries with the largest participation would be those which no</w:t>
      </w:r>
      <w:r w:rsidR="00F22617">
        <w:rPr>
          <w:lang w:val="en-US"/>
        </w:rPr>
        <w:t>w have the highest debt burden.</w:t>
      </w:r>
    </w:p>
    <w:p w:rsidR="00162829" w:rsidRPr="00162829" w:rsidRDefault="00162829" w:rsidP="00F22617">
      <w:pPr>
        <w:jc w:val="both"/>
        <w:rPr>
          <w:lang w:val="en-US"/>
        </w:rPr>
      </w:pPr>
      <w:r w:rsidRPr="00162829">
        <w:rPr>
          <w:lang w:val="en-US"/>
        </w:rPr>
        <w:t xml:space="preserve">Alternative designs of the fund could envisage a higher threshold for </w:t>
      </w:r>
      <w:r w:rsidR="00AE3080" w:rsidRPr="00162829">
        <w:rPr>
          <w:lang w:val="en-US"/>
        </w:rPr>
        <w:t>mutualization</w:t>
      </w:r>
      <w:r w:rsidR="00C10772">
        <w:rPr>
          <w:lang w:val="en-US"/>
        </w:rPr>
        <w:t xml:space="preserve"> (e.g. 75 per cent of G</w:t>
      </w:r>
      <w:r w:rsidRPr="00162829">
        <w:rPr>
          <w:lang w:val="en-US"/>
        </w:rPr>
        <w:t>D</w:t>
      </w:r>
      <w:r w:rsidR="00C10772">
        <w:rPr>
          <w:lang w:val="en-US"/>
        </w:rPr>
        <w:t>P</w:t>
      </w:r>
      <w:r w:rsidRPr="00162829">
        <w:rPr>
          <w:lang w:val="en-US"/>
        </w:rPr>
        <w:t xml:space="preserve">), </w:t>
      </w:r>
      <w:r w:rsidR="00C10772">
        <w:rPr>
          <w:lang w:val="en-US"/>
        </w:rPr>
        <w:t>or</w:t>
      </w:r>
      <w:r w:rsidRPr="00162829">
        <w:rPr>
          <w:lang w:val="en-US"/>
        </w:rPr>
        <w:t xml:space="preserve"> setting an equal share of joint issuance at 20 per cent of GDP of every participating country. The redemption fund first accumulates during the </w:t>
      </w:r>
      <w:r w:rsidR="000B69A5">
        <w:rPr>
          <w:lang w:val="en-US"/>
        </w:rPr>
        <w:t>“</w:t>
      </w:r>
      <w:r w:rsidRPr="00162829">
        <w:rPr>
          <w:lang w:val="en-US"/>
        </w:rPr>
        <w:t>roll-in</w:t>
      </w:r>
      <w:r w:rsidR="000B69A5">
        <w:rPr>
          <w:lang w:val="en-US"/>
        </w:rPr>
        <w:t>”</w:t>
      </w:r>
      <w:r w:rsidRPr="00162829">
        <w:rPr>
          <w:lang w:val="en-US"/>
        </w:rPr>
        <w:t xml:space="preserve"> phase and is then gradually drawn down. A fund for all debt above 60 per cent </w:t>
      </w:r>
      <w:r w:rsidR="000B69A5">
        <w:rPr>
          <w:lang w:val="en-US"/>
        </w:rPr>
        <w:t>would reach a maximum size of 2.</w:t>
      </w:r>
      <w:r w:rsidRPr="00162829">
        <w:rPr>
          <w:lang w:val="en-US"/>
        </w:rPr>
        <w:t>85 trillion after 5</w:t>
      </w:r>
      <w:r w:rsidR="00C10772">
        <w:rPr>
          <w:lang w:val="en-US"/>
        </w:rPr>
        <w:t xml:space="preserve"> years and the repayment phase </w:t>
      </w:r>
      <w:r w:rsidR="00F22617">
        <w:rPr>
          <w:lang w:val="en-US"/>
        </w:rPr>
        <w:t xml:space="preserve">would be 20 years. </w:t>
      </w:r>
    </w:p>
    <w:p w:rsidR="00162829" w:rsidRPr="00F22617" w:rsidRDefault="00162829" w:rsidP="00C10772">
      <w:pPr>
        <w:pStyle w:val="Prrafodelista"/>
        <w:numPr>
          <w:ilvl w:val="2"/>
          <w:numId w:val="8"/>
        </w:numPr>
        <w:jc w:val="both"/>
        <w:rPr>
          <w:b/>
          <w:lang w:val="en-US"/>
        </w:rPr>
      </w:pPr>
      <w:r w:rsidRPr="00F22617">
        <w:rPr>
          <w:b/>
          <w:lang w:val="en-US"/>
        </w:rPr>
        <w:t>ESBies:</w:t>
      </w:r>
      <w:r w:rsidR="00F22617" w:rsidRPr="00F22617">
        <w:rPr>
          <w:b/>
          <w:lang w:val="en-US"/>
        </w:rPr>
        <w:t xml:space="preserve"> European Safe Bonds</w:t>
      </w:r>
    </w:p>
    <w:p w:rsidR="00162829" w:rsidRPr="00162829" w:rsidRDefault="00162829" w:rsidP="00F22617">
      <w:pPr>
        <w:jc w:val="both"/>
        <w:rPr>
          <w:lang w:val="en-US"/>
        </w:rPr>
      </w:pPr>
      <w:r w:rsidRPr="00162829">
        <w:rPr>
          <w:lang w:val="en-US"/>
        </w:rPr>
        <w:t xml:space="preserve">The most complete proposal so far published </w:t>
      </w:r>
      <w:r w:rsidR="00286B7F">
        <w:rPr>
          <w:lang w:val="en-US"/>
        </w:rPr>
        <w:t>is t</w:t>
      </w:r>
      <w:r w:rsidRPr="00162829">
        <w:rPr>
          <w:lang w:val="en-US"/>
        </w:rPr>
        <w:t xml:space="preserve">he one developed by </w:t>
      </w:r>
      <w:r w:rsidR="000B69A5" w:rsidRPr="000B69A5">
        <w:rPr>
          <w:lang w:val="en-US"/>
        </w:rPr>
        <w:t>Brunnermeier et al. (2016)</w:t>
      </w:r>
      <w:r w:rsidRPr="00162829">
        <w:rPr>
          <w:lang w:val="en-US"/>
        </w:rPr>
        <w:t>. The main advantage of this proposal is that it does not require from major changes in current treaties, which wou</w:t>
      </w:r>
      <w:r w:rsidR="00F22617">
        <w:rPr>
          <w:lang w:val="en-US"/>
        </w:rPr>
        <w:t>ld make it easier to implement.</w:t>
      </w:r>
    </w:p>
    <w:p w:rsidR="00162829" w:rsidRDefault="00AE3080" w:rsidP="00F22617">
      <w:pPr>
        <w:jc w:val="both"/>
        <w:rPr>
          <w:lang w:val="en-US"/>
        </w:rPr>
      </w:pPr>
      <w:r w:rsidRPr="00162829">
        <w:rPr>
          <w:lang w:val="en-US"/>
        </w:rPr>
        <w:t>Mutualized</w:t>
      </w:r>
      <w:r w:rsidR="00162829" w:rsidRPr="00162829">
        <w:rPr>
          <w:lang w:val="en-US"/>
        </w:rPr>
        <w:t xml:space="preserve"> bonds would be issued by a new agency, </w:t>
      </w:r>
      <w:r w:rsidR="000B69A5">
        <w:rPr>
          <w:lang w:val="en-US"/>
        </w:rPr>
        <w:t>t</w:t>
      </w:r>
      <w:r w:rsidR="00162829" w:rsidRPr="00162829">
        <w:rPr>
          <w:lang w:val="en-US"/>
        </w:rPr>
        <w:t>he so-called European Debt Agency (EDA)</w:t>
      </w:r>
      <w:r w:rsidR="000B69A5">
        <w:rPr>
          <w:lang w:val="en-US"/>
        </w:rPr>
        <w:t xml:space="preserve">. It </w:t>
      </w:r>
      <w:r w:rsidR="00C10772">
        <w:rPr>
          <w:lang w:val="en-US"/>
        </w:rPr>
        <w:t>c</w:t>
      </w:r>
      <w:r w:rsidR="00162829" w:rsidRPr="00162829">
        <w:rPr>
          <w:lang w:val="en-US"/>
        </w:rPr>
        <w:t>ould buy debt from different eurozone countries and issue, in exchange, two different categories of assets: senior debt, with lower risk, and junior debt, for investor</w:t>
      </w:r>
      <w:r w:rsidR="00F22617">
        <w:rPr>
          <w:lang w:val="en-US"/>
        </w:rPr>
        <w:t xml:space="preserve">s looking for a higher return. </w:t>
      </w:r>
    </w:p>
    <w:p w:rsidR="00F22617" w:rsidRPr="00162829" w:rsidRDefault="00162829" w:rsidP="00F22617">
      <w:pPr>
        <w:jc w:val="both"/>
        <w:rPr>
          <w:lang w:val="en-US"/>
        </w:rPr>
      </w:pPr>
      <w:r w:rsidRPr="00162829">
        <w:rPr>
          <w:lang w:val="en-US"/>
        </w:rPr>
        <w:t xml:space="preserve">According to the authors, </w:t>
      </w:r>
      <w:r w:rsidR="00DD560B">
        <w:rPr>
          <w:lang w:val="en-US"/>
        </w:rPr>
        <w:t>“</w:t>
      </w:r>
      <w:r w:rsidRPr="00162829">
        <w:rPr>
          <w:lang w:val="en-US"/>
        </w:rPr>
        <w:t xml:space="preserve">the first security, ESBies, would grant the right to a senior claim to the payments from the bonds held in the portfolio. If the tranching cut-off is X per cent, then the first X per cent lost in the pool of bonds because of potential European sovereign defaults would have no effect </w:t>
      </w:r>
      <w:r w:rsidR="00F22617">
        <w:rPr>
          <w:lang w:val="en-US"/>
        </w:rPr>
        <w:t>on the payment of the ESBies</w:t>
      </w:r>
      <w:r w:rsidR="00DD560B">
        <w:rPr>
          <w:lang w:val="en-US"/>
        </w:rPr>
        <w:t>”</w:t>
      </w:r>
      <w:r w:rsidR="00F22617">
        <w:rPr>
          <w:lang w:val="en-US"/>
        </w:rPr>
        <w:t>.</w:t>
      </w:r>
    </w:p>
    <w:p w:rsidR="00162829" w:rsidRPr="00162829" w:rsidRDefault="00162829" w:rsidP="00F22617">
      <w:pPr>
        <w:jc w:val="both"/>
        <w:rPr>
          <w:lang w:val="en-US"/>
        </w:rPr>
      </w:pPr>
      <w:r w:rsidRPr="00162829">
        <w:rPr>
          <w:lang w:val="en-US"/>
        </w:rPr>
        <w:lastRenderedPageBreak/>
        <w:t xml:space="preserve">The second security would be sold to willing investors in the market. Any risk that a sovereign state may fail to honor debts would be reflected in yields' evolution. Realized losses would be absorbed by the holders and not by the EDA nor </w:t>
      </w:r>
      <w:r w:rsidR="00286B7F">
        <w:rPr>
          <w:lang w:val="en-US"/>
        </w:rPr>
        <w:t xml:space="preserve">by </w:t>
      </w:r>
      <w:r w:rsidRPr="00162829">
        <w:rPr>
          <w:lang w:val="en-US"/>
        </w:rPr>
        <w:t xml:space="preserve">the European Union nor </w:t>
      </w:r>
      <w:r w:rsidR="00286B7F">
        <w:rPr>
          <w:lang w:val="en-US"/>
        </w:rPr>
        <w:t xml:space="preserve">by </w:t>
      </w:r>
      <w:r w:rsidRPr="00162829">
        <w:rPr>
          <w:lang w:val="en-US"/>
        </w:rPr>
        <w:t xml:space="preserve">its member States. This security </w:t>
      </w:r>
      <w:r w:rsidR="00C10772">
        <w:rPr>
          <w:lang w:val="en-US"/>
        </w:rPr>
        <w:t>sh</w:t>
      </w:r>
      <w:r w:rsidRPr="00162829">
        <w:rPr>
          <w:lang w:val="en-US"/>
        </w:rPr>
        <w:t>ould be more appealing for those investors wanting to hedge with the ability of European mem</w:t>
      </w:r>
      <w:r w:rsidR="00F22617">
        <w:rPr>
          <w:lang w:val="en-US"/>
        </w:rPr>
        <w:t>ber states to repay their debt.</w:t>
      </w:r>
    </w:p>
    <w:p w:rsidR="00F22617" w:rsidRPr="00162829" w:rsidRDefault="00162829" w:rsidP="00F22617">
      <w:pPr>
        <w:jc w:val="both"/>
        <w:rPr>
          <w:lang w:val="en-US"/>
        </w:rPr>
      </w:pPr>
      <w:r w:rsidRPr="00162829">
        <w:rPr>
          <w:lang w:val="en-US"/>
        </w:rPr>
        <w:t xml:space="preserve">ESBies offer three important advantages to the different proposals so far discussed. First, they satisfy the demand for safe assets; banks and investment funds are asking for a European asset, as safe as possible, that can minimize default risks. Second, ESBies do not require further fiscal integration. It is a solution that could help to stabilize the </w:t>
      </w:r>
      <w:r w:rsidR="00AE3080" w:rsidRPr="00162829">
        <w:rPr>
          <w:lang w:val="en-US"/>
        </w:rPr>
        <w:t>Eurozone</w:t>
      </w:r>
      <w:r w:rsidRPr="00162829">
        <w:rPr>
          <w:lang w:val="en-US"/>
        </w:rPr>
        <w:t xml:space="preserve"> without an important political cost. Finally, ESBies can help to erode the diabolic loop between banks and states, as described by </w:t>
      </w:r>
      <w:r w:rsidR="00DD560B">
        <w:rPr>
          <w:lang w:val="en-US"/>
        </w:rPr>
        <w:t xml:space="preserve">Altavilla et al. </w:t>
      </w:r>
      <w:r w:rsidR="00DD560B" w:rsidRPr="00DD560B">
        <w:rPr>
          <w:lang w:val="en-US"/>
        </w:rPr>
        <w:t>(2015)</w:t>
      </w:r>
      <w:r w:rsidR="00DD560B">
        <w:rPr>
          <w:lang w:val="en-US"/>
        </w:rPr>
        <w:t xml:space="preserve">. </w:t>
      </w:r>
    </w:p>
    <w:p w:rsidR="00162829" w:rsidRPr="00160E8D" w:rsidRDefault="00162829" w:rsidP="00C10772">
      <w:pPr>
        <w:pStyle w:val="Prrafodelista"/>
        <w:numPr>
          <w:ilvl w:val="0"/>
          <w:numId w:val="8"/>
        </w:numPr>
        <w:rPr>
          <w:lang w:val="en-US"/>
        </w:rPr>
      </w:pPr>
      <w:r w:rsidRPr="00160E8D">
        <w:rPr>
          <w:b/>
          <w:lang w:val="en-US"/>
        </w:rPr>
        <w:t>The Fiscal Role of the Monetary Policy</w:t>
      </w:r>
    </w:p>
    <w:p w:rsidR="00162829" w:rsidRPr="00162829" w:rsidRDefault="00162829" w:rsidP="003C5657">
      <w:pPr>
        <w:jc w:val="both"/>
        <w:rPr>
          <w:lang w:val="en-US"/>
        </w:rPr>
      </w:pPr>
      <w:r w:rsidRPr="00162829">
        <w:rPr>
          <w:lang w:val="en-US"/>
        </w:rPr>
        <w:t>Figure 2 shows the relationship between public administrations, commercial banks and the ECB under the current conditions of public debt issuance. Each country is responsible for its own debt with no guarantee from the center. Budget deficit from one independent estate is issued in euros with no common guarantee</w:t>
      </w:r>
      <w:r w:rsidR="00160E8D">
        <w:rPr>
          <w:lang w:val="en-US"/>
        </w:rPr>
        <w:t>.</w:t>
      </w:r>
    </w:p>
    <w:p w:rsidR="00162829" w:rsidRPr="00162829" w:rsidRDefault="00162829" w:rsidP="003C5657">
      <w:pPr>
        <w:jc w:val="both"/>
        <w:rPr>
          <w:lang w:val="en-US"/>
        </w:rPr>
      </w:pPr>
      <w:r w:rsidRPr="00162829">
        <w:rPr>
          <w:lang w:val="en-US"/>
        </w:rPr>
        <w:t xml:space="preserve">When a country runs a budget </w:t>
      </w:r>
      <w:r w:rsidR="00C70F1A" w:rsidRPr="00162829">
        <w:rPr>
          <w:lang w:val="en-US"/>
        </w:rPr>
        <w:t>deficit,</w:t>
      </w:r>
      <w:r w:rsidRPr="00162829">
        <w:rPr>
          <w:lang w:val="en-US"/>
        </w:rPr>
        <w:t xml:space="preserve"> it need</w:t>
      </w:r>
      <w:r w:rsidR="00C70F1A">
        <w:rPr>
          <w:lang w:val="en-US"/>
        </w:rPr>
        <w:t>s</w:t>
      </w:r>
      <w:r w:rsidRPr="00162829">
        <w:rPr>
          <w:lang w:val="en-US"/>
        </w:rPr>
        <w:t xml:space="preserve"> to </w:t>
      </w:r>
      <w:r w:rsidR="00C70F1A">
        <w:rPr>
          <w:lang w:val="en-US"/>
        </w:rPr>
        <w:t>finance it</w:t>
      </w:r>
      <w:r w:rsidRPr="00162829">
        <w:rPr>
          <w:lang w:val="en-US"/>
        </w:rPr>
        <w:t xml:space="preserve"> through public debt issuance, which generates higher interests and, then again, more expenditure and a deeper budget deficit. When that situation turned into explosive in the years 2010-2012 for some Eurozone member estates, commercial banks started to buy sovereign debt with the incentives provided by the European Central Bank through its different quantitative easing programs. That eased market conditions for a while but soon it was </w:t>
      </w:r>
      <w:r w:rsidR="00160E8D">
        <w:rPr>
          <w:lang w:val="en-US"/>
        </w:rPr>
        <w:t>evident that it was not enough.</w:t>
      </w:r>
    </w:p>
    <w:p w:rsidR="00162829" w:rsidRPr="00160E8D" w:rsidRDefault="00160E8D" w:rsidP="00160E8D">
      <w:pPr>
        <w:jc w:val="center"/>
        <w:rPr>
          <w:b/>
          <w:lang w:val="en-US"/>
        </w:rPr>
      </w:pPr>
      <w:r w:rsidRPr="00160E8D">
        <w:rPr>
          <w:b/>
          <w:lang w:val="en-US"/>
        </w:rPr>
        <w:t>Figure 2. The fiscal role of monetary policy</w:t>
      </w:r>
    </w:p>
    <w:p w:rsidR="00162829" w:rsidRDefault="00160E8D" w:rsidP="00160E8D">
      <w:pPr>
        <w:jc w:val="center"/>
        <w:rPr>
          <w:lang w:val="en-US"/>
        </w:rPr>
      </w:pPr>
      <w:r>
        <w:rPr>
          <w:noProof/>
          <w:lang w:eastAsia="es-ES"/>
        </w:rPr>
        <w:drawing>
          <wp:inline distT="0" distB="0" distL="0" distR="0" wp14:anchorId="59110BEC" wp14:editId="39254271">
            <wp:extent cx="5867067" cy="2714625"/>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3812" cy="2727000"/>
                    </a:xfrm>
                    <a:prstGeom prst="rect">
                      <a:avLst/>
                    </a:prstGeom>
                    <a:noFill/>
                  </pic:spPr>
                </pic:pic>
              </a:graphicData>
            </a:graphic>
          </wp:inline>
        </w:drawing>
      </w:r>
    </w:p>
    <w:p w:rsidR="00160E8D" w:rsidRDefault="00160E8D" w:rsidP="00160E8D">
      <w:pPr>
        <w:rPr>
          <w:lang w:val="en-US"/>
        </w:rPr>
      </w:pPr>
      <w:r>
        <w:rPr>
          <w:lang w:val="en-US"/>
        </w:rPr>
        <w:t>Source: Own research.</w:t>
      </w:r>
    </w:p>
    <w:p w:rsidR="00C10772" w:rsidRDefault="00C10772" w:rsidP="00160E8D">
      <w:pPr>
        <w:rPr>
          <w:lang w:val="en-US"/>
        </w:rPr>
      </w:pPr>
    </w:p>
    <w:p w:rsidR="00C10772" w:rsidRDefault="00C10772" w:rsidP="00160E8D">
      <w:pPr>
        <w:rPr>
          <w:lang w:val="en-US"/>
        </w:rPr>
      </w:pPr>
    </w:p>
    <w:p w:rsidR="00C10772" w:rsidRPr="00162829" w:rsidRDefault="00C10772" w:rsidP="00160E8D">
      <w:pPr>
        <w:rPr>
          <w:lang w:val="en-US"/>
        </w:rPr>
      </w:pPr>
    </w:p>
    <w:p w:rsidR="00803165" w:rsidRDefault="00803165" w:rsidP="00803165">
      <w:pPr>
        <w:jc w:val="both"/>
        <w:rPr>
          <w:lang w:val="en-US"/>
        </w:rPr>
      </w:pPr>
      <w:r w:rsidRPr="00162829">
        <w:rPr>
          <w:lang w:val="en-US"/>
        </w:rPr>
        <w:lastRenderedPageBreak/>
        <w:t xml:space="preserve">As </w:t>
      </w:r>
      <w:r w:rsidRPr="00C70F1A">
        <w:rPr>
          <w:lang w:val="en-US"/>
        </w:rPr>
        <w:t xml:space="preserve">De Grauwe and Moesen (2009) </w:t>
      </w:r>
      <w:r w:rsidRPr="00162829">
        <w:rPr>
          <w:lang w:val="en-US"/>
        </w:rPr>
        <w:t>point, the absence of a common backstop mechanism for each country's public debt was a major issue that need</w:t>
      </w:r>
      <w:r w:rsidR="00286B7F">
        <w:rPr>
          <w:lang w:val="en-US"/>
        </w:rPr>
        <w:t>ed</w:t>
      </w:r>
      <w:r w:rsidRPr="00162829">
        <w:rPr>
          <w:lang w:val="en-US"/>
        </w:rPr>
        <w:t xml:space="preserve"> to be tackled. The ECB, through its OMT and P</w:t>
      </w:r>
      <w:r w:rsidR="00C10772">
        <w:rPr>
          <w:lang w:val="en-US"/>
        </w:rPr>
        <w:t xml:space="preserve">ublic </w:t>
      </w:r>
      <w:r w:rsidRPr="00162829">
        <w:rPr>
          <w:lang w:val="en-US"/>
        </w:rPr>
        <w:t>S</w:t>
      </w:r>
      <w:r w:rsidR="00C10772">
        <w:rPr>
          <w:lang w:val="en-US"/>
        </w:rPr>
        <w:t xml:space="preserve">ector </w:t>
      </w:r>
      <w:r w:rsidRPr="00162829">
        <w:rPr>
          <w:lang w:val="en-US"/>
        </w:rPr>
        <w:t>P</w:t>
      </w:r>
      <w:r w:rsidR="00C10772">
        <w:rPr>
          <w:lang w:val="en-US"/>
        </w:rPr>
        <w:t xml:space="preserve">urchase </w:t>
      </w:r>
      <w:r w:rsidRPr="00162829">
        <w:rPr>
          <w:lang w:val="en-US"/>
        </w:rPr>
        <w:t>P</w:t>
      </w:r>
      <w:r w:rsidR="00C10772">
        <w:rPr>
          <w:lang w:val="en-US"/>
        </w:rPr>
        <w:t>rogramme (PSPP)</w:t>
      </w:r>
      <w:r w:rsidRPr="00162829">
        <w:rPr>
          <w:lang w:val="en-US"/>
        </w:rPr>
        <w:t xml:space="preserve"> programs, started to intervene in public debt markets. This reduced market pressures and sovereign yields. Member estates started to enjoy cheap borrowing and the risk of default was averted in most European economies. </w:t>
      </w:r>
    </w:p>
    <w:p w:rsidR="00162829" w:rsidRPr="00162829" w:rsidRDefault="00162829" w:rsidP="003C5657">
      <w:pPr>
        <w:jc w:val="both"/>
        <w:rPr>
          <w:lang w:val="en-US"/>
        </w:rPr>
      </w:pPr>
      <w:r w:rsidRPr="00162829">
        <w:rPr>
          <w:lang w:val="en-US"/>
        </w:rPr>
        <w:t>By the end of February 2017, the ECB ha</w:t>
      </w:r>
      <w:r w:rsidR="00C10772">
        <w:rPr>
          <w:lang w:val="en-US"/>
        </w:rPr>
        <w:t>d</w:t>
      </w:r>
      <w:r w:rsidRPr="00162829">
        <w:rPr>
          <w:lang w:val="en-US"/>
        </w:rPr>
        <w:t xml:space="preserve"> bought 1</w:t>
      </w:r>
      <w:r w:rsidR="00286B7F">
        <w:rPr>
          <w:lang w:val="en-US"/>
        </w:rPr>
        <w:t>.</w:t>
      </w:r>
      <w:r w:rsidRPr="00162829">
        <w:rPr>
          <w:lang w:val="en-US"/>
        </w:rPr>
        <w:t>412 billion euros of bonds under its Public Sector Purchase Program (PSPP), of which 155 billion were supranational bonds and 1.3 trillion were national government and agency bonds. Purchases of asset-backed securities reached 24 billion euros by the end of February, while holdings under the third Covered Bond Purchase Programme (CBPP3) amounted to 213 billion euros (see here for breakdowns). Starting in June 2016, the ECB also added a Corporate Sector Purchase Programme (CSPP), which now stands at 67 billion.</w:t>
      </w:r>
    </w:p>
    <w:p w:rsidR="00162829" w:rsidRPr="00162829" w:rsidRDefault="00162829" w:rsidP="003C5657">
      <w:pPr>
        <w:jc w:val="both"/>
        <w:rPr>
          <w:lang w:val="en-US"/>
        </w:rPr>
      </w:pPr>
      <w:r w:rsidRPr="00162829">
        <w:rPr>
          <w:lang w:val="en-US"/>
        </w:rPr>
        <w:t xml:space="preserve">In February 2017, the purchases under the asset purchase programme amounted 81 billion euros. As previously discussed, the implementation of this 81 billion euros of purchases is split between the ECB and the national central banks. This is reflected in Figure 3, which shows an increasing trend in central banks’ sovereign bond holdings since the start of the PSPP. </w:t>
      </w:r>
    </w:p>
    <w:p w:rsidR="00162829" w:rsidRPr="00B85EA7" w:rsidRDefault="00B85EA7" w:rsidP="00B85EA7">
      <w:pPr>
        <w:jc w:val="center"/>
        <w:rPr>
          <w:b/>
          <w:lang w:val="en-US"/>
        </w:rPr>
      </w:pPr>
      <w:r>
        <w:rPr>
          <w:b/>
          <w:lang w:val="en-US"/>
        </w:rPr>
        <w:t>Figure 3. Public debt holdings by the European Central Bank</w:t>
      </w:r>
    </w:p>
    <w:p w:rsidR="00162829" w:rsidRPr="00162829" w:rsidRDefault="00B85EA7" w:rsidP="00C70F1A">
      <w:pPr>
        <w:jc w:val="center"/>
        <w:rPr>
          <w:lang w:val="en-US"/>
        </w:rPr>
      </w:pPr>
      <w:r>
        <w:rPr>
          <w:noProof/>
          <w:lang w:eastAsia="es-ES"/>
        </w:rPr>
        <w:drawing>
          <wp:inline distT="0" distB="0" distL="0" distR="0" wp14:anchorId="564BF180" wp14:editId="087E06C2">
            <wp:extent cx="5743575" cy="3000375"/>
            <wp:effectExtent l="0" t="0" r="0" b="0"/>
            <wp:docPr id="3" name="Gráfico 3">
              <a:extLst xmlns:a="http://schemas.openxmlformats.org/drawingml/2006/main">
                <a:ext uri="{FF2B5EF4-FFF2-40B4-BE49-F238E27FC236}">
                  <a16:creationId xmlns:a16="http://schemas.microsoft.com/office/drawing/2014/main" id="{DE723E5C-1FC8-40A7-857D-F3D4CC011C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62829" w:rsidRPr="00162829" w:rsidRDefault="00B85EA7" w:rsidP="00162829">
      <w:pPr>
        <w:rPr>
          <w:lang w:val="en-US"/>
        </w:rPr>
      </w:pPr>
      <w:r>
        <w:rPr>
          <w:lang w:val="en-US"/>
        </w:rPr>
        <w:t xml:space="preserve">Source: Bruegel sovereign bond holdings dataset. </w:t>
      </w:r>
    </w:p>
    <w:p w:rsidR="00162829" w:rsidRPr="00162829" w:rsidRDefault="00162829" w:rsidP="003C5657">
      <w:pPr>
        <w:jc w:val="both"/>
        <w:rPr>
          <w:lang w:val="en-US"/>
        </w:rPr>
      </w:pPr>
      <w:r w:rsidRPr="00162829">
        <w:rPr>
          <w:lang w:val="en-US"/>
        </w:rPr>
        <w:t xml:space="preserve">According </w:t>
      </w:r>
      <w:r w:rsidR="0087681D">
        <w:rPr>
          <w:lang w:val="en-US"/>
        </w:rPr>
        <w:t>to ECB's view, through the PSPP</w:t>
      </w:r>
      <w:r w:rsidRPr="00162829">
        <w:rPr>
          <w:lang w:val="en-US"/>
        </w:rPr>
        <w:t xml:space="preserve"> the Eurosystem </w:t>
      </w:r>
      <w:r w:rsidR="00C70F1A">
        <w:rPr>
          <w:lang w:val="en-US"/>
        </w:rPr>
        <w:t>“</w:t>
      </w:r>
      <w:r w:rsidRPr="00162829">
        <w:rPr>
          <w:lang w:val="en-US"/>
        </w:rPr>
        <w:t>intends to conduct purchases in a gradual and broad-based manner, aiming to achieve market neutrality in order to avoid interfering with the mark</w:t>
      </w:r>
      <w:r w:rsidR="00B85EA7">
        <w:rPr>
          <w:lang w:val="en-US"/>
        </w:rPr>
        <w:t>et price formation mechanism</w:t>
      </w:r>
      <w:r w:rsidR="00C70F1A">
        <w:rPr>
          <w:lang w:val="en-US"/>
        </w:rPr>
        <w:t>”</w:t>
      </w:r>
      <w:r w:rsidR="00B85EA7">
        <w:rPr>
          <w:lang w:val="en-US"/>
        </w:rPr>
        <w:t>.</w:t>
      </w:r>
    </w:p>
    <w:p w:rsidR="00162829" w:rsidRPr="00162829" w:rsidRDefault="00162829" w:rsidP="003C5657">
      <w:pPr>
        <w:jc w:val="both"/>
        <w:rPr>
          <w:lang w:val="en-US"/>
        </w:rPr>
      </w:pPr>
      <w:r w:rsidRPr="00162829">
        <w:rPr>
          <w:lang w:val="en-US"/>
        </w:rPr>
        <w:t xml:space="preserve">The PSPP is part of </w:t>
      </w:r>
      <w:r w:rsidR="00286B7F">
        <w:rPr>
          <w:lang w:val="en-US"/>
        </w:rPr>
        <w:t>a</w:t>
      </w:r>
      <w:r w:rsidRPr="00162829">
        <w:rPr>
          <w:lang w:val="en-US"/>
        </w:rPr>
        <w:t xml:space="preserve"> broader strategy. Asset purchases provide monetary stimulus to the economy in a context where key ECB interest rates are at the lower bound. They further ease monetary and financial conditions, making access to finance cheaper for firms and households. This tends to support investment and consumption, and ultimately contributes to a return of infl</w:t>
      </w:r>
      <w:r w:rsidR="00B85EA7">
        <w:rPr>
          <w:lang w:val="en-US"/>
        </w:rPr>
        <w:t>ation rates towards 2 per cent.</w:t>
      </w:r>
    </w:p>
    <w:p w:rsidR="00EB349C" w:rsidRDefault="00162829" w:rsidP="00C70F1A">
      <w:pPr>
        <w:jc w:val="both"/>
        <w:rPr>
          <w:lang w:val="en-US"/>
        </w:rPr>
      </w:pPr>
      <w:r w:rsidRPr="00162829">
        <w:rPr>
          <w:lang w:val="en-US"/>
        </w:rPr>
        <w:lastRenderedPageBreak/>
        <w:t xml:space="preserve">Figure 4 suggests that inflation is not a threat for the ECB's price stability goal at the moment. Prices are growing below the two per cent threshold established by the monetary authorities. Even though, headline inflation has been growing since </w:t>
      </w:r>
      <w:r w:rsidR="001B13B0" w:rsidRPr="00162829">
        <w:rPr>
          <w:lang w:val="en-US"/>
        </w:rPr>
        <w:t>March</w:t>
      </w:r>
      <w:r w:rsidRPr="00162829">
        <w:rPr>
          <w:lang w:val="en-US"/>
        </w:rPr>
        <w:t xml:space="preserve"> 2016 while core inflation has been steadily increasing since the beginning of 2014. </w:t>
      </w:r>
    </w:p>
    <w:p w:rsidR="00EB349C" w:rsidRPr="00EB349C" w:rsidRDefault="00EB349C" w:rsidP="00EB349C">
      <w:pPr>
        <w:jc w:val="center"/>
        <w:rPr>
          <w:b/>
          <w:lang w:val="en-US"/>
        </w:rPr>
      </w:pPr>
      <w:r>
        <w:rPr>
          <w:b/>
          <w:lang w:val="en-US"/>
        </w:rPr>
        <w:t xml:space="preserve">Figure 4. </w:t>
      </w:r>
      <w:r w:rsidR="001B13B0" w:rsidRPr="00CC223B">
        <w:rPr>
          <w:b/>
          <w:lang w:val="en-US"/>
        </w:rPr>
        <w:t>Harmonized</w:t>
      </w:r>
      <w:r w:rsidRPr="00CC223B">
        <w:rPr>
          <w:b/>
          <w:lang w:val="en-US"/>
        </w:rPr>
        <w:t xml:space="preserve"> mon</w:t>
      </w:r>
      <w:r>
        <w:rPr>
          <w:b/>
          <w:lang w:val="en-US"/>
        </w:rPr>
        <w:t>thly index of consumer prices. Seasonally adjusted data. 2015=100</w:t>
      </w:r>
    </w:p>
    <w:p w:rsidR="00162829" w:rsidRPr="00162829" w:rsidRDefault="00CC19F7" w:rsidP="00CC19F7">
      <w:pPr>
        <w:jc w:val="center"/>
        <w:rPr>
          <w:lang w:val="en-US"/>
        </w:rPr>
      </w:pPr>
      <w:r>
        <w:rPr>
          <w:noProof/>
          <w:lang w:eastAsia="es-ES"/>
        </w:rPr>
        <w:drawing>
          <wp:inline distT="0" distB="0" distL="0" distR="0" wp14:anchorId="2E1ACC28" wp14:editId="62331824">
            <wp:extent cx="4848225" cy="2971800"/>
            <wp:effectExtent l="0" t="0" r="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62829" w:rsidRPr="00162829" w:rsidRDefault="00EB349C" w:rsidP="00162829">
      <w:pPr>
        <w:rPr>
          <w:lang w:val="en-US"/>
        </w:rPr>
      </w:pPr>
      <w:r>
        <w:rPr>
          <w:lang w:val="en-US"/>
        </w:rPr>
        <w:t xml:space="preserve">Source: European Central Bank. </w:t>
      </w:r>
    </w:p>
    <w:p w:rsidR="001B13B0" w:rsidRDefault="001B13B0" w:rsidP="003C5657">
      <w:pPr>
        <w:jc w:val="both"/>
        <w:rPr>
          <w:lang w:val="en-US"/>
        </w:rPr>
      </w:pPr>
    </w:p>
    <w:p w:rsidR="00C70F1A" w:rsidRDefault="00162829" w:rsidP="003C5657">
      <w:pPr>
        <w:jc w:val="both"/>
        <w:rPr>
          <w:lang w:val="en-US"/>
        </w:rPr>
      </w:pPr>
      <w:r w:rsidRPr="00162829">
        <w:rPr>
          <w:lang w:val="en-US"/>
        </w:rPr>
        <w:t xml:space="preserve">According to </w:t>
      </w:r>
      <w:r w:rsidR="0087681D">
        <w:rPr>
          <w:lang w:val="en-US"/>
        </w:rPr>
        <w:t>ECB’s</w:t>
      </w:r>
      <w:r w:rsidRPr="00162829">
        <w:rPr>
          <w:lang w:val="en-US"/>
        </w:rPr>
        <w:t xml:space="preserve"> </w:t>
      </w:r>
      <w:r w:rsidR="00450792">
        <w:rPr>
          <w:lang w:val="en-US"/>
        </w:rPr>
        <w:t>October 2018</w:t>
      </w:r>
      <w:r w:rsidRPr="00162829">
        <w:rPr>
          <w:lang w:val="en-US"/>
        </w:rPr>
        <w:t xml:space="preserve"> statement: </w:t>
      </w:r>
      <w:r w:rsidR="00C70F1A">
        <w:rPr>
          <w:lang w:val="en-US"/>
        </w:rPr>
        <w:t>“</w:t>
      </w:r>
      <w:r w:rsidR="00C70F1A" w:rsidRPr="00C70F1A">
        <w:rPr>
          <w:lang w:val="en-US"/>
        </w:rPr>
        <w:t>The underlying strength of the economy continues to support our confidence that the sustained convergence of inflation to our aim will proceed and will be maintained even after a gradual winding-down of our net asset purchases. At the same time, uncertainties relating to protectionism, vulnerabilities in emerging markets and financial market volatility remain prominent. Significant monetary policy stimulus is still needed to support the further build-up of domestic price pressures and headline inflation developments over the medium term</w:t>
      </w:r>
      <w:r w:rsidR="00C70F1A">
        <w:rPr>
          <w:lang w:val="en-US"/>
        </w:rPr>
        <w:t>”</w:t>
      </w:r>
      <w:r w:rsidR="00286B7F">
        <w:rPr>
          <w:lang w:val="en-US"/>
        </w:rPr>
        <w:t xml:space="preserve"> (ECB, 2018). </w:t>
      </w:r>
    </w:p>
    <w:p w:rsidR="00162829" w:rsidRPr="00162829" w:rsidRDefault="00162829" w:rsidP="003C5657">
      <w:pPr>
        <w:jc w:val="both"/>
        <w:rPr>
          <w:lang w:val="en-US"/>
        </w:rPr>
      </w:pPr>
      <w:r w:rsidRPr="00162829">
        <w:rPr>
          <w:lang w:val="en-US"/>
        </w:rPr>
        <w:t xml:space="preserve">If inflation </w:t>
      </w:r>
      <w:r w:rsidR="0087681D">
        <w:rPr>
          <w:lang w:val="en-US"/>
        </w:rPr>
        <w:t>rises in the mid-term</w:t>
      </w:r>
      <w:r w:rsidRPr="00162829">
        <w:rPr>
          <w:lang w:val="en-US"/>
        </w:rPr>
        <w:t xml:space="preserve"> the ECB </w:t>
      </w:r>
      <w:r w:rsidR="0087681D">
        <w:rPr>
          <w:lang w:val="en-US"/>
        </w:rPr>
        <w:t>will</w:t>
      </w:r>
      <w:r w:rsidRPr="00162829">
        <w:rPr>
          <w:lang w:val="en-US"/>
        </w:rPr>
        <w:t xml:space="preserve"> be forced to react and to </w:t>
      </w:r>
      <w:r w:rsidR="0087681D">
        <w:rPr>
          <w:lang w:val="en-US"/>
        </w:rPr>
        <w:t>reduce its market interventions,</w:t>
      </w:r>
      <w:r w:rsidRPr="00162829">
        <w:rPr>
          <w:lang w:val="en-US"/>
        </w:rPr>
        <w:t xml:space="preserve"> </w:t>
      </w:r>
      <w:r w:rsidR="0087681D">
        <w:rPr>
          <w:lang w:val="en-US"/>
        </w:rPr>
        <w:t>i</w:t>
      </w:r>
      <w:r w:rsidRPr="00162829">
        <w:rPr>
          <w:lang w:val="en-US"/>
        </w:rPr>
        <w:t xml:space="preserve">ncluding those focused on sovereign stability. </w:t>
      </w:r>
      <w:r w:rsidR="00C70F1A" w:rsidRPr="00162829">
        <w:rPr>
          <w:lang w:val="en-US"/>
        </w:rPr>
        <w:t>Therefore,</w:t>
      </w:r>
      <w:r w:rsidRPr="00162829">
        <w:rPr>
          <w:lang w:val="en-US"/>
        </w:rPr>
        <w:t xml:space="preserve"> the first risk that could prevent the ECB to keep implementing fiscal policies through monetary instruments c</w:t>
      </w:r>
      <w:r w:rsidR="00EB349C">
        <w:rPr>
          <w:lang w:val="en-US"/>
        </w:rPr>
        <w:t xml:space="preserve">ould be the rise of inflation. </w:t>
      </w:r>
    </w:p>
    <w:p w:rsidR="00162829" w:rsidRPr="00162829" w:rsidRDefault="00162829" w:rsidP="003C5657">
      <w:pPr>
        <w:jc w:val="both"/>
        <w:rPr>
          <w:lang w:val="en-US"/>
        </w:rPr>
      </w:pPr>
      <w:r w:rsidRPr="00162829">
        <w:rPr>
          <w:lang w:val="en-US"/>
        </w:rPr>
        <w:t>There is a second risk associated with political instability and the anti-euro backlash that is currently appearing in some European countries like France, Germany or Italy: the rise of anti-European parties willing to promote exit votes for leaving th</w:t>
      </w:r>
      <w:r w:rsidR="00EB349C">
        <w:rPr>
          <w:lang w:val="en-US"/>
        </w:rPr>
        <w:t>e monetary and economic unions.</w:t>
      </w:r>
    </w:p>
    <w:p w:rsidR="00EB349C" w:rsidRDefault="00162829" w:rsidP="00C70F1A">
      <w:pPr>
        <w:jc w:val="both"/>
        <w:rPr>
          <w:lang w:val="en-US"/>
        </w:rPr>
      </w:pPr>
      <w:r w:rsidRPr="00162829">
        <w:rPr>
          <w:lang w:val="en-US"/>
        </w:rPr>
        <w:t xml:space="preserve">Those parties are being capable of attracting the growing Euroscepticism that has been </w:t>
      </w:r>
      <w:r w:rsidR="00C70F1A">
        <w:rPr>
          <w:lang w:val="en-US"/>
        </w:rPr>
        <w:t>expanding</w:t>
      </w:r>
      <w:r w:rsidRPr="00162829">
        <w:rPr>
          <w:lang w:val="en-US"/>
        </w:rPr>
        <w:t xml:space="preserve"> in member states since 2006</w:t>
      </w:r>
      <w:r w:rsidR="00C70F1A">
        <w:rPr>
          <w:lang w:val="en-US"/>
        </w:rPr>
        <w:t xml:space="preserve"> until the end of 2016</w:t>
      </w:r>
      <w:r w:rsidRPr="00162829">
        <w:rPr>
          <w:lang w:val="en-US"/>
        </w:rPr>
        <w:t xml:space="preserve">. Figure 5 shows the percentage of citizens in each country with a </w:t>
      </w:r>
      <w:r w:rsidR="00286B7F">
        <w:rPr>
          <w:lang w:val="en-US"/>
        </w:rPr>
        <w:t>“</w:t>
      </w:r>
      <w:r w:rsidRPr="00162829">
        <w:rPr>
          <w:lang w:val="en-US"/>
        </w:rPr>
        <w:t>fairly negative</w:t>
      </w:r>
      <w:r w:rsidR="00286B7F">
        <w:rPr>
          <w:lang w:val="en-US"/>
        </w:rPr>
        <w:t>”</w:t>
      </w:r>
      <w:r w:rsidRPr="00162829">
        <w:rPr>
          <w:lang w:val="en-US"/>
        </w:rPr>
        <w:t xml:space="preserve"> or </w:t>
      </w:r>
      <w:r w:rsidR="00286B7F">
        <w:rPr>
          <w:lang w:val="en-US"/>
        </w:rPr>
        <w:t>“</w:t>
      </w:r>
      <w:r w:rsidRPr="00162829">
        <w:rPr>
          <w:lang w:val="en-US"/>
        </w:rPr>
        <w:t>very negative</w:t>
      </w:r>
      <w:r w:rsidR="00286B7F">
        <w:rPr>
          <w:lang w:val="en-US"/>
        </w:rPr>
        <w:t xml:space="preserve">” </w:t>
      </w:r>
      <w:r w:rsidRPr="00162829">
        <w:rPr>
          <w:lang w:val="en-US"/>
        </w:rPr>
        <w:t xml:space="preserve">view of the European Union. </w:t>
      </w:r>
    </w:p>
    <w:p w:rsidR="001B13B0" w:rsidRDefault="001B13B0" w:rsidP="00286B7F">
      <w:pPr>
        <w:rPr>
          <w:b/>
          <w:lang w:val="en-US"/>
        </w:rPr>
      </w:pPr>
    </w:p>
    <w:p w:rsidR="001B13B0" w:rsidRDefault="001B13B0" w:rsidP="00EB349C">
      <w:pPr>
        <w:jc w:val="center"/>
        <w:rPr>
          <w:b/>
          <w:lang w:val="en-US"/>
        </w:rPr>
      </w:pPr>
    </w:p>
    <w:p w:rsidR="00EB349C" w:rsidRPr="005F2106" w:rsidRDefault="00A2050F" w:rsidP="00EB349C">
      <w:pPr>
        <w:jc w:val="center"/>
        <w:rPr>
          <w:b/>
          <w:lang w:val="en-US"/>
        </w:rPr>
      </w:pPr>
      <w:r w:rsidRPr="005F2106">
        <w:rPr>
          <w:b/>
          <w:lang w:val="en-US"/>
        </w:rPr>
        <w:lastRenderedPageBreak/>
        <w:t>Figure 5. Percentage of citizens with a fairly negative or very negative view about the EU</w:t>
      </w:r>
    </w:p>
    <w:p w:rsidR="00EB349C" w:rsidRDefault="00EB349C" w:rsidP="00EB349C">
      <w:pPr>
        <w:jc w:val="center"/>
        <w:rPr>
          <w:lang w:val="en-US"/>
        </w:rPr>
      </w:pPr>
      <w:r>
        <w:rPr>
          <w:noProof/>
          <w:lang w:eastAsia="es-ES"/>
        </w:rPr>
        <w:drawing>
          <wp:inline distT="0" distB="0" distL="0" distR="0" wp14:anchorId="7A142B7F" wp14:editId="0C673684">
            <wp:extent cx="5400040" cy="3409315"/>
            <wp:effectExtent l="0" t="0" r="0" b="0"/>
            <wp:docPr id="15" name="Gráfico 15">
              <a:extLst xmlns:a="http://schemas.openxmlformats.org/drawingml/2006/main">
                <a:ext uri="{FF2B5EF4-FFF2-40B4-BE49-F238E27FC236}">
                  <a16:creationId xmlns:a16="http://schemas.microsoft.com/office/drawing/2014/main" id="{A0654D97-D023-4D06-86BB-2BA1744214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62829" w:rsidRPr="00162829" w:rsidRDefault="00EB349C" w:rsidP="00EB349C">
      <w:pPr>
        <w:rPr>
          <w:lang w:val="en-US"/>
        </w:rPr>
      </w:pPr>
      <w:r w:rsidRPr="00162829">
        <w:rPr>
          <w:lang w:val="en-US"/>
        </w:rPr>
        <w:t xml:space="preserve"> </w:t>
      </w:r>
      <w:r w:rsidR="00A2050F">
        <w:rPr>
          <w:lang w:val="en-US"/>
        </w:rPr>
        <w:t xml:space="preserve">Source: Eurobarometer. </w:t>
      </w:r>
    </w:p>
    <w:p w:rsidR="00162829" w:rsidRPr="00162829" w:rsidRDefault="00162829" w:rsidP="003C5657">
      <w:pPr>
        <w:jc w:val="both"/>
        <w:rPr>
          <w:lang w:val="en-US"/>
        </w:rPr>
      </w:pPr>
      <w:r w:rsidRPr="00162829">
        <w:rPr>
          <w:lang w:val="en-US"/>
        </w:rPr>
        <w:t xml:space="preserve">Negative views about the European Union experienced its lowest point in the years 2003 to 2007. After that, once the crisis began, they grew dramatically to moderate after 2013. Even though, the animosity against the European project </w:t>
      </w:r>
      <w:r w:rsidR="00286B7F">
        <w:rPr>
          <w:lang w:val="en-US"/>
        </w:rPr>
        <w:t>was</w:t>
      </w:r>
      <w:r w:rsidRPr="00162829">
        <w:rPr>
          <w:lang w:val="en-US"/>
        </w:rPr>
        <w:t xml:space="preserve">, at the end of 2016, higher than in 2000 in most Eurozone countries. There are two cases were negative views </w:t>
      </w:r>
      <w:r w:rsidR="00032A0F">
        <w:rPr>
          <w:lang w:val="en-US"/>
        </w:rPr>
        <w:t>were</w:t>
      </w:r>
      <w:r w:rsidRPr="00162829">
        <w:rPr>
          <w:lang w:val="en-US"/>
        </w:rPr>
        <w:t xml:space="preserve"> particularly high</w:t>
      </w:r>
      <w:r w:rsidR="00032A0F">
        <w:rPr>
          <w:lang w:val="en-US"/>
        </w:rPr>
        <w:t xml:space="preserve"> at that moment</w:t>
      </w:r>
      <w:r w:rsidRPr="00162829">
        <w:rPr>
          <w:lang w:val="en-US"/>
        </w:rPr>
        <w:t>: Greece (47.5 per cen</w:t>
      </w:r>
      <w:r w:rsidR="00A2050F">
        <w:rPr>
          <w:lang w:val="en-US"/>
        </w:rPr>
        <w:t>t) and Austria (35.8 per cent).</w:t>
      </w:r>
    </w:p>
    <w:p w:rsidR="00162829" w:rsidRPr="00162829" w:rsidRDefault="00032A0F" w:rsidP="003C5657">
      <w:pPr>
        <w:jc w:val="both"/>
        <w:rPr>
          <w:lang w:val="en-US"/>
        </w:rPr>
      </w:pPr>
      <w:r>
        <w:rPr>
          <w:lang w:val="en-US"/>
        </w:rPr>
        <w:t>There is</w:t>
      </w:r>
      <w:r w:rsidR="00162829" w:rsidRPr="00162829">
        <w:rPr>
          <w:lang w:val="en-US"/>
        </w:rPr>
        <w:t xml:space="preserve"> </w:t>
      </w:r>
      <w:r>
        <w:rPr>
          <w:lang w:val="en-US"/>
        </w:rPr>
        <w:t xml:space="preserve">also </w:t>
      </w:r>
      <w:r w:rsidR="00162829" w:rsidRPr="00162829">
        <w:rPr>
          <w:lang w:val="en-US"/>
        </w:rPr>
        <w:t xml:space="preserve">group of countries where negative views are close </w:t>
      </w:r>
      <w:r w:rsidR="0087681D">
        <w:rPr>
          <w:lang w:val="en-US"/>
        </w:rPr>
        <w:t xml:space="preserve">to </w:t>
      </w:r>
      <w:r w:rsidR="00162829" w:rsidRPr="00162829">
        <w:rPr>
          <w:lang w:val="en-US"/>
        </w:rPr>
        <w:t xml:space="preserve">30 per cent of the population: Netherlands, Italy, France and Belgium. </w:t>
      </w:r>
      <w:r>
        <w:rPr>
          <w:lang w:val="en-US"/>
        </w:rPr>
        <w:t xml:space="preserve"> Even after the increase in support shown from 2016 to 2018, </w:t>
      </w:r>
      <w:r w:rsidR="00162829" w:rsidRPr="00162829">
        <w:rPr>
          <w:lang w:val="en-US"/>
        </w:rPr>
        <w:t>in one half of the original Eurozone member countries, there is a strong opposition to the European project that needs to be managed and that could limit the scope of policies.</w:t>
      </w:r>
      <w:r w:rsidR="00A2050F">
        <w:rPr>
          <w:lang w:val="en-US"/>
        </w:rPr>
        <w:t xml:space="preserve">  </w:t>
      </w:r>
    </w:p>
    <w:p w:rsidR="00162829" w:rsidRPr="00162829" w:rsidRDefault="00162829" w:rsidP="003C5657">
      <w:pPr>
        <w:jc w:val="both"/>
        <w:rPr>
          <w:lang w:val="en-US"/>
        </w:rPr>
      </w:pPr>
      <w:r w:rsidRPr="00162829">
        <w:rPr>
          <w:lang w:val="en-US"/>
        </w:rPr>
        <w:t xml:space="preserve">It is important to highlight that the current public debt holdings in the Eurozone represent an important vulnerability to the Eurozone stability, even after the increase in ECB's holdings previously described. </w:t>
      </w:r>
    </w:p>
    <w:p w:rsidR="00162829" w:rsidRPr="00162829" w:rsidRDefault="00162829" w:rsidP="003C5657">
      <w:pPr>
        <w:jc w:val="both"/>
        <w:rPr>
          <w:lang w:val="en-US"/>
        </w:rPr>
      </w:pPr>
      <w:r w:rsidRPr="00162829">
        <w:rPr>
          <w:lang w:val="en-US"/>
        </w:rPr>
        <w:t xml:space="preserve">Total public debt holdings by economic agents other than the ECB are relatively stable for the period 2014 - 2016, moving between 1.600 and 1.800 million euros. This fact suggests even if the impact of ECB's role on sovereign markets has been enough to curb yields, there is still a public debt problem that needs to be seriously addressed. ECB's monetary support to fiscal policy needs to be complemented by some kind of guarantee from the center, as the literature has pointed </w:t>
      </w:r>
      <w:r w:rsidR="00032A0F" w:rsidRPr="00032A0F">
        <w:rPr>
          <w:lang w:val="en-US"/>
        </w:rPr>
        <w:t>(Gros and Micossi, 2008)</w:t>
      </w:r>
      <w:r w:rsidRPr="00162829">
        <w:rPr>
          <w:lang w:val="en-US"/>
        </w:rPr>
        <w:t xml:space="preserve">. </w:t>
      </w:r>
    </w:p>
    <w:p w:rsidR="00162829" w:rsidRDefault="00162829" w:rsidP="00162829">
      <w:pPr>
        <w:rPr>
          <w:lang w:val="en-US"/>
        </w:rPr>
      </w:pPr>
    </w:p>
    <w:p w:rsidR="00A2050F" w:rsidRDefault="00A2050F" w:rsidP="00162829">
      <w:pPr>
        <w:rPr>
          <w:lang w:val="en-US"/>
        </w:rPr>
      </w:pPr>
    </w:p>
    <w:p w:rsidR="0087681D" w:rsidRDefault="0087681D" w:rsidP="00162829">
      <w:pPr>
        <w:rPr>
          <w:lang w:val="en-US"/>
        </w:rPr>
      </w:pPr>
    </w:p>
    <w:p w:rsidR="00A2050F" w:rsidRPr="00162829" w:rsidRDefault="00A2050F" w:rsidP="00162829">
      <w:pPr>
        <w:rPr>
          <w:lang w:val="en-US"/>
        </w:rPr>
      </w:pPr>
    </w:p>
    <w:p w:rsidR="00162829" w:rsidRPr="00F24CDC" w:rsidRDefault="00F24CDC" w:rsidP="00C10772">
      <w:pPr>
        <w:pStyle w:val="Prrafodelista"/>
        <w:numPr>
          <w:ilvl w:val="0"/>
          <w:numId w:val="8"/>
        </w:numPr>
        <w:rPr>
          <w:b/>
          <w:lang w:val="en-US"/>
        </w:rPr>
      </w:pPr>
      <w:r w:rsidRPr="00F24CDC">
        <w:rPr>
          <w:b/>
          <w:lang w:val="en-US"/>
        </w:rPr>
        <w:lastRenderedPageBreak/>
        <w:t>The Adjustment-Populism Loop</w:t>
      </w:r>
    </w:p>
    <w:p w:rsidR="00162829" w:rsidRPr="00CC223B" w:rsidRDefault="00162829" w:rsidP="003C5657">
      <w:pPr>
        <w:jc w:val="both"/>
        <w:rPr>
          <w:lang w:val="en-US"/>
        </w:rPr>
      </w:pPr>
      <w:r w:rsidRPr="00162829">
        <w:rPr>
          <w:lang w:val="en-US"/>
        </w:rPr>
        <w:t xml:space="preserve">Pro-European parties face an important challenge regarding </w:t>
      </w:r>
      <w:r w:rsidRPr="00CC223B">
        <w:rPr>
          <w:lang w:val="en-US"/>
        </w:rPr>
        <w:t xml:space="preserve">debt </w:t>
      </w:r>
      <w:r w:rsidR="00404B1E" w:rsidRPr="00CC223B">
        <w:rPr>
          <w:lang w:val="en-US"/>
        </w:rPr>
        <w:t>mutualiz</w:t>
      </w:r>
      <w:r w:rsidRPr="00CC223B">
        <w:rPr>
          <w:lang w:val="en-US"/>
        </w:rPr>
        <w:t xml:space="preserve">ation. States with lower financial needs find that any </w:t>
      </w:r>
      <w:r w:rsidR="00286B7F">
        <w:rPr>
          <w:lang w:val="en-US"/>
        </w:rPr>
        <w:t xml:space="preserve">borrowing </w:t>
      </w:r>
      <w:r w:rsidRPr="00CC223B">
        <w:rPr>
          <w:lang w:val="en-US"/>
        </w:rPr>
        <w:t>at</w:t>
      </w:r>
      <w:r w:rsidR="00286B7F">
        <w:rPr>
          <w:lang w:val="en-US"/>
        </w:rPr>
        <w:t xml:space="preserve"> </w:t>
      </w:r>
      <w:r w:rsidRPr="00CC223B">
        <w:rPr>
          <w:lang w:val="en-US"/>
        </w:rPr>
        <w:t>the</w:t>
      </w:r>
      <w:r w:rsidR="00286B7F">
        <w:rPr>
          <w:lang w:val="en-US"/>
        </w:rPr>
        <w:t xml:space="preserve"> </w:t>
      </w:r>
      <w:r w:rsidRPr="00CC223B">
        <w:rPr>
          <w:lang w:val="en-US"/>
        </w:rPr>
        <w:t>center mechanism would require from their generosity, since it would mean covering highly indebted st</w:t>
      </w:r>
      <w:r w:rsidR="00F24CDC" w:rsidRPr="00CC223B">
        <w:rPr>
          <w:lang w:val="en-US"/>
        </w:rPr>
        <w:t xml:space="preserve">ates for their excessive risk. </w:t>
      </w:r>
    </w:p>
    <w:p w:rsidR="00162829" w:rsidRPr="00CC223B" w:rsidRDefault="00162829" w:rsidP="003C5657">
      <w:pPr>
        <w:jc w:val="both"/>
        <w:rPr>
          <w:lang w:val="en-US"/>
        </w:rPr>
      </w:pPr>
      <w:r w:rsidRPr="00CC223B">
        <w:rPr>
          <w:lang w:val="en-US"/>
        </w:rPr>
        <w:t xml:space="preserve">Countries with higher public debt to GDP ratios find that any of the mechanisms currently under discussion could increase the pressure on them to accelerate economic reforms, in exchange for the protection received, through some kind of implicit or explicit conditionality. There is a high social pressure on both sides. Countries need to transfer financial sovereignty </w:t>
      </w:r>
      <w:r w:rsidR="00F24CDC" w:rsidRPr="00CC223B">
        <w:rPr>
          <w:lang w:val="en-US"/>
        </w:rPr>
        <w:t xml:space="preserve">in a politically feasible way. </w:t>
      </w:r>
    </w:p>
    <w:p w:rsidR="00162829" w:rsidRPr="00162829" w:rsidRDefault="00162829" w:rsidP="003C5657">
      <w:pPr>
        <w:jc w:val="both"/>
        <w:rPr>
          <w:lang w:val="en-US"/>
        </w:rPr>
      </w:pPr>
      <w:r w:rsidRPr="00CC223B">
        <w:rPr>
          <w:lang w:val="en-US"/>
        </w:rPr>
        <w:t>Anti-European parties, both from debtor and creditor states, try to take advantage of this situation. The nonexisten</w:t>
      </w:r>
      <w:r w:rsidR="00404B1E" w:rsidRPr="00CC223B">
        <w:rPr>
          <w:lang w:val="en-US"/>
        </w:rPr>
        <w:t>ce of some kind of debt mutualiz</w:t>
      </w:r>
      <w:r w:rsidRPr="00CC223B">
        <w:rPr>
          <w:lang w:val="en-US"/>
        </w:rPr>
        <w:t>ation mechanism increases the cost of the adjustment for member states; economic adjustment is harder to develop in a monetary union without the appropriate institutional framework since it can only</w:t>
      </w:r>
      <w:r w:rsidRPr="00162829">
        <w:rPr>
          <w:lang w:val="en-US"/>
        </w:rPr>
        <w:t xml:space="preserve"> be done through </w:t>
      </w:r>
      <w:r w:rsidR="00F24CDC">
        <w:rPr>
          <w:lang w:val="en-US"/>
        </w:rPr>
        <w:t xml:space="preserve">spending-switching mechanisms. </w:t>
      </w:r>
    </w:p>
    <w:p w:rsidR="00162829" w:rsidRPr="00162829" w:rsidRDefault="00162829" w:rsidP="003C5657">
      <w:pPr>
        <w:jc w:val="both"/>
        <w:rPr>
          <w:lang w:val="en-US"/>
        </w:rPr>
      </w:pPr>
      <w:r w:rsidRPr="00162829">
        <w:rPr>
          <w:lang w:val="en-US"/>
        </w:rPr>
        <w:t xml:space="preserve">The recovery process of the great recession has eased the conditions for the appearance of populist movements in Europe. First, because it was not immediate. Figure 7 shows the evolution of real GDP growth in the period 2007 to 2020. </w:t>
      </w:r>
    </w:p>
    <w:p w:rsidR="00162829" w:rsidRPr="005F2106" w:rsidRDefault="00F24CDC" w:rsidP="00F24CDC">
      <w:pPr>
        <w:jc w:val="center"/>
        <w:rPr>
          <w:b/>
          <w:lang w:val="en-US"/>
        </w:rPr>
      </w:pPr>
      <w:r w:rsidRPr="005F2106">
        <w:rPr>
          <w:b/>
          <w:lang w:val="en-US"/>
        </w:rPr>
        <w:t>Figure 7. Recovery: GDP Growth</w:t>
      </w:r>
    </w:p>
    <w:p w:rsidR="00162829" w:rsidRDefault="00F24CDC" w:rsidP="00162829">
      <w:pPr>
        <w:rPr>
          <w:lang w:val="en-US"/>
        </w:rPr>
      </w:pPr>
      <w:r w:rsidRPr="00F24CDC">
        <w:rPr>
          <w:noProof/>
          <w:lang w:eastAsia="es-ES"/>
        </w:rPr>
        <w:drawing>
          <wp:inline distT="0" distB="0" distL="0" distR="0" wp14:anchorId="042B9316" wp14:editId="06C555A0">
            <wp:extent cx="5495925" cy="3467100"/>
            <wp:effectExtent l="0" t="0" r="0" b="0"/>
            <wp:docPr id="16" name="Gráfico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24CDC" w:rsidRPr="00162829" w:rsidRDefault="00F24CDC" w:rsidP="00162829">
      <w:pPr>
        <w:rPr>
          <w:lang w:val="en-US"/>
        </w:rPr>
      </w:pPr>
      <w:r>
        <w:rPr>
          <w:lang w:val="en-US"/>
        </w:rPr>
        <w:t xml:space="preserve">Source: IMF, World Economic Outlook. Note: Ireland has been excluded due to its extraordinary GDP growth in the year 2015 (above 25% increase). </w:t>
      </w:r>
    </w:p>
    <w:p w:rsidR="005F2106" w:rsidRDefault="005F2106" w:rsidP="00162829">
      <w:pPr>
        <w:rPr>
          <w:lang w:val="en-US"/>
        </w:rPr>
      </w:pPr>
    </w:p>
    <w:p w:rsidR="005F2106" w:rsidRDefault="005F2106" w:rsidP="00162829">
      <w:pPr>
        <w:rPr>
          <w:lang w:val="en-US"/>
        </w:rPr>
      </w:pPr>
    </w:p>
    <w:p w:rsidR="00162829" w:rsidRPr="00162829" w:rsidRDefault="00162829" w:rsidP="003C5657">
      <w:pPr>
        <w:jc w:val="both"/>
        <w:rPr>
          <w:lang w:val="en-US"/>
        </w:rPr>
      </w:pPr>
      <w:r w:rsidRPr="00162829">
        <w:rPr>
          <w:lang w:val="en-US"/>
        </w:rPr>
        <w:lastRenderedPageBreak/>
        <w:t xml:space="preserve">All the observed countries experienced a w-shaped </w:t>
      </w:r>
      <w:r w:rsidR="005F2106">
        <w:rPr>
          <w:lang w:val="en-US"/>
        </w:rPr>
        <w:t>crisis</w:t>
      </w:r>
      <w:r w:rsidRPr="00162829">
        <w:rPr>
          <w:lang w:val="en-US"/>
        </w:rPr>
        <w:t xml:space="preserve">. After an initial recovery from the financial crisis of the years 2008 and 2009, the sovereign crises that hit the Eurozone from 2010 </w:t>
      </w:r>
      <w:r w:rsidR="0087681D">
        <w:rPr>
          <w:lang w:val="en-US"/>
        </w:rPr>
        <w:t xml:space="preserve">on, </w:t>
      </w:r>
      <w:r w:rsidRPr="00162829">
        <w:rPr>
          <w:lang w:val="en-US"/>
        </w:rPr>
        <w:t>negatively affected economic activity even in counties like France and Germany.</w:t>
      </w:r>
      <w:r w:rsidR="005F2106">
        <w:rPr>
          <w:lang w:val="en-US"/>
        </w:rPr>
        <w:t xml:space="preserve"> </w:t>
      </w:r>
      <w:r w:rsidRPr="00162829">
        <w:rPr>
          <w:lang w:val="en-US"/>
        </w:rPr>
        <w:t>Recovery after 2011 has been uneven. Growth in most dynamic countries (</w:t>
      </w:r>
      <w:r w:rsidR="005F2106">
        <w:rPr>
          <w:lang w:val="en-US"/>
        </w:rPr>
        <w:t>like Spain or Ireland</w:t>
      </w:r>
      <w:r w:rsidR="0087681D">
        <w:rPr>
          <w:lang w:val="en-US"/>
        </w:rPr>
        <w:t>)</w:t>
      </w:r>
      <w:r w:rsidRPr="00162829">
        <w:rPr>
          <w:lang w:val="en-US"/>
        </w:rPr>
        <w:t xml:space="preserve"> is the consequence of unpopular political reforms and demanding internal adjustments. Figure 8 shows the evolution of nominal unit </w:t>
      </w:r>
      <w:r w:rsidR="005F2106" w:rsidRPr="00162829">
        <w:rPr>
          <w:lang w:val="en-US"/>
        </w:rPr>
        <w:t>labor</w:t>
      </w:r>
      <w:r w:rsidRPr="00162829">
        <w:rPr>
          <w:lang w:val="en-US"/>
        </w:rPr>
        <w:t xml:space="preserve"> costs between 2007 and 2017. </w:t>
      </w:r>
    </w:p>
    <w:p w:rsidR="00162829" w:rsidRPr="005F2106" w:rsidRDefault="005F2106" w:rsidP="005F2106">
      <w:pPr>
        <w:jc w:val="center"/>
        <w:rPr>
          <w:b/>
          <w:lang w:val="en-US"/>
        </w:rPr>
      </w:pPr>
      <w:r w:rsidRPr="005F2106">
        <w:rPr>
          <w:b/>
          <w:lang w:val="en-US"/>
        </w:rPr>
        <w:t>Figure 8. Nominal unit labor cost – 3 years percent change</w:t>
      </w:r>
    </w:p>
    <w:p w:rsidR="00162829" w:rsidRDefault="005F2106" w:rsidP="005F2106">
      <w:pPr>
        <w:rPr>
          <w:lang w:val="en-US"/>
        </w:rPr>
      </w:pPr>
      <w:r w:rsidRPr="005F2106">
        <w:rPr>
          <w:noProof/>
          <w:lang w:eastAsia="es-ES"/>
        </w:rPr>
        <w:drawing>
          <wp:inline distT="0" distB="0" distL="0" distR="0" wp14:anchorId="42FEAE07" wp14:editId="3961EB2D">
            <wp:extent cx="5457825" cy="3381375"/>
            <wp:effectExtent l="0" t="0" r="0" b="0"/>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F2106" w:rsidRPr="00162829" w:rsidRDefault="005F2106" w:rsidP="005F2106">
      <w:pPr>
        <w:rPr>
          <w:lang w:val="en-US"/>
        </w:rPr>
      </w:pPr>
      <w:r>
        <w:rPr>
          <w:lang w:val="en-US"/>
        </w:rPr>
        <w:t xml:space="preserve">Source: Eurostat. </w:t>
      </w:r>
    </w:p>
    <w:p w:rsidR="00162829" w:rsidRPr="00162829" w:rsidRDefault="00162829" w:rsidP="003C5657">
      <w:pPr>
        <w:jc w:val="both"/>
        <w:rPr>
          <w:lang w:val="en-US"/>
        </w:rPr>
      </w:pPr>
      <w:r w:rsidRPr="00162829">
        <w:rPr>
          <w:lang w:val="en-US"/>
        </w:rPr>
        <w:t xml:space="preserve">The comparison between pre-crisis labor costs and post-crisis </w:t>
      </w:r>
      <w:r w:rsidR="00631FEE">
        <w:rPr>
          <w:lang w:val="en-US"/>
        </w:rPr>
        <w:t xml:space="preserve">labor costs </w:t>
      </w:r>
      <w:r w:rsidRPr="00162829">
        <w:rPr>
          <w:lang w:val="en-US"/>
        </w:rPr>
        <w:t xml:space="preserve">shows that workers in the Eurozone experienced a dramatic </w:t>
      </w:r>
      <w:r w:rsidR="00631FEE">
        <w:rPr>
          <w:lang w:val="en-US"/>
        </w:rPr>
        <w:t xml:space="preserve">income </w:t>
      </w:r>
      <w:r w:rsidRPr="00162829">
        <w:rPr>
          <w:lang w:val="en-US"/>
        </w:rPr>
        <w:t>change between the years 2007 and 2010. For the case of Ireland, labor costs mostly grew at a 20 per cent rate in the year 2008 and fell below that threshold between 2010 and 2017. In Spain and Portugal, labor costs also f</w:t>
      </w:r>
      <w:r w:rsidR="005F2106">
        <w:rPr>
          <w:lang w:val="en-US"/>
        </w:rPr>
        <w:t>ell in the period 2011 to 2015</w:t>
      </w:r>
      <w:r w:rsidR="0087681D">
        <w:rPr>
          <w:lang w:val="en-US"/>
        </w:rPr>
        <w:t>, as it can be seen in Figure 8</w:t>
      </w:r>
      <w:r w:rsidR="005F2106">
        <w:rPr>
          <w:lang w:val="en-US"/>
        </w:rPr>
        <w:t>.</w:t>
      </w:r>
    </w:p>
    <w:p w:rsidR="00162829" w:rsidRPr="00162829" w:rsidRDefault="00162829" w:rsidP="003C5657">
      <w:pPr>
        <w:jc w:val="both"/>
        <w:rPr>
          <w:lang w:val="en-US"/>
        </w:rPr>
      </w:pPr>
      <w:r w:rsidRPr="00162829">
        <w:rPr>
          <w:lang w:val="en-US"/>
        </w:rPr>
        <w:t xml:space="preserve">The evolution of nominal labor costs, as well as the low inflation experienced in the </w:t>
      </w:r>
      <w:r w:rsidR="00404B1E" w:rsidRPr="00162829">
        <w:rPr>
          <w:lang w:val="en-US"/>
        </w:rPr>
        <w:t>Eurozone</w:t>
      </w:r>
      <w:r w:rsidRPr="00162829">
        <w:rPr>
          <w:lang w:val="en-US"/>
        </w:rPr>
        <w:t xml:space="preserve"> peripheral counties, </w:t>
      </w:r>
      <w:r w:rsidR="0087681D">
        <w:rPr>
          <w:lang w:val="en-US"/>
        </w:rPr>
        <w:t>transformed</w:t>
      </w:r>
      <w:r w:rsidRPr="00162829">
        <w:rPr>
          <w:lang w:val="en-US"/>
        </w:rPr>
        <w:t xml:space="preserve"> </w:t>
      </w:r>
      <w:r w:rsidR="00631FEE">
        <w:rPr>
          <w:lang w:val="en-US"/>
        </w:rPr>
        <w:t>their</w:t>
      </w:r>
      <w:r w:rsidRPr="00162829">
        <w:rPr>
          <w:lang w:val="en-US"/>
        </w:rPr>
        <w:t xml:space="preserve"> current account </w:t>
      </w:r>
      <w:r w:rsidR="00631FEE">
        <w:rPr>
          <w:lang w:val="en-US"/>
        </w:rPr>
        <w:t xml:space="preserve">balances from </w:t>
      </w:r>
      <w:r w:rsidRPr="00162829">
        <w:rPr>
          <w:lang w:val="en-US"/>
        </w:rPr>
        <w:t xml:space="preserve">deficit to surplus. Figure 9 shows the evolution of this indicator, as a percentage of GDP, from 2007 to 2020. For the first time in their recent history, countries like Spain were growing with a surplus in their current account balance. </w:t>
      </w:r>
    </w:p>
    <w:p w:rsidR="00162829" w:rsidRDefault="00162829" w:rsidP="00162829">
      <w:pPr>
        <w:rPr>
          <w:lang w:val="en-US"/>
        </w:rPr>
      </w:pP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Pr="005F2106" w:rsidRDefault="005F2106" w:rsidP="005F2106">
      <w:pPr>
        <w:jc w:val="center"/>
        <w:rPr>
          <w:b/>
          <w:lang w:val="en-US"/>
        </w:rPr>
      </w:pPr>
      <w:r w:rsidRPr="005F2106">
        <w:rPr>
          <w:b/>
          <w:lang w:val="en-US"/>
        </w:rPr>
        <w:lastRenderedPageBreak/>
        <w:t>Figure 9. Recovery: Current Account Balance</w:t>
      </w:r>
    </w:p>
    <w:p w:rsidR="00162829" w:rsidRDefault="005F2106" w:rsidP="005F2106">
      <w:pPr>
        <w:jc w:val="center"/>
        <w:rPr>
          <w:lang w:val="en-US"/>
        </w:rPr>
      </w:pPr>
      <w:r w:rsidRPr="005F2106">
        <w:rPr>
          <w:noProof/>
          <w:lang w:eastAsia="es-ES"/>
        </w:rPr>
        <w:drawing>
          <wp:inline distT="0" distB="0" distL="0" distR="0" wp14:anchorId="244DDB70" wp14:editId="34213CB7">
            <wp:extent cx="5400040" cy="3638550"/>
            <wp:effectExtent l="0" t="0" r="0" b="0"/>
            <wp:docPr id="20" name="Gráfico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F2106" w:rsidRPr="00162829" w:rsidRDefault="005F2106" w:rsidP="005F2106">
      <w:pPr>
        <w:rPr>
          <w:lang w:val="en-US"/>
        </w:rPr>
      </w:pPr>
      <w:r>
        <w:rPr>
          <w:lang w:val="en-US"/>
        </w:rPr>
        <w:t xml:space="preserve">Source: IMF, World Economic Outlook. </w:t>
      </w:r>
    </w:p>
    <w:p w:rsidR="00162829" w:rsidRDefault="00162829" w:rsidP="003C5657">
      <w:pPr>
        <w:jc w:val="both"/>
        <w:rPr>
          <w:lang w:val="en-US"/>
        </w:rPr>
      </w:pPr>
      <w:r w:rsidRPr="00162829">
        <w:rPr>
          <w:lang w:val="en-US"/>
        </w:rPr>
        <w:t xml:space="preserve">The negative impact of </w:t>
      </w:r>
      <w:r w:rsidR="002936AB">
        <w:rPr>
          <w:lang w:val="en-US"/>
        </w:rPr>
        <w:t xml:space="preserve">the </w:t>
      </w:r>
      <w:r w:rsidRPr="00162829">
        <w:rPr>
          <w:lang w:val="en-US"/>
        </w:rPr>
        <w:t xml:space="preserve">recession on public income and government spending, through automatic stabilizers, generated budget deficits and explosive public debt </w:t>
      </w:r>
      <w:r w:rsidR="002936AB">
        <w:rPr>
          <w:lang w:val="en-US"/>
        </w:rPr>
        <w:t>dynamics</w:t>
      </w:r>
      <w:r w:rsidRPr="00162829">
        <w:rPr>
          <w:lang w:val="en-US"/>
        </w:rPr>
        <w:t xml:space="preserve">. Figure </w:t>
      </w:r>
      <w:r w:rsidR="002936AB">
        <w:rPr>
          <w:lang w:val="en-US"/>
        </w:rPr>
        <w:t>10</w:t>
      </w:r>
      <w:r w:rsidRPr="00162829">
        <w:rPr>
          <w:lang w:val="en-US"/>
        </w:rPr>
        <w:t xml:space="preserve"> shows the evolution of both indicators </w:t>
      </w:r>
      <w:r w:rsidR="0087681D">
        <w:rPr>
          <w:lang w:val="en-US"/>
        </w:rPr>
        <w:t xml:space="preserve">from </w:t>
      </w:r>
      <w:r w:rsidRPr="00162829">
        <w:rPr>
          <w:lang w:val="en-US"/>
        </w:rPr>
        <w:t xml:space="preserve">2007 to 2020. </w:t>
      </w:r>
    </w:p>
    <w:p w:rsidR="005F2106" w:rsidRPr="00162829" w:rsidRDefault="005F2106" w:rsidP="003C5657">
      <w:pPr>
        <w:jc w:val="both"/>
        <w:rPr>
          <w:lang w:val="en-US"/>
        </w:rPr>
      </w:pPr>
      <w:r w:rsidRPr="00162829">
        <w:rPr>
          <w:lang w:val="en-US"/>
        </w:rPr>
        <w:t>The different path</w:t>
      </w:r>
      <w:r w:rsidR="00450792">
        <w:rPr>
          <w:lang w:val="en-US"/>
        </w:rPr>
        <w:t>s</w:t>
      </w:r>
      <w:r w:rsidRPr="00162829">
        <w:rPr>
          <w:lang w:val="en-US"/>
        </w:rPr>
        <w:t xml:space="preserve"> of public debt between core and peripheral </w:t>
      </w:r>
      <w:r w:rsidR="0087681D">
        <w:rPr>
          <w:lang w:val="en-US"/>
        </w:rPr>
        <w:t>countries</w:t>
      </w:r>
      <w:r w:rsidRPr="00162829">
        <w:rPr>
          <w:lang w:val="en-US"/>
        </w:rPr>
        <w:t xml:space="preserve"> eased the conditions for populist parties to emerge. Lender countries pushed for austerity reforms in debtor countries as the only possible solution for their excessive debt. </w:t>
      </w:r>
      <w:r w:rsidR="0087681D">
        <w:rPr>
          <w:lang w:val="en-US"/>
        </w:rPr>
        <w:t>C</w:t>
      </w:r>
      <w:r w:rsidRPr="00162829">
        <w:rPr>
          <w:lang w:val="en-US"/>
        </w:rPr>
        <w:t xml:space="preserve">itizens in debtor states felt over-demanded by their </w:t>
      </w:r>
      <w:r w:rsidR="00404B1E" w:rsidRPr="00162829">
        <w:rPr>
          <w:lang w:val="en-US"/>
        </w:rPr>
        <w:t>Eurozone</w:t>
      </w:r>
      <w:r w:rsidRPr="00162829">
        <w:rPr>
          <w:lang w:val="en-US"/>
        </w:rPr>
        <w:t xml:space="preserve"> associates, while citizens in lender states felt that debtor states were not doing enough to solve their economic </w:t>
      </w:r>
      <w:r w:rsidR="002936AB">
        <w:rPr>
          <w:lang w:val="en-US"/>
        </w:rPr>
        <w:t>struggles</w:t>
      </w:r>
      <w:r w:rsidRPr="00162829">
        <w:rPr>
          <w:lang w:val="en-US"/>
        </w:rPr>
        <w:t xml:space="preserve">.  </w:t>
      </w: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Default="005F2106" w:rsidP="00162829">
      <w:pPr>
        <w:rPr>
          <w:lang w:val="en-US"/>
        </w:rPr>
      </w:pPr>
    </w:p>
    <w:p w:rsidR="005F2106" w:rsidRPr="00162829" w:rsidRDefault="005F2106" w:rsidP="00162829">
      <w:pPr>
        <w:rPr>
          <w:lang w:val="en-US"/>
        </w:rPr>
      </w:pPr>
    </w:p>
    <w:p w:rsidR="00162829" w:rsidRPr="00162829" w:rsidRDefault="00162829" w:rsidP="00162829">
      <w:pPr>
        <w:rPr>
          <w:lang w:val="en-US"/>
        </w:rPr>
      </w:pPr>
    </w:p>
    <w:p w:rsidR="00162829" w:rsidRDefault="005F2106" w:rsidP="00162829">
      <w:pPr>
        <w:rPr>
          <w:lang w:val="en-US"/>
        </w:rPr>
      </w:pPr>
      <w:r>
        <w:rPr>
          <w:b/>
          <w:lang w:val="en-US"/>
        </w:rPr>
        <w:lastRenderedPageBreak/>
        <w:t>Figure 10.</w:t>
      </w:r>
      <w:r w:rsidR="00162829" w:rsidRPr="00162829">
        <w:rPr>
          <w:lang w:val="en-US"/>
        </w:rPr>
        <w:t xml:space="preserve"> </w:t>
      </w:r>
      <w:r w:rsidR="00162829" w:rsidRPr="005F2106">
        <w:rPr>
          <w:b/>
          <w:lang w:val="en-US"/>
        </w:rPr>
        <w:t>Public Debt (left axis) and Budget Balance (right axis). Percentage of GDP.</w:t>
      </w:r>
      <w:r w:rsidR="00162829" w:rsidRPr="00162829">
        <w:rPr>
          <w:lang w:val="en-US"/>
        </w:rPr>
        <w:t xml:space="preserve">  </w:t>
      </w:r>
    </w:p>
    <w:p w:rsidR="005F2106" w:rsidRPr="00162829" w:rsidRDefault="005F2106" w:rsidP="00162829">
      <w:pPr>
        <w:rPr>
          <w:lang w:val="en-US"/>
        </w:rPr>
      </w:pPr>
      <w:r>
        <w:rPr>
          <w:noProof/>
          <w:lang w:eastAsia="es-ES"/>
        </w:rPr>
        <w:drawing>
          <wp:inline distT="0" distB="0" distL="0" distR="0" wp14:anchorId="2ED611F1">
            <wp:extent cx="5783456" cy="4372610"/>
            <wp:effectExtent l="0" t="0" r="825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84539" cy="4373429"/>
                    </a:xfrm>
                    <a:prstGeom prst="rect">
                      <a:avLst/>
                    </a:prstGeom>
                    <a:noFill/>
                  </pic:spPr>
                </pic:pic>
              </a:graphicData>
            </a:graphic>
          </wp:inline>
        </w:drawing>
      </w:r>
    </w:p>
    <w:p w:rsidR="00162829" w:rsidRPr="00162829" w:rsidRDefault="00162829" w:rsidP="00162829">
      <w:pPr>
        <w:rPr>
          <w:lang w:val="en-US"/>
        </w:rPr>
      </w:pPr>
      <w:r w:rsidRPr="00162829">
        <w:rPr>
          <w:lang w:val="en-US"/>
        </w:rPr>
        <w:t>Source</w:t>
      </w:r>
      <w:r w:rsidR="005F2106">
        <w:rPr>
          <w:lang w:val="en-US"/>
        </w:rPr>
        <w:t xml:space="preserve">: IMF, World Economic Outlook. </w:t>
      </w:r>
    </w:p>
    <w:p w:rsidR="00162829" w:rsidRPr="00162829" w:rsidRDefault="00162829" w:rsidP="003C5657">
      <w:pPr>
        <w:jc w:val="both"/>
        <w:rPr>
          <w:lang w:val="en-US"/>
        </w:rPr>
      </w:pPr>
      <w:r w:rsidRPr="00162829">
        <w:rPr>
          <w:lang w:val="en-US"/>
        </w:rPr>
        <w:t xml:space="preserve">Populist parties in debtor countries use the extra burden of public debt and reforms to undermine the credibility of the European project and to blame the European institutional architecture for the economic situation of their countries. Populisms in creditor countries use the fragility in debtor states as an alibi for avoiding further integration; differences are huge, they argue, and convergence is virtually impossible to achieve. Figure </w:t>
      </w:r>
      <w:r w:rsidR="005F2106">
        <w:rPr>
          <w:lang w:val="en-US"/>
        </w:rPr>
        <w:t xml:space="preserve">11 </w:t>
      </w:r>
      <w:r w:rsidRPr="00162829">
        <w:rPr>
          <w:lang w:val="en-US"/>
        </w:rPr>
        <w:t>shows this populist-debt-adjustment loop.</w:t>
      </w:r>
      <w:r w:rsidR="00DA4C5E">
        <w:rPr>
          <w:lang w:val="en-US"/>
        </w:rPr>
        <w:t xml:space="preserve">  </w:t>
      </w:r>
    </w:p>
    <w:p w:rsidR="00DA4C5E" w:rsidRDefault="00DA4C5E" w:rsidP="00DA4C5E">
      <w:pPr>
        <w:jc w:val="center"/>
        <w:rPr>
          <w:lang w:val="en-US"/>
        </w:rPr>
      </w:pPr>
      <w:r>
        <w:rPr>
          <w:b/>
          <w:lang w:val="en-US"/>
        </w:rPr>
        <w:t>Figure 11.</w:t>
      </w:r>
      <w:r w:rsidR="00162829" w:rsidRPr="00162829">
        <w:rPr>
          <w:lang w:val="en-US"/>
        </w:rPr>
        <w:t xml:space="preserve"> </w:t>
      </w:r>
      <w:r w:rsidR="00162829" w:rsidRPr="00DA4C5E">
        <w:rPr>
          <w:b/>
          <w:lang w:val="en-US"/>
        </w:rPr>
        <w:t>The populist-debt-adjustment loop.</w:t>
      </w:r>
    </w:p>
    <w:p w:rsidR="00DA4C5E" w:rsidRDefault="00DA4C5E" w:rsidP="002936AB">
      <w:pPr>
        <w:jc w:val="center"/>
        <w:rPr>
          <w:lang w:val="en-US"/>
        </w:rPr>
      </w:pPr>
      <w:r>
        <w:rPr>
          <w:noProof/>
          <w:lang w:eastAsia="es-ES"/>
        </w:rPr>
        <w:drawing>
          <wp:inline distT="0" distB="0" distL="0" distR="0" wp14:anchorId="0F5CE405" wp14:editId="7E11B943">
            <wp:extent cx="4551680" cy="1406850"/>
            <wp:effectExtent l="0" t="0" r="0" b="317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79401" cy="1415418"/>
                    </a:xfrm>
                    <a:prstGeom prst="rect">
                      <a:avLst/>
                    </a:prstGeom>
                    <a:noFill/>
                  </pic:spPr>
                </pic:pic>
              </a:graphicData>
            </a:graphic>
          </wp:inline>
        </w:drawing>
      </w:r>
    </w:p>
    <w:p w:rsidR="00162829" w:rsidRPr="00162829" w:rsidRDefault="00162829" w:rsidP="00162829">
      <w:pPr>
        <w:rPr>
          <w:lang w:val="en-US"/>
        </w:rPr>
      </w:pPr>
      <w:r w:rsidRPr="00162829">
        <w:rPr>
          <w:lang w:val="en-US"/>
        </w:rPr>
        <w:t xml:space="preserve">Source: </w:t>
      </w:r>
      <w:r w:rsidR="00DA4C5E">
        <w:rPr>
          <w:lang w:val="en-US"/>
        </w:rPr>
        <w:t xml:space="preserve">Own research. </w:t>
      </w:r>
    </w:p>
    <w:p w:rsidR="00162829" w:rsidRDefault="00162829" w:rsidP="00162829">
      <w:pPr>
        <w:rPr>
          <w:lang w:val="en-US"/>
        </w:rPr>
      </w:pPr>
    </w:p>
    <w:p w:rsidR="002936AB" w:rsidRDefault="002936AB" w:rsidP="00162829">
      <w:pPr>
        <w:rPr>
          <w:lang w:val="en-US"/>
        </w:rPr>
      </w:pPr>
    </w:p>
    <w:p w:rsidR="00162829" w:rsidRPr="003C5657" w:rsidRDefault="00162829" w:rsidP="00C10772">
      <w:pPr>
        <w:pStyle w:val="Prrafodelista"/>
        <w:numPr>
          <w:ilvl w:val="0"/>
          <w:numId w:val="8"/>
        </w:numPr>
        <w:rPr>
          <w:b/>
          <w:lang w:val="en-US"/>
        </w:rPr>
      </w:pPr>
      <w:r w:rsidRPr="003C5657">
        <w:rPr>
          <w:b/>
          <w:lang w:val="en-US"/>
        </w:rPr>
        <w:lastRenderedPageBreak/>
        <w:t>Sc</w:t>
      </w:r>
      <w:r w:rsidR="003C5657" w:rsidRPr="003C5657">
        <w:rPr>
          <w:b/>
          <w:lang w:val="en-US"/>
        </w:rPr>
        <w:t>enarios for the Fiscal Union</w:t>
      </w:r>
    </w:p>
    <w:p w:rsidR="00162829" w:rsidRPr="00162829" w:rsidRDefault="00162829" w:rsidP="003C5657">
      <w:pPr>
        <w:jc w:val="both"/>
        <w:rPr>
          <w:lang w:val="en-US"/>
        </w:rPr>
      </w:pPr>
      <w:r w:rsidRPr="00162829">
        <w:rPr>
          <w:lang w:val="en-US"/>
        </w:rPr>
        <w:t xml:space="preserve">There are two important limitations for the ECB’s role in sovereign markets, as we have previously mentioned. The first one is the appearance of high inflation that may lead </w:t>
      </w:r>
      <w:r w:rsidR="002936AB">
        <w:rPr>
          <w:lang w:val="en-US"/>
        </w:rPr>
        <w:t>to a monetary normalization</w:t>
      </w:r>
      <w:r w:rsidRPr="00162829">
        <w:rPr>
          <w:lang w:val="en-US"/>
        </w:rPr>
        <w:t xml:space="preserve"> faster than expected. The second one is the awakening and development of anti-EU parties that can limit ECB’s market interventions or prevent further sovereign integration.</w:t>
      </w:r>
    </w:p>
    <w:p w:rsidR="00162829" w:rsidRPr="00CC223B" w:rsidRDefault="00162829" w:rsidP="003C5657">
      <w:pPr>
        <w:jc w:val="both"/>
        <w:rPr>
          <w:lang w:val="en-US"/>
        </w:rPr>
      </w:pPr>
      <w:r w:rsidRPr="00162829">
        <w:rPr>
          <w:lang w:val="en-US"/>
        </w:rPr>
        <w:t>The joint analysis of both threats offers four scenarios</w:t>
      </w:r>
      <w:r w:rsidR="00404B1E">
        <w:rPr>
          <w:lang w:val="en-US"/>
        </w:rPr>
        <w:t xml:space="preserve"> for the future of </w:t>
      </w:r>
      <w:r w:rsidR="00404B1E" w:rsidRPr="00CC223B">
        <w:rPr>
          <w:lang w:val="en-US"/>
        </w:rPr>
        <w:t>debt mutualiz</w:t>
      </w:r>
      <w:r w:rsidRPr="00CC223B">
        <w:rPr>
          <w:lang w:val="en-US"/>
        </w:rPr>
        <w:t xml:space="preserve">ation. Figure </w:t>
      </w:r>
      <w:r w:rsidR="00450792" w:rsidRPr="00CC223B">
        <w:rPr>
          <w:lang w:val="en-US"/>
        </w:rPr>
        <w:t>12</w:t>
      </w:r>
      <w:r w:rsidRPr="00CC223B">
        <w:rPr>
          <w:lang w:val="en-US"/>
        </w:rPr>
        <w:t xml:space="preserve"> shows those alternatives. The vertical axis stresses two possible outcomes for inflation in the following quarters: inflation rates can rise above ECB's target or stay below the 2 per cent threshold. Latest data show that inflation remains subdued in the short run, but that it could accelerate during th</w:t>
      </w:r>
      <w:r w:rsidR="003C5657" w:rsidRPr="00CC223B">
        <w:rPr>
          <w:lang w:val="en-US"/>
        </w:rPr>
        <w:t xml:space="preserve">e </w:t>
      </w:r>
      <w:r w:rsidR="002936AB">
        <w:rPr>
          <w:lang w:val="en-US"/>
        </w:rPr>
        <w:t>first</w:t>
      </w:r>
      <w:r w:rsidR="003C5657" w:rsidRPr="00CC223B">
        <w:rPr>
          <w:lang w:val="en-US"/>
        </w:rPr>
        <w:t xml:space="preserve"> half of the year 201</w:t>
      </w:r>
      <w:r w:rsidR="002936AB">
        <w:rPr>
          <w:lang w:val="en-US"/>
        </w:rPr>
        <w:t>9</w:t>
      </w:r>
      <w:r w:rsidR="003C5657" w:rsidRPr="00CC223B">
        <w:rPr>
          <w:lang w:val="en-US"/>
        </w:rPr>
        <w:t>.</w:t>
      </w:r>
    </w:p>
    <w:p w:rsidR="00162829" w:rsidRPr="00162829" w:rsidRDefault="00162829" w:rsidP="003C5657">
      <w:pPr>
        <w:jc w:val="both"/>
        <w:rPr>
          <w:lang w:val="en-US"/>
        </w:rPr>
      </w:pPr>
      <w:r w:rsidRPr="00CC223B">
        <w:rPr>
          <w:lang w:val="en-US"/>
        </w:rPr>
        <w:t>The horizontal axis is the political one. It shows the cases of an anti-Euro backlash c</w:t>
      </w:r>
      <w:r w:rsidR="00404B1E" w:rsidRPr="00CC223B">
        <w:rPr>
          <w:lang w:val="en-US"/>
        </w:rPr>
        <w:t>apable of stopping debt mutualiz</w:t>
      </w:r>
      <w:r w:rsidRPr="00CC223B">
        <w:rPr>
          <w:lang w:val="en-US"/>
        </w:rPr>
        <w:t>ation or ECB’s market interventions. During the first months</w:t>
      </w:r>
      <w:r w:rsidRPr="00162829">
        <w:rPr>
          <w:lang w:val="en-US"/>
        </w:rPr>
        <w:t xml:space="preserve"> of 2017, there was a huge concern about the possibility that several anti-European parties could win the elections in the Nethe</w:t>
      </w:r>
      <w:r w:rsidR="003C5657">
        <w:rPr>
          <w:lang w:val="en-US"/>
        </w:rPr>
        <w:t>rlands, France or even Germany.</w:t>
      </w:r>
    </w:p>
    <w:p w:rsidR="00162829" w:rsidRPr="00162829" w:rsidRDefault="00162829" w:rsidP="003C5657">
      <w:pPr>
        <w:jc w:val="both"/>
        <w:rPr>
          <w:lang w:val="en-US"/>
        </w:rPr>
      </w:pPr>
      <w:r w:rsidRPr="00162829">
        <w:rPr>
          <w:lang w:val="en-US"/>
        </w:rPr>
        <w:t>The first weeks of 2018 revealed a more stable political landscape, with pro-European forces dominating the agenda. After the election of a stable government in Germany, a three-year window suddenly opened for deeper economic integration. Elections in Italy slowed that positive momentum</w:t>
      </w:r>
      <w:r w:rsidR="002936AB">
        <w:rPr>
          <w:lang w:val="en-US"/>
        </w:rPr>
        <w:t>, though</w:t>
      </w:r>
      <w:r w:rsidRPr="00162829">
        <w:rPr>
          <w:lang w:val="en-US"/>
        </w:rPr>
        <w:t xml:space="preserve">. </w:t>
      </w:r>
    </w:p>
    <w:p w:rsidR="003C5657" w:rsidRDefault="003C5657" w:rsidP="003C5657">
      <w:pPr>
        <w:jc w:val="center"/>
        <w:rPr>
          <w:lang w:val="en-US"/>
        </w:rPr>
      </w:pPr>
      <w:r>
        <w:rPr>
          <w:b/>
          <w:lang w:val="en-US"/>
        </w:rPr>
        <w:t xml:space="preserve">Figure 12. </w:t>
      </w:r>
      <w:r w:rsidR="00162829" w:rsidRPr="003C5657">
        <w:rPr>
          <w:b/>
          <w:lang w:val="en-US"/>
        </w:rPr>
        <w:t>Scenarios for the future of the Fiscal Union.</w:t>
      </w:r>
    </w:p>
    <w:p w:rsidR="003C5657" w:rsidRDefault="003C5657" w:rsidP="002936AB">
      <w:pPr>
        <w:jc w:val="center"/>
        <w:rPr>
          <w:lang w:val="en-US"/>
        </w:rPr>
      </w:pPr>
      <w:r>
        <w:rPr>
          <w:noProof/>
          <w:lang w:eastAsia="es-ES"/>
        </w:rPr>
        <w:drawing>
          <wp:inline distT="0" distB="0" distL="0" distR="0" wp14:anchorId="445C7C0C" wp14:editId="524DFBCA">
            <wp:extent cx="4712253" cy="3273673"/>
            <wp:effectExtent l="0" t="0" r="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900"/>
                    <a:stretch/>
                  </pic:blipFill>
                  <pic:spPr bwMode="auto">
                    <a:xfrm>
                      <a:off x="0" y="0"/>
                      <a:ext cx="4745852" cy="3297015"/>
                    </a:xfrm>
                    <a:prstGeom prst="rect">
                      <a:avLst/>
                    </a:prstGeom>
                    <a:noFill/>
                    <a:ln>
                      <a:noFill/>
                    </a:ln>
                    <a:extLst>
                      <a:ext uri="{53640926-AAD7-44D8-BBD7-CCE9431645EC}">
                        <a14:shadowObscured xmlns:a14="http://schemas.microsoft.com/office/drawing/2010/main"/>
                      </a:ext>
                    </a:extLst>
                  </pic:spPr>
                </pic:pic>
              </a:graphicData>
            </a:graphic>
          </wp:inline>
        </w:drawing>
      </w:r>
    </w:p>
    <w:p w:rsidR="00162829" w:rsidRPr="00162829" w:rsidRDefault="00162829" w:rsidP="00162829">
      <w:pPr>
        <w:rPr>
          <w:lang w:val="en-US"/>
        </w:rPr>
      </w:pPr>
      <w:r w:rsidRPr="00162829">
        <w:rPr>
          <w:lang w:val="en-US"/>
        </w:rPr>
        <w:t xml:space="preserve">Source: </w:t>
      </w:r>
      <w:r w:rsidR="003C5657">
        <w:rPr>
          <w:lang w:val="en-US"/>
        </w:rPr>
        <w:t>Own research.</w:t>
      </w:r>
    </w:p>
    <w:p w:rsidR="000E592B" w:rsidRDefault="000E592B" w:rsidP="003C5657">
      <w:pPr>
        <w:jc w:val="both"/>
        <w:rPr>
          <w:lang w:val="en-US"/>
        </w:rPr>
      </w:pPr>
    </w:p>
    <w:p w:rsidR="00162829" w:rsidRPr="00CC223B" w:rsidRDefault="00162829" w:rsidP="003C5657">
      <w:pPr>
        <w:jc w:val="both"/>
        <w:rPr>
          <w:lang w:val="en-US"/>
        </w:rPr>
      </w:pPr>
      <w:r w:rsidRPr="00162829">
        <w:rPr>
          <w:lang w:val="en-US"/>
        </w:rPr>
        <w:t xml:space="preserve">In the </w:t>
      </w:r>
      <w:r w:rsidR="00450792">
        <w:rPr>
          <w:lang w:val="en-US"/>
        </w:rPr>
        <w:t>“</w:t>
      </w:r>
      <w:r w:rsidR="00404B1E">
        <w:rPr>
          <w:lang w:val="en-US"/>
        </w:rPr>
        <w:t xml:space="preserve">Quick </w:t>
      </w:r>
      <w:r w:rsidR="00404B1E" w:rsidRPr="00CC223B">
        <w:rPr>
          <w:lang w:val="en-US"/>
        </w:rPr>
        <w:t>Debt Mutualiz</w:t>
      </w:r>
      <w:r w:rsidRPr="00CC223B">
        <w:rPr>
          <w:lang w:val="en-US"/>
        </w:rPr>
        <w:t>ation</w:t>
      </w:r>
      <w:r w:rsidR="00450792" w:rsidRPr="00CC223B">
        <w:rPr>
          <w:lang w:val="en-US"/>
        </w:rPr>
        <w:t>”</w:t>
      </w:r>
      <w:r w:rsidRPr="00CC223B">
        <w:rPr>
          <w:lang w:val="en-US"/>
        </w:rPr>
        <w:t xml:space="preserve"> scenario, inflation rises above ECB's target and pro-Euro resurgence allows policy makers to deepen fiscal integration without high political costs. Inflation asks for an alternative to the fiscal role that the ECB has been playing since 2012. </w:t>
      </w:r>
      <w:r w:rsidRPr="00CC223B">
        <w:rPr>
          <w:lang w:val="en-US"/>
        </w:rPr>
        <w:lastRenderedPageBreak/>
        <w:t>Eventually, the ECB must abandon its bond-buying strategy. However, thanks to the political consensus, a long-term solution for the public debt problem could be easily achieved. Market pressures would also help to do it. The case for Eur</w:t>
      </w:r>
      <w:r w:rsidR="003C5657" w:rsidRPr="00CC223B">
        <w:rPr>
          <w:lang w:val="en-US"/>
        </w:rPr>
        <w:t>obonds would be more plausible.</w:t>
      </w:r>
    </w:p>
    <w:p w:rsidR="00162829" w:rsidRPr="00CC223B" w:rsidRDefault="00162829" w:rsidP="003C5657">
      <w:pPr>
        <w:jc w:val="both"/>
        <w:rPr>
          <w:lang w:val="en-US"/>
        </w:rPr>
      </w:pPr>
      <w:r w:rsidRPr="00CC223B">
        <w:rPr>
          <w:lang w:val="en-US"/>
        </w:rPr>
        <w:t>Top-right scenario shows a sovereign crisis renaissance. In this case, inflation is again above its target but there is not enough political consensus for implementing any borrowing at the center mechanism or some form of fiscal union. The lack of action from the ECB plus the absence of solutions from the center would ease the conditi</w:t>
      </w:r>
      <w:r w:rsidR="003C5657" w:rsidRPr="00CC223B">
        <w:rPr>
          <w:lang w:val="en-US"/>
        </w:rPr>
        <w:t>ons for a new sovereign crisis.</w:t>
      </w:r>
    </w:p>
    <w:p w:rsidR="00162829" w:rsidRPr="00CC223B" w:rsidRDefault="00162829" w:rsidP="003C5657">
      <w:pPr>
        <w:jc w:val="both"/>
        <w:rPr>
          <w:lang w:val="en-US"/>
        </w:rPr>
      </w:pPr>
      <w:r w:rsidRPr="00CC223B">
        <w:rPr>
          <w:lang w:val="en-US"/>
        </w:rPr>
        <w:t xml:space="preserve">In the bottom-right scenario anti-European backlash dominates. This would be the case of a failed German government or a </w:t>
      </w:r>
      <w:r w:rsidR="00450792" w:rsidRPr="00CC223B">
        <w:rPr>
          <w:lang w:val="en-US"/>
        </w:rPr>
        <w:t>“</w:t>
      </w:r>
      <w:r w:rsidRPr="00CC223B">
        <w:rPr>
          <w:lang w:val="en-US"/>
        </w:rPr>
        <w:t>Five Star plus Legga</w:t>
      </w:r>
      <w:r w:rsidR="00450792" w:rsidRPr="00CC223B">
        <w:rPr>
          <w:lang w:val="en-US"/>
        </w:rPr>
        <w:t>”</w:t>
      </w:r>
      <w:r w:rsidRPr="00CC223B">
        <w:rPr>
          <w:lang w:val="en-US"/>
        </w:rPr>
        <w:t xml:space="preserve"> </w:t>
      </w:r>
      <w:r w:rsidR="003C5657" w:rsidRPr="00CC223B">
        <w:rPr>
          <w:lang w:val="en-US"/>
        </w:rPr>
        <w:t>long dominance</w:t>
      </w:r>
      <w:r w:rsidRPr="00CC223B">
        <w:rPr>
          <w:lang w:val="en-US"/>
        </w:rPr>
        <w:t xml:space="preserve"> in Italy, with exacerbated anti-establishment policies. In this </w:t>
      </w:r>
      <w:r w:rsidR="00450792" w:rsidRPr="00CC223B">
        <w:rPr>
          <w:lang w:val="en-US"/>
        </w:rPr>
        <w:t>“</w:t>
      </w:r>
      <w:r w:rsidRPr="00CC223B">
        <w:rPr>
          <w:lang w:val="en-US"/>
        </w:rPr>
        <w:t>Monetary-Fiscal policy</w:t>
      </w:r>
      <w:r w:rsidR="00450792" w:rsidRPr="00CC223B">
        <w:rPr>
          <w:lang w:val="en-US"/>
        </w:rPr>
        <w:t>”</w:t>
      </w:r>
      <w:r w:rsidRPr="00CC223B">
        <w:rPr>
          <w:lang w:val="en-US"/>
        </w:rPr>
        <w:t xml:space="preserve"> case, there are no short-term inflationary pressures. This would be the continuity scenario. The lack of political consensus would not permit the creation of a long-term solution from the center, but the ECB could continue with its bond-buying strategy. This scenario would prevail as long as inflation remained subdued. Instability would be high, since monetary normalization </w:t>
      </w:r>
      <w:r w:rsidR="00450792" w:rsidRPr="00CC223B">
        <w:rPr>
          <w:lang w:val="en-US"/>
        </w:rPr>
        <w:t>would move the Eurozone to the “</w:t>
      </w:r>
      <w:r w:rsidRPr="00CC223B">
        <w:rPr>
          <w:lang w:val="en-US"/>
        </w:rPr>
        <w:t>Sov</w:t>
      </w:r>
      <w:r w:rsidR="003C5657" w:rsidRPr="00CC223B">
        <w:rPr>
          <w:lang w:val="en-US"/>
        </w:rPr>
        <w:t>ereign Crisis 2.0</w:t>
      </w:r>
      <w:r w:rsidR="00450792" w:rsidRPr="00CC223B">
        <w:rPr>
          <w:lang w:val="en-US"/>
        </w:rPr>
        <w:t>”</w:t>
      </w:r>
      <w:r w:rsidR="003C5657" w:rsidRPr="00CC223B">
        <w:rPr>
          <w:lang w:val="en-US"/>
        </w:rPr>
        <w:t xml:space="preserve"> alternative.</w:t>
      </w:r>
    </w:p>
    <w:p w:rsidR="00162829" w:rsidRPr="00162829" w:rsidRDefault="00162829" w:rsidP="003C5657">
      <w:pPr>
        <w:jc w:val="both"/>
        <w:rPr>
          <w:lang w:val="en-US"/>
        </w:rPr>
      </w:pPr>
      <w:r w:rsidRPr="00CC223B">
        <w:rPr>
          <w:lang w:val="en-US"/>
        </w:rPr>
        <w:t xml:space="preserve">In the </w:t>
      </w:r>
      <w:r w:rsidR="00450792" w:rsidRPr="00CC223B">
        <w:rPr>
          <w:lang w:val="en-US"/>
        </w:rPr>
        <w:t>“</w:t>
      </w:r>
      <w:r w:rsidR="00404B1E" w:rsidRPr="00CC223B">
        <w:rPr>
          <w:lang w:val="en-US"/>
        </w:rPr>
        <w:t>Slow Debt Mutualiz</w:t>
      </w:r>
      <w:r w:rsidRPr="00CC223B">
        <w:rPr>
          <w:lang w:val="en-US"/>
        </w:rPr>
        <w:t>ation</w:t>
      </w:r>
      <w:r w:rsidR="00450792" w:rsidRPr="00CC223B">
        <w:rPr>
          <w:lang w:val="en-US"/>
        </w:rPr>
        <w:t>”</w:t>
      </w:r>
      <w:r w:rsidRPr="00CC223B">
        <w:rPr>
          <w:lang w:val="en-US"/>
        </w:rPr>
        <w:t xml:space="preserve"> scenario, we find low inflation and a high degree of political consensus. The ECB could maintain its bond-buying strategy without price-stability concerns. Social acceptance would offer a perfect environment f</w:t>
      </w:r>
      <w:r w:rsidR="00404B1E" w:rsidRPr="00CC223B">
        <w:rPr>
          <w:lang w:val="en-US"/>
        </w:rPr>
        <w:t>or a slowly cooked debt mutualiz</w:t>
      </w:r>
      <w:r w:rsidRPr="00CC223B">
        <w:rPr>
          <w:lang w:val="en-US"/>
        </w:rPr>
        <w:t>ation</w:t>
      </w:r>
      <w:r w:rsidRPr="00162829">
        <w:rPr>
          <w:lang w:val="en-US"/>
        </w:rPr>
        <w:t xml:space="preserve"> process, without market pressures. Under these circumstances, the creation of some </w:t>
      </w:r>
      <w:r w:rsidR="002936AB" w:rsidRPr="00162829">
        <w:rPr>
          <w:lang w:val="en-US"/>
        </w:rPr>
        <w:t>common</w:t>
      </w:r>
      <w:r w:rsidR="002936AB">
        <w:rPr>
          <w:lang w:val="en-US"/>
        </w:rPr>
        <w:t xml:space="preserve"> </w:t>
      </w:r>
      <w:r w:rsidR="002936AB" w:rsidRPr="00162829">
        <w:rPr>
          <w:lang w:val="en-US"/>
        </w:rPr>
        <w:t>debt</w:t>
      </w:r>
      <w:r w:rsidRPr="00162829">
        <w:rPr>
          <w:lang w:val="en-US"/>
        </w:rPr>
        <w:t xml:space="preserve"> security would be more possible. </w:t>
      </w:r>
    </w:p>
    <w:p w:rsidR="00162829" w:rsidRPr="003C5657" w:rsidRDefault="003C5657" w:rsidP="00C10772">
      <w:pPr>
        <w:pStyle w:val="Prrafodelista"/>
        <w:numPr>
          <w:ilvl w:val="0"/>
          <w:numId w:val="8"/>
        </w:numPr>
        <w:jc w:val="both"/>
        <w:rPr>
          <w:b/>
          <w:lang w:val="en-US"/>
        </w:rPr>
      </w:pPr>
      <w:r w:rsidRPr="003C5657">
        <w:rPr>
          <w:b/>
          <w:lang w:val="en-US"/>
        </w:rPr>
        <w:t>Conclusions</w:t>
      </w:r>
    </w:p>
    <w:p w:rsidR="00F9121A" w:rsidRPr="00F9121A" w:rsidRDefault="00F9121A" w:rsidP="00F9121A">
      <w:pPr>
        <w:jc w:val="both"/>
        <w:rPr>
          <w:lang w:val="en-US"/>
        </w:rPr>
      </w:pPr>
      <w:r w:rsidRPr="00F9121A">
        <w:rPr>
          <w:lang w:val="en-US"/>
        </w:rPr>
        <w:t xml:space="preserve">This joint analysis takes into account only price stability and popular support to reforms. It disregards other limitations such as political willingness, technical difficulties and other negotiating barriers. From </w:t>
      </w:r>
      <w:r w:rsidRPr="00CC223B">
        <w:rPr>
          <w:lang w:val="en-US"/>
        </w:rPr>
        <w:t>our point of view, the most desirable scenario would be the last one, t</w:t>
      </w:r>
      <w:r w:rsidR="00404B1E" w:rsidRPr="00CC223B">
        <w:rPr>
          <w:lang w:val="en-US"/>
        </w:rPr>
        <w:t>he so-called “Slow Debt Mutualiz</w:t>
      </w:r>
      <w:r w:rsidRPr="00CC223B">
        <w:rPr>
          <w:lang w:val="en-US"/>
        </w:rPr>
        <w:t>ation”. It would make the negotiating processes softer and allow member states to reach an agreement</w:t>
      </w:r>
      <w:r w:rsidRPr="00F9121A">
        <w:rPr>
          <w:lang w:val="en-US"/>
        </w:rPr>
        <w:t xml:space="preserve"> without market pressures. At the same time, it would </w:t>
      </w:r>
      <w:r w:rsidR="0087681D">
        <w:rPr>
          <w:lang w:val="en-US"/>
        </w:rPr>
        <w:t>allow</w:t>
      </w:r>
      <w:r w:rsidRPr="00F9121A">
        <w:rPr>
          <w:lang w:val="en-US"/>
        </w:rPr>
        <w:t xml:space="preserve"> the ECB </w:t>
      </w:r>
      <w:r w:rsidR="0087681D">
        <w:rPr>
          <w:lang w:val="en-US"/>
        </w:rPr>
        <w:t xml:space="preserve">to </w:t>
      </w:r>
      <w:r w:rsidRPr="00F9121A">
        <w:rPr>
          <w:lang w:val="en-US"/>
        </w:rPr>
        <w:t xml:space="preserve">normalize monetary policy at the right time, when a political solution from the center would be operational. </w:t>
      </w:r>
    </w:p>
    <w:p w:rsidR="00F9121A" w:rsidRPr="00F9121A" w:rsidRDefault="00F9121A" w:rsidP="00F9121A">
      <w:pPr>
        <w:jc w:val="both"/>
        <w:rPr>
          <w:lang w:val="en-US"/>
        </w:rPr>
      </w:pPr>
      <w:r w:rsidRPr="00F9121A">
        <w:rPr>
          <w:lang w:val="en-US"/>
        </w:rPr>
        <w:t>Monetary normalization is unstoppable. The ECB needs to create monetary space. Inflation will eventually rise and get closer to its threshold. Policy-makers need to find a solution from the center to sovereign debt markets stability that does not rely only on ECB’s policies. There is a real risk of a new sovereign crisis if the ECB withdraws from debt markets without the implementation of any alternative from the fiscal side. We do not expect the “Sovereign Crisis 2.0” to dominate during the following years, though.</w:t>
      </w:r>
    </w:p>
    <w:p w:rsidR="002936AB" w:rsidRDefault="00F9121A" w:rsidP="00F9121A">
      <w:pPr>
        <w:jc w:val="both"/>
        <w:rPr>
          <w:lang w:val="en-US"/>
        </w:rPr>
      </w:pPr>
      <w:r w:rsidRPr="00F9121A">
        <w:rPr>
          <w:lang w:val="en-US"/>
        </w:rPr>
        <w:t xml:space="preserve">There is room for optimism for at least two reasons. First, </w:t>
      </w:r>
      <w:r w:rsidR="002936AB">
        <w:rPr>
          <w:lang w:val="en-US"/>
        </w:rPr>
        <w:t xml:space="preserve">it seems that </w:t>
      </w:r>
      <w:r w:rsidRPr="00F9121A">
        <w:rPr>
          <w:lang w:val="en-US"/>
        </w:rPr>
        <w:t xml:space="preserve">policy makers understand the relevance of the debate contained in this paper and </w:t>
      </w:r>
      <w:r w:rsidR="0087681D">
        <w:rPr>
          <w:lang w:val="en-US"/>
        </w:rPr>
        <w:t>are working</w:t>
      </w:r>
      <w:r w:rsidRPr="00F9121A">
        <w:rPr>
          <w:lang w:val="en-US"/>
        </w:rPr>
        <w:t xml:space="preserve"> on </w:t>
      </w:r>
      <w:r w:rsidR="0087681D">
        <w:rPr>
          <w:lang w:val="en-US"/>
        </w:rPr>
        <w:t xml:space="preserve">an </w:t>
      </w:r>
      <w:r w:rsidRPr="00F9121A">
        <w:rPr>
          <w:lang w:val="en-US"/>
        </w:rPr>
        <w:t>efficient</w:t>
      </w:r>
      <w:r w:rsidR="0087681D">
        <w:rPr>
          <w:lang w:val="en-US"/>
        </w:rPr>
        <w:t xml:space="preserve"> and sustainable</w:t>
      </w:r>
      <w:r w:rsidRPr="00F9121A">
        <w:rPr>
          <w:lang w:val="en-US"/>
        </w:rPr>
        <w:t xml:space="preserve"> solution. Second, inflation remains subdued and populism relatively under control</w:t>
      </w:r>
      <w:r w:rsidR="002936AB">
        <w:rPr>
          <w:lang w:val="en-US"/>
        </w:rPr>
        <w:t xml:space="preserve">, with the exception of the Italian case. </w:t>
      </w:r>
    </w:p>
    <w:p w:rsidR="003C5657" w:rsidRPr="00F9121A" w:rsidRDefault="00F9121A" w:rsidP="00F9121A">
      <w:pPr>
        <w:jc w:val="both"/>
        <w:rPr>
          <w:lang w:val="en-US"/>
        </w:rPr>
      </w:pPr>
      <w:r>
        <w:rPr>
          <w:lang w:val="en-US"/>
        </w:rPr>
        <w:t xml:space="preserve">Even </w:t>
      </w:r>
      <w:r w:rsidRPr="00CC223B">
        <w:rPr>
          <w:lang w:val="en-US"/>
        </w:rPr>
        <w:t>if “</w:t>
      </w:r>
      <w:r w:rsidR="00404B1E" w:rsidRPr="00CC223B">
        <w:rPr>
          <w:lang w:val="en-US"/>
        </w:rPr>
        <w:t>I</w:t>
      </w:r>
      <w:r w:rsidRPr="00CC223B">
        <w:rPr>
          <w:lang w:val="en-US"/>
        </w:rPr>
        <w:t xml:space="preserve">talexit” </w:t>
      </w:r>
      <w:r w:rsidR="0087681D">
        <w:rPr>
          <w:lang w:val="en-US"/>
        </w:rPr>
        <w:t>was</w:t>
      </w:r>
      <w:r w:rsidRPr="00CC223B">
        <w:rPr>
          <w:lang w:val="en-US"/>
        </w:rPr>
        <w:t xml:space="preserve"> again part of the agenda, France and Germany </w:t>
      </w:r>
      <w:r w:rsidR="0087681D">
        <w:rPr>
          <w:lang w:val="en-US"/>
        </w:rPr>
        <w:t xml:space="preserve">still </w:t>
      </w:r>
      <w:r w:rsidRPr="00CC223B">
        <w:rPr>
          <w:lang w:val="en-US"/>
        </w:rPr>
        <w:t>have a two years window to push for deeper integration. The need for some kind of solution from the center to sovereign debt markets stability is no longer que</w:t>
      </w:r>
      <w:r w:rsidR="00404B1E" w:rsidRPr="00CC223B">
        <w:rPr>
          <w:lang w:val="en-US"/>
        </w:rPr>
        <w:t>stioned. The “Slow Debt Mutualiz</w:t>
      </w:r>
      <w:r w:rsidRPr="00CC223B">
        <w:rPr>
          <w:lang w:val="en-US"/>
        </w:rPr>
        <w:t>ation” scenario is the more desirable and likely, at this moment. The depth and the scope of that</w:t>
      </w:r>
      <w:r w:rsidRPr="00F9121A">
        <w:rPr>
          <w:lang w:val="en-US"/>
        </w:rPr>
        <w:t xml:space="preserve"> common solution will depend on the evolution of political debate during the following months.</w:t>
      </w:r>
    </w:p>
    <w:p w:rsidR="003C5657" w:rsidRDefault="003C5657" w:rsidP="00162829">
      <w:pPr>
        <w:rPr>
          <w:b/>
          <w:lang w:val="en-US"/>
        </w:rPr>
      </w:pPr>
      <w:r>
        <w:rPr>
          <w:b/>
          <w:lang w:val="en-US"/>
        </w:rPr>
        <w:lastRenderedPageBreak/>
        <w:t>References</w:t>
      </w:r>
    </w:p>
    <w:p w:rsidR="003C5657" w:rsidRPr="00404B1E" w:rsidRDefault="003C5657" w:rsidP="003C5657">
      <w:pPr>
        <w:jc w:val="both"/>
        <w:rPr>
          <w:lang w:val="en-US"/>
        </w:rPr>
      </w:pPr>
      <w:r w:rsidRPr="00404B1E">
        <w:rPr>
          <w:lang w:val="en-US"/>
        </w:rPr>
        <w:t>Allard, C., P. Koeva Brooks, J. Bluedorn, F. Bornhorst, F. Ohnsorge, and K. M. Christopherson Puh (2013): “Toward A Fiscal Union for the Euro Area,” IMF Staff Discussion Notes 13/9, International Monetary Fund.</w:t>
      </w:r>
    </w:p>
    <w:p w:rsidR="003C5657" w:rsidRPr="003C5657" w:rsidRDefault="003C5657" w:rsidP="003C5657">
      <w:pPr>
        <w:jc w:val="both"/>
        <w:rPr>
          <w:lang w:val="en-US"/>
        </w:rPr>
      </w:pPr>
      <w:r w:rsidRPr="00404B1E">
        <w:rPr>
          <w:lang w:val="en-US"/>
        </w:rPr>
        <w:t>Altavilla, C., M. Pagano, and S. Simonelli (2015): “Bank Exposures and Sovereign Stress Transmission,” CSEF Working Papers 410, Centre for Studies in Economics and Finance (CSEF), University of Naples, Italy.</w:t>
      </w:r>
    </w:p>
    <w:p w:rsidR="003C5657" w:rsidRPr="003C5657" w:rsidRDefault="003C5657" w:rsidP="003C5657">
      <w:pPr>
        <w:jc w:val="both"/>
        <w:rPr>
          <w:lang w:val="en-US"/>
        </w:rPr>
      </w:pPr>
      <w:r w:rsidRPr="003C5657">
        <w:rPr>
          <w:lang w:val="en-US"/>
        </w:rPr>
        <w:t>Brunnermeier, M. K., L. Garicano, P. R. Lane, M. Pagano, R. Reis, T. San- tos, D. Thesmar, S. V. Nieuwerburgh, and D. Vayanos (2016): “The Sovereign-Bank Diabolic Loop and ESBies,” CEP Discussion Papers dp1414, Centre for Economic Performance, LSE.</w:t>
      </w:r>
    </w:p>
    <w:p w:rsidR="003C5657" w:rsidRPr="003C5657" w:rsidRDefault="003C5657" w:rsidP="003C5657">
      <w:pPr>
        <w:jc w:val="both"/>
        <w:rPr>
          <w:lang w:val="en-US"/>
        </w:rPr>
      </w:pPr>
      <w:r w:rsidRPr="003C5657">
        <w:rPr>
          <w:lang w:val="en-US"/>
        </w:rPr>
        <w:t>Claeys, G. and A. Leandro (2016): “The European Central Bank’s Quantitative Easing Programme: Limits and Risks,” Bruege</w:t>
      </w:r>
      <w:r>
        <w:rPr>
          <w:lang w:val="en-US"/>
        </w:rPr>
        <w:t>l Policy Contribution. 2016/04</w:t>
      </w:r>
    </w:p>
    <w:p w:rsidR="003C5657" w:rsidRPr="003C5657" w:rsidRDefault="003C5657" w:rsidP="003C5657">
      <w:pPr>
        <w:jc w:val="both"/>
        <w:rPr>
          <w:lang w:val="en-US"/>
        </w:rPr>
      </w:pPr>
      <w:r w:rsidRPr="003C5657">
        <w:rPr>
          <w:lang w:val="en-US"/>
        </w:rPr>
        <w:t>Cottarelli, C. (2013): “European Fiscal Union: A Vision for the Long Run,” Swiss Journal of Economics and S</w:t>
      </w:r>
      <w:r>
        <w:rPr>
          <w:lang w:val="en-US"/>
        </w:rPr>
        <w:t>tatistics (SJES), 149, 167–174.</w:t>
      </w:r>
    </w:p>
    <w:p w:rsidR="003C5657" w:rsidRPr="003C5657" w:rsidRDefault="003C5657" w:rsidP="003C5657">
      <w:pPr>
        <w:jc w:val="both"/>
        <w:rPr>
          <w:lang w:val="en-US"/>
        </w:rPr>
      </w:pPr>
      <w:r w:rsidRPr="003C5657">
        <w:rPr>
          <w:lang w:val="en-US"/>
        </w:rPr>
        <w:t>De Grauwe, P. and W.  Moesen (2009):  “Common Euro Bonds:  Necessary, Wise or to be Avoided?” Interec</w:t>
      </w:r>
      <w:r>
        <w:rPr>
          <w:lang w:val="en-US"/>
        </w:rPr>
        <w:t>onomics. Volume 44. May / June.</w:t>
      </w:r>
    </w:p>
    <w:p w:rsidR="003C5657" w:rsidRPr="003C5657" w:rsidRDefault="003C5657" w:rsidP="003C5657">
      <w:pPr>
        <w:jc w:val="both"/>
        <w:rPr>
          <w:lang w:val="en-US"/>
        </w:rPr>
      </w:pPr>
      <w:r w:rsidRPr="003C5657">
        <w:rPr>
          <w:lang w:val="en-US"/>
        </w:rPr>
        <w:t>De la Dehesa, G. (2011): “Eurobonds - concepts and implications,” Brie</w:t>
      </w:r>
      <w:r>
        <w:rPr>
          <w:lang w:val="en-US"/>
        </w:rPr>
        <w:t>fing Note IP/A/ECON/NT/2011-01.</w:t>
      </w:r>
    </w:p>
    <w:p w:rsidR="003C5657" w:rsidRDefault="003C5657" w:rsidP="003C5657">
      <w:pPr>
        <w:jc w:val="both"/>
        <w:rPr>
          <w:lang w:val="en-US"/>
        </w:rPr>
      </w:pPr>
      <w:r w:rsidRPr="003C5657">
        <w:rPr>
          <w:lang w:val="en-US"/>
        </w:rPr>
        <w:t>di Mauro, B. (2011): “A Eu</w:t>
      </w:r>
      <w:r>
        <w:rPr>
          <w:lang w:val="en-US"/>
        </w:rPr>
        <w:t>ropean Redemption Pact,” Voxeu.</w:t>
      </w:r>
    </w:p>
    <w:p w:rsidR="00772960" w:rsidRPr="003C5657" w:rsidRDefault="00772960" w:rsidP="00772960">
      <w:pPr>
        <w:jc w:val="both"/>
        <w:rPr>
          <w:lang w:val="en-US"/>
        </w:rPr>
      </w:pPr>
      <w:r>
        <w:rPr>
          <w:lang w:val="en-US"/>
        </w:rPr>
        <w:t xml:space="preserve">ECB (2018): “Press Conference” by </w:t>
      </w:r>
      <w:r w:rsidRPr="00772960">
        <w:rPr>
          <w:lang w:val="en-US"/>
        </w:rPr>
        <w:t>Mari</w:t>
      </w:r>
      <w:r>
        <w:rPr>
          <w:lang w:val="en-US"/>
        </w:rPr>
        <w:t xml:space="preserve">o Draghi and </w:t>
      </w:r>
      <w:r w:rsidRPr="00772960">
        <w:rPr>
          <w:lang w:val="en-US"/>
        </w:rPr>
        <w:t>Luis de Guindos</w:t>
      </w:r>
      <w:r>
        <w:rPr>
          <w:lang w:val="en-US"/>
        </w:rPr>
        <w:t xml:space="preserve">. October 2018. European Central Bank.  </w:t>
      </w:r>
    </w:p>
    <w:p w:rsidR="003C5657" w:rsidRPr="003C5657" w:rsidRDefault="003C5657" w:rsidP="003C5657">
      <w:pPr>
        <w:jc w:val="both"/>
        <w:rPr>
          <w:lang w:val="en-US"/>
        </w:rPr>
      </w:pPr>
      <w:r w:rsidRPr="003C5657">
        <w:rPr>
          <w:lang w:val="en-US"/>
        </w:rPr>
        <w:t>Gros, D. and S. Micossi (2008): “A call for a European Financial Stability Fund,”</w:t>
      </w:r>
      <w:r w:rsidR="00404B1E">
        <w:rPr>
          <w:lang w:val="en-US"/>
        </w:rPr>
        <w:t xml:space="preserve"> </w:t>
      </w:r>
      <w:r>
        <w:rPr>
          <w:lang w:val="en-US"/>
        </w:rPr>
        <w:t>CEPS Commentary. October.</w:t>
      </w:r>
    </w:p>
    <w:p w:rsidR="003C5657" w:rsidRPr="003C5657" w:rsidRDefault="003C5657" w:rsidP="003C5657">
      <w:pPr>
        <w:jc w:val="both"/>
        <w:rPr>
          <w:lang w:val="en-US"/>
        </w:rPr>
      </w:pPr>
      <w:r w:rsidRPr="003C5657">
        <w:rPr>
          <w:lang w:val="en-US"/>
        </w:rPr>
        <w:t>Juncker, J.-C. and G. Tremonti (2010): “E-bonds would en</w:t>
      </w:r>
      <w:r>
        <w:rPr>
          <w:lang w:val="en-US"/>
        </w:rPr>
        <w:t>d the crisis,” Financial Times.</w:t>
      </w:r>
    </w:p>
    <w:p w:rsidR="003C5657" w:rsidRPr="003C5657" w:rsidRDefault="003C5657" w:rsidP="003C5657">
      <w:pPr>
        <w:jc w:val="both"/>
        <w:rPr>
          <w:lang w:val="en-US"/>
        </w:rPr>
      </w:pPr>
      <w:r w:rsidRPr="003C5657">
        <w:rPr>
          <w:lang w:val="en-US"/>
        </w:rPr>
        <w:t>Mundell, R. (1961): “A Theory of Optimal Currency Areas,” American Economic Review, 51, 657–665.</w:t>
      </w:r>
    </w:p>
    <w:p w:rsidR="003C5657" w:rsidRPr="003C5657" w:rsidRDefault="003C5657" w:rsidP="003C5657">
      <w:pPr>
        <w:jc w:val="both"/>
        <w:rPr>
          <w:lang w:val="en-US"/>
        </w:rPr>
      </w:pPr>
      <w:r w:rsidRPr="003C5657">
        <w:rPr>
          <w:lang w:val="en-US"/>
        </w:rPr>
        <w:t>Otero-Iglesias, M. (2014): “Germany and political union in Europe: nothing moves without France,” Elcano Royal Institute, 8.</w:t>
      </w:r>
    </w:p>
    <w:p w:rsidR="003C5657" w:rsidRPr="003C5657" w:rsidRDefault="003C5657" w:rsidP="003C5657">
      <w:pPr>
        <w:jc w:val="both"/>
        <w:rPr>
          <w:lang w:val="en-US"/>
        </w:rPr>
      </w:pPr>
      <w:r w:rsidRPr="003C5657">
        <w:rPr>
          <w:lang w:val="en-US"/>
        </w:rPr>
        <w:t>Padoa-Schioppa, T. (2012): “Completing the Euro: a roadmap toward fiscal union in Eur</w:t>
      </w:r>
      <w:r>
        <w:rPr>
          <w:lang w:val="en-US"/>
        </w:rPr>
        <w:t>ope,” The Padoa-Schioppa Group.</w:t>
      </w:r>
    </w:p>
    <w:p w:rsidR="003C5657" w:rsidRPr="003C5657" w:rsidRDefault="003C5657" w:rsidP="003C5657">
      <w:pPr>
        <w:jc w:val="both"/>
        <w:rPr>
          <w:lang w:val="en-US"/>
        </w:rPr>
      </w:pPr>
      <w:r w:rsidRPr="003C5657">
        <w:rPr>
          <w:lang w:val="en-US"/>
        </w:rPr>
        <w:t>Philippon, T. and C. Hellwig (2011): “Eu</w:t>
      </w:r>
      <w:r>
        <w:rPr>
          <w:lang w:val="en-US"/>
        </w:rPr>
        <w:t>robills, not Eurobonds,” Voxeu.</w:t>
      </w:r>
    </w:p>
    <w:p w:rsidR="003C5657" w:rsidRPr="003C5657" w:rsidRDefault="003C5657" w:rsidP="003C5657">
      <w:pPr>
        <w:jc w:val="both"/>
        <w:rPr>
          <w:lang w:val="en-US"/>
        </w:rPr>
      </w:pPr>
      <w:r w:rsidRPr="003C5657">
        <w:rPr>
          <w:lang w:val="en-US"/>
        </w:rPr>
        <w:t>Weizsacker, J. V. and J. Delpla (2010): “The Blue Bond Proposal,” Pol</w:t>
      </w:r>
      <w:r>
        <w:rPr>
          <w:lang w:val="en-US"/>
        </w:rPr>
        <w:t>icy Contributions 509, Bruegel.</w:t>
      </w:r>
    </w:p>
    <w:p w:rsidR="003C5657" w:rsidRPr="003C5657" w:rsidRDefault="003C5657" w:rsidP="003C5657">
      <w:pPr>
        <w:jc w:val="both"/>
        <w:rPr>
          <w:lang w:val="en-US"/>
        </w:rPr>
      </w:pPr>
      <w:r w:rsidRPr="003C5657">
        <w:rPr>
          <w:lang w:val="en-US"/>
        </w:rPr>
        <w:t>——— (2011): “Eurobonds: The blue bond concept and its implications,” Policy Contributions 509, Bruegel.</w:t>
      </w:r>
    </w:p>
    <w:sectPr w:rsidR="003C5657" w:rsidRPr="003C56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302CC"/>
    <w:multiLevelType w:val="multilevel"/>
    <w:tmpl w:val="7AA4582E"/>
    <w:lvl w:ilvl="0">
      <w:start w:val="1"/>
      <w:numFmt w:val="decimal"/>
      <w:lvlText w:val="%1."/>
      <w:lvlJc w:val="left"/>
      <w:pPr>
        <w:ind w:left="360" w:hanging="360"/>
      </w:pPr>
      <w:rPr>
        <w:rFonts w:hint="default"/>
      </w:rPr>
    </w:lvl>
    <w:lvl w:ilvl="1">
      <w:start w:val="1"/>
      <w:numFmt w:val="decimal"/>
      <w:isLgl/>
      <w:lvlText w:val="%1.%2."/>
      <w:lvlJc w:val="left"/>
      <w:pPr>
        <w:ind w:left="495" w:hanging="495"/>
      </w:pPr>
      <w:rPr>
        <w:rFonts w:hint="default"/>
      </w:rPr>
    </w:lvl>
    <w:lvl w:ilvl="2">
      <w:start w:val="2"/>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6B55A4"/>
    <w:multiLevelType w:val="multilevel"/>
    <w:tmpl w:val="8B3E4E8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CC3378A"/>
    <w:multiLevelType w:val="hybridMultilevel"/>
    <w:tmpl w:val="815E6E0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496F5E9D"/>
    <w:multiLevelType w:val="hybridMultilevel"/>
    <w:tmpl w:val="0C6AB91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4DC37D06"/>
    <w:multiLevelType w:val="multilevel"/>
    <w:tmpl w:val="552E525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1E747E0"/>
    <w:multiLevelType w:val="multilevel"/>
    <w:tmpl w:val="43E87C5A"/>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B0614A1"/>
    <w:multiLevelType w:val="hybridMultilevel"/>
    <w:tmpl w:val="D2FEF2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6E63287F"/>
    <w:multiLevelType w:val="hybridMultilevel"/>
    <w:tmpl w:val="99C24FB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5"/>
  </w:num>
  <w:num w:numId="4">
    <w:abstractNumId w:val="2"/>
  </w:num>
  <w:num w:numId="5">
    <w:abstractNumId w:val="3"/>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829"/>
    <w:rsid w:val="00025981"/>
    <w:rsid w:val="00032A0F"/>
    <w:rsid w:val="000B69A5"/>
    <w:rsid w:val="000E592B"/>
    <w:rsid w:val="00160E8D"/>
    <w:rsid w:val="00162829"/>
    <w:rsid w:val="001B13B0"/>
    <w:rsid w:val="00267992"/>
    <w:rsid w:val="00286B7F"/>
    <w:rsid w:val="002936AB"/>
    <w:rsid w:val="00293FC9"/>
    <w:rsid w:val="003405D7"/>
    <w:rsid w:val="003C5657"/>
    <w:rsid w:val="00404B1E"/>
    <w:rsid w:val="00450792"/>
    <w:rsid w:val="00497EC5"/>
    <w:rsid w:val="005353DC"/>
    <w:rsid w:val="005D4C62"/>
    <w:rsid w:val="005F2106"/>
    <w:rsid w:val="00616188"/>
    <w:rsid w:val="00631FEE"/>
    <w:rsid w:val="006F5D25"/>
    <w:rsid w:val="00703799"/>
    <w:rsid w:val="00772960"/>
    <w:rsid w:val="00803165"/>
    <w:rsid w:val="00830FE7"/>
    <w:rsid w:val="0087681D"/>
    <w:rsid w:val="009B3C9E"/>
    <w:rsid w:val="00A1590B"/>
    <w:rsid w:val="00A2050F"/>
    <w:rsid w:val="00A565BD"/>
    <w:rsid w:val="00AA30E4"/>
    <w:rsid w:val="00AE3080"/>
    <w:rsid w:val="00B41A79"/>
    <w:rsid w:val="00B85EA7"/>
    <w:rsid w:val="00BF4553"/>
    <w:rsid w:val="00C10772"/>
    <w:rsid w:val="00C70F1A"/>
    <w:rsid w:val="00CC19F7"/>
    <w:rsid w:val="00CC223B"/>
    <w:rsid w:val="00DA4C5E"/>
    <w:rsid w:val="00DD560B"/>
    <w:rsid w:val="00E9287D"/>
    <w:rsid w:val="00EB349C"/>
    <w:rsid w:val="00F22617"/>
    <w:rsid w:val="00F24CDC"/>
    <w:rsid w:val="00F9121A"/>
    <w:rsid w:val="00FA0F6E"/>
    <w:rsid w:val="00FE41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22F3BD-95A7-4EB3-B22B-C91FBD77A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62829"/>
    <w:pPr>
      <w:ind w:left="720"/>
      <w:contextualSpacing/>
    </w:pPr>
  </w:style>
  <w:style w:type="paragraph" w:styleId="Textodeglobo">
    <w:name w:val="Balloon Text"/>
    <w:basedOn w:val="Normal"/>
    <w:link w:val="TextodegloboCar"/>
    <w:uiPriority w:val="99"/>
    <w:semiHidden/>
    <w:unhideWhenUsed/>
    <w:rsid w:val="009B3C9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3C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chart" Target="charts/chart6.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gonzalo.gomez\Desktop\data.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pcomillas-my.sharepoint.com/personal/gonzalo_gomez_comillas_edu/Documents/Research/Uni&#243;n%20Fiscal/Data/ECB%20Holding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onzalo.gomez\Desktop\data%20(1).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pcomillas-my.sharepoint.com/personal/gonzalo_gomez_comillas_edu/Documents/Research/Uni&#243;n%20Fiscal/Data/Suppor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Hoja_de_c_lculo_de_Microsoft_Excel2.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data!$B$3</c:f>
              <c:strCache>
                <c:ptCount val="1"/>
                <c:pt idx="0">
                  <c:v>Austria</c:v>
                </c:pt>
              </c:strCache>
            </c:strRef>
          </c:tx>
          <c:spPr>
            <a:ln w="28575" cap="rnd">
              <a:solidFill>
                <a:schemeClr val="accent1"/>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data!$B$4:$B$227</c:f>
              <c:numCache>
                <c:formatCode>General</c:formatCode>
                <c:ptCount val="224"/>
                <c:pt idx="0">
                  <c:v>0.6</c:v>
                </c:pt>
                <c:pt idx="1">
                  <c:v>0.6</c:v>
                </c:pt>
                <c:pt idx="2">
                  <c:v>0.71</c:v>
                </c:pt>
                <c:pt idx="3">
                  <c:v>0.76</c:v>
                </c:pt>
                <c:pt idx="4">
                  <c:v>0.76</c:v>
                </c:pt>
                <c:pt idx="5">
                  <c:v>0.81</c:v>
                </c:pt>
                <c:pt idx="6">
                  <c:v>0.84</c:v>
                </c:pt>
                <c:pt idx="7">
                  <c:v>0.67</c:v>
                </c:pt>
                <c:pt idx="8">
                  <c:v>0.5</c:v>
                </c:pt>
                <c:pt idx="9">
                  <c:v>0.51</c:v>
                </c:pt>
                <c:pt idx="10">
                  <c:v>0.61</c:v>
                </c:pt>
                <c:pt idx="11">
                  <c:v>0.59</c:v>
                </c:pt>
                <c:pt idx="12">
                  <c:v>0.61</c:v>
                </c:pt>
                <c:pt idx="13">
                  <c:v>0.73</c:v>
                </c:pt>
                <c:pt idx="14">
                  <c:v>0.55000000000000004</c:v>
                </c:pt>
                <c:pt idx="15">
                  <c:v>0.65</c:v>
                </c:pt>
                <c:pt idx="16">
                  <c:v>0.49</c:v>
                </c:pt>
                <c:pt idx="17">
                  <c:v>0.59</c:v>
                </c:pt>
                <c:pt idx="18">
                  <c:v>0.59</c:v>
                </c:pt>
                <c:pt idx="19">
                  <c:v>0.56999999999999995</c:v>
                </c:pt>
                <c:pt idx="20">
                  <c:v>0.53</c:v>
                </c:pt>
                <c:pt idx="21">
                  <c:v>0.49</c:v>
                </c:pt>
                <c:pt idx="22">
                  <c:v>0.24</c:v>
                </c:pt>
                <c:pt idx="23">
                  <c:v>0.15</c:v>
                </c:pt>
                <c:pt idx="24">
                  <c:v>0.11</c:v>
                </c:pt>
                <c:pt idx="25">
                  <c:v>0.16</c:v>
                </c:pt>
                <c:pt idx="26">
                  <c:v>0.33</c:v>
                </c:pt>
                <c:pt idx="27">
                  <c:v>0.37</c:v>
                </c:pt>
                <c:pt idx="28">
                  <c:v>0.38</c:v>
                </c:pt>
                <c:pt idx="29">
                  <c:v>0.46</c:v>
                </c:pt>
                <c:pt idx="30">
                  <c:v>0.53</c:v>
                </c:pt>
                <c:pt idx="31">
                  <c:v>0.77</c:v>
                </c:pt>
                <c:pt idx="32">
                  <c:v>0.86</c:v>
                </c:pt>
                <c:pt idx="33">
                  <c:v>0.82</c:v>
                </c:pt>
                <c:pt idx="34">
                  <c:v>0.83</c:v>
                </c:pt>
                <c:pt idx="35">
                  <c:v>0.97</c:v>
                </c:pt>
                <c:pt idx="36">
                  <c:v>0.96</c:v>
                </c:pt>
                <c:pt idx="37">
                  <c:v>1.08</c:v>
                </c:pt>
                <c:pt idx="38">
                  <c:v>1.06</c:v>
                </c:pt>
                <c:pt idx="39">
                  <c:v>0.73</c:v>
                </c:pt>
                <c:pt idx="40">
                  <c:v>0.28999999999999998</c:v>
                </c:pt>
                <c:pt idx="41">
                  <c:v>0.37</c:v>
                </c:pt>
                <c:pt idx="42">
                  <c:v>0.44</c:v>
                </c:pt>
                <c:pt idx="43">
                  <c:v>0.54</c:v>
                </c:pt>
                <c:pt idx="44">
                  <c:v>0.81</c:v>
                </c:pt>
                <c:pt idx="45">
                  <c:v>0.98</c:v>
                </c:pt>
                <c:pt idx="46">
                  <c:v>1.1000000000000001</c:v>
                </c:pt>
                <c:pt idx="47">
                  <c:v>1.22</c:v>
                </c:pt>
                <c:pt idx="48">
                  <c:v>1.28</c:v>
                </c:pt>
                <c:pt idx="49">
                  <c:v>1.47</c:v>
                </c:pt>
                <c:pt idx="50">
                  <c:v>1.65</c:v>
                </c:pt>
                <c:pt idx="51">
                  <c:v>1.62</c:v>
                </c:pt>
                <c:pt idx="52">
                  <c:v>1.77</c:v>
                </c:pt>
                <c:pt idx="53">
                  <c:v>1.87</c:v>
                </c:pt>
                <c:pt idx="54">
                  <c:v>1.95</c:v>
                </c:pt>
                <c:pt idx="55">
                  <c:v>2.13</c:v>
                </c:pt>
                <c:pt idx="56">
                  <c:v>2.17</c:v>
                </c:pt>
                <c:pt idx="57">
                  <c:v>2.08</c:v>
                </c:pt>
                <c:pt idx="58">
                  <c:v>2.19</c:v>
                </c:pt>
                <c:pt idx="59">
                  <c:v>2.34</c:v>
                </c:pt>
                <c:pt idx="60">
                  <c:v>2.2200000000000002</c:v>
                </c:pt>
                <c:pt idx="61">
                  <c:v>2.06</c:v>
                </c:pt>
                <c:pt idx="62">
                  <c:v>2.04</c:v>
                </c:pt>
                <c:pt idx="63">
                  <c:v>1.75</c:v>
                </c:pt>
                <c:pt idx="64">
                  <c:v>1.64</c:v>
                </c:pt>
                <c:pt idx="65">
                  <c:v>1.75</c:v>
                </c:pt>
                <c:pt idx="66">
                  <c:v>1.96</c:v>
                </c:pt>
                <c:pt idx="67">
                  <c:v>1.92</c:v>
                </c:pt>
                <c:pt idx="68">
                  <c:v>1.77</c:v>
                </c:pt>
                <c:pt idx="69">
                  <c:v>1.85</c:v>
                </c:pt>
                <c:pt idx="70">
                  <c:v>2.02</c:v>
                </c:pt>
                <c:pt idx="71">
                  <c:v>2.04</c:v>
                </c:pt>
                <c:pt idx="72">
                  <c:v>1.97</c:v>
                </c:pt>
                <c:pt idx="73">
                  <c:v>2.0699999999999998</c:v>
                </c:pt>
                <c:pt idx="74">
                  <c:v>2.29</c:v>
                </c:pt>
                <c:pt idx="75">
                  <c:v>2.4900000000000002</c:v>
                </c:pt>
                <c:pt idx="76">
                  <c:v>2.83</c:v>
                </c:pt>
                <c:pt idx="77">
                  <c:v>2.87</c:v>
                </c:pt>
                <c:pt idx="78">
                  <c:v>3</c:v>
                </c:pt>
                <c:pt idx="79">
                  <c:v>3.27</c:v>
                </c:pt>
                <c:pt idx="80">
                  <c:v>3.1</c:v>
                </c:pt>
                <c:pt idx="81">
                  <c:v>3.36</c:v>
                </c:pt>
                <c:pt idx="82">
                  <c:v>2.92</c:v>
                </c:pt>
                <c:pt idx="83">
                  <c:v>2.64</c:v>
                </c:pt>
                <c:pt idx="84">
                  <c:v>2.84</c:v>
                </c:pt>
                <c:pt idx="85">
                  <c:v>3.35</c:v>
                </c:pt>
                <c:pt idx="86">
                  <c:v>3.43</c:v>
                </c:pt>
                <c:pt idx="87">
                  <c:v>3.53</c:v>
                </c:pt>
                <c:pt idx="88">
                  <c:v>3.76</c:v>
                </c:pt>
                <c:pt idx="89">
                  <c:v>3.68</c:v>
                </c:pt>
                <c:pt idx="90">
                  <c:v>3.68</c:v>
                </c:pt>
                <c:pt idx="91">
                  <c:v>3.54</c:v>
                </c:pt>
                <c:pt idx="92">
                  <c:v>3.43</c:v>
                </c:pt>
                <c:pt idx="93">
                  <c:v>3.01</c:v>
                </c:pt>
                <c:pt idx="94">
                  <c:v>2.82</c:v>
                </c:pt>
                <c:pt idx="95">
                  <c:v>2.8</c:v>
                </c:pt>
                <c:pt idx="96">
                  <c:v>2.77</c:v>
                </c:pt>
                <c:pt idx="97">
                  <c:v>3.06</c:v>
                </c:pt>
                <c:pt idx="98">
                  <c:v>3.2</c:v>
                </c:pt>
                <c:pt idx="99">
                  <c:v>3.21</c:v>
                </c:pt>
                <c:pt idx="100">
                  <c:v>3.46</c:v>
                </c:pt>
                <c:pt idx="101">
                  <c:v>3.53</c:v>
                </c:pt>
                <c:pt idx="102">
                  <c:v>3.66</c:v>
                </c:pt>
                <c:pt idx="103">
                  <c:v>3.75</c:v>
                </c:pt>
                <c:pt idx="104">
                  <c:v>3.61</c:v>
                </c:pt>
                <c:pt idx="105">
                  <c:v>3.6</c:v>
                </c:pt>
                <c:pt idx="106">
                  <c:v>3.65</c:v>
                </c:pt>
                <c:pt idx="107">
                  <c:v>3.75</c:v>
                </c:pt>
                <c:pt idx="108">
                  <c:v>3.76</c:v>
                </c:pt>
                <c:pt idx="109">
                  <c:v>4.04</c:v>
                </c:pt>
                <c:pt idx="110">
                  <c:v>4.32</c:v>
                </c:pt>
                <c:pt idx="111">
                  <c:v>4.0999999999999996</c:v>
                </c:pt>
                <c:pt idx="112">
                  <c:v>4.04</c:v>
                </c:pt>
                <c:pt idx="113">
                  <c:v>4.16</c:v>
                </c:pt>
                <c:pt idx="114">
                  <c:v>4.21</c:v>
                </c:pt>
                <c:pt idx="115">
                  <c:v>4</c:v>
                </c:pt>
                <c:pt idx="116">
                  <c:v>3.9</c:v>
                </c:pt>
                <c:pt idx="117">
                  <c:v>4.1900000000000004</c:v>
                </c:pt>
                <c:pt idx="118">
                  <c:v>4.33</c:v>
                </c:pt>
                <c:pt idx="119">
                  <c:v>4.46</c:v>
                </c:pt>
                <c:pt idx="120">
                  <c:v>4.4800000000000004</c:v>
                </c:pt>
                <c:pt idx="121">
                  <c:v>4.78</c:v>
                </c:pt>
                <c:pt idx="122">
                  <c:v>4.8</c:v>
                </c:pt>
                <c:pt idx="123">
                  <c:v>4.4800000000000004</c:v>
                </c:pt>
                <c:pt idx="124">
                  <c:v>4.34</c:v>
                </c:pt>
                <c:pt idx="125">
                  <c:v>4.1399999999999997</c:v>
                </c:pt>
                <c:pt idx="126">
                  <c:v>4.18</c:v>
                </c:pt>
                <c:pt idx="127">
                  <c:v>4.22</c:v>
                </c:pt>
                <c:pt idx="128">
                  <c:v>4.3499999999999996</c:v>
                </c:pt>
                <c:pt idx="129">
                  <c:v>4.21</c:v>
                </c:pt>
                <c:pt idx="130">
                  <c:v>4.4000000000000004</c:v>
                </c:pt>
                <c:pt idx="131">
                  <c:v>4.33</c:v>
                </c:pt>
                <c:pt idx="132">
                  <c:v>4.38</c:v>
                </c:pt>
                <c:pt idx="133">
                  <c:v>4.59</c:v>
                </c:pt>
                <c:pt idx="134">
                  <c:v>4.63</c:v>
                </c:pt>
                <c:pt idx="135">
                  <c:v>4.33</c:v>
                </c:pt>
                <c:pt idx="136">
                  <c:v>4.21</c:v>
                </c:pt>
                <c:pt idx="137">
                  <c:v>3.99</c:v>
                </c:pt>
                <c:pt idx="138">
                  <c:v>4.09</c:v>
                </c:pt>
                <c:pt idx="139">
                  <c:v>4.0599999999999996</c:v>
                </c:pt>
                <c:pt idx="140">
                  <c:v>3.81</c:v>
                </c:pt>
                <c:pt idx="141">
                  <c:v>3.76</c:v>
                </c:pt>
                <c:pt idx="142">
                  <c:v>3.83</c:v>
                </c:pt>
                <c:pt idx="143">
                  <c:v>3.79</c:v>
                </c:pt>
                <c:pt idx="144">
                  <c:v>3.92</c:v>
                </c:pt>
                <c:pt idx="145">
                  <c:v>4.05</c:v>
                </c:pt>
                <c:pt idx="146">
                  <c:v>4.03</c:v>
                </c:pt>
                <c:pt idx="147">
                  <c:v>4.03</c:v>
                </c:pt>
                <c:pt idx="148">
                  <c:v>3.92</c:v>
                </c:pt>
                <c:pt idx="149">
                  <c:v>3.65</c:v>
                </c:pt>
                <c:pt idx="150">
                  <c:v>3.48</c:v>
                </c:pt>
                <c:pt idx="151">
                  <c:v>3.33</c:v>
                </c:pt>
                <c:pt idx="152">
                  <c:v>3.36</c:v>
                </c:pt>
                <c:pt idx="153">
                  <c:v>3.48</c:v>
                </c:pt>
                <c:pt idx="154">
                  <c:v>3.27</c:v>
                </c:pt>
                <c:pt idx="155">
                  <c:v>3.12</c:v>
                </c:pt>
                <c:pt idx="156">
                  <c:v>3.28</c:v>
                </c:pt>
                <c:pt idx="157">
                  <c:v>3.27</c:v>
                </c:pt>
                <c:pt idx="158">
                  <c:v>3.23</c:v>
                </c:pt>
                <c:pt idx="159">
                  <c:v>3.41</c:v>
                </c:pt>
                <c:pt idx="160">
                  <c:v>3.5</c:v>
                </c:pt>
                <c:pt idx="161">
                  <c:v>3.7</c:v>
                </c:pt>
                <c:pt idx="162">
                  <c:v>3.55</c:v>
                </c:pt>
                <c:pt idx="163">
                  <c:v>3.56</c:v>
                </c:pt>
                <c:pt idx="164">
                  <c:v>3.63</c:v>
                </c:pt>
                <c:pt idx="165">
                  <c:v>3.84</c:v>
                </c:pt>
                <c:pt idx="166">
                  <c:v>3.97</c:v>
                </c:pt>
                <c:pt idx="167">
                  <c:v>4.09</c:v>
                </c:pt>
                <c:pt idx="168">
                  <c:v>4.1500000000000004</c:v>
                </c:pt>
                <c:pt idx="169">
                  <c:v>4.3099999999999996</c:v>
                </c:pt>
                <c:pt idx="170">
                  <c:v>4.42</c:v>
                </c:pt>
                <c:pt idx="171">
                  <c:v>4.37</c:v>
                </c:pt>
                <c:pt idx="172">
                  <c:v>4.24</c:v>
                </c:pt>
                <c:pt idx="173">
                  <c:v>4.05</c:v>
                </c:pt>
                <c:pt idx="174">
                  <c:v>4.2300000000000004</c:v>
                </c:pt>
                <c:pt idx="175">
                  <c:v>4.2699999999999996</c:v>
                </c:pt>
                <c:pt idx="176">
                  <c:v>4.38</c:v>
                </c:pt>
                <c:pt idx="177">
                  <c:v>4.4400000000000004</c:v>
                </c:pt>
                <c:pt idx="178">
                  <c:v>4.32</c:v>
                </c:pt>
                <c:pt idx="179">
                  <c:v>4.24</c:v>
                </c:pt>
                <c:pt idx="180">
                  <c:v>4.22</c:v>
                </c:pt>
                <c:pt idx="181">
                  <c:v>4.0599999999999996</c:v>
                </c:pt>
                <c:pt idx="182">
                  <c:v>3.76</c:v>
                </c:pt>
                <c:pt idx="183">
                  <c:v>3.85</c:v>
                </c:pt>
                <c:pt idx="184">
                  <c:v>4.16</c:v>
                </c:pt>
                <c:pt idx="185">
                  <c:v>4.03</c:v>
                </c:pt>
                <c:pt idx="186">
                  <c:v>4.01</c:v>
                </c:pt>
                <c:pt idx="187">
                  <c:v>4.22</c:v>
                </c:pt>
                <c:pt idx="188">
                  <c:v>4.43</c:v>
                </c:pt>
                <c:pt idx="189">
                  <c:v>4.62</c:v>
                </c:pt>
                <c:pt idx="190">
                  <c:v>4.6399999999999997</c:v>
                </c:pt>
                <c:pt idx="191">
                  <c:v>4.57</c:v>
                </c:pt>
                <c:pt idx="192">
                  <c:v>4.7699999999999996</c:v>
                </c:pt>
                <c:pt idx="193">
                  <c:v>5.0599999999999996</c:v>
                </c:pt>
                <c:pt idx="194">
                  <c:v>5.22</c:v>
                </c:pt>
                <c:pt idx="195">
                  <c:v>5.37</c:v>
                </c:pt>
                <c:pt idx="196">
                  <c:v>5.35</c:v>
                </c:pt>
                <c:pt idx="197">
                  <c:v>5.36</c:v>
                </c:pt>
                <c:pt idx="198">
                  <c:v>5.12</c:v>
                </c:pt>
                <c:pt idx="199">
                  <c:v>5.0599999999999996</c:v>
                </c:pt>
                <c:pt idx="200">
                  <c:v>4.95</c:v>
                </c:pt>
                <c:pt idx="201">
                  <c:v>4.7</c:v>
                </c:pt>
                <c:pt idx="202">
                  <c:v>4.8499999999999996</c:v>
                </c:pt>
                <c:pt idx="203">
                  <c:v>5.08</c:v>
                </c:pt>
                <c:pt idx="204">
                  <c:v>5.0999999999999996</c:v>
                </c:pt>
                <c:pt idx="205">
                  <c:v>5.29</c:v>
                </c:pt>
                <c:pt idx="206">
                  <c:v>5.27</c:v>
                </c:pt>
                <c:pt idx="207">
                  <c:v>5.34</c:v>
                </c:pt>
                <c:pt idx="208">
                  <c:v>5.16</c:v>
                </c:pt>
                <c:pt idx="209">
                  <c:v>5.01</c:v>
                </c:pt>
                <c:pt idx="210">
                  <c:v>5.0999999999999996</c:v>
                </c:pt>
                <c:pt idx="211">
                  <c:v>5.0999999999999996</c:v>
                </c:pt>
                <c:pt idx="212">
                  <c:v>5.21</c:v>
                </c:pt>
                <c:pt idx="213">
                  <c:v>5.46</c:v>
                </c:pt>
                <c:pt idx="214">
                  <c:v>5.52</c:v>
                </c:pt>
                <c:pt idx="215">
                  <c:v>5.57</c:v>
                </c:pt>
                <c:pt idx="216">
                  <c:v>5.54</c:v>
                </c:pt>
                <c:pt idx="217">
                  <c:v>5.6</c:v>
                </c:pt>
                <c:pt idx="218">
                  <c:v>5.51</c:v>
                </c:pt>
                <c:pt idx="219">
                  <c:v>5.66</c:v>
                </c:pt>
                <c:pt idx="220">
                  <c:v>5.49</c:v>
                </c:pt>
                <c:pt idx="221">
                  <c:v>5.59</c:v>
                </c:pt>
                <c:pt idx="222">
                  <c:v>5.77</c:v>
                </c:pt>
                <c:pt idx="223">
                  <c:v>5.75</c:v>
                </c:pt>
              </c:numCache>
            </c:numRef>
          </c:val>
          <c:smooth val="0"/>
          <c:extLst>
            <c:ext xmlns:c16="http://schemas.microsoft.com/office/drawing/2014/chart" uri="{C3380CC4-5D6E-409C-BE32-E72D297353CC}">
              <c16:uniqueId val="{00000000-E765-4C20-8431-542026E1F106}"/>
            </c:ext>
          </c:extLst>
        </c:ser>
        <c:ser>
          <c:idx val="1"/>
          <c:order val="1"/>
          <c:tx>
            <c:strRef>
              <c:f>data!$C$3</c:f>
              <c:strCache>
                <c:ptCount val="1"/>
                <c:pt idx="0">
                  <c:v>Belgium</c:v>
                </c:pt>
              </c:strCache>
            </c:strRef>
          </c:tx>
          <c:spPr>
            <a:ln w="28575" cap="rnd">
              <a:solidFill>
                <a:schemeClr val="accent2"/>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data!$C$4:$C$227</c:f>
              <c:numCache>
                <c:formatCode>General</c:formatCode>
                <c:ptCount val="224"/>
                <c:pt idx="0">
                  <c:v>0.71</c:v>
                </c:pt>
                <c:pt idx="1">
                  <c:v>0.68</c:v>
                </c:pt>
                <c:pt idx="2">
                  <c:v>0.79</c:v>
                </c:pt>
                <c:pt idx="3">
                  <c:v>0.83</c:v>
                </c:pt>
                <c:pt idx="4">
                  <c:v>0.81</c:v>
                </c:pt>
                <c:pt idx="5">
                  <c:v>0.87</c:v>
                </c:pt>
                <c:pt idx="6">
                  <c:v>0.97</c:v>
                </c:pt>
                <c:pt idx="7">
                  <c:v>0.7</c:v>
                </c:pt>
                <c:pt idx="8">
                  <c:v>0.53</c:v>
                </c:pt>
                <c:pt idx="9">
                  <c:v>0.57999999999999996</c:v>
                </c:pt>
                <c:pt idx="10">
                  <c:v>0.69</c:v>
                </c:pt>
                <c:pt idx="11">
                  <c:v>0.7</c:v>
                </c:pt>
                <c:pt idx="12">
                  <c:v>0.73</c:v>
                </c:pt>
                <c:pt idx="13">
                  <c:v>0.83</c:v>
                </c:pt>
                <c:pt idx="14">
                  <c:v>0.62</c:v>
                </c:pt>
                <c:pt idx="15">
                  <c:v>0.77</c:v>
                </c:pt>
                <c:pt idx="16">
                  <c:v>0.78</c:v>
                </c:pt>
                <c:pt idx="17">
                  <c:v>0.87</c:v>
                </c:pt>
                <c:pt idx="18">
                  <c:v>0.87</c:v>
                </c:pt>
                <c:pt idx="19">
                  <c:v>0.7</c:v>
                </c:pt>
                <c:pt idx="20">
                  <c:v>0.61</c:v>
                </c:pt>
                <c:pt idx="21">
                  <c:v>0.56999999999999995</c:v>
                </c:pt>
                <c:pt idx="22">
                  <c:v>0.27</c:v>
                </c:pt>
                <c:pt idx="23">
                  <c:v>0.18</c:v>
                </c:pt>
                <c:pt idx="24">
                  <c:v>0.15</c:v>
                </c:pt>
                <c:pt idx="25">
                  <c:v>0.2</c:v>
                </c:pt>
                <c:pt idx="26">
                  <c:v>0.43</c:v>
                </c:pt>
                <c:pt idx="27">
                  <c:v>0.55000000000000004</c:v>
                </c:pt>
                <c:pt idx="28">
                  <c:v>0.55000000000000004</c:v>
                </c:pt>
                <c:pt idx="29">
                  <c:v>0.62</c:v>
                </c:pt>
                <c:pt idx="30">
                  <c:v>0.72</c:v>
                </c:pt>
                <c:pt idx="31">
                  <c:v>0.86</c:v>
                </c:pt>
                <c:pt idx="32">
                  <c:v>0.89</c:v>
                </c:pt>
                <c:pt idx="33">
                  <c:v>0.84</c:v>
                </c:pt>
                <c:pt idx="34">
                  <c:v>0.85</c:v>
                </c:pt>
                <c:pt idx="35">
                  <c:v>1.01</c:v>
                </c:pt>
                <c:pt idx="36">
                  <c:v>1</c:v>
                </c:pt>
                <c:pt idx="37">
                  <c:v>1.1499999999999999</c:v>
                </c:pt>
                <c:pt idx="38">
                  <c:v>1.21</c:v>
                </c:pt>
                <c:pt idx="39">
                  <c:v>0.86</c:v>
                </c:pt>
                <c:pt idx="40">
                  <c:v>0.42</c:v>
                </c:pt>
                <c:pt idx="41">
                  <c:v>0.49</c:v>
                </c:pt>
                <c:pt idx="42">
                  <c:v>0.63</c:v>
                </c:pt>
                <c:pt idx="43">
                  <c:v>0.73</c:v>
                </c:pt>
                <c:pt idx="44">
                  <c:v>0.91</c:v>
                </c:pt>
                <c:pt idx="45">
                  <c:v>1.07</c:v>
                </c:pt>
                <c:pt idx="46">
                  <c:v>1.18</c:v>
                </c:pt>
                <c:pt idx="47">
                  <c:v>1.3</c:v>
                </c:pt>
                <c:pt idx="48">
                  <c:v>1.4</c:v>
                </c:pt>
                <c:pt idx="49">
                  <c:v>1.61</c:v>
                </c:pt>
                <c:pt idx="50">
                  <c:v>1.83</c:v>
                </c:pt>
                <c:pt idx="51">
                  <c:v>1.99</c:v>
                </c:pt>
                <c:pt idx="52">
                  <c:v>2.16</c:v>
                </c:pt>
                <c:pt idx="53">
                  <c:v>2.2599999999999998</c:v>
                </c:pt>
                <c:pt idx="54">
                  <c:v>2.4</c:v>
                </c:pt>
                <c:pt idx="55">
                  <c:v>2.4500000000000002</c:v>
                </c:pt>
                <c:pt idx="56">
                  <c:v>2.4300000000000002</c:v>
                </c:pt>
                <c:pt idx="57">
                  <c:v>2.42</c:v>
                </c:pt>
                <c:pt idx="58">
                  <c:v>2.57</c:v>
                </c:pt>
                <c:pt idx="59">
                  <c:v>2.75</c:v>
                </c:pt>
                <c:pt idx="60">
                  <c:v>2.65</c:v>
                </c:pt>
                <c:pt idx="61">
                  <c:v>2.54</c:v>
                </c:pt>
                <c:pt idx="62">
                  <c:v>2.44</c:v>
                </c:pt>
                <c:pt idx="63">
                  <c:v>2.06</c:v>
                </c:pt>
                <c:pt idx="64">
                  <c:v>2.04</c:v>
                </c:pt>
                <c:pt idx="65">
                  <c:v>2.25</c:v>
                </c:pt>
                <c:pt idx="66">
                  <c:v>2.46</c:v>
                </c:pt>
                <c:pt idx="67">
                  <c:v>2.31</c:v>
                </c:pt>
                <c:pt idx="68">
                  <c:v>2.1</c:v>
                </c:pt>
                <c:pt idx="69">
                  <c:v>2.29</c:v>
                </c:pt>
                <c:pt idx="70">
                  <c:v>2.44</c:v>
                </c:pt>
                <c:pt idx="71">
                  <c:v>2.61</c:v>
                </c:pt>
                <c:pt idx="72">
                  <c:v>2.54</c:v>
                </c:pt>
                <c:pt idx="73">
                  <c:v>2.69</c:v>
                </c:pt>
                <c:pt idx="74">
                  <c:v>3.17</c:v>
                </c:pt>
                <c:pt idx="75">
                  <c:v>3.3</c:v>
                </c:pt>
                <c:pt idx="76">
                  <c:v>3.52</c:v>
                </c:pt>
                <c:pt idx="77">
                  <c:v>3.53</c:v>
                </c:pt>
                <c:pt idx="78">
                  <c:v>3.7</c:v>
                </c:pt>
                <c:pt idx="79">
                  <c:v>4.1100000000000003</c:v>
                </c:pt>
                <c:pt idx="80">
                  <c:v>4.3499999999999996</c:v>
                </c:pt>
                <c:pt idx="81">
                  <c:v>4.84</c:v>
                </c:pt>
                <c:pt idx="82">
                  <c:v>4.2</c:v>
                </c:pt>
                <c:pt idx="83">
                  <c:v>3.88</c:v>
                </c:pt>
                <c:pt idx="84">
                  <c:v>4.1100000000000003</c:v>
                </c:pt>
                <c:pt idx="85">
                  <c:v>4.22</c:v>
                </c:pt>
                <c:pt idx="86">
                  <c:v>4.1399999999999997</c:v>
                </c:pt>
                <c:pt idx="87">
                  <c:v>4.21</c:v>
                </c:pt>
                <c:pt idx="88">
                  <c:v>4.29</c:v>
                </c:pt>
                <c:pt idx="89">
                  <c:v>4.21</c:v>
                </c:pt>
                <c:pt idx="90">
                  <c:v>4.21</c:v>
                </c:pt>
                <c:pt idx="91">
                  <c:v>4.1399999999999997</c:v>
                </c:pt>
                <c:pt idx="92">
                  <c:v>3.99</c:v>
                </c:pt>
                <c:pt idx="93">
                  <c:v>3.48</c:v>
                </c:pt>
                <c:pt idx="94">
                  <c:v>3.21</c:v>
                </c:pt>
                <c:pt idx="95">
                  <c:v>3.12</c:v>
                </c:pt>
                <c:pt idx="96">
                  <c:v>3.03</c:v>
                </c:pt>
                <c:pt idx="97">
                  <c:v>3.29</c:v>
                </c:pt>
                <c:pt idx="98">
                  <c:v>3.47</c:v>
                </c:pt>
                <c:pt idx="99">
                  <c:v>3.31</c:v>
                </c:pt>
                <c:pt idx="100">
                  <c:v>3.54</c:v>
                </c:pt>
                <c:pt idx="101">
                  <c:v>3.63</c:v>
                </c:pt>
                <c:pt idx="102">
                  <c:v>3.73</c:v>
                </c:pt>
                <c:pt idx="103">
                  <c:v>3.75</c:v>
                </c:pt>
                <c:pt idx="104">
                  <c:v>3.61</c:v>
                </c:pt>
                <c:pt idx="105">
                  <c:v>3.64</c:v>
                </c:pt>
                <c:pt idx="106">
                  <c:v>3.68</c:v>
                </c:pt>
                <c:pt idx="107">
                  <c:v>3.72</c:v>
                </c:pt>
                <c:pt idx="108">
                  <c:v>3.77</c:v>
                </c:pt>
                <c:pt idx="109">
                  <c:v>3.92</c:v>
                </c:pt>
                <c:pt idx="110">
                  <c:v>4.12</c:v>
                </c:pt>
                <c:pt idx="111">
                  <c:v>4.03</c:v>
                </c:pt>
                <c:pt idx="112">
                  <c:v>3.93</c:v>
                </c:pt>
                <c:pt idx="113">
                  <c:v>4.03</c:v>
                </c:pt>
                <c:pt idx="114">
                  <c:v>4.24</c:v>
                </c:pt>
                <c:pt idx="115">
                  <c:v>4.13</c:v>
                </c:pt>
                <c:pt idx="116">
                  <c:v>3.87</c:v>
                </c:pt>
                <c:pt idx="117">
                  <c:v>4.26</c:v>
                </c:pt>
                <c:pt idx="118">
                  <c:v>4.46</c:v>
                </c:pt>
                <c:pt idx="119">
                  <c:v>4.5599999999999996</c:v>
                </c:pt>
                <c:pt idx="120">
                  <c:v>4.58</c:v>
                </c:pt>
                <c:pt idx="121">
                  <c:v>4.8499999999999996</c:v>
                </c:pt>
                <c:pt idx="122">
                  <c:v>4.84</c:v>
                </c:pt>
                <c:pt idx="123">
                  <c:v>4.51</c:v>
                </c:pt>
                <c:pt idx="124">
                  <c:v>4.37</c:v>
                </c:pt>
                <c:pt idx="125">
                  <c:v>4.2300000000000004</c:v>
                </c:pt>
                <c:pt idx="126">
                  <c:v>4.2300000000000004</c:v>
                </c:pt>
                <c:pt idx="127">
                  <c:v>4.25</c:v>
                </c:pt>
                <c:pt idx="128">
                  <c:v>4.41</c:v>
                </c:pt>
                <c:pt idx="129">
                  <c:v>4.28</c:v>
                </c:pt>
                <c:pt idx="130">
                  <c:v>4.42</c:v>
                </c:pt>
                <c:pt idx="131">
                  <c:v>4.3899999999999997</c:v>
                </c:pt>
                <c:pt idx="132">
                  <c:v>4.4400000000000004</c:v>
                </c:pt>
                <c:pt idx="133">
                  <c:v>4.62</c:v>
                </c:pt>
                <c:pt idx="134">
                  <c:v>4.6399999999999997</c:v>
                </c:pt>
                <c:pt idx="135">
                  <c:v>4.34</c:v>
                </c:pt>
                <c:pt idx="136">
                  <c:v>4.22</c:v>
                </c:pt>
                <c:pt idx="137">
                  <c:v>4.01</c:v>
                </c:pt>
                <c:pt idx="138">
                  <c:v>4.1100000000000003</c:v>
                </c:pt>
                <c:pt idx="139">
                  <c:v>4.0599999999999996</c:v>
                </c:pt>
                <c:pt idx="140">
                  <c:v>3.82</c:v>
                </c:pt>
                <c:pt idx="141">
                  <c:v>3.76</c:v>
                </c:pt>
                <c:pt idx="142">
                  <c:v>3.83</c:v>
                </c:pt>
                <c:pt idx="143">
                  <c:v>3.79</c:v>
                </c:pt>
                <c:pt idx="144">
                  <c:v>3.92</c:v>
                </c:pt>
                <c:pt idx="145">
                  <c:v>4.04</c:v>
                </c:pt>
                <c:pt idx="146">
                  <c:v>4.0199999999999996</c:v>
                </c:pt>
                <c:pt idx="147">
                  <c:v>4.03</c:v>
                </c:pt>
                <c:pt idx="148">
                  <c:v>3.96</c:v>
                </c:pt>
                <c:pt idx="149">
                  <c:v>3.7</c:v>
                </c:pt>
                <c:pt idx="150">
                  <c:v>3.54</c:v>
                </c:pt>
                <c:pt idx="151">
                  <c:v>3.37</c:v>
                </c:pt>
                <c:pt idx="152">
                  <c:v>3.39</c:v>
                </c:pt>
                <c:pt idx="153">
                  <c:v>3.49</c:v>
                </c:pt>
                <c:pt idx="154">
                  <c:v>3.3</c:v>
                </c:pt>
                <c:pt idx="155">
                  <c:v>3.14</c:v>
                </c:pt>
                <c:pt idx="156">
                  <c:v>3.31</c:v>
                </c:pt>
                <c:pt idx="157">
                  <c:v>3.3</c:v>
                </c:pt>
                <c:pt idx="158">
                  <c:v>3.26</c:v>
                </c:pt>
                <c:pt idx="159">
                  <c:v>3.43</c:v>
                </c:pt>
                <c:pt idx="160">
                  <c:v>3.6</c:v>
                </c:pt>
                <c:pt idx="161">
                  <c:v>3.76</c:v>
                </c:pt>
                <c:pt idx="162">
                  <c:v>3.57</c:v>
                </c:pt>
                <c:pt idx="163">
                  <c:v>3.59</c:v>
                </c:pt>
                <c:pt idx="164">
                  <c:v>3.66</c:v>
                </c:pt>
                <c:pt idx="165">
                  <c:v>3.85</c:v>
                </c:pt>
                <c:pt idx="166">
                  <c:v>3.98</c:v>
                </c:pt>
                <c:pt idx="167">
                  <c:v>4.1100000000000003</c:v>
                </c:pt>
                <c:pt idx="168">
                  <c:v>4.18</c:v>
                </c:pt>
                <c:pt idx="169">
                  <c:v>4.34</c:v>
                </c:pt>
                <c:pt idx="170">
                  <c:v>4.46</c:v>
                </c:pt>
                <c:pt idx="171">
                  <c:v>4.4000000000000004</c:v>
                </c:pt>
                <c:pt idx="172">
                  <c:v>4.26</c:v>
                </c:pt>
                <c:pt idx="173">
                  <c:v>4.07</c:v>
                </c:pt>
                <c:pt idx="174">
                  <c:v>4.26</c:v>
                </c:pt>
                <c:pt idx="175">
                  <c:v>4.26</c:v>
                </c:pt>
                <c:pt idx="176">
                  <c:v>4.38</c:v>
                </c:pt>
                <c:pt idx="177">
                  <c:v>4.43</c:v>
                </c:pt>
                <c:pt idx="178">
                  <c:v>4.3099999999999996</c:v>
                </c:pt>
                <c:pt idx="179">
                  <c:v>4.25</c:v>
                </c:pt>
                <c:pt idx="180">
                  <c:v>4.22</c:v>
                </c:pt>
                <c:pt idx="181">
                  <c:v>4.0599999999999996</c:v>
                </c:pt>
                <c:pt idx="182">
                  <c:v>3.74</c:v>
                </c:pt>
                <c:pt idx="183">
                  <c:v>3.95</c:v>
                </c:pt>
                <c:pt idx="184">
                  <c:v>4.29</c:v>
                </c:pt>
                <c:pt idx="185">
                  <c:v>4.1500000000000004</c:v>
                </c:pt>
                <c:pt idx="186">
                  <c:v>4.1100000000000003</c:v>
                </c:pt>
                <c:pt idx="187">
                  <c:v>4.28</c:v>
                </c:pt>
                <c:pt idx="188">
                  <c:v>4.46</c:v>
                </c:pt>
                <c:pt idx="189">
                  <c:v>4.6399999999999997</c:v>
                </c:pt>
                <c:pt idx="190">
                  <c:v>4.66</c:v>
                </c:pt>
                <c:pt idx="191">
                  <c:v>4.5999999999999996</c:v>
                </c:pt>
                <c:pt idx="192">
                  <c:v>4.8</c:v>
                </c:pt>
                <c:pt idx="193">
                  <c:v>5.09</c:v>
                </c:pt>
                <c:pt idx="194">
                  <c:v>5.24</c:v>
                </c:pt>
                <c:pt idx="195">
                  <c:v>5.38</c:v>
                </c:pt>
                <c:pt idx="196">
                  <c:v>5.37</c:v>
                </c:pt>
                <c:pt idx="197">
                  <c:v>5.37</c:v>
                </c:pt>
                <c:pt idx="198">
                  <c:v>5.15</c:v>
                </c:pt>
                <c:pt idx="199">
                  <c:v>5.08</c:v>
                </c:pt>
                <c:pt idx="200">
                  <c:v>4.97</c:v>
                </c:pt>
                <c:pt idx="201">
                  <c:v>4.75</c:v>
                </c:pt>
                <c:pt idx="202">
                  <c:v>4.8899999999999997</c:v>
                </c:pt>
                <c:pt idx="203">
                  <c:v>5.14</c:v>
                </c:pt>
                <c:pt idx="204">
                  <c:v>5.15</c:v>
                </c:pt>
                <c:pt idx="205">
                  <c:v>5.35</c:v>
                </c:pt>
                <c:pt idx="206">
                  <c:v>5.33</c:v>
                </c:pt>
                <c:pt idx="207">
                  <c:v>5.38</c:v>
                </c:pt>
                <c:pt idx="208">
                  <c:v>5.21</c:v>
                </c:pt>
                <c:pt idx="209">
                  <c:v>5.08</c:v>
                </c:pt>
                <c:pt idx="210">
                  <c:v>5.16</c:v>
                </c:pt>
                <c:pt idx="211">
                  <c:v>5.16</c:v>
                </c:pt>
                <c:pt idx="212">
                  <c:v>5.28</c:v>
                </c:pt>
                <c:pt idx="213">
                  <c:v>5.52</c:v>
                </c:pt>
                <c:pt idx="214">
                  <c:v>5.58</c:v>
                </c:pt>
                <c:pt idx="215">
                  <c:v>5.63</c:v>
                </c:pt>
                <c:pt idx="216">
                  <c:v>5.56</c:v>
                </c:pt>
                <c:pt idx="217">
                  <c:v>5.6</c:v>
                </c:pt>
                <c:pt idx="218">
                  <c:v>5.53</c:v>
                </c:pt>
                <c:pt idx="219">
                  <c:v>5.69</c:v>
                </c:pt>
                <c:pt idx="220">
                  <c:v>5.52</c:v>
                </c:pt>
                <c:pt idx="221">
                  <c:v>5.62</c:v>
                </c:pt>
                <c:pt idx="222">
                  <c:v>5.79</c:v>
                </c:pt>
                <c:pt idx="223">
                  <c:v>5.79</c:v>
                </c:pt>
              </c:numCache>
            </c:numRef>
          </c:val>
          <c:smooth val="0"/>
          <c:extLst>
            <c:ext xmlns:c16="http://schemas.microsoft.com/office/drawing/2014/chart" uri="{C3380CC4-5D6E-409C-BE32-E72D297353CC}">
              <c16:uniqueId val="{00000001-E765-4C20-8431-542026E1F106}"/>
            </c:ext>
          </c:extLst>
        </c:ser>
        <c:ser>
          <c:idx val="2"/>
          <c:order val="2"/>
          <c:tx>
            <c:strRef>
              <c:f>data!$D$3</c:f>
              <c:strCache>
                <c:ptCount val="1"/>
                <c:pt idx="0">
                  <c:v>Germany</c:v>
                </c:pt>
              </c:strCache>
            </c:strRef>
          </c:tx>
          <c:spPr>
            <a:ln w="28575" cap="rnd">
              <a:solidFill>
                <a:schemeClr val="accent3"/>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data!$D$4:$D$227</c:f>
              <c:numCache>
                <c:formatCode>General</c:formatCode>
                <c:ptCount val="224"/>
                <c:pt idx="0">
                  <c:v>0.28999999999999998</c:v>
                </c:pt>
                <c:pt idx="1">
                  <c:v>0.28000000000000003</c:v>
                </c:pt>
                <c:pt idx="2">
                  <c:v>0.33</c:v>
                </c:pt>
                <c:pt idx="3">
                  <c:v>0.45</c:v>
                </c:pt>
                <c:pt idx="4">
                  <c:v>0.48</c:v>
                </c:pt>
                <c:pt idx="5">
                  <c:v>0.53</c:v>
                </c:pt>
                <c:pt idx="6">
                  <c:v>0.66</c:v>
                </c:pt>
                <c:pt idx="7">
                  <c:v>0.47</c:v>
                </c:pt>
                <c:pt idx="8">
                  <c:v>0.3</c:v>
                </c:pt>
                <c:pt idx="9">
                  <c:v>0.31</c:v>
                </c:pt>
                <c:pt idx="10">
                  <c:v>0.37</c:v>
                </c:pt>
                <c:pt idx="11">
                  <c:v>0.35</c:v>
                </c:pt>
                <c:pt idx="12">
                  <c:v>0.35</c:v>
                </c:pt>
                <c:pt idx="13">
                  <c:v>0.46</c:v>
                </c:pt>
                <c:pt idx="14">
                  <c:v>0.25</c:v>
                </c:pt>
                <c:pt idx="15">
                  <c:v>0.34</c:v>
                </c:pt>
                <c:pt idx="16">
                  <c:v>0.22</c:v>
                </c:pt>
                <c:pt idx="17">
                  <c:v>0.35</c:v>
                </c:pt>
                <c:pt idx="18">
                  <c:v>0.26</c:v>
                </c:pt>
                <c:pt idx="19">
                  <c:v>0.25</c:v>
                </c:pt>
                <c:pt idx="20">
                  <c:v>0.25</c:v>
                </c:pt>
                <c:pt idx="21">
                  <c:v>0.19</c:v>
                </c:pt>
                <c:pt idx="22">
                  <c:v>0</c:v>
                </c:pt>
                <c:pt idx="23">
                  <c:v>-0.09</c:v>
                </c:pt>
                <c:pt idx="24">
                  <c:v>-0.13</c:v>
                </c:pt>
                <c:pt idx="25">
                  <c:v>-0.15</c:v>
                </c:pt>
                <c:pt idx="26">
                  <c:v>-0.02</c:v>
                </c:pt>
                <c:pt idx="27">
                  <c:v>0.13</c:v>
                </c:pt>
                <c:pt idx="28">
                  <c:v>0.13</c:v>
                </c:pt>
                <c:pt idx="29">
                  <c:v>0.17</c:v>
                </c:pt>
                <c:pt idx="30">
                  <c:v>0.17</c:v>
                </c:pt>
                <c:pt idx="31">
                  <c:v>0.43</c:v>
                </c:pt>
                <c:pt idx="32">
                  <c:v>0.55000000000000004</c:v>
                </c:pt>
                <c:pt idx="33">
                  <c:v>0.52</c:v>
                </c:pt>
                <c:pt idx="34">
                  <c:v>0.52</c:v>
                </c:pt>
                <c:pt idx="35">
                  <c:v>0.65</c:v>
                </c:pt>
                <c:pt idx="36">
                  <c:v>0.61</c:v>
                </c:pt>
                <c:pt idx="37">
                  <c:v>0.71</c:v>
                </c:pt>
                <c:pt idx="38">
                  <c:v>0.79</c:v>
                </c:pt>
                <c:pt idx="39">
                  <c:v>0.56000000000000005</c:v>
                </c:pt>
                <c:pt idx="40">
                  <c:v>0.12</c:v>
                </c:pt>
                <c:pt idx="41">
                  <c:v>0.23</c:v>
                </c:pt>
                <c:pt idx="42">
                  <c:v>0.3</c:v>
                </c:pt>
                <c:pt idx="43">
                  <c:v>0.39</c:v>
                </c:pt>
                <c:pt idx="44">
                  <c:v>0.59</c:v>
                </c:pt>
                <c:pt idx="45">
                  <c:v>0.72</c:v>
                </c:pt>
                <c:pt idx="46">
                  <c:v>0.79</c:v>
                </c:pt>
                <c:pt idx="47">
                  <c:v>0.92</c:v>
                </c:pt>
                <c:pt idx="48">
                  <c:v>0.95</c:v>
                </c:pt>
                <c:pt idx="49">
                  <c:v>1.1100000000000001</c:v>
                </c:pt>
                <c:pt idx="50">
                  <c:v>1.26</c:v>
                </c:pt>
                <c:pt idx="51">
                  <c:v>1.33</c:v>
                </c:pt>
                <c:pt idx="52">
                  <c:v>1.46</c:v>
                </c:pt>
                <c:pt idx="53">
                  <c:v>1.51</c:v>
                </c:pt>
                <c:pt idx="54">
                  <c:v>1.56</c:v>
                </c:pt>
                <c:pt idx="55">
                  <c:v>1.76</c:v>
                </c:pt>
                <c:pt idx="56">
                  <c:v>1.8</c:v>
                </c:pt>
                <c:pt idx="57">
                  <c:v>1.68</c:v>
                </c:pt>
                <c:pt idx="58">
                  <c:v>1.76</c:v>
                </c:pt>
                <c:pt idx="59">
                  <c:v>1.89</c:v>
                </c:pt>
                <c:pt idx="60">
                  <c:v>1.73</c:v>
                </c:pt>
                <c:pt idx="61">
                  <c:v>1.56</c:v>
                </c:pt>
                <c:pt idx="62">
                  <c:v>1.53</c:v>
                </c:pt>
                <c:pt idx="63">
                  <c:v>1.29</c:v>
                </c:pt>
                <c:pt idx="64">
                  <c:v>1.2</c:v>
                </c:pt>
                <c:pt idx="65">
                  <c:v>1.35</c:v>
                </c:pt>
                <c:pt idx="66">
                  <c:v>1.54</c:v>
                </c:pt>
                <c:pt idx="67">
                  <c:v>1.51</c:v>
                </c:pt>
                <c:pt idx="68">
                  <c:v>1.3</c:v>
                </c:pt>
                <c:pt idx="69">
                  <c:v>1.34</c:v>
                </c:pt>
                <c:pt idx="70">
                  <c:v>1.47</c:v>
                </c:pt>
                <c:pt idx="71">
                  <c:v>1.49</c:v>
                </c:pt>
                <c:pt idx="72">
                  <c:v>1.34</c:v>
                </c:pt>
                <c:pt idx="73">
                  <c:v>1.24</c:v>
                </c:pt>
                <c:pt idx="74">
                  <c:v>1.3</c:v>
                </c:pt>
                <c:pt idx="75">
                  <c:v>1.34</c:v>
                </c:pt>
                <c:pt idx="76">
                  <c:v>1.62</c:v>
                </c:pt>
                <c:pt idx="77">
                  <c:v>1.83</c:v>
                </c:pt>
                <c:pt idx="78">
                  <c:v>1.85</c:v>
                </c:pt>
                <c:pt idx="79">
                  <c:v>1.82</c:v>
                </c:pt>
                <c:pt idx="80">
                  <c:v>1.93</c:v>
                </c:pt>
                <c:pt idx="81">
                  <c:v>1.87</c:v>
                </c:pt>
                <c:pt idx="82">
                  <c:v>2</c:v>
                </c:pt>
                <c:pt idx="83">
                  <c:v>1.83</c:v>
                </c:pt>
                <c:pt idx="84">
                  <c:v>2.21</c:v>
                </c:pt>
                <c:pt idx="85">
                  <c:v>2.74</c:v>
                </c:pt>
                <c:pt idx="86">
                  <c:v>2.89</c:v>
                </c:pt>
                <c:pt idx="87">
                  <c:v>3.06</c:v>
                </c:pt>
                <c:pt idx="88">
                  <c:v>3.34</c:v>
                </c:pt>
                <c:pt idx="89">
                  <c:v>3.21</c:v>
                </c:pt>
                <c:pt idx="90">
                  <c:v>3.2</c:v>
                </c:pt>
                <c:pt idx="91">
                  <c:v>3.02</c:v>
                </c:pt>
                <c:pt idx="92">
                  <c:v>2.91</c:v>
                </c:pt>
                <c:pt idx="93">
                  <c:v>2.5299999999999998</c:v>
                </c:pt>
                <c:pt idx="94">
                  <c:v>2.35</c:v>
                </c:pt>
                <c:pt idx="95">
                  <c:v>2.2999999999999998</c:v>
                </c:pt>
                <c:pt idx="96">
                  <c:v>2.35</c:v>
                </c:pt>
                <c:pt idx="97">
                  <c:v>2.62</c:v>
                </c:pt>
                <c:pt idx="98">
                  <c:v>2.54</c:v>
                </c:pt>
                <c:pt idx="99">
                  <c:v>2.73</c:v>
                </c:pt>
                <c:pt idx="100">
                  <c:v>3.06</c:v>
                </c:pt>
                <c:pt idx="101">
                  <c:v>3.1</c:v>
                </c:pt>
                <c:pt idx="102">
                  <c:v>3.17</c:v>
                </c:pt>
                <c:pt idx="103">
                  <c:v>3.26</c:v>
                </c:pt>
                <c:pt idx="104">
                  <c:v>3.14</c:v>
                </c:pt>
                <c:pt idx="105">
                  <c:v>3.22</c:v>
                </c:pt>
                <c:pt idx="106">
                  <c:v>3.21</c:v>
                </c:pt>
                <c:pt idx="107">
                  <c:v>3.26</c:v>
                </c:pt>
                <c:pt idx="108">
                  <c:v>3.31</c:v>
                </c:pt>
                <c:pt idx="109">
                  <c:v>3.34</c:v>
                </c:pt>
                <c:pt idx="110">
                  <c:v>3.47</c:v>
                </c:pt>
                <c:pt idx="111">
                  <c:v>3.37</c:v>
                </c:pt>
                <c:pt idx="112">
                  <c:v>3.13</c:v>
                </c:pt>
                <c:pt idx="113">
                  <c:v>3.02</c:v>
                </c:pt>
                <c:pt idx="114">
                  <c:v>3.13</c:v>
                </c:pt>
                <c:pt idx="115">
                  <c:v>3.07</c:v>
                </c:pt>
                <c:pt idx="116">
                  <c:v>3.05</c:v>
                </c:pt>
                <c:pt idx="117">
                  <c:v>3.56</c:v>
                </c:pt>
                <c:pt idx="118">
                  <c:v>3.88</c:v>
                </c:pt>
                <c:pt idx="119">
                  <c:v>4.09</c:v>
                </c:pt>
                <c:pt idx="120">
                  <c:v>4.2</c:v>
                </c:pt>
                <c:pt idx="121">
                  <c:v>4.49</c:v>
                </c:pt>
                <c:pt idx="122">
                  <c:v>4.5199999999999996</c:v>
                </c:pt>
                <c:pt idx="123">
                  <c:v>4.2</c:v>
                </c:pt>
                <c:pt idx="124">
                  <c:v>4.04</c:v>
                </c:pt>
                <c:pt idx="125">
                  <c:v>3.8</c:v>
                </c:pt>
                <c:pt idx="126">
                  <c:v>3.95</c:v>
                </c:pt>
                <c:pt idx="127">
                  <c:v>4.03</c:v>
                </c:pt>
                <c:pt idx="128">
                  <c:v>4.21</c:v>
                </c:pt>
                <c:pt idx="129">
                  <c:v>4.09</c:v>
                </c:pt>
                <c:pt idx="130">
                  <c:v>4.28</c:v>
                </c:pt>
                <c:pt idx="131">
                  <c:v>4.22</c:v>
                </c:pt>
                <c:pt idx="132">
                  <c:v>4.3</c:v>
                </c:pt>
                <c:pt idx="133">
                  <c:v>4.5</c:v>
                </c:pt>
                <c:pt idx="134">
                  <c:v>4.5599999999999996</c:v>
                </c:pt>
                <c:pt idx="135">
                  <c:v>4.28</c:v>
                </c:pt>
                <c:pt idx="136">
                  <c:v>4.1500000000000004</c:v>
                </c:pt>
                <c:pt idx="137">
                  <c:v>3.94</c:v>
                </c:pt>
                <c:pt idx="138">
                  <c:v>4.05</c:v>
                </c:pt>
                <c:pt idx="139">
                  <c:v>4.0199999999999996</c:v>
                </c:pt>
                <c:pt idx="140">
                  <c:v>3.77</c:v>
                </c:pt>
                <c:pt idx="141">
                  <c:v>3.71</c:v>
                </c:pt>
                <c:pt idx="142">
                  <c:v>3.79</c:v>
                </c:pt>
                <c:pt idx="143">
                  <c:v>3.75</c:v>
                </c:pt>
                <c:pt idx="144">
                  <c:v>3.88</c:v>
                </c:pt>
                <c:pt idx="145">
                  <c:v>4.01</c:v>
                </c:pt>
                <c:pt idx="146">
                  <c:v>3.96</c:v>
                </c:pt>
                <c:pt idx="147">
                  <c:v>3.96</c:v>
                </c:pt>
                <c:pt idx="148">
                  <c:v>3.89</c:v>
                </c:pt>
                <c:pt idx="149">
                  <c:v>3.64</c:v>
                </c:pt>
                <c:pt idx="150">
                  <c:v>3.47</c:v>
                </c:pt>
                <c:pt idx="151">
                  <c:v>3.32</c:v>
                </c:pt>
                <c:pt idx="152">
                  <c:v>3.34</c:v>
                </c:pt>
                <c:pt idx="153">
                  <c:v>3.45</c:v>
                </c:pt>
                <c:pt idx="154">
                  <c:v>3.24</c:v>
                </c:pt>
                <c:pt idx="155">
                  <c:v>3.07</c:v>
                </c:pt>
                <c:pt idx="156">
                  <c:v>3.23</c:v>
                </c:pt>
                <c:pt idx="157">
                  <c:v>3.2</c:v>
                </c:pt>
                <c:pt idx="158">
                  <c:v>3.13</c:v>
                </c:pt>
                <c:pt idx="159">
                  <c:v>3.3</c:v>
                </c:pt>
                <c:pt idx="160">
                  <c:v>3.48</c:v>
                </c:pt>
                <c:pt idx="161">
                  <c:v>3.7</c:v>
                </c:pt>
                <c:pt idx="162">
                  <c:v>3.54</c:v>
                </c:pt>
                <c:pt idx="163">
                  <c:v>3.56</c:v>
                </c:pt>
                <c:pt idx="164">
                  <c:v>3.58</c:v>
                </c:pt>
                <c:pt idx="165">
                  <c:v>3.78</c:v>
                </c:pt>
                <c:pt idx="166">
                  <c:v>3.89</c:v>
                </c:pt>
                <c:pt idx="167">
                  <c:v>4.0199999999999996</c:v>
                </c:pt>
                <c:pt idx="168">
                  <c:v>4.08</c:v>
                </c:pt>
                <c:pt idx="169">
                  <c:v>4.24</c:v>
                </c:pt>
                <c:pt idx="170">
                  <c:v>4.3099999999999996</c:v>
                </c:pt>
                <c:pt idx="171">
                  <c:v>4.25</c:v>
                </c:pt>
                <c:pt idx="172">
                  <c:v>4.0999999999999996</c:v>
                </c:pt>
                <c:pt idx="173">
                  <c:v>3.91</c:v>
                </c:pt>
                <c:pt idx="174">
                  <c:v>4.1100000000000003</c:v>
                </c:pt>
                <c:pt idx="175">
                  <c:v>4.17</c:v>
                </c:pt>
                <c:pt idx="176">
                  <c:v>4.29</c:v>
                </c:pt>
                <c:pt idx="177">
                  <c:v>4.3499999999999996</c:v>
                </c:pt>
                <c:pt idx="178">
                  <c:v>4.22</c:v>
                </c:pt>
                <c:pt idx="179">
                  <c:v>4.17</c:v>
                </c:pt>
                <c:pt idx="180">
                  <c:v>4.13</c:v>
                </c:pt>
                <c:pt idx="181">
                  <c:v>3.97</c:v>
                </c:pt>
                <c:pt idx="182">
                  <c:v>3.62</c:v>
                </c:pt>
                <c:pt idx="183">
                  <c:v>3.82</c:v>
                </c:pt>
                <c:pt idx="184">
                  <c:v>4.1500000000000004</c:v>
                </c:pt>
                <c:pt idx="185">
                  <c:v>4</c:v>
                </c:pt>
                <c:pt idx="186">
                  <c:v>3.95</c:v>
                </c:pt>
                <c:pt idx="187">
                  <c:v>4.18</c:v>
                </c:pt>
                <c:pt idx="188">
                  <c:v>4.33</c:v>
                </c:pt>
                <c:pt idx="189">
                  <c:v>4.4800000000000004</c:v>
                </c:pt>
                <c:pt idx="190">
                  <c:v>4.46</c:v>
                </c:pt>
                <c:pt idx="191">
                  <c:v>4.38</c:v>
                </c:pt>
                <c:pt idx="192">
                  <c:v>4.59</c:v>
                </c:pt>
                <c:pt idx="193">
                  <c:v>4.87</c:v>
                </c:pt>
                <c:pt idx="194">
                  <c:v>5.0199999999999996</c:v>
                </c:pt>
                <c:pt idx="195">
                  <c:v>5.17</c:v>
                </c:pt>
                <c:pt idx="196">
                  <c:v>5.15</c:v>
                </c:pt>
                <c:pt idx="197">
                  <c:v>5.16</c:v>
                </c:pt>
                <c:pt idx="198">
                  <c:v>4.92</c:v>
                </c:pt>
                <c:pt idx="199">
                  <c:v>4.8600000000000003</c:v>
                </c:pt>
                <c:pt idx="200">
                  <c:v>4.74</c:v>
                </c:pt>
                <c:pt idx="201">
                  <c:v>4.45</c:v>
                </c:pt>
                <c:pt idx="202">
                  <c:v>4.5999999999999996</c:v>
                </c:pt>
                <c:pt idx="203">
                  <c:v>4.8099999999999996</c:v>
                </c:pt>
                <c:pt idx="204">
                  <c:v>4.82</c:v>
                </c:pt>
                <c:pt idx="205">
                  <c:v>5.0199999999999996</c:v>
                </c:pt>
                <c:pt idx="206">
                  <c:v>5</c:v>
                </c:pt>
                <c:pt idx="207">
                  <c:v>5.05</c:v>
                </c:pt>
                <c:pt idx="208">
                  <c:v>4.83</c:v>
                </c:pt>
                <c:pt idx="209">
                  <c:v>4.67</c:v>
                </c:pt>
                <c:pt idx="210">
                  <c:v>4.78</c:v>
                </c:pt>
                <c:pt idx="211">
                  <c:v>4.8</c:v>
                </c:pt>
                <c:pt idx="212">
                  <c:v>4.8899999999999997</c:v>
                </c:pt>
                <c:pt idx="213">
                  <c:v>5.15</c:v>
                </c:pt>
                <c:pt idx="214">
                  <c:v>5.21</c:v>
                </c:pt>
                <c:pt idx="215">
                  <c:v>5.26</c:v>
                </c:pt>
                <c:pt idx="216">
                  <c:v>5.21</c:v>
                </c:pt>
                <c:pt idx="217">
                  <c:v>5.27</c:v>
                </c:pt>
                <c:pt idx="218">
                  <c:v>5.19</c:v>
                </c:pt>
                <c:pt idx="219">
                  <c:v>5.38</c:v>
                </c:pt>
                <c:pt idx="220">
                  <c:v>5.22</c:v>
                </c:pt>
                <c:pt idx="221">
                  <c:v>5.33</c:v>
                </c:pt>
                <c:pt idx="222">
                  <c:v>5.51</c:v>
                </c:pt>
                <c:pt idx="223">
                  <c:v>5.54</c:v>
                </c:pt>
              </c:numCache>
            </c:numRef>
          </c:val>
          <c:smooth val="0"/>
          <c:extLst>
            <c:ext xmlns:c16="http://schemas.microsoft.com/office/drawing/2014/chart" uri="{C3380CC4-5D6E-409C-BE32-E72D297353CC}">
              <c16:uniqueId val="{00000002-E765-4C20-8431-542026E1F106}"/>
            </c:ext>
          </c:extLst>
        </c:ser>
        <c:ser>
          <c:idx val="3"/>
          <c:order val="3"/>
          <c:tx>
            <c:strRef>
              <c:f>data!$E$3</c:f>
              <c:strCache>
                <c:ptCount val="1"/>
                <c:pt idx="0">
                  <c:v>Spain</c:v>
                </c:pt>
              </c:strCache>
            </c:strRef>
          </c:tx>
          <c:spPr>
            <a:ln w="28575" cap="rnd">
              <a:solidFill>
                <a:schemeClr val="accent4"/>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data!$E$4:$E$227</c:f>
              <c:numCache>
                <c:formatCode>General</c:formatCode>
                <c:ptCount val="224"/>
                <c:pt idx="0">
                  <c:v>1.4</c:v>
                </c:pt>
                <c:pt idx="1">
                  <c:v>1.32</c:v>
                </c:pt>
                <c:pt idx="2">
                  <c:v>1.37</c:v>
                </c:pt>
                <c:pt idx="3">
                  <c:v>1.39</c:v>
                </c:pt>
                <c:pt idx="4">
                  <c:v>1.21</c:v>
                </c:pt>
                <c:pt idx="5">
                  <c:v>1.33</c:v>
                </c:pt>
                <c:pt idx="6">
                  <c:v>1.51</c:v>
                </c:pt>
                <c:pt idx="7">
                  <c:v>1.47</c:v>
                </c:pt>
                <c:pt idx="8">
                  <c:v>1.44</c:v>
                </c:pt>
                <c:pt idx="9">
                  <c:v>1.49</c:v>
                </c:pt>
                <c:pt idx="10">
                  <c:v>1.6</c:v>
                </c:pt>
                <c:pt idx="11">
                  <c:v>1.54</c:v>
                </c:pt>
                <c:pt idx="12">
                  <c:v>1.48</c:v>
                </c:pt>
                <c:pt idx="13">
                  <c:v>1.6</c:v>
                </c:pt>
                <c:pt idx="14">
                  <c:v>1.45</c:v>
                </c:pt>
                <c:pt idx="15">
                  <c:v>1.57</c:v>
                </c:pt>
                <c:pt idx="16">
                  <c:v>1.61</c:v>
                </c:pt>
                <c:pt idx="17">
                  <c:v>1.72</c:v>
                </c:pt>
                <c:pt idx="18">
                  <c:v>1.7</c:v>
                </c:pt>
                <c:pt idx="19">
                  <c:v>1.46</c:v>
                </c:pt>
                <c:pt idx="20">
                  <c:v>1.44</c:v>
                </c:pt>
                <c:pt idx="21">
                  <c:v>1.43</c:v>
                </c:pt>
                <c:pt idx="22">
                  <c:v>1.07</c:v>
                </c:pt>
                <c:pt idx="23">
                  <c:v>1.04</c:v>
                </c:pt>
                <c:pt idx="24">
                  <c:v>1.01</c:v>
                </c:pt>
                <c:pt idx="25">
                  <c:v>1.17</c:v>
                </c:pt>
                <c:pt idx="26">
                  <c:v>1.48</c:v>
                </c:pt>
                <c:pt idx="27">
                  <c:v>1.57</c:v>
                </c:pt>
                <c:pt idx="28">
                  <c:v>1.53</c:v>
                </c:pt>
                <c:pt idx="29">
                  <c:v>1.54</c:v>
                </c:pt>
                <c:pt idx="30">
                  <c:v>1.72</c:v>
                </c:pt>
                <c:pt idx="31">
                  <c:v>1.72</c:v>
                </c:pt>
                <c:pt idx="32">
                  <c:v>1.69</c:v>
                </c:pt>
                <c:pt idx="33">
                  <c:v>1.72</c:v>
                </c:pt>
                <c:pt idx="34">
                  <c:v>1.73</c:v>
                </c:pt>
                <c:pt idx="35">
                  <c:v>2.02</c:v>
                </c:pt>
                <c:pt idx="36">
                  <c:v>1.96</c:v>
                </c:pt>
                <c:pt idx="37">
                  <c:v>2.1</c:v>
                </c:pt>
                <c:pt idx="38">
                  <c:v>2.2200000000000002</c:v>
                </c:pt>
                <c:pt idx="39">
                  <c:v>1.78</c:v>
                </c:pt>
                <c:pt idx="40">
                  <c:v>1.31</c:v>
                </c:pt>
                <c:pt idx="41">
                  <c:v>1.23</c:v>
                </c:pt>
                <c:pt idx="42">
                  <c:v>1.52</c:v>
                </c:pt>
                <c:pt idx="43">
                  <c:v>1.54</c:v>
                </c:pt>
                <c:pt idx="44">
                  <c:v>1.78</c:v>
                </c:pt>
                <c:pt idx="45">
                  <c:v>2.0699999999999998</c:v>
                </c:pt>
                <c:pt idx="46">
                  <c:v>2.12</c:v>
                </c:pt>
                <c:pt idx="47">
                  <c:v>2.19</c:v>
                </c:pt>
                <c:pt idx="48">
                  <c:v>2.41</c:v>
                </c:pt>
                <c:pt idx="49">
                  <c:v>2.67</c:v>
                </c:pt>
                <c:pt idx="50">
                  <c:v>2.71</c:v>
                </c:pt>
                <c:pt idx="51">
                  <c:v>2.93</c:v>
                </c:pt>
                <c:pt idx="52">
                  <c:v>3.1</c:v>
                </c:pt>
                <c:pt idx="53">
                  <c:v>3.31</c:v>
                </c:pt>
                <c:pt idx="54">
                  <c:v>3.56</c:v>
                </c:pt>
                <c:pt idx="55">
                  <c:v>3.79</c:v>
                </c:pt>
                <c:pt idx="56">
                  <c:v>4.13</c:v>
                </c:pt>
                <c:pt idx="57">
                  <c:v>4.0999999999999996</c:v>
                </c:pt>
                <c:pt idx="58">
                  <c:v>4.22</c:v>
                </c:pt>
                <c:pt idx="59">
                  <c:v>4.42</c:v>
                </c:pt>
                <c:pt idx="60">
                  <c:v>4.5</c:v>
                </c:pt>
                <c:pt idx="61">
                  <c:v>4.67</c:v>
                </c:pt>
                <c:pt idx="62">
                  <c:v>4.67</c:v>
                </c:pt>
                <c:pt idx="63">
                  <c:v>4.25</c:v>
                </c:pt>
                <c:pt idx="64">
                  <c:v>4.59</c:v>
                </c:pt>
                <c:pt idx="65">
                  <c:v>4.92</c:v>
                </c:pt>
                <c:pt idx="66">
                  <c:v>5.22</c:v>
                </c:pt>
                <c:pt idx="67">
                  <c:v>5.05</c:v>
                </c:pt>
                <c:pt idx="68">
                  <c:v>5.34</c:v>
                </c:pt>
                <c:pt idx="69">
                  <c:v>5.69</c:v>
                </c:pt>
                <c:pt idx="70">
                  <c:v>5.64</c:v>
                </c:pt>
                <c:pt idx="71">
                  <c:v>5.91</c:v>
                </c:pt>
                <c:pt idx="72">
                  <c:v>6.58</c:v>
                </c:pt>
                <c:pt idx="73">
                  <c:v>6.79</c:v>
                </c:pt>
                <c:pt idx="74">
                  <c:v>6.59</c:v>
                </c:pt>
                <c:pt idx="75">
                  <c:v>6.13</c:v>
                </c:pt>
                <c:pt idx="76">
                  <c:v>5.79</c:v>
                </c:pt>
                <c:pt idx="77">
                  <c:v>5.17</c:v>
                </c:pt>
                <c:pt idx="78">
                  <c:v>5.1100000000000003</c:v>
                </c:pt>
                <c:pt idx="79">
                  <c:v>5.41</c:v>
                </c:pt>
                <c:pt idx="80">
                  <c:v>5.53</c:v>
                </c:pt>
                <c:pt idx="81">
                  <c:v>6.2</c:v>
                </c:pt>
                <c:pt idx="82">
                  <c:v>5.25</c:v>
                </c:pt>
                <c:pt idx="83">
                  <c:v>5.2</c:v>
                </c:pt>
                <c:pt idx="84">
                  <c:v>5.25</c:v>
                </c:pt>
                <c:pt idx="85">
                  <c:v>5.83</c:v>
                </c:pt>
                <c:pt idx="86">
                  <c:v>5.48</c:v>
                </c:pt>
                <c:pt idx="87">
                  <c:v>5.32</c:v>
                </c:pt>
                <c:pt idx="88">
                  <c:v>5.33</c:v>
                </c:pt>
                <c:pt idx="89">
                  <c:v>5.25</c:v>
                </c:pt>
                <c:pt idx="90">
                  <c:v>5.26</c:v>
                </c:pt>
                <c:pt idx="91">
                  <c:v>5.38</c:v>
                </c:pt>
                <c:pt idx="92">
                  <c:v>5.38</c:v>
                </c:pt>
                <c:pt idx="93">
                  <c:v>4.6900000000000004</c:v>
                </c:pt>
                <c:pt idx="94">
                  <c:v>4.04</c:v>
                </c:pt>
                <c:pt idx="95">
                  <c:v>4.09</c:v>
                </c:pt>
                <c:pt idx="96">
                  <c:v>4.04</c:v>
                </c:pt>
                <c:pt idx="97">
                  <c:v>4.43</c:v>
                </c:pt>
                <c:pt idx="98">
                  <c:v>4.5599999999999996</c:v>
                </c:pt>
                <c:pt idx="99">
                  <c:v>4.08</c:v>
                </c:pt>
                <c:pt idx="100">
                  <c:v>3.9</c:v>
                </c:pt>
                <c:pt idx="101">
                  <c:v>3.83</c:v>
                </c:pt>
                <c:pt idx="102">
                  <c:v>3.98</c:v>
                </c:pt>
                <c:pt idx="103">
                  <c:v>3.99</c:v>
                </c:pt>
                <c:pt idx="104">
                  <c:v>3.81</c:v>
                </c:pt>
                <c:pt idx="105">
                  <c:v>3.79</c:v>
                </c:pt>
                <c:pt idx="106">
                  <c:v>3.78</c:v>
                </c:pt>
                <c:pt idx="107">
                  <c:v>3.81</c:v>
                </c:pt>
                <c:pt idx="108">
                  <c:v>3.79</c:v>
                </c:pt>
                <c:pt idx="109">
                  <c:v>4.01</c:v>
                </c:pt>
                <c:pt idx="110">
                  <c:v>4.25</c:v>
                </c:pt>
                <c:pt idx="111">
                  <c:v>4.0599999999999996</c:v>
                </c:pt>
                <c:pt idx="112">
                  <c:v>4.01</c:v>
                </c:pt>
                <c:pt idx="113">
                  <c:v>4.0599999999999996</c:v>
                </c:pt>
                <c:pt idx="114">
                  <c:v>4.2300000000000004</c:v>
                </c:pt>
                <c:pt idx="115">
                  <c:v>4.1500000000000004</c:v>
                </c:pt>
                <c:pt idx="116">
                  <c:v>3.86</c:v>
                </c:pt>
                <c:pt idx="117">
                  <c:v>4.1500000000000004</c:v>
                </c:pt>
                <c:pt idx="118">
                  <c:v>4.46</c:v>
                </c:pt>
                <c:pt idx="119">
                  <c:v>4.57</c:v>
                </c:pt>
                <c:pt idx="120">
                  <c:v>4.5599999999999996</c:v>
                </c:pt>
                <c:pt idx="121">
                  <c:v>4.8</c:v>
                </c:pt>
                <c:pt idx="122">
                  <c:v>4.79</c:v>
                </c:pt>
                <c:pt idx="123">
                  <c:v>4.43</c:v>
                </c:pt>
                <c:pt idx="124">
                  <c:v>4.32</c:v>
                </c:pt>
                <c:pt idx="125">
                  <c:v>4.12</c:v>
                </c:pt>
                <c:pt idx="126">
                  <c:v>4.1500000000000004</c:v>
                </c:pt>
                <c:pt idx="127">
                  <c:v>4.18</c:v>
                </c:pt>
                <c:pt idx="128">
                  <c:v>4.3499999999999996</c:v>
                </c:pt>
                <c:pt idx="129">
                  <c:v>4.25</c:v>
                </c:pt>
                <c:pt idx="130">
                  <c:v>4.38</c:v>
                </c:pt>
                <c:pt idx="131">
                  <c:v>4.3600000000000003</c:v>
                </c:pt>
                <c:pt idx="132">
                  <c:v>4.4000000000000004</c:v>
                </c:pt>
                <c:pt idx="133">
                  <c:v>4.5999999999999996</c:v>
                </c:pt>
                <c:pt idx="134">
                  <c:v>4.62</c:v>
                </c:pt>
                <c:pt idx="135">
                  <c:v>4.34</c:v>
                </c:pt>
                <c:pt idx="136">
                  <c:v>4.21</c:v>
                </c:pt>
                <c:pt idx="137">
                  <c:v>4.01</c:v>
                </c:pt>
                <c:pt idx="138">
                  <c:v>4.0999999999999996</c:v>
                </c:pt>
                <c:pt idx="139">
                  <c:v>4.07</c:v>
                </c:pt>
                <c:pt idx="140">
                  <c:v>3.82</c:v>
                </c:pt>
                <c:pt idx="141">
                  <c:v>3.75</c:v>
                </c:pt>
                <c:pt idx="142">
                  <c:v>3.81</c:v>
                </c:pt>
                <c:pt idx="143">
                  <c:v>3.76</c:v>
                </c:pt>
                <c:pt idx="144">
                  <c:v>3.89</c:v>
                </c:pt>
                <c:pt idx="145">
                  <c:v>4.0199999999999996</c:v>
                </c:pt>
                <c:pt idx="146">
                  <c:v>3.99</c:v>
                </c:pt>
                <c:pt idx="147">
                  <c:v>3.99</c:v>
                </c:pt>
                <c:pt idx="148">
                  <c:v>3.92</c:v>
                </c:pt>
                <c:pt idx="149">
                  <c:v>3.65</c:v>
                </c:pt>
                <c:pt idx="150">
                  <c:v>3.48</c:v>
                </c:pt>
                <c:pt idx="151">
                  <c:v>3.33</c:v>
                </c:pt>
                <c:pt idx="152">
                  <c:v>3.37</c:v>
                </c:pt>
                <c:pt idx="153">
                  <c:v>3.48</c:v>
                </c:pt>
                <c:pt idx="154">
                  <c:v>3.28</c:v>
                </c:pt>
                <c:pt idx="155">
                  <c:v>3.09</c:v>
                </c:pt>
                <c:pt idx="156">
                  <c:v>3.23</c:v>
                </c:pt>
                <c:pt idx="157">
                  <c:v>3.22</c:v>
                </c:pt>
                <c:pt idx="158">
                  <c:v>3.18</c:v>
                </c:pt>
                <c:pt idx="159">
                  <c:v>3.36</c:v>
                </c:pt>
                <c:pt idx="160">
                  <c:v>3.53</c:v>
                </c:pt>
                <c:pt idx="161">
                  <c:v>3.74</c:v>
                </c:pt>
                <c:pt idx="162">
                  <c:v>3.58</c:v>
                </c:pt>
                <c:pt idx="163">
                  <c:v>3.59</c:v>
                </c:pt>
                <c:pt idx="164">
                  <c:v>3.64</c:v>
                </c:pt>
                <c:pt idx="165">
                  <c:v>3.85</c:v>
                </c:pt>
                <c:pt idx="166">
                  <c:v>3.97</c:v>
                </c:pt>
                <c:pt idx="167">
                  <c:v>4.08</c:v>
                </c:pt>
                <c:pt idx="168">
                  <c:v>4.1500000000000004</c:v>
                </c:pt>
                <c:pt idx="169">
                  <c:v>4.28</c:v>
                </c:pt>
                <c:pt idx="170">
                  <c:v>4.3899999999999997</c:v>
                </c:pt>
                <c:pt idx="171">
                  <c:v>4.33</c:v>
                </c:pt>
                <c:pt idx="172">
                  <c:v>4.2</c:v>
                </c:pt>
                <c:pt idx="173">
                  <c:v>4.01</c:v>
                </c:pt>
                <c:pt idx="174">
                  <c:v>4.1399999999999997</c:v>
                </c:pt>
                <c:pt idx="175">
                  <c:v>4.1900000000000004</c:v>
                </c:pt>
                <c:pt idx="176">
                  <c:v>4.34</c:v>
                </c:pt>
                <c:pt idx="177">
                  <c:v>4.4000000000000004</c:v>
                </c:pt>
                <c:pt idx="178">
                  <c:v>4.2699999999999996</c:v>
                </c:pt>
                <c:pt idx="179">
                  <c:v>4.21</c:v>
                </c:pt>
                <c:pt idx="180">
                  <c:v>4.1900000000000004</c:v>
                </c:pt>
                <c:pt idx="181">
                  <c:v>4.03</c:v>
                </c:pt>
                <c:pt idx="182">
                  <c:v>3.69</c:v>
                </c:pt>
                <c:pt idx="183">
                  <c:v>3.88</c:v>
                </c:pt>
                <c:pt idx="184">
                  <c:v>4.1900000000000004</c:v>
                </c:pt>
                <c:pt idx="185">
                  <c:v>4.04</c:v>
                </c:pt>
                <c:pt idx="186">
                  <c:v>4.01</c:v>
                </c:pt>
                <c:pt idx="187">
                  <c:v>4.24</c:v>
                </c:pt>
                <c:pt idx="188">
                  <c:v>4.42</c:v>
                </c:pt>
                <c:pt idx="189">
                  <c:v>4.5999999999999996</c:v>
                </c:pt>
                <c:pt idx="190">
                  <c:v>4.63</c:v>
                </c:pt>
                <c:pt idx="191">
                  <c:v>4.57</c:v>
                </c:pt>
                <c:pt idx="192">
                  <c:v>4.78</c:v>
                </c:pt>
                <c:pt idx="193">
                  <c:v>5.07</c:v>
                </c:pt>
                <c:pt idx="194">
                  <c:v>5.23</c:v>
                </c:pt>
                <c:pt idx="195">
                  <c:v>5.36</c:v>
                </c:pt>
                <c:pt idx="196">
                  <c:v>5.33</c:v>
                </c:pt>
                <c:pt idx="197">
                  <c:v>5.34</c:v>
                </c:pt>
                <c:pt idx="198">
                  <c:v>5.1100000000000003</c:v>
                </c:pt>
                <c:pt idx="199">
                  <c:v>5.05</c:v>
                </c:pt>
                <c:pt idx="200">
                  <c:v>4.97</c:v>
                </c:pt>
                <c:pt idx="201">
                  <c:v>4.76</c:v>
                </c:pt>
                <c:pt idx="202">
                  <c:v>4.91</c:v>
                </c:pt>
                <c:pt idx="203">
                  <c:v>5.14</c:v>
                </c:pt>
                <c:pt idx="204">
                  <c:v>5.16</c:v>
                </c:pt>
                <c:pt idx="205">
                  <c:v>5.35</c:v>
                </c:pt>
                <c:pt idx="206">
                  <c:v>5.33</c:v>
                </c:pt>
                <c:pt idx="207">
                  <c:v>5.36</c:v>
                </c:pt>
                <c:pt idx="208">
                  <c:v>5.18</c:v>
                </c:pt>
                <c:pt idx="209">
                  <c:v>5.04</c:v>
                </c:pt>
                <c:pt idx="210">
                  <c:v>5.12</c:v>
                </c:pt>
                <c:pt idx="211">
                  <c:v>5.08</c:v>
                </c:pt>
                <c:pt idx="212">
                  <c:v>5.2</c:v>
                </c:pt>
                <c:pt idx="213">
                  <c:v>5.45</c:v>
                </c:pt>
                <c:pt idx="214">
                  <c:v>5.5</c:v>
                </c:pt>
                <c:pt idx="215">
                  <c:v>5.56</c:v>
                </c:pt>
                <c:pt idx="216">
                  <c:v>5.5</c:v>
                </c:pt>
                <c:pt idx="217">
                  <c:v>5.53</c:v>
                </c:pt>
                <c:pt idx="218">
                  <c:v>5.45</c:v>
                </c:pt>
                <c:pt idx="219">
                  <c:v>5.63</c:v>
                </c:pt>
                <c:pt idx="220">
                  <c:v>5.45</c:v>
                </c:pt>
                <c:pt idx="221">
                  <c:v>5.55</c:v>
                </c:pt>
                <c:pt idx="222">
                  <c:v>5.73</c:v>
                </c:pt>
                <c:pt idx="223">
                  <c:v>5.76</c:v>
                </c:pt>
              </c:numCache>
            </c:numRef>
          </c:val>
          <c:smooth val="0"/>
          <c:extLst>
            <c:ext xmlns:c16="http://schemas.microsoft.com/office/drawing/2014/chart" uri="{C3380CC4-5D6E-409C-BE32-E72D297353CC}">
              <c16:uniqueId val="{00000003-E765-4C20-8431-542026E1F106}"/>
            </c:ext>
          </c:extLst>
        </c:ser>
        <c:ser>
          <c:idx val="4"/>
          <c:order val="4"/>
          <c:tx>
            <c:strRef>
              <c:f>data!$F$3</c:f>
              <c:strCache>
                <c:ptCount val="1"/>
                <c:pt idx="0">
                  <c:v>Finland</c:v>
                </c:pt>
              </c:strCache>
            </c:strRef>
          </c:tx>
          <c:spPr>
            <a:ln w="28575" cap="rnd">
              <a:solidFill>
                <a:schemeClr val="accent5"/>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data!$F$4:$F$227</c:f>
              <c:numCache>
                <c:formatCode>General</c:formatCode>
                <c:ptCount val="224"/>
                <c:pt idx="0">
                  <c:v>0.56000000000000005</c:v>
                </c:pt>
                <c:pt idx="1">
                  <c:v>0.53</c:v>
                </c:pt>
                <c:pt idx="2">
                  <c:v>0.63</c:v>
                </c:pt>
                <c:pt idx="3">
                  <c:v>0.7</c:v>
                </c:pt>
                <c:pt idx="4">
                  <c:v>0.69</c:v>
                </c:pt>
                <c:pt idx="5">
                  <c:v>0.72</c:v>
                </c:pt>
                <c:pt idx="6">
                  <c:v>0.84</c:v>
                </c:pt>
                <c:pt idx="7">
                  <c:v>0.68</c:v>
                </c:pt>
                <c:pt idx="8">
                  <c:v>0.51</c:v>
                </c:pt>
                <c:pt idx="9">
                  <c:v>0.52</c:v>
                </c:pt>
                <c:pt idx="10">
                  <c:v>0.6</c:v>
                </c:pt>
                <c:pt idx="11">
                  <c:v>0.57999999999999996</c:v>
                </c:pt>
                <c:pt idx="12">
                  <c:v>0.65</c:v>
                </c:pt>
                <c:pt idx="13">
                  <c:v>0.76</c:v>
                </c:pt>
                <c:pt idx="14">
                  <c:v>0.56000000000000005</c:v>
                </c:pt>
                <c:pt idx="15">
                  <c:v>0.49</c:v>
                </c:pt>
                <c:pt idx="16">
                  <c:v>0.38</c:v>
                </c:pt>
                <c:pt idx="17">
                  <c:v>0.51</c:v>
                </c:pt>
                <c:pt idx="18">
                  <c:v>0.52</c:v>
                </c:pt>
                <c:pt idx="19">
                  <c:v>0.5</c:v>
                </c:pt>
                <c:pt idx="20">
                  <c:v>0.46</c:v>
                </c:pt>
                <c:pt idx="21">
                  <c:v>0.41</c:v>
                </c:pt>
                <c:pt idx="22">
                  <c:v>0.17</c:v>
                </c:pt>
                <c:pt idx="23">
                  <c:v>0.08</c:v>
                </c:pt>
                <c:pt idx="24">
                  <c:v>0.06</c:v>
                </c:pt>
                <c:pt idx="25">
                  <c:v>0.12</c:v>
                </c:pt>
                <c:pt idx="26">
                  <c:v>0.33</c:v>
                </c:pt>
                <c:pt idx="27">
                  <c:v>0.45</c:v>
                </c:pt>
                <c:pt idx="28">
                  <c:v>0.46</c:v>
                </c:pt>
                <c:pt idx="29">
                  <c:v>0.53</c:v>
                </c:pt>
                <c:pt idx="30">
                  <c:v>0.53</c:v>
                </c:pt>
                <c:pt idx="31">
                  <c:v>0.78</c:v>
                </c:pt>
                <c:pt idx="32">
                  <c:v>0.86</c:v>
                </c:pt>
                <c:pt idx="33">
                  <c:v>0.81</c:v>
                </c:pt>
                <c:pt idx="34">
                  <c:v>0.81</c:v>
                </c:pt>
                <c:pt idx="35">
                  <c:v>0.9</c:v>
                </c:pt>
                <c:pt idx="36">
                  <c:v>0.82</c:v>
                </c:pt>
                <c:pt idx="37">
                  <c:v>0.95</c:v>
                </c:pt>
                <c:pt idx="38">
                  <c:v>1.01</c:v>
                </c:pt>
                <c:pt idx="39">
                  <c:v>0.72</c:v>
                </c:pt>
                <c:pt idx="40">
                  <c:v>0.27</c:v>
                </c:pt>
                <c:pt idx="41">
                  <c:v>0.39</c:v>
                </c:pt>
                <c:pt idx="42">
                  <c:v>0.48</c:v>
                </c:pt>
                <c:pt idx="43">
                  <c:v>0.62</c:v>
                </c:pt>
                <c:pt idx="44">
                  <c:v>0.89</c:v>
                </c:pt>
                <c:pt idx="45">
                  <c:v>0.9</c:v>
                </c:pt>
                <c:pt idx="46">
                  <c:v>1.01</c:v>
                </c:pt>
                <c:pt idx="47">
                  <c:v>1.1299999999999999</c:v>
                </c:pt>
                <c:pt idx="48">
                  <c:v>1.18</c:v>
                </c:pt>
                <c:pt idx="49">
                  <c:v>1.36</c:v>
                </c:pt>
                <c:pt idx="50">
                  <c:v>1.57</c:v>
                </c:pt>
                <c:pt idx="51">
                  <c:v>1.69</c:v>
                </c:pt>
                <c:pt idx="52">
                  <c:v>1.84</c:v>
                </c:pt>
                <c:pt idx="53">
                  <c:v>1.91</c:v>
                </c:pt>
                <c:pt idx="54">
                  <c:v>1.92</c:v>
                </c:pt>
                <c:pt idx="55">
                  <c:v>1.99</c:v>
                </c:pt>
                <c:pt idx="56">
                  <c:v>2.0299999999999998</c:v>
                </c:pt>
                <c:pt idx="57">
                  <c:v>1.94</c:v>
                </c:pt>
                <c:pt idx="58">
                  <c:v>2.04</c:v>
                </c:pt>
                <c:pt idx="59">
                  <c:v>2.19</c:v>
                </c:pt>
                <c:pt idx="60">
                  <c:v>2.0699999999999998</c:v>
                </c:pt>
                <c:pt idx="61">
                  <c:v>1.91</c:v>
                </c:pt>
                <c:pt idx="62">
                  <c:v>1.88</c:v>
                </c:pt>
                <c:pt idx="63">
                  <c:v>1.6</c:v>
                </c:pt>
                <c:pt idx="64">
                  <c:v>1.51</c:v>
                </c:pt>
                <c:pt idx="65">
                  <c:v>1.61</c:v>
                </c:pt>
                <c:pt idx="66">
                  <c:v>1.81</c:v>
                </c:pt>
                <c:pt idx="67">
                  <c:v>1.75</c:v>
                </c:pt>
                <c:pt idx="68">
                  <c:v>1.6</c:v>
                </c:pt>
                <c:pt idx="69">
                  <c:v>1.67</c:v>
                </c:pt>
                <c:pt idx="70">
                  <c:v>1.78</c:v>
                </c:pt>
                <c:pt idx="71">
                  <c:v>1.82</c:v>
                </c:pt>
                <c:pt idx="72">
                  <c:v>1.55</c:v>
                </c:pt>
                <c:pt idx="73">
                  <c:v>1.55</c:v>
                </c:pt>
                <c:pt idx="74">
                  <c:v>1.76</c:v>
                </c:pt>
                <c:pt idx="75">
                  <c:v>1.82</c:v>
                </c:pt>
                <c:pt idx="76">
                  <c:v>2.15</c:v>
                </c:pt>
                <c:pt idx="77">
                  <c:v>2.31</c:v>
                </c:pt>
                <c:pt idx="78">
                  <c:v>2.34</c:v>
                </c:pt>
                <c:pt idx="79">
                  <c:v>2.2799999999999998</c:v>
                </c:pt>
                <c:pt idx="80">
                  <c:v>2.52</c:v>
                </c:pt>
                <c:pt idx="81">
                  <c:v>2.54</c:v>
                </c:pt>
                <c:pt idx="82">
                  <c:v>2.5099999999999998</c:v>
                </c:pt>
                <c:pt idx="83">
                  <c:v>2.35</c:v>
                </c:pt>
                <c:pt idx="84">
                  <c:v>2.68</c:v>
                </c:pt>
                <c:pt idx="85">
                  <c:v>3.16</c:v>
                </c:pt>
                <c:pt idx="86">
                  <c:v>3.29</c:v>
                </c:pt>
                <c:pt idx="87">
                  <c:v>3.32</c:v>
                </c:pt>
                <c:pt idx="88">
                  <c:v>3.57</c:v>
                </c:pt>
                <c:pt idx="89">
                  <c:v>3.45</c:v>
                </c:pt>
                <c:pt idx="90">
                  <c:v>3.41</c:v>
                </c:pt>
                <c:pt idx="91">
                  <c:v>3.27</c:v>
                </c:pt>
                <c:pt idx="92">
                  <c:v>3.19</c:v>
                </c:pt>
                <c:pt idx="93">
                  <c:v>2.82</c:v>
                </c:pt>
                <c:pt idx="94">
                  <c:v>2.63</c:v>
                </c:pt>
                <c:pt idx="95">
                  <c:v>2.58</c:v>
                </c:pt>
                <c:pt idx="96">
                  <c:v>2.62</c:v>
                </c:pt>
                <c:pt idx="97">
                  <c:v>2.85</c:v>
                </c:pt>
                <c:pt idx="98">
                  <c:v>2.92</c:v>
                </c:pt>
                <c:pt idx="99">
                  <c:v>3.03</c:v>
                </c:pt>
                <c:pt idx="100">
                  <c:v>3.36</c:v>
                </c:pt>
                <c:pt idx="101">
                  <c:v>3.26</c:v>
                </c:pt>
                <c:pt idx="102">
                  <c:v>3.38</c:v>
                </c:pt>
                <c:pt idx="103">
                  <c:v>3.49</c:v>
                </c:pt>
                <c:pt idx="104">
                  <c:v>3.46</c:v>
                </c:pt>
                <c:pt idx="105">
                  <c:v>3.53</c:v>
                </c:pt>
                <c:pt idx="106">
                  <c:v>3.57</c:v>
                </c:pt>
                <c:pt idx="107">
                  <c:v>3.62</c:v>
                </c:pt>
                <c:pt idx="108">
                  <c:v>3.63</c:v>
                </c:pt>
                <c:pt idx="109">
                  <c:v>3.77</c:v>
                </c:pt>
                <c:pt idx="110">
                  <c:v>3.98</c:v>
                </c:pt>
                <c:pt idx="111">
                  <c:v>3.91</c:v>
                </c:pt>
                <c:pt idx="112">
                  <c:v>3.78</c:v>
                </c:pt>
                <c:pt idx="113">
                  <c:v>3.81</c:v>
                </c:pt>
                <c:pt idx="114">
                  <c:v>3.93</c:v>
                </c:pt>
                <c:pt idx="115">
                  <c:v>3.87</c:v>
                </c:pt>
                <c:pt idx="116">
                  <c:v>3.72</c:v>
                </c:pt>
                <c:pt idx="117">
                  <c:v>4.09</c:v>
                </c:pt>
                <c:pt idx="118">
                  <c:v>4.33</c:v>
                </c:pt>
                <c:pt idx="119">
                  <c:v>4.43</c:v>
                </c:pt>
                <c:pt idx="120">
                  <c:v>4.47</c:v>
                </c:pt>
                <c:pt idx="121">
                  <c:v>4.7699999999999996</c:v>
                </c:pt>
                <c:pt idx="122">
                  <c:v>4.78</c:v>
                </c:pt>
                <c:pt idx="123">
                  <c:v>4.47</c:v>
                </c:pt>
                <c:pt idx="124">
                  <c:v>4.22</c:v>
                </c:pt>
                <c:pt idx="125">
                  <c:v>4</c:v>
                </c:pt>
                <c:pt idx="126">
                  <c:v>4.0599999999999996</c:v>
                </c:pt>
                <c:pt idx="127">
                  <c:v>4.1399999999999997</c:v>
                </c:pt>
                <c:pt idx="128">
                  <c:v>4.34</c:v>
                </c:pt>
                <c:pt idx="129">
                  <c:v>4.22</c:v>
                </c:pt>
                <c:pt idx="130">
                  <c:v>4.38</c:v>
                </c:pt>
                <c:pt idx="131">
                  <c:v>4.34</c:v>
                </c:pt>
                <c:pt idx="132">
                  <c:v>4.3899999999999997</c:v>
                </c:pt>
                <c:pt idx="133">
                  <c:v>4.59</c:v>
                </c:pt>
                <c:pt idx="134">
                  <c:v>4.62</c:v>
                </c:pt>
                <c:pt idx="135">
                  <c:v>4.33</c:v>
                </c:pt>
                <c:pt idx="136">
                  <c:v>4.2</c:v>
                </c:pt>
                <c:pt idx="137">
                  <c:v>3.98</c:v>
                </c:pt>
                <c:pt idx="138">
                  <c:v>4.08</c:v>
                </c:pt>
                <c:pt idx="139">
                  <c:v>4.05</c:v>
                </c:pt>
                <c:pt idx="140">
                  <c:v>3.82</c:v>
                </c:pt>
                <c:pt idx="141">
                  <c:v>3.75</c:v>
                </c:pt>
                <c:pt idx="142">
                  <c:v>3.84</c:v>
                </c:pt>
                <c:pt idx="143">
                  <c:v>3.8</c:v>
                </c:pt>
                <c:pt idx="144">
                  <c:v>3.94</c:v>
                </c:pt>
                <c:pt idx="145">
                  <c:v>4.07</c:v>
                </c:pt>
                <c:pt idx="146">
                  <c:v>4.0199999999999996</c:v>
                </c:pt>
                <c:pt idx="147">
                  <c:v>3.94</c:v>
                </c:pt>
                <c:pt idx="148">
                  <c:v>3.88</c:v>
                </c:pt>
                <c:pt idx="149">
                  <c:v>3.62</c:v>
                </c:pt>
                <c:pt idx="150">
                  <c:v>3.44</c:v>
                </c:pt>
                <c:pt idx="151">
                  <c:v>3.28</c:v>
                </c:pt>
                <c:pt idx="152">
                  <c:v>3.3</c:v>
                </c:pt>
                <c:pt idx="153">
                  <c:v>3.4</c:v>
                </c:pt>
                <c:pt idx="154">
                  <c:v>3.19</c:v>
                </c:pt>
                <c:pt idx="155">
                  <c:v>3.05</c:v>
                </c:pt>
                <c:pt idx="156">
                  <c:v>3.21</c:v>
                </c:pt>
                <c:pt idx="157">
                  <c:v>3.18</c:v>
                </c:pt>
                <c:pt idx="158">
                  <c:v>3.16</c:v>
                </c:pt>
                <c:pt idx="159">
                  <c:v>3.33</c:v>
                </c:pt>
                <c:pt idx="160">
                  <c:v>3.51</c:v>
                </c:pt>
                <c:pt idx="161">
                  <c:v>3.72</c:v>
                </c:pt>
                <c:pt idx="162">
                  <c:v>3.57</c:v>
                </c:pt>
                <c:pt idx="163">
                  <c:v>3.6</c:v>
                </c:pt>
                <c:pt idx="164">
                  <c:v>3.68</c:v>
                </c:pt>
                <c:pt idx="165">
                  <c:v>3.89</c:v>
                </c:pt>
                <c:pt idx="166">
                  <c:v>4.01</c:v>
                </c:pt>
                <c:pt idx="167">
                  <c:v>4.1399999999999997</c:v>
                </c:pt>
                <c:pt idx="168">
                  <c:v>4.21</c:v>
                </c:pt>
                <c:pt idx="169">
                  <c:v>4.37</c:v>
                </c:pt>
                <c:pt idx="170">
                  <c:v>4.4800000000000004</c:v>
                </c:pt>
                <c:pt idx="171">
                  <c:v>4.25</c:v>
                </c:pt>
                <c:pt idx="172">
                  <c:v>4.0999999999999996</c:v>
                </c:pt>
                <c:pt idx="173">
                  <c:v>3.92</c:v>
                </c:pt>
                <c:pt idx="174">
                  <c:v>4.1100000000000003</c:v>
                </c:pt>
                <c:pt idx="175">
                  <c:v>4.16</c:v>
                </c:pt>
                <c:pt idx="176">
                  <c:v>4.33</c:v>
                </c:pt>
                <c:pt idx="177">
                  <c:v>4.3899999999999997</c:v>
                </c:pt>
                <c:pt idx="178">
                  <c:v>4.26</c:v>
                </c:pt>
                <c:pt idx="179">
                  <c:v>4.2</c:v>
                </c:pt>
                <c:pt idx="180">
                  <c:v>4.18</c:v>
                </c:pt>
                <c:pt idx="181">
                  <c:v>4.01</c:v>
                </c:pt>
                <c:pt idx="182">
                  <c:v>3.7</c:v>
                </c:pt>
                <c:pt idx="183">
                  <c:v>3.91</c:v>
                </c:pt>
                <c:pt idx="184">
                  <c:v>4.2300000000000004</c:v>
                </c:pt>
                <c:pt idx="185">
                  <c:v>4.09</c:v>
                </c:pt>
                <c:pt idx="186">
                  <c:v>4.05</c:v>
                </c:pt>
                <c:pt idx="187">
                  <c:v>4.26</c:v>
                </c:pt>
                <c:pt idx="188">
                  <c:v>4.45</c:v>
                </c:pt>
                <c:pt idx="189">
                  <c:v>4.66</c:v>
                </c:pt>
                <c:pt idx="190">
                  <c:v>4.68</c:v>
                </c:pt>
                <c:pt idx="191">
                  <c:v>4.6100000000000003</c:v>
                </c:pt>
                <c:pt idx="192">
                  <c:v>4.8099999999999996</c:v>
                </c:pt>
                <c:pt idx="193">
                  <c:v>5.0999999999999996</c:v>
                </c:pt>
                <c:pt idx="194">
                  <c:v>5.26</c:v>
                </c:pt>
                <c:pt idx="195">
                  <c:v>5.4</c:v>
                </c:pt>
                <c:pt idx="196">
                  <c:v>5.32</c:v>
                </c:pt>
                <c:pt idx="197">
                  <c:v>5.33</c:v>
                </c:pt>
                <c:pt idx="198">
                  <c:v>5.0999999999999996</c:v>
                </c:pt>
                <c:pt idx="199">
                  <c:v>5.05</c:v>
                </c:pt>
                <c:pt idx="200">
                  <c:v>4.9800000000000004</c:v>
                </c:pt>
                <c:pt idx="201">
                  <c:v>4.6900000000000004</c:v>
                </c:pt>
                <c:pt idx="202">
                  <c:v>4.83</c:v>
                </c:pt>
                <c:pt idx="203">
                  <c:v>5.0599999999999996</c:v>
                </c:pt>
                <c:pt idx="204">
                  <c:v>5.0599999999999996</c:v>
                </c:pt>
                <c:pt idx="205">
                  <c:v>5.27</c:v>
                </c:pt>
                <c:pt idx="206">
                  <c:v>5.26</c:v>
                </c:pt>
                <c:pt idx="207">
                  <c:v>5.29</c:v>
                </c:pt>
                <c:pt idx="208">
                  <c:v>5.0999999999999996</c:v>
                </c:pt>
                <c:pt idx="209">
                  <c:v>4.9400000000000004</c:v>
                </c:pt>
                <c:pt idx="210">
                  <c:v>5.0199999999999996</c:v>
                </c:pt>
                <c:pt idx="211">
                  <c:v>5.0199999999999996</c:v>
                </c:pt>
                <c:pt idx="212">
                  <c:v>5.14</c:v>
                </c:pt>
                <c:pt idx="213">
                  <c:v>5.4</c:v>
                </c:pt>
                <c:pt idx="214">
                  <c:v>5.45</c:v>
                </c:pt>
                <c:pt idx="215">
                  <c:v>5.49</c:v>
                </c:pt>
                <c:pt idx="216">
                  <c:v>5.43</c:v>
                </c:pt>
                <c:pt idx="217">
                  <c:v>5.48</c:v>
                </c:pt>
                <c:pt idx="218">
                  <c:v>5.39</c:v>
                </c:pt>
                <c:pt idx="219">
                  <c:v>5.59</c:v>
                </c:pt>
                <c:pt idx="220">
                  <c:v>5.46</c:v>
                </c:pt>
                <c:pt idx="221">
                  <c:v>5.5</c:v>
                </c:pt>
                <c:pt idx="222">
                  <c:v>5.72</c:v>
                </c:pt>
                <c:pt idx="223">
                  <c:v>5.75</c:v>
                </c:pt>
              </c:numCache>
            </c:numRef>
          </c:val>
          <c:smooth val="0"/>
          <c:extLst>
            <c:ext xmlns:c16="http://schemas.microsoft.com/office/drawing/2014/chart" uri="{C3380CC4-5D6E-409C-BE32-E72D297353CC}">
              <c16:uniqueId val="{00000004-E765-4C20-8431-542026E1F106}"/>
            </c:ext>
          </c:extLst>
        </c:ser>
        <c:ser>
          <c:idx val="5"/>
          <c:order val="5"/>
          <c:tx>
            <c:strRef>
              <c:f>data!$G$3</c:f>
              <c:strCache>
                <c:ptCount val="1"/>
                <c:pt idx="0">
                  <c:v>France</c:v>
                </c:pt>
              </c:strCache>
            </c:strRef>
          </c:tx>
          <c:spPr>
            <a:ln w="28575" cap="rnd">
              <a:solidFill>
                <a:schemeClr val="accent6"/>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data!$G$4:$G$227</c:f>
              <c:numCache>
                <c:formatCode>General</c:formatCode>
                <c:ptCount val="224"/>
                <c:pt idx="0">
                  <c:v>0.7</c:v>
                </c:pt>
                <c:pt idx="1">
                  <c:v>0.67</c:v>
                </c:pt>
                <c:pt idx="2">
                  <c:v>0.75</c:v>
                </c:pt>
                <c:pt idx="3">
                  <c:v>0.78</c:v>
                </c:pt>
                <c:pt idx="4">
                  <c:v>0.78</c:v>
                </c:pt>
                <c:pt idx="5">
                  <c:v>0.84</c:v>
                </c:pt>
                <c:pt idx="6">
                  <c:v>0.98</c:v>
                </c:pt>
                <c:pt idx="7">
                  <c:v>0.86</c:v>
                </c:pt>
                <c:pt idx="8">
                  <c:v>0.67</c:v>
                </c:pt>
                <c:pt idx="9">
                  <c:v>0.72</c:v>
                </c:pt>
                <c:pt idx="10">
                  <c:v>0.81</c:v>
                </c:pt>
                <c:pt idx="11">
                  <c:v>0.7</c:v>
                </c:pt>
                <c:pt idx="12">
                  <c:v>0.71</c:v>
                </c:pt>
                <c:pt idx="13">
                  <c:v>0.84</c:v>
                </c:pt>
                <c:pt idx="14">
                  <c:v>0.66</c:v>
                </c:pt>
                <c:pt idx="15">
                  <c:v>0.81</c:v>
                </c:pt>
                <c:pt idx="16">
                  <c:v>0.88</c:v>
                </c:pt>
                <c:pt idx="17">
                  <c:v>1.02</c:v>
                </c:pt>
                <c:pt idx="18">
                  <c:v>1.03</c:v>
                </c:pt>
                <c:pt idx="19">
                  <c:v>0.86</c:v>
                </c:pt>
                <c:pt idx="20">
                  <c:v>0.75</c:v>
                </c:pt>
                <c:pt idx="21">
                  <c:v>0.67</c:v>
                </c:pt>
                <c:pt idx="22">
                  <c:v>0.33</c:v>
                </c:pt>
                <c:pt idx="23">
                  <c:v>0.18</c:v>
                </c:pt>
                <c:pt idx="24">
                  <c:v>0.15</c:v>
                </c:pt>
                <c:pt idx="25">
                  <c:v>0.17</c:v>
                </c:pt>
                <c:pt idx="26">
                  <c:v>0.39</c:v>
                </c:pt>
                <c:pt idx="27">
                  <c:v>0.51</c:v>
                </c:pt>
                <c:pt idx="28">
                  <c:v>0.51</c:v>
                </c:pt>
                <c:pt idx="29">
                  <c:v>0.51</c:v>
                </c:pt>
                <c:pt idx="30">
                  <c:v>0.59</c:v>
                </c:pt>
                <c:pt idx="31">
                  <c:v>0.84</c:v>
                </c:pt>
                <c:pt idx="32">
                  <c:v>0.93</c:v>
                </c:pt>
                <c:pt idx="33">
                  <c:v>0.88</c:v>
                </c:pt>
                <c:pt idx="34">
                  <c:v>0.87</c:v>
                </c:pt>
                <c:pt idx="35">
                  <c:v>1</c:v>
                </c:pt>
                <c:pt idx="36">
                  <c:v>1.01</c:v>
                </c:pt>
                <c:pt idx="37">
                  <c:v>1.1100000000000001</c:v>
                </c:pt>
                <c:pt idx="38">
                  <c:v>1.2</c:v>
                </c:pt>
                <c:pt idx="39">
                  <c:v>0.89</c:v>
                </c:pt>
                <c:pt idx="40">
                  <c:v>0.44</c:v>
                </c:pt>
                <c:pt idx="41">
                  <c:v>0.51</c:v>
                </c:pt>
                <c:pt idx="42">
                  <c:v>0.6</c:v>
                </c:pt>
                <c:pt idx="43">
                  <c:v>0.67</c:v>
                </c:pt>
                <c:pt idx="44">
                  <c:v>0.92</c:v>
                </c:pt>
                <c:pt idx="45">
                  <c:v>1.1399999999999999</c:v>
                </c:pt>
                <c:pt idx="46">
                  <c:v>1.26</c:v>
                </c:pt>
                <c:pt idx="47">
                  <c:v>1.35</c:v>
                </c:pt>
                <c:pt idx="48">
                  <c:v>1.41</c:v>
                </c:pt>
                <c:pt idx="49">
                  <c:v>1.56</c:v>
                </c:pt>
                <c:pt idx="50">
                  <c:v>1.71</c:v>
                </c:pt>
                <c:pt idx="51">
                  <c:v>1.84</c:v>
                </c:pt>
                <c:pt idx="52">
                  <c:v>2.0299999999999998</c:v>
                </c:pt>
                <c:pt idx="53">
                  <c:v>2.15</c:v>
                </c:pt>
                <c:pt idx="54">
                  <c:v>2.25</c:v>
                </c:pt>
                <c:pt idx="55">
                  <c:v>2.38</c:v>
                </c:pt>
                <c:pt idx="56">
                  <c:v>2.33</c:v>
                </c:pt>
                <c:pt idx="57">
                  <c:v>2.27</c:v>
                </c:pt>
                <c:pt idx="58">
                  <c:v>2.39</c:v>
                </c:pt>
                <c:pt idx="59">
                  <c:v>2.4900000000000002</c:v>
                </c:pt>
                <c:pt idx="60">
                  <c:v>2.36</c:v>
                </c:pt>
                <c:pt idx="61">
                  <c:v>2.25</c:v>
                </c:pt>
                <c:pt idx="62">
                  <c:v>2.21</c:v>
                </c:pt>
                <c:pt idx="63">
                  <c:v>1.87</c:v>
                </c:pt>
                <c:pt idx="64">
                  <c:v>1.8</c:v>
                </c:pt>
                <c:pt idx="65">
                  <c:v>2.0699999999999998</c:v>
                </c:pt>
                <c:pt idx="66">
                  <c:v>2.2400000000000002</c:v>
                </c:pt>
                <c:pt idx="67">
                  <c:v>2.17</c:v>
                </c:pt>
                <c:pt idx="68">
                  <c:v>2.0099999999999998</c:v>
                </c:pt>
                <c:pt idx="69">
                  <c:v>2.14</c:v>
                </c:pt>
                <c:pt idx="70">
                  <c:v>2.19</c:v>
                </c:pt>
                <c:pt idx="71">
                  <c:v>2.2400000000000002</c:v>
                </c:pt>
                <c:pt idx="72">
                  <c:v>2.12</c:v>
                </c:pt>
                <c:pt idx="73">
                  <c:v>2.2799999999999998</c:v>
                </c:pt>
                <c:pt idx="74">
                  <c:v>2.57</c:v>
                </c:pt>
                <c:pt idx="75">
                  <c:v>2.75</c:v>
                </c:pt>
                <c:pt idx="76">
                  <c:v>2.99</c:v>
                </c:pt>
                <c:pt idx="77">
                  <c:v>2.95</c:v>
                </c:pt>
                <c:pt idx="78">
                  <c:v>3.02</c:v>
                </c:pt>
                <c:pt idx="79">
                  <c:v>3.18</c:v>
                </c:pt>
                <c:pt idx="80">
                  <c:v>3.16</c:v>
                </c:pt>
                <c:pt idx="81">
                  <c:v>3.41</c:v>
                </c:pt>
                <c:pt idx="82">
                  <c:v>2.99</c:v>
                </c:pt>
                <c:pt idx="83">
                  <c:v>2.64</c:v>
                </c:pt>
                <c:pt idx="84">
                  <c:v>2.98</c:v>
                </c:pt>
                <c:pt idx="85">
                  <c:v>3.4</c:v>
                </c:pt>
                <c:pt idx="86">
                  <c:v>3.43</c:v>
                </c:pt>
                <c:pt idx="87">
                  <c:v>3.49</c:v>
                </c:pt>
                <c:pt idx="88">
                  <c:v>3.69</c:v>
                </c:pt>
                <c:pt idx="89">
                  <c:v>3.61</c:v>
                </c:pt>
                <c:pt idx="90">
                  <c:v>3.6</c:v>
                </c:pt>
                <c:pt idx="91">
                  <c:v>3.44</c:v>
                </c:pt>
                <c:pt idx="92">
                  <c:v>3.34</c:v>
                </c:pt>
                <c:pt idx="93">
                  <c:v>3</c:v>
                </c:pt>
                <c:pt idx="94">
                  <c:v>2.72</c:v>
                </c:pt>
                <c:pt idx="95">
                  <c:v>2.68</c:v>
                </c:pt>
                <c:pt idx="96">
                  <c:v>2.68</c:v>
                </c:pt>
                <c:pt idx="97">
                  <c:v>2.99</c:v>
                </c:pt>
                <c:pt idx="98">
                  <c:v>3.07</c:v>
                </c:pt>
                <c:pt idx="99">
                  <c:v>3.08</c:v>
                </c:pt>
                <c:pt idx="100">
                  <c:v>3.4</c:v>
                </c:pt>
                <c:pt idx="101">
                  <c:v>3.44</c:v>
                </c:pt>
                <c:pt idx="102">
                  <c:v>3.5</c:v>
                </c:pt>
                <c:pt idx="103">
                  <c:v>3.52</c:v>
                </c:pt>
                <c:pt idx="104">
                  <c:v>3.48</c:v>
                </c:pt>
                <c:pt idx="105">
                  <c:v>3.56</c:v>
                </c:pt>
                <c:pt idx="106">
                  <c:v>3.56</c:v>
                </c:pt>
                <c:pt idx="107">
                  <c:v>3.59</c:v>
                </c:pt>
                <c:pt idx="108">
                  <c:v>3.59</c:v>
                </c:pt>
                <c:pt idx="109">
                  <c:v>3.73</c:v>
                </c:pt>
                <c:pt idx="110">
                  <c:v>3.9</c:v>
                </c:pt>
                <c:pt idx="111">
                  <c:v>3.8</c:v>
                </c:pt>
                <c:pt idx="112">
                  <c:v>3.66</c:v>
                </c:pt>
                <c:pt idx="113">
                  <c:v>3.65</c:v>
                </c:pt>
                <c:pt idx="114">
                  <c:v>3.68</c:v>
                </c:pt>
                <c:pt idx="115">
                  <c:v>3.6</c:v>
                </c:pt>
                <c:pt idx="116">
                  <c:v>3.54</c:v>
                </c:pt>
                <c:pt idx="117">
                  <c:v>3.98</c:v>
                </c:pt>
                <c:pt idx="118">
                  <c:v>4.18</c:v>
                </c:pt>
                <c:pt idx="119">
                  <c:v>4.3600000000000003</c:v>
                </c:pt>
                <c:pt idx="120">
                  <c:v>4.4000000000000004</c:v>
                </c:pt>
                <c:pt idx="121">
                  <c:v>4.6900000000000004</c:v>
                </c:pt>
                <c:pt idx="122">
                  <c:v>4.7300000000000004</c:v>
                </c:pt>
                <c:pt idx="123">
                  <c:v>4.41</c:v>
                </c:pt>
                <c:pt idx="124">
                  <c:v>4.2699999999999996</c:v>
                </c:pt>
                <c:pt idx="125">
                  <c:v>4.0199999999999996</c:v>
                </c:pt>
                <c:pt idx="126">
                  <c:v>4.08</c:v>
                </c:pt>
                <c:pt idx="127">
                  <c:v>4.1500000000000004</c:v>
                </c:pt>
                <c:pt idx="128">
                  <c:v>4.3499999999999996</c:v>
                </c:pt>
                <c:pt idx="129">
                  <c:v>4.2300000000000004</c:v>
                </c:pt>
                <c:pt idx="130">
                  <c:v>4.4000000000000004</c:v>
                </c:pt>
                <c:pt idx="131">
                  <c:v>4.3600000000000003</c:v>
                </c:pt>
                <c:pt idx="132">
                  <c:v>4.3899999999999997</c:v>
                </c:pt>
                <c:pt idx="133">
                  <c:v>4.58</c:v>
                </c:pt>
                <c:pt idx="134">
                  <c:v>4.62</c:v>
                </c:pt>
                <c:pt idx="135">
                  <c:v>4.34</c:v>
                </c:pt>
                <c:pt idx="136">
                  <c:v>4.21</c:v>
                </c:pt>
                <c:pt idx="137">
                  <c:v>4</c:v>
                </c:pt>
                <c:pt idx="138">
                  <c:v>4.0999999999999996</c:v>
                </c:pt>
                <c:pt idx="139">
                  <c:v>4.07</c:v>
                </c:pt>
                <c:pt idx="140">
                  <c:v>3.81</c:v>
                </c:pt>
                <c:pt idx="141">
                  <c:v>3.74</c:v>
                </c:pt>
                <c:pt idx="142">
                  <c:v>3.81</c:v>
                </c:pt>
                <c:pt idx="143">
                  <c:v>3.77</c:v>
                </c:pt>
                <c:pt idx="144">
                  <c:v>3.9</c:v>
                </c:pt>
                <c:pt idx="145">
                  <c:v>4.03</c:v>
                </c:pt>
                <c:pt idx="146">
                  <c:v>4.01</c:v>
                </c:pt>
                <c:pt idx="147">
                  <c:v>4</c:v>
                </c:pt>
                <c:pt idx="148">
                  <c:v>3.95</c:v>
                </c:pt>
                <c:pt idx="149">
                  <c:v>3.69</c:v>
                </c:pt>
                <c:pt idx="150">
                  <c:v>3.51</c:v>
                </c:pt>
                <c:pt idx="151">
                  <c:v>3.34</c:v>
                </c:pt>
                <c:pt idx="152">
                  <c:v>3.38</c:v>
                </c:pt>
                <c:pt idx="153">
                  <c:v>3.5</c:v>
                </c:pt>
                <c:pt idx="154">
                  <c:v>3.29</c:v>
                </c:pt>
                <c:pt idx="155">
                  <c:v>3.13</c:v>
                </c:pt>
                <c:pt idx="156">
                  <c:v>3.3</c:v>
                </c:pt>
                <c:pt idx="157">
                  <c:v>3.27</c:v>
                </c:pt>
                <c:pt idx="158">
                  <c:v>3.2</c:v>
                </c:pt>
                <c:pt idx="159">
                  <c:v>3.38</c:v>
                </c:pt>
                <c:pt idx="160">
                  <c:v>3.54</c:v>
                </c:pt>
                <c:pt idx="161">
                  <c:v>3.75</c:v>
                </c:pt>
                <c:pt idx="162">
                  <c:v>3.6</c:v>
                </c:pt>
                <c:pt idx="163">
                  <c:v>3.58</c:v>
                </c:pt>
                <c:pt idx="164">
                  <c:v>3.64</c:v>
                </c:pt>
                <c:pt idx="165">
                  <c:v>3.86</c:v>
                </c:pt>
                <c:pt idx="166">
                  <c:v>3.98</c:v>
                </c:pt>
                <c:pt idx="167">
                  <c:v>4.09</c:v>
                </c:pt>
                <c:pt idx="168">
                  <c:v>4.1100000000000003</c:v>
                </c:pt>
                <c:pt idx="169">
                  <c:v>4.2699999999999996</c:v>
                </c:pt>
                <c:pt idx="170">
                  <c:v>4.3899999999999997</c:v>
                </c:pt>
                <c:pt idx="171">
                  <c:v>4.34</c:v>
                </c:pt>
                <c:pt idx="172">
                  <c:v>4.18</c:v>
                </c:pt>
                <c:pt idx="173">
                  <c:v>3.98</c:v>
                </c:pt>
                <c:pt idx="174">
                  <c:v>4.1399999999999997</c:v>
                </c:pt>
                <c:pt idx="175">
                  <c:v>4.2</c:v>
                </c:pt>
                <c:pt idx="176">
                  <c:v>4.34</c:v>
                </c:pt>
                <c:pt idx="177">
                  <c:v>4.41</c:v>
                </c:pt>
                <c:pt idx="178">
                  <c:v>4.28</c:v>
                </c:pt>
                <c:pt idx="179">
                  <c:v>4.2300000000000004</c:v>
                </c:pt>
                <c:pt idx="180">
                  <c:v>4.16</c:v>
                </c:pt>
                <c:pt idx="181">
                  <c:v>4.01</c:v>
                </c:pt>
                <c:pt idx="182">
                  <c:v>3.69</c:v>
                </c:pt>
                <c:pt idx="183">
                  <c:v>3.89</c:v>
                </c:pt>
                <c:pt idx="184">
                  <c:v>4.22</c:v>
                </c:pt>
                <c:pt idx="185">
                  <c:v>4.0999999999999996</c:v>
                </c:pt>
                <c:pt idx="186">
                  <c:v>4.01</c:v>
                </c:pt>
                <c:pt idx="187">
                  <c:v>4.22</c:v>
                </c:pt>
                <c:pt idx="188">
                  <c:v>4.38</c:v>
                </c:pt>
                <c:pt idx="189">
                  <c:v>4.53</c:v>
                </c:pt>
                <c:pt idx="190">
                  <c:v>4.55</c:v>
                </c:pt>
                <c:pt idx="191">
                  <c:v>4.46</c:v>
                </c:pt>
                <c:pt idx="192">
                  <c:v>4.67</c:v>
                </c:pt>
                <c:pt idx="193">
                  <c:v>4.96</c:v>
                </c:pt>
                <c:pt idx="194">
                  <c:v>5.1100000000000003</c:v>
                </c:pt>
                <c:pt idx="195">
                  <c:v>5.26</c:v>
                </c:pt>
                <c:pt idx="196">
                  <c:v>5.24</c:v>
                </c:pt>
                <c:pt idx="197">
                  <c:v>5.24</c:v>
                </c:pt>
                <c:pt idx="198">
                  <c:v>4.99</c:v>
                </c:pt>
                <c:pt idx="199">
                  <c:v>4.93</c:v>
                </c:pt>
                <c:pt idx="200">
                  <c:v>4.87</c:v>
                </c:pt>
                <c:pt idx="201">
                  <c:v>4.57</c:v>
                </c:pt>
                <c:pt idx="202">
                  <c:v>4.72</c:v>
                </c:pt>
                <c:pt idx="203">
                  <c:v>4.9400000000000004</c:v>
                </c:pt>
                <c:pt idx="204">
                  <c:v>4.95</c:v>
                </c:pt>
                <c:pt idx="205">
                  <c:v>5.15</c:v>
                </c:pt>
                <c:pt idx="206">
                  <c:v>5.15</c:v>
                </c:pt>
                <c:pt idx="207">
                  <c:v>5.21</c:v>
                </c:pt>
                <c:pt idx="208">
                  <c:v>5</c:v>
                </c:pt>
                <c:pt idx="209">
                  <c:v>4.84</c:v>
                </c:pt>
                <c:pt idx="210">
                  <c:v>4.93</c:v>
                </c:pt>
                <c:pt idx="211">
                  <c:v>4.9400000000000004</c:v>
                </c:pt>
                <c:pt idx="212">
                  <c:v>5.04</c:v>
                </c:pt>
                <c:pt idx="213">
                  <c:v>5.29</c:v>
                </c:pt>
                <c:pt idx="214">
                  <c:v>5.36</c:v>
                </c:pt>
                <c:pt idx="215">
                  <c:v>5.42</c:v>
                </c:pt>
                <c:pt idx="216">
                  <c:v>5.36</c:v>
                </c:pt>
                <c:pt idx="217">
                  <c:v>5.4</c:v>
                </c:pt>
                <c:pt idx="218">
                  <c:v>5.32</c:v>
                </c:pt>
                <c:pt idx="219">
                  <c:v>5.5</c:v>
                </c:pt>
                <c:pt idx="220">
                  <c:v>5.33</c:v>
                </c:pt>
                <c:pt idx="221">
                  <c:v>5.43</c:v>
                </c:pt>
                <c:pt idx="222">
                  <c:v>5.62</c:v>
                </c:pt>
                <c:pt idx="223">
                  <c:v>5.66</c:v>
                </c:pt>
              </c:numCache>
            </c:numRef>
          </c:val>
          <c:smooth val="0"/>
          <c:extLst>
            <c:ext xmlns:c16="http://schemas.microsoft.com/office/drawing/2014/chart" uri="{C3380CC4-5D6E-409C-BE32-E72D297353CC}">
              <c16:uniqueId val="{00000005-E765-4C20-8431-542026E1F106}"/>
            </c:ext>
          </c:extLst>
        </c:ser>
        <c:ser>
          <c:idx val="6"/>
          <c:order val="6"/>
          <c:tx>
            <c:strRef>
              <c:f>data!$H$3</c:f>
              <c:strCache>
                <c:ptCount val="1"/>
                <c:pt idx="0">
                  <c:v>Greece</c:v>
                </c:pt>
              </c:strCache>
            </c:strRef>
          </c:tx>
          <c:spPr>
            <a:ln w="28575" cap="rnd">
              <a:solidFill>
                <a:schemeClr val="accent1">
                  <a:lumMod val="60000"/>
                </a:schemeClr>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data!$H$4:$H$227</c:f>
              <c:numCache>
                <c:formatCode>General</c:formatCode>
                <c:ptCount val="224"/>
                <c:pt idx="0">
                  <c:v>4.18</c:v>
                </c:pt>
                <c:pt idx="1">
                  <c:v>3.88</c:v>
                </c:pt>
                <c:pt idx="2">
                  <c:v>4.3899999999999997</c:v>
                </c:pt>
                <c:pt idx="3">
                  <c:v>4.29</c:v>
                </c:pt>
                <c:pt idx="4">
                  <c:v>4.04</c:v>
                </c:pt>
                <c:pt idx="5">
                  <c:v>4.2699999999999996</c:v>
                </c:pt>
                <c:pt idx="6">
                  <c:v>4.1399999999999997</c:v>
                </c:pt>
                <c:pt idx="7">
                  <c:v>3.79</c:v>
                </c:pt>
                <c:pt idx="8">
                  <c:v>4.4400000000000004</c:v>
                </c:pt>
                <c:pt idx="9">
                  <c:v>5.22</c:v>
                </c:pt>
                <c:pt idx="10">
                  <c:v>5.59</c:v>
                </c:pt>
                <c:pt idx="11">
                  <c:v>5.56</c:v>
                </c:pt>
                <c:pt idx="12">
                  <c:v>5.55</c:v>
                </c:pt>
                <c:pt idx="13">
                  <c:v>5.33</c:v>
                </c:pt>
                <c:pt idx="14">
                  <c:v>5.76</c:v>
                </c:pt>
                <c:pt idx="15">
                  <c:v>5.86</c:v>
                </c:pt>
                <c:pt idx="16">
                  <c:v>6.7</c:v>
                </c:pt>
                <c:pt idx="17">
                  <c:v>7.17</c:v>
                </c:pt>
                <c:pt idx="18">
                  <c:v>7.52</c:v>
                </c:pt>
                <c:pt idx="19">
                  <c:v>7.04</c:v>
                </c:pt>
                <c:pt idx="20">
                  <c:v>6.94</c:v>
                </c:pt>
                <c:pt idx="21">
                  <c:v>7.33</c:v>
                </c:pt>
                <c:pt idx="22">
                  <c:v>8.33</c:v>
                </c:pt>
                <c:pt idx="23">
                  <c:v>8.34</c:v>
                </c:pt>
                <c:pt idx="24">
                  <c:v>8.19</c:v>
                </c:pt>
                <c:pt idx="25">
                  <c:v>7.99</c:v>
                </c:pt>
                <c:pt idx="26">
                  <c:v>7.92</c:v>
                </c:pt>
                <c:pt idx="27">
                  <c:v>7.64</c:v>
                </c:pt>
                <c:pt idx="28">
                  <c:v>9.0299999999999994</c:v>
                </c:pt>
                <c:pt idx="29">
                  <c:v>9.1199999999999992</c:v>
                </c:pt>
                <c:pt idx="30">
                  <c:v>10.41</c:v>
                </c:pt>
                <c:pt idx="31">
                  <c:v>9.08</c:v>
                </c:pt>
                <c:pt idx="32">
                  <c:v>8.2100000000000009</c:v>
                </c:pt>
                <c:pt idx="33">
                  <c:v>7.41</c:v>
                </c:pt>
                <c:pt idx="34">
                  <c:v>7.81</c:v>
                </c:pt>
                <c:pt idx="35">
                  <c:v>8.5399999999999991</c:v>
                </c:pt>
                <c:pt idx="36">
                  <c:v>10.26</c:v>
                </c:pt>
                <c:pt idx="37">
                  <c:v>10.26</c:v>
                </c:pt>
                <c:pt idx="38">
                  <c:v>11.43</c:v>
                </c:pt>
                <c:pt idx="39">
                  <c:v>10.95</c:v>
                </c:pt>
                <c:pt idx="40">
                  <c:v>12</c:v>
                </c:pt>
                <c:pt idx="41">
                  <c:v>10.52</c:v>
                </c:pt>
                <c:pt idx="42">
                  <c:v>9.7200000000000006</c:v>
                </c:pt>
                <c:pt idx="43">
                  <c:v>9.48</c:v>
                </c:pt>
                <c:pt idx="44">
                  <c:v>8.42</c:v>
                </c:pt>
                <c:pt idx="45">
                  <c:v>8.1</c:v>
                </c:pt>
                <c:pt idx="46">
                  <c:v>7.26</c:v>
                </c:pt>
                <c:pt idx="47">
                  <c:v>5.89</c:v>
                </c:pt>
                <c:pt idx="48">
                  <c:v>6.09</c:v>
                </c:pt>
                <c:pt idx="49">
                  <c:v>6.1</c:v>
                </c:pt>
                <c:pt idx="50">
                  <c:v>5.93</c:v>
                </c:pt>
                <c:pt idx="51">
                  <c:v>6.38</c:v>
                </c:pt>
                <c:pt idx="52">
                  <c:v>6.2</c:v>
                </c:pt>
                <c:pt idx="53">
                  <c:v>6.9</c:v>
                </c:pt>
                <c:pt idx="54">
                  <c:v>7.7</c:v>
                </c:pt>
                <c:pt idx="55">
                  <c:v>8.18</c:v>
                </c:pt>
                <c:pt idx="56">
                  <c:v>8.66</c:v>
                </c:pt>
                <c:pt idx="57">
                  <c:v>8.41</c:v>
                </c:pt>
                <c:pt idx="58">
                  <c:v>8.74</c:v>
                </c:pt>
                <c:pt idx="59">
                  <c:v>10.15</c:v>
                </c:pt>
                <c:pt idx="60">
                  <c:v>10.01</c:v>
                </c:pt>
                <c:pt idx="61">
                  <c:v>10.53</c:v>
                </c:pt>
                <c:pt idx="62">
                  <c:v>10.07</c:v>
                </c:pt>
                <c:pt idx="63">
                  <c:v>9.07</c:v>
                </c:pt>
                <c:pt idx="64">
                  <c:v>11.58</c:v>
                </c:pt>
                <c:pt idx="65">
                  <c:v>11.38</c:v>
                </c:pt>
                <c:pt idx="66">
                  <c:v>10.95</c:v>
                </c:pt>
                <c:pt idx="67">
                  <c:v>11.1</c:v>
                </c:pt>
                <c:pt idx="68">
                  <c:v>13.33</c:v>
                </c:pt>
                <c:pt idx="69">
                  <c:v>17.2</c:v>
                </c:pt>
                <c:pt idx="70">
                  <c:v>17.96</c:v>
                </c:pt>
                <c:pt idx="71">
                  <c:v>20.91</c:v>
                </c:pt>
                <c:pt idx="72">
                  <c:v>24.34</c:v>
                </c:pt>
                <c:pt idx="73">
                  <c:v>25.82</c:v>
                </c:pt>
                <c:pt idx="74">
                  <c:v>27.82</c:v>
                </c:pt>
                <c:pt idx="75">
                  <c:v>26.9</c:v>
                </c:pt>
                <c:pt idx="76">
                  <c:v>21.48</c:v>
                </c:pt>
                <c:pt idx="77">
                  <c:v>19.07</c:v>
                </c:pt>
                <c:pt idx="78">
                  <c:v>29.24</c:v>
                </c:pt>
                <c:pt idx="79">
                  <c:v>25.91</c:v>
                </c:pt>
                <c:pt idx="80">
                  <c:v>21.14</c:v>
                </c:pt>
                <c:pt idx="81">
                  <c:v>17.920000000000002</c:v>
                </c:pt>
                <c:pt idx="82">
                  <c:v>18.04</c:v>
                </c:pt>
                <c:pt idx="83">
                  <c:v>17.78</c:v>
                </c:pt>
                <c:pt idx="84">
                  <c:v>15.9</c:v>
                </c:pt>
                <c:pt idx="85">
                  <c:v>16.149999999999999</c:v>
                </c:pt>
                <c:pt idx="86">
                  <c:v>16.690000000000001</c:v>
                </c:pt>
                <c:pt idx="87">
                  <c:v>15.94</c:v>
                </c:pt>
                <c:pt idx="88">
                  <c:v>13.86</c:v>
                </c:pt>
                <c:pt idx="89">
                  <c:v>12.44</c:v>
                </c:pt>
                <c:pt idx="90">
                  <c:v>11.4</c:v>
                </c:pt>
                <c:pt idx="91">
                  <c:v>11.73</c:v>
                </c:pt>
                <c:pt idx="92">
                  <c:v>12.01</c:v>
                </c:pt>
                <c:pt idx="93">
                  <c:v>11.52</c:v>
                </c:pt>
                <c:pt idx="94">
                  <c:v>9.57</c:v>
                </c:pt>
                <c:pt idx="95">
                  <c:v>11.34</c:v>
                </c:pt>
                <c:pt idx="96">
                  <c:v>10.7</c:v>
                </c:pt>
                <c:pt idx="97">
                  <c:v>10.34</c:v>
                </c:pt>
                <c:pt idx="98">
                  <c:v>9.1</c:v>
                </c:pt>
                <c:pt idx="99">
                  <c:v>7.97</c:v>
                </c:pt>
                <c:pt idx="100">
                  <c:v>7.83</c:v>
                </c:pt>
                <c:pt idx="101">
                  <c:v>6.24</c:v>
                </c:pt>
                <c:pt idx="102">
                  <c:v>6.46</c:v>
                </c:pt>
                <c:pt idx="103">
                  <c:v>6.02</c:v>
                </c:pt>
                <c:pt idx="104">
                  <c:v>5.49</c:v>
                </c:pt>
                <c:pt idx="105">
                  <c:v>4.84</c:v>
                </c:pt>
                <c:pt idx="106">
                  <c:v>4.57</c:v>
                </c:pt>
                <c:pt idx="107">
                  <c:v>4.5599999999999996</c:v>
                </c:pt>
                <c:pt idx="108">
                  <c:v>4.5199999999999996</c:v>
                </c:pt>
                <c:pt idx="109">
                  <c:v>4.8899999999999997</c:v>
                </c:pt>
                <c:pt idx="110">
                  <c:v>5.33</c:v>
                </c:pt>
                <c:pt idx="111">
                  <c:v>5.22</c:v>
                </c:pt>
                <c:pt idx="112">
                  <c:v>5.5</c:v>
                </c:pt>
                <c:pt idx="113">
                  <c:v>5.87</c:v>
                </c:pt>
                <c:pt idx="114">
                  <c:v>5.7</c:v>
                </c:pt>
                <c:pt idx="115">
                  <c:v>5.6</c:v>
                </c:pt>
                <c:pt idx="116">
                  <c:v>5.08</c:v>
                </c:pt>
                <c:pt idx="117">
                  <c:v>5.09</c:v>
                </c:pt>
                <c:pt idx="118">
                  <c:v>4.93</c:v>
                </c:pt>
                <c:pt idx="119">
                  <c:v>4.88</c:v>
                </c:pt>
                <c:pt idx="120">
                  <c:v>4.87</c:v>
                </c:pt>
                <c:pt idx="121">
                  <c:v>5.15</c:v>
                </c:pt>
                <c:pt idx="122">
                  <c:v>5.17</c:v>
                </c:pt>
                <c:pt idx="123">
                  <c:v>4.74</c:v>
                </c:pt>
                <c:pt idx="124">
                  <c:v>4.54</c:v>
                </c:pt>
                <c:pt idx="125">
                  <c:v>4.42</c:v>
                </c:pt>
                <c:pt idx="126">
                  <c:v>4.3600000000000003</c:v>
                </c:pt>
                <c:pt idx="127">
                  <c:v>4.4000000000000004</c:v>
                </c:pt>
                <c:pt idx="128">
                  <c:v>4.53</c:v>
                </c:pt>
                <c:pt idx="129">
                  <c:v>4.43</c:v>
                </c:pt>
                <c:pt idx="130">
                  <c:v>4.58</c:v>
                </c:pt>
                <c:pt idx="131">
                  <c:v>4.5599999999999996</c:v>
                </c:pt>
                <c:pt idx="132">
                  <c:v>4.62</c:v>
                </c:pt>
                <c:pt idx="133">
                  <c:v>4.79</c:v>
                </c:pt>
                <c:pt idx="134">
                  <c:v>4.8</c:v>
                </c:pt>
                <c:pt idx="135">
                  <c:v>4.51</c:v>
                </c:pt>
                <c:pt idx="136">
                  <c:v>4.4000000000000004</c:v>
                </c:pt>
                <c:pt idx="137">
                  <c:v>4.2</c:v>
                </c:pt>
                <c:pt idx="138">
                  <c:v>4.3</c:v>
                </c:pt>
                <c:pt idx="139">
                  <c:v>4.28</c:v>
                </c:pt>
                <c:pt idx="140">
                  <c:v>4.04</c:v>
                </c:pt>
                <c:pt idx="141">
                  <c:v>3.98</c:v>
                </c:pt>
                <c:pt idx="142">
                  <c:v>4.08</c:v>
                </c:pt>
                <c:pt idx="143">
                  <c:v>4.0599999999999996</c:v>
                </c:pt>
                <c:pt idx="144">
                  <c:v>4.1900000000000004</c:v>
                </c:pt>
                <c:pt idx="145">
                  <c:v>4.33</c:v>
                </c:pt>
                <c:pt idx="146">
                  <c:v>4.3099999999999996</c:v>
                </c:pt>
                <c:pt idx="147">
                  <c:v>4.3</c:v>
                </c:pt>
                <c:pt idx="148">
                  <c:v>4.2300000000000004</c:v>
                </c:pt>
                <c:pt idx="149">
                  <c:v>3.95</c:v>
                </c:pt>
                <c:pt idx="150">
                  <c:v>3.77</c:v>
                </c:pt>
                <c:pt idx="151">
                  <c:v>3.6</c:v>
                </c:pt>
                <c:pt idx="152">
                  <c:v>3.57</c:v>
                </c:pt>
                <c:pt idx="153">
                  <c:v>3.67</c:v>
                </c:pt>
                <c:pt idx="154">
                  <c:v>3.45</c:v>
                </c:pt>
                <c:pt idx="155">
                  <c:v>3.3</c:v>
                </c:pt>
                <c:pt idx="156">
                  <c:v>3.47</c:v>
                </c:pt>
                <c:pt idx="157">
                  <c:v>3.46</c:v>
                </c:pt>
                <c:pt idx="158">
                  <c:v>3.44</c:v>
                </c:pt>
                <c:pt idx="159">
                  <c:v>3.6</c:v>
                </c:pt>
                <c:pt idx="160">
                  <c:v>3.76</c:v>
                </c:pt>
                <c:pt idx="161">
                  <c:v>3.92</c:v>
                </c:pt>
                <c:pt idx="162">
                  <c:v>3.69</c:v>
                </c:pt>
                <c:pt idx="163">
                  <c:v>3.69</c:v>
                </c:pt>
                <c:pt idx="164">
                  <c:v>3.77</c:v>
                </c:pt>
                <c:pt idx="165">
                  <c:v>3.97</c:v>
                </c:pt>
                <c:pt idx="166">
                  <c:v>4.1100000000000003</c:v>
                </c:pt>
                <c:pt idx="167">
                  <c:v>4.22</c:v>
                </c:pt>
                <c:pt idx="168">
                  <c:v>4.28</c:v>
                </c:pt>
                <c:pt idx="169">
                  <c:v>4.4400000000000004</c:v>
                </c:pt>
                <c:pt idx="170">
                  <c:v>4.55</c:v>
                </c:pt>
                <c:pt idx="171">
                  <c:v>4.49</c:v>
                </c:pt>
                <c:pt idx="172">
                  <c:v>4.3499999999999996</c:v>
                </c:pt>
                <c:pt idx="173">
                  <c:v>4.17</c:v>
                </c:pt>
                <c:pt idx="174">
                  <c:v>4.3499999999999996</c:v>
                </c:pt>
                <c:pt idx="175">
                  <c:v>4.37</c:v>
                </c:pt>
                <c:pt idx="176">
                  <c:v>4.45</c:v>
                </c:pt>
                <c:pt idx="177">
                  <c:v>4.51</c:v>
                </c:pt>
                <c:pt idx="178">
                  <c:v>4.38</c:v>
                </c:pt>
                <c:pt idx="179">
                  <c:v>4.32</c:v>
                </c:pt>
                <c:pt idx="180">
                  <c:v>4.29</c:v>
                </c:pt>
                <c:pt idx="181">
                  <c:v>4.12</c:v>
                </c:pt>
                <c:pt idx="182">
                  <c:v>3.81</c:v>
                </c:pt>
                <c:pt idx="183">
                  <c:v>4.0199999999999996</c:v>
                </c:pt>
                <c:pt idx="184">
                  <c:v>4.38</c:v>
                </c:pt>
                <c:pt idx="185">
                  <c:v>4.26</c:v>
                </c:pt>
                <c:pt idx="186">
                  <c:v>4.24</c:v>
                </c:pt>
                <c:pt idx="187">
                  <c:v>4.43</c:v>
                </c:pt>
                <c:pt idx="188">
                  <c:v>4.58</c:v>
                </c:pt>
                <c:pt idx="189">
                  <c:v>4.76</c:v>
                </c:pt>
                <c:pt idx="190">
                  <c:v>4.79</c:v>
                </c:pt>
                <c:pt idx="191">
                  <c:v>4.7300000000000004</c:v>
                </c:pt>
                <c:pt idx="192">
                  <c:v>4.95</c:v>
                </c:pt>
                <c:pt idx="193">
                  <c:v>5.21</c:v>
                </c:pt>
                <c:pt idx="194">
                  <c:v>5.37</c:v>
                </c:pt>
                <c:pt idx="195">
                  <c:v>5.52</c:v>
                </c:pt>
                <c:pt idx="196">
                  <c:v>5.51</c:v>
                </c:pt>
                <c:pt idx="197">
                  <c:v>5.5</c:v>
                </c:pt>
                <c:pt idx="198">
                  <c:v>5.31</c:v>
                </c:pt>
                <c:pt idx="199">
                  <c:v>5.24</c:v>
                </c:pt>
                <c:pt idx="200">
                  <c:v>5.13</c:v>
                </c:pt>
                <c:pt idx="201">
                  <c:v>4.9000000000000004</c:v>
                </c:pt>
                <c:pt idx="202">
                  <c:v>5.07</c:v>
                </c:pt>
                <c:pt idx="203">
                  <c:v>5.31</c:v>
                </c:pt>
                <c:pt idx="204">
                  <c:v>5.33</c:v>
                </c:pt>
                <c:pt idx="205">
                  <c:v>5.51</c:v>
                </c:pt>
                <c:pt idx="206">
                  <c:v>5.48</c:v>
                </c:pt>
                <c:pt idx="207">
                  <c:v>5.54</c:v>
                </c:pt>
                <c:pt idx="208">
                  <c:v>5.39</c:v>
                </c:pt>
                <c:pt idx="209">
                  <c:v>5.28</c:v>
                </c:pt>
                <c:pt idx="210">
                  <c:v>5.35</c:v>
                </c:pt>
                <c:pt idx="211">
                  <c:v>5.35</c:v>
                </c:pt>
                <c:pt idx="212">
                  <c:v>5.54</c:v>
                </c:pt>
                <c:pt idx="213">
                  <c:v>5.87</c:v>
                </c:pt>
                <c:pt idx="214">
                  <c:v>5.97</c:v>
                </c:pt>
                <c:pt idx="215">
                  <c:v>6.05</c:v>
                </c:pt>
                <c:pt idx="216">
                  <c:v>6.04</c:v>
                </c:pt>
                <c:pt idx="217">
                  <c:v>6.08</c:v>
                </c:pt>
                <c:pt idx="218">
                  <c:v>6.06</c:v>
                </c:pt>
                <c:pt idx="219">
                  <c:v>6.18</c:v>
                </c:pt>
                <c:pt idx="220">
                  <c:v>6.09</c:v>
                </c:pt>
                <c:pt idx="221">
                  <c:v>6.24</c:v>
                </c:pt>
                <c:pt idx="222">
                  <c:v>6.48</c:v>
                </c:pt>
                <c:pt idx="223">
                  <c:v>6.6</c:v>
                </c:pt>
              </c:numCache>
            </c:numRef>
          </c:val>
          <c:smooth val="0"/>
          <c:extLst>
            <c:ext xmlns:c16="http://schemas.microsoft.com/office/drawing/2014/chart" uri="{C3380CC4-5D6E-409C-BE32-E72D297353CC}">
              <c16:uniqueId val="{00000006-E765-4C20-8431-542026E1F106}"/>
            </c:ext>
          </c:extLst>
        </c:ser>
        <c:ser>
          <c:idx val="7"/>
          <c:order val="7"/>
          <c:tx>
            <c:strRef>
              <c:f>data!$I$3</c:f>
              <c:strCache>
                <c:ptCount val="1"/>
                <c:pt idx="0">
                  <c:v>Ireland</c:v>
                </c:pt>
              </c:strCache>
            </c:strRef>
          </c:tx>
          <c:spPr>
            <a:ln w="28575" cap="rnd">
              <a:solidFill>
                <a:schemeClr val="accent2">
                  <a:lumMod val="60000"/>
                </a:schemeClr>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data!$I$4:$I$227</c:f>
              <c:numCache>
                <c:formatCode>General</c:formatCode>
                <c:ptCount val="224"/>
                <c:pt idx="0">
                  <c:v>0.86</c:v>
                </c:pt>
                <c:pt idx="1">
                  <c:v>0.83</c:v>
                </c:pt>
                <c:pt idx="2">
                  <c:v>0.92</c:v>
                </c:pt>
                <c:pt idx="3">
                  <c:v>0.98</c:v>
                </c:pt>
                <c:pt idx="4">
                  <c:v>0.94</c:v>
                </c:pt>
                <c:pt idx="5">
                  <c:v>1.01</c:v>
                </c:pt>
                <c:pt idx="6">
                  <c:v>1.1299999999999999</c:v>
                </c:pt>
                <c:pt idx="7">
                  <c:v>0.91</c:v>
                </c:pt>
                <c:pt idx="8">
                  <c:v>0.54</c:v>
                </c:pt>
                <c:pt idx="9">
                  <c:v>0.57999999999999996</c:v>
                </c:pt>
                <c:pt idx="10">
                  <c:v>0.66</c:v>
                </c:pt>
                <c:pt idx="11">
                  <c:v>0.7</c:v>
                </c:pt>
                <c:pt idx="12">
                  <c:v>0.73</c:v>
                </c:pt>
                <c:pt idx="13">
                  <c:v>0.87</c:v>
                </c:pt>
                <c:pt idx="14">
                  <c:v>0.7</c:v>
                </c:pt>
                <c:pt idx="15">
                  <c:v>0.83</c:v>
                </c:pt>
                <c:pt idx="16">
                  <c:v>0.91</c:v>
                </c:pt>
                <c:pt idx="17">
                  <c:v>1.05</c:v>
                </c:pt>
                <c:pt idx="18">
                  <c:v>1.06</c:v>
                </c:pt>
                <c:pt idx="19">
                  <c:v>0.99</c:v>
                </c:pt>
                <c:pt idx="20">
                  <c:v>0.84</c:v>
                </c:pt>
                <c:pt idx="21">
                  <c:v>0.85</c:v>
                </c:pt>
                <c:pt idx="22">
                  <c:v>0.5</c:v>
                </c:pt>
                <c:pt idx="23">
                  <c:v>0.42</c:v>
                </c:pt>
                <c:pt idx="24">
                  <c:v>0.4</c:v>
                </c:pt>
                <c:pt idx="25">
                  <c:v>0.47</c:v>
                </c:pt>
                <c:pt idx="26">
                  <c:v>0.76</c:v>
                </c:pt>
                <c:pt idx="27">
                  <c:v>0.84</c:v>
                </c:pt>
                <c:pt idx="28">
                  <c:v>0.86</c:v>
                </c:pt>
                <c:pt idx="29">
                  <c:v>0.85</c:v>
                </c:pt>
                <c:pt idx="30">
                  <c:v>0.99</c:v>
                </c:pt>
                <c:pt idx="31">
                  <c:v>1.05</c:v>
                </c:pt>
                <c:pt idx="32">
                  <c:v>1.1100000000000001</c:v>
                </c:pt>
                <c:pt idx="33">
                  <c:v>1.1000000000000001</c:v>
                </c:pt>
                <c:pt idx="34">
                  <c:v>1.1399999999999999</c:v>
                </c:pt>
                <c:pt idx="35">
                  <c:v>1.31</c:v>
                </c:pt>
                <c:pt idx="36">
                  <c:v>1.29</c:v>
                </c:pt>
                <c:pt idx="37">
                  <c:v>1.47</c:v>
                </c:pt>
                <c:pt idx="38">
                  <c:v>1.65</c:v>
                </c:pt>
                <c:pt idx="39">
                  <c:v>1.25</c:v>
                </c:pt>
                <c:pt idx="40">
                  <c:v>0.73</c:v>
                </c:pt>
                <c:pt idx="41">
                  <c:v>0.8</c:v>
                </c:pt>
                <c:pt idx="42">
                  <c:v>1.1200000000000001</c:v>
                </c:pt>
                <c:pt idx="43">
                  <c:v>1.22</c:v>
                </c:pt>
                <c:pt idx="44">
                  <c:v>1.31</c:v>
                </c:pt>
                <c:pt idx="45">
                  <c:v>1.58</c:v>
                </c:pt>
                <c:pt idx="46">
                  <c:v>1.74</c:v>
                </c:pt>
                <c:pt idx="47">
                  <c:v>1.75</c:v>
                </c:pt>
                <c:pt idx="48">
                  <c:v>2.02</c:v>
                </c:pt>
                <c:pt idx="49">
                  <c:v>2.2799999999999998</c:v>
                </c:pt>
                <c:pt idx="50">
                  <c:v>2.44</c:v>
                </c:pt>
                <c:pt idx="51">
                  <c:v>2.71</c:v>
                </c:pt>
                <c:pt idx="52">
                  <c:v>2.9</c:v>
                </c:pt>
                <c:pt idx="53">
                  <c:v>3.05</c:v>
                </c:pt>
                <c:pt idx="54">
                  <c:v>3.24</c:v>
                </c:pt>
                <c:pt idx="55">
                  <c:v>3.39</c:v>
                </c:pt>
                <c:pt idx="56">
                  <c:v>3.48</c:v>
                </c:pt>
                <c:pt idx="57">
                  <c:v>3.53</c:v>
                </c:pt>
                <c:pt idx="58">
                  <c:v>3.65</c:v>
                </c:pt>
                <c:pt idx="59">
                  <c:v>3.95</c:v>
                </c:pt>
                <c:pt idx="60">
                  <c:v>3.92</c:v>
                </c:pt>
                <c:pt idx="61">
                  <c:v>3.88</c:v>
                </c:pt>
                <c:pt idx="62">
                  <c:v>4.0199999999999996</c:v>
                </c:pt>
                <c:pt idx="63">
                  <c:v>3.48</c:v>
                </c:pt>
                <c:pt idx="64">
                  <c:v>3.78</c:v>
                </c:pt>
                <c:pt idx="65">
                  <c:v>3.83</c:v>
                </c:pt>
                <c:pt idx="66">
                  <c:v>3.78</c:v>
                </c:pt>
                <c:pt idx="67">
                  <c:v>4.18</c:v>
                </c:pt>
                <c:pt idx="68">
                  <c:v>4.67</c:v>
                </c:pt>
                <c:pt idx="69">
                  <c:v>4.59</c:v>
                </c:pt>
                <c:pt idx="70">
                  <c:v>4.7699999999999996</c:v>
                </c:pt>
                <c:pt idx="71">
                  <c:v>5.28</c:v>
                </c:pt>
                <c:pt idx="72">
                  <c:v>5.91</c:v>
                </c:pt>
                <c:pt idx="73">
                  <c:v>6.12</c:v>
                </c:pt>
                <c:pt idx="74">
                  <c:v>7.09</c:v>
                </c:pt>
                <c:pt idx="75">
                  <c:v>7.12</c:v>
                </c:pt>
                <c:pt idx="76">
                  <c:v>6.88</c:v>
                </c:pt>
                <c:pt idx="77">
                  <c:v>6.9</c:v>
                </c:pt>
                <c:pt idx="78">
                  <c:v>7.02</c:v>
                </c:pt>
                <c:pt idx="79">
                  <c:v>7.71</c:v>
                </c:pt>
                <c:pt idx="80">
                  <c:v>8.6999999999999993</c:v>
                </c:pt>
                <c:pt idx="81">
                  <c:v>8.51</c:v>
                </c:pt>
                <c:pt idx="82">
                  <c:v>8.1</c:v>
                </c:pt>
                <c:pt idx="83">
                  <c:v>8.51</c:v>
                </c:pt>
                <c:pt idx="84">
                  <c:v>9.57</c:v>
                </c:pt>
                <c:pt idx="85">
                  <c:v>12.45</c:v>
                </c:pt>
                <c:pt idx="86">
                  <c:v>11.43</c:v>
                </c:pt>
                <c:pt idx="87">
                  <c:v>10.64</c:v>
                </c:pt>
                <c:pt idx="88">
                  <c:v>9.7899999999999991</c:v>
                </c:pt>
                <c:pt idx="89">
                  <c:v>9.67</c:v>
                </c:pt>
                <c:pt idx="90">
                  <c:v>9.1</c:v>
                </c:pt>
                <c:pt idx="91">
                  <c:v>8.75</c:v>
                </c:pt>
                <c:pt idx="92">
                  <c:v>8.4499999999999993</c:v>
                </c:pt>
                <c:pt idx="93">
                  <c:v>8.2200000000000006</c:v>
                </c:pt>
                <c:pt idx="94">
                  <c:v>6.42</c:v>
                </c:pt>
                <c:pt idx="95">
                  <c:v>6.14</c:v>
                </c:pt>
                <c:pt idx="96">
                  <c:v>5.3</c:v>
                </c:pt>
                <c:pt idx="97">
                  <c:v>5.32</c:v>
                </c:pt>
                <c:pt idx="98">
                  <c:v>5.31</c:v>
                </c:pt>
                <c:pt idx="99">
                  <c:v>4.8600000000000003</c:v>
                </c:pt>
                <c:pt idx="100">
                  <c:v>4.76</c:v>
                </c:pt>
                <c:pt idx="101">
                  <c:v>4.53</c:v>
                </c:pt>
                <c:pt idx="102">
                  <c:v>4.7300000000000004</c:v>
                </c:pt>
                <c:pt idx="103">
                  <c:v>4.83</c:v>
                </c:pt>
                <c:pt idx="104">
                  <c:v>4.88</c:v>
                </c:pt>
                <c:pt idx="105">
                  <c:v>4.82</c:v>
                </c:pt>
                <c:pt idx="106">
                  <c:v>4.7699999999999996</c:v>
                </c:pt>
                <c:pt idx="107">
                  <c:v>4.91</c:v>
                </c:pt>
                <c:pt idx="108">
                  <c:v>4.92</c:v>
                </c:pt>
                <c:pt idx="109">
                  <c:v>5.45</c:v>
                </c:pt>
                <c:pt idx="110">
                  <c:v>5.73</c:v>
                </c:pt>
                <c:pt idx="111">
                  <c:v>5.27</c:v>
                </c:pt>
                <c:pt idx="112">
                  <c:v>5.34</c:v>
                </c:pt>
                <c:pt idx="113">
                  <c:v>5.76</c:v>
                </c:pt>
                <c:pt idx="114">
                  <c:v>5.65</c:v>
                </c:pt>
                <c:pt idx="115">
                  <c:v>5.2</c:v>
                </c:pt>
                <c:pt idx="116">
                  <c:v>4.57</c:v>
                </c:pt>
                <c:pt idx="117">
                  <c:v>4.5599999999999996</c:v>
                </c:pt>
                <c:pt idx="118">
                  <c:v>4.55</c:v>
                </c:pt>
                <c:pt idx="119">
                  <c:v>4.5599999999999996</c:v>
                </c:pt>
                <c:pt idx="120">
                  <c:v>4.59</c:v>
                </c:pt>
                <c:pt idx="121">
                  <c:v>4.92</c:v>
                </c:pt>
                <c:pt idx="122">
                  <c:v>4.91</c:v>
                </c:pt>
                <c:pt idx="123">
                  <c:v>4.58</c:v>
                </c:pt>
                <c:pt idx="124">
                  <c:v>4.4400000000000004</c:v>
                </c:pt>
                <c:pt idx="125">
                  <c:v>4.17</c:v>
                </c:pt>
                <c:pt idx="126">
                  <c:v>4.21</c:v>
                </c:pt>
                <c:pt idx="127">
                  <c:v>4.25</c:v>
                </c:pt>
                <c:pt idx="128">
                  <c:v>4.45</c:v>
                </c:pt>
                <c:pt idx="129">
                  <c:v>4.3099999999999996</c:v>
                </c:pt>
                <c:pt idx="130">
                  <c:v>4.3899999999999997</c:v>
                </c:pt>
                <c:pt idx="131">
                  <c:v>4.32</c:v>
                </c:pt>
                <c:pt idx="132">
                  <c:v>4.4000000000000004</c:v>
                </c:pt>
                <c:pt idx="133">
                  <c:v>4.59</c:v>
                </c:pt>
                <c:pt idx="134">
                  <c:v>4.62</c:v>
                </c:pt>
                <c:pt idx="135">
                  <c:v>4.32</c:v>
                </c:pt>
                <c:pt idx="136">
                  <c:v>4.1900000000000004</c:v>
                </c:pt>
                <c:pt idx="137">
                  <c:v>3.97</c:v>
                </c:pt>
                <c:pt idx="138">
                  <c:v>4.07</c:v>
                </c:pt>
                <c:pt idx="139">
                  <c:v>4.04</c:v>
                </c:pt>
                <c:pt idx="140">
                  <c:v>3.76</c:v>
                </c:pt>
                <c:pt idx="141">
                  <c:v>3.72</c:v>
                </c:pt>
                <c:pt idx="142">
                  <c:v>3.78</c:v>
                </c:pt>
                <c:pt idx="143">
                  <c:v>3.76</c:v>
                </c:pt>
                <c:pt idx="144">
                  <c:v>3.88</c:v>
                </c:pt>
                <c:pt idx="145">
                  <c:v>4</c:v>
                </c:pt>
                <c:pt idx="146">
                  <c:v>3.98</c:v>
                </c:pt>
                <c:pt idx="147">
                  <c:v>3.96</c:v>
                </c:pt>
                <c:pt idx="148">
                  <c:v>3.9</c:v>
                </c:pt>
                <c:pt idx="149">
                  <c:v>3.65</c:v>
                </c:pt>
                <c:pt idx="150">
                  <c:v>3.47</c:v>
                </c:pt>
                <c:pt idx="151">
                  <c:v>3.32</c:v>
                </c:pt>
                <c:pt idx="152">
                  <c:v>3.36</c:v>
                </c:pt>
                <c:pt idx="153">
                  <c:v>3.4</c:v>
                </c:pt>
                <c:pt idx="154">
                  <c:v>3.19</c:v>
                </c:pt>
                <c:pt idx="155">
                  <c:v>3.04</c:v>
                </c:pt>
                <c:pt idx="156">
                  <c:v>3.22</c:v>
                </c:pt>
                <c:pt idx="157">
                  <c:v>3.18</c:v>
                </c:pt>
                <c:pt idx="158">
                  <c:v>3.13</c:v>
                </c:pt>
                <c:pt idx="159">
                  <c:v>3.28</c:v>
                </c:pt>
                <c:pt idx="160">
                  <c:v>3.46</c:v>
                </c:pt>
                <c:pt idx="161">
                  <c:v>3.66</c:v>
                </c:pt>
                <c:pt idx="162">
                  <c:v>3.51</c:v>
                </c:pt>
                <c:pt idx="163">
                  <c:v>3.52</c:v>
                </c:pt>
                <c:pt idx="164">
                  <c:v>3.62</c:v>
                </c:pt>
                <c:pt idx="165">
                  <c:v>3.8</c:v>
                </c:pt>
                <c:pt idx="166">
                  <c:v>3.92</c:v>
                </c:pt>
                <c:pt idx="167">
                  <c:v>4.04</c:v>
                </c:pt>
                <c:pt idx="168">
                  <c:v>4.09</c:v>
                </c:pt>
                <c:pt idx="169">
                  <c:v>4.2699999999999996</c:v>
                </c:pt>
                <c:pt idx="170">
                  <c:v>4.38</c:v>
                </c:pt>
                <c:pt idx="171">
                  <c:v>4.3099999999999996</c:v>
                </c:pt>
                <c:pt idx="172">
                  <c:v>4.17</c:v>
                </c:pt>
                <c:pt idx="173">
                  <c:v>3.97</c:v>
                </c:pt>
                <c:pt idx="174">
                  <c:v>4.1500000000000004</c:v>
                </c:pt>
                <c:pt idx="175">
                  <c:v>4.2</c:v>
                </c:pt>
                <c:pt idx="176">
                  <c:v>4.3600000000000003</c:v>
                </c:pt>
                <c:pt idx="177">
                  <c:v>4.3899999999999997</c:v>
                </c:pt>
                <c:pt idx="178">
                  <c:v>4.25</c:v>
                </c:pt>
                <c:pt idx="179">
                  <c:v>4.1900000000000004</c:v>
                </c:pt>
                <c:pt idx="180">
                  <c:v>4.17</c:v>
                </c:pt>
                <c:pt idx="181">
                  <c:v>4.01</c:v>
                </c:pt>
                <c:pt idx="182">
                  <c:v>3.69</c:v>
                </c:pt>
                <c:pt idx="183">
                  <c:v>3.89</c:v>
                </c:pt>
                <c:pt idx="184">
                  <c:v>4.22</c:v>
                </c:pt>
                <c:pt idx="185">
                  <c:v>4.09</c:v>
                </c:pt>
                <c:pt idx="186">
                  <c:v>4.0599999999999996</c:v>
                </c:pt>
                <c:pt idx="187">
                  <c:v>4.2699999999999996</c:v>
                </c:pt>
                <c:pt idx="188">
                  <c:v>4.46</c:v>
                </c:pt>
                <c:pt idx="189">
                  <c:v>4.67</c:v>
                </c:pt>
                <c:pt idx="190">
                  <c:v>4.7</c:v>
                </c:pt>
                <c:pt idx="191">
                  <c:v>4.63</c:v>
                </c:pt>
                <c:pt idx="192">
                  <c:v>4.84</c:v>
                </c:pt>
                <c:pt idx="193">
                  <c:v>5.1100000000000003</c:v>
                </c:pt>
                <c:pt idx="194">
                  <c:v>5.25</c:v>
                </c:pt>
                <c:pt idx="195">
                  <c:v>5.41</c:v>
                </c:pt>
                <c:pt idx="196">
                  <c:v>5.41</c:v>
                </c:pt>
                <c:pt idx="197">
                  <c:v>5.42</c:v>
                </c:pt>
                <c:pt idx="198">
                  <c:v>5.2</c:v>
                </c:pt>
                <c:pt idx="199">
                  <c:v>5.0199999999999996</c:v>
                </c:pt>
                <c:pt idx="200">
                  <c:v>4.93</c:v>
                </c:pt>
                <c:pt idx="201">
                  <c:v>4.63</c:v>
                </c:pt>
                <c:pt idx="202">
                  <c:v>4.7699999999999996</c:v>
                </c:pt>
                <c:pt idx="203">
                  <c:v>5.01</c:v>
                </c:pt>
                <c:pt idx="204">
                  <c:v>5.01</c:v>
                </c:pt>
                <c:pt idx="205">
                  <c:v>5.23</c:v>
                </c:pt>
                <c:pt idx="206">
                  <c:v>5.23</c:v>
                </c:pt>
                <c:pt idx="207">
                  <c:v>5.28</c:v>
                </c:pt>
                <c:pt idx="208">
                  <c:v>5.09</c:v>
                </c:pt>
                <c:pt idx="209">
                  <c:v>4.92</c:v>
                </c:pt>
                <c:pt idx="210">
                  <c:v>5.01</c:v>
                </c:pt>
                <c:pt idx="211">
                  <c:v>5.03</c:v>
                </c:pt>
                <c:pt idx="212">
                  <c:v>5.14</c:v>
                </c:pt>
                <c:pt idx="213">
                  <c:v>5.4</c:v>
                </c:pt>
                <c:pt idx="214">
                  <c:v>5.46</c:v>
                </c:pt>
                <c:pt idx="215">
                  <c:v>5.52</c:v>
                </c:pt>
                <c:pt idx="216">
                  <c:v>5.47</c:v>
                </c:pt>
                <c:pt idx="217">
                  <c:v>5.52</c:v>
                </c:pt>
                <c:pt idx="218">
                  <c:v>5.43</c:v>
                </c:pt>
                <c:pt idx="219">
                  <c:v>5.61</c:v>
                </c:pt>
                <c:pt idx="220">
                  <c:v>5.46</c:v>
                </c:pt>
                <c:pt idx="221">
                  <c:v>5.58</c:v>
                </c:pt>
                <c:pt idx="222">
                  <c:v>5.76</c:v>
                </c:pt>
                <c:pt idx="223">
                  <c:v>5.8</c:v>
                </c:pt>
              </c:numCache>
            </c:numRef>
          </c:val>
          <c:smooth val="0"/>
          <c:extLst>
            <c:ext xmlns:c16="http://schemas.microsoft.com/office/drawing/2014/chart" uri="{C3380CC4-5D6E-409C-BE32-E72D297353CC}">
              <c16:uniqueId val="{00000007-E765-4C20-8431-542026E1F106}"/>
            </c:ext>
          </c:extLst>
        </c:ser>
        <c:ser>
          <c:idx val="8"/>
          <c:order val="8"/>
          <c:tx>
            <c:strRef>
              <c:f>data!$J$3</c:f>
              <c:strCache>
                <c:ptCount val="1"/>
                <c:pt idx="0">
                  <c:v>Italy</c:v>
                </c:pt>
              </c:strCache>
            </c:strRef>
          </c:tx>
          <c:spPr>
            <a:ln w="28575" cap="rnd">
              <a:solidFill>
                <a:schemeClr val="accent3">
                  <a:lumMod val="60000"/>
                </a:schemeClr>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data!$J$4:$J$227</c:f>
              <c:numCache>
                <c:formatCode>General</c:formatCode>
                <c:ptCount val="224"/>
                <c:pt idx="0">
                  <c:v>3.16</c:v>
                </c:pt>
                <c:pt idx="1">
                  <c:v>2.64</c:v>
                </c:pt>
                <c:pt idx="2">
                  <c:v>2.74</c:v>
                </c:pt>
                <c:pt idx="3">
                  <c:v>2.1800000000000002</c:v>
                </c:pt>
                <c:pt idx="4">
                  <c:v>1.77</c:v>
                </c:pt>
                <c:pt idx="5">
                  <c:v>1.97</c:v>
                </c:pt>
                <c:pt idx="6">
                  <c:v>2.08</c:v>
                </c:pt>
                <c:pt idx="7">
                  <c:v>1.98</c:v>
                </c:pt>
                <c:pt idx="8">
                  <c:v>1.79</c:v>
                </c:pt>
                <c:pt idx="9">
                  <c:v>1.79</c:v>
                </c:pt>
                <c:pt idx="10">
                  <c:v>2.0699999999999998</c:v>
                </c:pt>
                <c:pt idx="11">
                  <c:v>2.11</c:v>
                </c:pt>
                <c:pt idx="12">
                  <c:v>2.11</c:v>
                </c:pt>
                <c:pt idx="13">
                  <c:v>2.23</c:v>
                </c:pt>
                <c:pt idx="14">
                  <c:v>2.0499999999999998</c:v>
                </c:pt>
                <c:pt idx="15">
                  <c:v>2.19</c:v>
                </c:pt>
                <c:pt idx="16">
                  <c:v>2.2599999999999998</c:v>
                </c:pt>
                <c:pt idx="17">
                  <c:v>2.4</c:v>
                </c:pt>
                <c:pt idx="18">
                  <c:v>2.35</c:v>
                </c:pt>
                <c:pt idx="19">
                  <c:v>1.99</c:v>
                </c:pt>
                <c:pt idx="20">
                  <c:v>1.89</c:v>
                </c:pt>
                <c:pt idx="21">
                  <c:v>1.94</c:v>
                </c:pt>
                <c:pt idx="22">
                  <c:v>1.45</c:v>
                </c:pt>
                <c:pt idx="23">
                  <c:v>1.27</c:v>
                </c:pt>
                <c:pt idx="24">
                  <c:v>1.18</c:v>
                </c:pt>
                <c:pt idx="25">
                  <c:v>1.23</c:v>
                </c:pt>
                <c:pt idx="26">
                  <c:v>1.45</c:v>
                </c:pt>
                <c:pt idx="27">
                  <c:v>1.53</c:v>
                </c:pt>
                <c:pt idx="28">
                  <c:v>1.44</c:v>
                </c:pt>
                <c:pt idx="29">
                  <c:v>1.38</c:v>
                </c:pt>
                <c:pt idx="30">
                  <c:v>1.56</c:v>
                </c:pt>
                <c:pt idx="31">
                  <c:v>1.53</c:v>
                </c:pt>
                <c:pt idx="32">
                  <c:v>1.58</c:v>
                </c:pt>
                <c:pt idx="33">
                  <c:v>1.57</c:v>
                </c:pt>
                <c:pt idx="34">
                  <c:v>1.7</c:v>
                </c:pt>
                <c:pt idx="35">
                  <c:v>1.92</c:v>
                </c:pt>
                <c:pt idx="36">
                  <c:v>1.84</c:v>
                </c:pt>
                <c:pt idx="37">
                  <c:v>2.04</c:v>
                </c:pt>
                <c:pt idx="38">
                  <c:v>2.2000000000000002</c:v>
                </c:pt>
                <c:pt idx="39">
                  <c:v>1.81</c:v>
                </c:pt>
                <c:pt idx="40">
                  <c:v>1.36</c:v>
                </c:pt>
                <c:pt idx="41">
                  <c:v>1.29</c:v>
                </c:pt>
                <c:pt idx="42">
                  <c:v>1.56</c:v>
                </c:pt>
                <c:pt idx="43">
                  <c:v>1.7</c:v>
                </c:pt>
                <c:pt idx="44">
                  <c:v>1.99</c:v>
                </c:pt>
                <c:pt idx="45">
                  <c:v>2.29</c:v>
                </c:pt>
                <c:pt idx="46">
                  <c:v>2.42</c:v>
                </c:pt>
                <c:pt idx="47">
                  <c:v>2.4</c:v>
                </c:pt>
                <c:pt idx="48">
                  <c:v>2.63</c:v>
                </c:pt>
                <c:pt idx="49">
                  <c:v>2.79</c:v>
                </c:pt>
                <c:pt idx="50">
                  <c:v>2.92</c:v>
                </c:pt>
                <c:pt idx="51">
                  <c:v>3.12</c:v>
                </c:pt>
                <c:pt idx="52">
                  <c:v>3.23</c:v>
                </c:pt>
                <c:pt idx="53">
                  <c:v>3.4</c:v>
                </c:pt>
                <c:pt idx="54">
                  <c:v>3.65</c:v>
                </c:pt>
                <c:pt idx="55">
                  <c:v>3.87</c:v>
                </c:pt>
                <c:pt idx="56">
                  <c:v>4.1100000000000003</c:v>
                </c:pt>
                <c:pt idx="57">
                  <c:v>4.09</c:v>
                </c:pt>
                <c:pt idx="58">
                  <c:v>4.25</c:v>
                </c:pt>
                <c:pt idx="59">
                  <c:v>4.54</c:v>
                </c:pt>
                <c:pt idx="60">
                  <c:v>4.42</c:v>
                </c:pt>
                <c:pt idx="61">
                  <c:v>4.42</c:v>
                </c:pt>
                <c:pt idx="62">
                  <c:v>4.38</c:v>
                </c:pt>
                <c:pt idx="63">
                  <c:v>3.96</c:v>
                </c:pt>
                <c:pt idx="64">
                  <c:v>4.28</c:v>
                </c:pt>
                <c:pt idx="65">
                  <c:v>4.6399999999999997</c:v>
                </c:pt>
                <c:pt idx="66">
                  <c:v>4.49</c:v>
                </c:pt>
                <c:pt idx="67">
                  <c:v>4.21</c:v>
                </c:pt>
                <c:pt idx="68">
                  <c:v>4.54</c:v>
                </c:pt>
                <c:pt idx="69">
                  <c:v>4.8499999999999996</c:v>
                </c:pt>
                <c:pt idx="70">
                  <c:v>4.95</c:v>
                </c:pt>
                <c:pt idx="71">
                  <c:v>5.25</c:v>
                </c:pt>
                <c:pt idx="72">
                  <c:v>5.82</c:v>
                </c:pt>
                <c:pt idx="73">
                  <c:v>6</c:v>
                </c:pt>
                <c:pt idx="74">
                  <c:v>5.9</c:v>
                </c:pt>
                <c:pt idx="75">
                  <c:v>5.78</c:v>
                </c:pt>
                <c:pt idx="76">
                  <c:v>5.68</c:v>
                </c:pt>
                <c:pt idx="77">
                  <c:v>5.05</c:v>
                </c:pt>
                <c:pt idx="78">
                  <c:v>5.55</c:v>
                </c:pt>
                <c:pt idx="79">
                  <c:v>6.54</c:v>
                </c:pt>
                <c:pt idx="80">
                  <c:v>6.81</c:v>
                </c:pt>
                <c:pt idx="81">
                  <c:v>7.06</c:v>
                </c:pt>
                <c:pt idx="82">
                  <c:v>5.97</c:v>
                </c:pt>
                <c:pt idx="83">
                  <c:v>5.75</c:v>
                </c:pt>
                <c:pt idx="84">
                  <c:v>5.27</c:v>
                </c:pt>
                <c:pt idx="85">
                  <c:v>5.46</c:v>
                </c:pt>
                <c:pt idx="86">
                  <c:v>4.82</c:v>
                </c:pt>
                <c:pt idx="87">
                  <c:v>4.76</c:v>
                </c:pt>
                <c:pt idx="88">
                  <c:v>4.84</c:v>
                </c:pt>
                <c:pt idx="89">
                  <c:v>4.88</c:v>
                </c:pt>
                <c:pt idx="90">
                  <c:v>4.74</c:v>
                </c:pt>
                <c:pt idx="91">
                  <c:v>4.7300000000000004</c:v>
                </c:pt>
                <c:pt idx="92">
                  <c:v>4.5999999999999996</c:v>
                </c:pt>
                <c:pt idx="93">
                  <c:v>4.18</c:v>
                </c:pt>
                <c:pt idx="94">
                  <c:v>3.8</c:v>
                </c:pt>
                <c:pt idx="95">
                  <c:v>3.86</c:v>
                </c:pt>
                <c:pt idx="96">
                  <c:v>3.8</c:v>
                </c:pt>
                <c:pt idx="97">
                  <c:v>4.03</c:v>
                </c:pt>
                <c:pt idx="98">
                  <c:v>4.0999999999999996</c:v>
                </c:pt>
                <c:pt idx="99">
                  <c:v>3.98</c:v>
                </c:pt>
                <c:pt idx="100">
                  <c:v>4</c:v>
                </c:pt>
                <c:pt idx="101">
                  <c:v>3.94</c:v>
                </c:pt>
                <c:pt idx="102">
                  <c:v>4.05</c:v>
                </c:pt>
                <c:pt idx="103">
                  <c:v>4.08</c:v>
                </c:pt>
                <c:pt idx="104">
                  <c:v>4.01</c:v>
                </c:pt>
                <c:pt idx="105">
                  <c:v>4.0599999999999996</c:v>
                </c:pt>
                <c:pt idx="106">
                  <c:v>4.0999999999999996</c:v>
                </c:pt>
                <c:pt idx="107">
                  <c:v>4.09</c:v>
                </c:pt>
                <c:pt idx="108">
                  <c:v>4.12</c:v>
                </c:pt>
                <c:pt idx="109">
                  <c:v>4.37</c:v>
                </c:pt>
                <c:pt idx="110">
                  <c:v>4.6100000000000003</c:v>
                </c:pt>
                <c:pt idx="111">
                  <c:v>4.42</c:v>
                </c:pt>
                <c:pt idx="112">
                  <c:v>4.3600000000000003</c:v>
                </c:pt>
                <c:pt idx="113">
                  <c:v>4.46</c:v>
                </c:pt>
                <c:pt idx="114">
                  <c:v>4.54</c:v>
                </c:pt>
                <c:pt idx="115">
                  <c:v>4.62</c:v>
                </c:pt>
                <c:pt idx="116">
                  <c:v>4.47</c:v>
                </c:pt>
                <c:pt idx="117">
                  <c:v>4.74</c:v>
                </c:pt>
                <c:pt idx="118">
                  <c:v>4.78</c:v>
                </c:pt>
                <c:pt idx="119">
                  <c:v>4.8</c:v>
                </c:pt>
                <c:pt idx="120">
                  <c:v>4.8099999999999996</c:v>
                </c:pt>
                <c:pt idx="121">
                  <c:v>5.09</c:v>
                </c:pt>
                <c:pt idx="122">
                  <c:v>5.1100000000000003</c:v>
                </c:pt>
                <c:pt idx="123">
                  <c:v>4.7</c:v>
                </c:pt>
                <c:pt idx="124">
                  <c:v>4.53</c:v>
                </c:pt>
                <c:pt idx="125">
                  <c:v>4.38</c:v>
                </c:pt>
                <c:pt idx="126">
                  <c:v>4.3499999999999996</c:v>
                </c:pt>
                <c:pt idx="127">
                  <c:v>4.4000000000000004</c:v>
                </c:pt>
                <c:pt idx="128">
                  <c:v>4.54</c:v>
                </c:pt>
                <c:pt idx="129">
                  <c:v>4.45</c:v>
                </c:pt>
                <c:pt idx="130">
                  <c:v>4.59</c:v>
                </c:pt>
                <c:pt idx="131">
                  <c:v>4.57</c:v>
                </c:pt>
                <c:pt idx="132">
                  <c:v>4.58</c:v>
                </c:pt>
                <c:pt idx="133">
                  <c:v>4.76</c:v>
                </c:pt>
                <c:pt idx="134">
                  <c:v>4.7699999999999996</c:v>
                </c:pt>
                <c:pt idx="135">
                  <c:v>4.49</c:v>
                </c:pt>
                <c:pt idx="136">
                  <c:v>4.37</c:v>
                </c:pt>
                <c:pt idx="137">
                  <c:v>4.18</c:v>
                </c:pt>
                <c:pt idx="138">
                  <c:v>4.28</c:v>
                </c:pt>
                <c:pt idx="139">
                  <c:v>4.26</c:v>
                </c:pt>
                <c:pt idx="140">
                  <c:v>4.04</c:v>
                </c:pt>
                <c:pt idx="141">
                  <c:v>3.97</c:v>
                </c:pt>
                <c:pt idx="142">
                  <c:v>4.07</c:v>
                </c:pt>
                <c:pt idx="143">
                  <c:v>4.04</c:v>
                </c:pt>
                <c:pt idx="144">
                  <c:v>4.17</c:v>
                </c:pt>
                <c:pt idx="145">
                  <c:v>4.3099999999999996</c:v>
                </c:pt>
                <c:pt idx="146">
                  <c:v>4.29</c:v>
                </c:pt>
                <c:pt idx="147">
                  <c:v>4.29</c:v>
                </c:pt>
                <c:pt idx="148">
                  <c:v>4.22</c:v>
                </c:pt>
                <c:pt idx="149">
                  <c:v>3.92</c:v>
                </c:pt>
                <c:pt idx="150">
                  <c:v>3.7</c:v>
                </c:pt>
                <c:pt idx="151">
                  <c:v>3.54</c:v>
                </c:pt>
                <c:pt idx="152">
                  <c:v>3.55</c:v>
                </c:pt>
                <c:pt idx="153">
                  <c:v>3.65</c:v>
                </c:pt>
                <c:pt idx="154">
                  <c:v>3.44</c:v>
                </c:pt>
                <c:pt idx="155">
                  <c:v>3.29</c:v>
                </c:pt>
                <c:pt idx="156">
                  <c:v>3.45</c:v>
                </c:pt>
                <c:pt idx="157">
                  <c:v>3.44</c:v>
                </c:pt>
                <c:pt idx="158">
                  <c:v>3.4</c:v>
                </c:pt>
                <c:pt idx="159">
                  <c:v>3.55</c:v>
                </c:pt>
                <c:pt idx="160">
                  <c:v>3.65</c:v>
                </c:pt>
                <c:pt idx="161">
                  <c:v>3.84</c:v>
                </c:pt>
                <c:pt idx="162">
                  <c:v>3.68</c:v>
                </c:pt>
                <c:pt idx="163">
                  <c:v>3.71</c:v>
                </c:pt>
                <c:pt idx="164">
                  <c:v>3.79</c:v>
                </c:pt>
                <c:pt idx="165">
                  <c:v>4</c:v>
                </c:pt>
                <c:pt idx="166">
                  <c:v>4.13</c:v>
                </c:pt>
                <c:pt idx="167">
                  <c:v>4.25</c:v>
                </c:pt>
                <c:pt idx="168">
                  <c:v>4.28</c:v>
                </c:pt>
                <c:pt idx="169">
                  <c:v>4.4400000000000004</c:v>
                </c:pt>
                <c:pt idx="170">
                  <c:v>4.54</c:v>
                </c:pt>
                <c:pt idx="171">
                  <c:v>4.49</c:v>
                </c:pt>
                <c:pt idx="172">
                  <c:v>4.3499999999999996</c:v>
                </c:pt>
                <c:pt idx="173">
                  <c:v>4.17</c:v>
                </c:pt>
                <c:pt idx="174">
                  <c:v>4.34</c:v>
                </c:pt>
                <c:pt idx="175">
                  <c:v>4.32</c:v>
                </c:pt>
                <c:pt idx="176">
                  <c:v>4.46</c:v>
                </c:pt>
                <c:pt idx="177">
                  <c:v>4.51</c:v>
                </c:pt>
                <c:pt idx="178">
                  <c:v>4.38</c:v>
                </c:pt>
                <c:pt idx="179">
                  <c:v>4.3099999999999996</c:v>
                </c:pt>
                <c:pt idx="180">
                  <c:v>4.29</c:v>
                </c:pt>
                <c:pt idx="181">
                  <c:v>4.13</c:v>
                </c:pt>
                <c:pt idx="182">
                  <c:v>3.82</c:v>
                </c:pt>
                <c:pt idx="183">
                  <c:v>4.04</c:v>
                </c:pt>
                <c:pt idx="184">
                  <c:v>4.3099999999999996</c:v>
                </c:pt>
                <c:pt idx="185">
                  <c:v>4.18</c:v>
                </c:pt>
                <c:pt idx="186">
                  <c:v>4.16</c:v>
                </c:pt>
                <c:pt idx="187">
                  <c:v>4.38</c:v>
                </c:pt>
                <c:pt idx="188">
                  <c:v>4.55</c:v>
                </c:pt>
                <c:pt idx="189">
                  <c:v>4.74</c:v>
                </c:pt>
                <c:pt idx="190">
                  <c:v>4.76</c:v>
                </c:pt>
                <c:pt idx="191">
                  <c:v>4.62</c:v>
                </c:pt>
                <c:pt idx="192">
                  <c:v>4.83</c:v>
                </c:pt>
                <c:pt idx="193">
                  <c:v>5.1100000000000003</c:v>
                </c:pt>
                <c:pt idx="194">
                  <c:v>5.25</c:v>
                </c:pt>
                <c:pt idx="195">
                  <c:v>5.41</c:v>
                </c:pt>
                <c:pt idx="196">
                  <c:v>5.4</c:v>
                </c:pt>
                <c:pt idx="197">
                  <c:v>5.41</c:v>
                </c:pt>
                <c:pt idx="198">
                  <c:v>5.2</c:v>
                </c:pt>
                <c:pt idx="199">
                  <c:v>5.14</c:v>
                </c:pt>
                <c:pt idx="200">
                  <c:v>5.05</c:v>
                </c:pt>
                <c:pt idx="201">
                  <c:v>4.8</c:v>
                </c:pt>
                <c:pt idx="202">
                  <c:v>4.96</c:v>
                </c:pt>
                <c:pt idx="203">
                  <c:v>5.2</c:v>
                </c:pt>
                <c:pt idx="204">
                  <c:v>5.21</c:v>
                </c:pt>
                <c:pt idx="205">
                  <c:v>5.42</c:v>
                </c:pt>
                <c:pt idx="206">
                  <c:v>5.4</c:v>
                </c:pt>
                <c:pt idx="207">
                  <c:v>5.45</c:v>
                </c:pt>
                <c:pt idx="208">
                  <c:v>5.28</c:v>
                </c:pt>
                <c:pt idx="209">
                  <c:v>5.13</c:v>
                </c:pt>
                <c:pt idx="210">
                  <c:v>5.18</c:v>
                </c:pt>
                <c:pt idx="211">
                  <c:v>5.18</c:v>
                </c:pt>
                <c:pt idx="212">
                  <c:v>5.3</c:v>
                </c:pt>
                <c:pt idx="213">
                  <c:v>5.55</c:v>
                </c:pt>
                <c:pt idx="214">
                  <c:v>5.58</c:v>
                </c:pt>
                <c:pt idx="215">
                  <c:v>5.63</c:v>
                </c:pt>
                <c:pt idx="216">
                  <c:v>5.56</c:v>
                </c:pt>
                <c:pt idx="217">
                  <c:v>5.59</c:v>
                </c:pt>
                <c:pt idx="218">
                  <c:v>5.51</c:v>
                </c:pt>
                <c:pt idx="219">
                  <c:v>5.67</c:v>
                </c:pt>
                <c:pt idx="220">
                  <c:v>5.47</c:v>
                </c:pt>
                <c:pt idx="221">
                  <c:v>5.58</c:v>
                </c:pt>
                <c:pt idx="222">
                  <c:v>5.73</c:v>
                </c:pt>
                <c:pt idx="223">
                  <c:v>5.75</c:v>
                </c:pt>
              </c:numCache>
            </c:numRef>
          </c:val>
          <c:smooth val="0"/>
          <c:extLst>
            <c:ext xmlns:c16="http://schemas.microsoft.com/office/drawing/2014/chart" uri="{C3380CC4-5D6E-409C-BE32-E72D297353CC}">
              <c16:uniqueId val="{00000008-E765-4C20-8431-542026E1F106}"/>
            </c:ext>
          </c:extLst>
        </c:ser>
        <c:ser>
          <c:idx val="9"/>
          <c:order val="9"/>
          <c:tx>
            <c:strRef>
              <c:f>data!$K$3</c:f>
              <c:strCache>
                <c:ptCount val="1"/>
                <c:pt idx="0">
                  <c:v>Luxembourg</c:v>
                </c:pt>
              </c:strCache>
            </c:strRef>
          </c:tx>
          <c:spPr>
            <a:ln w="28575" cap="rnd">
              <a:solidFill>
                <a:schemeClr val="accent4">
                  <a:lumMod val="60000"/>
                </a:schemeClr>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data!$K$4:$K$227</c:f>
              <c:numCache>
                <c:formatCode>General</c:formatCode>
                <c:ptCount val="224"/>
                <c:pt idx="0">
                  <c:v>0.47</c:v>
                </c:pt>
                <c:pt idx="1">
                  <c:v>0.47</c:v>
                </c:pt>
                <c:pt idx="2">
                  <c:v>0.54</c:v>
                </c:pt>
                <c:pt idx="3">
                  <c:v>0.61</c:v>
                </c:pt>
                <c:pt idx="4">
                  <c:v>0.62</c:v>
                </c:pt>
                <c:pt idx="5">
                  <c:v>0.68</c:v>
                </c:pt>
                <c:pt idx="6">
                  <c:v>0.78</c:v>
                </c:pt>
                <c:pt idx="7">
                  <c:v>0.63</c:v>
                </c:pt>
                <c:pt idx="8">
                  <c:v>0.48</c:v>
                </c:pt>
                <c:pt idx="9">
                  <c:v>0.5</c:v>
                </c:pt>
                <c:pt idx="10">
                  <c:v>0.56999999999999995</c:v>
                </c:pt>
                <c:pt idx="11">
                  <c:v>0.55000000000000004</c:v>
                </c:pt>
                <c:pt idx="12">
                  <c:v>0.56999999999999995</c:v>
                </c:pt>
                <c:pt idx="13">
                  <c:v>0.69</c:v>
                </c:pt>
                <c:pt idx="14">
                  <c:v>0.52</c:v>
                </c:pt>
                <c:pt idx="15">
                  <c:v>0.56999999999999995</c:v>
                </c:pt>
                <c:pt idx="16">
                  <c:v>0.49</c:v>
                </c:pt>
                <c:pt idx="17">
                  <c:v>0.6</c:v>
                </c:pt>
                <c:pt idx="18">
                  <c:v>0.55000000000000004</c:v>
                </c:pt>
                <c:pt idx="19">
                  <c:v>0.43</c:v>
                </c:pt>
                <c:pt idx="20">
                  <c:v>0.39</c:v>
                </c:pt>
                <c:pt idx="21">
                  <c:v>0.28000000000000003</c:v>
                </c:pt>
                <c:pt idx="22">
                  <c:v>7.0000000000000007E-2</c:v>
                </c:pt>
                <c:pt idx="23">
                  <c:v>-0.03</c:v>
                </c:pt>
                <c:pt idx="24">
                  <c:v>-0.05</c:v>
                </c:pt>
                <c:pt idx="25">
                  <c:v>0</c:v>
                </c:pt>
                <c:pt idx="26">
                  <c:v>0.17</c:v>
                </c:pt>
                <c:pt idx="27">
                  <c:v>0.33</c:v>
                </c:pt>
                <c:pt idx="28">
                  <c:v>0.34</c:v>
                </c:pt>
                <c:pt idx="29">
                  <c:v>0.41</c:v>
                </c:pt>
                <c:pt idx="30">
                  <c:v>0.43</c:v>
                </c:pt>
                <c:pt idx="31">
                  <c:v>0.72</c:v>
                </c:pt>
                <c:pt idx="32">
                  <c:v>0.27</c:v>
                </c:pt>
                <c:pt idx="33">
                  <c:v>0.25</c:v>
                </c:pt>
                <c:pt idx="34">
                  <c:v>0.31</c:v>
                </c:pt>
                <c:pt idx="35">
                  <c:v>0.43</c:v>
                </c:pt>
                <c:pt idx="36">
                  <c:v>0.45</c:v>
                </c:pt>
                <c:pt idx="37">
                  <c:v>0.56000000000000005</c:v>
                </c:pt>
                <c:pt idx="38">
                  <c:v>0.65</c:v>
                </c:pt>
                <c:pt idx="39">
                  <c:v>0.42</c:v>
                </c:pt>
                <c:pt idx="40">
                  <c:v>0.06</c:v>
                </c:pt>
                <c:pt idx="41">
                  <c:v>0.16</c:v>
                </c:pt>
                <c:pt idx="42">
                  <c:v>0.4</c:v>
                </c:pt>
                <c:pt idx="43">
                  <c:v>0.47</c:v>
                </c:pt>
                <c:pt idx="44">
                  <c:v>0.65</c:v>
                </c:pt>
                <c:pt idx="45">
                  <c:v>0.75</c:v>
                </c:pt>
                <c:pt idx="46">
                  <c:v>0.87</c:v>
                </c:pt>
                <c:pt idx="47">
                  <c:v>0.98</c:v>
                </c:pt>
                <c:pt idx="48">
                  <c:v>1.08</c:v>
                </c:pt>
                <c:pt idx="49">
                  <c:v>1.26</c:v>
                </c:pt>
                <c:pt idx="50">
                  <c:v>1.44</c:v>
                </c:pt>
                <c:pt idx="51">
                  <c:v>1.57</c:v>
                </c:pt>
                <c:pt idx="52">
                  <c:v>1.71</c:v>
                </c:pt>
                <c:pt idx="53">
                  <c:v>1.8</c:v>
                </c:pt>
                <c:pt idx="54">
                  <c:v>1.87</c:v>
                </c:pt>
                <c:pt idx="55">
                  <c:v>2.06</c:v>
                </c:pt>
                <c:pt idx="56">
                  <c:v>2.1</c:v>
                </c:pt>
                <c:pt idx="57">
                  <c:v>2.0099999999999998</c:v>
                </c:pt>
                <c:pt idx="58">
                  <c:v>2.14</c:v>
                </c:pt>
                <c:pt idx="59">
                  <c:v>2.27</c:v>
                </c:pt>
                <c:pt idx="60">
                  <c:v>2.2000000000000002</c:v>
                </c:pt>
                <c:pt idx="61">
                  <c:v>2.02</c:v>
                </c:pt>
                <c:pt idx="62">
                  <c:v>1.75</c:v>
                </c:pt>
                <c:pt idx="63">
                  <c:v>1.47</c:v>
                </c:pt>
                <c:pt idx="64">
                  <c:v>1.41</c:v>
                </c:pt>
                <c:pt idx="65">
                  <c:v>1.54</c:v>
                </c:pt>
                <c:pt idx="66">
                  <c:v>1.69</c:v>
                </c:pt>
                <c:pt idx="67">
                  <c:v>1.6</c:v>
                </c:pt>
                <c:pt idx="68">
                  <c:v>1.43</c:v>
                </c:pt>
                <c:pt idx="69">
                  <c:v>1.52</c:v>
                </c:pt>
                <c:pt idx="70">
                  <c:v>1.62</c:v>
                </c:pt>
                <c:pt idx="71">
                  <c:v>1.65</c:v>
                </c:pt>
                <c:pt idx="72">
                  <c:v>1.66</c:v>
                </c:pt>
                <c:pt idx="73">
                  <c:v>1.7</c:v>
                </c:pt>
                <c:pt idx="74">
                  <c:v>1.82</c:v>
                </c:pt>
                <c:pt idx="75">
                  <c:v>1.92</c:v>
                </c:pt>
                <c:pt idx="76">
                  <c:v>2.2200000000000002</c:v>
                </c:pt>
                <c:pt idx="77">
                  <c:v>2.2200000000000002</c:v>
                </c:pt>
                <c:pt idx="78">
                  <c:v>2.0299999999999998</c:v>
                </c:pt>
                <c:pt idx="79">
                  <c:v>2.0699999999999998</c:v>
                </c:pt>
                <c:pt idx="80">
                  <c:v>2.27</c:v>
                </c:pt>
                <c:pt idx="81">
                  <c:v>2.31</c:v>
                </c:pt>
                <c:pt idx="82">
                  <c:v>2.37</c:v>
                </c:pt>
                <c:pt idx="83">
                  <c:v>2.27</c:v>
                </c:pt>
                <c:pt idx="84">
                  <c:v>2.59</c:v>
                </c:pt>
                <c:pt idx="85">
                  <c:v>3.03</c:v>
                </c:pt>
                <c:pt idx="86">
                  <c:v>3.15</c:v>
                </c:pt>
                <c:pt idx="87">
                  <c:v>3.29</c:v>
                </c:pt>
                <c:pt idx="88">
                  <c:v>3.58</c:v>
                </c:pt>
                <c:pt idx="89">
                  <c:v>3.47</c:v>
                </c:pt>
                <c:pt idx="90">
                  <c:v>3.45</c:v>
                </c:pt>
                <c:pt idx="91">
                  <c:v>3.3</c:v>
                </c:pt>
                <c:pt idx="92">
                  <c:v>3.32</c:v>
                </c:pt>
                <c:pt idx="93">
                  <c:v>2.94</c:v>
                </c:pt>
                <c:pt idx="94">
                  <c:v>2.73</c:v>
                </c:pt>
                <c:pt idx="95">
                  <c:v>2.67</c:v>
                </c:pt>
                <c:pt idx="96">
                  <c:v>2.65</c:v>
                </c:pt>
                <c:pt idx="97">
                  <c:v>2.98</c:v>
                </c:pt>
                <c:pt idx="98">
                  <c:v>3.01</c:v>
                </c:pt>
                <c:pt idx="99">
                  <c:v>3.17</c:v>
                </c:pt>
                <c:pt idx="100">
                  <c:v>3.51</c:v>
                </c:pt>
                <c:pt idx="101">
                  <c:v>3.6</c:v>
                </c:pt>
                <c:pt idx="102">
                  <c:v>3.69</c:v>
                </c:pt>
                <c:pt idx="103">
                  <c:v>3.76</c:v>
                </c:pt>
                <c:pt idx="104">
                  <c:v>3.8</c:v>
                </c:pt>
                <c:pt idx="105">
                  <c:v>3.87</c:v>
                </c:pt>
                <c:pt idx="106">
                  <c:v>3.85</c:v>
                </c:pt>
                <c:pt idx="107">
                  <c:v>3.94</c:v>
                </c:pt>
                <c:pt idx="108">
                  <c:v>4.1500000000000004</c:v>
                </c:pt>
                <c:pt idx="109">
                  <c:v>4.46</c:v>
                </c:pt>
                <c:pt idx="110">
                  <c:v>4.74</c:v>
                </c:pt>
                <c:pt idx="111">
                  <c:v>4.59</c:v>
                </c:pt>
                <c:pt idx="112">
                  <c:v>4.54</c:v>
                </c:pt>
                <c:pt idx="113">
                  <c:v>4.3</c:v>
                </c:pt>
                <c:pt idx="114">
                  <c:v>4.33</c:v>
                </c:pt>
                <c:pt idx="115">
                  <c:v>4.17</c:v>
                </c:pt>
                <c:pt idx="116">
                  <c:v>4.17</c:v>
                </c:pt>
                <c:pt idx="117">
                  <c:v>4.3499999999999996</c:v>
                </c:pt>
                <c:pt idx="118">
                  <c:v>4.68</c:v>
                </c:pt>
                <c:pt idx="119">
                  <c:v>4.84</c:v>
                </c:pt>
                <c:pt idx="120">
                  <c:v>4.78</c:v>
                </c:pt>
                <c:pt idx="121">
                  <c:v>5.01</c:v>
                </c:pt>
                <c:pt idx="122">
                  <c:v>4.9800000000000004</c:v>
                </c:pt>
                <c:pt idx="123">
                  <c:v>4.67</c:v>
                </c:pt>
                <c:pt idx="124">
                  <c:v>4.55</c:v>
                </c:pt>
                <c:pt idx="125">
                  <c:v>4.37</c:v>
                </c:pt>
                <c:pt idx="126">
                  <c:v>4.42</c:v>
                </c:pt>
                <c:pt idx="127">
                  <c:v>4.47</c:v>
                </c:pt>
                <c:pt idx="128">
                  <c:v>4.68</c:v>
                </c:pt>
                <c:pt idx="129">
                  <c:v>4.5599999999999996</c:v>
                </c:pt>
                <c:pt idx="130">
                  <c:v>4.63</c:v>
                </c:pt>
                <c:pt idx="131">
                  <c:v>4.6399999999999997</c:v>
                </c:pt>
                <c:pt idx="132">
                  <c:v>4.68</c:v>
                </c:pt>
                <c:pt idx="133">
                  <c:v>4.84</c:v>
                </c:pt>
                <c:pt idx="134">
                  <c:v>4.8499999999999996</c:v>
                </c:pt>
                <c:pt idx="135">
                  <c:v>4.63</c:v>
                </c:pt>
                <c:pt idx="136">
                  <c:v>4.26</c:v>
                </c:pt>
                <c:pt idx="137">
                  <c:v>4.0199999999999996</c:v>
                </c:pt>
                <c:pt idx="138">
                  <c:v>3.91</c:v>
                </c:pt>
                <c:pt idx="139">
                  <c:v>3.83</c:v>
                </c:pt>
                <c:pt idx="140">
                  <c:v>3.77</c:v>
                </c:pt>
                <c:pt idx="141">
                  <c:v>3.72</c:v>
                </c:pt>
                <c:pt idx="142">
                  <c:v>3.67</c:v>
                </c:pt>
                <c:pt idx="143">
                  <c:v>3.67</c:v>
                </c:pt>
                <c:pt idx="144">
                  <c:v>3.58</c:v>
                </c:pt>
                <c:pt idx="145">
                  <c:v>3.49</c:v>
                </c:pt>
                <c:pt idx="146">
                  <c:v>3.38</c:v>
                </c:pt>
                <c:pt idx="147">
                  <c:v>3.08</c:v>
                </c:pt>
                <c:pt idx="148">
                  <c:v>2.82</c:v>
                </c:pt>
                <c:pt idx="149">
                  <c:v>2.82</c:v>
                </c:pt>
                <c:pt idx="150">
                  <c:v>2.82</c:v>
                </c:pt>
                <c:pt idx="151">
                  <c:v>2.82</c:v>
                </c:pt>
                <c:pt idx="152">
                  <c:v>2.74</c:v>
                </c:pt>
                <c:pt idx="153">
                  <c:v>2.65</c:v>
                </c:pt>
                <c:pt idx="154">
                  <c:v>2.42</c:v>
                </c:pt>
                <c:pt idx="155">
                  <c:v>2.19</c:v>
                </c:pt>
                <c:pt idx="156">
                  <c:v>2.25</c:v>
                </c:pt>
                <c:pt idx="157">
                  <c:v>2.17</c:v>
                </c:pt>
                <c:pt idx="158">
                  <c:v>2.12</c:v>
                </c:pt>
                <c:pt idx="159">
                  <c:v>2.2799999999999998</c:v>
                </c:pt>
                <c:pt idx="160">
                  <c:v>2.4500000000000002</c:v>
                </c:pt>
                <c:pt idx="161">
                  <c:v>2.58</c:v>
                </c:pt>
                <c:pt idx="162">
                  <c:v>2.56</c:v>
                </c:pt>
                <c:pt idx="163">
                  <c:v>2.5499999999999998</c:v>
                </c:pt>
                <c:pt idx="164">
                  <c:v>2.54</c:v>
                </c:pt>
                <c:pt idx="165">
                  <c:v>2.59</c:v>
                </c:pt>
                <c:pt idx="166">
                  <c:v>2.69</c:v>
                </c:pt>
                <c:pt idx="167">
                  <c:v>2.83</c:v>
                </c:pt>
                <c:pt idx="168">
                  <c:v>2.86</c:v>
                </c:pt>
                <c:pt idx="169">
                  <c:v>3.04</c:v>
                </c:pt>
                <c:pt idx="170">
                  <c:v>3.12</c:v>
                </c:pt>
                <c:pt idx="171">
                  <c:v>3.05</c:v>
                </c:pt>
                <c:pt idx="172">
                  <c:v>2.77</c:v>
                </c:pt>
                <c:pt idx="173">
                  <c:v>2.69</c:v>
                </c:pt>
                <c:pt idx="174">
                  <c:v>2.94</c:v>
                </c:pt>
                <c:pt idx="175">
                  <c:v>3.01</c:v>
                </c:pt>
                <c:pt idx="176">
                  <c:v>3.29</c:v>
                </c:pt>
                <c:pt idx="177">
                  <c:v>3.38</c:v>
                </c:pt>
                <c:pt idx="178">
                  <c:v>3.2</c:v>
                </c:pt>
                <c:pt idx="179">
                  <c:v>3.22</c:v>
                </c:pt>
                <c:pt idx="180">
                  <c:v>3.17</c:v>
                </c:pt>
                <c:pt idx="181">
                  <c:v>2.85</c:v>
                </c:pt>
                <c:pt idx="182">
                  <c:v>2.85</c:v>
                </c:pt>
                <c:pt idx="183">
                  <c:v>3.55</c:v>
                </c:pt>
                <c:pt idx="184">
                  <c:v>3.55</c:v>
                </c:pt>
                <c:pt idx="185">
                  <c:v>3.55</c:v>
                </c:pt>
                <c:pt idx="186">
                  <c:v>3.55</c:v>
                </c:pt>
                <c:pt idx="187">
                  <c:v>3.62</c:v>
                </c:pt>
                <c:pt idx="188">
                  <c:v>3.97</c:v>
                </c:pt>
                <c:pt idx="189">
                  <c:v>4.1100000000000003</c:v>
                </c:pt>
                <c:pt idx="190">
                  <c:v>4.1100000000000003</c:v>
                </c:pt>
                <c:pt idx="191">
                  <c:v>4.33</c:v>
                </c:pt>
                <c:pt idx="192">
                  <c:v>4.7</c:v>
                </c:pt>
                <c:pt idx="193">
                  <c:v>4.87</c:v>
                </c:pt>
                <c:pt idx="194">
                  <c:v>5.09</c:v>
                </c:pt>
                <c:pt idx="195">
                  <c:v>5.15</c:v>
                </c:pt>
                <c:pt idx="196">
                  <c:v>5.19</c:v>
                </c:pt>
                <c:pt idx="197">
                  <c:v>5.16</c:v>
                </c:pt>
                <c:pt idx="198">
                  <c:v>4.91</c:v>
                </c:pt>
                <c:pt idx="199">
                  <c:v>4.84</c:v>
                </c:pt>
                <c:pt idx="200">
                  <c:v>4.51</c:v>
                </c:pt>
                <c:pt idx="201">
                  <c:v>4.29</c:v>
                </c:pt>
                <c:pt idx="202">
                  <c:v>4.41</c:v>
                </c:pt>
                <c:pt idx="203">
                  <c:v>4.67</c:v>
                </c:pt>
                <c:pt idx="204">
                  <c:v>4.8099999999999996</c:v>
                </c:pt>
                <c:pt idx="205">
                  <c:v>5.05</c:v>
                </c:pt>
                <c:pt idx="206">
                  <c:v>5.14</c:v>
                </c:pt>
                <c:pt idx="207">
                  <c:v>5.3</c:v>
                </c:pt>
                <c:pt idx="208">
                  <c:v>5.05</c:v>
                </c:pt>
                <c:pt idx="209">
                  <c:v>4.93</c:v>
                </c:pt>
                <c:pt idx="210">
                  <c:v>5.08</c:v>
                </c:pt>
                <c:pt idx="211">
                  <c:v>5.0599999999999996</c:v>
                </c:pt>
                <c:pt idx="212">
                  <c:v>5.21</c:v>
                </c:pt>
                <c:pt idx="213">
                  <c:v>5.57</c:v>
                </c:pt>
                <c:pt idx="214">
                  <c:v>5.51</c:v>
                </c:pt>
                <c:pt idx="215">
                  <c:v>5.57</c:v>
                </c:pt>
                <c:pt idx="216">
                  <c:v>5.49</c:v>
                </c:pt>
                <c:pt idx="217">
                  <c:v>5.57</c:v>
                </c:pt>
                <c:pt idx="218">
                  <c:v>5.38</c:v>
                </c:pt>
                <c:pt idx="219">
                  <c:v>5.6</c:v>
                </c:pt>
                <c:pt idx="220">
                  <c:v>5.42</c:v>
                </c:pt>
                <c:pt idx="221">
                  <c:v>5.56</c:v>
                </c:pt>
                <c:pt idx="222">
                  <c:v>5.71</c:v>
                </c:pt>
                <c:pt idx="223">
                  <c:v>5.64</c:v>
                </c:pt>
              </c:numCache>
            </c:numRef>
          </c:val>
          <c:smooth val="0"/>
          <c:extLst>
            <c:ext xmlns:c16="http://schemas.microsoft.com/office/drawing/2014/chart" uri="{C3380CC4-5D6E-409C-BE32-E72D297353CC}">
              <c16:uniqueId val="{00000009-E765-4C20-8431-542026E1F106}"/>
            </c:ext>
          </c:extLst>
        </c:ser>
        <c:ser>
          <c:idx val="10"/>
          <c:order val="10"/>
          <c:tx>
            <c:strRef>
              <c:f>data!$L$3</c:f>
              <c:strCache>
                <c:ptCount val="1"/>
                <c:pt idx="0">
                  <c:v>Netherlands</c:v>
                </c:pt>
              </c:strCache>
            </c:strRef>
          </c:tx>
          <c:spPr>
            <a:ln w="28575" cap="rnd">
              <a:solidFill>
                <a:schemeClr val="accent5">
                  <a:lumMod val="60000"/>
                </a:schemeClr>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data!$L$4:$L$227</c:f>
              <c:numCache>
                <c:formatCode>General</c:formatCode>
                <c:ptCount val="224"/>
                <c:pt idx="0">
                  <c:v>0.47</c:v>
                </c:pt>
                <c:pt idx="1">
                  <c:v>0.47</c:v>
                </c:pt>
                <c:pt idx="2">
                  <c:v>0.56000000000000005</c:v>
                </c:pt>
                <c:pt idx="3">
                  <c:v>0.67</c:v>
                </c:pt>
                <c:pt idx="4">
                  <c:v>0.69</c:v>
                </c:pt>
                <c:pt idx="5">
                  <c:v>0.63</c:v>
                </c:pt>
                <c:pt idx="6">
                  <c:v>0.76</c:v>
                </c:pt>
                <c:pt idx="7">
                  <c:v>0.61</c:v>
                </c:pt>
                <c:pt idx="8">
                  <c:v>0.45</c:v>
                </c:pt>
                <c:pt idx="9">
                  <c:v>0.47</c:v>
                </c:pt>
                <c:pt idx="10">
                  <c:v>0.54</c:v>
                </c:pt>
                <c:pt idx="11">
                  <c:v>0.53</c:v>
                </c:pt>
                <c:pt idx="12">
                  <c:v>0.54</c:v>
                </c:pt>
                <c:pt idx="13">
                  <c:v>0.69</c:v>
                </c:pt>
                <c:pt idx="14">
                  <c:v>0.5</c:v>
                </c:pt>
                <c:pt idx="15">
                  <c:v>0.59</c:v>
                </c:pt>
                <c:pt idx="16">
                  <c:v>0.5</c:v>
                </c:pt>
                <c:pt idx="17">
                  <c:v>0.48</c:v>
                </c:pt>
                <c:pt idx="18">
                  <c:v>0.49</c:v>
                </c:pt>
                <c:pt idx="19">
                  <c:v>0.48</c:v>
                </c:pt>
                <c:pt idx="20">
                  <c:v>0.44</c:v>
                </c:pt>
                <c:pt idx="21">
                  <c:v>0.39</c:v>
                </c:pt>
                <c:pt idx="22">
                  <c:v>0.16</c:v>
                </c:pt>
                <c:pt idx="23">
                  <c:v>0.06</c:v>
                </c:pt>
                <c:pt idx="24">
                  <c:v>0.03</c:v>
                </c:pt>
                <c:pt idx="25">
                  <c:v>0.06</c:v>
                </c:pt>
                <c:pt idx="26">
                  <c:v>0.25</c:v>
                </c:pt>
                <c:pt idx="27">
                  <c:v>0.38</c:v>
                </c:pt>
                <c:pt idx="28">
                  <c:v>0.4</c:v>
                </c:pt>
                <c:pt idx="29">
                  <c:v>0.32</c:v>
                </c:pt>
                <c:pt idx="30">
                  <c:v>0.37</c:v>
                </c:pt>
                <c:pt idx="31">
                  <c:v>0.65</c:v>
                </c:pt>
                <c:pt idx="32">
                  <c:v>0.75</c:v>
                </c:pt>
                <c:pt idx="33">
                  <c:v>0.72</c:v>
                </c:pt>
                <c:pt idx="34">
                  <c:v>0.72</c:v>
                </c:pt>
                <c:pt idx="35">
                  <c:v>0.87</c:v>
                </c:pt>
                <c:pt idx="36">
                  <c:v>0.85</c:v>
                </c:pt>
                <c:pt idx="37">
                  <c:v>0.99</c:v>
                </c:pt>
                <c:pt idx="38">
                  <c:v>1.05</c:v>
                </c:pt>
                <c:pt idx="39">
                  <c:v>0.75</c:v>
                </c:pt>
                <c:pt idx="40">
                  <c:v>0.31</c:v>
                </c:pt>
                <c:pt idx="41">
                  <c:v>0.33</c:v>
                </c:pt>
                <c:pt idx="42">
                  <c:v>0.42</c:v>
                </c:pt>
                <c:pt idx="43">
                  <c:v>0.52</c:v>
                </c:pt>
                <c:pt idx="44">
                  <c:v>0.78</c:v>
                </c:pt>
                <c:pt idx="45">
                  <c:v>0.93</c:v>
                </c:pt>
                <c:pt idx="46">
                  <c:v>1.03</c:v>
                </c:pt>
                <c:pt idx="47">
                  <c:v>1.1499999999999999</c:v>
                </c:pt>
                <c:pt idx="48">
                  <c:v>1.2</c:v>
                </c:pt>
                <c:pt idx="49">
                  <c:v>1.41</c:v>
                </c:pt>
                <c:pt idx="50">
                  <c:v>1.6</c:v>
                </c:pt>
                <c:pt idx="51">
                  <c:v>1.71</c:v>
                </c:pt>
                <c:pt idx="52">
                  <c:v>1.85</c:v>
                </c:pt>
                <c:pt idx="53">
                  <c:v>1.81</c:v>
                </c:pt>
                <c:pt idx="54">
                  <c:v>1.89</c:v>
                </c:pt>
                <c:pt idx="55">
                  <c:v>2.1</c:v>
                </c:pt>
                <c:pt idx="56">
                  <c:v>2.16</c:v>
                </c:pt>
                <c:pt idx="57">
                  <c:v>2.06</c:v>
                </c:pt>
                <c:pt idx="58">
                  <c:v>2.1800000000000002</c:v>
                </c:pt>
                <c:pt idx="59">
                  <c:v>2.3199999999999998</c:v>
                </c:pt>
                <c:pt idx="60">
                  <c:v>2.2000000000000002</c:v>
                </c:pt>
                <c:pt idx="61">
                  <c:v>2.0299999999999998</c:v>
                </c:pt>
                <c:pt idx="62">
                  <c:v>2</c:v>
                </c:pt>
                <c:pt idx="63">
                  <c:v>1.69</c:v>
                </c:pt>
                <c:pt idx="64">
                  <c:v>1.66</c:v>
                </c:pt>
                <c:pt idx="65">
                  <c:v>1.67</c:v>
                </c:pt>
                <c:pt idx="66">
                  <c:v>1.83</c:v>
                </c:pt>
                <c:pt idx="67">
                  <c:v>1.74</c:v>
                </c:pt>
                <c:pt idx="68">
                  <c:v>1.56</c:v>
                </c:pt>
                <c:pt idx="69">
                  <c:v>1.65</c:v>
                </c:pt>
                <c:pt idx="70">
                  <c:v>1.77</c:v>
                </c:pt>
                <c:pt idx="71">
                  <c:v>1.84</c:v>
                </c:pt>
                <c:pt idx="72">
                  <c:v>1.76</c:v>
                </c:pt>
                <c:pt idx="73">
                  <c:v>1.75</c:v>
                </c:pt>
                <c:pt idx="74">
                  <c:v>1.93</c:v>
                </c:pt>
                <c:pt idx="75">
                  <c:v>1.96</c:v>
                </c:pt>
                <c:pt idx="76">
                  <c:v>2.29</c:v>
                </c:pt>
                <c:pt idx="77">
                  <c:v>2.25</c:v>
                </c:pt>
                <c:pt idx="78">
                  <c:v>2.2400000000000002</c:v>
                </c:pt>
                <c:pt idx="79">
                  <c:v>2.2000000000000002</c:v>
                </c:pt>
                <c:pt idx="80">
                  <c:v>2.38</c:v>
                </c:pt>
                <c:pt idx="81">
                  <c:v>2.4500000000000002</c:v>
                </c:pt>
                <c:pt idx="82">
                  <c:v>2.46</c:v>
                </c:pt>
                <c:pt idx="83">
                  <c:v>2.34</c:v>
                </c:pt>
                <c:pt idx="84">
                  <c:v>2.68</c:v>
                </c:pt>
                <c:pt idx="85">
                  <c:v>3.17</c:v>
                </c:pt>
                <c:pt idx="86">
                  <c:v>3.28</c:v>
                </c:pt>
                <c:pt idx="87">
                  <c:v>3.4</c:v>
                </c:pt>
                <c:pt idx="88">
                  <c:v>3.65</c:v>
                </c:pt>
                <c:pt idx="89">
                  <c:v>3.42</c:v>
                </c:pt>
                <c:pt idx="90">
                  <c:v>3.41</c:v>
                </c:pt>
                <c:pt idx="91">
                  <c:v>3.23</c:v>
                </c:pt>
                <c:pt idx="92">
                  <c:v>3.15</c:v>
                </c:pt>
                <c:pt idx="93">
                  <c:v>2.79</c:v>
                </c:pt>
                <c:pt idx="94">
                  <c:v>2.58</c:v>
                </c:pt>
                <c:pt idx="95">
                  <c:v>2.52</c:v>
                </c:pt>
                <c:pt idx="96">
                  <c:v>2.56</c:v>
                </c:pt>
                <c:pt idx="97">
                  <c:v>2.85</c:v>
                </c:pt>
                <c:pt idx="98">
                  <c:v>2.9</c:v>
                </c:pt>
                <c:pt idx="99">
                  <c:v>3.02</c:v>
                </c:pt>
                <c:pt idx="100">
                  <c:v>3.32</c:v>
                </c:pt>
                <c:pt idx="101">
                  <c:v>3.37</c:v>
                </c:pt>
                <c:pt idx="102">
                  <c:v>3.36</c:v>
                </c:pt>
                <c:pt idx="103">
                  <c:v>3.47</c:v>
                </c:pt>
                <c:pt idx="104">
                  <c:v>3.44</c:v>
                </c:pt>
                <c:pt idx="105">
                  <c:v>3.52</c:v>
                </c:pt>
                <c:pt idx="106">
                  <c:v>3.53</c:v>
                </c:pt>
                <c:pt idx="107">
                  <c:v>3.58</c:v>
                </c:pt>
                <c:pt idx="108">
                  <c:v>3.61</c:v>
                </c:pt>
                <c:pt idx="109">
                  <c:v>3.76</c:v>
                </c:pt>
                <c:pt idx="110">
                  <c:v>3.96</c:v>
                </c:pt>
                <c:pt idx="111">
                  <c:v>3.85</c:v>
                </c:pt>
                <c:pt idx="112">
                  <c:v>3.77</c:v>
                </c:pt>
                <c:pt idx="113">
                  <c:v>3.66</c:v>
                </c:pt>
                <c:pt idx="114">
                  <c:v>3.8</c:v>
                </c:pt>
                <c:pt idx="115">
                  <c:v>3.76</c:v>
                </c:pt>
                <c:pt idx="116">
                  <c:v>3.65</c:v>
                </c:pt>
                <c:pt idx="117">
                  <c:v>3.96</c:v>
                </c:pt>
                <c:pt idx="118">
                  <c:v>4.2300000000000004</c:v>
                </c:pt>
                <c:pt idx="119">
                  <c:v>4.3499999999999996</c:v>
                </c:pt>
                <c:pt idx="120">
                  <c:v>4.4000000000000004</c:v>
                </c:pt>
                <c:pt idx="121">
                  <c:v>4.6900000000000004</c:v>
                </c:pt>
                <c:pt idx="122">
                  <c:v>4.7300000000000004</c:v>
                </c:pt>
                <c:pt idx="123">
                  <c:v>4.3600000000000003</c:v>
                </c:pt>
                <c:pt idx="124">
                  <c:v>4.21</c:v>
                </c:pt>
                <c:pt idx="125">
                  <c:v>3.97</c:v>
                </c:pt>
                <c:pt idx="126">
                  <c:v>4.05</c:v>
                </c:pt>
                <c:pt idx="127">
                  <c:v>4.13</c:v>
                </c:pt>
                <c:pt idx="128">
                  <c:v>4.34</c:v>
                </c:pt>
                <c:pt idx="129">
                  <c:v>4.21</c:v>
                </c:pt>
                <c:pt idx="130">
                  <c:v>4.38</c:v>
                </c:pt>
                <c:pt idx="131">
                  <c:v>4.34</c:v>
                </c:pt>
                <c:pt idx="132">
                  <c:v>4.38</c:v>
                </c:pt>
                <c:pt idx="133">
                  <c:v>4.5599999999999996</c:v>
                </c:pt>
                <c:pt idx="134">
                  <c:v>4.6100000000000003</c:v>
                </c:pt>
                <c:pt idx="135">
                  <c:v>4.33</c:v>
                </c:pt>
                <c:pt idx="136">
                  <c:v>4.1900000000000004</c:v>
                </c:pt>
                <c:pt idx="137">
                  <c:v>3.98</c:v>
                </c:pt>
                <c:pt idx="138">
                  <c:v>4.07</c:v>
                </c:pt>
                <c:pt idx="139">
                  <c:v>4.05</c:v>
                </c:pt>
                <c:pt idx="140">
                  <c:v>3.82</c:v>
                </c:pt>
                <c:pt idx="141">
                  <c:v>3.75</c:v>
                </c:pt>
                <c:pt idx="142">
                  <c:v>3.82</c:v>
                </c:pt>
                <c:pt idx="143">
                  <c:v>3.78</c:v>
                </c:pt>
                <c:pt idx="144">
                  <c:v>3.9</c:v>
                </c:pt>
                <c:pt idx="145">
                  <c:v>3.99</c:v>
                </c:pt>
                <c:pt idx="146">
                  <c:v>3.97</c:v>
                </c:pt>
                <c:pt idx="147">
                  <c:v>3.96</c:v>
                </c:pt>
                <c:pt idx="148">
                  <c:v>3.92</c:v>
                </c:pt>
                <c:pt idx="149">
                  <c:v>3.66</c:v>
                </c:pt>
                <c:pt idx="150">
                  <c:v>3.48</c:v>
                </c:pt>
                <c:pt idx="151">
                  <c:v>3.33</c:v>
                </c:pt>
                <c:pt idx="152">
                  <c:v>3.35</c:v>
                </c:pt>
                <c:pt idx="153">
                  <c:v>3.48</c:v>
                </c:pt>
                <c:pt idx="154">
                  <c:v>3.28</c:v>
                </c:pt>
                <c:pt idx="155">
                  <c:v>3.12</c:v>
                </c:pt>
                <c:pt idx="156">
                  <c:v>3.28</c:v>
                </c:pt>
                <c:pt idx="157">
                  <c:v>3.27</c:v>
                </c:pt>
                <c:pt idx="158">
                  <c:v>3.13</c:v>
                </c:pt>
                <c:pt idx="159">
                  <c:v>3.3</c:v>
                </c:pt>
                <c:pt idx="160">
                  <c:v>3.48</c:v>
                </c:pt>
                <c:pt idx="161">
                  <c:v>3.69</c:v>
                </c:pt>
                <c:pt idx="162">
                  <c:v>3.55</c:v>
                </c:pt>
                <c:pt idx="163">
                  <c:v>3.56</c:v>
                </c:pt>
                <c:pt idx="164">
                  <c:v>3.63</c:v>
                </c:pt>
                <c:pt idx="165">
                  <c:v>3.85</c:v>
                </c:pt>
                <c:pt idx="166">
                  <c:v>3.96</c:v>
                </c:pt>
                <c:pt idx="167">
                  <c:v>4.09</c:v>
                </c:pt>
                <c:pt idx="168">
                  <c:v>4.1500000000000004</c:v>
                </c:pt>
                <c:pt idx="169">
                  <c:v>4.3099999999999996</c:v>
                </c:pt>
                <c:pt idx="170">
                  <c:v>4.42</c:v>
                </c:pt>
                <c:pt idx="171">
                  <c:v>4.37</c:v>
                </c:pt>
                <c:pt idx="172">
                  <c:v>4.13</c:v>
                </c:pt>
                <c:pt idx="173">
                  <c:v>3.93</c:v>
                </c:pt>
                <c:pt idx="174">
                  <c:v>4.12</c:v>
                </c:pt>
                <c:pt idx="175">
                  <c:v>4.18</c:v>
                </c:pt>
                <c:pt idx="176">
                  <c:v>4.33</c:v>
                </c:pt>
                <c:pt idx="177">
                  <c:v>4.41</c:v>
                </c:pt>
                <c:pt idx="178">
                  <c:v>4.2699999999999996</c:v>
                </c:pt>
                <c:pt idx="179">
                  <c:v>4.21</c:v>
                </c:pt>
                <c:pt idx="180">
                  <c:v>4.18</c:v>
                </c:pt>
                <c:pt idx="181">
                  <c:v>4.04</c:v>
                </c:pt>
                <c:pt idx="182">
                  <c:v>3.72</c:v>
                </c:pt>
                <c:pt idx="183">
                  <c:v>3.91</c:v>
                </c:pt>
                <c:pt idx="184">
                  <c:v>4.2300000000000004</c:v>
                </c:pt>
                <c:pt idx="185">
                  <c:v>4.01</c:v>
                </c:pt>
                <c:pt idx="186">
                  <c:v>3.97</c:v>
                </c:pt>
                <c:pt idx="187">
                  <c:v>4.1900000000000004</c:v>
                </c:pt>
                <c:pt idx="188">
                  <c:v>4.3600000000000003</c:v>
                </c:pt>
                <c:pt idx="189">
                  <c:v>4.55</c:v>
                </c:pt>
                <c:pt idx="190">
                  <c:v>4.58</c:v>
                </c:pt>
                <c:pt idx="191">
                  <c:v>4.5</c:v>
                </c:pt>
                <c:pt idx="192">
                  <c:v>4.71</c:v>
                </c:pt>
                <c:pt idx="193">
                  <c:v>4.99</c:v>
                </c:pt>
                <c:pt idx="194">
                  <c:v>5.16</c:v>
                </c:pt>
                <c:pt idx="195">
                  <c:v>5.31</c:v>
                </c:pt>
                <c:pt idx="196">
                  <c:v>5.25</c:v>
                </c:pt>
                <c:pt idx="197">
                  <c:v>5.27</c:v>
                </c:pt>
                <c:pt idx="198">
                  <c:v>5.03</c:v>
                </c:pt>
                <c:pt idx="199">
                  <c:v>4.97</c:v>
                </c:pt>
                <c:pt idx="200">
                  <c:v>4.8899999999999997</c:v>
                </c:pt>
                <c:pt idx="201">
                  <c:v>4.62</c:v>
                </c:pt>
                <c:pt idx="202">
                  <c:v>4.76</c:v>
                </c:pt>
                <c:pt idx="203">
                  <c:v>4.9800000000000004</c:v>
                </c:pt>
                <c:pt idx="204">
                  <c:v>4.9800000000000004</c:v>
                </c:pt>
                <c:pt idx="205">
                  <c:v>5.17</c:v>
                </c:pt>
                <c:pt idx="206">
                  <c:v>5.17</c:v>
                </c:pt>
                <c:pt idx="207">
                  <c:v>5.22</c:v>
                </c:pt>
                <c:pt idx="208">
                  <c:v>5.0199999999999996</c:v>
                </c:pt>
                <c:pt idx="209">
                  <c:v>4.83</c:v>
                </c:pt>
                <c:pt idx="210">
                  <c:v>4.92</c:v>
                </c:pt>
                <c:pt idx="211">
                  <c:v>4.93</c:v>
                </c:pt>
                <c:pt idx="212">
                  <c:v>5.03</c:v>
                </c:pt>
                <c:pt idx="213">
                  <c:v>5.3</c:v>
                </c:pt>
                <c:pt idx="214">
                  <c:v>5.35</c:v>
                </c:pt>
                <c:pt idx="215">
                  <c:v>5.41</c:v>
                </c:pt>
                <c:pt idx="216">
                  <c:v>5.36</c:v>
                </c:pt>
                <c:pt idx="217">
                  <c:v>5.4</c:v>
                </c:pt>
                <c:pt idx="218">
                  <c:v>5.31</c:v>
                </c:pt>
                <c:pt idx="219">
                  <c:v>5.5</c:v>
                </c:pt>
                <c:pt idx="220">
                  <c:v>5.38</c:v>
                </c:pt>
                <c:pt idx="221">
                  <c:v>5.48</c:v>
                </c:pt>
                <c:pt idx="222">
                  <c:v>5.66</c:v>
                </c:pt>
                <c:pt idx="223">
                  <c:v>5.67</c:v>
                </c:pt>
              </c:numCache>
            </c:numRef>
          </c:val>
          <c:smooth val="0"/>
          <c:extLst>
            <c:ext xmlns:c16="http://schemas.microsoft.com/office/drawing/2014/chart" uri="{C3380CC4-5D6E-409C-BE32-E72D297353CC}">
              <c16:uniqueId val="{0000000A-E765-4C20-8431-542026E1F106}"/>
            </c:ext>
          </c:extLst>
        </c:ser>
        <c:ser>
          <c:idx val="11"/>
          <c:order val="11"/>
          <c:tx>
            <c:strRef>
              <c:f>data!$M$3</c:f>
              <c:strCache>
                <c:ptCount val="1"/>
                <c:pt idx="0">
                  <c:v>Portugal</c:v>
                </c:pt>
              </c:strCache>
            </c:strRef>
          </c:tx>
          <c:spPr>
            <a:ln w="28575" cap="rnd">
              <a:solidFill>
                <a:schemeClr val="accent6">
                  <a:lumMod val="60000"/>
                </a:schemeClr>
              </a:solidFill>
              <a:round/>
            </a:ln>
            <a:effectLst/>
          </c:spPr>
          <c:marker>
            <c:symbol val="none"/>
          </c:marker>
          <c:cat>
            <c:strRef>
              <c:f>data!$A$4:$A$227</c:f>
              <c:strCache>
                <c:ptCount val="224"/>
                <c:pt idx="0">
                  <c:v>2018Aug</c:v>
                </c:pt>
                <c:pt idx="1">
                  <c:v>2018Jul</c:v>
                </c:pt>
                <c:pt idx="2">
                  <c:v>2018Jun</c:v>
                </c:pt>
                <c:pt idx="3">
                  <c:v>2018May</c:v>
                </c:pt>
                <c:pt idx="4">
                  <c:v>2018Apr</c:v>
                </c:pt>
                <c:pt idx="5">
                  <c:v>2018Mar</c:v>
                </c:pt>
                <c:pt idx="6">
                  <c:v>2018Feb</c:v>
                </c:pt>
                <c:pt idx="7">
                  <c:v>2018Jan</c:v>
                </c:pt>
                <c:pt idx="8">
                  <c:v>2017Dec</c:v>
                </c:pt>
                <c:pt idx="9">
                  <c:v>2017Nov</c:v>
                </c:pt>
                <c:pt idx="10">
                  <c:v>2017Oct</c:v>
                </c:pt>
                <c:pt idx="11">
                  <c:v>2017Sep</c:v>
                </c:pt>
                <c:pt idx="12">
                  <c:v>2017Aug</c:v>
                </c:pt>
                <c:pt idx="13">
                  <c:v>2017Jul</c:v>
                </c:pt>
                <c:pt idx="14">
                  <c:v>2017Jun</c:v>
                </c:pt>
                <c:pt idx="15">
                  <c:v>2017May</c:v>
                </c:pt>
                <c:pt idx="16">
                  <c:v>2017Apr</c:v>
                </c:pt>
                <c:pt idx="17">
                  <c:v>2017Mar</c:v>
                </c:pt>
                <c:pt idx="18">
                  <c:v>2017Feb</c:v>
                </c:pt>
                <c:pt idx="19">
                  <c:v>2017Jan</c:v>
                </c:pt>
                <c:pt idx="20">
                  <c:v>2016Dec</c:v>
                </c:pt>
                <c:pt idx="21">
                  <c:v>2016Nov</c:v>
                </c:pt>
                <c:pt idx="22">
                  <c:v>2016Oct</c:v>
                </c:pt>
                <c:pt idx="23">
                  <c:v>2016Sep</c:v>
                </c:pt>
                <c:pt idx="24">
                  <c:v>2016Aug</c:v>
                </c:pt>
                <c:pt idx="25">
                  <c:v>2016Jul</c:v>
                </c:pt>
                <c:pt idx="26">
                  <c:v>2016Jun</c:v>
                </c:pt>
                <c:pt idx="27">
                  <c:v>2016May</c:v>
                </c:pt>
                <c:pt idx="28">
                  <c:v>2016Apr</c:v>
                </c:pt>
                <c:pt idx="29">
                  <c:v>2016Mar</c:v>
                </c:pt>
                <c:pt idx="30">
                  <c:v>2016Feb</c:v>
                </c:pt>
                <c:pt idx="31">
                  <c:v>2016Jan</c:v>
                </c:pt>
                <c:pt idx="32">
                  <c:v>2015Dec</c:v>
                </c:pt>
                <c:pt idx="33">
                  <c:v>2015Nov</c:v>
                </c:pt>
                <c:pt idx="34">
                  <c:v>2015Oct</c:v>
                </c:pt>
                <c:pt idx="35">
                  <c:v>2015Sep</c:v>
                </c:pt>
                <c:pt idx="36">
                  <c:v>2015Aug</c:v>
                </c:pt>
                <c:pt idx="37">
                  <c:v>2015Jul</c:v>
                </c:pt>
                <c:pt idx="38">
                  <c:v>2015Jun</c:v>
                </c:pt>
                <c:pt idx="39">
                  <c:v>2015May</c:v>
                </c:pt>
                <c:pt idx="40">
                  <c:v>2015Apr</c:v>
                </c:pt>
                <c:pt idx="41">
                  <c:v>2015Mar</c:v>
                </c:pt>
                <c:pt idx="42">
                  <c:v>2015Feb</c:v>
                </c:pt>
                <c:pt idx="43">
                  <c:v>2015Jan</c:v>
                </c:pt>
                <c:pt idx="44">
                  <c:v>2014Dec</c:v>
                </c:pt>
                <c:pt idx="45">
                  <c:v>2014Nov</c:v>
                </c:pt>
                <c:pt idx="46">
                  <c:v>2014Oct</c:v>
                </c:pt>
                <c:pt idx="47">
                  <c:v>2014Sep</c:v>
                </c:pt>
                <c:pt idx="48">
                  <c:v>2014Aug</c:v>
                </c:pt>
                <c:pt idx="49">
                  <c:v>2014Jul</c:v>
                </c:pt>
                <c:pt idx="50">
                  <c:v>2014Jun</c:v>
                </c:pt>
                <c:pt idx="51">
                  <c:v>2014May</c:v>
                </c:pt>
                <c:pt idx="52">
                  <c:v>2014Apr</c:v>
                </c:pt>
                <c:pt idx="53">
                  <c:v>2014Mar</c:v>
                </c:pt>
                <c:pt idx="54">
                  <c:v>2014Feb</c:v>
                </c:pt>
                <c:pt idx="55">
                  <c:v>2014Jan</c:v>
                </c:pt>
                <c:pt idx="56">
                  <c:v>2013Dec</c:v>
                </c:pt>
                <c:pt idx="57">
                  <c:v>2013Nov</c:v>
                </c:pt>
                <c:pt idx="58">
                  <c:v>2013Oct</c:v>
                </c:pt>
                <c:pt idx="59">
                  <c:v>2013Sep</c:v>
                </c:pt>
                <c:pt idx="60">
                  <c:v>2013Aug</c:v>
                </c:pt>
                <c:pt idx="61">
                  <c:v>2013Jul</c:v>
                </c:pt>
                <c:pt idx="62">
                  <c:v>2013Jun</c:v>
                </c:pt>
                <c:pt idx="63">
                  <c:v>2013May</c:v>
                </c:pt>
                <c:pt idx="64">
                  <c:v>2013Apr</c:v>
                </c:pt>
                <c:pt idx="65">
                  <c:v>2013Mar</c:v>
                </c:pt>
                <c:pt idx="66">
                  <c:v>2013Feb</c:v>
                </c:pt>
                <c:pt idx="67">
                  <c:v>2013Jan</c:v>
                </c:pt>
                <c:pt idx="68">
                  <c:v>2012Dec</c:v>
                </c:pt>
                <c:pt idx="69">
                  <c:v>2012Nov</c:v>
                </c:pt>
                <c:pt idx="70">
                  <c:v>2012Oct</c:v>
                </c:pt>
                <c:pt idx="71">
                  <c:v>2012Sep</c:v>
                </c:pt>
                <c:pt idx="72">
                  <c:v>2012Aug</c:v>
                </c:pt>
                <c:pt idx="73">
                  <c:v>2012Jul</c:v>
                </c:pt>
                <c:pt idx="74">
                  <c:v>2012Jun</c:v>
                </c:pt>
                <c:pt idx="75">
                  <c:v>2012May</c:v>
                </c:pt>
                <c:pt idx="76">
                  <c:v>2012Apr</c:v>
                </c:pt>
                <c:pt idx="77">
                  <c:v>2012Mar</c:v>
                </c:pt>
                <c:pt idx="78">
                  <c:v>2012Feb</c:v>
                </c:pt>
                <c:pt idx="79">
                  <c:v>2012Jan</c:v>
                </c:pt>
                <c:pt idx="80">
                  <c:v>2011Dec</c:v>
                </c:pt>
                <c:pt idx="81">
                  <c:v>2011Nov</c:v>
                </c:pt>
                <c:pt idx="82">
                  <c:v>2011Oct</c:v>
                </c:pt>
                <c:pt idx="83">
                  <c:v>2011Sep</c:v>
                </c:pt>
                <c:pt idx="84">
                  <c:v>2011Aug</c:v>
                </c:pt>
                <c:pt idx="85">
                  <c:v>2011Jul</c:v>
                </c:pt>
                <c:pt idx="86">
                  <c:v>2011Jun</c:v>
                </c:pt>
                <c:pt idx="87">
                  <c:v>2011May</c:v>
                </c:pt>
                <c:pt idx="88">
                  <c:v>2011Apr</c:v>
                </c:pt>
                <c:pt idx="89">
                  <c:v>2011Mar</c:v>
                </c:pt>
                <c:pt idx="90">
                  <c:v>2011Feb</c:v>
                </c:pt>
                <c:pt idx="91">
                  <c:v>2011Jan</c:v>
                </c:pt>
                <c:pt idx="92">
                  <c:v>2010Dec</c:v>
                </c:pt>
                <c:pt idx="93">
                  <c:v>2010Nov</c:v>
                </c:pt>
                <c:pt idx="94">
                  <c:v>2010Oct</c:v>
                </c:pt>
                <c:pt idx="95">
                  <c:v>2010Sep</c:v>
                </c:pt>
                <c:pt idx="96">
                  <c:v>2010Aug</c:v>
                </c:pt>
                <c:pt idx="97">
                  <c:v>2010Jul</c:v>
                </c:pt>
                <c:pt idx="98">
                  <c:v>2010Jun</c:v>
                </c:pt>
                <c:pt idx="99">
                  <c:v>2010May</c:v>
                </c:pt>
                <c:pt idx="100">
                  <c:v>2010Apr</c:v>
                </c:pt>
                <c:pt idx="101">
                  <c:v>2010Mar</c:v>
                </c:pt>
                <c:pt idx="102">
                  <c:v>2010Feb</c:v>
                </c:pt>
                <c:pt idx="103">
                  <c:v>2010Jan</c:v>
                </c:pt>
                <c:pt idx="104">
                  <c:v>2009Dec</c:v>
                </c:pt>
                <c:pt idx="105">
                  <c:v>2009Nov</c:v>
                </c:pt>
                <c:pt idx="106">
                  <c:v>2009Oct</c:v>
                </c:pt>
                <c:pt idx="107">
                  <c:v>2009Sep</c:v>
                </c:pt>
                <c:pt idx="108">
                  <c:v>2009Aug</c:v>
                </c:pt>
                <c:pt idx="109">
                  <c:v>2009Jul</c:v>
                </c:pt>
                <c:pt idx="110">
                  <c:v>2009Jun</c:v>
                </c:pt>
                <c:pt idx="111">
                  <c:v>2009May</c:v>
                </c:pt>
                <c:pt idx="112">
                  <c:v>2009Apr</c:v>
                </c:pt>
                <c:pt idx="113">
                  <c:v>2009Mar</c:v>
                </c:pt>
                <c:pt idx="114">
                  <c:v>2009Feb</c:v>
                </c:pt>
                <c:pt idx="115">
                  <c:v>2009Jan</c:v>
                </c:pt>
                <c:pt idx="116">
                  <c:v>2008Dec</c:v>
                </c:pt>
                <c:pt idx="117">
                  <c:v>2008Nov</c:v>
                </c:pt>
                <c:pt idx="118">
                  <c:v>2008Oct</c:v>
                </c:pt>
                <c:pt idx="119">
                  <c:v>2008Sep</c:v>
                </c:pt>
                <c:pt idx="120">
                  <c:v>2008Aug</c:v>
                </c:pt>
                <c:pt idx="121">
                  <c:v>2008Jul</c:v>
                </c:pt>
                <c:pt idx="122">
                  <c:v>2008Jun</c:v>
                </c:pt>
                <c:pt idx="123">
                  <c:v>2008May</c:v>
                </c:pt>
                <c:pt idx="124">
                  <c:v>2008Apr</c:v>
                </c:pt>
                <c:pt idx="125">
                  <c:v>2008Mar</c:v>
                </c:pt>
                <c:pt idx="126">
                  <c:v>2008Feb</c:v>
                </c:pt>
                <c:pt idx="127">
                  <c:v>2008Jan</c:v>
                </c:pt>
                <c:pt idx="128">
                  <c:v>2007Dec</c:v>
                </c:pt>
                <c:pt idx="129">
                  <c:v>2007Nov</c:v>
                </c:pt>
                <c:pt idx="130">
                  <c:v>2007Oct</c:v>
                </c:pt>
                <c:pt idx="131">
                  <c:v>2007Sep</c:v>
                </c:pt>
                <c:pt idx="132">
                  <c:v>2007Aug</c:v>
                </c:pt>
                <c:pt idx="133">
                  <c:v>2007Jul</c:v>
                </c:pt>
                <c:pt idx="134">
                  <c:v>2007Jun</c:v>
                </c:pt>
                <c:pt idx="135">
                  <c:v>2007May</c:v>
                </c:pt>
                <c:pt idx="136">
                  <c:v>2007Apr</c:v>
                </c:pt>
                <c:pt idx="137">
                  <c:v>2007Mar</c:v>
                </c:pt>
                <c:pt idx="138">
                  <c:v>2007Feb</c:v>
                </c:pt>
                <c:pt idx="139">
                  <c:v>2007Jan</c:v>
                </c:pt>
                <c:pt idx="140">
                  <c:v>2006Dec</c:v>
                </c:pt>
                <c:pt idx="141">
                  <c:v>2006Nov</c:v>
                </c:pt>
                <c:pt idx="142">
                  <c:v>2006Oct</c:v>
                </c:pt>
                <c:pt idx="143">
                  <c:v>2006Sep</c:v>
                </c:pt>
                <c:pt idx="144">
                  <c:v>2006Aug</c:v>
                </c:pt>
                <c:pt idx="145">
                  <c:v>2006Jul</c:v>
                </c:pt>
                <c:pt idx="146">
                  <c:v>2006Jun</c:v>
                </c:pt>
                <c:pt idx="147">
                  <c:v>2006May</c:v>
                </c:pt>
                <c:pt idx="148">
                  <c:v>2006Apr</c:v>
                </c:pt>
                <c:pt idx="149">
                  <c:v>2006Mar</c:v>
                </c:pt>
                <c:pt idx="150">
                  <c:v>2006Feb</c:v>
                </c:pt>
                <c:pt idx="151">
                  <c:v>2006Jan</c:v>
                </c:pt>
                <c:pt idx="152">
                  <c:v>2005Dec</c:v>
                </c:pt>
                <c:pt idx="153">
                  <c:v>2005Nov</c:v>
                </c:pt>
                <c:pt idx="154">
                  <c:v>2005Oct</c:v>
                </c:pt>
                <c:pt idx="155">
                  <c:v>2005Sep</c:v>
                </c:pt>
                <c:pt idx="156">
                  <c:v>2005Aug</c:v>
                </c:pt>
                <c:pt idx="157">
                  <c:v>2005Jul</c:v>
                </c:pt>
                <c:pt idx="158">
                  <c:v>2005Jun</c:v>
                </c:pt>
                <c:pt idx="159">
                  <c:v>2005May</c:v>
                </c:pt>
                <c:pt idx="160">
                  <c:v>2005Apr</c:v>
                </c:pt>
                <c:pt idx="161">
                  <c:v>2005Mar</c:v>
                </c:pt>
                <c:pt idx="162">
                  <c:v>2005Feb</c:v>
                </c:pt>
                <c:pt idx="163">
                  <c:v>2005Jan</c:v>
                </c:pt>
                <c:pt idx="164">
                  <c:v>2004Dec</c:v>
                </c:pt>
                <c:pt idx="165">
                  <c:v>2004Nov</c:v>
                </c:pt>
                <c:pt idx="166">
                  <c:v>2004Oct</c:v>
                </c:pt>
                <c:pt idx="167">
                  <c:v>2004Sep</c:v>
                </c:pt>
                <c:pt idx="168">
                  <c:v>2004Aug</c:v>
                </c:pt>
                <c:pt idx="169">
                  <c:v>2004Jul</c:v>
                </c:pt>
                <c:pt idx="170">
                  <c:v>2004Jun</c:v>
                </c:pt>
                <c:pt idx="171">
                  <c:v>2004May</c:v>
                </c:pt>
                <c:pt idx="172">
                  <c:v>2004Apr</c:v>
                </c:pt>
                <c:pt idx="173">
                  <c:v>2004Mar</c:v>
                </c:pt>
                <c:pt idx="174">
                  <c:v>2004Feb</c:v>
                </c:pt>
                <c:pt idx="175">
                  <c:v>2004Jan</c:v>
                </c:pt>
                <c:pt idx="176">
                  <c:v>2003Dec</c:v>
                </c:pt>
                <c:pt idx="177">
                  <c:v>2003Nov</c:v>
                </c:pt>
                <c:pt idx="178">
                  <c:v>2003Oct</c:v>
                </c:pt>
                <c:pt idx="179">
                  <c:v>2003Sep</c:v>
                </c:pt>
                <c:pt idx="180">
                  <c:v>2003Aug</c:v>
                </c:pt>
                <c:pt idx="181">
                  <c:v>2003Jul</c:v>
                </c:pt>
                <c:pt idx="182">
                  <c:v>2003Jun</c:v>
                </c:pt>
                <c:pt idx="183">
                  <c:v>2003May</c:v>
                </c:pt>
                <c:pt idx="184">
                  <c:v>2003Apr</c:v>
                </c:pt>
                <c:pt idx="185">
                  <c:v>2003Mar</c:v>
                </c:pt>
                <c:pt idx="186">
                  <c:v>2003Feb</c:v>
                </c:pt>
                <c:pt idx="187">
                  <c:v>2003Jan</c:v>
                </c:pt>
                <c:pt idx="188">
                  <c:v>2002Dec</c:v>
                </c:pt>
                <c:pt idx="189">
                  <c:v>2002Nov</c:v>
                </c:pt>
                <c:pt idx="190">
                  <c:v>2002Oct</c:v>
                </c:pt>
                <c:pt idx="191">
                  <c:v>2002Sep</c:v>
                </c:pt>
                <c:pt idx="192">
                  <c:v>2002Aug</c:v>
                </c:pt>
                <c:pt idx="193">
                  <c:v>2002Jul</c:v>
                </c:pt>
                <c:pt idx="194">
                  <c:v>2002Jun</c:v>
                </c:pt>
                <c:pt idx="195">
                  <c:v>2002May</c:v>
                </c:pt>
                <c:pt idx="196">
                  <c:v>2002Apr</c:v>
                </c:pt>
                <c:pt idx="197">
                  <c:v>2002Mar</c:v>
                </c:pt>
                <c:pt idx="198">
                  <c:v>2002Feb</c:v>
                </c:pt>
                <c:pt idx="199">
                  <c:v>2002Jan</c:v>
                </c:pt>
                <c:pt idx="200">
                  <c:v>2001Dec</c:v>
                </c:pt>
                <c:pt idx="201">
                  <c:v>2001Nov</c:v>
                </c:pt>
                <c:pt idx="202">
                  <c:v>2001Oct</c:v>
                </c:pt>
                <c:pt idx="203">
                  <c:v>2001Sep</c:v>
                </c:pt>
                <c:pt idx="204">
                  <c:v>2001Aug</c:v>
                </c:pt>
                <c:pt idx="205">
                  <c:v>2001Jul</c:v>
                </c:pt>
                <c:pt idx="206">
                  <c:v>2001Jun</c:v>
                </c:pt>
                <c:pt idx="207">
                  <c:v>2001May</c:v>
                </c:pt>
                <c:pt idx="208">
                  <c:v>2001Apr</c:v>
                </c:pt>
                <c:pt idx="209">
                  <c:v>2001Mar</c:v>
                </c:pt>
                <c:pt idx="210">
                  <c:v>2001Feb</c:v>
                </c:pt>
                <c:pt idx="211">
                  <c:v>2001Jan</c:v>
                </c:pt>
                <c:pt idx="212">
                  <c:v>2000Dec</c:v>
                </c:pt>
                <c:pt idx="213">
                  <c:v>2000Nov</c:v>
                </c:pt>
                <c:pt idx="214">
                  <c:v>2000Oct</c:v>
                </c:pt>
                <c:pt idx="215">
                  <c:v>2000Sep</c:v>
                </c:pt>
                <c:pt idx="216">
                  <c:v>2000Aug</c:v>
                </c:pt>
                <c:pt idx="217">
                  <c:v>2000Jul</c:v>
                </c:pt>
                <c:pt idx="218">
                  <c:v>2000Jun</c:v>
                </c:pt>
                <c:pt idx="219">
                  <c:v>2000May</c:v>
                </c:pt>
                <c:pt idx="220">
                  <c:v>2000Apr</c:v>
                </c:pt>
                <c:pt idx="221">
                  <c:v>2000Mar</c:v>
                </c:pt>
                <c:pt idx="222">
                  <c:v>2000Feb</c:v>
                </c:pt>
                <c:pt idx="223">
                  <c:v>2000Jan</c:v>
                </c:pt>
              </c:strCache>
            </c:strRef>
          </c:cat>
          <c:val>
            <c:numRef>
              <c:f>data!$M$4:$M$227</c:f>
              <c:numCache>
                <c:formatCode>General</c:formatCode>
                <c:ptCount val="224"/>
                <c:pt idx="0">
                  <c:v>1.82</c:v>
                </c:pt>
                <c:pt idx="1">
                  <c:v>1.76</c:v>
                </c:pt>
                <c:pt idx="2">
                  <c:v>1.87</c:v>
                </c:pt>
                <c:pt idx="3">
                  <c:v>1.84</c:v>
                </c:pt>
                <c:pt idx="4">
                  <c:v>1.66</c:v>
                </c:pt>
                <c:pt idx="5">
                  <c:v>1.79</c:v>
                </c:pt>
                <c:pt idx="6">
                  <c:v>2.0299999999999998</c:v>
                </c:pt>
                <c:pt idx="7">
                  <c:v>1.85</c:v>
                </c:pt>
                <c:pt idx="8">
                  <c:v>1.83</c:v>
                </c:pt>
                <c:pt idx="9">
                  <c:v>1.98</c:v>
                </c:pt>
                <c:pt idx="10">
                  <c:v>2.3199999999999998</c:v>
                </c:pt>
                <c:pt idx="11">
                  <c:v>2.63</c:v>
                </c:pt>
                <c:pt idx="12">
                  <c:v>2.83</c:v>
                </c:pt>
                <c:pt idx="13">
                  <c:v>3.02</c:v>
                </c:pt>
                <c:pt idx="14">
                  <c:v>2.97</c:v>
                </c:pt>
                <c:pt idx="15">
                  <c:v>3.29</c:v>
                </c:pt>
                <c:pt idx="16">
                  <c:v>3.77</c:v>
                </c:pt>
                <c:pt idx="17">
                  <c:v>3.99</c:v>
                </c:pt>
                <c:pt idx="18">
                  <c:v>4.04</c:v>
                </c:pt>
                <c:pt idx="19">
                  <c:v>3.95</c:v>
                </c:pt>
                <c:pt idx="20">
                  <c:v>3.74</c:v>
                </c:pt>
                <c:pt idx="21">
                  <c:v>3.51</c:v>
                </c:pt>
                <c:pt idx="22">
                  <c:v>3.33</c:v>
                </c:pt>
                <c:pt idx="23">
                  <c:v>3.26</c:v>
                </c:pt>
                <c:pt idx="24">
                  <c:v>2.91</c:v>
                </c:pt>
                <c:pt idx="25">
                  <c:v>3.06</c:v>
                </c:pt>
                <c:pt idx="26">
                  <c:v>3.2</c:v>
                </c:pt>
                <c:pt idx="27">
                  <c:v>3.15</c:v>
                </c:pt>
                <c:pt idx="28">
                  <c:v>3.13</c:v>
                </c:pt>
                <c:pt idx="29">
                  <c:v>2.84</c:v>
                </c:pt>
                <c:pt idx="30">
                  <c:v>3.23</c:v>
                </c:pt>
                <c:pt idx="31">
                  <c:v>2.71</c:v>
                </c:pt>
                <c:pt idx="32">
                  <c:v>2.4900000000000002</c:v>
                </c:pt>
                <c:pt idx="33">
                  <c:v>2.57</c:v>
                </c:pt>
                <c:pt idx="34">
                  <c:v>2.41</c:v>
                </c:pt>
                <c:pt idx="35">
                  <c:v>2.59</c:v>
                </c:pt>
                <c:pt idx="36">
                  <c:v>2.52</c:v>
                </c:pt>
                <c:pt idx="37">
                  <c:v>2.74</c:v>
                </c:pt>
                <c:pt idx="38">
                  <c:v>2.93</c:v>
                </c:pt>
                <c:pt idx="39">
                  <c:v>2.41</c:v>
                </c:pt>
                <c:pt idx="40">
                  <c:v>1.87</c:v>
                </c:pt>
                <c:pt idx="41">
                  <c:v>1.74</c:v>
                </c:pt>
                <c:pt idx="42">
                  <c:v>2.3199999999999998</c:v>
                </c:pt>
                <c:pt idx="43">
                  <c:v>2.4900000000000002</c:v>
                </c:pt>
                <c:pt idx="44">
                  <c:v>2.81</c:v>
                </c:pt>
                <c:pt idx="45">
                  <c:v>3.13</c:v>
                </c:pt>
                <c:pt idx="46">
                  <c:v>3.21</c:v>
                </c:pt>
                <c:pt idx="47">
                  <c:v>3.18</c:v>
                </c:pt>
                <c:pt idx="48">
                  <c:v>3.47</c:v>
                </c:pt>
                <c:pt idx="49">
                  <c:v>3.69</c:v>
                </c:pt>
                <c:pt idx="50">
                  <c:v>3.5</c:v>
                </c:pt>
                <c:pt idx="51">
                  <c:v>3.66</c:v>
                </c:pt>
                <c:pt idx="52">
                  <c:v>3.82</c:v>
                </c:pt>
                <c:pt idx="53">
                  <c:v>4.43</c:v>
                </c:pt>
                <c:pt idx="54">
                  <c:v>4.93</c:v>
                </c:pt>
                <c:pt idx="55">
                  <c:v>5.21</c:v>
                </c:pt>
                <c:pt idx="56">
                  <c:v>6.04</c:v>
                </c:pt>
                <c:pt idx="57">
                  <c:v>5.98</c:v>
                </c:pt>
                <c:pt idx="58">
                  <c:v>6.33</c:v>
                </c:pt>
                <c:pt idx="59">
                  <c:v>7.06</c:v>
                </c:pt>
                <c:pt idx="60">
                  <c:v>6.6</c:v>
                </c:pt>
                <c:pt idx="61">
                  <c:v>6.87</c:v>
                </c:pt>
                <c:pt idx="62">
                  <c:v>6.3</c:v>
                </c:pt>
                <c:pt idx="63">
                  <c:v>5.46</c:v>
                </c:pt>
                <c:pt idx="64">
                  <c:v>6.15</c:v>
                </c:pt>
                <c:pt idx="65">
                  <c:v>6.1</c:v>
                </c:pt>
                <c:pt idx="66">
                  <c:v>6.4</c:v>
                </c:pt>
                <c:pt idx="67">
                  <c:v>6.24</c:v>
                </c:pt>
                <c:pt idx="68">
                  <c:v>7.25</c:v>
                </c:pt>
                <c:pt idx="69">
                  <c:v>8.32</c:v>
                </c:pt>
                <c:pt idx="70">
                  <c:v>8.17</c:v>
                </c:pt>
                <c:pt idx="71">
                  <c:v>8.6199999999999992</c:v>
                </c:pt>
                <c:pt idx="72">
                  <c:v>9.8800000000000008</c:v>
                </c:pt>
                <c:pt idx="73">
                  <c:v>10.49</c:v>
                </c:pt>
                <c:pt idx="74">
                  <c:v>10.56</c:v>
                </c:pt>
                <c:pt idx="75">
                  <c:v>11.59</c:v>
                </c:pt>
                <c:pt idx="76">
                  <c:v>12.01</c:v>
                </c:pt>
                <c:pt idx="77">
                  <c:v>13.01</c:v>
                </c:pt>
                <c:pt idx="78">
                  <c:v>12.81</c:v>
                </c:pt>
                <c:pt idx="79">
                  <c:v>13.85</c:v>
                </c:pt>
                <c:pt idx="80">
                  <c:v>13.08</c:v>
                </c:pt>
                <c:pt idx="81">
                  <c:v>11.89</c:v>
                </c:pt>
                <c:pt idx="82">
                  <c:v>11.72</c:v>
                </c:pt>
                <c:pt idx="83">
                  <c:v>11.34</c:v>
                </c:pt>
                <c:pt idx="84">
                  <c:v>10.93</c:v>
                </c:pt>
                <c:pt idx="85">
                  <c:v>12.15</c:v>
                </c:pt>
                <c:pt idx="86">
                  <c:v>10.87</c:v>
                </c:pt>
                <c:pt idx="87">
                  <c:v>9.6300000000000008</c:v>
                </c:pt>
                <c:pt idx="88">
                  <c:v>9.19</c:v>
                </c:pt>
                <c:pt idx="89">
                  <c:v>7.8</c:v>
                </c:pt>
                <c:pt idx="90">
                  <c:v>7.34</c:v>
                </c:pt>
                <c:pt idx="91">
                  <c:v>6.95</c:v>
                </c:pt>
                <c:pt idx="92">
                  <c:v>6.53</c:v>
                </c:pt>
                <c:pt idx="93">
                  <c:v>6.91</c:v>
                </c:pt>
                <c:pt idx="94">
                  <c:v>6.05</c:v>
                </c:pt>
                <c:pt idx="95">
                  <c:v>6.08</c:v>
                </c:pt>
                <c:pt idx="96">
                  <c:v>5.31</c:v>
                </c:pt>
                <c:pt idx="97">
                  <c:v>5.49</c:v>
                </c:pt>
                <c:pt idx="98">
                  <c:v>5.54</c:v>
                </c:pt>
                <c:pt idx="99">
                  <c:v>5.0199999999999996</c:v>
                </c:pt>
                <c:pt idx="100">
                  <c:v>4.78</c:v>
                </c:pt>
                <c:pt idx="101">
                  <c:v>4.3099999999999996</c:v>
                </c:pt>
                <c:pt idx="102">
                  <c:v>4.5599999999999996</c:v>
                </c:pt>
                <c:pt idx="103">
                  <c:v>4.17</c:v>
                </c:pt>
                <c:pt idx="104">
                  <c:v>3.91</c:v>
                </c:pt>
                <c:pt idx="105">
                  <c:v>3.8</c:v>
                </c:pt>
                <c:pt idx="106">
                  <c:v>3.85</c:v>
                </c:pt>
                <c:pt idx="107">
                  <c:v>3.94</c:v>
                </c:pt>
                <c:pt idx="108">
                  <c:v>3.95</c:v>
                </c:pt>
                <c:pt idx="109">
                  <c:v>4.25</c:v>
                </c:pt>
                <c:pt idx="110">
                  <c:v>4.5</c:v>
                </c:pt>
                <c:pt idx="111">
                  <c:v>4.29</c:v>
                </c:pt>
                <c:pt idx="112">
                  <c:v>4.53</c:v>
                </c:pt>
                <c:pt idx="113">
                  <c:v>4.68</c:v>
                </c:pt>
                <c:pt idx="114">
                  <c:v>4.5199999999999996</c:v>
                </c:pt>
                <c:pt idx="115">
                  <c:v>4.32</c:v>
                </c:pt>
                <c:pt idx="116">
                  <c:v>4</c:v>
                </c:pt>
                <c:pt idx="117">
                  <c:v>4.3499999999999996</c:v>
                </c:pt>
                <c:pt idx="118">
                  <c:v>4.5599999999999996</c:v>
                </c:pt>
                <c:pt idx="119">
                  <c:v>4.66</c:v>
                </c:pt>
                <c:pt idx="120">
                  <c:v>4.6900000000000004</c:v>
                </c:pt>
                <c:pt idx="121">
                  <c:v>4.95</c:v>
                </c:pt>
                <c:pt idx="122">
                  <c:v>4.96</c:v>
                </c:pt>
                <c:pt idx="123">
                  <c:v>4.5999999999999996</c:v>
                </c:pt>
                <c:pt idx="124">
                  <c:v>4.5199999999999996</c:v>
                </c:pt>
                <c:pt idx="125">
                  <c:v>4.3600000000000003</c:v>
                </c:pt>
                <c:pt idx="126">
                  <c:v>4.2699999999999996</c:v>
                </c:pt>
                <c:pt idx="127">
                  <c:v>4.3099999999999996</c:v>
                </c:pt>
                <c:pt idx="128">
                  <c:v>4.47</c:v>
                </c:pt>
                <c:pt idx="129">
                  <c:v>4.3600000000000003</c:v>
                </c:pt>
                <c:pt idx="130">
                  <c:v>4.5199999999999996</c:v>
                </c:pt>
                <c:pt idx="131">
                  <c:v>4.5</c:v>
                </c:pt>
                <c:pt idx="132">
                  <c:v>4.55</c:v>
                </c:pt>
                <c:pt idx="133">
                  <c:v>4.7300000000000004</c:v>
                </c:pt>
                <c:pt idx="134">
                  <c:v>4.75</c:v>
                </c:pt>
                <c:pt idx="135">
                  <c:v>4.4400000000000004</c:v>
                </c:pt>
                <c:pt idx="136">
                  <c:v>4.3</c:v>
                </c:pt>
                <c:pt idx="137">
                  <c:v>4.0999999999999996</c:v>
                </c:pt>
                <c:pt idx="138">
                  <c:v>4.1900000000000004</c:v>
                </c:pt>
                <c:pt idx="139">
                  <c:v>4.18</c:v>
                </c:pt>
                <c:pt idx="140">
                  <c:v>3.96</c:v>
                </c:pt>
                <c:pt idx="141">
                  <c:v>3.89</c:v>
                </c:pt>
                <c:pt idx="142">
                  <c:v>3.98</c:v>
                </c:pt>
                <c:pt idx="143">
                  <c:v>3.93</c:v>
                </c:pt>
                <c:pt idx="144">
                  <c:v>4.0599999999999996</c:v>
                </c:pt>
                <c:pt idx="145">
                  <c:v>4.1399999999999997</c:v>
                </c:pt>
                <c:pt idx="146">
                  <c:v>4.0999999999999996</c:v>
                </c:pt>
                <c:pt idx="147">
                  <c:v>4.07</c:v>
                </c:pt>
                <c:pt idx="148">
                  <c:v>4.03</c:v>
                </c:pt>
                <c:pt idx="149">
                  <c:v>3.77</c:v>
                </c:pt>
                <c:pt idx="150">
                  <c:v>3.6</c:v>
                </c:pt>
                <c:pt idx="151">
                  <c:v>3.45</c:v>
                </c:pt>
                <c:pt idx="152">
                  <c:v>3.46</c:v>
                </c:pt>
                <c:pt idx="153">
                  <c:v>3.58</c:v>
                </c:pt>
                <c:pt idx="154">
                  <c:v>3.39</c:v>
                </c:pt>
                <c:pt idx="155">
                  <c:v>3.23</c:v>
                </c:pt>
                <c:pt idx="156">
                  <c:v>3.39</c:v>
                </c:pt>
                <c:pt idx="157">
                  <c:v>3.35</c:v>
                </c:pt>
                <c:pt idx="158">
                  <c:v>3.19</c:v>
                </c:pt>
                <c:pt idx="159">
                  <c:v>3.35</c:v>
                </c:pt>
                <c:pt idx="160">
                  <c:v>3.5</c:v>
                </c:pt>
                <c:pt idx="161">
                  <c:v>3.7</c:v>
                </c:pt>
                <c:pt idx="162">
                  <c:v>3.55</c:v>
                </c:pt>
                <c:pt idx="163">
                  <c:v>3.56</c:v>
                </c:pt>
                <c:pt idx="164">
                  <c:v>3.64</c:v>
                </c:pt>
                <c:pt idx="165">
                  <c:v>3.86</c:v>
                </c:pt>
                <c:pt idx="166">
                  <c:v>3.99</c:v>
                </c:pt>
                <c:pt idx="167">
                  <c:v>4.12</c:v>
                </c:pt>
                <c:pt idx="168">
                  <c:v>4.18</c:v>
                </c:pt>
                <c:pt idx="169">
                  <c:v>4.3499999999999996</c:v>
                </c:pt>
                <c:pt idx="170">
                  <c:v>4.47</c:v>
                </c:pt>
                <c:pt idx="171">
                  <c:v>4.42</c:v>
                </c:pt>
                <c:pt idx="172">
                  <c:v>4.25</c:v>
                </c:pt>
                <c:pt idx="173">
                  <c:v>4</c:v>
                </c:pt>
                <c:pt idx="174">
                  <c:v>4.1900000000000004</c:v>
                </c:pt>
                <c:pt idx="175">
                  <c:v>4.25</c:v>
                </c:pt>
                <c:pt idx="176">
                  <c:v>4.4000000000000004</c:v>
                </c:pt>
                <c:pt idx="177">
                  <c:v>4.4800000000000004</c:v>
                </c:pt>
                <c:pt idx="178">
                  <c:v>4.3600000000000003</c:v>
                </c:pt>
                <c:pt idx="179">
                  <c:v>4.29</c:v>
                </c:pt>
                <c:pt idx="180">
                  <c:v>4.26</c:v>
                </c:pt>
                <c:pt idx="181">
                  <c:v>4.0999999999999996</c:v>
                </c:pt>
                <c:pt idx="182">
                  <c:v>3.77</c:v>
                </c:pt>
                <c:pt idx="183">
                  <c:v>3.91</c:v>
                </c:pt>
                <c:pt idx="184">
                  <c:v>4.18</c:v>
                </c:pt>
                <c:pt idx="185">
                  <c:v>4.08</c:v>
                </c:pt>
                <c:pt idx="186">
                  <c:v>4.04</c:v>
                </c:pt>
                <c:pt idx="187">
                  <c:v>4.2699999999999996</c:v>
                </c:pt>
                <c:pt idx="188">
                  <c:v>4.45</c:v>
                </c:pt>
                <c:pt idx="189">
                  <c:v>4.66</c:v>
                </c:pt>
                <c:pt idx="190">
                  <c:v>4.7</c:v>
                </c:pt>
                <c:pt idx="191">
                  <c:v>4.63</c:v>
                </c:pt>
                <c:pt idx="192">
                  <c:v>4.8499999999999996</c:v>
                </c:pt>
                <c:pt idx="193">
                  <c:v>5.12</c:v>
                </c:pt>
                <c:pt idx="194">
                  <c:v>5.26</c:v>
                </c:pt>
                <c:pt idx="195">
                  <c:v>5.4</c:v>
                </c:pt>
                <c:pt idx="196">
                  <c:v>5.39</c:v>
                </c:pt>
                <c:pt idx="197">
                  <c:v>5.39</c:v>
                </c:pt>
                <c:pt idx="198">
                  <c:v>5.15</c:v>
                </c:pt>
                <c:pt idx="199">
                  <c:v>5.08</c:v>
                </c:pt>
                <c:pt idx="200">
                  <c:v>5.01</c:v>
                </c:pt>
                <c:pt idx="201">
                  <c:v>4.76</c:v>
                </c:pt>
                <c:pt idx="202">
                  <c:v>4.92</c:v>
                </c:pt>
                <c:pt idx="203">
                  <c:v>5.17</c:v>
                </c:pt>
                <c:pt idx="204">
                  <c:v>5.19</c:v>
                </c:pt>
                <c:pt idx="205">
                  <c:v>5.39</c:v>
                </c:pt>
                <c:pt idx="206">
                  <c:v>5.38</c:v>
                </c:pt>
                <c:pt idx="207">
                  <c:v>5.42</c:v>
                </c:pt>
                <c:pt idx="208">
                  <c:v>5.26</c:v>
                </c:pt>
                <c:pt idx="209">
                  <c:v>5.09</c:v>
                </c:pt>
                <c:pt idx="210">
                  <c:v>5.14</c:v>
                </c:pt>
                <c:pt idx="211">
                  <c:v>5.16</c:v>
                </c:pt>
                <c:pt idx="212">
                  <c:v>5.28</c:v>
                </c:pt>
                <c:pt idx="213">
                  <c:v>5.53</c:v>
                </c:pt>
                <c:pt idx="214">
                  <c:v>5.58</c:v>
                </c:pt>
                <c:pt idx="215">
                  <c:v>5.63</c:v>
                </c:pt>
                <c:pt idx="216">
                  <c:v>5.57</c:v>
                </c:pt>
                <c:pt idx="217">
                  <c:v>5.61</c:v>
                </c:pt>
                <c:pt idx="218">
                  <c:v>5.54</c:v>
                </c:pt>
                <c:pt idx="219">
                  <c:v>5.68</c:v>
                </c:pt>
                <c:pt idx="220">
                  <c:v>5.52</c:v>
                </c:pt>
                <c:pt idx="221">
                  <c:v>5.61</c:v>
                </c:pt>
                <c:pt idx="222">
                  <c:v>5.78</c:v>
                </c:pt>
                <c:pt idx="223">
                  <c:v>5.81</c:v>
                </c:pt>
              </c:numCache>
            </c:numRef>
          </c:val>
          <c:smooth val="0"/>
          <c:extLst>
            <c:ext xmlns:c16="http://schemas.microsoft.com/office/drawing/2014/chart" uri="{C3380CC4-5D6E-409C-BE32-E72D297353CC}">
              <c16:uniqueId val="{0000000B-E765-4C20-8431-542026E1F106}"/>
            </c:ext>
          </c:extLst>
        </c:ser>
        <c:dLbls>
          <c:showLegendKey val="0"/>
          <c:showVal val="0"/>
          <c:showCatName val="0"/>
          <c:showSerName val="0"/>
          <c:showPercent val="0"/>
          <c:showBubbleSize val="0"/>
        </c:dLbls>
        <c:smooth val="0"/>
        <c:axId val="477848160"/>
        <c:axId val="477846984"/>
      </c:lineChart>
      <c:catAx>
        <c:axId val="477848160"/>
        <c:scaling>
          <c:orientation val="maxMin"/>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77846984"/>
        <c:crosses val="autoZero"/>
        <c:auto val="1"/>
        <c:lblAlgn val="ctr"/>
        <c:lblOffset val="100"/>
        <c:noMultiLvlLbl val="0"/>
      </c:catAx>
      <c:valAx>
        <c:axId val="47784698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77848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noFill/>
    <a:ln w="9525" cap="flat" cmpd="sng" algn="ctr">
      <a:no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areaChart>
        <c:grouping val="stacked"/>
        <c:varyColors val="0"/>
        <c:ser>
          <c:idx val="0"/>
          <c:order val="0"/>
          <c:tx>
            <c:strRef>
              <c:f>Hoja1!$B$20</c:f>
              <c:strCache>
                <c:ptCount val="1"/>
                <c:pt idx="0">
                  <c:v>Germany</c:v>
                </c:pt>
              </c:strCache>
            </c:strRef>
          </c:tx>
          <c:spPr>
            <a:solidFill>
              <a:schemeClr val="accent1">
                <a:shade val="50000"/>
              </a:schemeClr>
            </a:solidFill>
            <a:ln w="25400">
              <a:noFill/>
            </a:ln>
            <a:effectLst/>
          </c:spPr>
          <c:cat>
            <c:strRef>
              <c:f>Hoja1!$C$6:$Q$6</c:f>
              <c:strCache>
                <c:ptCount val="14"/>
                <c:pt idx="0">
                  <c:v>Q1 2014</c:v>
                </c:pt>
                <c:pt idx="1">
                  <c:v>Q2 2014</c:v>
                </c:pt>
                <c:pt idx="2">
                  <c:v>Q3 2014</c:v>
                </c:pt>
                <c:pt idx="3">
                  <c:v>Q4 2014</c:v>
                </c:pt>
                <c:pt idx="4">
                  <c:v>Q1 2015</c:v>
                </c:pt>
                <c:pt idx="5">
                  <c:v>Q2 2015</c:v>
                </c:pt>
                <c:pt idx="6">
                  <c:v>Q3 2015</c:v>
                </c:pt>
                <c:pt idx="7">
                  <c:v>Q4 2015</c:v>
                </c:pt>
                <c:pt idx="8">
                  <c:v>Q1 2016</c:v>
                </c:pt>
                <c:pt idx="9">
                  <c:v>Q2 2016</c:v>
                </c:pt>
                <c:pt idx="10">
                  <c:v>Q3 2016</c:v>
                </c:pt>
                <c:pt idx="11">
                  <c:v>Q4 2016</c:v>
                </c:pt>
                <c:pt idx="12">
                  <c:v>Q1 2017</c:v>
                </c:pt>
                <c:pt idx="13">
                  <c:v>Q2 2017</c:v>
                </c:pt>
              </c:strCache>
            </c:strRef>
          </c:cat>
          <c:val>
            <c:numRef>
              <c:f>Hoja1!$C$20:$Q$20</c:f>
              <c:numCache>
                <c:formatCode>#,##0.00</c:formatCode>
                <c:ptCount val="15"/>
                <c:pt idx="0">
                  <c:v>4.4398999999999997</c:v>
                </c:pt>
                <c:pt idx="1">
                  <c:v>4.4398999999999997</c:v>
                </c:pt>
                <c:pt idx="2">
                  <c:v>4.4398999999999997</c:v>
                </c:pt>
                <c:pt idx="3">
                  <c:v>4.4398</c:v>
                </c:pt>
                <c:pt idx="4">
                  <c:v>12.3348</c:v>
                </c:pt>
                <c:pt idx="5">
                  <c:v>34.309800000000003</c:v>
                </c:pt>
                <c:pt idx="6">
                  <c:v>54.989800000000002</c:v>
                </c:pt>
                <c:pt idx="7">
                  <c:v>77.219800000000006</c:v>
                </c:pt>
                <c:pt idx="8">
                  <c:v>100.05080000000001</c:v>
                </c:pt>
                <c:pt idx="9">
                  <c:v>133.29679999999999</c:v>
                </c:pt>
                <c:pt idx="10">
                  <c:v>163.63579999999999</c:v>
                </c:pt>
                <c:pt idx="11">
                  <c:v>196.3</c:v>
                </c:pt>
                <c:pt idx="12">
                  <c:v>230.5</c:v>
                </c:pt>
                <c:pt idx="13" formatCode="General">
                  <c:v>255.8</c:v>
                </c:pt>
                <c:pt idx="14" formatCode="General">
                  <c:v>280.89999999999998</c:v>
                </c:pt>
              </c:numCache>
            </c:numRef>
          </c:val>
          <c:extLst>
            <c:ext xmlns:c16="http://schemas.microsoft.com/office/drawing/2014/chart" uri="{C3380CC4-5D6E-409C-BE32-E72D297353CC}">
              <c16:uniqueId val="{00000000-12B1-4278-9C2E-10AF00C0EE3D}"/>
            </c:ext>
          </c:extLst>
        </c:ser>
        <c:ser>
          <c:idx val="1"/>
          <c:order val="1"/>
          <c:tx>
            <c:strRef>
              <c:f>Hoja1!$B$21</c:f>
              <c:strCache>
                <c:ptCount val="1"/>
                <c:pt idx="0">
                  <c:v>Ireland</c:v>
                </c:pt>
              </c:strCache>
            </c:strRef>
          </c:tx>
          <c:spPr>
            <a:solidFill>
              <a:schemeClr val="accent1">
                <a:shade val="70000"/>
              </a:schemeClr>
            </a:solidFill>
            <a:ln w="25400">
              <a:noFill/>
            </a:ln>
            <a:effectLst/>
          </c:spPr>
          <c:cat>
            <c:strRef>
              <c:f>Hoja1!$C$6:$Q$6</c:f>
              <c:strCache>
                <c:ptCount val="14"/>
                <c:pt idx="0">
                  <c:v>Q1 2014</c:v>
                </c:pt>
                <c:pt idx="1">
                  <c:v>Q2 2014</c:v>
                </c:pt>
                <c:pt idx="2">
                  <c:v>Q3 2014</c:v>
                </c:pt>
                <c:pt idx="3">
                  <c:v>Q4 2014</c:v>
                </c:pt>
                <c:pt idx="4">
                  <c:v>Q1 2015</c:v>
                </c:pt>
                <c:pt idx="5">
                  <c:v>Q2 2015</c:v>
                </c:pt>
                <c:pt idx="6">
                  <c:v>Q3 2015</c:v>
                </c:pt>
                <c:pt idx="7">
                  <c:v>Q4 2015</c:v>
                </c:pt>
                <c:pt idx="8">
                  <c:v>Q1 2016</c:v>
                </c:pt>
                <c:pt idx="9">
                  <c:v>Q2 2016</c:v>
                </c:pt>
                <c:pt idx="10">
                  <c:v>Q3 2016</c:v>
                </c:pt>
                <c:pt idx="11">
                  <c:v>Q4 2016</c:v>
                </c:pt>
                <c:pt idx="12">
                  <c:v>Q1 2017</c:v>
                </c:pt>
                <c:pt idx="13">
                  <c:v>Q2 2017</c:v>
                </c:pt>
              </c:strCache>
            </c:strRef>
          </c:cat>
          <c:val>
            <c:numRef>
              <c:f>Hoja1!$C$21:$Q$21</c:f>
              <c:numCache>
                <c:formatCode>#,##0.00</c:formatCode>
                <c:ptCount val="15"/>
                <c:pt idx="0">
                  <c:v>49.003999999999998</c:v>
                </c:pt>
                <c:pt idx="1">
                  <c:v>49.345999999999997</c:v>
                </c:pt>
                <c:pt idx="2">
                  <c:v>48.65</c:v>
                </c:pt>
                <c:pt idx="3">
                  <c:v>47.59</c:v>
                </c:pt>
                <c:pt idx="4">
                  <c:v>44.521000000000001</c:v>
                </c:pt>
                <c:pt idx="5">
                  <c:v>44.686</c:v>
                </c:pt>
                <c:pt idx="6">
                  <c:v>45.981000000000002</c:v>
                </c:pt>
                <c:pt idx="7">
                  <c:v>46.948999999999998</c:v>
                </c:pt>
                <c:pt idx="8">
                  <c:v>47.658000000000001</c:v>
                </c:pt>
                <c:pt idx="9">
                  <c:v>48.49</c:v>
                </c:pt>
                <c:pt idx="10">
                  <c:v>49.347999999999999</c:v>
                </c:pt>
                <c:pt idx="11">
                  <c:v>51.143000000000001</c:v>
                </c:pt>
                <c:pt idx="12">
                  <c:v>52.069000000000003</c:v>
                </c:pt>
                <c:pt idx="13" formatCode="General">
                  <c:v>52.5</c:v>
                </c:pt>
                <c:pt idx="14" formatCode="General">
                  <c:v>53.1</c:v>
                </c:pt>
              </c:numCache>
            </c:numRef>
          </c:val>
          <c:extLst>
            <c:ext xmlns:c16="http://schemas.microsoft.com/office/drawing/2014/chart" uri="{C3380CC4-5D6E-409C-BE32-E72D297353CC}">
              <c16:uniqueId val="{00000001-12B1-4278-9C2E-10AF00C0EE3D}"/>
            </c:ext>
          </c:extLst>
        </c:ser>
        <c:ser>
          <c:idx val="2"/>
          <c:order val="2"/>
          <c:tx>
            <c:strRef>
              <c:f>Hoja1!$B$22</c:f>
              <c:strCache>
                <c:ptCount val="1"/>
                <c:pt idx="0">
                  <c:v>Italy</c:v>
                </c:pt>
              </c:strCache>
            </c:strRef>
          </c:tx>
          <c:spPr>
            <a:solidFill>
              <a:schemeClr val="accent1">
                <a:shade val="90000"/>
              </a:schemeClr>
            </a:solidFill>
            <a:ln w="25400">
              <a:noFill/>
            </a:ln>
            <a:effectLst/>
          </c:spPr>
          <c:cat>
            <c:strRef>
              <c:f>Hoja1!$C$6:$Q$6</c:f>
              <c:strCache>
                <c:ptCount val="14"/>
                <c:pt idx="0">
                  <c:v>Q1 2014</c:v>
                </c:pt>
                <c:pt idx="1">
                  <c:v>Q2 2014</c:v>
                </c:pt>
                <c:pt idx="2">
                  <c:v>Q3 2014</c:v>
                </c:pt>
                <c:pt idx="3">
                  <c:v>Q4 2014</c:v>
                </c:pt>
                <c:pt idx="4">
                  <c:v>Q1 2015</c:v>
                </c:pt>
                <c:pt idx="5">
                  <c:v>Q2 2015</c:v>
                </c:pt>
                <c:pt idx="6">
                  <c:v>Q3 2015</c:v>
                </c:pt>
                <c:pt idx="7">
                  <c:v>Q4 2015</c:v>
                </c:pt>
                <c:pt idx="8">
                  <c:v>Q1 2016</c:v>
                </c:pt>
                <c:pt idx="9">
                  <c:v>Q2 2016</c:v>
                </c:pt>
                <c:pt idx="10">
                  <c:v>Q3 2016</c:v>
                </c:pt>
                <c:pt idx="11">
                  <c:v>Q4 2016</c:v>
                </c:pt>
                <c:pt idx="12">
                  <c:v>Q1 2017</c:v>
                </c:pt>
                <c:pt idx="13">
                  <c:v>Q2 2017</c:v>
                </c:pt>
              </c:strCache>
            </c:strRef>
          </c:cat>
          <c:val>
            <c:numRef>
              <c:f>Hoja1!$C$22:$Q$22</c:f>
              <c:numCache>
                <c:formatCode>#,##0.00</c:formatCode>
                <c:ptCount val="15"/>
                <c:pt idx="0">
                  <c:v>100.8514</c:v>
                </c:pt>
                <c:pt idx="1">
                  <c:v>101.1664</c:v>
                </c:pt>
                <c:pt idx="2">
                  <c:v>100.7714</c:v>
                </c:pt>
                <c:pt idx="3">
                  <c:v>101.9876</c:v>
                </c:pt>
                <c:pt idx="4">
                  <c:v>107.73530000000001</c:v>
                </c:pt>
                <c:pt idx="5">
                  <c:v>126.9027</c:v>
                </c:pt>
                <c:pt idx="6">
                  <c:v>145.44889999999998</c:v>
                </c:pt>
                <c:pt idx="7">
                  <c:v>165.15940000000001</c:v>
                </c:pt>
                <c:pt idx="8">
                  <c:v>185.16300000000001</c:v>
                </c:pt>
                <c:pt idx="9">
                  <c:v>216.42270000000002</c:v>
                </c:pt>
                <c:pt idx="10">
                  <c:v>241.1611</c:v>
                </c:pt>
                <c:pt idx="11">
                  <c:v>268.08100000000002</c:v>
                </c:pt>
                <c:pt idx="12">
                  <c:v>297.27870000000001</c:v>
                </c:pt>
                <c:pt idx="13" formatCode="General">
                  <c:v>320.39999999999998</c:v>
                </c:pt>
                <c:pt idx="14" formatCode="General">
                  <c:v>341.5</c:v>
                </c:pt>
              </c:numCache>
            </c:numRef>
          </c:val>
          <c:extLst>
            <c:ext xmlns:c16="http://schemas.microsoft.com/office/drawing/2014/chart" uri="{C3380CC4-5D6E-409C-BE32-E72D297353CC}">
              <c16:uniqueId val="{00000002-12B1-4278-9C2E-10AF00C0EE3D}"/>
            </c:ext>
          </c:extLst>
        </c:ser>
        <c:ser>
          <c:idx val="3"/>
          <c:order val="3"/>
          <c:tx>
            <c:strRef>
              <c:f>Hoja1!$B$23</c:f>
              <c:strCache>
                <c:ptCount val="1"/>
                <c:pt idx="0">
                  <c:v>Spain</c:v>
                </c:pt>
              </c:strCache>
            </c:strRef>
          </c:tx>
          <c:spPr>
            <a:solidFill>
              <a:schemeClr val="accent1">
                <a:tint val="90000"/>
              </a:schemeClr>
            </a:solidFill>
            <a:ln w="25400">
              <a:noFill/>
            </a:ln>
            <a:effectLst/>
          </c:spPr>
          <c:cat>
            <c:strRef>
              <c:f>Hoja1!$C$6:$Q$6</c:f>
              <c:strCache>
                <c:ptCount val="14"/>
                <c:pt idx="0">
                  <c:v>Q1 2014</c:v>
                </c:pt>
                <c:pt idx="1">
                  <c:v>Q2 2014</c:v>
                </c:pt>
                <c:pt idx="2">
                  <c:v>Q3 2014</c:v>
                </c:pt>
                <c:pt idx="3">
                  <c:v>Q4 2014</c:v>
                </c:pt>
                <c:pt idx="4">
                  <c:v>Q1 2015</c:v>
                </c:pt>
                <c:pt idx="5">
                  <c:v>Q2 2015</c:v>
                </c:pt>
                <c:pt idx="6">
                  <c:v>Q3 2015</c:v>
                </c:pt>
                <c:pt idx="7">
                  <c:v>Q4 2015</c:v>
                </c:pt>
                <c:pt idx="8">
                  <c:v>Q1 2016</c:v>
                </c:pt>
                <c:pt idx="9">
                  <c:v>Q2 2016</c:v>
                </c:pt>
                <c:pt idx="10">
                  <c:v>Q3 2016</c:v>
                </c:pt>
                <c:pt idx="11">
                  <c:v>Q4 2016</c:v>
                </c:pt>
                <c:pt idx="12">
                  <c:v>Q1 2017</c:v>
                </c:pt>
                <c:pt idx="13">
                  <c:v>Q2 2017</c:v>
                </c:pt>
              </c:strCache>
            </c:strRef>
          </c:cat>
          <c:val>
            <c:numRef>
              <c:f>Hoja1!$C$23:$Q$23</c:f>
              <c:numCache>
                <c:formatCode>#,##0.00</c:formatCode>
                <c:ptCount val="15"/>
                <c:pt idx="0">
                  <c:v>33.106999999999999</c:v>
                </c:pt>
                <c:pt idx="1">
                  <c:v>33.338999999999999</c:v>
                </c:pt>
                <c:pt idx="2">
                  <c:v>33.743000000000002</c:v>
                </c:pt>
                <c:pt idx="3">
                  <c:v>35.46</c:v>
                </c:pt>
                <c:pt idx="4">
                  <c:v>35.46</c:v>
                </c:pt>
                <c:pt idx="5">
                  <c:v>40.395000000000003</c:v>
                </c:pt>
                <c:pt idx="6">
                  <c:v>54.518999999999998</c:v>
                </c:pt>
                <c:pt idx="7">
                  <c:v>69.284999999999997</c:v>
                </c:pt>
                <c:pt idx="8">
                  <c:v>84.863</c:v>
                </c:pt>
                <c:pt idx="9">
                  <c:v>100.688</c:v>
                </c:pt>
                <c:pt idx="10">
                  <c:v>127.236</c:v>
                </c:pt>
                <c:pt idx="11">
                  <c:v>146.12200000000001</c:v>
                </c:pt>
                <c:pt idx="12">
                  <c:v>164.88399999999999</c:v>
                </c:pt>
                <c:pt idx="13" formatCode="General">
                  <c:v>185.2</c:v>
                </c:pt>
                <c:pt idx="14" formatCode="General">
                  <c:v>201.7</c:v>
                </c:pt>
              </c:numCache>
            </c:numRef>
          </c:val>
          <c:extLst>
            <c:ext xmlns:c16="http://schemas.microsoft.com/office/drawing/2014/chart" uri="{C3380CC4-5D6E-409C-BE32-E72D297353CC}">
              <c16:uniqueId val="{00000003-12B1-4278-9C2E-10AF00C0EE3D}"/>
            </c:ext>
          </c:extLst>
        </c:ser>
        <c:ser>
          <c:idx val="4"/>
          <c:order val="4"/>
          <c:tx>
            <c:strRef>
              <c:f>Hoja1!$B$24</c:f>
              <c:strCache>
                <c:ptCount val="1"/>
                <c:pt idx="0">
                  <c:v>Portugal</c:v>
                </c:pt>
              </c:strCache>
            </c:strRef>
          </c:tx>
          <c:spPr>
            <a:solidFill>
              <a:schemeClr val="accent1">
                <a:tint val="70000"/>
              </a:schemeClr>
            </a:solidFill>
            <a:ln w="25400">
              <a:noFill/>
            </a:ln>
            <a:effectLst/>
          </c:spPr>
          <c:cat>
            <c:strRef>
              <c:f>Hoja1!$C$6:$Q$6</c:f>
              <c:strCache>
                <c:ptCount val="14"/>
                <c:pt idx="0">
                  <c:v>Q1 2014</c:v>
                </c:pt>
                <c:pt idx="1">
                  <c:v>Q2 2014</c:v>
                </c:pt>
                <c:pt idx="2">
                  <c:v>Q3 2014</c:v>
                </c:pt>
                <c:pt idx="3">
                  <c:v>Q4 2014</c:v>
                </c:pt>
                <c:pt idx="4">
                  <c:v>Q1 2015</c:v>
                </c:pt>
                <c:pt idx="5">
                  <c:v>Q2 2015</c:v>
                </c:pt>
                <c:pt idx="6">
                  <c:v>Q3 2015</c:v>
                </c:pt>
                <c:pt idx="7">
                  <c:v>Q4 2015</c:v>
                </c:pt>
                <c:pt idx="8">
                  <c:v>Q1 2016</c:v>
                </c:pt>
                <c:pt idx="9">
                  <c:v>Q2 2016</c:v>
                </c:pt>
                <c:pt idx="10">
                  <c:v>Q3 2016</c:v>
                </c:pt>
                <c:pt idx="11">
                  <c:v>Q4 2016</c:v>
                </c:pt>
                <c:pt idx="12">
                  <c:v>Q1 2017</c:v>
                </c:pt>
                <c:pt idx="13">
                  <c:v>Q2 2017</c:v>
                </c:pt>
              </c:strCache>
            </c:strRef>
          </c:cat>
          <c:val>
            <c:numRef>
              <c:f>Hoja1!$C$24:$Q$24</c:f>
              <c:numCache>
                <c:formatCode>#,##0.00</c:formatCode>
                <c:ptCount val="15"/>
                <c:pt idx="0">
                  <c:v>1.272</c:v>
                </c:pt>
                <c:pt idx="1">
                  <c:v>1.1639999999999999</c:v>
                </c:pt>
                <c:pt idx="2">
                  <c:v>1.1830000000000001</c:v>
                </c:pt>
                <c:pt idx="3">
                  <c:v>1.006</c:v>
                </c:pt>
                <c:pt idx="4">
                  <c:v>2.008</c:v>
                </c:pt>
                <c:pt idx="5">
                  <c:v>5.1239999999999997</c:v>
                </c:pt>
                <c:pt idx="6">
                  <c:v>8.1850000000000005</c:v>
                </c:pt>
                <c:pt idx="7">
                  <c:v>11.238</c:v>
                </c:pt>
                <c:pt idx="8">
                  <c:v>14.458</c:v>
                </c:pt>
                <c:pt idx="9">
                  <c:v>18.116</c:v>
                </c:pt>
                <c:pt idx="10">
                  <c:v>20.466000000000001</c:v>
                </c:pt>
                <c:pt idx="11">
                  <c:v>22.547000000000001</c:v>
                </c:pt>
                <c:pt idx="12">
                  <c:v>23.95</c:v>
                </c:pt>
                <c:pt idx="13" formatCode="General">
                  <c:v>24.9</c:v>
                </c:pt>
                <c:pt idx="14" formatCode="General">
                  <c:v>26.1</c:v>
                </c:pt>
              </c:numCache>
            </c:numRef>
          </c:val>
          <c:extLst>
            <c:ext xmlns:c16="http://schemas.microsoft.com/office/drawing/2014/chart" uri="{C3380CC4-5D6E-409C-BE32-E72D297353CC}">
              <c16:uniqueId val="{00000004-12B1-4278-9C2E-10AF00C0EE3D}"/>
            </c:ext>
          </c:extLst>
        </c:ser>
        <c:ser>
          <c:idx val="5"/>
          <c:order val="5"/>
          <c:tx>
            <c:strRef>
              <c:f>Hoja1!$B$25</c:f>
              <c:strCache>
                <c:ptCount val="1"/>
                <c:pt idx="0">
                  <c:v>France</c:v>
                </c:pt>
              </c:strCache>
            </c:strRef>
          </c:tx>
          <c:spPr>
            <a:solidFill>
              <a:schemeClr val="accent1">
                <a:tint val="50000"/>
              </a:schemeClr>
            </a:solidFill>
            <a:ln w="25400">
              <a:noFill/>
            </a:ln>
            <a:effectLst/>
          </c:spPr>
          <c:cat>
            <c:strRef>
              <c:f>Hoja1!$C$6:$Q$6</c:f>
              <c:strCache>
                <c:ptCount val="14"/>
                <c:pt idx="0">
                  <c:v>Q1 2014</c:v>
                </c:pt>
                <c:pt idx="1">
                  <c:v>Q2 2014</c:v>
                </c:pt>
                <c:pt idx="2">
                  <c:v>Q3 2014</c:v>
                </c:pt>
                <c:pt idx="3">
                  <c:v>Q4 2014</c:v>
                </c:pt>
                <c:pt idx="4">
                  <c:v>Q1 2015</c:v>
                </c:pt>
                <c:pt idx="5">
                  <c:v>Q2 2015</c:v>
                </c:pt>
                <c:pt idx="6">
                  <c:v>Q3 2015</c:v>
                </c:pt>
                <c:pt idx="7">
                  <c:v>Q4 2015</c:v>
                </c:pt>
                <c:pt idx="8">
                  <c:v>Q1 2016</c:v>
                </c:pt>
                <c:pt idx="9">
                  <c:v>Q2 2016</c:v>
                </c:pt>
                <c:pt idx="10">
                  <c:v>Q3 2016</c:v>
                </c:pt>
                <c:pt idx="11">
                  <c:v>Q4 2016</c:v>
                </c:pt>
                <c:pt idx="12">
                  <c:v>Q1 2017</c:v>
                </c:pt>
                <c:pt idx="13">
                  <c:v>Q2 2017</c:v>
                </c:pt>
              </c:strCache>
            </c:strRef>
          </c:cat>
          <c:val>
            <c:numRef>
              <c:f>Hoja1!$C$25:$Q$25</c:f>
              <c:numCache>
                <c:formatCode>#,##0.00</c:formatCode>
                <c:ptCount val="15"/>
                <c:pt idx="0">
                  <c:v>53.807085431991993</c:v>
                </c:pt>
                <c:pt idx="1">
                  <c:v>55.290082213835994</c:v>
                </c:pt>
                <c:pt idx="2">
                  <c:v>56.209669419941001</c:v>
                </c:pt>
                <c:pt idx="3">
                  <c:v>68.567526303671997</c:v>
                </c:pt>
                <c:pt idx="4">
                  <c:v>72.345436695693991</c:v>
                </c:pt>
                <c:pt idx="5">
                  <c:v>65.733547732323999</c:v>
                </c:pt>
                <c:pt idx="6">
                  <c:v>102.91302779579999</c:v>
                </c:pt>
                <c:pt idx="7">
                  <c:v>118.16699794577301</c:v>
                </c:pt>
                <c:pt idx="8">
                  <c:v>153.06387701300002</c:v>
                </c:pt>
                <c:pt idx="9">
                  <c:v>183.519411459888</c:v>
                </c:pt>
                <c:pt idx="10">
                  <c:v>204.52599238287502</c:v>
                </c:pt>
                <c:pt idx="11">
                  <c:v>230.12473945551801</c:v>
                </c:pt>
                <c:pt idx="12">
                  <c:v>249.41266414016499</c:v>
                </c:pt>
                <c:pt idx="13" formatCode="General">
                  <c:v>284.10000000000002</c:v>
                </c:pt>
                <c:pt idx="14" formatCode="General">
                  <c:v>301.5</c:v>
                </c:pt>
              </c:numCache>
            </c:numRef>
          </c:val>
          <c:extLst>
            <c:ext xmlns:c16="http://schemas.microsoft.com/office/drawing/2014/chart" uri="{C3380CC4-5D6E-409C-BE32-E72D297353CC}">
              <c16:uniqueId val="{00000005-12B1-4278-9C2E-10AF00C0EE3D}"/>
            </c:ext>
          </c:extLst>
        </c:ser>
        <c:dLbls>
          <c:showLegendKey val="0"/>
          <c:showVal val="0"/>
          <c:showCatName val="0"/>
          <c:showSerName val="0"/>
          <c:showPercent val="0"/>
          <c:showBubbleSize val="0"/>
        </c:dLbls>
        <c:axId val="475174768"/>
        <c:axId val="475173592"/>
      </c:areaChart>
      <c:catAx>
        <c:axId val="475174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75173592"/>
        <c:crosses val="autoZero"/>
        <c:auto val="1"/>
        <c:lblAlgn val="ctr"/>
        <c:lblOffset val="100"/>
        <c:noMultiLvlLbl val="0"/>
      </c:catAx>
      <c:valAx>
        <c:axId val="475173592"/>
        <c:scaling>
          <c:orientation val="minMax"/>
          <c:max val="120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751747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noFill/>
    <a:ln w="9525" cap="flat" cmpd="sng" algn="ctr">
      <a:no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'data (1)'!$B$3</c:f>
              <c:strCache>
                <c:ptCount val="1"/>
                <c:pt idx="0">
                  <c:v>HICP - Overall index</c:v>
                </c:pt>
              </c:strCache>
            </c:strRef>
          </c:tx>
          <c:spPr>
            <a:ln w="28575" cap="rnd">
              <a:solidFill>
                <a:schemeClr val="accent1"/>
              </a:solidFill>
              <a:round/>
            </a:ln>
            <a:effectLst/>
          </c:spPr>
          <c:marker>
            <c:symbol val="none"/>
          </c:marker>
          <c:cat>
            <c:strRef>
              <c:f>'data (1)'!$A$4:$A$51</c:f>
              <c:strCache>
                <c:ptCount val="48"/>
                <c:pt idx="0">
                  <c:v>2018Sep</c:v>
                </c:pt>
                <c:pt idx="1">
                  <c:v>2018Aug</c:v>
                </c:pt>
                <c:pt idx="2">
                  <c:v>2018Jul</c:v>
                </c:pt>
                <c:pt idx="3">
                  <c:v>2018Jun</c:v>
                </c:pt>
                <c:pt idx="4">
                  <c:v>2018May</c:v>
                </c:pt>
                <c:pt idx="5">
                  <c:v>2018Apr</c:v>
                </c:pt>
                <c:pt idx="6">
                  <c:v>2018Mar</c:v>
                </c:pt>
                <c:pt idx="7">
                  <c:v>2018Feb</c:v>
                </c:pt>
                <c:pt idx="8">
                  <c:v>2018Jan</c:v>
                </c:pt>
                <c:pt idx="9">
                  <c:v>2017Dec</c:v>
                </c:pt>
                <c:pt idx="10">
                  <c:v>2017Nov</c:v>
                </c:pt>
                <c:pt idx="11">
                  <c:v>2017Oct</c:v>
                </c:pt>
                <c:pt idx="12">
                  <c:v>2017Sep</c:v>
                </c:pt>
                <c:pt idx="13">
                  <c:v>2017Aug</c:v>
                </c:pt>
                <c:pt idx="14">
                  <c:v>2017Jul</c:v>
                </c:pt>
                <c:pt idx="15">
                  <c:v>2017Jun</c:v>
                </c:pt>
                <c:pt idx="16">
                  <c:v>2017May</c:v>
                </c:pt>
                <c:pt idx="17">
                  <c:v>2017Apr</c:v>
                </c:pt>
                <c:pt idx="18">
                  <c:v>2017Mar</c:v>
                </c:pt>
                <c:pt idx="19">
                  <c:v>2017Feb</c:v>
                </c:pt>
                <c:pt idx="20">
                  <c:v>2017Jan</c:v>
                </c:pt>
                <c:pt idx="21">
                  <c:v>2016Dec</c:v>
                </c:pt>
                <c:pt idx="22">
                  <c:v>2016Nov</c:v>
                </c:pt>
                <c:pt idx="23">
                  <c:v>2016Oct</c:v>
                </c:pt>
                <c:pt idx="24">
                  <c:v>2016Sep</c:v>
                </c:pt>
                <c:pt idx="25">
                  <c:v>2016Aug</c:v>
                </c:pt>
                <c:pt idx="26">
                  <c:v>2016Jul</c:v>
                </c:pt>
                <c:pt idx="27">
                  <c:v>2016Jun</c:v>
                </c:pt>
                <c:pt idx="28">
                  <c:v>2016May</c:v>
                </c:pt>
                <c:pt idx="29">
                  <c:v>2016Apr</c:v>
                </c:pt>
                <c:pt idx="30">
                  <c:v>2016Mar</c:v>
                </c:pt>
                <c:pt idx="31">
                  <c:v>2016Feb</c:v>
                </c:pt>
                <c:pt idx="32">
                  <c:v>2016Jan</c:v>
                </c:pt>
                <c:pt idx="33">
                  <c:v>2015Dec</c:v>
                </c:pt>
                <c:pt idx="34">
                  <c:v>2015Nov</c:v>
                </c:pt>
                <c:pt idx="35">
                  <c:v>2015Oct</c:v>
                </c:pt>
                <c:pt idx="36">
                  <c:v>2015Sep</c:v>
                </c:pt>
                <c:pt idx="37">
                  <c:v>2015Aug</c:v>
                </c:pt>
                <c:pt idx="38">
                  <c:v>2015Jul</c:v>
                </c:pt>
                <c:pt idx="39">
                  <c:v>2015Jun</c:v>
                </c:pt>
                <c:pt idx="40">
                  <c:v>2015May</c:v>
                </c:pt>
                <c:pt idx="41">
                  <c:v>2015Apr</c:v>
                </c:pt>
                <c:pt idx="42">
                  <c:v>2015Mar</c:v>
                </c:pt>
                <c:pt idx="43">
                  <c:v>2015Feb</c:v>
                </c:pt>
                <c:pt idx="44">
                  <c:v>2015Jan</c:v>
                </c:pt>
                <c:pt idx="45">
                  <c:v>2014Dec</c:v>
                </c:pt>
                <c:pt idx="46">
                  <c:v>2014Nov</c:v>
                </c:pt>
                <c:pt idx="47">
                  <c:v>2014Oct</c:v>
                </c:pt>
              </c:strCache>
            </c:strRef>
          </c:cat>
          <c:val>
            <c:numRef>
              <c:f>'data (1)'!$B$4:$B$51</c:f>
              <c:numCache>
                <c:formatCode>General</c:formatCode>
                <c:ptCount val="48"/>
                <c:pt idx="0">
                  <c:v>104.08</c:v>
                </c:pt>
                <c:pt idx="1">
                  <c:v>103.85</c:v>
                </c:pt>
                <c:pt idx="2">
                  <c:v>103.77</c:v>
                </c:pt>
                <c:pt idx="3">
                  <c:v>103.58</c:v>
                </c:pt>
                <c:pt idx="4">
                  <c:v>103.42</c:v>
                </c:pt>
                <c:pt idx="5">
                  <c:v>103</c:v>
                </c:pt>
                <c:pt idx="6">
                  <c:v>102.85</c:v>
                </c:pt>
                <c:pt idx="7">
                  <c:v>102.74</c:v>
                </c:pt>
                <c:pt idx="8">
                  <c:v>102.71</c:v>
                </c:pt>
                <c:pt idx="9">
                  <c:v>102.42</c:v>
                </c:pt>
                <c:pt idx="10">
                  <c:v>102.29</c:v>
                </c:pt>
                <c:pt idx="11">
                  <c:v>102.04</c:v>
                </c:pt>
                <c:pt idx="12">
                  <c:v>101.96</c:v>
                </c:pt>
                <c:pt idx="13">
                  <c:v>101.81</c:v>
                </c:pt>
                <c:pt idx="14">
                  <c:v>101.6</c:v>
                </c:pt>
                <c:pt idx="15">
                  <c:v>101.55</c:v>
                </c:pt>
                <c:pt idx="16">
                  <c:v>101.51</c:v>
                </c:pt>
                <c:pt idx="17">
                  <c:v>101.68</c:v>
                </c:pt>
                <c:pt idx="18">
                  <c:v>101.46</c:v>
                </c:pt>
                <c:pt idx="19">
                  <c:v>101.57</c:v>
                </c:pt>
                <c:pt idx="20">
                  <c:v>101.39</c:v>
                </c:pt>
                <c:pt idx="21">
                  <c:v>101.05</c:v>
                </c:pt>
                <c:pt idx="22">
                  <c:v>100.72</c:v>
                </c:pt>
                <c:pt idx="23">
                  <c:v>100.65</c:v>
                </c:pt>
                <c:pt idx="24">
                  <c:v>100.43</c:v>
                </c:pt>
                <c:pt idx="25">
                  <c:v>100.33</c:v>
                </c:pt>
                <c:pt idx="26">
                  <c:v>100.34</c:v>
                </c:pt>
                <c:pt idx="27">
                  <c:v>100.33</c:v>
                </c:pt>
                <c:pt idx="28">
                  <c:v>100.1</c:v>
                </c:pt>
                <c:pt idx="29">
                  <c:v>99.86</c:v>
                </c:pt>
                <c:pt idx="30">
                  <c:v>99.85</c:v>
                </c:pt>
                <c:pt idx="31">
                  <c:v>99.6</c:v>
                </c:pt>
                <c:pt idx="32">
                  <c:v>99.67</c:v>
                </c:pt>
                <c:pt idx="33">
                  <c:v>99.92</c:v>
                </c:pt>
                <c:pt idx="34">
                  <c:v>100.13</c:v>
                </c:pt>
                <c:pt idx="35">
                  <c:v>100.13</c:v>
                </c:pt>
                <c:pt idx="36">
                  <c:v>100.03</c:v>
                </c:pt>
                <c:pt idx="37">
                  <c:v>100.13</c:v>
                </c:pt>
                <c:pt idx="38">
                  <c:v>100.2</c:v>
                </c:pt>
                <c:pt idx="39">
                  <c:v>100.25</c:v>
                </c:pt>
                <c:pt idx="40">
                  <c:v>100.21</c:v>
                </c:pt>
                <c:pt idx="41">
                  <c:v>100.02</c:v>
                </c:pt>
                <c:pt idx="42">
                  <c:v>99.9</c:v>
                </c:pt>
                <c:pt idx="43">
                  <c:v>99.73</c:v>
                </c:pt>
                <c:pt idx="44">
                  <c:v>99.34</c:v>
                </c:pt>
                <c:pt idx="45">
                  <c:v>99.67</c:v>
                </c:pt>
                <c:pt idx="46">
                  <c:v>99.95</c:v>
                </c:pt>
                <c:pt idx="47">
                  <c:v>100.01</c:v>
                </c:pt>
              </c:numCache>
            </c:numRef>
          </c:val>
          <c:smooth val="0"/>
          <c:extLst>
            <c:ext xmlns:c16="http://schemas.microsoft.com/office/drawing/2014/chart" uri="{C3380CC4-5D6E-409C-BE32-E72D297353CC}">
              <c16:uniqueId val="{00000000-271E-472A-8BD4-4FC6025DE83B}"/>
            </c:ext>
          </c:extLst>
        </c:ser>
        <c:ser>
          <c:idx val="1"/>
          <c:order val="1"/>
          <c:tx>
            <c:strRef>
              <c:f>'data (1)'!$C$3</c:f>
              <c:strCache>
                <c:ptCount val="1"/>
                <c:pt idx="0">
                  <c:v>HICP -  excluding energy</c:v>
                </c:pt>
              </c:strCache>
            </c:strRef>
          </c:tx>
          <c:spPr>
            <a:ln w="28575" cap="rnd">
              <a:solidFill>
                <a:schemeClr val="accent2"/>
              </a:solidFill>
              <a:round/>
            </a:ln>
            <a:effectLst/>
          </c:spPr>
          <c:marker>
            <c:symbol val="none"/>
          </c:marker>
          <c:cat>
            <c:strRef>
              <c:f>'data (1)'!$A$4:$A$51</c:f>
              <c:strCache>
                <c:ptCount val="48"/>
                <c:pt idx="0">
                  <c:v>2018Sep</c:v>
                </c:pt>
                <c:pt idx="1">
                  <c:v>2018Aug</c:v>
                </c:pt>
                <c:pt idx="2">
                  <c:v>2018Jul</c:v>
                </c:pt>
                <c:pt idx="3">
                  <c:v>2018Jun</c:v>
                </c:pt>
                <c:pt idx="4">
                  <c:v>2018May</c:v>
                </c:pt>
                <c:pt idx="5">
                  <c:v>2018Apr</c:v>
                </c:pt>
                <c:pt idx="6">
                  <c:v>2018Mar</c:v>
                </c:pt>
                <c:pt idx="7">
                  <c:v>2018Feb</c:v>
                </c:pt>
                <c:pt idx="8">
                  <c:v>2018Jan</c:v>
                </c:pt>
                <c:pt idx="9">
                  <c:v>2017Dec</c:v>
                </c:pt>
                <c:pt idx="10">
                  <c:v>2017Nov</c:v>
                </c:pt>
                <c:pt idx="11">
                  <c:v>2017Oct</c:v>
                </c:pt>
                <c:pt idx="12">
                  <c:v>2017Sep</c:v>
                </c:pt>
                <c:pt idx="13">
                  <c:v>2017Aug</c:v>
                </c:pt>
                <c:pt idx="14">
                  <c:v>2017Jul</c:v>
                </c:pt>
                <c:pt idx="15">
                  <c:v>2017Jun</c:v>
                </c:pt>
                <c:pt idx="16">
                  <c:v>2017May</c:v>
                </c:pt>
                <c:pt idx="17">
                  <c:v>2017Apr</c:v>
                </c:pt>
                <c:pt idx="18">
                  <c:v>2017Mar</c:v>
                </c:pt>
                <c:pt idx="19">
                  <c:v>2017Feb</c:v>
                </c:pt>
                <c:pt idx="20">
                  <c:v>2017Jan</c:v>
                </c:pt>
                <c:pt idx="21">
                  <c:v>2016Dec</c:v>
                </c:pt>
                <c:pt idx="22">
                  <c:v>2016Nov</c:v>
                </c:pt>
                <c:pt idx="23">
                  <c:v>2016Oct</c:v>
                </c:pt>
                <c:pt idx="24">
                  <c:v>2016Sep</c:v>
                </c:pt>
                <c:pt idx="25">
                  <c:v>2016Aug</c:v>
                </c:pt>
                <c:pt idx="26">
                  <c:v>2016Jul</c:v>
                </c:pt>
                <c:pt idx="27">
                  <c:v>2016Jun</c:v>
                </c:pt>
                <c:pt idx="28">
                  <c:v>2016May</c:v>
                </c:pt>
                <c:pt idx="29">
                  <c:v>2016Apr</c:v>
                </c:pt>
                <c:pt idx="30">
                  <c:v>2016Mar</c:v>
                </c:pt>
                <c:pt idx="31">
                  <c:v>2016Feb</c:v>
                </c:pt>
                <c:pt idx="32">
                  <c:v>2016Jan</c:v>
                </c:pt>
                <c:pt idx="33">
                  <c:v>2015Dec</c:v>
                </c:pt>
                <c:pt idx="34">
                  <c:v>2015Nov</c:v>
                </c:pt>
                <c:pt idx="35">
                  <c:v>2015Oct</c:v>
                </c:pt>
                <c:pt idx="36">
                  <c:v>2015Sep</c:v>
                </c:pt>
                <c:pt idx="37">
                  <c:v>2015Aug</c:v>
                </c:pt>
                <c:pt idx="38">
                  <c:v>2015Jul</c:v>
                </c:pt>
                <c:pt idx="39">
                  <c:v>2015Jun</c:v>
                </c:pt>
                <c:pt idx="40">
                  <c:v>2015May</c:v>
                </c:pt>
                <c:pt idx="41">
                  <c:v>2015Apr</c:v>
                </c:pt>
                <c:pt idx="42">
                  <c:v>2015Mar</c:v>
                </c:pt>
                <c:pt idx="43">
                  <c:v>2015Feb</c:v>
                </c:pt>
                <c:pt idx="44">
                  <c:v>2015Jan</c:v>
                </c:pt>
                <c:pt idx="45">
                  <c:v>2014Dec</c:v>
                </c:pt>
                <c:pt idx="46">
                  <c:v>2014Nov</c:v>
                </c:pt>
                <c:pt idx="47">
                  <c:v>2014Oct</c:v>
                </c:pt>
              </c:strCache>
            </c:strRef>
          </c:cat>
          <c:val>
            <c:numRef>
              <c:f>'data (1)'!$C$4:$C$51</c:f>
              <c:numCache>
                <c:formatCode>General</c:formatCode>
                <c:ptCount val="48"/>
                <c:pt idx="0">
                  <c:v>103.63</c:v>
                </c:pt>
                <c:pt idx="1">
                  <c:v>103.53</c:v>
                </c:pt>
                <c:pt idx="2">
                  <c:v>103.48</c:v>
                </c:pt>
                <c:pt idx="3">
                  <c:v>103.36</c:v>
                </c:pt>
                <c:pt idx="4">
                  <c:v>103.27</c:v>
                </c:pt>
                <c:pt idx="5">
                  <c:v>103.06</c:v>
                </c:pt>
                <c:pt idx="6">
                  <c:v>102.97</c:v>
                </c:pt>
                <c:pt idx="7">
                  <c:v>102.76</c:v>
                </c:pt>
                <c:pt idx="8">
                  <c:v>102.69</c:v>
                </c:pt>
                <c:pt idx="9">
                  <c:v>102.57</c:v>
                </c:pt>
                <c:pt idx="10">
                  <c:v>102.44</c:v>
                </c:pt>
                <c:pt idx="11">
                  <c:v>102.33</c:v>
                </c:pt>
                <c:pt idx="12">
                  <c:v>102.31</c:v>
                </c:pt>
                <c:pt idx="13">
                  <c:v>102.24</c:v>
                </c:pt>
                <c:pt idx="14">
                  <c:v>102.08</c:v>
                </c:pt>
                <c:pt idx="15">
                  <c:v>101.95</c:v>
                </c:pt>
                <c:pt idx="16">
                  <c:v>101.81</c:v>
                </c:pt>
                <c:pt idx="17">
                  <c:v>101.88</c:v>
                </c:pt>
                <c:pt idx="18">
                  <c:v>101.65</c:v>
                </c:pt>
                <c:pt idx="19">
                  <c:v>101.69</c:v>
                </c:pt>
                <c:pt idx="20">
                  <c:v>101.48</c:v>
                </c:pt>
                <c:pt idx="21">
                  <c:v>101.37</c:v>
                </c:pt>
                <c:pt idx="22">
                  <c:v>101.2</c:v>
                </c:pt>
                <c:pt idx="23">
                  <c:v>101.1</c:v>
                </c:pt>
                <c:pt idx="24">
                  <c:v>101.03</c:v>
                </c:pt>
                <c:pt idx="25">
                  <c:v>101.03</c:v>
                </c:pt>
                <c:pt idx="26">
                  <c:v>100.92</c:v>
                </c:pt>
                <c:pt idx="27">
                  <c:v>100.8</c:v>
                </c:pt>
                <c:pt idx="28">
                  <c:v>100.72</c:v>
                </c:pt>
                <c:pt idx="29">
                  <c:v>100.63</c:v>
                </c:pt>
                <c:pt idx="30">
                  <c:v>100.63</c:v>
                </c:pt>
                <c:pt idx="31">
                  <c:v>100.46</c:v>
                </c:pt>
                <c:pt idx="32">
                  <c:v>100.41</c:v>
                </c:pt>
                <c:pt idx="33">
                  <c:v>100.39</c:v>
                </c:pt>
                <c:pt idx="34">
                  <c:v>100.42</c:v>
                </c:pt>
                <c:pt idx="35">
                  <c:v>100.42</c:v>
                </c:pt>
                <c:pt idx="36">
                  <c:v>100.25</c:v>
                </c:pt>
                <c:pt idx="37">
                  <c:v>100.15</c:v>
                </c:pt>
                <c:pt idx="38">
                  <c:v>99.97</c:v>
                </c:pt>
                <c:pt idx="39">
                  <c:v>99.94</c:v>
                </c:pt>
                <c:pt idx="40">
                  <c:v>99.89</c:v>
                </c:pt>
                <c:pt idx="41">
                  <c:v>99.79</c:v>
                </c:pt>
                <c:pt idx="42">
                  <c:v>99.67</c:v>
                </c:pt>
                <c:pt idx="43">
                  <c:v>99.68</c:v>
                </c:pt>
                <c:pt idx="44">
                  <c:v>99.43</c:v>
                </c:pt>
                <c:pt idx="45">
                  <c:v>99.42</c:v>
                </c:pt>
                <c:pt idx="46">
                  <c:v>99.35</c:v>
                </c:pt>
                <c:pt idx="47">
                  <c:v>99.25</c:v>
                </c:pt>
              </c:numCache>
            </c:numRef>
          </c:val>
          <c:smooth val="0"/>
          <c:extLst>
            <c:ext xmlns:c16="http://schemas.microsoft.com/office/drawing/2014/chart" uri="{C3380CC4-5D6E-409C-BE32-E72D297353CC}">
              <c16:uniqueId val="{00000001-271E-472A-8BD4-4FC6025DE83B}"/>
            </c:ext>
          </c:extLst>
        </c:ser>
        <c:dLbls>
          <c:showLegendKey val="0"/>
          <c:showVal val="0"/>
          <c:showCatName val="0"/>
          <c:showSerName val="0"/>
          <c:showPercent val="0"/>
          <c:showBubbleSize val="0"/>
        </c:dLbls>
        <c:smooth val="0"/>
        <c:axId val="468969064"/>
        <c:axId val="468969456"/>
      </c:lineChart>
      <c:catAx>
        <c:axId val="46896906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68969456"/>
        <c:crosses val="autoZero"/>
        <c:auto val="1"/>
        <c:lblAlgn val="ctr"/>
        <c:lblOffset val="100"/>
        <c:noMultiLvlLbl val="0"/>
      </c:catAx>
      <c:valAx>
        <c:axId val="468969456"/>
        <c:scaling>
          <c:orientation val="minMax"/>
          <c:min val="98"/>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68969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noFill/>
    <a:ln w="9525" cap="flat" cmpd="sng" algn="ctr">
      <a:no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Analysis!$B$3</c:f>
              <c:strCache>
                <c:ptCount val="1"/>
                <c:pt idx="0">
                  <c:v>Austria</c:v>
                </c:pt>
              </c:strCache>
            </c:strRef>
          </c:tx>
          <c:spPr>
            <a:ln w="28575" cap="rnd">
              <a:solidFill>
                <a:schemeClr val="accent1"/>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Analysis!$B$4:$B$36</c:f>
              <c:numCache>
                <c:formatCode>0.0%</c:formatCode>
                <c:ptCount val="33"/>
                <c:pt idx="0">
                  <c:v>0.36370723640350966</c:v>
                </c:pt>
                <c:pt idx="1">
                  <c:v>0.28900019545906941</c:v>
                </c:pt>
                <c:pt idx="2">
                  <c:v>0.20922794892646129</c:v>
                </c:pt>
                <c:pt idx="3">
                  <c:v>0.16725740848056334</c:v>
                </c:pt>
                <c:pt idx="4">
                  <c:v>0.24451565340808085</c:v>
                </c:pt>
                <c:pt idx="5">
                  <c:v>0.25727794961564204</c:v>
                </c:pt>
                <c:pt idx="6">
                  <c:v>0.3181476148415604</c:v>
                </c:pt>
                <c:pt idx="7">
                  <c:v>0.26091269841269837</c:v>
                </c:pt>
                <c:pt idx="8">
                  <c:v>0.32732732732732733</c:v>
                </c:pt>
                <c:pt idx="9">
                  <c:v>0.3598039215686275</c:v>
                </c:pt>
                <c:pt idx="10">
                  <c:v>0.30580137659783679</c:v>
                </c:pt>
                <c:pt idx="11">
                  <c:v>0.28051181102362205</c:v>
                </c:pt>
                <c:pt idx="12">
                  <c:v>0.29179030662710187</c:v>
                </c:pt>
                <c:pt idx="13">
                  <c:v>0.29458128078817736</c:v>
                </c:pt>
                <c:pt idx="14">
                  <c:v>0.3586413586413586</c:v>
                </c:pt>
                <c:pt idx="15">
                  <c:v>0.30239520958083832</c:v>
                </c:pt>
                <c:pt idx="16">
                  <c:v>0.27192118226600986</c:v>
                </c:pt>
                <c:pt idx="17">
                  <c:v>0.30199999999999999</c:v>
                </c:pt>
                <c:pt idx="18">
                  <c:v>0.35100000000000003</c:v>
                </c:pt>
                <c:pt idx="19">
                  <c:v>0.30285152409046212</c:v>
                </c:pt>
                <c:pt idx="20">
                  <c:v>0.42199999999999999</c:v>
                </c:pt>
                <c:pt idx="21">
                  <c:v>0.3621730382293763</c:v>
                </c:pt>
                <c:pt idx="22">
                  <c:v>0.33836858006042292</c:v>
                </c:pt>
                <c:pt idx="23">
                  <c:v>0.34134134134134131</c:v>
                </c:pt>
                <c:pt idx="24">
                  <c:v>0.34172313649564379</c:v>
                </c:pt>
                <c:pt idx="25">
                  <c:v>0.33700000000000002</c:v>
                </c:pt>
                <c:pt idx="26">
                  <c:v>0.35852713178294571</c:v>
                </c:pt>
                <c:pt idx="27">
                  <c:v>0.35562015503875966</c:v>
                </c:pt>
                <c:pt idx="28">
                  <c:v>0.4095904095904096</c:v>
                </c:pt>
                <c:pt idx="29">
                  <c:v>0.36903602726387535</c:v>
                </c:pt>
                <c:pt idx="30">
                  <c:v>0.35804878048780486</c:v>
                </c:pt>
                <c:pt idx="31">
                  <c:v>0.3</c:v>
                </c:pt>
                <c:pt idx="32">
                  <c:v>0.25800000000000001</c:v>
                </c:pt>
              </c:numCache>
            </c:numRef>
          </c:val>
          <c:smooth val="1"/>
          <c:extLst>
            <c:ext xmlns:c16="http://schemas.microsoft.com/office/drawing/2014/chart" uri="{C3380CC4-5D6E-409C-BE32-E72D297353CC}">
              <c16:uniqueId val="{00000000-278A-4F19-B17B-A9E49B85DBE7}"/>
            </c:ext>
          </c:extLst>
        </c:ser>
        <c:ser>
          <c:idx val="1"/>
          <c:order val="1"/>
          <c:tx>
            <c:strRef>
              <c:f>Analysis!$C$3</c:f>
              <c:strCache>
                <c:ptCount val="1"/>
                <c:pt idx="0">
                  <c:v>Belgium</c:v>
                </c:pt>
              </c:strCache>
            </c:strRef>
          </c:tx>
          <c:spPr>
            <a:ln w="28575" cap="rnd">
              <a:solidFill>
                <a:schemeClr val="accent2"/>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Analysis!$C$4:$C$36</c:f>
              <c:numCache>
                <c:formatCode>0.0%</c:formatCode>
                <c:ptCount val="33"/>
                <c:pt idx="0">
                  <c:v>0.12921128298864015</c:v>
                </c:pt>
                <c:pt idx="1">
                  <c:v>0.1245093600764088</c:v>
                </c:pt>
                <c:pt idx="2">
                  <c:v>7.3923367162005857E-2</c:v>
                </c:pt>
                <c:pt idx="3">
                  <c:v>7.8578140242291317E-2</c:v>
                </c:pt>
                <c:pt idx="4">
                  <c:v>0.11917020585681076</c:v>
                </c:pt>
                <c:pt idx="5">
                  <c:v>0.13591069195903954</c:v>
                </c:pt>
                <c:pt idx="6">
                  <c:v>0.12175338631222156</c:v>
                </c:pt>
                <c:pt idx="7">
                  <c:v>8.1025641025641026E-2</c:v>
                </c:pt>
                <c:pt idx="8">
                  <c:v>0.121</c:v>
                </c:pt>
                <c:pt idx="9">
                  <c:v>0.1650390625</c:v>
                </c:pt>
                <c:pt idx="10">
                  <c:v>0.12058823529411763</c:v>
                </c:pt>
                <c:pt idx="11">
                  <c:v>0.10967098703888334</c:v>
                </c:pt>
                <c:pt idx="12">
                  <c:v>0.10979228486646884</c:v>
                </c:pt>
                <c:pt idx="13">
                  <c:v>6.5557729941291581E-2</c:v>
                </c:pt>
                <c:pt idx="14">
                  <c:v>8.7824351297405179E-2</c:v>
                </c:pt>
                <c:pt idx="15">
                  <c:v>0.13286713286713286</c:v>
                </c:pt>
                <c:pt idx="16">
                  <c:v>0.15243902439024393</c:v>
                </c:pt>
                <c:pt idx="17">
                  <c:v>0.15399802566633761</c:v>
                </c:pt>
                <c:pt idx="18">
                  <c:v>0.14143426294820718</c:v>
                </c:pt>
                <c:pt idx="19">
                  <c:v>0.14818449460255151</c:v>
                </c:pt>
                <c:pt idx="20">
                  <c:v>0.22448979591836735</c:v>
                </c:pt>
                <c:pt idx="21">
                  <c:v>0.24628252788104088</c:v>
                </c:pt>
                <c:pt idx="22">
                  <c:v>0.30358874878758485</c:v>
                </c:pt>
                <c:pt idx="23">
                  <c:v>0.23988153998025666</c:v>
                </c:pt>
                <c:pt idx="24">
                  <c:v>0.26152398871119475</c:v>
                </c:pt>
                <c:pt idx="25">
                  <c:v>0.22551928783382788</c:v>
                </c:pt>
                <c:pt idx="26">
                  <c:v>0.222</c:v>
                </c:pt>
                <c:pt idx="27">
                  <c:v>0.21005917159763315</c:v>
                </c:pt>
                <c:pt idx="28">
                  <c:v>0.22890397672162949</c:v>
                </c:pt>
                <c:pt idx="29">
                  <c:v>0.30976095617529881</c:v>
                </c:pt>
                <c:pt idx="30">
                  <c:v>0.26783968719452589</c:v>
                </c:pt>
                <c:pt idx="31">
                  <c:v>0.22</c:v>
                </c:pt>
                <c:pt idx="32">
                  <c:v>0.22839999999999999</c:v>
                </c:pt>
              </c:numCache>
            </c:numRef>
          </c:val>
          <c:smooth val="1"/>
          <c:extLst>
            <c:ext xmlns:c16="http://schemas.microsoft.com/office/drawing/2014/chart" uri="{C3380CC4-5D6E-409C-BE32-E72D297353CC}">
              <c16:uniqueId val="{00000001-278A-4F19-B17B-A9E49B85DBE7}"/>
            </c:ext>
          </c:extLst>
        </c:ser>
        <c:ser>
          <c:idx val="2"/>
          <c:order val="2"/>
          <c:tx>
            <c:strRef>
              <c:f>Analysis!$D$3</c:f>
              <c:strCache>
                <c:ptCount val="1"/>
                <c:pt idx="0">
                  <c:v>Finland</c:v>
                </c:pt>
              </c:strCache>
            </c:strRef>
          </c:tx>
          <c:spPr>
            <a:ln w="28575" cap="rnd">
              <a:solidFill>
                <a:schemeClr val="accent3"/>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Analysis!$D$4:$D$36</c:f>
              <c:numCache>
                <c:formatCode>0.0%</c:formatCode>
                <c:ptCount val="33"/>
                <c:pt idx="0">
                  <c:v>0.28261134094079887</c:v>
                </c:pt>
                <c:pt idx="1">
                  <c:v>0.27172996044819508</c:v>
                </c:pt>
                <c:pt idx="2">
                  <c:v>0.24063183724841353</c:v>
                </c:pt>
                <c:pt idx="3">
                  <c:v>0.20513555068003622</c:v>
                </c:pt>
                <c:pt idx="4">
                  <c:v>0.24801252694068537</c:v>
                </c:pt>
                <c:pt idx="5">
                  <c:v>0.28193739603382872</c:v>
                </c:pt>
                <c:pt idx="6">
                  <c:v>0.25290891114444664</c:v>
                </c:pt>
                <c:pt idx="7">
                  <c:v>0.20916334661354583</c:v>
                </c:pt>
                <c:pt idx="8">
                  <c:v>0.2236328125</c:v>
                </c:pt>
                <c:pt idx="9">
                  <c:v>0.26848249027237353</c:v>
                </c:pt>
                <c:pt idx="10">
                  <c:v>0.26169154228855718</c:v>
                </c:pt>
                <c:pt idx="11">
                  <c:v>0.21</c:v>
                </c:pt>
                <c:pt idx="12">
                  <c:v>0.22447013487475914</c:v>
                </c:pt>
                <c:pt idx="13">
                  <c:v>0.2147001934235977</c:v>
                </c:pt>
                <c:pt idx="14">
                  <c:v>0.18562874251497005</c:v>
                </c:pt>
                <c:pt idx="15">
                  <c:v>0.18824701195219123</c:v>
                </c:pt>
                <c:pt idx="16">
                  <c:v>0.19447186574531097</c:v>
                </c:pt>
                <c:pt idx="17">
                  <c:v>0.20059880239520958</c:v>
                </c:pt>
                <c:pt idx="18">
                  <c:v>0.22808764940239046</c:v>
                </c:pt>
                <c:pt idx="19">
                  <c:v>0.25298804780876494</c:v>
                </c:pt>
                <c:pt idx="20">
                  <c:v>0.30769230769230771</c:v>
                </c:pt>
                <c:pt idx="21">
                  <c:v>0.32135728542914171</c:v>
                </c:pt>
                <c:pt idx="22">
                  <c:v>0.32373386295928502</c:v>
                </c:pt>
                <c:pt idx="23">
                  <c:v>0.33472803347280333</c:v>
                </c:pt>
                <c:pt idx="24">
                  <c:v>0.27145708582834333</c:v>
                </c:pt>
                <c:pt idx="25">
                  <c:v>0.21047430830039526</c:v>
                </c:pt>
                <c:pt idx="26">
                  <c:v>0.17182817182817181</c:v>
                </c:pt>
                <c:pt idx="27">
                  <c:v>0.15976331360946747</c:v>
                </c:pt>
                <c:pt idx="28">
                  <c:v>0.20219123505976097</c:v>
                </c:pt>
                <c:pt idx="29">
                  <c:v>0.2144985104270109</c:v>
                </c:pt>
                <c:pt idx="30">
                  <c:v>0.19727891156462585</c:v>
                </c:pt>
                <c:pt idx="31">
                  <c:v>0.15</c:v>
                </c:pt>
                <c:pt idx="32">
                  <c:v>0.1676</c:v>
                </c:pt>
              </c:numCache>
            </c:numRef>
          </c:val>
          <c:smooth val="1"/>
          <c:extLst>
            <c:ext xmlns:c16="http://schemas.microsoft.com/office/drawing/2014/chart" uri="{C3380CC4-5D6E-409C-BE32-E72D297353CC}">
              <c16:uniqueId val="{00000002-278A-4F19-B17B-A9E49B85DBE7}"/>
            </c:ext>
          </c:extLst>
        </c:ser>
        <c:ser>
          <c:idx val="3"/>
          <c:order val="3"/>
          <c:tx>
            <c:strRef>
              <c:f>Analysis!$E$3</c:f>
              <c:strCache>
                <c:ptCount val="1"/>
                <c:pt idx="0">
                  <c:v>France</c:v>
                </c:pt>
              </c:strCache>
            </c:strRef>
          </c:tx>
          <c:spPr>
            <a:ln w="28575" cap="rnd">
              <a:solidFill>
                <a:schemeClr val="accent4"/>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Analysis!$E$4:$E$36</c:f>
              <c:numCache>
                <c:formatCode>0.0%</c:formatCode>
                <c:ptCount val="33"/>
                <c:pt idx="0">
                  <c:v>0.17127331910712193</c:v>
                </c:pt>
                <c:pt idx="1">
                  <c:v>0.15523496519279495</c:v>
                </c:pt>
                <c:pt idx="2">
                  <c:v>0.14511401943111027</c:v>
                </c:pt>
                <c:pt idx="3">
                  <c:v>0.17023438590172632</c:v>
                </c:pt>
                <c:pt idx="4">
                  <c:v>0.17473239559777154</c:v>
                </c:pt>
                <c:pt idx="5">
                  <c:v>0.21346060211851037</c:v>
                </c:pt>
                <c:pt idx="6">
                  <c:v>0.2208412794570038</c:v>
                </c:pt>
                <c:pt idx="7">
                  <c:v>0.16552399608227228</c:v>
                </c:pt>
                <c:pt idx="8">
                  <c:v>0.2294757665677547</c:v>
                </c:pt>
                <c:pt idx="9">
                  <c:v>0.24059405940594059</c:v>
                </c:pt>
                <c:pt idx="10">
                  <c:v>0.1929480901077375</c:v>
                </c:pt>
                <c:pt idx="11">
                  <c:v>0.19563058589870902</c:v>
                </c:pt>
                <c:pt idx="12">
                  <c:v>0.20512820512820515</c:v>
                </c:pt>
                <c:pt idx="13">
                  <c:v>0.14202898550724638</c:v>
                </c:pt>
                <c:pt idx="14">
                  <c:v>0.17499999999999999</c:v>
                </c:pt>
                <c:pt idx="15">
                  <c:v>0.20350535540408959</c:v>
                </c:pt>
                <c:pt idx="16">
                  <c:v>0.16763005780346821</c:v>
                </c:pt>
                <c:pt idx="17">
                  <c:v>0.24215686274509804</c:v>
                </c:pt>
                <c:pt idx="18">
                  <c:v>0.21235521235521235</c:v>
                </c:pt>
                <c:pt idx="19">
                  <c:v>0.22135161606268364</c:v>
                </c:pt>
                <c:pt idx="20">
                  <c:v>0.26019417475728157</c:v>
                </c:pt>
                <c:pt idx="21">
                  <c:v>0.27010923535253228</c:v>
                </c:pt>
                <c:pt idx="22">
                  <c:v>0.29166666666666669</c:v>
                </c:pt>
                <c:pt idx="23">
                  <c:v>0.26692836113837093</c:v>
                </c:pt>
                <c:pt idx="24">
                  <c:v>0.33106134371957158</c:v>
                </c:pt>
                <c:pt idx="25">
                  <c:v>0.2739043824701195</c:v>
                </c:pt>
                <c:pt idx="26">
                  <c:v>0.23122529644268774</c:v>
                </c:pt>
                <c:pt idx="27">
                  <c:v>0.21285140562248997</c:v>
                </c:pt>
                <c:pt idx="28">
                  <c:v>0.2526829268292683</c:v>
                </c:pt>
                <c:pt idx="29">
                  <c:v>0.28671328671328672</c:v>
                </c:pt>
                <c:pt idx="30">
                  <c:v>0.31931931931931934</c:v>
                </c:pt>
                <c:pt idx="31">
                  <c:v>0.22</c:v>
                </c:pt>
                <c:pt idx="32">
                  <c:v>0.25319999999999998</c:v>
                </c:pt>
              </c:numCache>
            </c:numRef>
          </c:val>
          <c:smooth val="1"/>
          <c:extLst>
            <c:ext xmlns:c16="http://schemas.microsoft.com/office/drawing/2014/chart" uri="{C3380CC4-5D6E-409C-BE32-E72D297353CC}">
              <c16:uniqueId val="{00000003-278A-4F19-B17B-A9E49B85DBE7}"/>
            </c:ext>
          </c:extLst>
        </c:ser>
        <c:ser>
          <c:idx val="4"/>
          <c:order val="4"/>
          <c:tx>
            <c:strRef>
              <c:f>Analysis!$F$3</c:f>
              <c:strCache>
                <c:ptCount val="1"/>
                <c:pt idx="0">
                  <c:v>Germany</c:v>
                </c:pt>
              </c:strCache>
            </c:strRef>
          </c:tx>
          <c:spPr>
            <a:ln w="28575" cap="rnd">
              <a:solidFill>
                <a:schemeClr val="accent5"/>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Analysis!$F$4:$F$36</c:f>
              <c:numCache>
                <c:formatCode>0.0%</c:formatCode>
                <c:ptCount val="33"/>
                <c:pt idx="0">
                  <c:v>0.18430615464383818</c:v>
                </c:pt>
                <c:pt idx="1">
                  <c:v>0.18823770806187379</c:v>
                </c:pt>
                <c:pt idx="2">
                  <c:v>0.11924019715765338</c:v>
                </c:pt>
                <c:pt idx="3">
                  <c:v>9.6911838128274891E-2</c:v>
                </c:pt>
                <c:pt idx="4">
                  <c:v>0.122154910207844</c:v>
                </c:pt>
                <c:pt idx="5">
                  <c:v>0.16364869383947089</c:v>
                </c:pt>
                <c:pt idx="6">
                  <c:v>0.19292967680262807</c:v>
                </c:pt>
                <c:pt idx="7">
                  <c:v>0.16440129449838187</c:v>
                </c:pt>
                <c:pt idx="8">
                  <c:v>0.2053982883475971</c:v>
                </c:pt>
                <c:pt idx="9">
                  <c:v>0.19882659713168188</c:v>
                </c:pt>
                <c:pt idx="10">
                  <c:v>0.18163934426229508</c:v>
                </c:pt>
                <c:pt idx="11">
                  <c:v>0.19081967213114753</c:v>
                </c:pt>
                <c:pt idx="12">
                  <c:v>0.13086582947785855</c:v>
                </c:pt>
                <c:pt idx="13">
                  <c:v>0.12060967528164346</c:v>
                </c:pt>
                <c:pt idx="14">
                  <c:v>0.12907431551499349</c:v>
                </c:pt>
                <c:pt idx="15">
                  <c:v>0.14014407334643092</c:v>
                </c:pt>
                <c:pt idx="16">
                  <c:v>0.15055884286653518</c:v>
                </c:pt>
                <c:pt idx="17">
                  <c:v>0.23168316831683169</c:v>
                </c:pt>
                <c:pt idx="18">
                  <c:v>0.22077114427860697</c:v>
                </c:pt>
                <c:pt idx="19">
                  <c:v>0.21758957654723127</c:v>
                </c:pt>
                <c:pt idx="20">
                  <c:v>0.25357607282184652</c:v>
                </c:pt>
                <c:pt idx="21">
                  <c:v>0.24434087882822902</c:v>
                </c:pt>
                <c:pt idx="22">
                  <c:v>0.25032010243277847</c:v>
                </c:pt>
                <c:pt idx="23">
                  <c:v>0.25482625482625482</c:v>
                </c:pt>
                <c:pt idx="24">
                  <c:v>0.22164614387556708</c:v>
                </c:pt>
                <c:pt idx="25">
                  <c:v>0.20177664974619289</c:v>
                </c:pt>
                <c:pt idx="26">
                  <c:v>0.20062111801242236</c:v>
                </c:pt>
                <c:pt idx="27">
                  <c:v>0.16677398583386993</c:v>
                </c:pt>
                <c:pt idx="28">
                  <c:v>0.26614987080103358</c:v>
                </c:pt>
                <c:pt idx="29">
                  <c:v>0.28876333961079725</c:v>
                </c:pt>
                <c:pt idx="30">
                  <c:v>0.21162638798171129</c:v>
                </c:pt>
                <c:pt idx="31">
                  <c:v>0.18</c:v>
                </c:pt>
                <c:pt idx="32">
                  <c:v>0.17349999999999999</c:v>
                </c:pt>
              </c:numCache>
            </c:numRef>
          </c:val>
          <c:smooth val="1"/>
          <c:extLst>
            <c:ext xmlns:c16="http://schemas.microsoft.com/office/drawing/2014/chart" uri="{C3380CC4-5D6E-409C-BE32-E72D297353CC}">
              <c16:uniqueId val="{00000004-278A-4F19-B17B-A9E49B85DBE7}"/>
            </c:ext>
          </c:extLst>
        </c:ser>
        <c:ser>
          <c:idx val="5"/>
          <c:order val="5"/>
          <c:tx>
            <c:strRef>
              <c:f>Analysis!$G$3</c:f>
              <c:strCache>
                <c:ptCount val="1"/>
                <c:pt idx="0">
                  <c:v>Greece</c:v>
                </c:pt>
              </c:strCache>
            </c:strRef>
          </c:tx>
          <c:spPr>
            <a:ln w="28575" cap="rnd">
              <a:solidFill>
                <a:schemeClr val="accent6"/>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Analysis!$G$4:$G$36</c:f>
              <c:numCache>
                <c:formatCode>0.0%</c:formatCode>
                <c:ptCount val="33"/>
                <c:pt idx="0">
                  <c:v>9.3654923807571608E-2</c:v>
                </c:pt>
                <c:pt idx="1">
                  <c:v>0.10546192202843443</c:v>
                </c:pt>
                <c:pt idx="2">
                  <c:v>8.0716819722512448E-2</c:v>
                </c:pt>
                <c:pt idx="3">
                  <c:v>9.2729856794544763E-2</c:v>
                </c:pt>
                <c:pt idx="4">
                  <c:v>9.1874359608099351E-2</c:v>
                </c:pt>
                <c:pt idx="5">
                  <c:v>8.2265342883650644E-2</c:v>
                </c:pt>
                <c:pt idx="6">
                  <c:v>6.4402464607560023E-2</c:v>
                </c:pt>
                <c:pt idx="7">
                  <c:v>0.11111111111111112</c:v>
                </c:pt>
                <c:pt idx="8">
                  <c:v>0.14514514514514515</c:v>
                </c:pt>
                <c:pt idx="9">
                  <c:v>0.159</c:v>
                </c:pt>
                <c:pt idx="10">
                  <c:v>0.151</c:v>
                </c:pt>
                <c:pt idx="11">
                  <c:v>0.109</c:v>
                </c:pt>
                <c:pt idx="12">
                  <c:v>0.125</c:v>
                </c:pt>
                <c:pt idx="13">
                  <c:v>9.5904095904095904E-2</c:v>
                </c:pt>
                <c:pt idx="14">
                  <c:v>0.129</c:v>
                </c:pt>
                <c:pt idx="15">
                  <c:v>0.13400000000000001</c:v>
                </c:pt>
                <c:pt idx="16">
                  <c:v>0.187</c:v>
                </c:pt>
                <c:pt idx="17">
                  <c:v>0.23499999999999999</c:v>
                </c:pt>
                <c:pt idx="18">
                  <c:v>0.32300000000000001</c:v>
                </c:pt>
                <c:pt idx="19">
                  <c:v>0.39860139860139859</c:v>
                </c:pt>
                <c:pt idx="20">
                  <c:v>0.36663336663336665</c:v>
                </c:pt>
                <c:pt idx="21">
                  <c:v>0.40459540459540455</c:v>
                </c:pt>
                <c:pt idx="22">
                  <c:v>0.49750249750249753</c:v>
                </c:pt>
                <c:pt idx="23">
                  <c:v>0.495</c:v>
                </c:pt>
                <c:pt idx="24">
                  <c:v>0.54300000000000004</c:v>
                </c:pt>
                <c:pt idx="25">
                  <c:v>0.43756145526057033</c:v>
                </c:pt>
                <c:pt idx="26">
                  <c:v>0.43861386138613856</c:v>
                </c:pt>
                <c:pt idx="27">
                  <c:v>0.36873747494989978</c:v>
                </c:pt>
                <c:pt idx="28">
                  <c:v>0.38285144566301099</c:v>
                </c:pt>
                <c:pt idx="29">
                  <c:v>0.50835791543756148</c:v>
                </c:pt>
                <c:pt idx="30">
                  <c:v>0.47519841269841268</c:v>
                </c:pt>
                <c:pt idx="31">
                  <c:v>0.47</c:v>
                </c:pt>
                <c:pt idx="32">
                  <c:v>0.377</c:v>
                </c:pt>
              </c:numCache>
            </c:numRef>
          </c:val>
          <c:smooth val="1"/>
          <c:extLst>
            <c:ext xmlns:c16="http://schemas.microsoft.com/office/drawing/2014/chart" uri="{C3380CC4-5D6E-409C-BE32-E72D297353CC}">
              <c16:uniqueId val="{00000005-278A-4F19-B17B-A9E49B85DBE7}"/>
            </c:ext>
          </c:extLst>
        </c:ser>
        <c:ser>
          <c:idx val="6"/>
          <c:order val="6"/>
          <c:tx>
            <c:strRef>
              <c:f>Analysis!$H$3</c:f>
              <c:strCache>
                <c:ptCount val="1"/>
                <c:pt idx="0">
                  <c:v>Ireland</c:v>
                </c:pt>
              </c:strCache>
            </c:strRef>
          </c:tx>
          <c:spPr>
            <a:ln w="28575" cap="rnd">
              <a:solidFill>
                <a:schemeClr val="accent1">
                  <a:lumMod val="60000"/>
                </a:schemeClr>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Analysis!$H$4:$H$36</c:f>
              <c:numCache>
                <c:formatCode>0.0%</c:formatCode>
                <c:ptCount val="33"/>
                <c:pt idx="0">
                  <c:v>5.4717045282954721E-2</c:v>
                </c:pt>
                <c:pt idx="1">
                  <c:v>5.3587597591625638E-2</c:v>
                </c:pt>
                <c:pt idx="2">
                  <c:v>4.920608594609218E-2</c:v>
                </c:pt>
                <c:pt idx="3">
                  <c:v>6.8810385219338077E-2</c:v>
                </c:pt>
                <c:pt idx="4">
                  <c:v>7.8412911706140911E-2</c:v>
                </c:pt>
                <c:pt idx="5">
                  <c:v>6.6534063626382506E-2</c:v>
                </c:pt>
                <c:pt idx="6">
                  <c:v>7.6619564716804395E-2</c:v>
                </c:pt>
                <c:pt idx="7">
                  <c:v>4.4044044044044044E-2</c:v>
                </c:pt>
                <c:pt idx="8">
                  <c:v>7.2564612326043748E-2</c:v>
                </c:pt>
                <c:pt idx="9">
                  <c:v>7.0297029702970304E-2</c:v>
                </c:pt>
                <c:pt idx="10">
                  <c:v>6.1752988047808766E-2</c:v>
                </c:pt>
                <c:pt idx="11">
                  <c:v>6.8068068068068061E-2</c:v>
                </c:pt>
                <c:pt idx="12">
                  <c:v>6.7067067067067068E-2</c:v>
                </c:pt>
                <c:pt idx="13">
                  <c:v>6.9444444444444448E-2</c:v>
                </c:pt>
                <c:pt idx="14">
                  <c:v>7.7689243027888447E-2</c:v>
                </c:pt>
                <c:pt idx="15">
                  <c:v>0.10200000000000001</c:v>
                </c:pt>
                <c:pt idx="16">
                  <c:v>0.11033797216699801</c:v>
                </c:pt>
                <c:pt idx="17">
                  <c:v>0.1291913214990138</c:v>
                </c:pt>
                <c:pt idx="18">
                  <c:v>0.16765873015873017</c:v>
                </c:pt>
                <c:pt idx="19">
                  <c:v>0.16551724137931034</c:v>
                </c:pt>
                <c:pt idx="20">
                  <c:v>0.26600985221674878</c:v>
                </c:pt>
                <c:pt idx="21">
                  <c:v>0.26273726273726272</c:v>
                </c:pt>
                <c:pt idx="22">
                  <c:v>0.30439121756487025</c:v>
                </c:pt>
                <c:pt idx="23">
                  <c:v>0.28215353938185445</c:v>
                </c:pt>
                <c:pt idx="24">
                  <c:v>0.22908366533864544</c:v>
                </c:pt>
                <c:pt idx="25">
                  <c:v>0.17729083665338646</c:v>
                </c:pt>
                <c:pt idx="26">
                  <c:v>0.15568862275449102</c:v>
                </c:pt>
                <c:pt idx="27">
                  <c:v>0.11701081612586037</c:v>
                </c:pt>
                <c:pt idx="28">
                  <c:v>0.13346613545816732</c:v>
                </c:pt>
                <c:pt idx="29">
                  <c:v>0.14129353233830844</c:v>
                </c:pt>
                <c:pt idx="30">
                  <c:v>0.12326043737574552</c:v>
                </c:pt>
                <c:pt idx="31">
                  <c:v>0.13</c:v>
                </c:pt>
                <c:pt idx="32">
                  <c:v>7.9500000000000001E-2</c:v>
                </c:pt>
              </c:numCache>
            </c:numRef>
          </c:val>
          <c:smooth val="1"/>
          <c:extLst>
            <c:ext xmlns:c16="http://schemas.microsoft.com/office/drawing/2014/chart" uri="{C3380CC4-5D6E-409C-BE32-E72D297353CC}">
              <c16:uniqueId val="{00000006-278A-4F19-B17B-A9E49B85DBE7}"/>
            </c:ext>
          </c:extLst>
        </c:ser>
        <c:ser>
          <c:idx val="7"/>
          <c:order val="7"/>
          <c:tx>
            <c:strRef>
              <c:f>Analysis!$I$3</c:f>
              <c:strCache>
                <c:ptCount val="1"/>
                <c:pt idx="0">
                  <c:v>Italy</c:v>
                </c:pt>
              </c:strCache>
            </c:strRef>
          </c:tx>
          <c:spPr>
            <a:ln w="28575" cap="rnd">
              <a:solidFill>
                <a:schemeClr val="accent2">
                  <a:lumMod val="60000"/>
                </a:schemeClr>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Analysis!$I$4:$I$36</c:f>
              <c:numCache>
                <c:formatCode>0.0%</c:formatCode>
                <c:ptCount val="33"/>
                <c:pt idx="0">
                  <c:v>9.1528937293405943E-2</c:v>
                </c:pt>
                <c:pt idx="1">
                  <c:v>8.204555606526151E-2</c:v>
                </c:pt>
                <c:pt idx="2">
                  <c:v>3.8960545455236362E-2</c:v>
                </c:pt>
                <c:pt idx="3">
                  <c:v>5.7349278517520114E-2</c:v>
                </c:pt>
                <c:pt idx="4">
                  <c:v>6.0482656186435016E-2</c:v>
                </c:pt>
                <c:pt idx="5">
                  <c:v>0.10137164709754902</c:v>
                </c:pt>
                <c:pt idx="6">
                  <c:v>0.14241431367525587</c:v>
                </c:pt>
                <c:pt idx="7">
                  <c:v>7.5490196078431368E-2</c:v>
                </c:pt>
                <c:pt idx="8">
                  <c:v>9.9601593625498003E-2</c:v>
                </c:pt>
                <c:pt idx="9">
                  <c:v>0.11199999999999999</c:v>
                </c:pt>
                <c:pt idx="10">
                  <c:v>4.7E-2</c:v>
                </c:pt>
                <c:pt idx="11">
                  <c:v>0.10934393638170974</c:v>
                </c:pt>
                <c:pt idx="12">
                  <c:v>8.1188118811881191E-2</c:v>
                </c:pt>
                <c:pt idx="13">
                  <c:v>0.10611854684512428</c:v>
                </c:pt>
                <c:pt idx="14">
                  <c:v>0.1223091976516634</c:v>
                </c:pt>
                <c:pt idx="15">
                  <c:v>0.15536723163841806</c:v>
                </c:pt>
                <c:pt idx="16">
                  <c:v>0.10038610038610039</c:v>
                </c:pt>
                <c:pt idx="17">
                  <c:v>0.12159533073929961</c:v>
                </c:pt>
                <c:pt idx="18">
                  <c:v>0.1197252208047105</c:v>
                </c:pt>
                <c:pt idx="19">
                  <c:v>0.14148219441770932</c:v>
                </c:pt>
                <c:pt idx="20">
                  <c:v>0.20659553831231814</c:v>
                </c:pt>
                <c:pt idx="21">
                  <c:v>0.29150579150579153</c:v>
                </c:pt>
                <c:pt idx="22">
                  <c:v>0.26137463697967089</c:v>
                </c:pt>
                <c:pt idx="23">
                  <c:v>0.24209486166007904</c:v>
                </c:pt>
                <c:pt idx="24">
                  <c:v>0.33999999999999997</c:v>
                </c:pt>
                <c:pt idx="25">
                  <c:v>0.29633204633204635</c:v>
                </c:pt>
                <c:pt idx="26">
                  <c:v>0.28669950738916256</c:v>
                </c:pt>
                <c:pt idx="27">
                  <c:v>0.25121713729308665</c:v>
                </c:pt>
                <c:pt idx="28">
                  <c:v>0.2283464566929134</c:v>
                </c:pt>
                <c:pt idx="29">
                  <c:v>0.27165354330708663</c:v>
                </c:pt>
                <c:pt idx="30">
                  <c:v>0.30588235294117649</c:v>
                </c:pt>
                <c:pt idx="31">
                  <c:v>0.26</c:v>
                </c:pt>
                <c:pt idx="32">
                  <c:v>0.23449999999999999</c:v>
                </c:pt>
              </c:numCache>
            </c:numRef>
          </c:val>
          <c:smooth val="1"/>
          <c:extLst>
            <c:ext xmlns:c16="http://schemas.microsoft.com/office/drawing/2014/chart" uri="{C3380CC4-5D6E-409C-BE32-E72D297353CC}">
              <c16:uniqueId val="{00000007-278A-4F19-B17B-A9E49B85DBE7}"/>
            </c:ext>
          </c:extLst>
        </c:ser>
        <c:ser>
          <c:idx val="8"/>
          <c:order val="8"/>
          <c:tx>
            <c:strRef>
              <c:f>Analysis!$J$3</c:f>
              <c:strCache>
                <c:ptCount val="1"/>
                <c:pt idx="0">
                  <c:v>Luxembourg</c:v>
                </c:pt>
              </c:strCache>
            </c:strRef>
          </c:tx>
          <c:spPr>
            <a:ln w="28575" cap="rnd">
              <a:solidFill>
                <a:schemeClr val="accent3">
                  <a:lumMod val="60000"/>
                </a:schemeClr>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Analysis!$J$4:$J$36</c:f>
              <c:numCache>
                <c:formatCode>0.0%</c:formatCode>
                <c:ptCount val="33"/>
                <c:pt idx="0">
                  <c:v>0.1224734013076305</c:v>
                </c:pt>
                <c:pt idx="1">
                  <c:v>0.10754370636403807</c:v>
                </c:pt>
                <c:pt idx="2">
                  <c:v>9.2857579496624931E-2</c:v>
                </c:pt>
                <c:pt idx="3">
                  <c:v>7.000872327808591E-2</c:v>
                </c:pt>
                <c:pt idx="4">
                  <c:v>0.10042686609751188</c:v>
                </c:pt>
                <c:pt idx="5">
                  <c:v>0.11669338724809017</c:v>
                </c:pt>
                <c:pt idx="6">
                  <c:v>0.12051770060260222</c:v>
                </c:pt>
                <c:pt idx="7">
                  <c:v>9.3625498007968128E-2</c:v>
                </c:pt>
                <c:pt idx="8">
                  <c:v>0.11332007952286283</c:v>
                </c:pt>
                <c:pt idx="9">
                  <c:v>0.10567514677103718</c:v>
                </c:pt>
                <c:pt idx="10">
                  <c:v>0.15109343936381708</c:v>
                </c:pt>
                <c:pt idx="11">
                  <c:v>0.18962075848303392</c:v>
                </c:pt>
                <c:pt idx="12">
                  <c:v>0.16046966731898238</c:v>
                </c:pt>
                <c:pt idx="13">
                  <c:v>0.14970059880239522</c:v>
                </c:pt>
                <c:pt idx="14">
                  <c:v>0.13346613545816732</c:v>
                </c:pt>
                <c:pt idx="15">
                  <c:v>0.16999999999999998</c:v>
                </c:pt>
                <c:pt idx="16">
                  <c:v>0.11509433962264151</c:v>
                </c:pt>
                <c:pt idx="17">
                  <c:v>0.15841584158415842</c:v>
                </c:pt>
                <c:pt idx="18">
                  <c:v>0.14035087719298245</c:v>
                </c:pt>
                <c:pt idx="19">
                  <c:v>0.15968063872255489</c:v>
                </c:pt>
                <c:pt idx="20">
                  <c:v>0.19879518072289157</c:v>
                </c:pt>
                <c:pt idx="21">
                  <c:v>0.23076923076923078</c:v>
                </c:pt>
                <c:pt idx="22">
                  <c:v>0.26693227091633465</c:v>
                </c:pt>
                <c:pt idx="23">
                  <c:v>0.2718253968253968</c:v>
                </c:pt>
                <c:pt idx="24">
                  <c:v>0.19921104536489154</c:v>
                </c:pt>
                <c:pt idx="25">
                  <c:v>0.25098814229249011</c:v>
                </c:pt>
                <c:pt idx="26">
                  <c:v>0.15976331360946744</c:v>
                </c:pt>
                <c:pt idx="27">
                  <c:v>0.17693836978131214</c:v>
                </c:pt>
                <c:pt idx="28">
                  <c:v>0.19801980198019803</c:v>
                </c:pt>
                <c:pt idx="29">
                  <c:v>0.21893491124260356</c:v>
                </c:pt>
                <c:pt idx="30">
                  <c:v>0.18886679920477137</c:v>
                </c:pt>
                <c:pt idx="31">
                  <c:v>0.16</c:v>
                </c:pt>
                <c:pt idx="32">
                  <c:v>0.12889999999999999</c:v>
                </c:pt>
              </c:numCache>
            </c:numRef>
          </c:val>
          <c:smooth val="0"/>
          <c:extLst>
            <c:ext xmlns:c16="http://schemas.microsoft.com/office/drawing/2014/chart" uri="{C3380CC4-5D6E-409C-BE32-E72D297353CC}">
              <c16:uniqueId val="{00000008-278A-4F19-B17B-A9E49B85DBE7}"/>
            </c:ext>
          </c:extLst>
        </c:ser>
        <c:ser>
          <c:idx val="9"/>
          <c:order val="9"/>
          <c:tx>
            <c:strRef>
              <c:f>Analysis!$K$3</c:f>
              <c:strCache>
                <c:ptCount val="1"/>
                <c:pt idx="0">
                  <c:v>Netherlands</c:v>
                </c:pt>
              </c:strCache>
            </c:strRef>
          </c:tx>
          <c:spPr>
            <a:ln w="28575" cap="rnd">
              <a:solidFill>
                <a:schemeClr val="accent4">
                  <a:lumMod val="60000"/>
                </a:schemeClr>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Analysis!$K$4:$K$36</c:f>
              <c:numCache>
                <c:formatCode>0.0%</c:formatCode>
                <c:ptCount val="33"/>
                <c:pt idx="0">
                  <c:v>0.19434929926240091</c:v>
                </c:pt>
                <c:pt idx="1">
                  <c:v>0.17251697930406631</c:v>
                </c:pt>
                <c:pt idx="2">
                  <c:v>0.11600906198868464</c:v>
                </c:pt>
                <c:pt idx="3">
                  <c:v>0.10320669358661283</c:v>
                </c:pt>
                <c:pt idx="4">
                  <c:v>0.14008903984153939</c:v>
                </c:pt>
                <c:pt idx="5">
                  <c:v>0.18566279327638638</c:v>
                </c:pt>
                <c:pt idx="6">
                  <c:v>0.2191722314043254</c:v>
                </c:pt>
                <c:pt idx="7">
                  <c:v>0.16071428571428573</c:v>
                </c:pt>
                <c:pt idx="8">
                  <c:v>0.19483101391650098</c:v>
                </c:pt>
                <c:pt idx="9">
                  <c:v>0.21250000000000002</c:v>
                </c:pt>
                <c:pt idx="10">
                  <c:v>0.17145688800792863</c:v>
                </c:pt>
                <c:pt idx="11">
                  <c:v>0.19646365422396858</c:v>
                </c:pt>
                <c:pt idx="12">
                  <c:v>0.17460317460317459</c:v>
                </c:pt>
                <c:pt idx="13">
                  <c:v>0.13432835820895522</c:v>
                </c:pt>
                <c:pt idx="14">
                  <c:v>0.14505283381364073</c:v>
                </c:pt>
                <c:pt idx="15">
                  <c:v>0.13339731285988482</c:v>
                </c:pt>
                <c:pt idx="16">
                  <c:v>0.13900000000000001</c:v>
                </c:pt>
                <c:pt idx="17">
                  <c:v>0.16781836130306022</c:v>
                </c:pt>
                <c:pt idx="18">
                  <c:v>0.19423076923076923</c:v>
                </c:pt>
                <c:pt idx="19">
                  <c:v>0.21259842519685038</c:v>
                </c:pt>
                <c:pt idx="20">
                  <c:v>0.29482071713147406</c:v>
                </c:pt>
                <c:pt idx="21">
                  <c:v>0.30731225296442688</c:v>
                </c:pt>
                <c:pt idx="22">
                  <c:v>0.30118110236220474</c:v>
                </c:pt>
                <c:pt idx="23">
                  <c:v>0.34182174338883448</c:v>
                </c:pt>
                <c:pt idx="24">
                  <c:v>0.32090284592737978</c:v>
                </c:pt>
                <c:pt idx="25">
                  <c:v>0.25393700787401574</c:v>
                </c:pt>
                <c:pt idx="26">
                  <c:v>0.26065411298315166</c:v>
                </c:pt>
                <c:pt idx="27">
                  <c:v>0.20594059405940593</c:v>
                </c:pt>
                <c:pt idx="28">
                  <c:v>0.248046875</c:v>
                </c:pt>
                <c:pt idx="29">
                  <c:v>0.29618768328445749</c:v>
                </c:pt>
                <c:pt idx="30">
                  <c:v>0.28146679881070363</c:v>
                </c:pt>
                <c:pt idx="31">
                  <c:v>0.23</c:v>
                </c:pt>
                <c:pt idx="32">
                  <c:v>0.2311</c:v>
                </c:pt>
              </c:numCache>
            </c:numRef>
          </c:val>
          <c:smooth val="1"/>
          <c:extLst>
            <c:ext xmlns:c16="http://schemas.microsoft.com/office/drawing/2014/chart" uri="{C3380CC4-5D6E-409C-BE32-E72D297353CC}">
              <c16:uniqueId val="{00000009-278A-4F19-B17B-A9E49B85DBE7}"/>
            </c:ext>
          </c:extLst>
        </c:ser>
        <c:ser>
          <c:idx val="10"/>
          <c:order val="10"/>
          <c:tx>
            <c:strRef>
              <c:f>Analysis!$L$3</c:f>
              <c:strCache>
                <c:ptCount val="1"/>
                <c:pt idx="0">
                  <c:v>Portugal</c:v>
                </c:pt>
              </c:strCache>
            </c:strRef>
          </c:tx>
          <c:spPr>
            <a:ln w="28575" cap="rnd">
              <a:solidFill>
                <a:schemeClr val="accent5">
                  <a:lumMod val="60000"/>
                </a:schemeClr>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Analysis!$L$4:$L$36</c:f>
              <c:numCache>
                <c:formatCode>0.0%</c:formatCode>
                <c:ptCount val="33"/>
                <c:pt idx="0">
                  <c:v>5.7110845688676554E-2</c:v>
                </c:pt>
                <c:pt idx="1">
                  <c:v>7.5928445557067334E-2</c:v>
                </c:pt>
                <c:pt idx="2">
                  <c:v>6.9878006987800695E-2</c:v>
                </c:pt>
                <c:pt idx="3">
                  <c:v>0.11901610711449639</c:v>
                </c:pt>
                <c:pt idx="4">
                  <c:v>9.8256612167461052E-2</c:v>
                </c:pt>
                <c:pt idx="5">
                  <c:v>0.11732899999999999</c:v>
                </c:pt>
                <c:pt idx="6">
                  <c:v>0.1349627165782952</c:v>
                </c:pt>
                <c:pt idx="7">
                  <c:v>0.11388611388611389</c:v>
                </c:pt>
                <c:pt idx="8">
                  <c:v>0.12437810945273632</c:v>
                </c:pt>
                <c:pt idx="9">
                  <c:v>0.1415752741774676</c:v>
                </c:pt>
                <c:pt idx="10">
                  <c:v>0.16983016983016985</c:v>
                </c:pt>
                <c:pt idx="11">
                  <c:v>0.14572864321608039</c:v>
                </c:pt>
                <c:pt idx="12">
                  <c:v>0.12858555885262116</c:v>
                </c:pt>
                <c:pt idx="13">
                  <c:v>9.0909090909090912E-2</c:v>
                </c:pt>
                <c:pt idx="14">
                  <c:v>0.1048951048951049</c:v>
                </c:pt>
                <c:pt idx="15">
                  <c:v>0.159</c:v>
                </c:pt>
                <c:pt idx="16">
                  <c:v>0.14243323442136499</c:v>
                </c:pt>
                <c:pt idx="17">
                  <c:v>0.24561403508771928</c:v>
                </c:pt>
                <c:pt idx="18">
                  <c:v>0.19351669941060906</c:v>
                </c:pt>
                <c:pt idx="19">
                  <c:v>0.25166825548141086</c:v>
                </c:pt>
                <c:pt idx="20">
                  <c:v>0.34530938123752497</c:v>
                </c:pt>
                <c:pt idx="21">
                  <c:v>0.35282457879088208</c:v>
                </c:pt>
                <c:pt idx="22">
                  <c:v>0.39802955665024631</c:v>
                </c:pt>
                <c:pt idx="23">
                  <c:v>0.41393034825870645</c:v>
                </c:pt>
                <c:pt idx="24">
                  <c:v>0.38777459407831899</c:v>
                </c:pt>
                <c:pt idx="25">
                  <c:v>0.30669144981412638</c:v>
                </c:pt>
                <c:pt idx="26">
                  <c:v>0.24477611940298508</c:v>
                </c:pt>
                <c:pt idx="27">
                  <c:v>0.17299999999999999</c:v>
                </c:pt>
                <c:pt idx="28">
                  <c:v>0.1513353115727003</c:v>
                </c:pt>
                <c:pt idx="29">
                  <c:v>0.17867719644619942</c:v>
                </c:pt>
                <c:pt idx="30">
                  <c:v>0.16386969397828233</c:v>
                </c:pt>
                <c:pt idx="31">
                  <c:v>0.13</c:v>
                </c:pt>
                <c:pt idx="32">
                  <c:v>0.1056</c:v>
                </c:pt>
              </c:numCache>
            </c:numRef>
          </c:val>
          <c:smooth val="1"/>
          <c:extLst>
            <c:ext xmlns:c16="http://schemas.microsoft.com/office/drawing/2014/chart" uri="{C3380CC4-5D6E-409C-BE32-E72D297353CC}">
              <c16:uniqueId val="{0000000A-278A-4F19-B17B-A9E49B85DBE7}"/>
            </c:ext>
          </c:extLst>
        </c:ser>
        <c:ser>
          <c:idx val="11"/>
          <c:order val="11"/>
          <c:tx>
            <c:strRef>
              <c:f>Analysis!$M$3</c:f>
              <c:strCache>
                <c:ptCount val="1"/>
                <c:pt idx="0">
                  <c:v>Spain</c:v>
                </c:pt>
              </c:strCache>
            </c:strRef>
          </c:tx>
          <c:spPr>
            <a:ln w="28575" cap="rnd">
              <a:solidFill>
                <a:schemeClr val="accent6">
                  <a:lumMod val="60000"/>
                </a:schemeClr>
              </a:solidFill>
              <a:round/>
            </a:ln>
            <a:effectLst/>
          </c:spPr>
          <c:marker>
            <c:symbol val="none"/>
          </c:marker>
          <c:cat>
            <c:numRef>
              <c:f>Analysis!$A$4:$A$36</c:f>
              <c:numCache>
                <c:formatCode>m/d/yyyy</c:formatCode>
                <c:ptCount val="33"/>
                <c:pt idx="0">
                  <c:v>36621</c:v>
                </c:pt>
                <c:pt idx="1">
                  <c:v>36993</c:v>
                </c:pt>
                <c:pt idx="2">
                  <c:v>37344</c:v>
                </c:pt>
                <c:pt idx="3">
                  <c:v>37530</c:v>
                </c:pt>
                <c:pt idx="4">
                  <c:v>37698</c:v>
                </c:pt>
                <c:pt idx="5">
                  <c:v>37895</c:v>
                </c:pt>
                <c:pt idx="6">
                  <c:v>38037</c:v>
                </c:pt>
                <c:pt idx="7">
                  <c:v>38262</c:v>
                </c:pt>
                <c:pt idx="8">
                  <c:v>38481</c:v>
                </c:pt>
                <c:pt idx="9">
                  <c:v>38635</c:v>
                </c:pt>
                <c:pt idx="10">
                  <c:v>38803</c:v>
                </c:pt>
                <c:pt idx="11">
                  <c:v>38966</c:v>
                </c:pt>
                <c:pt idx="12">
                  <c:v>39182</c:v>
                </c:pt>
                <c:pt idx="13">
                  <c:v>39347</c:v>
                </c:pt>
                <c:pt idx="14">
                  <c:v>39532</c:v>
                </c:pt>
                <c:pt idx="15">
                  <c:v>39722</c:v>
                </c:pt>
                <c:pt idx="16">
                  <c:v>39965</c:v>
                </c:pt>
                <c:pt idx="17">
                  <c:v>40303</c:v>
                </c:pt>
                <c:pt idx="18">
                  <c:v>40493</c:v>
                </c:pt>
                <c:pt idx="19">
                  <c:v>40669</c:v>
                </c:pt>
                <c:pt idx="20">
                  <c:v>40852</c:v>
                </c:pt>
                <c:pt idx="21">
                  <c:v>41041</c:v>
                </c:pt>
                <c:pt idx="22">
                  <c:v>41216</c:v>
                </c:pt>
                <c:pt idx="23">
                  <c:v>41404</c:v>
                </c:pt>
                <c:pt idx="24">
                  <c:v>41580</c:v>
                </c:pt>
                <c:pt idx="25">
                  <c:v>41790</c:v>
                </c:pt>
                <c:pt idx="26">
                  <c:v>41951</c:v>
                </c:pt>
                <c:pt idx="27">
                  <c:v>42140</c:v>
                </c:pt>
                <c:pt idx="28">
                  <c:v>42315</c:v>
                </c:pt>
                <c:pt idx="29">
                  <c:v>42511</c:v>
                </c:pt>
                <c:pt idx="30">
                  <c:v>42677</c:v>
                </c:pt>
                <c:pt idx="31">
                  <c:v>42876</c:v>
                </c:pt>
                <c:pt idx="32">
                  <c:v>43180</c:v>
                </c:pt>
              </c:numCache>
            </c:numRef>
          </c:cat>
          <c:val>
            <c:numRef>
              <c:f>Analysis!$M$4:$M$36</c:f>
              <c:numCache>
                <c:formatCode>0.0%</c:formatCode>
                <c:ptCount val="33"/>
                <c:pt idx="0">
                  <c:v>6.2418537451122469E-2</c:v>
                </c:pt>
                <c:pt idx="1">
                  <c:v>7.7190684909753393E-2</c:v>
                </c:pt>
                <c:pt idx="2">
                  <c:v>4.9209368893116445E-2</c:v>
                </c:pt>
                <c:pt idx="3">
                  <c:v>5.2992799313681303E-2</c:v>
                </c:pt>
                <c:pt idx="4">
                  <c:v>7.4353403340575649E-2</c:v>
                </c:pt>
                <c:pt idx="5">
                  <c:v>6.1093597749756395E-2</c:v>
                </c:pt>
                <c:pt idx="6">
                  <c:v>7.1393178582046427E-2</c:v>
                </c:pt>
                <c:pt idx="7">
                  <c:v>6.2561094819159335E-2</c:v>
                </c:pt>
                <c:pt idx="8">
                  <c:v>8.49609375E-2</c:v>
                </c:pt>
                <c:pt idx="9">
                  <c:v>0.10531496062992127</c:v>
                </c:pt>
                <c:pt idx="10">
                  <c:v>5.4726368159203981E-2</c:v>
                </c:pt>
                <c:pt idx="11">
                  <c:v>7.1784646061814561E-2</c:v>
                </c:pt>
                <c:pt idx="12">
                  <c:v>6.2E-2</c:v>
                </c:pt>
                <c:pt idx="13">
                  <c:v>5.6000000000000001E-2</c:v>
                </c:pt>
                <c:pt idx="14">
                  <c:v>5.6147144240077447E-2</c:v>
                </c:pt>
                <c:pt idx="15">
                  <c:v>9.2092092092092098E-2</c:v>
                </c:pt>
                <c:pt idx="16">
                  <c:v>0.10479041916167665</c:v>
                </c:pt>
                <c:pt idx="17">
                  <c:v>0.11243781094527364</c:v>
                </c:pt>
                <c:pt idx="18">
                  <c:v>0.15684315684315686</c:v>
                </c:pt>
                <c:pt idx="19">
                  <c:v>0.15940594059405941</c:v>
                </c:pt>
                <c:pt idx="20">
                  <c:v>0.22410358565737051</c:v>
                </c:pt>
                <c:pt idx="21">
                  <c:v>0.32440476190476192</c:v>
                </c:pt>
                <c:pt idx="22">
                  <c:v>0.34558093346573981</c:v>
                </c:pt>
                <c:pt idx="23">
                  <c:v>0.37944664031620556</c:v>
                </c:pt>
                <c:pt idx="24">
                  <c:v>0.29516288252714706</c:v>
                </c:pt>
                <c:pt idx="25">
                  <c:v>0.2846079380445305</c:v>
                </c:pt>
                <c:pt idx="26">
                  <c:v>0.20853080568720378</c:v>
                </c:pt>
                <c:pt idx="27">
                  <c:v>0.16683316683316685</c:v>
                </c:pt>
                <c:pt idx="28">
                  <c:v>0.18063872255489022</c:v>
                </c:pt>
                <c:pt idx="29">
                  <c:v>0.23465346534653464</c:v>
                </c:pt>
                <c:pt idx="30">
                  <c:v>0.18397626112759644</c:v>
                </c:pt>
                <c:pt idx="31">
                  <c:v>0.16</c:v>
                </c:pt>
                <c:pt idx="32">
                  <c:v>0.14799999999999999</c:v>
                </c:pt>
              </c:numCache>
            </c:numRef>
          </c:val>
          <c:smooth val="1"/>
          <c:extLst>
            <c:ext xmlns:c16="http://schemas.microsoft.com/office/drawing/2014/chart" uri="{C3380CC4-5D6E-409C-BE32-E72D297353CC}">
              <c16:uniqueId val="{0000000B-278A-4F19-B17B-A9E49B85DBE7}"/>
            </c:ext>
          </c:extLst>
        </c:ser>
        <c:dLbls>
          <c:showLegendKey val="0"/>
          <c:showVal val="0"/>
          <c:showCatName val="0"/>
          <c:showSerName val="0"/>
          <c:showPercent val="0"/>
          <c:showBubbleSize val="0"/>
        </c:dLbls>
        <c:smooth val="0"/>
        <c:axId val="466194952"/>
        <c:axId val="466195344"/>
      </c:lineChart>
      <c:dateAx>
        <c:axId val="466194952"/>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66195344"/>
        <c:crosses val="autoZero"/>
        <c:auto val="1"/>
        <c:lblOffset val="100"/>
        <c:baseTimeUnit val="months"/>
      </c:dateAx>
      <c:valAx>
        <c:axId val="4661953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66194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noFill/>
    <a:ln w="9525" cap="flat" cmpd="sng" algn="ctr">
      <a:no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weoreptc!$A$2</c:f>
              <c:strCache>
                <c:ptCount val="1"/>
                <c:pt idx="0">
                  <c:v>France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weoreptc!$B$2:$P$2</c:f>
              <c:numCache>
                <c:formatCode>General</c:formatCode>
                <c:ptCount val="14"/>
                <c:pt idx="0">
                  <c:v>2.3610000000000002</c:v>
                </c:pt>
                <c:pt idx="1">
                  <c:v>0.19500000000000001</c:v>
                </c:pt>
                <c:pt idx="2">
                  <c:v>-2.9409999999999998</c:v>
                </c:pt>
                <c:pt idx="3">
                  <c:v>1.966</c:v>
                </c:pt>
                <c:pt idx="4">
                  <c:v>2.0790000000000002</c:v>
                </c:pt>
                <c:pt idx="5">
                  <c:v>0.183</c:v>
                </c:pt>
                <c:pt idx="6">
                  <c:v>0.57599999999999996</c:v>
                </c:pt>
                <c:pt idx="7">
                  <c:v>0.94799999999999995</c:v>
                </c:pt>
                <c:pt idx="8">
                  <c:v>1.0669999999999999</c:v>
                </c:pt>
                <c:pt idx="9">
                  <c:v>1.1879999999999999</c:v>
                </c:pt>
                <c:pt idx="10">
                  <c:v>1.8460000000000001</c:v>
                </c:pt>
                <c:pt idx="11">
                  <c:v>2.0710000000000002</c:v>
                </c:pt>
                <c:pt idx="12">
                  <c:v>2.024</c:v>
                </c:pt>
                <c:pt idx="13">
                  <c:v>1.762</c:v>
                </c:pt>
              </c:numCache>
            </c:numRef>
          </c:val>
          <c:smooth val="1"/>
          <c:extLst>
            <c:ext xmlns:c16="http://schemas.microsoft.com/office/drawing/2014/chart" uri="{C3380CC4-5D6E-409C-BE32-E72D297353CC}">
              <c16:uniqueId val="{00000000-F60E-4B6C-A86C-9B407F8C0197}"/>
            </c:ext>
          </c:extLst>
        </c:ser>
        <c:ser>
          <c:idx val="1"/>
          <c:order val="1"/>
          <c:tx>
            <c:strRef>
              <c:f>weoreptc!$A$3</c:f>
              <c:strCache>
                <c:ptCount val="1"/>
                <c:pt idx="0">
                  <c:v>France</c:v>
                </c:pt>
              </c:strCache>
            </c:strRef>
          </c:tx>
          <c:spPr>
            <a:ln w="28575" cap="rnd">
              <a:solidFill>
                <a:schemeClr val="accent2"/>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weoreptc!$B$3:$P$3</c:f>
            </c:numRef>
          </c:val>
          <c:smooth val="0"/>
          <c:extLst>
            <c:ext xmlns:c16="http://schemas.microsoft.com/office/drawing/2014/chart" uri="{C3380CC4-5D6E-409C-BE32-E72D297353CC}">
              <c16:uniqueId val="{00000001-F60E-4B6C-A86C-9B407F8C0197}"/>
            </c:ext>
          </c:extLst>
        </c:ser>
        <c:ser>
          <c:idx val="2"/>
          <c:order val="2"/>
          <c:tx>
            <c:strRef>
              <c:f>weoreptc!$A$4</c:f>
              <c:strCache>
                <c:ptCount val="1"/>
                <c:pt idx="0">
                  <c:v>France</c:v>
                </c:pt>
              </c:strCache>
            </c:strRef>
          </c:tx>
          <c:spPr>
            <a:ln w="28575" cap="rnd">
              <a:solidFill>
                <a:schemeClr val="accent3"/>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weoreptc!$B$4:$P$4</c:f>
            </c:numRef>
          </c:val>
          <c:smooth val="0"/>
          <c:extLst>
            <c:ext xmlns:c16="http://schemas.microsoft.com/office/drawing/2014/chart" uri="{C3380CC4-5D6E-409C-BE32-E72D297353CC}">
              <c16:uniqueId val="{00000002-F60E-4B6C-A86C-9B407F8C0197}"/>
            </c:ext>
          </c:extLst>
        </c:ser>
        <c:ser>
          <c:idx val="3"/>
          <c:order val="3"/>
          <c:tx>
            <c:strRef>
              <c:f>weoreptc!$A$5</c:f>
              <c:strCache>
                <c:ptCount val="1"/>
                <c:pt idx="0">
                  <c:v>France</c:v>
                </c:pt>
              </c:strCache>
            </c:strRef>
          </c:tx>
          <c:spPr>
            <a:ln w="28575" cap="rnd">
              <a:solidFill>
                <a:schemeClr val="accent4"/>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weoreptc!$B$5:$P$5</c:f>
            </c:numRef>
          </c:val>
          <c:smooth val="0"/>
          <c:extLst>
            <c:ext xmlns:c16="http://schemas.microsoft.com/office/drawing/2014/chart" uri="{C3380CC4-5D6E-409C-BE32-E72D297353CC}">
              <c16:uniqueId val="{00000003-F60E-4B6C-A86C-9B407F8C0197}"/>
            </c:ext>
          </c:extLst>
        </c:ser>
        <c:ser>
          <c:idx val="4"/>
          <c:order val="4"/>
          <c:tx>
            <c:strRef>
              <c:f>weoreptc!$A$6</c:f>
              <c:strCache>
                <c:ptCount val="1"/>
                <c:pt idx="0">
                  <c:v>Germany</c:v>
                </c:pt>
              </c:strCache>
            </c:strRef>
          </c:tx>
          <c:spPr>
            <a:ln w="28575" cap="rnd">
              <a:solidFill>
                <a:schemeClr val="accent5"/>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weoreptc!$B$6:$P$6</c:f>
              <c:numCache>
                <c:formatCode>General</c:formatCode>
                <c:ptCount val="14"/>
                <c:pt idx="0">
                  <c:v>3.37</c:v>
                </c:pt>
                <c:pt idx="1">
                  <c:v>0.81599999999999995</c:v>
                </c:pt>
                <c:pt idx="2">
                  <c:v>-5.5629999999999997</c:v>
                </c:pt>
                <c:pt idx="3">
                  <c:v>3.9449999999999998</c:v>
                </c:pt>
                <c:pt idx="4">
                  <c:v>3.718</c:v>
                </c:pt>
                <c:pt idx="5">
                  <c:v>0.68899999999999995</c:v>
                </c:pt>
                <c:pt idx="6">
                  <c:v>0.59899999999999998</c:v>
                </c:pt>
                <c:pt idx="7">
                  <c:v>1.927</c:v>
                </c:pt>
                <c:pt idx="8">
                  <c:v>1.504</c:v>
                </c:pt>
                <c:pt idx="9">
                  <c:v>1.855</c:v>
                </c:pt>
                <c:pt idx="10">
                  <c:v>2.5139999999999998</c:v>
                </c:pt>
                <c:pt idx="11">
                  <c:v>2.5409999999999999</c:v>
                </c:pt>
                <c:pt idx="12">
                  <c:v>2.0110000000000001</c:v>
                </c:pt>
                <c:pt idx="13">
                  <c:v>1.5289999999999999</c:v>
                </c:pt>
              </c:numCache>
            </c:numRef>
          </c:val>
          <c:smooth val="1"/>
          <c:extLst>
            <c:ext xmlns:c16="http://schemas.microsoft.com/office/drawing/2014/chart" uri="{C3380CC4-5D6E-409C-BE32-E72D297353CC}">
              <c16:uniqueId val="{00000004-F60E-4B6C-A86C-9B407F8C0197}"/>
            </c:ext>
          </c:extLst>
        </c:ser>
        <c:ser>
          <c:idx val="5"/>
          <c:order val="5"/>
          <c:tx>
            <c:strRef>
              <c:f>weoreptc!$A$7</c:f>
              <c:strCache>
                <c:ptCount val="1"/>
                <c:pt idx="0">
                  <c:v>Germany</c:v>
                </c:pt>
              </c:strCache>
            </c:strRef>
          </c:tx>
          <c:spPr>
            <a:ln w="28575" cap="rnd">
              <a:solidFill>
                <a:schemeClr val="accent6"/>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weoreptc!$B$7:$P$7</c:f>
            </c:numRef>
          </c:val>
          <c:smooth val="0"/>
          <c:extLst>
            <c:ext xmlns:c16="http://schemas.microsoft.com/office/drawing/2014/chart" uri="{C3380CC4-5D6E-409C-BE32-E72D297353CC}">
              <c16:uniqueId val="{00000005-F60E-4B6C-A86C-9B407F8C0197}"/>
            </c:ext>
          </c:extLst>
        </c:ser>
        <c:ser>
          <c:idx val="6"/>
          <c:order val="6"/>
          <c:tx>
            <c:strRef>
              <c:f>weoreptc!$A$8</c:f>
              <c:strCache>
                <c:ptCount val="1"/>
                <c:pt idx="0">
                  <c:v>Germany</c:v>
                </c:pt>
              </c:strCache>
            </c:strRef>
          </c:tx>
          <c:spPr>
            <a:ln w="28575" cap="rnd">
              <a:solidFill>
                <a:schemeClr val="accent1">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weoreptc!$B$8:$P$8</c:f>
            </c:numRef>
          </c:val>
          <c:smooth val="0"/>
          <c:extLst>
            <c:ext xmlns:c16="http://schemas.microsoft.com/office/drawing/2014/chart" uri="{C3380CC4-5D6E-409C-BE32-E72D297353CC}">
              <c16:uniqueId val="{00000006-F60E-4B6C-A86C-9B407F8C0197}"/>
            </c:ext>
          </c:extLst>
        </c:ser>
        <c:ser>
          <c:idx val="7"/>
          <c:order val="7"/>
          <c:tx>
            <c:strRef>
              <c:f>weoreptc!$A$9</c:f>
              <c:strCache>
                <c:ptCount val="1"/>
                <c:pt idx="0">
                  <c:v>Germany</c:v>
                </c:pt>
              </c:strCache>
            </c:strRef>
          </c:tx>
          <c:spPr>
            <a:ln w="28575" cap="rnd">
              <a:solidFill>
                <a:schemeClr val="accent2">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weoreptc!$B$9:$P$9</c:f>
            </c:numRef>
          </c:val>
          <c:smooth val="0"/>
          <c:extLst>
            <c:ext xmlns:c16="http://schemas.microsoft.com/office/drawing/2014/chart" uri="{C3380CC4-5D6E-409C-BE32-E72D297353CC}">
              <c16:uniqueId val="{00000007-F60E-4B6C-A86C-9B407F8C0197}"/>
            </c:ext>
          </c:extLst>
        </c:ser>
        <c:ser>
          <c:idx val="9"/>
          <c:order val="8"/>
          <c:tx>
            <c:strRef>
              <c:f>weoreptc!$A$11</c:f>
              <c:strCache>
                <c:ptCount val="1"/>
                <c:pt idx="0">
                  <c:v>Ireland</c:v>
                </c:pt>
              </c:strCache>
            </c:strRef>
          </c:tx>
          <c:spPr>
            <a:ln w="28575" cap="rnd">
              <a:solidFill>
                <a:schemeClr val="accent4">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weoreptc!$B$11:$P$11</c:f>
            </c:numRef>
          </c:val>
          <c:smooth val="0"/>
          <c:extLst>
            <c:ext xmlns:c16="http://schemas.microsoft.com/office/drawing/2014/chart" uri="{C3380CC4-5D6E-409C-BE32-E72D297353CC}">
              <c16:uniqueId val="{00000008-F60E-4B6C-A86C-9B407F8C0197}"/>
            </c:ext>
          </c:extLst>
        </c:ser>
        <c:ser>
          <c:idx val="10"/>
          <c:order val="9"/>
          <c:tx>
            <c:strRef>
              <c:f>weoreptc!$A$12</c:f>
              <c:strCache>
                <c:ptCount val="1"/>
                <c:pt idx="0">
                  <c:v>Ireland</c:v>
                </c:pt>
              </c:strCache>
            </c:strRef>
          </c:tx>
          <c:spPr>
            <a:ln w="28575" cap="rnd">
              <a:solidFill>
                <a:schemeClr val="accent5">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weoreptc!$B$12:$P$12</c:f>
            </c:numRef>
          </c:val>
          <c:smooth val="0"/>
          <c:extLst>
            <c:ext xmlns:c16="http://schemas.microsoft.com/office/drawing/2014/chart" uri="{C3380CC4-5D6E-409C-BE32-E72D297353CC}">
              <c16:uniqueId val="{00000009-F60E-4B6C-A86C-9B407F8C0197}"/>
            </c:ext>
          </c:extLst>
        </c:ser>
        <c:ser>
          <c:idx val="11"/>
          <c:order val="10"/>
          <c:tx>
            <c:strRef>
              <c:f>weoreptc!$A$13</c:f>
              <c:strCache>
                <c:ptCount val="1"/>
                <c:pt idx="0">
                  <c:v>Ireland</c:v>
                </c:pt>
              </c:strCache>
            </c:strRef>
          </c:tx>
          <c:spPr>
            <a:ln w="28575" cap="rnd">
              <a:solidFill>
                <a:schemeClr val="accent6">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weoreptc!$B$13:$P$13</c:f>
            </c:numRef>
          </c:val>
          <c:smooth val="0"/>
          <c:extLst>
            <c:ext xmlns:c16="http://schemas.microsoft.com/office/drawing/2014/chart" uri="{C3380CC4-5D6E-409C-BE32-E72D297353CC}">
              <c16:uniqueId val="{0000000A-F60E-4B6C-A86C-9B407F8C0197}"/>
            </c:ext>
          </c:extLst>
        </c:ser>
        <c:ser>
          <c:idx val="12"/>
          <c:order val="11"/>
          <c:tx>
            <c:strRef>
              <c:f>weoreptc!$A$14</c:f>
              <c:strCache>
                <c:ptCount val="1"/>
                <c:pt idx="0">
                  <c:v>Italy</c:v>
                </c:pt>
              </c:strCache>
            </c:strRef>
          </c:tx>
          <c:spPr>
            <a:ln w="28575" cap="rnd">
              <a:solidFill>
                <a:schemeClr val="accent1">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weoreptc!$B$14:$P$14</c:f>
              <c:numCache>
                <c:formatCode>General</c:formatCode>
                <c:ptCount val="14"/>
                <c:pt idx="0">
                  <c:v>1.474</c:v>
                </c:pt>
                <c:pt idx="1">
                  <c:v>-1.05</c:v>
                </c:pt>
                <c:pt idx="2">
                  <c:v>-5.4820000000000002</c:v>
                </c:pt>
                <c:pt idx="3">
                  <c:v>1.6870000000000001</c:v>
                </c:pt>
                <c:pt idx="4">
                  <c:v>0.57699999999999996</c:v>
                </c:pt>
                <c:pt idx="5">
                  <c:v>-2.819</c:v>
                </c:pt>
                <c:pt idx="6">
                  <c:v>-1.728</c:v>
                </c:pt>
                <c:pt idx="7">
                  <c:v>0.114</c:v>
                </c:pt>
                <c:pt idx="8">
                  <c:v>0.95199999999999996</c:v>
                </c:pt>
                <c:pt idx="9">
                  <c:v>0.85799999999999998</c:v>
                </c:pt>
                <c:pt idx="10">
                  <c:v>1.47</c:v>
                </c:pt>
                <c:pt idx="11">
                  <c:v>1.5409999999999999</c:v>
                </c:pt>
                <c:pt idx="12">
                  <c:v>1.1359999999999999</c:v>
                </c:pt>
                <c:pt idx="13">
                  <c:v>0.9</c:v>
                </c:pt>
              </c:numCache>
            </c:numRef>
          </c:val>
          <c:smooth val="1"/>
          <c:extLst>
            <c:ext xmlns:c16="http://schemas.microsoft.com/office/drawing/2014/chart" uri="{C3380CC4-5D6E-409C-BE32-E72D297353CC}">
              <c16:uniqueId val="{0000000B-F60E-4B6C-A86C-9B407F8C0197}"/>
            </c:ext>
          </c:extLst>
        </c:ser>
        <c:ser>
          <c:idx val="13"/>
          <c:order val="12"/>
          <c:tx>
            <c:strRef>
              <c:f>weoreptc!$A$15</c:f>
              <c:strCache>
                <c:ptCount val="1"/>
                <c:pt idx="0">
                  <c:v>Italy</c:v>
                </c:pt>
              </c:strCache>
            </c:strRef>
          </c:tx>
          <c:spPr>
            <a:ln w="28575" cap="rnd">
              <a:solidFill>
                <a:schemeClr val="accent2">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weoreptc!$B$15:$P$15</c:f>
            </c:numRef>
          </c:val>
          <c:smooth val="0"/>
          <c:extLst>
            <c:ext xmlns:c16="http://schemas.microsoft.com/office/drawing/2014/chart" uri="{C3380CC4-5D6E-409C-BE32-E72D297353CC}">
              <c16:uniqueId val="{0000000C-F60E-4B6C-A86C-9B407F8C0197}"/>
            </c:ext>
          </c:extLst>
        </c:ser>
        <c:ser>
          <c:idx val="14"/>
          <c:order val="13"/>
          <c:tx>
            <c:strRef>
              <c:f>weoreptc!$A$16</c:f>
              <c:strCache>
                <c:ptCount val="1"/>
                <c:pt idx="0">
                  <c:v>Italy</c:v>
                </c:pt>
              </c:strCache>
            </c:strRef>
          </c:tx>
          <c:spPr>
            <a:ln w="28575" cap="rnd">
              <a:solidFill>
                <a:schemeClr val="accent3">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weoreptc!$B$16:$P$16</c:f>
            </c:numRef>
          </c:val>
          <c:smooth val="0"/>
          <c:extLst>
            <c:ext xmlns:c16="http://schemas.microsoft.com/office/drawing/2014/chart" uri="{C3380CC4-5D6E-409C-BE32-E72D297353CC}">
              <c16:uniqueId val="{0000000D-F60E-4B6C-A86C-9B407F8C0197}"/>
            </c:ext>
          </c:extLst>
        </c:ser>
        <c:ser>
          <c:idx val="15"/>
          <c:order val="14"/>
          <c:tx>
            <c:strRef>
              <c:f>weoreptc!$A$17</c:f>
              <c:strCache>
                <c:ptCount val="1"/>
                <c:pt idx="0">
                  <c:v>Italy</c:v>
                </c:pt>
              </c:strCache>
            </c:strRef>
          </c:tx>
          <c:spPr>
            <a:ln w="28575" cap="rnd">
              <a:solidFill>
                <a:schemeClr val="accent4">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weoreptc!$B$17:$P$17</c:f>
            </c:numRef>
          </c:val>
          <c:smooth val="0"/>
          <c:extLst>
            <c:ext xmlns:c16="http://schemas.microsoft.com/office/drawing/2014/chart" uri="{C3380CC4-5D6E-409C-BE32-E72D297353CC}">
              <c16:uniqueId val="{0000000E-F60E-4B6C-A86C-9B407F8C0197}"/>
            </c:ext>
          </c:extLst>
        </c:ser>
        <c:ser>
          <c:idx val="16"/>
          <c:order val="15"/>
          <c:tx>
            <c:strRef>
              <c:f>weoreptc!$A$18</c:f>
              <c:strCache>
                <c:ptCount val="1"/>
                <c:pt idx="0">
                  <c:v>Portugal</c:v>
                </c:pt>
              </c:strCache>
            </c:strRef>
          </c:tx>
          <c:spPr>
            <a:ln w="28575" cap="rnd">
              <a:solidFill>
                <a:schemeClr val="accent5">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weoreptc!$B$18:$P$18</c:f>
              <c:numCache>
                <c:formatCode>General</c:formatCode>
                <c:ptCount val="14"/>
                <c:pt idx="0">
                  <c:v>2.492</c:v>
                </c:pt>
                <c:pt idx="1">
                  <c:v>0.19900000000000001</c:v>
                </c:pt>
                <c:pt idx="2">
                  <c:v>-2.9780000000000002</c:v>
                </c:pt>
                <c:pt idx="3">
                  <c:v>1.899</c:v>
                </c:pt>
                <c:pt idx="4">
                  <c:v>-1.827</c:v>
                </c:pt>
                <c:pt idx="5">
                  <c:v>-4.0279999999999996</c:v>
                </c:pt>
                <c:pt idx="6">
                  <c:v>-1.1299999999999999</c:v>
                </c:pt>
                <c:pt idx="7">
                  <c:v>0.89300000000000002</c:v>
                </c:pt>
                <c:pt idx="8">
                  <c:v>1.8220000000000001</c:v>
                </c:pt>
                <c:pt idx="9">
                  <c:v>1.619</c:v>
                </c:pt>
                <c:pt idx="10">
                  <c:v>2.6739999999999999</c:v>
                </c:pt>
                <c:pt idx="11">
                  <c:v>2.4</c:v>
                </c:pt>
                <c:pt idx="12">
                  <c:v>1.8</c:v>
                </c:pt>
                <c:pt idx="13">
                  <c:v>1.5</c:v>
                </c:pt>
              </c:numCache>
            </c:numRef>
          </c:val>
          <c:smooth val="1"/>
          <c:extLst>
            <c:ext xmlns:c16="http://schemas.microsoft.com/office/drawing/2014/chart" uri="{C3380CC4-5D6E-409C-BE32-E72D297353CC}">
              <c16:uniqueId val="{0000000F-F60E-4B6C-A86C-9B407F8C0197}"/>
            </c:ext>
          </c:extLst>
        </c:ser>
        <c:ser>
          <c:idx val="17"/>
          <c:order val="16"/>
          <c:tx>
            <c:strRef>
              <c:f>weoreptc!$A$19</c:f>
              <c:strCache>
                <c:ptCount val="1"/>
                <c:pt idx="0">
                  <c:v>Portugal</c:v>
                </c:pt>
              </c:strCache>
            </c:strRef>
          </c:tx>
          <c:spPr>
            <a:ln w="28575" cap="rnd">
              <a:solidFill>
                <a:schemeClr val="accent6">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weoreptc!$B$19:$P$19</c:f>
            </c:numRef>
          </c:val>
          <c:smooth val="0"/>
          <c:extLst>
            <c:ext xmlns:c16="http://schemas.microsoft.com/office/drawing/2014/chart" uri="{C3380CC4-5D6E-409C-BE32-E72D297353CC}">
              <c16:uniqueId val="{00000010-F60E-4B6C-A86C-9B407F8C0197}"/>
            </c:ext>
          </c:extLst>
        </c:ser>
        <c:ser>
          <c:idx val="18"/>
          <c:order val="17"/>
          <c:tx>
            <c:strRef>
              <c:f>weoreptc!$A$20</c:f>
              <c:strCache>
                <c:ptCount val="1"/>
                <c:pt idx="0">
                  <c:v>Portugal</c:v>
                </c:pt>
              </c:strCache>
            </c:strRef>
          </c:tx>
          <c:spPr>
            <a:ln w="28575" cap="rnd">
              <a:solidFill>
                <a:schemeClr val="accent1">
                  <a:lumMod val="8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weoreptc!$B$20:$P$20</c:f>
            </c:numRef>
          </c:val>
          <c:smooth val="0"/>
          <c:extLst>
            <c:ext xmlns:c16="http://schemas.microsoft.com/office/drawing/2014/chart" uri="{C3380CC4-5D6E-409C-BE32-E72D297353CC}">
              <c16:uniqueId val="{00000011-F60E-4B6C-A86C-9B407F8C0197}"/>
            </c:ext>
          </c:extLst>
        </c:ser>
        <c:ser>
          <c:idx val="19"/>
          <c:order val="18"/>
          <c:tx>
            <c:strRef>
              <c:f>weoreptc!$A$21</c:f>
              <c:strCache>
                <c:ptCount val="1"/>
                <c:pt idx="0">
                  <c:v>Portugal</c:v>
                </c:pt>
              </c:strCache>
            </c:strRef>
          </c:tx>
          <c:spPr>
            <a:ln w="28575" cap="rnd">
              <a:solidFill>
                <a:schemeClr val="accent2">
                  <a:lumMod val="8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weoreptc!$B$21:$P$21</c:f>
            </c:numRef>
          </c:val>
          <c:smooth val="0"/>
          <c:extLst>
            <c:ext xmlns:c16="http://schemas.microsoft.com/office/drawing/2014/chart" uri="{C3380CC4-5D6E-409C-BE32-E72D297353CC}">
              <c16:uniqueId val="{00000012-F60E-4B6C-A86C-9B407F8C0197}"/>
            </c:ext>
          </c:extLst>
        </c:ser>
        <c:ser>
          <c:idx val="20"/>
          <c:order val="19"/>
          <c:tx>
            <c:strRef>
              <c:f>weoreptc!$A$22</c:f>
              <c:strCache>
                <c:ptCount val="1"/>
                <c:pt idx="0">
                  <c:v>Spain</c:v>
                </c:pt>
              </c:strCache>
            </c:strRef>
          </c:tx>
          <c:spPr>
            <a:ln w="28575" cap="rnd">
              <a:solidFill>
                <a:schemeClr val="accent3">
                  <a:lumMod val="8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weoreptc!$B$22:$P$22</c:f>
              <c:numCache>
                <c:formatCode>General</c:formatCode>
                <c:ptCount val="14"/>
                <c:pt idx="0">
                  <c:v>3.7690000000000001</c:v>
                </c:pt>
                <c:pt idx="1">
                  <c:v>1.1180000000000001</c:v>
                </c:pt>
                <c:pt idx="2">
                  <c:v>-3.5739999999999998</c:v>
                </c:pt>
                <c:pt idx="3">
                  <c:v>1.4E-2</c:v>
                </c:pt>
                <c:pt idx="4">
                  <c:v>-0.999</c:v>
                </c:pt>
                <c:pt idx="5">
                  <c:v>-2.9279999999999999</c:v>
                </c:pt>
                <c:pt idx="6">
                  <c:v>-1.706</c:v>
                </c:pt>
                <c:pt idx="7">
                  <c:v>1.38</c:v>
                </c:pt>
                <c:pt idx="8">
                  <c:v>3.4319999999999999</c:v>
                </c:pt>
                <c:pt idx="9">
                  <c:v>3.274</c:v>
                </c:pt>
                <c:pt idx="10">
                  <c:v>3.052</c:v>
                </c:pt>
                <c:pt idx="11">
                  <c:v>2.75</c:v>
                </c:pt>
                <c:pt idx="12">
                  <c:v>2.1880000000000002</c:v>
                </c:pt>
                <c:pt idx="13">
                  <c:v>1.86</c:v>
                </c:pt>
              </c:numCache>
            </c:numRef>
          </c:val>
          <c:smooth val="1"/>
          <c:extLst>
            <c:ext xmlns:c16="http://schemas.microsoft.com/office/drawing/2014/chart" uri="{C3380CC4-5D6E-409C-BE32-E72D297353CC}">
              <c16:uniqueId val="{00000013-F60E-4B6C-A86C-9B407F8C0197}"/>
            </c:ext>
          </c:extLst>
        </c:ser>
        <c:dLbls>
          <c:showLegendKey val="0"/>
          <c:showVal val="0"/>
          <c:showCatName val="0"/>
          <c:showSerName val="0"/>
          <c:showPercent val="0"/>
          <c:showBubbleSize val="0"/>
        </c:dLbls>
        <c:marker val="1"/>
        <c:smooth val="0"/>
        <c:axId val="466196128"/>
        <c:axId val="466196520"/>
      </c:lineChart>
      <c:catAx>
        <c:axId val="46619612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crossAx val="466196520"/>
        <c:crosses val="autoZero"/>
        <c:auto val="1"/>
        <c:lblAlgn val="ctr"/>
        <c:lblOffset val="100"/>
        <c:noMultiLvlLbl val="0"/>
      </c:catAx>
      <c:valAx>
        <c:axId val="466196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crossAx val="466196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noFill/>
    <a:ln w="9525" cap="flat" cmpd="sng" algn="ctr">
      <a:no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Sheet0!$A$3</c:f>
              <c:strCache>
                <c:ptCount val="1"/>
                <c:pt idx="0">
                  <c:v>Germany</c:v>
                </c:pt>
              </c:strCache>
            </c:strRef>
          </c:tx>
          <c:spPr>
            <a:ln w="28575" cap="rnd">
              <a:solidFill>
                <a:schemeClr val="accent1"/>
              </a:solidFill>
              <a:round/>
            </a:ln>
            <a:effectLst/>
          </c:spPr>
          <c:marker>
            <c:symbol val="none"/>
          </c:marker>
          <c:cat>
            <c:strRef>
              <c:f>Sheet0!$B$2:$L$2</c:f>
              <c:strCache>
                <c:ptCount val="11"/>
                <c:pt idx="0">
                  <c:v>2007</c:v>
                </c:pt>
                <c:pt idx="1">
                  <c:v>2008</c:v>
                </c:pt>
                <c:pt idx="2">
                  <c:v>2009</c:v>
                </c:pt>
                <c:pt idx="3">
                  <c:v>2010</c:v>
                </c:pt>
                <c:pt idx="4">
                  <c:v>2011</c:v>
                </c:pt>
                <c:pt idx="5">
                  <c:v>2012</c:v>
                </c:pt>
                <c:pt idx="6">
                  <c:v>2013</c:v>
                </c:pt>
                <c:pt idx="7">
                  <c:v>2014</c:v>
                </c:pt>
                <c:pt idx="8">
                  <c:v>2015</c:v>
                </c:pt>
                <c:pt idx="9">
                  <c:v>2016</c:v>
                </c:pt>
                <c:pt idx="10">
                  <c:v>2017</c:v>
                </c:pt>
              </c:strCache>
            </c:strRef>
          </c:cat>
          <c:val>
            <c:numRef>
              <c:f>Sheet0!$B$3:$L$3</c:f>
              <c:numCache>
                <c:formatCode>General</c:formatCode>
                <c:ptCount val="11"/>
                <c:pt idx="0">
                  <c:v>-2.9</c:v>
                </c:pt>
                <c:pt idx="1">
                  <c:v>-0.1</c:v>
                </c:pt>
                <c:pt idx="2">
                  <c:v>8.1</c:v>
                </c:pt>
                <c:pt idx="3">
                  <c:v>7.5</c:v>
                </c:pt>
                <c:pt idx="4">
                  <c:v>5.7</c:v>
                </c:pt>
                <c:pt idx="5">
                  <c:v>2.7</c:v>
                </c:pt>
                <c:pt idx="6">
                  <c:v>5.9</c:v>
                </c:pt>
                <c:pt idx="7">
                  <c:v>7</c:v>
                </c:pt>
                <c:pt idx="8">
                  <c:v>5.6</c:v>
                </c:pt>
                <c:pt idx="9">
                  <c:v>5.2</c:v>
                </c:pt>
                <c:pt idx="10">
                  <c:v>5.3</c:v>
                </c:pt>
              </c:numCache>
            </c:numRef>
          </c:val>
          <c:smooth val="1"/>
          <c:extLst>
            <c:ext xmlns:c16="http://schemas.microsoft.com/office/drawing/2014/chart" uri="{C3380CC4-5D6E-409C-BE32-E72D297353CC}">
              <c16:uniqueId val="{00000000-27B9-4160-B362-F40182E70F2C}"/>
            </c:ext>
          </c:extLst>
        </c:ser>
        <c:ser>
          <c:idx val="1"/>
          <c:order val="1"/>
          <c:tx>
            <c:strRef>
              <c:f>Sheet0!$A$4</c:f>
              <c:strCache>
                <c:ptCount val="1"/>
                <c:pt idx="0">
                  <c:v>Ireland</c:v>
                </c:pt>
              </c:strCache>
            </c:strRef>
          </c:tx>
          <c:spPr>
            <a:ln w="28575" cap="rnd">
              <a:solidFill>
                <a:schemeClr val="accent2"/>
              </a:solidFill>
              <a:round/>
            </a:ln>
            <a:effectLst/>
          </c:spPr>
          <c:marker>
            <c:symbol val="none"/>
          </c:marker>
          <c:cat>
            <c:strRef>
              <c:f>Sheet0!$B$2:$L$2</c:f>
              <c:strCache>
                <c:ptCount val="11"/>
                <c:pt idx="0">
                  <c:v>2007</c:v>
                </c:pt>
                <c:pt idx="1">
                  <c:v>2008</c:v>
                </c:pt>
                <c:pt idx="2">
                  <c:v>2009</c:v>
                </c:pt>
                <c:pt idx="3">
                  <c:v>2010</c:v>
                </c:pt>
                <c:pt idx="4">
                  <c:v>2011</c:v>
                </c:pt>
                <c:pt idx="5">
                  <c:v>2012</c:v>
                </c:pt>
                <c:pt idx="6">
                  <c:v>2013</c:v>
                </c:pt>
                <c:pt idx="7">
                  <c:v>2014</c:v>
                </c:pt>
                <c:pt idx="8">
                  <c:v>2015</c:v>
                </c:pt>
                <c:pt idx="9">
                  <c:v>2016</c:v>
                </c:pt>
                <c:pt idx="10">
                  <c:v>2017</c:v>
                </c:pt>
              </c:strCache>
            </c:strRef>
          </c:cat>
          <c:val>
            <c:numRef>
              <c:f>Sheet0!$B$4:$L$4</c:f>
              <c:numCache>
                <c:formatCode>General</c:formatCode>
                <c:ptCount val="11"/>
                <c:pt idx="0">
                  <c:v>13.1</c:v>
                </c:pt>
                <c:pt idx="1">
                  <c:v>16.8</c:v>
                </c:pt>
                <c:pt idx="2">
                  <c:v>7.8</c:v>
                </c:pt>
                <c:pt idx="3">
                  <c:v>-6.7</c:v>
                </c:pt>
                <c:pt idx="4">
                  <c:v>-15.4</c:v>
                </c:pt>
                <c:pt idx="5">
                  <c:v>-11.8</c:v>
                </c:pt>
                <c:pt idx="6">
                  <c:v>-1.9</c:v>
                </c:pt>
                <c:pt idx="7">
                  <c:v>-3.7</c:v>
                </c:pt>
                <c:pt idx="8">
                  <c:v>-19.5</c:v>
                </c:pt>
                <c:pt idx="9">
                  <c:v>-20.5</c:v>
                </c:pt>
                <c:pt idx="10">
                  <c:v>-19</c:v>
                </c:pt>
              </c:numCache>
            </c:numRef>
          </c:val>
          <c:smooth val="1"/>
          <c:extLst>
            <c:ext xmlns:c16="http://schemas.microsoft.com/office/drawing/2014/chart" uri="{C3380CC4-5D6E-409C-BE32-E72D297353CC}">
              <c16:uniqueId val="{00000001-27B9-4160-B362-F40182E70F2C}"/>
            </c:ext>
          </c:extLst>
        </c:ser>
        <c:ser>
          <c:idx val="3"/>
          <c:order val="2"/>
          <c:tx>
            <c:strRef>
              <c:f>Sheet0!$A$6</c:f>
              <c:strCache>
                <c:ptCount val="1"/>
                <c:pt idx="0">
                  <c:v>Spain</c:v>
                </c:pt>
              </c:strCache>
            </c:strRef>
          </c:tx>
          <c:spPr>
            <a:ln w="28575" cap="rnd">
              <a:solidFill>
                <a:schemeClr val="accent4"/>
              </a:solidFill>
              <a:round/>
            </a:ln>
            <a:effectLst/>
          </c:spPr>
          <c:marker>
            <c:symbol val="none"/>
          </c:marker>
          <c:cat>
            <c:strRef>
              <c:f>Sheet0!$B$2:$L$2</c:f>
              <c:strCache>
                <c:ptCount val="11"/>
                <c:pt idx="0">
                  <c:v>2007</c:v>
                </c:pt>
                <c:pt idx="1">
                  <c:v>2008</c:v>
                </c:pt>
                <c:pt idx="2">
                  <c:v>2009</c:v>
                </c:pt>
                <c:pt idx="3">
                  <c:v>2010</c:v>
                </c:pt>
                <c:pt idx="4">
                  <c:v>2011</c:v>
                </c:pt>
                <c:pt idx="5">
                  <c:v>2012</c:v>
                </c:pt>
                <c:pt idx="6">
                  <c:v>2013</c:v>
                </c:pt>
                <c:pt idx="7">
                  <c:v>2014</c:v>
                </c:pt>
                <c:pt idx="8">
                  <c:v>2015</c:v>
                </c:pt>
                <c:pt idx="9">
                  <c:v>2016</c:v>
                </c:pt>
                <c:pt idx="10">
                  <c:v>2017</c:v>
                </c:pt>
              </c:strCache>
            </c:strRef>
          </c:cat>
          <c:val>
            <c:numRef>
              <c:f>Sheet0!$B$6:$L$6</c:f>
              <c:numCache>
                <c:formatCode>General</c:formatCode>
                <c:ptCount val="11"/>
                <c:pt idx="0">
                  <c:v>11.3</c:v>
                </c:pt>
                <c:pt idx="1">
                  <c:v>13.7</c:v>
                </c:pt>
                <c:pt idx="2">
                  <c:v>11.8</c:v>
                </c:pt>
                <c:pt idx="3">
                  <c:v>5.7</c:v>
                </c:pt>
                <c:pt idx="4">
                  <c:v>-1</c:v>
                </c:pt>
                <c:pt idx="5">
                  <c:v>-5.0999999999999996</c:v>
                </c:pt>
                <c:pt idx="6">
                  <c:v>-4.0999999999999996</c:v>
                </c:pt>
                <c:pt idx="7">
                  <c:v>-3.4</c:v>
                </c:pt>
                <c:pt idx="8">
                  <c:v>0.5</c:v>
                </c:pt>
                <c:pt idx="9">
                  <c:v>0.4</c:v>
                </c:pt>
                <c:pt idx="10">
                  <c:v>0.6</c:v>
                </c:pt>
              </c:numCache>
            </c:numRef>
          </c:val>
          <c:smooth val="1"/>
          <c:extLst>
            <c:ext xmlns:c16="http://schemas.microsoft.com/office/drawing/2014/chart" uri="{C3380CC4-5D6E-409C-BE32-E72D297353CC}">
              <c16:uniqueId val="{00000002-27B9-4160-B362-F40182E70F2C}"/>
            </c:ext>
          </c:extLst>
        </c:ser>
        <c:ser>
          <c:idx val="4"/>
          <c:order val="3"/>
          <c:tx>
            <c:strRef>
              <c:f>Sheet0!$A$7</c:f>
              <c:strCache>
                <c:ptCount val="1"/>
                <c:pt idx="0">
                  <c:v>France</c:v>
                </c:pt>
              </c:strCache>
            </c:strRef>
          </c:tx>
          <c:spPr>
            <a:ln w="28575" cap="rnd">
              <a:solidFill>
                <a:schemeClr val="accent5"/>
              </a:solidFill>
              <a:round/>
            </a:ln>
            <a:effectLst/>
          </c:spPr>
          <c:marker>
            <c:symbol val="none"/>
          </c:marker>
          <c:cat>
            <c:strRef>
              <c:f>Sheet0!$B$2:$L$2</c:f>
              <c:strCache>
                <c:ptCount val="11"/>
                <c:pt idx="0">
                  <c:v>2007</c:v>
                </c:pt>
                <c:pt idx="1">
                  <c:v>2008</c:v>
                </c:pt>
                <c:pt idx="2">
                  <c:v>2009</c:v>
                </c:pt>
                <c:pt idx="3">
                  <c:v>2010</c:v>
                </c:pt>
                <c:pt idx="4">
                  <c:v>2011</c:v>
                </c:pt>
                <c:pt idx="5">
                  <c:v>2012</c:v>
                </c:pt>
                <c:pt idx="6">
                  <c:v>2013</c:v>
                </c:pt>
                <c:pt idx="7">
                  <c:v>2014</c:v>
                </c:pt>
                <c:pt idx="8">
                  <c:v>2015</c:v>
                </c:pt>
                <c:pt idx="9">
                  <c:v>2016</c:v>
                </c:pt>
                <c:pt idx="10">
                  <c:v>2017</c:v>
                </c:pt>
              </c:strCache>
            </c:strRef>
          </c:cat>
          <c:val>
            <c:numRef>
              <c:f>Sheet0!$B$7:$L$7</c:f>
              <c:numCache>
                <c:formatCode>General</c:formatCode>
                <c:ptCount val="11"/>
                <c:pt idx="0">
                  <c:v>5.7</c:v>
                </c:pt>
                <c:pt idx="1">
                  <c:v>6.5</c:v>
                </c:pt>
                <c:pt idx="2">
                  <c:v>8.1999999999999993</c:v>
                </c:pt>
                <c:pt idx="3">
                  <c:v>7.5</c:v>
                </c:pt>
                <c:pt idx="4">
                  <c:v>5.5</c:v>
                </c:pt>
                <c:pt idx="5">
                  <c:v>4.3</c:v>
                </c:pt>
                <c:pt idx="6">
                  <c:v>4.5999999999999996</c:v>
                </c:pt>
                <c:pt idx="7">
                  <c:v>4.5999999999999996</c:v>
                </c:pt>
                <c:pt idx="8">
                  <c:v>2.2000000000000002</c:v>
                </c:pt>
                <c:pt idx="9">
                  <c:v>1.4</c:v>
                </c:pt>
                <c:pt idx="10">
                  <c:v>1.6</c:v>
                </c:pt>
              </c:numCache>
            </c:numRef>
          </c:val>
          <c:smooth val="1"/>
          <c:extLst>
            <c:ext xmlns:c16="http://schemas.microsoft.com/office/drawing/2014/chart" uri="{C3380CC4-5D6E-409C-BE32-E72D297353CC}">
              <c16:uniqueId val="{00000003-27B9-4160-B362-F40182E70F2C}"/>
            </c:ext>
          </c:extLst>
        </c:ser>
        <c:ser>
          <c:idx val="5"/>
          <c:order val="4"/>
          <c:tx>
            <c:strRef>
              <c:f>Sheet0!$A$8</c:f>
              <c:strCache>
                <c:ptCount val="1"/>
                <c:pt idx="0">
                  <c:v>Italy</c:v>
                </c:pt>
              </c:strCache>
            </c:strRef>
          </c:tx>
          <c:spPr>
            <a:ln w="28575" cap="rnd">
              <a:solidFill>
                <a:schemeClr val="accent6"/>
              </a:solidFill>
              <a:round/>
            </a:ln>
            <a:effectLst/>
          </c:spPr>
          <c:marker>
            <c:symbol val="none"/>
          </c:marker>
          <c:cat>
            <c:strRef>
              <c:f>Sheet0!$B$2:$L$2</c:f>
              <c:strCache>
                <c:ptCount val="11"/>
                <c:pt idx="0">
                  <c:v>2007</c:v>
                </c:pt>
                <c:pt idx="1">
                  <c:v>2008</c:v>
                </c:pt>
                <c:pt idx="2">
                  <c:v>2009</c:v>
                </c:pt>
                <c:pt idx="3">
                  <c:v>2010</c:v>
                </c:pt>
                <c:pt idx="4">
                  <c:v>2011</c:v>
                </c:pt>
                <c:pt idx="5">
                  <c:v>2012</c:v>
                </c:pt>
                <c:pt idx="6">
                  <c:v>2013</c:v>
                </c:pt>
                <c:pt idx="7">
                  <c:v>2014</c:v>
                </c:pt>
                <c:pt idx="8">
                  <c:v>2015</c:v>
                </c:pt>
                <c:pt idx="9">
                  <c:v>2016</c:v>
                </c:pt>
                <c:pt idx="10">
                  <c:v>2017</c:v>
                </c:pt>
              </c:strCache>
            </c:strRef>
          </c:cat>
          <c:val>
            <c:numRef>
              <c:f>Sheet0!$B$8:$L$8</c:f>
              <c:numCache>
                <c:formatCode>General</c:formatCode>
                <c:ptCount val="11"/>
                <c:pt idx="0">
                  <c:v>6.5</c:v>
                </c:pt>
                <c:pt idx="1">
                  <c:v>8.5</c:v>
                </c:pt>
                <c:pt idx="2">
                  <c:v>11.1</c:v>
                </c:pt>
                <c:pt idx="3">
                  <c:v>8.9</c:v>
                </c:pt>
                <c:pt idx="4">
                  <c:v>5.3</c:v>
                </c:pt>
                <c:pt idx="5">
                  <c:v>2.1</c:v>
                </c:pt>
                <c:pt idx="6">
                  <c:v>2.9</c:v>
                </c:pt>
                <c:pt idx="7">
                  <c:v>2.2999999999999998</c:v>
                </c:pt>
                <c:pt idx="8">
                  <c:v>1.6</c:v>
                </c:pt>
                <c:pt idx="9">
                  <c:v>1.8</c:v>
                </c:pt>
                <c:pt idx="10">
                  <c:v>1.4</c:v>
                </c:pt>
              </c:numCache>
            </c:numRef>
          </c:val>
          <c:smooth val="1"/>
          <c:extLst>
            <c:ext xmlns:c16="http://schemas.microsoft.com/office/drawing/2014/chart" uri="{C3380CC4-5D6E-409C-BE32-E72D297353CC}">
              <c16:uniqueId val="{00000004-27B9-4160-B362-F40182E70F2C}"/>
            </c:ext>
          </c:extLst>
        </c:ser>
        <c:ser>
          <c:idx val="6"/>
          <c:order val="5"/>
          <c:tx>
            <c:strRef>
              <c:f>Sheet0!$A$9</c:f>
              <c:strCache>
                <c:ptCount val="1"/>
                <c:pt idx="0">
                  <c:v>Portugal</c:v>
                </c:pt>
              </c:strCache>
            </c:strRef>
          </c:tx>
          <c:spPr>
            <a:ln w="28575" cap="rnd">
              <a:solidFill>
                <a:schemeClr val="accent1">
                  <a:lumMod val="60000"/>
                </a:schemeClr>
              </a:solidFill>
              <a:round/>
            </a:ln>
            <a:effectLst/>
          </c:spPr>
          <c:marker>
            <c:symbol val="none"/>
          </c:marker>
          <c:cat>
            <c:strRef>
              <c:f>Sheet0!$B$2:$L$2</c:f>
              <c:strCache>
                <c:ptCount val="11"/>
                <c:pt idx="0">
                  <c:v>2007</c:v>
                </c:pt>
                <c:pt idx="1">
                  <c:v>2008</c:v>
                </c:pt>
                <c:pt idx="2">
                  <c:v>2009</c:v>
                </c:pt>
                <c:pt idx="3">
                  <c:v>2010</c:v>
                </c:pt>
                <c:pt idx="4">
                  <c:v>2011</c:v>
                </c:pt>
                <c:pt idx="5">
                  <c:v>2012</c:v>
                </c:pt>
                <c:pt idx="6">
                  <c:v>2013</c:v>
                </c:pt>
                <c:pt idx="7">
                  <c:v>2014</c:v>
                </c:pt>
                <c:pt idx="8">
                  <c:v>2015</c:v>
                </c:pt>
                <c:pt idx="9">
                  <c:v>2016</c:v>
                </c:pt>
                <c:pt idx="10">
                  <c:v>2017</c:v>
                </c:pt>
              </c:strCache>
            </c:strRef>
          </c:cat>
          <c:val>
            <c:numRef>
              <c:f>Sheet0!$B$9:$L$9</c:f>
              <c:numCache>
                <c:formatCode>General</c:formatCode>
                <c:ptCount val="11"/>
                <c:pt idx="0">
                  <c:v>5.0999999999999996</c:v>
                </c:pt>
                <c:pt idx="1">
                  <c:v>4.5</c:v>
                </c:pt>
                <c:pt idx="2">
                  <c:v>6.6</c:v>
                </c:pt>
                <c:pt idx="3">
                  <c:v>4.2</c:v>
                </c:pt>
                <c:pt idx="4">
                  <c:v>-0.6</c:v>
                </c:pt>
                <c:pt idx="5">
                  <c:v>-6.3</c:v>
                </c:pt>
                <c:pt idx="6">
                  <c:v>-3.4</c:v>
                </c:pt>
                <c:pt idx="7">
                  <c:v>-2.7</c:v>
                </c:pt>
                <c:pt idx="8">
                  <c:v>0.5</c:v>
                </c:pt>
                <c:pt idx="9">
                  <c:v>0.8</c:v>
                </c:pt>
                <c:pt idx="10">
                  <c:v>3.8</c:v>
                </c:pt>
              </c:numCache>
            </c:numRef>
          </c:val>
          <c:smooth val="1"/>
          <c:extLst>
            <c:ext xmlns:c16="http://schemas.microsoft.com/office/drawing/2014/chart" uri="{C3380CC4-5D6E-409C-BE32-E72D297353CC}">
              <c16:uniqueId val="{00000005-27B9-4160-B362-F40182E70F2C}"/>
            </c:ext>
          </c:extLst>
        </c:ser>
        <c:dLbls>
          <c:showLegendKey val="0"/>
          <c:showVal val="0"/>
          <c:showCatName val="0"/>
          <c:showSerName val="0"/>
          <c:showPercent val="0"/>
          <c:showBubbleSize val="0"/>
        </c:dLbls>
        <c:smooth val="0"/>
        <c:axId val="383082656"/>
        <c:axId val="383083048"/>
      </c:lineChart>
      <c:catAx>
        <c:axId val="38308265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crossAx val="383083048"/>
        <c:crosses val="autoZero"/>
        <c:auto val="1"/>
        <c:lblAlgn val="ctr"/>
        <c:lblOffset val="100"/>
        <c:noMultiLvlLbl val="0"/>
      </c:catAx>
      <c:valAx>
        <c:axId val="383083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crossAx val="38308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noFill/>
    <a:ln w="9525" cap="flat" cmpd="sng" algn="ctr">
      <a:no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strRef>
              <c:f>weoreptc!$A$3</c:f>
              <c:strCache>
                <c:ptCount val="1"/>
                <c:pt idx="0">
                  <c:v>France</c:v>
                </c:pt>
              </c:strCache>
            </c:strRef>
          </c:tx>
          <c:spPr>
            <a:ln w="28575" cap="rnd">
              <a:solidFill>
                <a:schemeClr val="accent2"/>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weoreptc!$B$3:$P$3</c:f>
            </c:numRef>
          </c:val>
          <c:smooth val="1"/>
          <c:extLst>
            <c:ext xmlns:c16="http://schemas.microsoft.com/office/drawing/2014/chart" uri="{C3380CC4-5D6E-409C-BE32-E72D297353CC}">
              <c16:uniqueId val="{00000000-7F85-4205-BABA-C8A40C3A9C30}"/>
            </c:ext>
          </c:extLst>
        </c:ser>
        <c:ser>
          <c:idx val="5"/>
          <c:order val="5"/>
          <c:tx>
            <c:strRef>
              <c:f>weoreptc!$A$7</c:f>
              <c:strCache>
                <c:ptCount val="1"/>
                <c:pt idx="0">
                  <c:v>Germany</c:v>
                </c:pt>
              </c:strCache>
            </c:strRef>
          </c:tx>
          <c:spPr>
            <a:ln w="28575" cap="rnd">
              <a:solidFill>
                <a:schemeClr val="accent6"/>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weoreptc!$B$7:$P$7</c:f>
            </c:numRef>
          </c:val>
          <c:smooth val="1"/>
          <c:extLst>
            <c:ext xmlns:c16="http://schemas.microsoft.com/office/drawing/2014/chart" uri="{C3380CC4-5D6E-409C-BE32-E72D297353CC}">
              <c16:uniqueId val="{00000001-7F85-4205-BABA-C8A40C3A9C30}"/>
            </c:ext>
          </c:extLst>
        </c:ser>
        <c:ser>
          <c:idx val="9"/>
          <c:order val="8"/>
          <c:tx>
            <c:strRef>
              <c:f>weoreptc!$A$10</c:f>
              <c:strCache>
                <c:ptCount val="1"/>
                <c:pt idx="0">
                  <c:v>Ireland</c:v>
                </c:pt>
              </c:strCache>
            </c:strRef>
          </c:tx>
          <c:spPr>
            <a:ln w="28575" cap="rnd">
              <a:solidFill>
                <a:schemeClr val="accent4">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weoreptc!$B$10:$P$10</c:f>
            </c:numRef>
          </c:val>
          <c:smooth val="1"/>
          <c:extLst>
            <c:ext xmlns:c16="http://schemas.microsoft.com/office/drawing/2014/chart" uri="{C3380CC4-5D6E-409C-BE32-E72D297353CC}">
              <c16:uniqueId val="{00000002-7F85-4205-BABA-C8A40C3A9C30}"/>
            </c:ext>
          </c:extLst>
        </c:ser>
        <c:ser>
          <c:idx val="13"/>
          <c:order val="12"/>
          <c:tx>
            <c:strRef>
              <c:f>weoreptc!$A$14</c:f>
              <c:strCache>
                <c:ptCount val="1"/>
                <c:pt idx="0">
                  <c:v>Italy</c:v>
                </c:pt>
              </c:strCache>
            </c:strRef>
          </c:tx>
          <c:spPr>
            <a:ln w="28575" cap="rnd">
              <a:solidFill>
                <a:schemeClr val="accent2">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weoreptc!$B$14:$P$14</c:f>
            </c:numRef>
          </c:val>
          <c:smooth val="1"/>
          <c:extLst>
            <c:ext xmlns:c16="http://schemas.microsoft.com/office/drawing/2014/chart" uri="{C3380CC4-5D6E-409C-BE32-E72D297353CC}">
              <c16:uniqueId val="{00000003-7F85-4205-BABA-C8A40C3A9C30}"/>
            </c:ext>
          </c:extLst>
        </c:ser>
        <c:ser>
          <c:idx val="17"/>
          <c:order val="16"/>
          <c:tx>
            <c:strRef>
              <c:f>weoreptc!$A$18</c:f>
              <c:strCache>
                <c:ptCount val="1"/>
                <c:pt idx="0">
                  <c:v>Portugal</c:v>
                </c:pt>
              </c:strCache>
            </c:strRef>
          </c:tx>
          <c:spPr>
            <a:ln w="28575" cap="rnd">
              <a:solidFill>
                <a:schemeClr val="accent6">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weoreptc!$B$18:$P$18</c:f>
            </c:numRef>
          </c:val>
          <c:smooth val="1"/>
          <c:extLst>
            <c:ext xmlns:c16="http://schemas.microsoft.com/office/drawing/2014/chart" uri="{C3380CC4-5D6E-409C-BE32-E72D297353CC}">
              <c16:uniqueId val="{00000004-7F85-4205-BABA-C8A40C3A9C30}"/>
            </c:ext>
          </c:extLst>
        </c:ser>
        <c:ser>
          <c:idx val="23"/>
          <c:order val="23"/>
          <c:tx>
            <c:strRef>
              <c:f>weoreptc!$A$25</c:f>
              <c:strCache>
                <c:ptCount val="1"/>
                <c:pt idx="0">
                  <c:v>Spain</c:v>
                </c:pt>
              </c:strCache>
            </c:strRef>
          </c:tx>
          <c:spPr>
            <a:ln w="28575" cap="rnd">
              <a:solidFill>
                <a:schemeClr val="accent6">
                  <a:lumMod val="80000"/>
                </a:schemeClr>
              </a:solidFill>
              <a:round/>
            </a:ln>
            <a:effectLst/>
          </c:spPr>
          <c:marker>
            <c:symbol val="circle"/>
            <c:size val="5"/>
            <c:spPr>
              <a:solidFill>
                <a:schemeClr val="accent6">
                  <a:lumMod val="80000"/>
                </a:schemeClr>
              </a:solidFill>
              <a:ln w="9525">
                <a:solidFill>
                  <a:schemeClr val="accent6">
                    <a:lumMod val="8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weoreptc!$B$25:$P$25</c:f>
              <c:numCache>
                <c:formatCode>General</c:formatCode>
                <c:ptCount val="14"/>
                <c:pt idx="0">
                  <c:v>-9.6479999999999997</c:v>
                </c:pt>
                <c:pt idx="1">
                  <c:v>-9.25</c:v>
                </c:pt>
                <c:pt idx="2">
                  <c:v>-4.2809999999999997</c:v>
                </c:pt>
                <c:pt idx="3">
                  <c:v>-3.9220000000000002</c:v>
                </c:pt>
                <c:pt idx="4">
                  <c:v>-3.18</c:v>
                </c:pt>
                <c:pt idx="5">
                  <c:v>-0.23100000000000001</c:v>
                </c:pt>
                <c:pt idx="6">
                  <c:v>1.52</c:v>
                </c:pt>
                <c:pt idx="7">
                  <c:v>1.081</c:v>
                </c:pt>
                <c:pt idx="8">
                  <c:v>1.1279999999999999</c:v>
                </c:pt>
                <c:pt idx="9">
                  <c:v>1.921</c:v>
                </c:pt>
                <c:pt idx="10">
                  <c:v>1.6519999999999999</c:v>
                </c:pt>
                <c:pt idx="11">
                  <c:v>1.5740000000000001</c:v>
                </c:pt>
                <c:pt idx="12">
                  <c:v>1.657</c:v>
                </c:pt>
                <c:pt idx="13">
                  <c:v>1.696</c:v>
                </c:pt>
              </c:numCache>
            </c:numRef>
          </c:val>
          <c:smooth val="1"/>
          <c:extLst>
            <c:ext xmlns:c16="http://schemas.microsoft.com/office/drawing/2014/chart" uri="{C3380CC4-5D6E-409C-BE32-E72D297353CC}">
              <c16:uniqueId val="{00000005-7F85-4205-BABA-C8A40C3A9C30}"/>
            </c:ext>
          </c:extLst>
        </c:ser>
        <c:ser>
          <c:idx val="8"/>
          <c:order val="20"/>
          <c:tx>
            <c:strRef>
              <c:f>weoreptc!$A$22</c:f>
              <c:strCache>
                <c:ptCount val="1"/>
                <c:pt idx="0">
                  <c:v>Spain</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weoreptc!$B$22:$P$22</c:f>
            </c:numRef>
          </c:val>
          <c:smooth val="0"/>
          <c:extLst>
            <c:ext xmlns:c16="http://schemas.microsoft.com/office/drawing/2014/chart" uri="{C3380CC4-5D6E-409C-BE32-E72D297353CC}">
              <c16:uniqueId val="{00000006-7F85-4205-BABA-C8A40C3A9C30}"/>
            </c:ext>
          </c:extLst>
        </c:ser>
        <c:ser>
          <c:idx val="21"/>
          <c:order val="21"/>
          <c:tx>
            <c:strRef>
              <c:f>weoreptc!$A$23</c:f>
              <c:strCache>
                <c:ptCount val="1"/>
                <c:pt idx="0">
                  <c:v>Spain</c:v>
                </c:pt>
              </c:strCache>
            </c:strRef>
          </c:tx>
          <c:spPr>
            <a:ln w="28575"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weoreptc!$B$23:$P$23</c:f>
            </c:numRef>
          </c:val>
          <c:smooth val="0"/>
          <c:extLst>
            <c:ext xmlns:c16="http://schemas.microsoft.com/office/drawing/2014/chart" uri="{C3380CC4-5D6E-409C-BE32-E72D297353CC}">
              <c16:uniqueId val="{00000007-7F85-4205-BABA-C8A40C3A9C30}"/>
            </c:ext>
          </c:extLst>
        </c:ser>
        <c:ser>
          <c:idx val="22"/>
          <c:order val="22"/>
          <c:tx>
            <c:strRef>
              <c:f>weoreptc!$A$24</c:f>
              <c:strCache>
                <c:ptCount val="1"/>
                <c:pt idx="0">
                  <c:v>Spain</c:v>
                </c:pt>
              </c:strCache>
            </c:strRef>
          </c:tx>
          <c:spPr>
            <a:ln w="28575"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weoreptc!$B$24:$P$24</c:f>
            </c:numRef>
          </c:val>
          <c:smooth val="0"/>
          <c:extLst>
            <c:ext xmlns:c16="http://schemas.microsoft.com/office/drawing/2014/chart" uri="{C3380CC4-5D6E-409C-BE32-E72D297353CC}">
              <c16:uniqueId val="{00000008-7F85-4205-BABA-C8A40C3A9C30}"/>
            </c:ext>
          </c:extLst>
        </c:ser>
        <c:ser>
          <c:idx val="3"/>
          <c:order val="3"/>
          <c:tx>
            <c:strRef>
              <c:f>weoreptc!$A$5</c:f>
              <c:strCache>
                <c:ptCount val="1"/>
                <c:pt idx="0">
                  <c:v>France</c:v>
                </c:pt>
              </c:strCache>
            </c:strRef>
          </c:tx>
          <c:spPr>
            <a:ln w="28575" cap="rnd">
              <a:solidFill>
                <a:schemeClr val="accent4"/>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weoreptc!$B$5:$P$5</c:f>
              <c:numCache>
                <c:formatCode>General</c:formatCode>
                <c:ptCount val="14"/>
                <c:pt idx="0">
                  <c:v>9.2999999999999999E-2</c:v>
                </c:pt>
                <c:pt idx="1">
                  <c:v>-0.95599999999999996</c:v>
                </c:pt>
                <c:pt idx="2">
                  <c:v>-0.83199999999999996</c:v>
                </c:pt>
                <c:pt idx="3">
                  <c:v>-0.83599999999999997</c:v>
                </c:pt>
                <c:pt idx="4">
                  <c:v>-0.98899999999999999</c:v>
                </c:pt>
                <c:pt idx="5">
                  <c:v>-1.2210000000000001</c:v>
                </c:pt>
                <c:pt idx="6">
                  <c:v>-0.874</c:v>
                </c:pt>
                <c:pt idx="7">
                  <c:v>-1.2669999999999999</c:v>
                </c:pt>
                <c:pt idx="8">
                  <c:v>-0.438</c:v>
                </c:pt>
                <c:pt idx="9">
                  <c:v>-0.85099999999999998</c:v>
                </c:pt>
                <c:pt idx="10">
                  <c:v>-1.423</c:v>
                </c:pt>
                <c:pt idx="11">
                  <c:v>-1.3360000000000001</c:v>
                </c:pt>
                <c:pt idx="12">
                  <c:v>-0.87</c:v>
                </c:pt>
                <c:pt idx="13">
                  <c:v>-0.48199999999999998</c:v>
                </c:pt>
              </c:numCache>
            </c:numRef>
          </c:val>
          <c:smooth val="1"/>
          <c:extLst>
            <c:ext xmlns:c16="http://schemas.microsoft.com/office/drawing/2014/chart" uri="{C3380CC4-5D6E-409C-BE32-E72D297353CC}">
              <c16:uniqueId val="{00000009-7F85-4205-BABA-C8A40C3A9C30}"/>
            </c:ext>
          </c:extLst>
        </c:ser>
        <c:ser>
          <c:idx val="7"/>
          <c:order val="7"/>
          <c:tx>
            <c:strRef>
              <c:f>weoreptc!$A$9</c:f>
              <c:strCache>
                <c:ptCount val="1"/>
                <c:pt idx="0">
                  <c:v>Germany</c:v>
                </c:pt>
              </c:strCache>
            </c:strRef>
          </c:tx>
          <c:spPr>
            <a:ln w="28575" cap="rnd">
              <a:solidFill>
                <a:schemeClr val="accent2">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weoreptc!$B$9:$P$9</c:f>
              <c:numCache>
                <c:formatCode>General</c:formatCode>
                <c:ptCount val="14"/>
                <c:pt idx="0">
                  <c:v>6.75</c:v>
                </c:pt>
                <c:pt idx="1">
                  <c:v>5.5949999999999998</c:v>
                </c:pt>
                <c:pt idx="2">
                  <c:v>5.7409999999999997</c:v>
                </c:pt>
                <c:pt idx="3">
                  <c:v>5.6159999999999997</c:v>
                </c:pt>
                <c:pt idx="4">
                  <c:v>6.1070000000000002</c:v>
                </c:pt>
                <c:pt idx="5">
                  <c:v>7.0190000000000001</c:v>
                </c:pt>
                <c:pt idx="6">
                  <c:v>6.726</c:v>
                </c:pt>
                <c:pt idx="7">
                  <c:v>7.4669999999999996</c:v>
                </c:pt>
                <c:pt idx="8">
                  <c:v>8.9169999999999998</c:v>
                </c:pt>
                <c:pt idx="9">
                  <c:v>8.5500000000000007</c:v>
                </c:pt>
                <c:pt idx="10">
                  <c:v>8.0489999999999995</c:v>
                </c:pt>
                <c:pt idx="11">
                  <c:v>8.2330000000000005</c:v>
                </c:pt>
                <c:pt idx="12">
                  <c:v>8.2439999999999998</c:v>
                </c:pt>
                <c:pt idx="13">
                  <c:v>8.1010000000000009</c:v>
                </c:pt>
              </c:numCache>
            </c:numRef>
          </c:val>
          <c:smooth val="1"/>
          <c:extLst>
            <c:ext xmlns:c16="http://schemas.microsoft.com/office/drawing/2014/chart" uri="{C3380CC4-5D6E-409C-BE32-E72D297353CC}">
              <c16:uniqueId val="{0000000A-7F85-4205-BABA-C8A40C3A9C30}"/>
            </c:ext>
          </c:extLst>
        </c:ser>
        <c:ser>
          <c:idx val="12"/>
          <c:order val="11"/>
          <c:tx>
            <c:strRef>
              <c:f>weoreptc!$A$13</c:f>
              <c:strCache>
                <c:ptCount val="1"/>
                <c:pt idx="0">
                  <c:v>Ireland</c:v>
                </c:pt>
              </c:strCache>
            </c:strRef>
          </c:tx>
          <c:spPr>
            <a:ln w="28575" cap="rnd">
              <a:solidFill>
                <a:schemeClr val="accent1">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weoreptc!$B$13:$P$13</c:f>
              <c:numCache>
                <c:formatCode>General</c:formatCode>
                <c:ptCount val="14"/>
                <c:pt idx="0">
                  <c:v>-6.5039999999999996</c:v>
                </c:pt>
                <c:pt idx="1">
                  <c:v>-6.2370000000000001</c:v>
                </c:pt>
                <c:pt idx="2">
                  <c:v>-4.6509999999999998</c:v>
                </c:pt>
                <c:pt idx="3">
                  <c:v>-1.198</c:v>
                </c:pt>
                <c:pt idx="4">
                  <c:v>-1.635</c:v>
                </c:pt>
                <c:pt idx="5">
                  <c:v>-2.625</c:v>
                </c:pt>
                <c:pt idx="6">
                  <c:v>2.141</c:v>
                </c:pt>
                <c:pt idx="7">
                  <c:v>1.649</c:v>
                </c:pt>
                <c:pt idx="8">
                  <c:v>10.933</c:v>
                </c:pt>
                <c:pt idx="9">
                  <c:v>3.3410000000000002</c:v>
                </c:pt>
                <c:pt idx="10">
                  <c:v>12.539</c:v>
                </c:pt>
                <c:pt idx="11">
                  <c:v>9.7910000000000004</c:v>
                </c:pt>
                <c:pt idx="12">
                  <c:v>8.6769999999999996</c:v>
                </c:pt>
                <c:pt idx="13">
                  <c:v>7.7</c:v>
                </c:pt>
              </c:numCache>
            </c:numRef>
          </c:val>
          <c:smooth val="1"/>
          <c:extLst>
            <c:ext xmlns:c16="http://schemas.microsoft.com/office/drawing/2014/chart" uri="{C3380CC4-5D6E-409C-BE32-E72D297353CC}">
              <c16:uniqueId val="{0000000B-7F85-4205-BABA-C8A40C3A9C30}"/>
            </c:ext>
          </c:extLst>
        </c:ser>
        <c:ser>
          <c:idx val="16"/>
          <c:order val="15"/>
          <c:tx>
            <c:strRef>
              <c:f>weoreptc!$A$17</c:f>
              <c:strCache>
                <c:ptCount val="1"/>
                <c:pt idx="0">
                  <c:v>Italy</c:v>
                </c:pt>
              </c:strCache>
            </c:strRef>
          </c:tx>
          <c:spPr>
            <a:ln w="28575" cap="rnd">
              <a:solidFill>
                <a:schemeClr val="accent5">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weoreptc!$B$17:$P$17</c:f>
              <c:numCache>
                <c:formatCode>General</c:formatCode>
                <c:ptCount val="14"/>
                <c:pt idx="0">
                  <c:v>-1.39</c:v>
                </c:pt>
                <c:pt idx="1">
                  <c:v>-2.8180000000000001</c:v>
                </c:pt>
                <c:pt idx="2">
                  <c:v>-1.889</c:v>
                </c:pt>
                <c:pt idx="3">
                  <c:v>-3.4119999999999999</c:v>
                </c:pt>
                <c:pt idx="4">
                  <c:v>-2.996</c:v>
                </c:pt>
                <c:pt idx="5">
                  <c:v>-0.33800000000000002</c:v>
                </c:pt>
                <c:pt idx="6">
                  <c:v>0.99199999999999999</c:v>
                </c:pt>
                <c:pt idx="7">
                  <c:v>1.9159999999999999</c:v>
                </c:pt>
                <c:pt idx="8">
                  <c:v>1.5469999999999999</c:v>
                </c:pt>
                <c:pt idx="9">
                  <c:v>2.7109999999999999</c:v>
                </c:pt>
                <c:pt idx="10">
                  <c:v>2.8940000000000001</c:v>
                </c:pt>
                <c:pt idx="11">
                  <c:v>2.573</c:v>
                </c:pt>
                <c:pt idx="12">
                  <c:v>2.2440000000000002</c:v>
                </c:pt>
                <c:pt idx="13">
                  <c:v>1.9710000000000001</c:v>
                </c:pt>
              </c:numCache>
            </c:numRef>
          </c:val>
          <c:smooth val="1"/>
          <c:extLst>
            <c:ext xmlns:c16="http://schemas.microsoft.com/office/drawing/2014/chart" uri="{C3380CC4-5D6E-409C-BE32-E72D297353CC}">
              <c16:uniqueId val="{0000000C-7F85-4205-BABA-C8A40C3A9C30}"/>
            </c:ext>
          </c:extLst>
        </c:ser>
        <c:ser>
          <c:idx val="20"/>
          <c:order val="19"/>
          <c:tx>
            <c:strRef>
              <c:f>weoreptc!$A$21</c:f>
              <c:strCache>
                <c:ptCount val="1"/>
                <c:pt idx="0">
                  <c:v>Portugal</c:v>
                </c:pt>
              </c:strCache>
            </c:strRef>
          </c:tx>
          <c:spPr>
            <a:ln w="28575" cap="rnd">
              <a:solidFill>
                <a:schemeClr val="accent3">
                  <a:lumMod val="8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weoreptc!$B$21:$P$21</c:f>
              <c:numCache>
                <c:formatCode>General</c:formatCode>
                <c:ptCount val="14"/>
                <c:pt idx="0">
                  <c:v>-9.7379999999999995</c:v>
                </c:pt>
                <c:pt idx="1">
                  <c:v>-12.125999999999999</c:v>
                </c:pt>
                <c:pt idx="2">
                  <c:v>-10.422000000000001</c:v>
                </c:pt>
                <c:pt idx="3">
                  <c:v>-10.15</c:v>
                </c:pt>
                <c:pt idx="4">
                  <c:v>-6.0019999999999998</c:v>
                </c:pt>
                <c:pt idx="5">
                  <c:v>-1.792</c:v>
                </c:pt>
                <c:pt idx="6">
                  <c:v>1.579</c:v>
                </c:pt>
                <c:pt idx="7">
                  <c:v>8.1000000000000003E-2</c:v>
                </c:pt>
                <c:pt idx="8">
                  <c:v>0.11600000000000001</c:v>
                </c:pt>
                <c:pt idx="9">
                  <c:v>0.59399999999999997</c:v>
                </c:pt>
                <c:pt idx="10">
                  <c:v>0.45500000000000002</c:v>
                </c:pt>
                <c:pt idx="11">
                  <c:v>0.22600000000000001</c:v>
                </c:pt>
                <c:pt idx="12">
                  <c:v>-0.13700000000000001</c:v>
                </c:pt>
                <c:pt idx="13">
                  <c:v>-0.49299999999999999</c:v>
                </c:pt>
              </c:numCache>
            </c:numRef>
          </c:val>
          <c:smooth val="1"/>
          <c:extLst>
            <c:ext xmlns:c16="http://schemas.microsoft.com/office/drawing/2014/chart" uri="{C3380CC4-5D6E-409C-BE32-E72D297353CC}">
              <c16:uniqueId val="{0000000D-7F85-4205-BABA-C8A40C3A9C30}"/>
            </c:ext>
          </c:extLst>
        </c:ser>
        <c:dLbls>
          <c:showLegendKey val="0"/>
          <c:showVal val="0"/>
          <c:showCatName val="0"/>
          <c:showSerName val="0"/>
          <c:showPercent val="0"/>
          <c:showBubbleSize val="0"/>
        </c:dLbls>
        <c:marker val="1"/>
        <c:smooth val="0"/>
        <c:axId val="383083832"/>
        <c:axId val="477921984"/>
      </c:lineChart>
      <c:lineChart>
        <c:grouping val="standard"/>
        <c:varyColors val="0"/>
        <c:ser>
          <c:idx val="0"/>
          <c:order val="0"/>
          <c:tx>
            <c:strRef>
              <c:f>weoreptc!$A$2</c:f>
              <c:strCache>
                <c:ptCount val="1"/>
                <c:pt idx="0">
                  <c:v>France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weoreptc!$B$2:$P$2</c:f>
            </c:numRef>
          </c:val>
          <c:smooth val="1"/>
          <c:extLst>
            <c:ext xmlns:c16="http://schemas.microsoft.com/office/drawing/2014/chart" uri="{C3380CC4-5D6E-409C-BE32-E72D297353CC}">
              <c16:uniqueId val="{0000000E-7F85-4205-BABA-C8A40C3A9C30}"/>
            </c:ext>
          </c:extLst>
        </c:ser>
        <c:ser>
          <c:idx val="2"/>
          <c:order val="2"/>
          <c:tx>
            <c:strRef>
              <c:f>weoreptc!$A$4</c:f>
              <c:strCache>
                <c:ptCount val="1"/>
                <c:pt idx="0">
                  <c:v>France</c:v>
                </c:pt>
              </c:strCache>
            </c:strRef>
          </c:tx>
          <c:spPr>
            <a:ln w="28575" cap="rnd">
              <a:noFill/>
              <a:round/>
            </a:ln>
            <a:effectLst/>
          </c:spPr>
          <c:marker>
            <c:symbol val="diamond"/>
            <c:size val="9"/>
            <c:spPr>
              <a:solidFill>
                <a:schemeClr val="accent3"/>
              </a:solidFill>
              <a:ln w="9525">
                <a:solidFill>
                  <a:schemeClr val="accent3"/>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weoreptc!$B$4:$P$4</c:f>
            </c:numRef>
          </c:val>
          <c:smooth val="0"/>
          <c:extLst>
            <c:ext xmlns:c16="http://schemas.microsoft.com/office/drawing/2014/chart" uri="{C3380CC4-5D6E-409C-BE32-E72D297353CC}">
              <c16:uniqueId val="{0000000F-7F85-4205-BABA-C8A40C3A9C30}"/>
            </c:ext>
          </c:extLst>
        </c:ser>
        <c:ser>
          <c:idx val="4"/>
          <c:order val="4"/>
          <c:tx>
            <c:strRef>
              <c:f>weoreptc!$A$6</c:f>
              <c:strCache>
                <c:ptCount val="1"/>
                <c:pt idx="0">
                  <c:v>Germany</c:v>
                </c:pt>
              </c:strCache>
            </c:strRef>
          </c:tx>
          <c:spPr>
            <a:ln w="28575" cap="rnd">
              <a:solidFill>
                <a:schemeClr val="accent5"/>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weoreptc!$B$6:$P$6</c:f>
            </c:numRef>
          </c:val>
          <c:smooth val="1"/>
          <c:extLst>
            <c:ext xmlns:c16="http://schemas.microsoft.com/office/drawing/2014/chart" uri="{C3380CC4-5D6E-409C-BE32-E72D297353CC}">
              <c16:uniqueId val="{00000010-7F85-4205-BABA-C8A40C3A9C30}"/>
            </c:ext>
          </c:extLst>
        </c:ser>
        <c:ser>
          <c:idx val="6"/>
          <c:order val="6"/>
          <c:tx>
            <c:strRef>
              <c:f>weoreptc!$A$8</c:f>
              <c:strCache>
                <c:ptCount val="1"/>
                <c:pt idx="0">
                  <c:v>Germany</c:v>
                </c:pt>
              </c:strCache>
            </c:strRef>
          </c:tx>
          <c:spPr>
            <a:ln w="28575" cap="rnd">
              <a:noFill/>
              <a:round/>
            </a:ln>
            <a:effectLst/>
          </c:spPr>
          <c:marker>
            <c:symbol val="diamond"/>
            <c:size val="9"/>
            <c:spPr>
              <a:solidFill>
                <a:schemeClr val="accent1">
                  <a:lumMod val="60000"/>
                </a:schemeClr>
              </a:solidFill>
              <a:ln w="9525">
                <a:solidFill>
                  <a:schemeClr val="accent1">
                    <a:lumMod val="6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weoreptc!$B$8:$P$8</c:f>
            </c:numRef>
          </c:val>
          <c:smooth val="0"/>
          <c:extLst>
            <c:ext xmlns:c16="http://schemas.microsoft.com/office/drawing/2014/chart" uri="{C3380CC4-5D6E-409C-BE32-E72D297353CC}">
              <c16:uniqueId val="{00000011-7F85-4205-BABA-C8A40C3A9C30}"/>
            </c:ext>
          </c:extLst>
        </c:ser>
        <c:ser>
          <c:idx val="10"/>
          <c:order val="9"/>
          <c:tx>
            <c:strRef>
              <c:f>weoreptc!$A$11</c:f>
              <c:strCache>
                <c:ptCount val="1"/>
                <c:pt idx="0">
                  <c:v>Ireland</c:v>
                </c:pt>
              </c:strCache>
            </c:strRef>
          </c:tx>
          <c:spPr>
            <a:ln w="28575" cap="rnd">
              <a:noFill/>
              <a:round/>
            </a:ln>
            <a:effectLst/>
          </c:spPr>
          <c:marker>
            <c:symbol val="diamond"/>
            <c:size val="9"/>
            <c:spPr>
              <a:solidFill>
                <a:schemeClr val="accent5">
                  <a:lumMod val="60000"/>
                </a:schemeClr>
              </a:solidFill>
              <a:ln w="9525">
                <a:solidFill>
                  <a:schemeClr val="accent5">
                    <a:lumMod val="6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weoreptc!$B$11:$P$11</c:f>
            </c:numRef>
          </c:val>
          <c:smooth val="0"/>
          <c:extLst>
            <c:ext xmlns:c16="http://schemas.microsoft.com/office/drawing/2014/chart" uri="{C3380CC4-5D6E-409C-BE32-E72D297353CC}">
              <c16:uniqueId val="{00000012-7F85-4205-BABA-C8A40C3A9C30}"/>
            </c:ext>
          </c:extLst>
        </c:ser>
        <c:ser>
          <c:idx val="11"/>
          <c:order val="10"/>
          <c:tx>
            <c:strRef>
              <c:f>weoreptc!$A$12</c:f>
              <c:strCache>
                <c:ptCount val="1"/>
                <c:pt idx="0">
                  <c:v>Ireland</c:v>
                </c:pt>
              </c:strCache>
            </c:strRef>
          </c:tx>
          <c:spPr>
            <a:ln w="28575" cap="rnd">
              <a:solidFill>
                <a:schemeClr val="accent6">
                  <a:lumMod val="6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weoreptc!$B$12:$P$12</c:f>
            </c:numRef>
          </c:val>
          <c:smooth val="0"/>
          <c:extLst>
            <c:ext xmlns:c16="http://schemas.microsoft.com/office/drawing/2014/chart" uri="{C3380CC4-5D6E-409C-BE32-E72D297353CC}">
              <c16:uniqueId val="{00000013-7F85-4205-BABA-C8A40C3A9C30}"/>
            </c:ext>
          </c:extLst>
        </c:ser>
        <c:ser>
          <c:idx val="14"/>
          <c:order val="13"/>
          <c:tx>
            <c:strRef>
              <c:f>weoreptc!$A$15</c:f>
              <c:strCache>
                <c:ptCount val="1"/>
                <c:pt idx="0">
                  <c:v>Italy</c:v>
                </c:pt>
              </c:strCache>
            </c:strRef>
          </c:tx>
          <c:spPr>
            <a:ln w="28575" cap="rnd">
              <a:noFill/>
              <a:round/>
            </a:ln>
            <a:effectLst/>
          </c:spPr>
          <c:marker>
            <c:symbol val="diamond"/>
            <c:size val="9"/>
            <c:spPr>
              <a:solidFill>
                <a:schemeClr val="accent3">
                  <a:lumMod val="80000"/>
                  <a:lumOff val="20000"/>
                </a:schemeClr>
              </a:solidFill>
              <a:ln w="9525">
                <a:solidFill>
                  <a:schemeClr val="accent3">
                    <a:lumMod val="80000"/>
                    <a:lumOff val="2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weoreptc!$B$15:$P$15</c:f>
            </c:numRef>
          </c:val>
          <c:smooth val="0"/>
          <c:extLst>
            <c:ext xmlns:c16="http://schemas.microsoft.com/office/drawing/2014/chart" uri="{C3380CC4-5D6E-409C-BE32-E72D297353CC}">
              <c16:uniqueId val="{00000014-7F85-4205-BABA-C8A40C3A9C30}"/>
            </c:ext>
          </c:extLst>
        </c:ser>
        <c:ser>
          <c:idx val="15"/>
          <c:order val="14"/>
          <c:tx>
            <c:strRef>
              <c:f>weoreptc!$A$16</c:f>
              <c:strCache>
                <c:ptCount val="1"/>
                <c:pt idx="0">
                  <c:v>Italy</c:v>
                </c:pt>
              </c:strCache>
            </c:strRef>
          </c:tx>
          <c:spPr>
            <a:ln w="28575" cap="rnd">
              <a:solidFill>
                <a:schemeClr val="accent4">
                  <a:lumMod val="80000"/>
                  <a:lumOff val="2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weoreptc!$B$16:$P$16</c:f>
            </c:numRef>
          </c:val>
          <c:smooth val="0"/>
          <c:extLst>
            <c:ext xmlns:c16="http://schemas.microsoft.com/office/drawing/2014/chart" uri="{C3380CC4-5D6E-409C-BE32-E72D297353CC}">
              <c16:uniqueId val="{00000015-7F85-4205-BABA-C8A40C3A9C30}"/>
            </c:ext>
          </c:extLst>
        </c:ser>
        <c:ser>
          <c:idx val="18"/>
          <c:order val="17"/>
          <c:tx>
            <c:strRef>
              <c:f>weoreptc!$A$19</c:f>
              <c:strCache>
                <c:ptCount val="1"/>
                <c:pt idx="0">
                  <c:v>Portugal</c:v>
                </c:pt>
              </c:strCache>
            </c:strRef>
          </c:tx>
          <c:spPr>
            <a:ln w="28575" cap="rnd">
              <a:noFill/>
              <a:round/>
            </a:ln>
            <a:effectLst/>
          </c:spPr>
          <c:marker>
            <c:symbol val="diamond"/>
            <c:size val="9"/>
            <c:spPr>
              <a:solidFill>
                <a:schemeClr val="accent1">
                  <a:lumMod val="80000"/>
                </a:schemeClr>
              </a:solidFill>
              <a:ln w="9525">
                <a:solidFill>
                  <a:schemeClr val="accent1">
                    <a:lumMod val="80000"/>
                  </a:schemeClr>
                </a:solidFill>
              </a:ln>
              <a:effectLst/>
            </c:spPr>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weoreptc!$B$19:$P$19</c:f>
            </c:numRef>
          </c:val>
          <c:smooth val="0"/>
          <c:extLst>
            <c:ext xmlns:c16="http://schemas.microsoft.com/office/drawing/2014/chart" uri="{C3380CC4-5D6E-409C-BE32-E72D297353CC}">
              <c16:uniqueId val="{00000016-7F85-4205-BABA-C8A40C3A9C30}"/>
            </c:ext>
          </c:extLst>
        </c:ser>
        <c:ser>
          <c:idx val="19"/>
          <c:order val="18"/>
          <c:tx>
            <c:strRef>
              <c:f>weoreptc!$A$20</c:f>
              <c:strCache>
                <c:ptCount val="1"/>
                <c:pt idx="0">
                  <c:v>Portugal</c:v>
                </c:pt>
              </c:strCache>
            </c:strRef>
          </c:tx>
          <c:spPr>
            <a:ln w="28575" cap="rnd">
              <a:solidFill>
                <a:schemeClr val="accent2">
                  <a:lumMod val="80000"/>
                </a:schemeClr>
              </a:solidFill>
              <a:round/>
            </a:ln>
            <a:effectLst/>
          </c:spPr>
          <c:marker>
            <c:symbol val="none"/>
          </c:marker>
          <c:cat>
            <c:numRef>
              <c:f>weoreptc!$B$1:$P$1</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weoreptc!$B$20:$P$20</c:f>
            </c:numRef>
          </c:val>
          <c:smooth val="0"/>
          <c:extLst>
            <c:ext xmlns:c16="http://schemas.microsoft.com/office/drawing/2014/chart" uri="{C3380CC4-5D6E-409C-BE32-E72D297353CC}">
              <c16:uniqueId val="{00000017-7F85-4205-BABA-C8A40C3A9C30}"/>
            </c:ext>
          </c:extLst>
        </c:ser>
        <c:dLbls>
          <c:showLegendKey val="0"/>
          <c:showVal val="0"/>
          <c:showCatName val="0"/>
          <c:showSerName val="0"/>
          <c:showPercent val="0"/>
          <c:showBubbleSize val="0"/>
        </c:dLbls>
        <c:marker val="1"/>
        <c:smooth val="0"/>
        <c:axId val="383083832"/>
        <c:axId val="477921984"/>
      </c:lineChart>
      <c:catAx>
        <c:axId val="38308383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crossAx val="477921984"/>
        <c:crosses val="autoZero"/>
        <c:auto val="1"/>
        <c:lblAlgn val="ctr"/>
        <c:lblOffset val="100"/>
        <c:noMultiLvlLbl val="0"/>
      </c:catAx>
      <c:valAx>
        <c:axId val="477921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crossAx val="383083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noFill/>
    <a:ln w="9525" cap="flat" cmpd="sng" algn="ctr">
      <a:no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55715-5AD9-4A91-8162-8AC2EC18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6432</Words>
  <Characters>35378</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Gómez Bengoechea</dc:creator>
  <cp:keywords/>
  <dc:description/>
  <cp:lastModifiedBy>Alfredo Arahuetes García</cp:lastModifiedBy>
  <cp:revision>2</cp:revision>
  <cp:lastPrinted>2019-07-02T15:30:00Z</cp:lastPrinted>
  <dcterms:created xsi:type="dcterms:W3CDTF">2019-07-02T15:31:00Z</dcterms:created>
  <dcterms:modified xsi:type="dcterms:W3CDTF">2019-07-02T15:31:00Z</dcterms:modified>
</cp:coreProperties>
</file>