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ans" w:hAnsi="DroidSans" w:cs="DroidSans"/>
          <w:color w:val="898989"/>
          <w:sz w:val="14"/>
          <w:szCs w:val="14"/>
        </w:rPr>
      </w:pPr>
      <w:r>
        <w:rPr>
          <w:rFonts w:ascii="DroidSans" w:hAnsi="DroidSans" w:cs="DroidSans"/>
          <w:color w:val="898989"/>
          <w:sz w:val="14"/>
          <w:szCs w:val="14"/>
        </w:rPr>
        <w:t>2016 - 03 - 02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ans" w:hAnsi="DroidSans" w:cs="DroidSans"/>
          <w:color w:val="898989"/>
          <w:sz w:val="13"/>
          <w:szCs w:val="13"/>
        </w:rPr>
      </w:pPr>
      <w:r>
        <w:rPr>
          <w:rFonts w:ascii="DroidSans" w:hAnsi="DroidSans" w:cs="DroidSans"/>
          <w:color w:val="898989"/>
          <w:sz w:val="13"/>
          <w:szCs w:val="13"/>
        </w:rPr>
        <w:t>© 2015 [</w:t>
      </w:r>
      <w:proofErr w:type="spellStart"/>
      <w:r>
        <w:rPr>
          <w:rFonts w:ascii="DroidSans" w:hAnsi="DroidSans" w:cs="DroidSans"/>
          <w:color w:val="898989"/>
          <w:sz w:val="13"/>
          <w:szCs w:val="13"/>
        </w:rPr>
        <w:t>Thomson</w:t>
      </w:r>
      <w:proofErr w:type="spellEnd"/>
      <w:r>
        <w:rPr>
          <w:rFonts w:ascii="DroidSans" w:hAnsi="DroidSans" w:cs="DroidSans"/>
          <w:color w:val="898989"/>
          <w:sz w:val="13"/>
          <w:szCs w:val="13"/>
        </w:rPr>
        <w:t xml:space="preserve"> Reuters (Legal) </w:t>
      </w:r>
      <w:proofErr w:type="spellStart"/>
      <w:r>
        <w:rPr>
          <w:rFonts w:ascii="DroidSans" w:hAnsi="DroidSans" w:cs="DroidSans"/>
          <w:color w:val="898989"/>
          <w:sz w:val="13"/>
          <w:szCs w:val="13"/>
        </w:rPr>
        <w:t>Limited</w:t>
      </w:r>
      <w:proofErr w:type="spellEnd"/>
      <w:r>
        <w:rPr>
          <w:rFonts w:ascii="DroidSans" w:hAnsi="DroidSans" w:cs="DroidSans"/>
          <w:color w:val="898989"/>
          <w:sz w:val="13"/>
          <w:szCs w:val="13"/>
        </w:rPr>
        <w:t xml:space="preserve"> / María Isabel Álvarez Vélez y José Luis Rey Pérez</w:t>
      </w:r>
      <w:proofErr w:type="gramStart"/>
      <w:r>
        <w:rPr>
          <w:rFonts w:ascii="DroidSans" w:hAnsi="DroidSans" w:cs="DroidSans"/>
          <w:color w:val="898989"/>
          <w:sz w:val="13"/>
          <w:szCs w:val="13"/>
        </w:rPr>
        <w:t>]©</w:t>
      </w:r>
      <w:proofErr w:type="gramEnd"/>
      <w:r>
        <w:rPr>
          <w:rFonts w:ascii="DroidSans" w:hAnsi="DroidSans" w:cs="DroidSans"/>
          <w:color w:val="898989"/>
          <w:sz w:val="13"/>
          <w:szCs w:val="13"/>
        </w:rPr>
        <w:t xml:space="preserve"> Portada: </w:t>
      </w:r>
      <w:proofErr w:type="spellStart"/>
      <w:r>
        <w:rPr>
          <w:rFonts w:ascii="DroidSans" w:hAnsi="DroidSans" w:cs="DroidSans"/>
          <w:color w:val="898989"/>
          <w:sz w:val="13"/>
          <w:szCs w:val="13"/>
        </w:rPr>
        <w:t>Thomsom</w:t>
      </w:r>
      <w:proofErr w:type="spellEnd"/>
      <w:r>
        <w:rPr>
          <w:rFonts w:ascii="DroidSans" w:hAnsi="DroidSans" w:cs="DroidSans"/>
          <w:color w:val="898989"/>
          <w:sz w:val="13"/>
          <w:szCs w:val="13"/>
        </w:rPr>
        <w:t xml:space="preserve"> Reuters (Legal) </w:t>
      </w:r>
      <w:proofErr w:type="spellStart"/>
      <w:r>
        <w:rPr>
          <w:rFonts w:ascii="DroidSans" w:hAnsi="DroidSans" w:cs="DroidSans"/>
          <w:color w:val="898989"/>
          <w:sz w:val="13"/>
          <w:szCs w:val="13"/>
        </w:rPr>
        <w:t>Limited</w:t>
      </w:r>
      <w:proofErr w:type="spellEnd"/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0000"/>
        </w:rPr>
      </w:pPr>
      <w:r>
        <w:rPr>
          <w:rFonts w:ascii="DroidSerif-Bold" w:hAnsi="DroidSerif-Bold" w:cs="DroidSerif-Bold"/>
          <w:b/>
          <w:bCs/>
          <w:color w:val="000000"/>
        </w:rPr>
        <w:t>Derecho y pobreza. 1ª ed., octubre 2015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4"/>
          <w:szCs w:val="14"/>
        </w:rPr>
      </w:pPr>
      <w:r>
        <w:rPr>
          <w:rFonts w:ascii="DroidSerif" w:hAnsi="DroidSerif" w:cs="DroidSerif"/>
          <w:color w:val="000000"/>
          <w:sz w:val="14"/>
          <w:szCs w:val="14"/>
        </w:rPr>
        <w:t>Páginas iniciales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BE5200"/>
        </w:rPr>
      </w:pPr>
      <w:r>
        <w:rPr>
          <w:rFonts w:ascii="DroidSerif-Bold" w:hAnsi="DroidSerif-Bold" w:cs="DroidSerif-Bold"/>
          <w:b/>
          <w:bCs/>
          <w:color w:val="BE5200"/>
        </w:rPr>
        <w:t>DERECHO Y POBREZA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BE5200"/>
          <w:sz w:val="15"/>
          <w:szCs w:val="15"/>
        </w:rPr>
      </w:pPr>
      <w:r>
        <w:rPr>
          <w:rFonts w:ascii="DroidSerif-Bold" w:hAnsi="DroidSerif-Bold" w:cs="DroidSerif-Bold"/>
          <w:b/>
          <w:bCs/>
          <w:color w:val="BE5200"/>
          <w:sz w:val="15"/>
          <w:szCs w:val="15"/>
        </w:rPr>
        <w:t>Primera Edición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F8BA8C"/>
          <w:sz w:val="15"/>
          <w:szCs w:val="15"/>
        </w:rPr>
      </w:pPr>
      <w:r>
        <w:rPr>
          <w:rFonts w:ascii="DroidSerif-Bold" w:hAnsi="DroidSerif-Bold" w:cs="DroidSerif-Bold"/>
          <w:b/>
          <w:bCs/>
          <w:color w:val="F8BA8C"/>
          <w:sz w:val="15"/>
          <w:szCs w:val="15"/>
        </w:rPr>
        <w:t>(Directores)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>Mª Isabel Álvarez Vélez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>José Luis Rey Pérez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Italic" w:hAnsi="DroidSerif-Italic" w:cs="DroidSerif-Italic"/>
          <w:i/>
          <w:iCs/>
          <w:color w:val="000000"/>
          <w:sz w:val="15"/>
          <w:szCs w:val="15"/>
        </w:rPr>
      </w:pPr>
      <w:r>
        <w:rPr>
          <w:rFonts w:ascii="DroidSerif-Italic" w:hAnsi="DroidSerif-Italic" w:cs="DroidSerif-Italic"/>
          <w:i/>
          <w:iCs/>
          <w:color w:val="000000"/>
          <w:sz w:val="15"/>
          <w:szCs w:val="15"/>
        </w:rPr>
        <w:t>Primera edición, 2015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>El editor no se hace responsable de las opiniones recogidas, comentarios y manifestaciones vertidas por los autores. La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proofErr w:type="gramStart"/>
      <w:r>
        <w:rPr>
          <w:rFonts w:ascii="DroidSerif" w:hAnsi="DroidSerif" w:cs="DroidSerif"/>
          <w:color w:val="000000"/>
          <w:sz w:val="15"/>
          <w:szCs w:val="15"/>
        </w:rPr>
        <w:t>presente</w:t>
      </w:r>
      <w:proofErr w:type="gramEnd"/>
      <w:r>
        <w:rPr>
          <w:rFonts w:ascii="DroidSerif" w:hAnsi="DroidSerif" w:cs="DroidSerif"/>
          <w:color w:val="000000"/>
          <w:sz w:val="15"/>
          <w:szCs w:val="15"/>
        </w:rPr>
        <w:t xml:space="preserve"> obra recoge exclusivamente la opinión de su autor como manifestación de su derecho de libertad de expresión.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>La Editorial se opone expresamente a que cualquiera de las páginas de esta obra o partes de ella sean utilizadas para la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proofErr w:type="gramStart"/>
      <w:r>
        <w:rPr>
          <w:rFonts w:ascii="DroidSerif" w:hAnsi="DroidSerif" w:cs="DroidSerif"/>
          <w:color w:val="000000"/>
          <w:sz w:val="15"/>
          <w:szCs w:val="15"/>
        </w:rPr>
        <w:t>realización</w:t>
      </w:r>
      <w:proofErr w:type="gramEnd"/>
      <w:r>
        <w:rPr>
          <w:rFonts w:ascii="DroidSerif" w:hAnsi="DroidSerif" w:cs="DroidSerif"/>
          <w:color w:val="000000"/>
          <w:sz w:val="15"/>
          <w:szCs w:val="15"/>
        </w:rPr>
        <w:t xml:space="preserve"> de resúmenes de prensa.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>Cualquier forma de reproducción, distribución, comunicación pública o transformación de esta obra solo puede ser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proofErr w:type="gramStart"/>
      <w:r>
        <w:rPr>
          <w:rFonts w:ascii="DroidSerif" w:hAnsi="DroidSerif" w:cs="DroidSerif"/>
          <w:color w:val="000000"/>
          <w:sz w:val="15"/>
          <w:szCs w:val="15"/>
        </w:rPr>
        <w:t>realizada</w:t>
      </w:r>
      <w:proofErr w:type="gramEnd"/>
      <w:r>
        <w:rPr>
          <w:rFonts w:ascii="DroidSerif" w:hAnsi="DroidSerif" w:cs="DroidSerif"/>
          <w:color w:val="000000"/>
          <w:sz w:val="15"/>
          <w:szCs w:val="15"/>
        </w:rPr>
        <w:t xml:space="preserve"> con la autorización de sus titulares, salvo excepción prevista por la ley. Diríjase a CEDRO (Centro Español de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>Derechos Reprográficos) si necesita fotocopiar o escanear algún fragmento de esta obra (www.conlicencia.com; 91 702 19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>70 / 93 272 04 45).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>Por tanto, este libro no podrá ser reproducido total o parcialmente, ni transmitirse por procedimientos electrónicos,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proofErr w:type="gramStart"/>
      <w:r>
        <w:rPr>
          <w:rFonts w:ascii="DroidSerif" w:hAnsi="DroidSerif" w:cs="DroidSerif"/>
          <w:color w:val="000000"/>
          <w:sz w:val="15"/>
          <w:szCs w:val="15"/>
        </w:rPr>
        <w:t>mecánicos</w:t>
      </w:r>
      <w:proofErr w:type="gramEnd"/>
      <w:r>
        <w:rPr>
          <w:rFonts w:ascii="DroidSerif" w:hAnsi="DroidSerif" w:cs="DroidSerif"/>
          <w:color w:val="000000"/>
          <w:sz w:val="15"/>
          <w:szCs w:val="15"/>
        </w:rPr>
        <w:t>, magnéticos o por sistemas de almacenamiento y recuperación informáticos o cualquier otro medio, quedando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proofErr w:type="gramStart"/>
      <w:r>
        <w:rPr>
          <w:rFonts w:ascii="DroidSerif" w:hAnsi="DroidSerif" w:cs="DroidSerif"/>
          <w:color w:val="000000"/>
          <w:sz w:val="15"/>
          <w:szCs w:val="15"/>
        </w:rPr>
        <w:t>prohibidos</w:t>
      </w:r>
      <w:proofErr w:type="gramEnd"/>
      <w:r>
        <w:rPr>
          <w:rFonts w:ascii="DroidSerif" w:hAnsi="DroidSerif" w:cs="DroidSerif"/>
          <w:color w:val="000000"/>
          <w:sz w:val="15"/>
          <w:szCs w:val="15"/>
        </w:rPr>
        <w:t xml:space="preserve"> su préstamo, alquiler o cualquier otra forma de cesión de uso del ejemplar, sin el permiso previo, por escrito,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proofErr w:type="gramStart"/>
      <w:r>
        <w:rPr>
          <w:rFonts w:ascii="DroidSerif" w:hAnsi="DroidSerif" w:cs="DroidSerif"/>
          <w:color w:val="000000"/>
          <w:sz w:val="15"/>
          <w:szCs w:val="15"/>
        </w:rPr>
        <w:t>del</w:t>
      </w:r>
      <w:proofErr w:type="gramEnd"/>
      <w:r>
        <w:rPr>
          <w:rFonts w:ascii="DroidSerif" w:hAnsi="DroidSerif" w:cs="DroidSerif"/>
          <w:color w:val="000000"/>
          <w:sz w:val="15"/>
          <w:szCs w:val="15"/>
        </w:rPr>
        <w:t xml:space="preserve"> titular o titulares del copyright.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proofErr w:type="spellStart"/>
      <w:r>
        <w:rPr>
          <w:rFonts w:ascii="DroidSerif" w:hAnsi="DroidSerif" w:cs="DroidSerif"/>
          <w:color w:val="000000"/>
          <w:sz w:val="15"/>
          <w:szCs w:val="15"/>
        </w:rPr>
        <w:t>Thomson</w:t>
      </w:r>
      <w:proofErr w:type="spellEnd"/>
      <w:r>
        <w:rPr>
          <w:rFonts w:ascii="DroidSerif" w:hAnsi="DroidSerif" w:cs="DroidSerif"/>
          <w:color w:val="000000"/>
          <w:sz w:val="15"/>
          <w:szCs w:val="15"/>
        </w:rPr>
        <w:t xml:space="preserve"> Reuters y el logotipo de </w:t>
      </w:r>
      <w:proofErr w:type="spellStart"/>
      <w:r>
        <w:rPr>
          <w:rFonts w:ascii="DroidSerif" w:hAnsi="DroidSerif" w:cs="DroidSerif"/>
          <w:color w:val="000000"/>
          <w:sz w:val="15"/>
          <w:szCs w:val="15"/>
        </w:rPr>
        <w:t>Thomson</w:t>
      </w:r>
      <w:proofErr w:type="spellEnd"/>
      <w:r>
        <w:rPr>
          <w:rFonts w:ascii="DroidSerif" w:hAnsi="DroidSerif" w:cs="DroidSerif"/>
          <w:color w:val="000000"/>
          <w:sz w:val="15"/>
          <w:szCs w:val="15"/>
        </w:rPr>
        <w:t xml:space="preserve"> Reuters son marcas de </w:t>
      </w:r>
      <w:proofErr w:type="spellStart"/>
      <w:r>
        <w:rPr>
          <w:rFonts w:ascii="DroidSerif" w:hAnsi="DroidSerif" w:cs="DroidSerif"/>
          <w:color w:val="000000"/>
          <w:sz w:val="15"/>
          <w:szCs w:val="15"/>
        </w:rPr>
        <w:t>Thomson</w:t>
      </w:r>
      <w:proofErr w:type="spellEnd"/>
      <w:r>
        <w:rPr>
          <w:rFonts w:ascii="DroidSerif" w:hAnsi="DroidSerif" w:cs="DroidSerif"/>
          <w:color w:val="000000"/>
          <w:sz w:val="15"/>
          <w:szCs w:val="15"/>
        </w:rPr>
        <w:t xml:space="preserve"> Reuters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5"/>
          <w:szCs w:val="15"/>
        </w:rPr>
      </w:pPr>
      <w:r>
        <w:rPr>
          <w:rFonts w:ascii="DroidSerif" w:hAnsi="DroidSerif" w:cs="DroidSerif"/>
          <w:color w:val="000000"/>
          <w:sz w:val="15"/>
          <w:szCs w:val="15"/>
        </w:rPr>
        <w:t xml:space="preserve">Aranzadi es una marca de </w:t>
      </w:r>
      <w:proofErr w:type="spellStart"/>
      <w:r>
        <w:rPr>
          <w:rFonts w:ascii="DroidSerif" w:hAnsi="DroidSerif" w:cs="DroidSerif"/>
          <w:color w:val="000000"/>
          <w:sz w:val="15"/>
          <w:szCs w:val="15"/>
        </w:rPr>
        <w:t>Thomson</w:t>
      </w:r>
      <w:proofErr w:type="spellEnd"/>
      <w:r>
        <w:rPr>
          <w:rFonts w:ascii="DroidSerif" w:hAnsi="DroidSerif" w:cs="DroidSerif"/>
          <w:color w:val="000000"/>
          <w:sz w:val="15"/>
          <w:szCs w:val="15"/>
        </w:rPr>
        <w:t xml:space="preserve"> Reuters (Legal) </w:t>
      </w:r>
      <w:proofErr w:type="spellStart"/>
      <w:r>
        <w:rPr>
          <w:rFonts w:ascii="DroidSerif" w:hAnsi="DroidSerif" w:cs="DroidSerif"/>
          <w:color w:val="000000"/>
          <w:sz w:val="15"/>
          <w:szCs w:val="15"/>
        </w:rPr>
        <w:t>Limited</w:t>
      </w:r>
      <w:proofErr w:type="spellEnd"/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© 2015 [</w:t>
      </w:r>
      <w:proofErr w:type="spellStart"/>
      <w:r>
        <w:rPr>
          <w:rFonts w:ascii="DroidSerif" w:hAnsi="DroidSerif" w:cs="DroidSerif"/>
          <w:color w:val="000000"/>
          <w:sz w:val="13"/>
          <w:szCs w:val="13"/>
        </w:rPr>
        <w:t>Thomson</w:t>
      </w:r>
      <w:proofErr w:type="spellEnd"/>
      <w:r>
        <w:rPr>
          <w:rFonts w:ascii="DroidSerif" w:hAnsi="DroidSerif" w:cs="DroidSerif"/>
          <w:color w:val="000000"/>
          <w:sz w:val="13"/>
          <w:szCs w:val="13"/>
        </w:rPr>
        <w:t xml:space="preserve"> Reuters (Legal) </w:t>
      </w:r>
      <w:proofErr w:type="spellStart"/>
      <w:r>
        <w:rPr>
          <w:rFonts w:ascii="DroidSerif" w:hAnsi="DroidSerif" w:cs="DroidSerif"/>
          <w:color w:val="000000"/>
          <w:sz w:val="13"/>
          <w:szCs w:val="13"/>
        </w:rPr>
        <w:t>Limited</w:t>
      </w:r>
      <w:proofErr w:type="spellEnd"/>
      <w:r>
        <w:rPr>
          <w:rFonts w:ascii="DroidSerif" w:hAnsi="DroidSerif" w:cs="DroidSerif"/>
          <w:color w:val="000000"/>
          <w:sz w:val="13"/>
          <w:szCs w:val="13"/>
        </w:rPr>
        <w:t xml:space="preserve"> / María Isabel Álvarez Vélez y José Luis Rey Pérez</w:t>
      </w:r>
      <w:proofErr w:type="gramStart"/>
      <w:r>
        <w:rPr>
          <w:rFonts w:ascii="DroidSerif" w:hAnsi="DroidSerif" w:cs="DroidSerif"/>
          <w:color w:val="000000"/>
          <w:sz w:val="13"/>
          <w:szCs w:val="13"/>
        </w:rPr>
        <w:t>]©</w:t>
      </w:r>
      <w:proofErr w:type="gramEnd"/>
      <w:r>
        <w:rPr>
          <w:rFonts w:ascii="DroidSerif" w:hAnsi="DroidSerif" w:cs="DroidSerif"/>
          <w:color w:val="000000"/>
          <w:sz w:val="13"/>
          <w:szCs w:val="13"/>
        </w:rPr>
        <w:t xml:space="preserve"> Portada: </w:t>
      </w:r>
      <w:proofErr w:type="spellStart"/>
      <w:r>
        <w:rPr>
          <w:rFonts w:ascii="DroidSerif" w:hAnsi="DroidSerif" w:cs="DroidSerif"/>
          <w:color w:val="000000"/>
          <w:sz w:val="13"/>
          <w:szCs w:val="13"/>
        </w:rPr>
        <w:t>Thomsom</w:t>
      </w:r>
      <w:proofErr w:type="spellEnd"/>
      <w:r>
        <w:rPr>
          <w:rFonts w:ascii="DroidSerif" w:hAnsi="DroidSerif" w:cs="DroidSerif"/>
          <w:color w:val="000000"/>
          <w:sz w:val="13"/>
          <w:szCs w:val="13"/>
        </w:rPr>
        <w:t xml:space="preserve"> Reuters (Legal)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proofErr w:type="spellStart"/>
      <w:r>
        <w:rPr>
          <w:rFonts w:ascii="DroidSerif" w:hAnsi="DroidSerif" w:cs="DroidSerif"/>
          <w:color w:val="000000"/>
          <w:sz w:val="13"/>
          <w:szCs w:val="13"/>
        </w:rPr>
        <w:t>Limited</w:t>
      </w:r>
      <w:proofErr w:type="spellEnd"/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Editorial Aranzadi, SA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 xml:space="preserve">Camino de </w:t>
      </w:r>
      <w:proofErr w:type="spellStart"/>
      <w:r>
        <w:rPr>
          <w:rFonts w:ascii="DroidSerif" w:hAnsi="DroidSerif" w:cs="DroidSerif"/>
          <w:color w:val="000000"/>
          <w:sz w:val="13"/>
          <w:szCs w:val="13"/>
        </w:rPr>
        <w:t>Galar</w:t>
      </w:r>
      <w:proofErr w:type="spellEnd"/>
      <w:r>
        <w:rPr>
          <w:rFonts w:ascii="DroidSerif" w:hAnsi="DroidSerif" w:cs="DroidSerif"/>
          <w:color w:val="000000"/>
          <w:sz w:val="13"/>
          <w:szCs w:val="13"/>
        </w:rPr>
        <w:t>, 15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 xml:space="preserve">31190, </w:t>
      </w:r>
      <w:proofErr w:type="spellStart"/>
      <w:r>
        <w:rPr>
          <w:rFonts w:ascii="DroidSerif" w:hAnsi="DroidSerif" w:cs="DroidSerif"/>
          <w:color w:val="000000"/>
          <w:sz w:val="13"/>
          <w:szCs w:val="13"/>
        </w:rPr>
        <w:t>Cizur</w:t>
      </w:r>
      <w:proofErr w:type="spellEnd"/>
      <w:r>
        <w:rPr>
          <w:rFonts w:ascii="DroidSerif" w:hAnsi="DroidSerif" w:cs="DroidSerif"/>
          <w:color w:val="000000"/>
          <w:sz w:val="13"/>
          <w:szCs w:val="13"/>
        </w:rPr>
        <w:t xml:space="preserve"> Menor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Teléfono: 948 297297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Fax: 948 297200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clientes@aranzadi.es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www.aranzadi.es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Depósito Legal: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ISBN 978-84-9098-570-0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ans" w:hAnsi="DroidSans" w:cs="DroidSans"/>
          <w:color w:val="898989"/>
          <w:sz w:val="13"/>
          <w:szCs w:val="13"/>
        </w:rPr>
      </w:pPr>
      <w:r>
        <w:rPr>
          <w:rFonts w:ascii="DroidSans" w:hAnsi="DroidSans" w:cs="DroidSans"/>
          <w:color w:val="898989"/>
          <w:sz w:val="13"/>
          <w:szCs w:val="13"/>
        </w:rPr>
        <w:t>2016 - 03 - 02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0000"/>
          <w:sz w:val="21"/>
          <w:szCs w:val="21"/>
        </w:rPr>
      </w:pPr>
      <w:r>
        <w:rPr>
          <w:rFonts w:ascii="DroidSerif-Bold" w:hAnsi="DroidSerif-Bold" w:cs="DroidSerif-Bold"/>
          <w:b/>
          <w:bCs/>
          <w:color w:val="000000"/>
          <w:sz w:val="21"/>
          <w:szCs w:val="21"/>
        </w:rPr>
        <w:t>Derecho y pobreza. 1ª ed., octubre 2015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0000"/>
          <w:sz w:val="13"/>
          <w:szCs w:val="13"/>
        </w:rPr>
      </w:pPr>
      <w:r>
        <w:rPr>
          <w:rFonts w:ascii="DroidSerif" w:hAnsi="DroidSerif" w:cs="DroidSerif"/>
          <w:color w:val="000000"/>
          <w:sz w:val="13"/>
          <w:szCs w:val="13"/>
        </w:rPr>
        <w:t>Contenido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F0933D"/>
          <w:sz w:val="20"/>
          <w:szCs w:val="20"/>
        </w:rPr>
      </w:pPr>
      <w:r>
        <w:rPr>
          <w:rFonts w:ascii="DroidSerif-Bold" w:hAnsi="DroidSerif-Bold" w:cs="DroidSerif-Bold"/>
          <w:b/>
          <w:bCs/>
          <w:color w:val="F0933D"/>
          <w:sz w:val="20"/>
          <w:szCs w:val="20"/>
        </w:rPr>
        <w:t>Contenido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339A"/>
          <w:sz w:val="13"/>
          <w:szCs w:val="13"/>
        </w:rPr>
      </w:pPr>
      <w:r>
        <w:rPr>
          <w:rFonts w:ascii="DroidSerif-Bold" w:hAnsi="DroidSerif-Bold" w:cs="DroidSerif-Bold"/>
          <w:b/>
          <w:bCs/>
          <w:color w:val="00339A"/>
          <w:sz w:val="13"/>
          <w:szCs w:val="13"/>
        </w:rPr>
        <w:t>Prólogo. Derecho y pobreza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339A"/>
          <w:sz w:val="13"/>
          <w:szCs w:val="13"/>
        </w:rPr>
      </w:pPr>
      <w:r>
        <w:rPr>
          <w:rFonts w:ascii="DroidSerif-Bold" w:hAnsi="DroidSerif-Bold" w:cs="DroidSerif-Bold"/>
          <w:b/>
          <w:bCs/>
          <w:color w:val="00339A"/>
          <w:sz w:val="13"/>
          <w:szCs w:val="13"/>
        </w:rPr>
        <w:t>Presentación. Derecho y pobreza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339A"/>
          <w:sz w:val="13"/>
          <w:szCs w:val="13"/>
        </w:rPr>
      </w:pPr>
      <w:r>
        <w:rPr>
          <w:rFonts w:ascii="DroidSerif-Bold" w:hAnsi="DroidSerif-Bold" w:cs="DroidSerif-Bold"/>
          <w:b/>
          <w:bCs/>
          <w:color w:val="00339A"/>
          <w:sz w:val="13"/>
          <w:szCs w:val="13"/>
        </w:rPr>
        <w:t>Introducción. El derecho de los pobres y la pobreza del Derecho (AUGUSTO HORTAL ALONSO)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339A"/>
          <w:sz w:val="13"/>
          <w:szCs w:val="13"/>
        </w:rPr>
      </w:pPr>
      <w:r>
        <w:rPr>
          <w:rFonts w:ascii="DroidSerif-Bold" w:hAnsi="DroidSerif-Bold" w:cs="DroidSerif-Bold"/>
          <w:b/>
          <w:bCs/>
          <w:color w:val="00339A"/>
          <w:sz w:val="13"/>
          <w:szCs w:val="13"/>
        </w:rPr>
        <w:t>I. Parte. Pobreza y estado social. Políticas públicas y servicios públicos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1. Problemas penales y constitucionales de las devoluciones en caliente (LUCÍA ALONSO SANZ, BLANCA MARTÍN RÍOS y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MANUEL NOVO FONCUBIERTA)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2. Las recientes críticas al sistema vasco de renta de garantía de ingresos como factor de riesgo para la cohesión social en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Euskadi (AINHOA ALUSTIZA KAPANAGA)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3. Las cooperativas de utilidad pública e iniciativa social y su contribución a la prestación de servicios de interés general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(VEGA MARÍA ARNÁEZ ARCE y ALBERTO ATXABAL RADA)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4. Implicaciones jurídico-éticas de la biotecnología aplicada al deportista. </w:t>
      </w:r>
      <w:proofErr w:type="gramStart"/>
      <w:r>
        <w:rPr>
          <w:rFonts w:ascii="DroidSerif" w:hAnsi="DroidSerif" w:cs="DroidSerif"/>
          <w:color w:val="00339A"/>
          <w:sz w:val="13"/>
          <w:szCs w:val="13"/>
        </w:rPr>
        <w:t>¿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>Una inevitable lesión en el derecho a la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igualdad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? (ELENA ATIENZA MACÍAS y EMILIO JOSÉ ARMAZA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ARMAZA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>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5. El derecho administrativo contra la pobreza energética en Europa. Particular consideración a los mercados interiores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de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la electricidad y del gas (ENRIC R. BARTLETT CASTELLÁ)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6. Crisis del estado social. El peligro de retornar a la política de la beneficencia. Búsqueda del estado inversor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(ARÁNZAZU BARTOLOMÉ TUTOR)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7. Contratación pública y pobreza: el papel de las cláusulas sociales en los contratos del sector público (MARÍA BURZACO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SAMPER)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8. Federalismo e igualdad social: Retos de España en el siglo XXI (ÍKER CABEZUELO ADAMER)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9. El derecho a la existencia digna y libre: contexto contemporáneo, fundamentación ética y protección jurídica (PABLO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FONT OPORTO y JUAN IGNACIO FONT GALÁN)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10. Tercer sector y transparencia: un binomio necesario en la lucha contra la pobreza (ITXASO GALLASTEGI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ORMAETXEA)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11. Responsabilidad medioambiental y rehabilitación urbana de zonas abandonadas: la experiencia americana de los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terrenos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Brownfields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 xml:space="preserve"> (JAVIER GARCÍA AMEZ)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12. La coherencia de la nueva política de la Unión Europea ante la pobreza surgida tras la crisis (LAURA GÓMEZ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URQUIJO)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13. Derecho social y combate a la pobreza en México: Leyes, instituciones y políticas públicas (JOSÉ LUIS LLAQUET DE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ENTRAMBASAGUAS y FEDERICO SEYDE MELÉNDEZ)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14. Asistencia sanitaria e inmigración: la desprotección de los extranjeros en situación administrativa irregular (JOSUNE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LÓPEZ RODRÍGUEZ)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15. Situación de riesgo y pobreza en la legislación sobre protección de la infancia (CLARA MARTÍNEZ GARCÍA)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16. La institucionalización de la pobreza en las pensiones de trabajadores a tiempo parcial (FRANCISCO MIGUEL ORTIZ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GONZÁLEZ-CONDE)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17. Derechos estatutarios y pobreza (ANTONIO PÉREZ MIRAS)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18. La pobreza en España y nuestro modelo económico de crecimiento (ANTONIO JAVIER RAMOS LLANOS)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19. El capital en el siglo XXI según T.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Piketty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 xml:space="preserve"> y el modelo de estado social (CRISTINA WOJCIK RADKOWSKA)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339A"/>
          <w:sz w:val="13"/>
          <w:szCs w:val="13"/>
        </w:rPr>
      </w:pPr>
      <w:r>
        <w:rPr>
          <w:rFonts w:ascii="DroidSerif-Bold" w:hAnsi="DroidSerif-Bold" w:cs="DroidSerif-Bold"/>
          <w:b/>
          <w:bCs/>
          <w:color w:val="00339A"/>
          <w:sz w:val="13"/>
          <w:szCs w:val="13"/>
        </w:rPr>
        <w:t>II. Parte. Pobreza, Derecho económico y sistema fiscal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1. Derechos humanos, derecho administrativo y pobreza (ANTONIO J. ALONSO TIMÓN)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2. La reforma laboral como instrumento para combatir la pobreza desde la perspectiva del análisis económico del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derecho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(CÉSAR AMARILLA AVILÉS)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3. El derecho y las empresas de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covoiturage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>: necesidad de proteger al consumidor (AMAYA ANGULO GARZARO y NOEMÍ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ANGULO GARZARO)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4. ¿Qué debe entenderse por explotación laboral? (FRANCISCO JAVIER ARRIETA IDIAKEZ)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5. La necesaria reformulación de las prestaciones familiares de la seguridad social (DOLORES CARRILLO MÁRQUEZ)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6. Micro-crédito y banca ética: paradigmas en la lucha contra la pobreza en los países en vías de desarrollo y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desarrollados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(CERMELLI MASSIMO)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7. Principios de justicia en el ámbito empresarial (BERTA DIAGO GARCÍA)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8. La precariedad laboral de las trabajadoras del servicio del hogar (NEREA EREÑAGA DE JESÚS)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lastRenderedPageBreak/>
        <w:t>Capítulo 9. La reforma fiscal del IRPF: ¿protección real para las rentas bajas? (DIANA FERRER I VIDAL y PATRICIA FONT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GORGORIÓ)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10. El «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fresh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 xml:space="preserve">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start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>» como medida paliativa de la exclusión social (NATALIA FONT GORGORIÓ)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11. El gobierno de las entidades no lucrativas. </w:t>
      </w:r>
      <w:proofErr w:type="gramStart"/>
      <w:r>
        <w:rPr>
          <w:rFonts w:ascii="DroidSerif" w:hAnsi="DroidSerif" w:cs="DroidSerif"/>
          <w:color w:val="00339A"/>
          <w:sz w:val="13"/>
          <w:szCs w:val="13"/>
        </w:rPr>
        <w:t>en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particular, la responsabilidad de sus gestores o administradores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(BELÉN GARCÍA ÁLVAREZ)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12. La nueva realidad socio-económica de las familias y su incidencia en los procesos matrimoniales y de menores (ANA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ISABEL HERRÁN ORTÍZ)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13. El régimen de las garantías otorgadas a las instituciones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microfinancieras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 xml:space="preserve"> como pilar de eficiencia en su cruzada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contra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la pobreza y la exclusión financiera (JAVIER IBÁÑEZ JIMÉNEZ)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14. El sistema tributario ante los fenómenos de innovación social de lucha contra la pobreza (JULIO JIMÉNEZ ESCOBAR)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15. Adecuación de los sistemas de supervisión y control de las instituciones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microfinancieras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 xml:space="preserve"> (ALEXANDRU LAZAR)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16. Precariedad laboral: el nuevo rostro de la pobreza (AÍDA LLAMOSAS TRAPAGA)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17. La SEC norteamericana y los principales casos de corrupción del siglo XXI, como parte del origen de la crisis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económica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y la pobreza (IGNACIO LLEDÓ BENITO)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18. La irreversibilidad del estado social bajo el paradigma de la igualdad (MARÍA MACÍAS JARA)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19. Los efectos de la liquidación en el concurso de persona física (MIGUEL MARTÍNEZ MUÑOZ)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20. ¿Cómo puede un ayuntamiento ayudar a los emprendedores? (LUIS ÁNGEL MÉNDEZ LÓPEZ)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21. Aspectos críticos del estatuto jurídico del emprendedor de responsabilidad limitada (PABLO SANZ BAYÓN)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22. ¿Son conceptos compatibles trabajo digno y contrato a tiempo parcial? (MARIOLA SERRANO ARGÜESO)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23. La nueva reforma fiscal española. ¿</w:t>
      </w:r>
      <w:proofErr w:type="gramStart"/>
      <w:r>
        <w:rPr>
          <w:rFonts w:ascii="DroidSerif" w:hAnsi="DroidSerif" w:cs="DroidSerif"/>
          <w:color w:val="00339A"/>
          <w:sz w:val="13"/>
          <w:szCs w:val="13"/>
        </w:rPr>
        <w:t>coadyuvante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para la superación de la pobreza? (JAIME SESMA MORENO)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24. ¿Más facilidad para abrir una cuenta corriente en la Unión Europea? El reto de la directiva 2014/92/UE de 23 de julio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de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2014 (GEMA TOMÁS MARTÍNEZ)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339A"/>
          <w:sz w:val="13"/>
          <w:szCs w:val="13"/>
        </w:rPr>
      </w:pPr>
      <w:r>
        <w:rPr>
          <w:rFonts w:ascii="DroidSerif-Bold" w:hAnsi="DroidSerif-Bold" w:cs="DroidSerif-Bold"/>
          <w:b/>
          <w:bCs/>
          <w:color w:val="00339A"/>
          <w:sz w:val="13"/>
          <w:szCs w:val="13"/>
        </w:rPr>
        <w:t>III. Parte. Pobreza y administración de justicia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1. Un diálogo atropellado entre el hecho (la pobreza), y el derecho (la asistencia jurídica gratuita) (LUIS BUENO OCHOA)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2. Luces y sombras de las modificaciones procesales de la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lec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 xml:space="preserve"> en materia de ejecución hipotecaria (JOSÉ IGNACIO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CARNERO SOBRADO)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3. La cuantía de las tasas judiciales como factor de disuasión ciudadana para acceder a la jurisdicción (CRISTINA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CARRETERO GONZÁLEZ)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4. La mediación civil y mercantil como una alternativa económica a los tribunales (MARTA GISBERT POMATA)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5. La exigencia de caución para la adopción de medidas cautelares en el proceso civil y la asistencia jurídica gratuita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(AINHOA GUTIÉRREZ BARRENENGOA)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6. La carga de los honorarios del proceso judicial al beneficiario de justicia gratuita en caso de vencimiento sin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imposición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de costas a la parte contraria; situación y propuestas (SANTIAGO ALFONSO GUZMÁN MARÍN)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7. Herencia a favor de los pobres: herederos «pobres» y pobres herederos (FRANCISCO LLEDO YAGÜE)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8. Gestación por sustitución: ¿Un caso difícil para los derechos humanos? (ANA MERCEDES LÓPEZ RODRÍGUEZ y JUAN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ANTONIO SENENT DE FRUTOS)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9. Asistencia extrajudicial gratuita (NAIARA RODRÍGUEZ ELORRIETA)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10. Insuficiencia de recursos y acceso al tribunal de justicia de la unión europea. La asistencia jurídica gratuita en los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ans" w:hAnsi="DroidSans" w:cs="DroidSans"/>
          <w:color w:val="898989"/>
          <w:sz w:val="12"/>
          <w:szCs w:val="12"/>
        </w:rPr>
      </w:pPr>
      <w:r>
        <w:rPr>
          <w:rFonts w:ascii="DroidSans" w:hAnsi="DroidSans" w:cs="DroidSans"/>
          <w:color w:val="898989"/>
          <w:sz w:val="12"/>
          <w:szCs w:val="12"/>
        </w:rPr>
        <w:t>© 2015 [</w:t>
      </w:r>
      <w:proofErr w:type="spellStart"/>
      <w:r>
        <w:rPr>
          <w:rFonts w:ascii="DroidSans" w:hAnsi="DroidSans" w:cs="DroidSans"/>
          <w:color w:val="898989"/>
          <w:sz w:val="12"/>
          <w:szCs w:val="12"/>
        </w:rPr>
        <w:t>Thomson</w:t>
      </w:r>
      <w:proofErr w:type="spellEnd"/>
      <w:r>
        <w:rPr>
          <w:rFonts w:ascii="DroidSans" w:hAnsi="DroidSans" w:cs="DroidSans"/>
          <w:color w:val="898989"/>
          <w:sz w:val="12"/>
          <w:szCs w:val="12"/>
        </w:rPr>
        <w:t xml:space="preserve"> Reuters (Legal) </w:t>
      </w:r>
      <w:proofErr w:type="spellStart"/>
      <w:r>
        <w:rPr>
          <w:rFonts w:ascii="DroidSans" w:hAnsi="DroidSans" w:cs="DroidSans"/>
          <w:color w:val="898989"/>
          <w:sz w:val="12"/>
          <w:szCs w:val="12"/>
        </w:rPr>
        <w:t>Limited</w:t>
      </w:r>
      <w:proofErr w:type="spellEnd"/>
      <w:r>
        <w:rPr>
          <w:rFonts w:ascii="DroidSans" w:hAnsi="DroidSans" w:cs="DroidSans"/>
          <w:color w:val="898989"/>
          <w:sz w:val="12"/>
          <w:szCs w:val="12"/>
        </w:rPr>
        <w:t xml:space="preserve"> / María Isabel Álvarez Vélez y José Luis Rey Pérez</w:t>
      </w:r>
      <w:proofErr w:type="gramStart"/>
      <w:r>
        <w:rPr>
          <w:rFonts w:ascii="DroidSans" w:hAnsi="DroidSans" w:cs="DroidSans"/>
          <w:color w:val="898989"/>
          <w:sz w:val="12"/>
          <w:szCs w:val="12"/>
        </w:rPr>
        <w:t>]©</w:t>
      </w:r>
      <w:proofErr w:type="gramEnd"/>
      <w:r>
        <w:rPr>
          <w:rFonts w:ascii="DroidSans" w:hAnsi="DroidSans" w:cs="DroidSans"/>
          <w:color w:val="898989"/>
          <w:sz w:val="12"/>
          <w:szCs w:val="12"/>
        </w:rPr>
        <w:t xml:space="preserve"> Portada: </w:t>
      </w:r>
      <w:proofErr w:type="spellStart"/>
      <w:r>
        <w:rPr>
          <w:rFonts w:ascii="DroidSans" w:hAnsi="DroidSans" w:cs="DroidSans"/>
          <w:color w:val="898989"/>
          <w:sz w:val="12"/>
          <w:szCs w:val="12"/>
        </w:rPr>
        <w:t>Thomsom</w:t>
      </w:r>
      <w:proofErr w:type="spellEnd"/>
      <w:r>
        <w:rPr>
          <w:rFonts w:ascii="DroidSans" w:hAnsi="DroidSans" w:cs="DroidSans"/>
          <w:color w:val="898989"/>
          <w:sz w:val="12"/>
          <w:szCs w:val="12"/>
        </w:rPr>
        <w:t xml:space="preserve"> Reuters (Legal) </w:t>
      </w:r>
      <w:proofErr w:type="spellStart"/>
      <w:r>
        <w:rPr>
          <w:rFonts w:ascii="DroidSans" w:hAnsi="DroidSans" w:cs="DroidSans"/>
          <w:color w:val="898989"/>
          <w:sz w:val="12"/>
          <w:szCs w:val="12"/>
        </w:rPr>
        <w:t>Limited</w:t>
      </w:r>
      <w:proofErr w:type="spellEnd"/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procedimientos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prejudiciales (ISAAC SOCA TORRES)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11. El derecho de alimentos entre parientes. </w:t>
      </w:r>
      <w:proofErr w:type="gramStart"/>
      <w:r>
        <w:rPr>
          <w:rFonts w:ascii="DroidSerif" w:hAnsi="DroidSerif" w:cs="DroidSerif"/>
          <w:color w:val="00339A"/>
          <w:sz w:val="13"/>
          <w:szCs w:val="13"/>
        </w:rPr>
        <w:t>una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solución «de crisis» para los tiempos de crisis (ARANTZAZU VICANDI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MARTÍNEZ)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12. El acceso a la justicia de los grupos vulnerables de la población. Un estudio de derecho comparado entre el sistema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interamericano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y el sistema europeo de protección de los derechos humanos. Propuestas concretas (GRISELDA VILLALOBOS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CASTILLO y SARA PONS MARTY)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-Bold" w:hAnsi="DroidSerif-Bold" w:cs="DroidSerif-Bold"/>
          <w:b/>
          <w:bCs/>
          <w:color w:val="00339A"/>
          <w:sz w:val="13"/>
          <w:szCs w:val="13"/>
        </w:rPr>
      </w:pPr>
      <w:r>
        <w:rPr>
          <w:rFonts w:ascii="DroidSerif-Bold" w:hAnsi="DroidSerif-Bold" w:cs="DroidSerif-Bold"/>
          <w:b/>
          <w:bCs/>
          <w:color w:val="00339A"/>
          <w:sz w:val="13"/>
          <w:szCs w:val="13"/>
        </w:rPr>
        <w:t>IV. Parte. Pobreza: valores éticos y jurídicos, exclusión social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1. La protección del Derecho a la salud de los emigrantes sin papeles: un análisis constitucional de la reforma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introducida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en el concepto de asegurado por el Real Decreto-Ley 16/2012 (Mª ISABEL ÁLVAREZ VÉLEZ y FEDERICO DE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MONTALVO JÄÄSKELÄINEN)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2. La pobreza vinculada a la insatisfacción de necesidades básicas y factor determinante de desigualdad social (MARÍA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ÁNGELES BENGOECHEA GIL)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3. El discapacitado: Autor y víctima de los delitos (ÁNGEL BRAVO DEL VALLE)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4. Pobreza y negación de los derechos humanos en el ámbito laboral: reflexión sobre la discriminación (FELIPE MIGUEL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CARRASCO FERNÁNDEZ)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5. La vulnerabilidad como valor jurídico-ético para asegurar el «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best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 xml:space="preserve">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interest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>» de los menores: comparación entre el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tribunal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europeo de derechos humanos y el tribunal de justicia de la Unión Europea (ILARIA ANNA COLUSSI)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6. ¿Es la trata de órganos una forma contemporánea de esclavitud? (WALDIMEIRY CORRÊA DA SILVA)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7. Vagancia y pobreza. Una lacra castigada en el siglo de la razón (ALICIA DUÑAITURRIA LAGUARDA)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8. El derecho al libre desarrollo de la personalidad y la libertad reproductiva (AITZIBER EMALDI CIRIÓN)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9. Pobreza, marginalidad y derecho penal: una revisión de la política criminal de las últimas reformas del código penal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(MARÍA SOLEDAD GIL NOBAJAS)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 xml:space="preserve">Capítulo 10. La necesidad material y necesidad espiritual. Reflexiones </w:t>
      </w:r>
      <w:proofErr w:type="spellStart"/>
      <w:r>
        <w:rPr>
          <w:rFonts w:ascii="DroidSerif" w:hAnsi="DroidSerif" w:cs="DroidSerif"/>
          <w:color w:val="00339A"/>
          <w:sz w:val="13"/>
          <w:szCs w:val="13"/>
        </w:rPr>
        <w:t>iusfilosóficas</w:t>
      </w:r>
      <w:proofErr w:type="spellEnd"/>
      <w:r>
        <w:rPr>
          <w:rFonts w:ascii="DroidSerif" w:hAnsi="DroidSerif" w:cs="DroidSerif"/>
          <w:color w:val="00339A"/>
          <w:sz w:val="13"/>
          <w:szCs w:val="13"/>
        </w:rPr>
        <w:t xml:space="preserve"> en torno a la pobreza (MIGUEL GRANDE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YÁÑEZ)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11. El impacto de la crisis económica en la integración social de los inmigrantes en el estado de las autonomías (ELIA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MARZAL YETANO)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12. Impacto de la globalización y el tráfico ilegal de mano de obra en grupos socialmente vulnerables en el contexto de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proofErr w:type="gramStart"/>
      <w:r>
        <w:rPr>
          <w:rFonts w:ascii="DroidSerif" w:hAnsi="DroidSerif" w:cs="DroidSerif"/>
          <w:color w:val="00339A"/>
          <w:sz w:val="13"/>
          <w:szCs w:val="13"/>
        </w:rPr>
        <w:t>crisis</w:t>
      </w:r>
      <w:proofErr w:type="gramEnd"/>
      <w:r>
        <w:rPr>
          <w:rFonts w:ascii="DroidSerif" w:hAnsi="DroidSerif" w:cs="DroidSerif"/>
          <w:color w:val="00339A"/>
          <w:sz w:val="13"/>
          <w:szCs w:val="13"/>
        </w:rPr>
        <w:t xml:space="preserve"> económica (ANTONIO MEGÍAS BAS)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13. El principio de oportunidad reglada: ¿Hacia un nuevo proceso penal? (JOSÉ MARÍA MORALES BRAVO)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14. El derecho, el legislador y el juez: acción y pedagogía frente a la pobreza (JAVIER PÉREZ DUARTE)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15. Empleo y pobreza. El fenómeno de los trabajadores pobres como negación del derecho al trabajo (JOSÉ LUIS REY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PÉREZ)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16. Otras dimensiones sobre la desigualdad del género en el conflicto social y armado interno de Colombia (SARA ISABEL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RUBIANO MURCIA)</w:t>
      </w:r>
    </w:p>
    <w:p w:rsidR="00B33A65" w:rsidRDefault="00B33A65" w:rsidP="00B33A65">
      <w:pPr>
        <w:autoSpaceDE w:val="0"/>
        <w:autoSpaceDN w:val="0"/>
        <w:adjustRightInd w:val="0"/>
        <w:spacing w:after="0" w:line="240" w:lineRule="auto"/>
        <w:rPr>
          <w:rFonts w:ascii="DroidSerif" w:hAnsi="DroidSerif" w:cs="DroidSerif"/>
          <w:color w:val="00339A"/>
          <w:sz w:val="13"/>
          <w:szCs w:val="13"/>
        </w:rPr>
      </w:pPr>
      <w:r>
        <w:rPr>
          <w:rFonts w:ascii="DroidSerif" w:hAnsi="DroidSerif" w:cs="DroidSerif"/>
          <w:color w:val="00339A"/>
          <w:sz w:val="13"/>
          <w:szCs w:val="13"/>
        </w:rPr>
        <w:t>Capítulo 17. La protección del menor desamparado en la España del siglo XIX (BLANCA SÁENZ DE SANTA MARÍA</w:t>
      </w:r>
    </w:p>
    <w:p w:rsidR="000966A3" w:rsidRDefault="00B33A65" w:rsidP="00B33A65">
      <w:r>
        <w:rPr>
          <w:rFonts w:ascii="DroidSerif" w:hAnsi="DroidSerif" w:cs="DroidSerif"/>
          <w:color w:val="00339A"/>
          <w:sz w:val="13"/>
          <w:szCs w:val="13"/>
        </w:rPr>
        <w:t>GÓMEZ-MAMPASO)</w:t>
      </w:r>
    </w:p>
    <w:sectPr w:rsidR="000966A3" w:rsidSect="006634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roid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roidSerif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roid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roidSerif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hyphenationZone w:val="425"/>
  <w:characterSpacingControl w:val="doNotCompress"/>
  <w:compat/>
  <w:rsids>
    <w:rsidRoot w:val="00B33A65"/>
    <w:rsid w:val="000966A3"/>
    <w:rsid w:val="00663444"/>
    <w:rsid w:val="0076271B"/>
    <w:rsid w:val="00825776"/>
    <w:rsid w:val="00B33A65"/>
    <w:rsid w:val="00BB4C44"/>
    <w:rsid w:val="00C45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44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1909</Words>
  <Characters>10504</Characters>
  <Application>Microsoft Office Word</Application>
  <DocSecurity>0</DocSecurity>
  <Lines>87</Lines>
  <Paragraphs>24</Paragraphs>
  <ScaleCrop>false</ScaleCrop>
  <Company/>
  <LinksUpToDate>false</LinksUpToDate>
  <CharactersWithSpaces>12389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lmendez</dc:creator>
  <cp:lastModifiedBy>lmendez</cp:lastModifiedBy>
  <cp:revision>1</cp:revision>
  <dcterms:created xsi:type="dcterms:W3CDTF">2016-10-10T16:08:00Z</dcterms:created>
  <dcterms:modified xsi:type="dcterms:W3CDTF">2016-10-10T16:08:00Z</dcterms:modified>
</cp:coreProperties>
</file>