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854" w:rsidRDefault="00EB5854">
      <w:hyperlink r:id="rId4" w:history="1">
        <w:r>
          <w:rPr>
            <w:rStyle w:val="Hipervnculo"/>
          </w:rPr>
          <w:t>https://www.dyna-management.com/search-content-2/new-models-for-assessing-performance-and-salary-implications-in-infrastructure-companies</w:t>
        </w:r>
      </w:hyperlink>
    </w:p>
    <w:p w:rsidR="00EB5854" w:rsidRDefault="00EB5854">
      <w:bookmarkStart w:id="0" w:name="_GoBack"/>
      <w:bookmarkEnd w:id="0"/>
    </w:p>
    <w:sectPr w:rsidR="00EB58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854"/>
    <w:rsid w:val="00EB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6F4D4"/>
  <w15:chartTrackingRefBased/>
  <w15:docId w15:val="{48782444-E82F-43ED-989F-3D8FD1DC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B58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yna-management.com/search-content-2/new-models-for-assessing-performance-and-salary-implications-in-infrastructure-compani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248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2019-10-18T14:20:00Z</dcterms:created>
  <dcterms:modified xsi:type="dcterms:W3CDTF">2019-10-18T14:20:00Z</dcterms:modified>
</cp:coreProperties>
</file>