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sz w:val="44"/>
          <w:szCs w:val="44"/>
        </w:rPr>
        <w:id w:val="2047097784"/>
        <w:docPartObj>
          <w:docPartGallery w:val="Cover Pages"/>
          <w:docPartUnique/>
        </w:docPartObj>
      </w:sdtPr>
      <w:sdtEndPr>
        <w:rPr>
          <w:rFonts w:asciiTheme="minorHAnsi" w:hAnsiTheme="minorHAnsi"/>
          <w:sz w:val="22"/>
          <w:szCs w:val="22"/>
          <w:highlight w:val="cyan"/>
        </w:rPr>
      </w:sdtEndPr>
      <w:sdtContent>
        <w:p w14:paraId="72177D54" w14:textId="68E52A22" w:rsidR="00CC0043" w:rsidRPr="007A7C6B" w:rsidRDefault="00CC0043">
          <w:pPr>
            <w:spacing w:line="360" w:lineRule="auto"/>
            <w:jc w:val="center"/>
            <w:rPr>
              <w:rFonts w:ascii="Times New Roman" w:hAnsi="Times New Roman"/>
              <w:sz w:val="44"/>
              <w:szCs w:val="44"/>
            </w:rPr>
          </w:pPr>
          <w:r w:rsidRPr="007A7C6B">
            <w:rPr>
              <w:rFonts w:ascii="Times New Roman" w:hAnsi="Times New Roman"/>
              <w:noProof/>
              <w:sz w:val="44"/>
              <w:szCs w:val="44"/>
            </w:rPr>
            <w:drawing>
              <wp:anchor distT="0" distB="0" distL="114300" distR="114300" simplePos="0" relativeHeight="251659264" behindDoc="0" locked="0" layoutInCell="1" allowOverlap="1" wp14:anchorId="79DDFFF0" wp14:editId="54B099CA">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7A7C6B">
            <w:rPr>
              <w:rFonts w:ascii="Times New Roman" w:hAnsi="Times New Roman"/>
              <w:sz w:val="44"/>
              <w:szCs w:val="44"/>
            </w:rPr>
            <w:t>FACULTAD DE CIENCIAS HUMANAS Y SOCIALES</w:t>
          </w:r>
        </w:p>
        <w:p w14:paraId="0A2FF502" w14:textId="77777777" w:rsidR="00CC0043" w:rsidRPr="007A7C6B" w:rsidRDefault="00CC0043">
          <w:pPr>
            <w:spacing w:line="360" w:lineRule="auto"/>
            <w:jc w:val="center"/>
            <w:rPr>
              <w:rFonts w:ascii="Times New Roman" w:hAnsi="Times New Roman"/>
              <w:sz w:val="48"/>
              <w:szCs w:val="48"/>
            </w:rPr>
          </w:pPr>
        </w:p>
        <w:p w14:paraId="0550D075" w14:textId="77777777" w:rsidR="001D7397" w:rsidRDefault="001D7397">
          <w:pPr>
            <w:spacing w:line="360" w:lineRule="auto"/>
            <w:jc w:val="center"/>
            <w:rPr>
              <w:rFonts w:ascii="Times New Roman" w:hAnsi="Times New Roman"/>
              <w:b/>
              <w:sz w:val="36"/>
              <w:szCs w:val="36"/>
            </w:rPr>
          </w:pPr>
          <w:r w:rsidRPr="001D7397">
            <w:rPr>
              <w:rFonts w:ascii="Times New Roman" w:hAnsi="Times New Roman"/>
              <w:b/>
              <w:sz w:val="36"/>
              <w:szCs w:val="36"/>
            </w:rPr>
            <w:t>Bases neuropsicológico de la agresividad y la psicopatía e implicaciones psico-legales</w:t>
          </w:r>
        </w:p>
        <w:p w14:paraId="15EC2D5A" w14:textId="774F5539" w:rsidR="00CC0043" w:rsidRPr="007A7C6B" w:rsidRDefault="00CC0043">
          <w:pPr>
            <w:spacing w:line="360" w:lineRule="auto"/>
            <w:jc w:val="center"/>
            <w:rPr>
              <w:rFonts w:ascii="Times New Roman" w:hAnsi="Times New Roman"/>
              <w:sz w:val="36"/>
              <w:szCs w:val="36"/>
            </w:rPr>
          </w:pPr>
          <w:r w:rsidRPr="007A7C6B">
            <w:rPr>
              <w:rFonts w:ascii="Times New Roman" w:hAnsi="Times New Roman"/>
              <w:sz w:val="36"/>
              <w:szCs w:val="36"/>
            </w:rPr>
            <w:t>Autor/a:</w:t>
          </w:r>
          <w:r w:rsidR="00FB3406" w:rsidRPr="007A7C6B">
            <w:rPr>
              <w:rFonts w:ascii="Times New Roman" w:hAnsi="Times New Roman"/>
              <w:sz w:val="36"/>
              <w:szCs w:val="36"/>
            </w:rPr>
            <w:t xml:space="preserve"> Marta Provencio </w:t>
          </w:r>
          <w:r w:rsidR="00ED3039" w:rsidRPr="007A7C6B">
            <w:rPr>
              <w:rFonts w:ascii="Times New Roman" w:hAnsi="Times New Roman"/>
              <w:sz w:val="36"/>
              <w:szCs w:val="36"/>
            </w:rPr>
            <w:t>Martín</w:t>
          </w:r>
        </w:p>
        <w:p w14:paraId="20948DE5" w14:textId="590CE967" w:rsidR="00CC0043" w:rsidRPr="007A7C6B" w:rsidRDefault="00CC0043">
          <w:pPr>
            <w:spacing w:line="360" w:lineRule="auto"/>
            <w:jc w:val="center"/>
            <w:rPr>
              <w:rFonts w:ascii="Times New Roman" w:hAnsi="Times New Roman"/>
              <w:sz w:val="36"/>
              <w:szCs w:val="36"/>
            </w:rPr>
          </w:pPr>
          <w:r w:rsidRPr="007A7C6B">
            <w:rPr>
              <w:rFonts w:ascii="Times New Roman" w:hAnsi="Times New Roman"/>
              <w:sz w:val="36"/>
              <w:szCs w:val="36"/>
            </w:rPr>
            <w:t>Director/a:</w:t>
          </w:r>
          <w:r w:rsidR="00ED3039" w:rsidRPr="007A7C6B">
            <w:rPr>
              <w:rFonts w:ascii="Times New Roman" w:hAnsi="Times New Roman"/>
              <w:sz w:val="36"/>
              <w:szCs w:val="36"/>
            </w:rPr>
            <w:t xml:space="preserve"> Víctor Dujo</w:t>
          </w:r>
        </w:p>
        <w:p w14:paraId="7E144681" w14:textId="77777777" w:rsidR="00CC0043" w:rsidRPr="007A7C6B" w:rsidRDefault="00CC0043">
          <w:pPr>
            <w:spacing w:line="360" w:lineRule="auto"/>
            <w:jc w:val="center"/>
            <w:rPr>
              <w:rFonts w:ascii="Times New Roman" w:hAnsi="Times New Roman"/>
              <w:sz w:val="36"/>
              <w:szCs w:val="36"/>
            </w:rPr>
          </w:pPr>
        </w:p>
        <w:p w14:paraId="6AE1CB88" w14:textId="77777777" w:rsidR="00CC0043" w:rsidRPr="007A7C6B" w:rsidRDefault="00CC0043">
          <w:pPr>
            <w:spacing w:line="360" w:lineRule="auto"/>
            <w:jc w:val="center"/>
            <w:rPr>
              <w:rFonts w:ascii="Times New Roman" w:hAnsi="Times New Roman"/>
              <w:sz w:val="36"/>
              <w:szCs w:val="36"/>
            </w:rPr>
          </w:pPr>
          <w:r w:rsidRPr="007A7C6B">
            <w:rPr>
              <w:rFonts w:ascii="Times New Roman" w:hAnsi="Times New Roman"/>
              <w:sz w:val="36"/>
              <w:szCs w:val="36"/>
            </w:rPr>
            <w:t>Madrid</w:t>
          </w:r>
        </w:p>
        <w:p w14:paraId="734A063B" w14:textId="77777777" w:rsidR="00CC0043" w:rsidRPr="007A7C6B" w:rsidRDefault="00CC0043">
          <w:pPr>
            <w:spacing w:line="360" w:lineRule="auto"/>
            <w:jc w:val="center"/>
            <w:rPr>
              <w:rFonts w:ascii="Times New Roman" w:hAnsi="Times New Roman"/>
              <w:sz w:val="36"/>
              <w:szCs w:val="36"/>
            </w:rPr>
          </w:pPr>
          <w:r w:rsidRPr="007A7C6B">
            <w:rPr>
              <w:rFonts w:ascii="Times New Roman" w:hAnsi="Times New Roman"/>
              <w:sz w:val="36"/>
              <w:szCs w:val="36"/>
            </w:rPr>
            <w:t>2019/2020</w:t>
          </w:r>
        </w:p>
        <w:p w14:paraId="5C7E3DD8" w14:textId="31834212" w:rsidR="00CC0043" w:rsidRPr="007A7C6B" w:rsidRDefault="00CC0043" w:rsidP="00374089">
          <w:pPr>
            <w:spacing w:line="360" w:lineRule="auto"/>
            <w:jc w:val="center"/>
            <w:rPr>
              <w:highlight w:val="cyan"/>
            </w:rPr>
          </w:pPr>
          <w:r w:rsidRPr="007A7C6B">
            <w:rPr>
              <w:highlight w:val="cyan"/>
            </w:rPr>
            <w:br w:type="page"/>
          </w:r>
        </w:p>
      </w:sdtContent>
    </w:sdt>
    <w:p w14:paraId="6920E058" w14:textId="56375FC4" w:rsidR="00AE5EA9" w:rsidRDefault="00231A5F" w:rsidP="00C031EF">
      <w:pPr>
        <w:spacing w:line="360" w:lineRule="auto"/>
        <w:jc w:val="both"/>
        <w:rPr>
          <w:sz w:val="24"/>
          <w:szCs w:val="24"/>
        </w:rPr>
      </w:pPr>
      <w:r w:rsidRPr="0001659F">
        <w:rPr>
          <w:b/>
          <w:bCs/>
          <w:sz w:val="24"/>
          <w:szCs w:val="24"/>
        </w:rPr>
        <w:lastRenderedPageBreak/>
        <w:t>RESUMEN</w:t>
      </w:r>
      <w:r>
        <w:rPr>
          <w:sz w:val="24"/>
          <w:szCs w:val="24"/>
        </w:rPr>
        <w:t xml:space="preserve">: </w:t>
      </w:r>
      <w:r w:rsidR="00505F9A" w:rsidRPr="00505F9A">
        <w:rPr>
          <w:sz w:val="24"/>
          <w:szCs w:val="24"/>
        </w:rPr>
        <w:t xml:space="preserve">Este trabajo examina tanto las bases neuropsicológicas de la agresividad como la psicopatía y las implicaciones psico-legales que tiene en el contexto jurídico español. </w:t>
      </w:r>
      <w:r w:rsidR="00AE5EA9" w:rsidRPr="00505F9A">
        <w:rPr>
          <w:sz w:val="24"/>
          <w:szCs w:val="24"/>
        </w:rPr>
        <w:t xml:space="preserve">La </w:t>
      </w:r>
      <w:r w:rsidR="00AE5EA9">
        <w:rPr>
          <w:sz w:val="24"/>
          <w:szCs w:val="24"/>
        </w:rPr>
        <w:t xml:space="preserve">agresividad y la </w:t>
      </w:r>
      <w:r w:rsidR="00AE5EA9" w:rsidRPr="00505F9A">
        <w:rPr>
          <w:sz w:val="24"/>
          <w:szCs w:val="24"/>
        </w:rPr>
        <w:t>vio</w:t>
      </w:r>
      <w:r w:rsidR="00AE5EA9">
        <w:rPr>
          <w:sz w:val="24"/>
          <w:szCs w:val="24"/>
        </w:rPr>
        <w:t xml:space="preserve">lencia son conceptos semejantes pero su principal diferencia radica en que la primera tiene una función adaptativa mientras que la segunda no. </w:t>
      </w:r>
      <w:r w:rsidR="00731833">
        <w:rPr>
          <w:sz w:val="24"/>
          <w:szCs w:val="24"/>
        </w:rPr>
        <w:t xml:space="preserve">Las bases biológicas de la agresividad han sido numerosamente estudiadas, </w:t>
      </w:r>
      <w:r w:rsidR="0029035F">
        <w:rPr>
          <w:sz w:val="24"/>
          <w:szCs w:val="24"/>
        </w:rPr>
        <w:t xml:space="preserve">tanto a nivel hormonal como cerebral, estudiándose funcional y anatómicamente. La presencia de sujetos </w:t>
      </w:r>
      <w:r w:rsidR="007C1E90">
        <w:rPr>
          <w:sz w:val="24"/>
          <w:szCs w:val="24"/>
        </w:rPr>
        <w:t>psicópatas</w:t>
      </w:r>
      <w:r w:rsidR="00427C10">
        <w:rPr>
          <w:sz w:val="24"/>
          <w:szCs w:val="24"/>
        </w:rPr>
        <w:t xml:space="preserve"> que cometen este tipo de conductas ha abierto nuevas áreas de </w:t>
      </w:r>
      <w:r w:rsidR="007C1E90">
        <w:rPr>
          <w:sz w:val="24"/>
          <w:szCs w:val="24"/>
        </w:rPr>
        <w:t>investigación</w:t>
      </w:r>
      <w:r w:rsidR="00427C10">
        <w:rPr>
          <w:sz w:val="24"/>
          <w:szCs w:val="24"/>
        </w:rPr>
        <w:t xml:space="preserve"> que se han centrado en analizar, desde la </w:t>
      </w:r>
      <w:r w:rsidR="007C1E90">
        <w:rPr>
          <w:sz w:val="24"/>
          <w:szCs w:val="24"/>
        </w:rPr>
        <w:t>neuroimagen</w:t>
      </w:r>
      <w:r w:rsidR="00427C10">
        <w:rPr>
          <w:sz w:val="24"/>
          <w:szCs w:val="24"/>
        </w:rPr>
        <w:t xml:space="preserve">, la presencia de </w:t>
      </w:r>
      <w:r w:rsidR="007C1E90">
        <w:rPr>
          <w:sz w:val="24"/>
          <w:szCs w:val="24"/>
        </w:rPr>
        <w:t>déficits</w:t>
      </w:r>
      <w:r w:rsidR="00427C10">
        <w:rPr>
          <w:sz w:val="24"/>
          <w:szCs w:val="24"/>
        </w:rPr>
        <w:t xml:space="preserve"> tanto anatómicos como funcionales que expliquen el comportamiento de dichos sujetos. Este tipo de estudios han abierto también el debate de si esta presencia de </w:t>
      </w:r>
      <w:r w:rsidR="007C1E90">
        <w:rPr>
          <w:sz w:val="24"/>
          <w:szCs w:val="24"/>
        </w:rPr>
        <w:t>déficits</w:t>
      </w:r>
      <w:r w:rsidR="00427C10">
        <w:rPr>
          <w:sz w:val="24"/>
          <w:szCs w:val="24"/>
        </w:rPr>
        <w:t xml:space="preserve"> podrían ser empleados en juicios como prueba de la presencia de </w:t>
      </w:r>
      <w:r w:rsidR="007C1E90">
        <w:rPr>
          <w:sz w:val="24"/>
          <w:szCs w:val="24"/>
        </w:rPr>
        <w:t>anomalía</w:t>
      </w:r>
      <w:r w:rsidR="00427C10">
        <w:rPr>
          <w:sz w:val="24"/>
          <w:szCs w:val="24"/>
        </w:rPr>
        <w:t xml:space="preserve"> física con el fin de </w:t>
      </w:r>
      <w:r w:rsidR="00C031EF">
        <w:rPr>
          <w:sz w:val="24"/>
          <w:szCs w:val="24"/>
        </w:rPr>
        <w:t xml:space="preserve">poder considerar la aplicación o no de eximentes. </w:t>
      </w:r>
      <w:r w:rsidR="00AE5EA9">
        <w:rPr>
          <w:sz w:val="24"/>
          <w:szCs w:val="24"/>
        </w:rPr>
        <w:t>La Doctrina penal española</w:t>
      </w:r>
      <w:r w:rsidR="00DA4145">
        <w:rPr>
          <w:sz w:val="24"/>
          <w:szCs w:val="24"/>
        </w:rPr>
        <w:t>, a pesar de que señala la tendencia a considerar al sujeto psicópata imputable,</w:t>
      </w:r>
      <w:r w:rsidR="00AE5EA9">
        <w:rPr>
          <w:sz w:val="24"/>
          <w:szCs w:val="24"/>
        </w:rPr>
        <w:t xml:space="preserve"> no ha establecido una regla general a la hora de tratar la psicopatía en los tribunales, </w:t>
      </w:r>
      <w:r w:rsidR="00C031EF">
        <w:rPr>
          <w:sz w:val="24"/>
          <w:szCs w:val="24"/>
        </w:rPr>
        <w:t>siendo valorada de forma individualizada la relación entre la psicopatología con el hecho delictivo a</w:t>
      </w:r>
      <w:r w:rsidR="00DA4145">
        <w:rPr>
          <w:sz w:val="24"/>
          <w:szCs w:val="24"/>
        </w:rPr>
        <w:t xml:space="preserve"> </w:t>
      </w:r>
      <w:r w:rsidR="00C031EF">
        <w:rPr>
          <w:sz w:val="24"/>
          <w:szCs w:val="24"/>
        </w:rPr>
        <w:t>la hora de determinar la pena a imponer</w:t>
      </w:r>
      <w:r w:rsidR="007C1E90">
        <w:rPr>
          <w:sz w:val="24"/>
          <w:szCs w:val="24"/>
        </w:rPr>
        <w:t xml:space="preserve">, tanto sí es privativa de libertad como la aplicación de medidas de seguridad. </w:t>
      </w:r>
    </w:p>
    <w:p w14:paraId="5CA5E5CE" w14:textId="76E5496A" w:rsidR="00231A5F" w:rsidRDefault="00231A5F" w:rsidP="00C031EF">
      <w:pPr>
        <w:spacing w:line="360" w:lineRule="auto"/>
        <w:jc w:val="both"/>
        <w:rPr>
          <w:sz w:val="24"/>
          <w:szCs w:val="24"/>
        </w:rPr>
      </w:pPr>
      <w:r>
        <w:rPr>
          <w:b/>
          <w:bCs/>
          <w:sz w:val="24"/>
          <w:szCs w:val="24"/>
        </w:rPr>
        <w:t xml:space="preserve">PALABRAS CLAVE: </w:t>
      </w:r>
      <w:r>
        <w:rPr>
          <w:sz w:val="24"/>
          <w:szCs w:val="24"/>
        </w:rPr>
        <w:t>agresividad, neuropsicología, psicopatía, jurisprudencia.</w:t>
      </w:r>
    </w:p>
    <w:p w14:paraId="62ED9074" w14:textId="77777777" w:rsidR="000B0D49" w:rsidRPr="0001659F" w:rsidRDefault="000B0D49" w:rsidP="000B0D49">
      <w:pPr>
        <w:spacing w:line="360" w:lineRule="auto"/>
        <w:jc w:val="both"/>
        <w:rPr>
          <w:sz w:val="24"/>
          <w:szCs w:val="24"/>
          <w:lang w:val="en-US"/>
        </w:rPr>
      </w:pPr>
      <w:r w:rsidRPr="0001659F">
        <w:rPr>
          <w:b/>
          <w:bCs/>
          <w:sz w:val="24"/>
          <w:szCs w:val="24"/>
          <w:lang w:val="en-US"/>
        </w:rPr>
        <w:t>ABSTRACT:</w:t>
      </w:r>
      <w:r w:rsidRPr="0001659F">
        <w:rPr>
          <w:lang w:val="en-US"/>
        </w:rPr>
        <w:t xml:space="preserve"> </w:t>
      </w:r>
      <w:r w:rsidRPr="0001659F">
        <w:rPr>
          <w:sz w:val="24"/>
          <w:szCs w:val="24"/>
          <w:lang w:val="en-US"/>
        </w:rPr>
        <w:t>This paper aims to examine the neuropsychological bases of aggressiveness, psychopathy and the psycho-legal implications in the Spanish legal context. Aggression and violence are similar concepts, but their main difference is</w:t>
      </w:r>
      <w:r>
        <w:rPr>
          <w:sz w:val="24"/>
          <w:szCs w:val="24"/>
          <w:lang w:val="en-US"/>
        </w:rPr>
        <w:t xml:space="preserve"> that</w:t>
      </w:r>
      <w:r w:rsidRPr="0001659F">
        <w:rPr>
          <w:sz w:val="24"/>
          <w:szCs w:val="24"/>
          <w:lang w:val="en-US"/>
        </w:rPr>
        <w:t xml:space="preserve"> aggression has an adaptive function while violence not. The biological bases of aggressiveness have been extensively studied, both </w:t>
      </w:r>
      <w:r>
        <w:rPr>
          <w:sz w:val="24"/>
          <w:szCs w:val="24"/>
          <w:lang w:val="en-US"/>
        </w:rPr>
        <w:t xml:space="preserve">at </w:t>
      </w:r>
      <w:r w:rsidRPr="0001659F">
        <w:rPr>
          <w:sz w:val="24"/>
          <w:szCs w:val="24"/>
          <w:lang w:val="en-US"/>
        </w:rPr>
        <w:t>hormonally a</w:t>
      </w:r>
      <w:r>
        <w:rPr>
          <w:sz w:val="24"/>
          <w:szCs w:val="24"/>
          <w:lang w:val="en-US"/>
        </w:rPr>
        <w:t>nd</w:t>
      </w:r>
      <w:r w:rsidRPr="0001659F">
        <w:rPr>
          <w:sz w:val="24"/>
          <w:szCs w:val="24"/>
          <w:lang w:val="en-US"/>
        </w:rPr>
        <w:t xml:space="preserve"> cerebral level, functionally and anatomically. The presence of psychopaths who behave aggressively and violently has opened new areas of research that have focused on analyzing the presence of anatomical and functional deficits that explain the behavior of these subjects. These types of studies have also opened the debate on whether this presence of deficits could be used in trials as evidence of the presence of physical abnormality in order to be able to consider the application or not of exemptions. The Spanish Criminal Doctrine, despite pointing out the tendency to consider the person to be a chargeable psychopath, has not established a general rule </w:t>
      </w:r>
      <w:r>
        <w:rPr>
          <w:sz w:val="24"/>
          <w:szCs w:val="24"/>
          <w:lang w:val="en-US"/>
        </w:rPr>
        <w:t>regarding the treatment of</w:t>
      </w:r>
      <w:r w:rsidRPr="0001659F">
        <w:rPr>
          <w:sz w:val="24"/>
          <w:szCs w:val="24"/>
          <w:lang w:val="en-US"/>
        </w:rPr>
        <w:t xml:space="preserve"> psychopathy in court, the relationship between psychopathology and the criminal act being assessed individually</w:t>
      </w:r>
      <w:r>
        <w:rPr>
          <w:sz w:val="24"/>
          <w:szCs w:val="24"/>
          <w:lang w:val="en-US"/>
        </w:rPr>
        <w:t xml:space="preserve"> w</w:t>
      </w:r>
      <w:r w:rsidRPr="0001659F">
        <w:rPr>
          <w:sz w:val="24"/>
          <w:szCs w:val="24"/>
          <w:lang w:val="en-US"/>
        </w:rPr>
        <w:t xml:space="preserve">hen </w:t>
      </w:r>
      <w:r w:rsidRPr="0001659F">
        <w:rPr>
          <w:sz w:val="24"/>
          <w:szCs w:val="24"/>
          <w:lang w:val="en-US"/>
        </w:rPr>
        <w:lastRenderedPageBreak/>
        <w:t>determining the penalty to be imposed, it is both custodial and the application of security measures.</w:t>
      </w:r>
    </w:p>
    <w:p w14:paraId="08051C48" w14:textId="6668CC52" w:rsidR="00C86A5B" w:rsidRPr="0001659F" w:rsidRDefault="00C86A5B" w:rsidP="00C86A5B">
      <w:pPr>
        <w:rPr>
          <w:b/>
          <w:bCs/>
          <w:sz w:val="24"/>
          <w:szCs w:val="24"/>
          <w:lang w:val="en-US"/>
        </w:rPr>
      </w:pPr>
      <w:r w:rsidRPr="0001659F">
        <w:rPr>
          <w:b/>
          <w:bCs/>
          <w:sz w:val="24"/>
          <w:szCs w:val="24"/>
          <w:lang w:val="en-US"/>
        </w:rPr>
        <w:t xml:space="preserve">KEYWORDS: </w:t>
      </w:r>
      <w:r w:rsidRPr="0001659F">
        <w:rPr>
          <w:sz w:val="24"/>
          <w:szCs w:val="24"/>
          <w:lang w:val="en-US"/>
        </w:rPr>
        <w:t>aggressiveness, neuropsychology, psychopathy, jurisprudence.</w:t>
      </w:r>
    </w:p>
    <w:p w14:paraId="632734EF" w14:textId="471AB399" w:rsidR="00C86A5B" w:rsidRPr="0001659F" w:rsidRDefault="00C86A5B" w:rsidP="00C031EF">
      <w:pPr>
        <w:spacing w:line="360" w:lineRule="auto"/>
        <w:jc w:val="both"/>
        <w:rPr>
          <w:b/>
          <w:bCs/>
          <w:sz w:val="24"/>
          <w:szCs w:val="24"/>
          <w:lang w:val="en-US"/>
        </w:rPr>
      </w:pPr>
    </w:p>
    <w:p w14:paraId="6C4487DC" w14:textId="07B6211C" w:rsidR="00A025DC" w:rsidRPr="007A7C6B" w:rsidRDefault="00A025DC">
      <w:pPr>
        <w:pStyle w:val="Ttulo1"/>
        <w:spacing w:line="360" w:lineRule="auto"/>
        <w:jc w:val="both"/>
        <w:rPr>
          <w:b/>
          <w:bCs/>
          <w:color w:val="auto"/>
          <w:sz w:val="24"/>
          <w:szCs w:val="24"/>
        </w:rPr>
      </w:pPr>
      <w:r w:rsidRPr="007A7C6B">
        <w:rPr>
          <w:b/>
          <w:bCs/>
          <w:color w:val="auto"/>
        </w:rPr>
        <w:t xml:space="preserve">Introducción </w:t>
      </w:r>
    </w:p>
    <w:p w14:paraId="08589BA7" w14:textId="696EB9FE" w:rsidR="00AC6AE3" w:rsidRPr="007A7C6B" w:rsidRDefault="00CB48DD">
      <w:pPr>
        <w:spacing w:line="360" w:lineRule="auto"/>
        <w:ind w:firstLine="360"/>
        <w:jc w:val="both"/>
        <w:rPr>
          <w:sz w:val="24"/>
          <w:szCs w:val="24"/>
        </w:rPr>
      </w:pPr>
      <w:r w:rsidRPr="007A7C6B">
        <w:rPr>
          <w:sz w:val="24"/>
          <w:szCs w:val="24"/>
        </w:rPr>
        <w:t xml:space="preserve">Aunque la violencia y la agresividad </w:t>
      </w:r>
      <w:r w:rsidR="003444C8" w:rsidRPr="007A7C6B">
        <w:rPr>
          <w:sz w:val="24"/>
          <w:szCs w:val="24"/>
        </w:rPr>
        <w:t xml:space="preserve">pueden parecer términos complementarios, no son dos términos sinónimos. </w:t>
      </w:r>
      <w:r w:rsidR="00AC6AE3" w:rsidRPr="007A7C6B">
        <w:rPr>
          <w:sz w:val="24"/>
          <w:szCs w:val="24"/>
        </w:rPr>
        <w:t>La violencia es un fenómeno multicausal que ha sido estudiado por numerosas disciplinas y que vas allá de las funciones adaptativas de la especie</w:t>
      </w:r>
      <w:r w:rsidR="001D763F" w:rsidRPr="007A7C6B">
        <w:rPr>
          <w:sz w:val="24"/>
          <w:szCs w:val="24"/>
        </w:rPr>
        <w:t xml:space="preserve"> (Sta</w:t>
      </w:r>
      <w:r w:rsidR="00A96C8D">
        <w:rPr>
          <w:sz w:val="24"/>
          <w:szCs w:val="24"/>
        </w:rPr>
        <w:t>h</w:t>
      </w:r>
      <w:r w:rsidR="001D763F" w:rsidRPr="007A7C6B">
        <w:rPr>
          <w:sz w:val="24"/>
          <w:szCs w:val="24"/>
        </w:rPr>
        <w:t>l, 2</w:t>
      </w:r>
      <w:r w:rsidR="001D7397">
        <w:rPr>
          <w:sz w:val="24"/>
          <w:szCs w:val="24"/>
        </w:rPr>
        <w:t>0</w:t>
      </w:r>
      <w:r w:rsidR="001D763F" w:rsidRPr="007A7C6B">
        <w:rPr>
          <w:sz w:val="24"/>
          <w:szCs w:val="24"/>
        </w:rPr>
        <w:t>14)</w:t>
      </w:r>
      <w:r w:rsidR="00AC6AE3" w:rsidRPr="007A7C6B">
        <w:rPr>
          <w:sz w:val="24"/>
          <w:szCs w:val="24"/>
        </w:rPr>
        <w:t xml:space="preserve">. Mientras que la agresividad </w:t>
      </w:r>
      <w:r w:rsidR="001D763F" w:rsidRPr="007A7C6B">
        <w:rPr>
          <w:sz w:val="24"/>
          <w:szCs w:val="24"/>
        </w:rPr>
        <w:t>es una energía que cumple una función de supervivencia basada en la</w:t>
      </w:r>
      <w:r w:rsidR="003444C8" w:rsidRPr="007A7C6B">
        <w:rPr>
          <w:sz w:val="24"/>
          <w:szCs w:val="24"/>
        </w:rPr>
        <w:t>s</w:t>
      </w:r>
      <w:r w:rsidR="001D763F" w:rsidRPr="007A7C6B">
        <w:rPr>
          <w:sz w:val="24"/>
          <w:szCs w:val="24"/>
        </w:rPr>
        <w:t xml:space="preserve"> respuestas de defens</w:t>
      </w:r>
      <w:r w:rsidR="003444C8" w:rsidRPr="007A7C6B">
        <w:rPr>
          <w:sz w:val="24"/>
          <w:szCs w:val="24"/>
        </w:rPr>
        <w:t>a</w:t>
      </w:r>
      <w:r w:rsidR="001D763F" w:rsidRPr="007A7C6B">
        <w:rPr>
          <w:sz w:val="24"/>
          <w:szCs w:val="24"/>
        </w:rPr>
        <w:t xml:space="preserve"> y huida, la violencia es una conducta aprendida que ha perdido su valor adaptativo, asociándose a disfunciones de los sistemas </w:t>
      </w:r>
      <w:r w:rsidR="003444C8" w:rsidRPr="007A7C6B">
        <w:rPr>
          <w:sz w:val="24"/>
          <w:szCs w:val="24"/>
        </w:rPr>
        <w:t>de control e inhibición</w:t>
      </w:r>
      <w:r w:rsidR="001D763F" w:rsidRPr="007A7C6B">
        <w:rPr>
          <w:sz w:val="24"/>
          <w:szCs w:val="24"/>
        </w:rPr>
        <w:t xml:space="preserve"> de la agresión (Anderson y Bushman, 200</w:t>
      </w:r>
      <w:r w:rsidR="00116C59">
        <w:rPr>
          <w:sz w:val="24"/>
          <w:szCs w:val="24"/>
        </w:rPr>
        <w:t>1</w:t>
      </w:r>
      <w:r w:rsidR="001D763F" w:rsidRPr="007A7C6B">
        <w:rPr>
          <w:sz w:val="24"/>
          <w:szCs w:val="24"/>
        </w:rPr>
        <w:t>). La violencia, como conducta aprendid</w:t>
      </w:r>
      <w:r w:rsidR="00594D93">
        <w:rPr>
          <w:sz w:val="24"/>
          <w:szCs w:val="24"/>
        </w:rPr>
        <w:t>a</w:t>
      </w:r>
      <w:r w:rsidR="001D763F" w:rsidRPr="007A7C6B">
        <w:rPr>
          <w:sz w:val="24"/>
          <w:szCs w:val="24"/>
        </w:rPr>
        <w:t>, est</w:t>
      </w:r>
      <w:r w:rsidR="00594D93">
        <w:rPr>
          <w:sz w:val="24"/>
          <w:szCs w:val="24"/>
        </w:rPr>
        <w:t>á</w:t>
      </w:r>
      <w:r w:rsidR="001D763F" w:rsidRPr="007A7C6B">
        <w:rPr>
          <w:sz w:val="24"/>
          <w:szCs w:val="24"/>
        </w:rPr>
        <w:t xml:space="preserve"> modulada por factores culturales</w:t>
      </w:r>
      <w:r w:rsidR="00594D93">
        <w:rPr>
          <w:sz w:val="24"/>
          <w:szCs w:val="24"/>
        </w:rPr>
        <w:t xml:space="preserve">, </w:t>
      </w:r>
      <w:r w:rsidR="001D763F" w:rsidRPr="007A7C6B">
        <w:rPr>
          <w:sz w:val="24"/>
          <w:szCs w:val="24"/>
        </w:rPr>
        <w:t>sociales y ambientales e integra en su definición la finalidad de dañar</w:t>
      </w:r>
      <w:r w:rsidR="00276EC3">
        <w:rPr>
          <w:sz w:val="24"/>
          <w:szCs w:val="24"/>
        </w:rPr>
        <w:t>,</w:t>
      </w:r>
      <w:r w:rsidR="003444C8" w:rsidRPr="007A7C6B">
        <w:rPr>
          <w:sz w:val="24"/>
          <w:szCs w:val="24"/>
        </w:rPr>
        <w:t xml:space="preserve"> inexistente en el mundo animal</w:t>
      </w:r>
      <w:r w:rsidR="001D763F" w:rsidRPr="007A7C6B">
        <w:rPr>
          <w:sz w:val="24"/>
          <w:szCs w:val="24"/>
        </w:rPr>
        <w:t xml:space="preserve"> (Daly y Wilson, 2003).</w:t>
      </w:r>
    </w:p>
    <w:p w14:paraId="6E585019" w14:textId="73192D94" w:rsidR="00CC0043" w:rsidRPr="007A7C6B" w:rsidRDefault="00EC3AF9">
      <w:pPr>
        <w:spacing w:line="360" w:lineRule="auto"/>
        <w:jc w:val="both"/>
        <w:rPr>
          <w:sz w:val="24"/>
          <w:szCs w:val="24"/>
        </w:rPr>
      </w:pPr>
      <w:r w:rsidRPr="007A7C6B">
        <w:rPr>
          <w:sz w:val="24"/>
          <w:szCs w:val="24"/>
        </w:rPr>
        <w:t xml:space="preserve">La conducta agresiva no es exclusiva del comportamiento humano adulto, </w:t>
      </w:r>
      <w:r w:rsidR="00CB427A" w:rsidRPr="007A7C6B">
        <w:rPr>
          <w:sz w:val="24"/>
          <w:szCs w:val="24"/>
        </w:rPr>
        <w:t xml:space="preserve">también es </w:t>
      </w:r>
      <w:r w:rsidR="00CC0043" w:rsidRPr="007A7C6B">
        <w:rPr>
          <w:sz w:val="24"/>
          <w:szCs w:val="24"/>
        </w:rPr>
        <w:t>observa</w:t>
      </w:r>
      <w:r w:rsidR="00CB427A" w:rsidRPr="007A7C6B">
        <w:rPr>
          <w:sz w:val="24"/>
          <w:szCs w:val="24"/>
        </w:rPr>
        <w:t>ble</w:t>
      </w:r>
      <w:r w:rsidR="00CC0043" w:rsidRPr="007A7C6B">
        <w:rPr>
          <w:sz w:val="24"/>
          <w:szCs w:val="24"/>
        </w:rPr>
        <w:t xml:space="preserve"> en el comportamiento animal, </w:t>
      </w:r>
      <w:r w:rsidR="00CB427A" w:rsidRPr="007A7C6B">
        <w:rPr>
          <w:sz w:val="24"/>
          <w:szCs w:val="24"/>
        </w:rPr>
        <w:t xml:space="preserve">y esta </w:t>
      </w:r>
      <w:r w:rsidR="00CC0043" w:rsidRPr="007A7C6B">
        <w:rPr>
          <w:sz w:val="24"/>
          <w:szCs w:val="24"/>
        </w:rPr>
        <w:t xml:space="preserve"> </w:t>
      </w:r>
      <w:r w:rsidR="004C64FC" w:rsidRPr="007A7C6B">
        <w:rPr>
          <w:sz w:val="24"/>
          <w:szCs w:val="24"/>
        </w:rPr>
        <w:t>tendría como objetivo</w:t>
      </w:r>
      <w:r w:rsidR="00CC0043" w:rsidRPr="007A7C6B">
        <w:rPr>
          <w:sz w:val="24"/>
          <w:szCs w:val="24"/>
        </w:rPr>
        <w:t xml:space="preserve"> el mantenimiento, equilibrio y evolución de la especie</w:t>
      </w:r>
      <w:r w:rsidRPr="007A7C6B">
        <w:rPr>
          <w:sz w:val="24"/>
          <w:szCs w:val="24"/>
        </w:rPr>
        <w:t xml:space="preserve"> </w:t>
      </w:r>
      <w:r w:rsidRPr="007A7C6B">
        <w:rPr>
          <w:sz w:val="24"/>
          <w:szCs w:val="24"/>
        </w:rPr>
        <w:fldChar w:fldCharType="begin" w:fldLock="1"/>
      </w:r>
      <w:r w:rsidRPr="007A7C6B">
        <w:rPr>
          <w:sz w:val="24"/>
          <w:szCs w:val="24"/>
        </w:rPr>
        <w:instrText>ADDIN CSL_CITATION {"citationItems":[{"id":"ITEM-1","itemData":{"DOI":"10.5944/ap.4.2.478","ISSN":"1578-908X","abstract":"Resumen El presente artículo aporta una revisión histórica del estudio de la agresión. En lo referente a su definición, se revisa su concepto y la delimitación del mismo respecto de otros términos, tales como agresividad, ira, hostilidad, violencia, delito o crimen. Así mismo, se resumen una selección de las principales tipologías de la agresión. Por último, se presentan los distintos modelos explicativos de la conducta agresiva: instintivos, biológicos, del drive, conductuales, cognitivos, aquellos centrados en la dinámica familiar y en los hábitos de crianza, así como las aproximaciones evolutivas y, finalmente, los modelos integradores. Abstract The present paper provides a historical review of the study of aggression. As far as its definition, its concept is revised and so is its delimitation with regard to other terms such as aggressiveness, anger, hostility, violence or crime. Likewise, a selection of the main typologies is also summarized. Lastly, several explicative models of aggression are presented: instinctive, biological, drive models, behavioral, cognitive, those related to family dynamics or rearing patterns, as well as the developing approaches and the integrative theories.","author":[{"dropping-particle":"","family":"Carrasco","given":"Miguel Ángel","non-dropping-particle":"","parse-names":false,"suffix":""},{"dropping-particle":"","family":"González","given":"María José","non-dropping-particle":"","parse-names":false,"suffix":""}],"container-title":"Acción Psicológica","id":"ITEM-1","issue":"2","issued":{"date-parts":[["2006"]]},"page":"7-38","title":"Aspectos conceptuales de la agresión: definición y modelos explicativos [Theoretical issues on aggression: concept and models]","type":"article-journal","volume":"4"},"uris":["http://www.mendeley.com/documents/?uuid=de78186a-db76-448e-84e7-ba45b323d338"]}],"mendeley":{"formattedCitation":"(Carrasco &amp; González, 2006)","plainTextFormattedCitation":"(Carrasco &amp; González, 2006)","previouslyFormattedCitation":"(Carrasco &amp; González, 2006)"},"properties":{"noteIndex":0},"schema":"https://github.com/citation-style-language/schema/raw/master/csl-citation.json"}</w:instrText>
      </w:r>
      <w:r w:rsidRPr="007A7C6B">
        <w:rPr>
          <w:sz w:val="24"/>
          <w:szCs w:val="24"/>
        </w:rPr>
        <w:fldChar w:fldCharType="separate"/>
      </w:r>
      <w:r w:rsidRPr="007A7C6B">
        <w:rPr>
          <w:noProof/>
          <w:sz w:val="24"/>
          <w:szCs w:val="24"/>
        </w:rPr>
        <w:t>(</w:t>
      </w:r>
      <w:r w:rsidR="00984347" w:rsidRPr="007A7C6B">
        <w:rPr>
          <w:noProof/>
          <w:sz w:val="24"/>
          <w:szCs w:val="24"/>
        </w:rPr>
        <w:t>Carrasco y González, 2006</w:t>
      </w:r>
      <w:r w:rsidR="0080194D" w:rsidRPr="007A7C6B">
        <w:rPr>
          <w:noProof/>
          <w:sz w:val="24"/>
          <w:szCs w:val="24"/>
        </w:rPr>
        <w:t>; Chapi</w:t>
      </w:r>
      <w:r w:rsidR="00DC01E0">
        <w:rPr>
          <w:noProof/>
          <w:sz w:val="24"/>
          <w:szCs w:val="24"/>
        </w:rPr>
        <w:t>-</w:t>
      </w:r>
      <w:r w:rsidR="0080194D" w:rsidRPr="007A7C6B">
        <w:rPr>
          <w:noProof/>
          <w:sz w:val="24"/>
          <w:szCs w:val="24"/>
        </w:rPr>
        <w:t>Mori, 2012</w:t>
      </w:r>
      <w:r w:rsidRPr="007A7C6B">
        <w:rPr>
          <w:noProof/>
          <w:sz w:val="24"/>
          <w:szCs w:val="24"/>
        </w:rPr>
        <w:t>)</w:t>
      </w:r>
      <w:r w:rsidRPr="007A7C6B">
        <w:rPr>
          <w:sz w:val="24"/>
          <w:szCs w:val="24"/>
        </w:rPr>
        <w:fldChar w:fldCharType="end"/>
      </w:r>
      <w:r w:rsidRPr="007A7C6B">
        <w:rPr>
          <w:sz w:val="24"/>
          <w:szCs w:val="24"/>
        </w:rPr>
        <w:t>.</w:t>
      </w:r>
      <w:r w:rsidR="00CC0043" w:rsidRPr="007A7C6B">
        <w:rPr>
          <w:sz w:val="24"/>
          <w:szCs w:val="24"/>
        </w:rPr>
        <w:t xml:space="preserve"> </w:t>
      </w:r>
      <w:r w:rsidR="00795A42" w:rsidRPr="007A7C6B">
        <w:rPr>
          <w:sz w:val="24"/>
          <w:szCs w:val="24"/>
        </w:rPr>
        <w:t xml:space="preserve">Son numerosas las conceptualizaciones de la agresión, entre </w:t>
      </w:r>
      <w:r w:rsidR="00CB48DD" w:rsidRPr="007A7C6B">
        <w:rPr>
          <w:sz w:val="24"/>
          <w:szCs w:val="24"/>
        </w:rPr>
        <w:t>las más destacadas se</w:t>
      </w:r>
      <w:r w:rsidR="00795A42" w:rsidRPr="007A7C6B">
        <w:rPr>
          <w:sz w:val="24"/>
          <w:szCs w:val="24"/>
        </w:rPr>
        <w:t xml:space="preserve"> encuentra</w:t>
      </w:r>
      <w:r w:rsidR="007D0127" w:rsidRPr="007A7C6B">
        <w:rPr>
          <w:sz w:val="24"/>
          <w:szCs w:val="24"/>
        </w:rPr>
        <w:t>n</w:t>
      </w:r>
      <w:r w:rsidR="00795A42" w:rsidRPr="007A7C6B">
        <w:rPr>
          <w:sz w:val="24"/>
          <w:szCs w:val="24"/>
        </w:rPr>
        <w:t xml:space="preserve"> la</w:t>
      </w:r>
      <w:r w:rsidR="007D0127" w:rsidRPr="007A7C6B">
        <w:rPr>
          <w:sz w:val="24"/>
          <w:szCs w:val="24"/>
        </w:rPr>
        <w:t>s</w:t>
      </w:r>
      <w:r w:rsidR="00795A42" w:rsidRPr="007A7C6B">
        <w:rPr>
          <w:sz w:val="24"/>
          <w:szCs w:val="24"/>
        </w:rPr>
        <w:t xml:space="preserve"> propuesta</w:t>
      </w:r>
      <w:r w:rsidR="007D0127" w:rsidRPr="007A7C6B">
        <w:rPr>
          <w:sz w:val="24"/>
          <w:szCs w:val="24"/>
        </w:rPr>
        <w:t>s</w:t>
      </w:r>
      <w:r w:rsidR="00795A42" w:rsidRPr="007A7C6B">
        <w:rPr>
          <w:sz w:val="24"/>
          <w:szCs w:val="24"/>
        </w:rPr>
        <w:t xml:space="preserve"> por </w:t>
      </w:r>
      <w:r w:rsidR="00BB7C2A" w:rsidRPr="007A7C6B">
        <w:rPr>
          <w:sz w:val="24"/>
          <w:szCs w:val="24"/>
        </w:rPr>
        <w:t>Re</w:t>
      </w:r>
      <w:r w:rsidR="00EB74B7" w:rsidRPr="007A7C6B">
        <w:rPr>
          <w:sz w:val="24"/>
          <w:szCs w:val="24"/>
        </w:rPr>
        <w:t>n</w:t>
      </w:r>
      <w:r w:rsidR="00BB7C2A" w:rsidRPr="007A7C6B">
        <w:rPr>
          <w:sz w:val="24"/>
          <w:szCs w:val="24"/>
        </w:rPr>
        <w:t>frew</w:t>
      </w:r>
      <w:r w:rsidR="00EB74B7" w:rsidRPr="007A7C6B">
        <w:rPr>
          <w:sz w:val="24"/>
          <w:szCs w:val="24"/>
        </w:rPr>
        <w:t xml:space="preserve"> (2001)</w:t>
      </w:r>
      <w:r w:rsidR="00BB7C2A" w:rsidRPr="007A7C6B">
        <w:rPr>
          <w:sz w:val="24"/>
          <w:szCs w:val="24"/>
        </w:rPr>
        <w:t xml:space="preserve"> (</w:t>
      </w:r>
      <w:r w:rsidR="0057580D" w:rsidRPr="007A7C6B">
        <w:rPr>
          <w:sz w:val="24"/>
          <w:szCs w:val="24"/>
        </w:rPr>
        <w:t>citado en</w:t>
      </w:r>
      <w:r w:rsidR="00BB7C2A" w:rsidRPr="007A7C6B">
        <w:rPr>
          <w:sz w:val="24"/>
          <w:szCs w:val="24"/>
        </w:rPr>
        <w:t xml:space="preserve"> </w:t>
      </w:r>
      <w:r w:rsidR="00BB7C2A" w:rsidRPr="007A7C6B">
        <w:rPr>
          <w:noProof/>
          <w:sz w:val="24"/>
          <w:szCs w:val="24"/>
        </w:rPr>
        <w:t>Chapi</w:t>
      </w:r>
      <w:r w:rsidR="00DC01E0">
        <w:rPr>
          <w:noProof/>
          <w:sz w:val="24"/>
          <w:szCs w:val="24"/>
        </w:rPr>
        <w:t>-</w:t>
      </w:r>
      <w:r w:rsidR="00BB7C2A" w:rsidRPr="007A7C6B">
        <w:rPr>
          <w:noProof/>
          <w:sz w:val="24"/>
          <w:szCs w:val="24"/>
        </w:rPr>
        <w:t>Mori, 2012</w:t>
      </w:r>
      <w:r w:rsidR="00BB7C2A" w:rsidRPr="007A7C6B">
        <w:rPr>
          <w:sz w:val="24"/>
          <w:szCs w:val="24"/>
        </w:rPr>
        <w:t xml:space="preserve">) </w:t>
      </w:r>
      <w:r w:rsidR="000E7D5B" w:rsidRPr="007A7C6B">
        <w:rPr>
          <w:sz w:val="24"/>
          <w:szCs w:val="24"/>
        </w:rPr>
        <w:t>que considera la conducta agresiva como un comportamiento dirigido hacia un sujeto concreto con resultado dañino</w:t>
      </w:r>
      <w:r w:rsidR="00594D93">
        <w:rPr>
          <w:sz w:val="24"/>
          <w:szCs w:val="24"/>
        </w:rPr>
        <w:t>.</w:t>
      </w:r>
      <w:r w:rsidR="000E7D5B" w:rsidRPr="007A7C6B">
        <w:rPr>
          <w:sz w:val="24"/>
          <w:szCs w:val="24"/>
        </w:rPr>
        <w:t xml:space="preserve"> Anderson y Bushman (2001) añaden además que existe una intencionalidad de dañar al otro</w:t>
      </w:r>
      <w:r w:rsidR="00D92C9D" w:rsidRPr="007A7C6B">
        <w:rPr>
          <w:sz w:val="24"/>
          <w:szCs w:val="24"/>
        </w:rPr>
        <w:t xml:space="preserve"> y una motivación para evitar también el daño y, por </w:t>
      </w:r>
      <w:r w:rsidR="00EC2564" w:rsidRPr="007A7C6B">
        <w:rPr>
          <w:sz w:val="24"/>
          <w:szCs w:val="24"/>
        </w:rPr>
        <w:t>ú</w:t>
      </w:r>
      <w:r w:rsidR="00D92C9D" w:rsidRPr="007A7C6B">
        <w:rPr>
          <w:sz w:val="24"/>
          <w:szCs w:val="24"/>
        </w:rPr>
        <w:t>ltimo, Valzelli (1983) indica que este tipo de conductas tienen el objetivo de satisfaces necesidades básicas y eliminar cualquier tipo de amen</w:t>
      </w:r>
      <w:r w:rsidR="0080194D" w:rsidRPr="007A7C6B">
        <w:rPr>
          <w:sz w:val="24"/>
          <w:szCs w:val="24"/>
        </w:rPr>
        <w:t>a</w:t>
      </w:r>
      <w:r w:rsidR="00D92C9D" w:rsidRPr="007A7C6B">
        <w:rPr>
          <w:sz w:val="24"/>
          <w:szCs w:val="24"/>
        </w:rPr>
        <w:t>za contra el individuo</w:t>
      </w:r>
      <w:r w:rsidR="0080194D" w:rsidRPr="007A7C6B">
        <w:rPr>
          <w:sz w:val="24"/>
          <w:szCs w:val="24"/>
        </w:rPr>
        <w:t xml:space="preserve"> y tiene un función conservadora de la especia. </w:t>
      </w:r>
      <w:r w:rsidR="00795A42" w:rsidRPr="007A7C6B">
        <w:rPr>
          <w:sz w:val="24"/>
          <w:szCs w:val="24"/>
        </w:rPr>
        <w:t xml:space="preserve">Carrasco y González (2006) tras una revisión del concepto de agresión observaron que en todas las definiciones </w:t>
      </w:r>
      <w:r w:rsidR="00276EC3">
        <w:rPr>
          <w:sz w:val="24"/>
          <w:szCs w:val="24"/>
        </w:rPr>
        <w:t>planteaban</w:t>
      </w:r>
      <w:r w:rsidR="00276EC3" w:rsidRPr="007A7C6B">
        <w:rPr>
          <w:sz w:val="24"/>
          <w:szCs w:val="24"/>
        </w:rPr>
        <w:t xml:space="preserve"> </w:t>
      </w:r>
      <w:r w:rsidR="00795A42" w:rsidRPr="007A7C6B">
        <w:rPr>
          <w:sz w:val="24"/>
          <w:szCs w:val="24"/>
        </w:rPr>
        <w:t>tres elementos comunes: carácter intencional, consecuencias aversivas y variedad expresiva</w:t>
      </w:r>
      <w:r w:rsidR="00696A9D" w:rsidRPr="007A7C6B">
        <w:rPr>
          <w:sz w:val="24"/>
          <w:szCs w:val="24"/>
        </w:rPr>
        <w:t>.</w:t>
      </w:r>
    </w:p>
    <w:p w14:paraId="6E791D1B" w14:textId="7A41205B" w:rsidR="003444C8" w:rsidRPr="007A7C6B" w:rsidRDefault="00EF7F88">
      <w:pPr>
        <w:spacing w:line="360" w:lineRule="auto"/>
        <w:ind w:firstLine="360"/>
        <w:jc w:val="both"/>
        <w:rPr>
          <w:sz w:val="24"/>
          <w:szCs w:val="24"/>
        </w:rPr>
      </w:pPr>
      <w:r w:rsidRPr="007A7C6B">
        <w:rPr>
          <w:sz w:val="24"/>
          <w:szCs w:val="24"/>
        </w:rPr>
        <w:t xml:space="preserve">Por lo tanto, </w:t>
      </w:r>
      <w:r w:rsidR="007053C2">
        <w:rPr>
          <w:sz w:val="24"/>
          <w:szCs w:val="24"/>
        </w:rPr>
        <w:t xml:space="preserve"> podemos concluir que </w:t>
      </w:r>
      <w:r w:rsidRPr="007A7C6B">
        <w:rPr>
          <w:sz w:val="24"/>
          <w:szCs w:val="24"/>
        </w:rPr>
        <w:t xml:space="preserve">la </w:t>
      </w:r>
      <w:r w:rsidRPr="001D7397">
        <w:rPr>
          <w:sz w:val="24"/>
          <w:szCs w:val="24"/>
        </w:rPr>
        <w:t>agresividad</w:t>
      </w:r>
      <w:r w:rsidRPr="007A7C6B">
        <w:rPr>
          <w:sz w:val="24"/>
          <w:szCs w:val="24"/>
        </w:rPr>
        <w:t xml:space="preserve"> </w:t>
      </w:r>
      <w:r w:rsidR="007053C2">
        <w:rPr>
          <w:sz w:val="24"/>
          <w:szCs w:val="24"/>
        </w:rPr>
        <w:t>es</w:t>
      </w:r>
      <w:r w:rsidR="007053C2" w:rsidRPr="007A7C6B">
        <w:rPr>
          <w:sz w:val="24"/>
          <w:szCs w:val="24"/>
        </w:rPr>
        <w:t xml:space="preserve"> </w:t>
      </w:r>
      <w:r w:rsidR="007053C2">
        <w:rPr>
          <w:sz w:val="24"/>
          <w:szCs w:val="24"/>
        </w:rPr>
        <w:t xml:space="preserve">como </w:t>
      </w:r>
      <w:r w:rsidRPr="007A7C6B">
        <w:rPr>
          <w:sz w:val="24"/>
          <w:szCs w:val="24"/>
        </w:rPr>
        <w:t xml:space="preserve">una respuesta adaptativa dentro del abanico de estrategias de </w:t>
      </w:r>
      <w:r w:rsidR="00BD7D9B" w:rsidRPr="007A7C6B">
        <w:rPr>
          <w:sz w:val="24"/>
          <w:szCs w:val="24"/>
        </w:rPr>
        <w:t>afrontamiento</w:t>
      </w:r>
      <w:r w:rsidRPr="007A7C6B">
        <w:rPr>
          <w:sz w:val="24"/>
          <w:szCs w:val="24"/>
        </w:rPr>
        <w:t xml:space="preserve"> ante</w:t>
      </w:r>
      <w:r w:rsidR="007053C2">
        <w:rPr>
          <w:sz w:val="24"/>
          <w:szCs w:val="24"/>
        </w:rPr>
        <w:t xml:space="preserve"> las</w:t>
      </w:r>
      <w:r w:rsidRPr="007A7C6B">
        <w:rPr>
          <w:sz w:val="24"/>
          <w:szCs w:val="24"/>
        </w:rPr>
        <w:t xml:space="preserve"> amenazas.</w:t>
      </w:r>
      <w:r w:rsidR="004171A9" w:rsidRPr="007A7C6B">
        <w:rPr>
          <w:sz w:val="24"/>
          <w:szCs w:val="24"/>
        </w:rPr>
        <w:t xml:space="preserve"> Este tipo de conducta es inherente al ser humano y es observable desde los primeros años de vida, </w:t>
      </w:r>
      <w:r w:rsidR="004171A9" w:rsidRPr="007A7C6B">
        <w:rPr>
          <w:sz w:val="24"/>
          <w:szCs w:val="24"/>
        </w:rPr>
        <w:lastRenderedPageBreak/>
        <w:t xml:space="preserve">pero con el paso del tiempo va remitiendo. </w:t>
      </w:r>
      <w:r w:rsidR="006F7E5A" w:rsidRPr="007A7C6B">
        <w:rPr>
          <w:sz w:val="24"/>
          <w:szCs w:val="24"/>
        </w:rPr>
        <w:t>Aun</w:t>
      </w:r>
      <w:r w:rsidR="004171A9" w:rsidRPr="007A7C6B">
        <w:rPr>
          <w:sz w:val="24"/>
          <w:szCs w:val="24"/>
        </w:rPr>
        <w:t xml:space="preserve"> así, existen sujetos adultos que siguen contando con esta inclinación a realizar actos agresivos en los diferentes contextos sociales </w:t>
      </w:r>
      <w:r w:rsidR="00571E43" w:rsidRPr="007A7C6B">
        <w:rPr>
          <w:sz w:val="24"/>
          <w:szCs w:val="24"/>
        </w:rPr>
        <w:t>(</w:t>
      </w:r>
      <w:r w:rsidR="00DF23E7" w:rsidRPr="007A7C6B">
        <w:rPr>
          <w:sz w:val="24"/>
          <w:szCs w:val="24"/>
        </w:rPr>
        <w:t>Castillo, 2006;</w:t>
      </w:r>
      <w:r w:rsidR="00CB48DD" w:rsidRPr="007A7C6B">
        <w:rPr>
          <w:sz w:val="24"/>
          <w:szCs w:val="24"/>
        </w:rPr>
        <w:t xml:space="preserve"> </w:t>
      </w:r>
      <w:r w:rsidR="00571E43" w:rsidRPr="007A7C6B">
        <w:rPr>
          <w:sz w:val="24"/>
          <w:szCs w:val="24"/>
        </w:rPr>
        <w:t>Matalinares et al., 2012)</w:t>
      </w:r>
      <w:r w:rsidR="00371F39" w:rsidRPr="007A7C6B">
        <w:rPr>
          <w:sz w:val="24"/>
          <w:szCs w:val="24"/>
        </w:rPr>
        <w:t xml:space="preserve">. </w:t>
      </w:r>
    </w:p>
    <w:p w14:paraId="2634F0C3" w14:textId="6BAE7309" w:rsidR="0091068A" w:rsidRPr="007A7C6B" w:rsidRDefault="003444C8">
      <w:pPr>
        <w:spacing w:line="360" w:lineRule="auto"/>
        <w:ind w:firstLine="360"/>
        <w:jc w:val="both"/>
        <w:rPr>
          <w:sz w:val="24"/>
          <w:szCs w:val="24"/>
        </w:rPr>
      </w:pPr>
      <w:r w:rsidRPr="007A7C6B">
        <w:rPr>
          <w:sz w:val="24"/>
          <w:szCs w:val="24"/>
        </w:rPr>
        <w:t xml:space="preserve">Berkowitz </w:t>
      </w:r>
      <w:r w:rsidR="002A2502" w:rsidRPr="007A7C6B">
        <w:rPr>
          <w:sz w:val="24"/>
          <w:szCs w:val="24"/>
        </w:rPr>
        <w:t>(1996)</w:t>
      </w:r>
      <w:r w:rsidR="0032376A" w:rsidRPr="007A7C6B">
        <w:rPr>
          <w:sz w:val="24"/>
          <w:szCs w:val="24"/>
        </w:rPr>
        <w:t xml:space="preserve"> </w:t>
      </w:r>
      <w:r w:rsidR="0091068A" w:rsidRPr="007A7C6B">
        <w:rPr>
          <w:sz w:val="24"/>
          <w:szCs w:val="24"/>
        </w:rPr>
        <w:t>(</w:t>
      </w:r>
      <w:r w:rsidRPr="007A7C6B">
        <w:rPr>
          <w:sz w:val="24"/>
          <w:szCs w:val="24"/>
        </w:rPr>
        <w:t>citado</w:t>
      </w:r>
      <w:r w:rsidR="0091068A" w:rsidRPr="007A7C6B">
        <w:rPr>
          <w:sz w:val="24"/>
          <w:szCs w:val="24"/>
        </w:rPr>
        <w:t xml:space="preserve"> en Carrasco y González, 2006) </w:t>
      </w:r>
      <w:r w:rsidRPr="007A7C6B">
        <w:rPr>
          <w:sz w:val="24"/>
          <w:szCs w:val="24"/>
        </w:rPr>
        <w:t>profundiza aún más en la definición</w:t>
      </w:r>
      <w:r w:rsidR="007053C2">
        <w:rPr>
          <w:sz w:val="24"/>
          <w:szCs w:val="24"/>
        </w:rPr>
        <w:t>,</w:t>
      </w:r>
      <w:r w:rsidRPr="007A7C6B">
        <w:rPr>
          <w:sz w:val="24"/>
          <w:szCs w:val="24"/>
        </w:rPr>
        <w:t xml:space="preserve"> señalando que de manera subyacente a la agresividad se ponen</w:t>
      </w:r>
      <w:r w:rsidR="0091068A" w:rsidRPr="007A7C6B">
        <w:rPr>
          <w:sz w:val="24"/>
          <w:szCs w:val="24"/>
        </w:rPr>
        <w:t xml:space="preserve"> en marcha una serie de respuestas internas a nivel emocional (ira), cognitivo (fantasías destructivas, ideas de daño) y conductual (manifestaciones corporales y verbales explicitas)</w:t>
      </w:r>
      <w:r w:rsidR="007053C2">
        <w:rPr>
          <w:sz w:val="24"/>
          <w:szCs w:val="24"/>
        </w:rPr>
        <w:t>,</w:t>
      </w:r>
      <w:r w:rsidR="0091068A" w:rsidRPr="007A7C6B">
        <w:rPr>
          <w:sz w:val="24"/>
          <w:szCs w:val="24"/>
        </w:rPr>
        <w:t xml:space="preserve"> siendo este último</w:t>
      </w:r>
      <w:r w:rsidR="007053C2">
        <w:rPr>
          <w:sz w:val="24"/>
          <w:szCs w:val="24"/>
        </w:rPr>
        <w:t xml:space="preserve"> nivel</w:t>
      </w:r>
      <w:r w:rsidR="0091068A" w:rsidRPr="007A7C6B">
        <w:rPr>
          <w:sz w:val="24"/>
          <w:szCs w:val="24"/>
        </w:rPr>
        <w:t xml:space="preserve"> el que correspondería con la agresión </w:t>
      </w:r>
      <w:r w:rsidR="0091068A" w:rsidRPr="007A7C6B">
        <w:rPr>
          <w:sz w:val="24"/>
          <w:szCs w:val="24"/>
        </w:rPr>
        <w:fldChar w:fldCharType="begin" w:fldLock="1"/>
      </w:r>
      <w:r w:rsidR="006B4161" w:rsidRPr="007A7C6B">
        <w:rPr>
          <w:sz w:val="24"/>
          <w:szCs w:val="24"/>
        </w:rPr>
        <w:instrText>ADDIN CSL_CITATION {"citationItems":[{"id":"ITEM-1","itemData":{"abstract":"a agresividad hace referencia a un conjunto de procesos emocionales y cognitivos que motivan intencionalmente al individuo para hacer daño a otra persona o a su entorno. El estudio funcional de la agresión se ha centrado en la distinción entre agresividad premeditada, la cual se refiere al uso de la agresión como un medio para conseguir un objetivo, y agresividad impulsiva, entendiendo la agresión como respuesta ante una amenaza o provocación real. El cuestionario CAPI-A puede aplicarse precisamente para evaluar la agresividad premeditada e impulsiva de los adolescentes de 12 a 17 años, tanto en población general como clínica.","author":[{"dropping-particle":"","family":"Andreu","given":"José Manuel","non-dropping-particle":"","parse-names":false,"suffix":""}],"id":"ITEM-1","issued":{"date-parts":[["2010"]]},"page":"1 - 38","title":"Cuestionario de agresividad premeditada e impulsiva","type":"article-journal"},"uris":["http://www.mendeley.com/documents/?uuid=4da99121-a620-4c88-924b-7cf09ecfdb73"]},{"id":"ITEM-2","itemData":{"author":[{"dropping-particle":"","family":"Bouquet Escobedo","given":"G. S.","non-dropping-particle":"","parse-names":false,"suffix":""},{"dropping-particle":"","family":"García Méndez","given":"M.","non-dropping-particle":"","parse-names":false,"suffix":""},{"dropping-particle":"","family":"Díaz Loving","given":"R.","non-dropping-particle":"","parse-names":false,"suffix":""},{"dropping-particle":"","family":"Rivera Aragón","given":"S","non-dropping-particle":"","parse-names":false,"suffix":""}],"id":"ITEM-2","issue":"66","issued":{"date-parts":[["2019"]]},"page":"115-130","title":"Conceptuacion y Medicion de la Agresividad : Validacion de una Escala","type":"article-journal","volume":"28"},"uris":["http://www.mendeley.com/documents/?uuid=6e08c3a7-e3b8-4311-8f6c-9a2f697bbeae"]}],"mendeley":{"formattedCitation":"(Andreu, 2010; Bouquet Escobedo, García Méndez, Díaz Loving, &amp; Rivera Aragón, 2019)","manualFormatting":"(Bouquet Escobedo, García Méndez, Díaz Loving, y Rivera Aragón, 2019; Andreu, 2010)","plainTextFormattedCitation":"(Andreu, 2010; Bouquet Escobedo, García Méndez, Díaz Loving, &amp; Rivera Aragón, 2019)","previouslyFormattedCitation":"(Andreu, 2010; Bouquet Escobedo, García Méndez, Díaz Loving, &amp; Rivera Aragón, 2019)"},"properties":{"noteIndex":0},"schema":"https://github.com/citation-style-language/schema/raw/master/csl-citation.json"}</w:instrText>
      </w:r>
      <w:r w:rsidR="0091068A" w:rsidRPr="007A7C6B">
        <w:rPr>
          <w:sz w:val="24"/>
          <w:szCs w:val="24"/>
        </w:rPr>
        <w:fldChar w:fldCharType="separate"/>
      </w:r>
      <w:r w:rsidR="0091068A" w:rsidRPr="007A7C6B">
        <w:rPr>
          <w:noProof/>
          <w:sz w:val="24"/>
          <w:szCs w:val="24"/>
        </w:rPr>
        <w:t>(</w:t>
      </w:r>
      <w:r w:rsidR="00EC2564" w:rsidRPr="007A7C6B">
        <w:rPr>
          <w:noProof/>
          <w:sz w:val="24"/>
          <w:szCs w:val="24"/>
        </w:rPr>
        <w:t xml:space="preserve">Andreu, 2010; </w:t>
      </w:r>
      <w:r w:rsidR="0091068A" w:rsidRPr="007A7C6B">
        <w:rPr>
          <w:noProof/>
          <w:sz w:val="24"/>
          <w:szCs w:val="24"/>
        </w:rPr>
        <w:t>Bouquet</w:t>
      </w:r>
      <w:r w:rsidR="005376FF">
        <w:rPr>
          <w:noProof/>
          <w:sz w:val="24"/>
          <w:szCs w:val="24"/>
        </w:rPr>
        <w:t>-</w:t>
      </w:r>
      <w:r w:rsidR="0091068A" w:rsidRPr="007A7C6B">
        <w:rPr>
          <w:noProof/>
          <w:sz w:val="24"/>
          <w:szCs w:val="24"/>
        </w:rPr>
        <w:t>Escobedo, García</w:t>
      </w:r>
      <w:r w:rsidR="005376FF">
        <w:rPr>
          <w:noProof/>
          <w:sz w:val="24"/>
          <w:szCs w:val="24"/>
        </w:rPr>
        <w:t>-</w:t>
      </w:r>
      <w:r w:rsidR="0091068A" w:rsidRPr="007A7C6B">
        <w:rPr>
          <w:noProof/>
          <w:sz w:val="24"/>
          <w:szCs w:val="24"/>
        </w:rPr>
        <w:t>Méndez, Díaz</w:t>
      </w:r>
      <w:r w:rsidR="005376FF">
        <w:rPr>
          <w:noProof/>
          <w:sz w:val="24"/>
          <w:szCs w:val="24"/>
        </w:rPr>
        <w:t>-</w:t>
      </w:r>
      <w:r w:rsidR="0091068A" w:rsidRPr="007A7C6B">
        <w:rPr>
          <w:noProof/>
          <w:sz w:val="24"/>
          <w:szCs w:val="24"/>
        </w:rPr>
        <w:t>Loving, y Rivera</w:t>
      </w:r>
      <w:r w:rsidR="005376FF">
        <w:rPr>
          <w:noProof/>
          <w:sz w:val="24"/>
          <w:szCs w:val="24"/>
        </w:rPr>
        <w:t>-</w:t>
      </w:r>
      <w:r w:rsidR="0091068A" w:rsidRPr="007A7C6B">
        <w:rPr>
          <w:noProof/>
          <w:sz w:val="24"/>
          <w:szCs w:val="24"/>
        </w:rPr>
        <w:t>Aragón, 2019)</w:t>
      </w:r>
      <w:r w:rsidR="0091068A" w:rsidRPr="007A7C6B">
        <w:rPr>
          <w:sz w:val="24"/>
          <w:szCs w:val="24"/>
        </w:rPr>
        <w:fldChar w:fldCharType="end"/>
      </w:r>
      <w:r w:rsidR="0091068A" w:rsidRPr="007A7C6B">
        <w:rPr>
          <w:sz w:val="24"/>
          <w:szCs w:val="24"/>
        </w:rPr>
        <w:t>. Gordillo</w:t>
      </w:r>
      <w:r w:rsidR="00EC0253">
        <w:rPr>
          <w:sz w:val="24"/>
          <w:szCs w:val="24"/>
        </w:rPr>
        <w:t xml:space="preserve"> (2010)</w:t>
      </w:r>
      <w:r w:rsidR="0091068A" w:rsidRPr="007A7C6B">
        <w:rPr>
          <w:sz w:val="24"/>
          <w:szCs w:val="24"/>
        </w:rPr>
        <w:t xml:space="preserve"> (como se citó en </w:t>
      </w:r>
      <w:r w:rsidR="0091068A" w:rsidRPr="007A7C6B">
        <w:rPr>
          <w:sz w:val="24"/>
          <w:szCs w:val="24"/>
        </w:rPr>
        <w:fldChar w:fldCharType="begin" w:fldLock="1"/>
      </w:r>
      <w:r w:rsidR="0091068A" w:rsidRPr="007A7C6B">
        <w:rPr>
          <w:sz w:val="24"/>
          <w:szCs w:val="24"/>
        </w:rPr>
        <w:instrText>ADDIN CSL_CITATION {"citationItems":[{"id":"ITEM-1","itemData":{"author":[{"dropping-particle":"","family":"Bouquet Escobedo","given":"G. S.","non-dropping-particle":"","parse-names":false,"suffix":""},{"dropping-particle":"","family":"García Méndez","given":"M.","non-dropping-particle":"","parse-names":false,"suffix":""},{"dropping-particle":"","family":"Díaz Loving","given":"R.","non-dropping-particle":"","parse-names":false,"suffix":""},{"dropping-particle":"","family":"Rivera Aragón","given":"S","non-dropping-particle":"","parse-names":false,"suffix":""}],"id":"ITEM-1","issue":"66","issued":{"date-parts":[["2019"]]},"page":"115-130","title":"Conceptuacion y Medicion de la Agresividad : Validacion de una Escala","type":"article-journal","volume":"28"},"uris":["http://www.mendeley.com/documents/?uuid=6e08c3a7-e3b8-4311-8f6c-9a2f697bbeae"]}],"mendeley":{"formattedCitation":"(Bouquet Escobedo et al., 2019)","manualFormatting":"Bouquet Escobedo et al., 2019)","plainTextFormattedCitation":"(Bouquet Escobedo et al., 2019)","previouslyFormattedCitation":"(Bouquet Escobedo et al., 2019)"},"properties":{"noteIndex":0},"schema":"https://github.com/citation-style-language/schema/raw/master/csl-citation.json"}</w:instrText>
      </w:r>
      <w:r w:rsidR="0091068A" w:rsidRPr="007A7C6B">
        <w:rPr>
          <w:sz w:val="24"/>
          <w:szCs w:val="24"/>
        </w:rPr>
        <w:fldChar w:fldCharType="separate"/>
      </w:r>
      <w:r w:rsidR="0091068A" w:rsidRPr="007A7C6B">
        <w:rPr>
          <w:noProof/>
          <w:sz w:val="24"/>
          <w:szCs w:val="24"/>
        </w:rPr>
        <w:t>Bouquet</w:t>
      </w:r>
      <w:r w:rsidR="005376FF">
        <w:rPr>
          <w:noProof/>
          <w:sz w:val="24"/>
          <w:szCs w:val="24"/>
        </w:rPr>
        <w:t>-</w:t>
      </w:r>
      <w:r w:rsidR="0091068A" w:rsidRPr="007A7C6B">
        <w:rPr>
          <w:noProof/>
          <w:sz w:val="24"/>
          <w:szCs w:val="24"/>
        </w:rPr>
        <w:t>Escobedo et al., 2019)</w:t>
      </w:r>
      <w:r w:rsidR="0091068A" w:rsidRPr="007A7C6B">
        <w:rPr>
          <w:sz w:val="24"/>
          <w:szCs w:val="24"/>
        </w:rPr>
        <w:fldChar w:fldCharType="end"/>
      </w:r>
      <w:r w:rsidR="0091068A" w:rsidRPr="007A7C6B">
        <w:rPr>
          <w:sz w:val="24"/>
          <w:szCs w:val="24"/>
        </w:rPr>
        <w:t xml:space="preserve"> expone que la agresividad no se considera patológica por sí misma, excepto cuando esta alcanza niveles de intensidad y frecuencia que son completamente desadaptativo</w:t>
      </w:r>
      <w:r w:rsidR="007053C2">
        <w:rPr>
          <w:sz w:val="24"/>
          <w:szCs w:val="24"/>
        </w:rPr>
        <w:t>s</w:t>
      </w:r>
      <w:r w:rsidR="0091068A" w:rsidRPr="007A7C6B">
        <w:rPr>
          <w:sz w:val="24"/>
          <w:szCs w:val="24"/>
        </w:rPr>
        <w:t xml:space="preserve"> para la persona y produce un desajuste tanto a nivel personal como social.</w:t>
      </w:r>
      <w:r w:rsidR="0091068A" w:rsidRPr="007A7C6B">
        <w:rPr>
          <w:strike/>
          <w:sz w:val="24"/>
          <w:szCs w:val="24"/>
        </w:rPr>
        <w:t xml:space="preserve"> </w:t>
      </w:r>
    </w:p>
    <w:p w14:paraId="40CB4E08" w14:textId="67B19D9C" w:rsidR="00233403" w:rsidRPr="007A7C6B" w:rsidRDefault="004F11D5">
      <w:pPr>
        <w:spacing w:line="360" w:lineRule="auto"/>
        <w:ind w:firstLine="360"/>
        <w:jc w:val="both"/>
        <w:rPr>
          <w:sz w:val="24"/>
          <w:szCs w:val="24"/>
        </w:rPr>
      </w:pPr>
      <w:r w:rsidRPr="007A7C6B">
        <w:rPr>
          <w:sz w:val="24"/>
          <w:szCs w:val="24"/>
        </w:rPr>
        <w:t>La violencia, por su parte, constituye un fenómeno similar en algunos aspectos a la agresividad, pero contiene diferencias claves que se deben comprender.</w:t>
      </w:r>
      <w:r w:rsidR="00A75977" w:rsidRPr="007A7C6B">
        <w:rPr>
          <w:sz w:val="24"/>
          <w:szCs w:val="24"/>
        </w:rPr>
        <w:t xml:space="preserve"> </w:t>
      </w:r>
      <w:r w:rsidR="004C2FA4" w:rsidRPr="007A7C6B">
        <w:rPr>
          <w:sz w:val="24"/>
          <w:szCs w:val="24"/>
        </w:rPr>
        <w:t>En primer lugar l</w:t>
      </w:r>
      <w:r w:rsidR="006724BE" w:rsidRPr="007A7C6B">
        <w:rPr>
          <w:sz w:val="24"/>
          <w:szCs w:val="24"/>
        </w:rPr>
        <w:t>a O</w:t>
      </w:r>
      <w:r w:rsidR="00BB492B" w:rsidRPr="007A7C6B">
        <w:rPr>
          <w:sz w:val="24"/>
          <w:szCs w:val="24"/>
        </w:rPr>
        <w:t xml:space="preserve">rganización </w:t>
      </w:r>
      <w:r w:rsidR="006724BE" w:rsidRPr="007A7C6B">
        <w:rPr>
          <w:sz w:val="24"/>
          <w:szCs w:val="24"/>
        </w:rPr>
        <w:t>M</w:t>
      </w:r>
      <w:r w:rsidR="00BB492B" w:rsidRPr="007A7C6B">
        <w:rPr>
          <w:sz w:val="24"/>
          <w:szCs w:val="24"/>
        </w:rPr>
        <w:t xml:space="preserve">undial de la </w:t>
      </w:r>
      <w:r w:rsidR="006724BE" w:rsidRPr="007A7C6B">
        <w:rPr>
          <w:sz w:val="24"/>
          <w:szCs w:val="24"/>
        </w:rPr>
        <w:t>S</w:t>
      </w:r>
      <w:r w:rsidR="00BB492B" w:rsidRPr="007A7C6B">
        <w:rPr>
          <w:sz w:val="24"/>
          <w:szCs w:val="24"/>
        </w:rPr>
        <w:t>alud (OMS)</w:t>
      </w:r>
      <w:r w:rsidR="006724BE" w:rsidRPr="007A7C6B">
        <w:rPr>
          <w:sz w:val="24"/>
          <w:szCs w:val="24"/>
        </w:rPr>
        <w:t xml:space="preserve"> (2002) define la violencia como “el uso deliberado de la fuerza física o el poder</w:t>
      </w:r>
      <w:r w:rsidR="000A48B1" w:rsidRPr="007A7C6B">
        <w:rPr>
          <w:sz w:val="24"/>
          <w:szCs w:val="24"/>
        </w:rPr>
        <w:t xml:space="preserve"> … en </w:t>
      </w:r>
      <w:r w:rsidR="006724BE" w:rsidRPr="007A7C6B">
        <w:rPr>
          <w:sz w:val="24"/>
          <w:szCs w:val="24"/>
        </w:rPr>
        <w:t xml:space="preserve">grado de amenaza o efectivo, contra uno mismo, otra persona o un grupo o comunidad, que cause o tenga muchas probabilidades de causar </w:t>
      </w:r>
      <w:bookmarkStart w:id="0" w:name="_Hlk32341704"/>
      <w:r w:rsidR="006724BE" w:rsidRPr="007A7C6B">
        <w:rPr>
          <w:sz w:val="24"/>
          <w:szCs w:val="24"/>
        </w:rPr>
        <w:t>lesiones, muerte, daños psicológicos, trastornos del desarrollo o privaciones</w:t>
      </w:r>
      <w:bookmarkEnd w:id="0"/>
      <w:r w:rsidR="006724BE" w:rsidRPr="007A7C6B">
        <w:rPr>
          <w:sz w:val="24"/>
          <w:szCs w:val="24"/>
        </w:rPr>
        <w:t>” (p.4)</w:t>
      </w:r>
      <w:r w:rsidR="007053C2">
        <w:rPr>
          <w:sz w:val="24"/>
          <w:szCs w:val="24"/>
        </w:rPr>
        <w:t>. E</w:t>
      </w:r>
      <w:r w:rsidR="006724BE" w:rsidRPr="007A7C6B">
        <w:rPr>
          <w:sz w:val="24"/>
          <w:szCs w:val="24"/>
        </w:rPr>
        <w:t xml:space="preserve">sta definición </w:t>
      </w:r>
      <w:r w:rsidR="00276EC3">
        <w:rPr>
          <w:sz w:val="24"/>
          <w:szCs w:val="24"/>
        </w:rPr>
        <w:t>es</w:t>
      </w:r>
      <w:r w:rsidR="00276EC3" w:rsidRPr="007A7C6B">
        <w:rPr>
          <w:sz w:val="24"/>
          <w:szCs w:val="24"/>
        </w:rPr>
        <w:t xml:space="preserve"> </w:t>
      </w:r>
      <w:r w:rsidR="003444C8" w:rsidRPr="007A7C6B">
        <w:rPr>
          <w:sz w:val="24"/>
          <w:szCs w:val="24"/>
        </w:rPr>
        <w:t xml:space="preserve">similar a </w:t>
      </w:r>
      <w:r w:rsidR="006724BE" w:rsidRPr="007A7C6B">
        <w:rPr>
          <w:sz w:val="24"/>
          <w:szCs w:val="24"/>
        </w:rPr>
        <w:t xml:space="preserve">la realizada por otros autores </w:t>
      </w:r>
      <w:r w:rsidR="003444C8" w:rsidRPr="007A7C6B">
        <w:rPr>
          <w:sz w:val="24"/>
          <w:szCs w:val="24"/>
        </w:rPr>
        <w:t>que definen</w:t>
      </w:r>
      <w:r w:rsidR="006724BE" w:rsidRPr="007A7C6B">
        <w:rPr>
          <w:sz w:val="24"/>
          <w:szCs w:val="24"/>
        </w:rPr>
        <w:t xml:space="preserve"> la violencia como aquellas conductas agresivas realizadas con un mayor grado de fuerza, lo que daría lugar a una conducta sin valor adaptativo, implicando una disfunción de los mecanismo</w:t>
      </w:r>
      <w:r w:rsidR="007053C2">
        <w:rPr>
          <w:sz w:val="24"/>
          <w:szCs w:val="24"/>
        </w:rPr>
        <w:t>s</w:t>
      </w:r>
      <w:r w:rsidR="006724BE" w:rsidRPr="007A7C6B">
        <w:rPr>
          <w:sz w:val="24"/>
          <w:szCs w:val="24"/>
        </w:rPr>
        <w:t xml:space="preserve"> neurales que median</w:t>
      </w:r>
      <w:r w:rsidR="003444C8" w:rsidRPr="007A7C6B">
        <w:rPr>
          <w:sz w:val="24"/>
          <w:szCs w:val="24"/>
        </w:rPr>
        <w:t xml:space="preserve"> en</w:t>
      </w:r>
      <w:r w:rsidR="006724BE" w:rsidRPr="007A7C6B">
        <w:rPr>
          <w:sz w:val="24"/>
          <w:szCs w:val="24"/>
        </w:rPr>
        <w:t xml:space="preserve"> la expresión y control </w:t>
      </w:r>
      <w:r w:rsidR="00DF23E7" w:rsidRPr="007A7C6B">
        <w:rPr>
          <w:sz w:val="24"/>
          <w:szCs w:val="24"/>
        </w:rPr>
        <w:t>(Asbed, 2017</w:t>
      </w:r>
      <w:r w:rsidR="0032376A" w:rsidRPr="007A7C6B">
        <w:rPr>
          <w:sz w:val="24"/>
          <w:szCs w:val="24"/>
        </w:rPr>
        <w:t>;</w:t>
      </w:r>
      <w:r w:rsidR="00DF23E7" w:rsidRPr="007A7C6B">
        <w:rPr>
          <w:sz w:val="24"/>
          <w:szCs w:val="24"/>
        </w:rPr>
        <w:t xml:space="preserve"> </w:t>
      </w:r>
      <w:r w:rsidR="00211EAA" w:rsidRPr="007A7C6B">
        <w:rPr>
          <w:sz w:val="24"/>
          <w:szCs w:val="24"/>
        </w:rPr>
        <w:t xml:space="preserve">Carrasco y González, 2006; Ortega-Escobar y Alcázar-Córcoles, 2019; </w:t>
      </w:r>
      <w:r w:rsidR="001C7E9E" w:rsidRPr="007A7C6B">
        <w:rPr>
          <w:sz w:val="24"/>
          <w:szCs w:val="24"/>
        </w:rPr>
        <w:t>Sepúlveda</w:t>
      </w:r>
      <w:r w:rsidR="00893390">
        <w:rPr>
          <w:sz w:val="24"/>
          <w:szCs w:val="24"/>
        </w:rPr>
        <w:t>-</w:t>
      </w:r>
      <w:r w:rsidR="00211EAA" w:rsidRPr="007A7C6B">
        <w:rPr>
          <w:sz w:val="24"/>
          <w:szCs w:val="24"/>
        </w:rPr>
        <w:t xml:space="preserve">Rojas y </w:t>
      </w:r>
      <w:r w:rsidR="0028116D" w:rsidRPr="007A7C6B">
        <w:rPr>
          <w:sz w:val="24"/>
          <w:szCs w:val="24"/>
        </w:rPr>
        <w:t>M</w:t>
      </w:r>
      <w:r w:rsidR="00211EAA" w:rsidRPr="007A7C6B">
        <w:rPr>
          <w:sz w:val="24"/>
          <w:szCs w:val="24"/>
        </w:rPr>
        <w:t>oreno</w:t>
      </w:r>
      <w:r w:rsidR="00893390">
        <w:rPr>
          <w:sz w:val="24"/>
          <w:szCs w:val="24"/>
        </w:rPr>
        <w:t>-</w:t>
      </w:r>
      <w:r w:rsidR="00211EAA" w:rsidRPr="007A7C6B">
        <w:rPr>
          <w:sz w:val="24"/>
          <w:szCs w:val="24"/>
        </w:rPr>
        <w:t xml:space="preserve">París, 2017). </w:t>
      </w:r>
      <w:r w:rsidR="00E96BC7" w:rsidRPr="007A7C6B">
        <w:rPr>
          <w:sz w:val="24"/>
          <w:szCs w:val="24"/>
        </w:rPr>
        <w:t xml:space="preserve">La violencia, por lo tanto, </w:t>
      </w:r>
      <w:r w:rsidR="006F7E5A" w:rsidRPr="007A7C6B">
        <w:rPr>
          <w:sz w:val="24"/>
          <w:szCs w:val="24"/>
        </w:rPr>
        <w:t>sería</w:t>
      </w:r>
      <w:r w:rsidR="00E96BC7" w:rsidRPr="007A7C6B">
        <w:rPr>
          <w:sz w:val="24"/>
          <w:szCs w:val="24"/>
        </w:rPr>
        <w:t xml:space="preserve"> un tipo de conducta </w:t>
      </w:r>
      <w:r w:rsidR="0028116D" w:rsidRPr="007A7C6B">
        <w:rPr>
          <w:sz w:val="24"/>
          <w:szCs w:val="24"/>
        </w:rPr>
        <w:t xml:space="preserve">prototípicamente </w:t>
      </w:r>
      <w:r w:rsidR="00E96BC7" w:rsidRPr="007A7C6B">
        <w:rPr>
          <w:sz w:val="24"/>
          <w:szCs w:val="24"/>
        </w:rPr>
        <w:t>humana, influenciada por factores sociales, culturales, biológicos y ambientales</w:t>
      </w:r>
      <w:r w:rsidR="0028116D" w:rsidRPr="007A7C6B">
        <w:rPr>
          <w:sz w:val="24"/>
          <w:szCs w:val="24"/>
        </w:rPr>
        <w:t xml:space="preserve"> con el elemento diferenciador de la intencionalidad dañina (elemento finalista)</w:t>
      </w:r>
      <w:r w:rsidR="00962C80" w:rsidRPr="007A7C6B">
        <w:rPr>
          <w:sz w:val="24"/>
          <w:szCs w:val="24"/>
        </w:rPr>
        <w:t xml:space="preserve"> (</w:t>
      </w:r>
      <w:r w:rsidR="002A2502" w:rsidRPr="007A7C6B">
        <w:rPr>
          <w:sz w:val="24"/>
          <w:szCs w:val="24"/>
        </w:rPr>
        <w:t>Sanmar</w:t>
      </w:r>
      <w:r w:rsidR="007D6A90">
        <w:rPr>
          <w:sz w:val="24"/>
          <w:szCs w:val="24"/>
        </w:rPr>
        <w:t>t</w:t>
      </w:r>
      <w:r w:rsidR="002A2502" w:rsidRPr="007A7C6B">
        <w:rPr>
          <w:sz w:val="24"/>
          <w:szCs w:val="24"/>
        </w:rPr>
        <w:t xml:space="preserve">ín, 2006; </w:t>
      </w:r>
      <w:r w:rsidR="00962C80" w:rsidRPr="007A7C6B">
        <w:rPr>
          <w:sz w:val="24"/>
          <w:szCs w:val="24"/>
        </w:rPr>
        <w:t>Siegel y Victoroff, 2009).</w:t>
      </w:r>
      <w:r w:rsidR="00127D48" w:rsidRPr="007A7C6B">
        <w:rPr>
          <w:sz w:val="24"/>
          <w:szCs w:val="24"/>
        </w:rPr>
        <w:t xml:space="preserve"> </w:t>
      </w:r>
      <w:r w:rsidR="00400DF1" w:rsidRPr="007A7C6B">
        <w:rPr>
          <w:sz w:val="24"/>
          <w:szCs w:val="24"/>
        </w:rPr>
        <w:t xml:space="preserve">No obstante, esta conceptualización no implica necesariamente que la agresividad y </w:t>
      </w:r>
      <w:r w:rsidR="002D3EE6" w:rsidRPr="007A7C6B">
        <w:rPr>
          <w:sz w:val="24"/>
          <w:szCs w:val="24"/>
        </w:rPr>
        <w:t xml:space="preserve">la </w:t>
      </w:r>
      <w:r w:rsidR="00400DF1" w:rsidRPr="007A7C6B">
        <w:rPr>
          <w:sz w:val="24"/>
          <w:szCs w:val="24"/>
        </w:rPr>
        <w:t xml:space="preserve">violencia sean dos categorías </w:t>
      </w:r>
      <w:r w:rsidR="0032376A" w:rsidRPr="007A7C6B">
        <w:rPr>
          <w:sz w:val="24"/>
          <w:szCs w:val="24"/>
        </w:rPr>
        <w:t>separadas</w:t>
      </w:r>
      <w:r w:rsidR="00400DF1" w:rsidRPr="007A7C6B">
        <w:rPr>
          <w:sz w:val="24"/>
          <w:szCs w:val="24"/>
        </w:rPr>
        <w:t>, al contrario, ambas están interrelacionadas, siendo toda violencia un</w:t>
      </w:r>
      <w:r w:rsidR="0028116D" w:rsidRPr="007A7C6B">
        <w:rPr>
          <w:sz w:val="24"/>
          <w:szCs w:val="24"/>
        </w:rPr>
        <w:t>a</w:t>
      </w:r>
      <w:r w:rsidR="00400DF1" w:rsidRPr="007A7C6B">
        <w:rPr>
          <w:sz w:val="24"/>
          <w:szCs w:val="24"/>
        </w:rPr>
        <w:t xml:space="preserve"> forma de agresividad, pero no toda la agresividad una forma de violencia </w:t>
      </w:r>
      <w:r w:rsidR="005E6B73" w:rsidRPr="007A7C6B">
        <w:rPr>
          <w:sz w:val="24"/>
          <w:szCs w:val="24"/>
        </w:rPr>
        <w:t>(Anderson y Bushman,</w:t>
      </w:r>
      <w:r w:rsidR="00F87D56" w:rsidRPr="007A7C6B">
        <w:rPr>
          <w:sz w:val="24"/>
          <w:szCs w:val="24"/>
        </w:rPr>
        <w:t xml:space="preserve"> 2001</w:t>
      </w:r>
      <w:r w:rsidR="005E6B73" w:rsidRPr="007A7C6B">
        <w:rPr>
          <w:sz w:val="24"/>
          <w:szCs w:val="24"/>
        </w:rPr>
        <w:t>)</w:t>
      </w:r>
      <w:r w:rsidR="0032376A" w:rsidRPr="007A7C6B">
        <w:rPr>
          <w:sz w:val="24"/>
          <w:szCs w:val="24"/>
        </w:rPr>
        <w:t>.</w:t>
      </w:r>
    </w:p>
    <w:p w14:paraId="10EEF9F6" w14:textId="186E19E7" w:rsidR="008E7EC4" w:rsidRPr="007A7C6B" w:rsidRDefault="008858CC">
      <w:pPr>
        <w:spacing w:line="360" w:lineRule="auto"/>
        <w:ind w:firstLine="708"/>
        <w:jc w:val="both"/>
        <w:rPr>
          <w:sz w:val="24"/>
          <w:szCs w:val="24"/>
        </w:rPr>
      </w:pPr>
      <w:r w:rsidRPr="007A7C6B">
        <w:rPr>
          <w:sz w:val="24"/>
          <w:szCs w:val="24"/>
        </w:rPr>
        <w:t xml:space="preserve">Una </w:t>
      </w:r>
      <w:r w:rsidR="00F53612" w:rsidRPr="007A7C6B">
        <w:rPr>
          <w:sz w:val="24"/>
          <w:szCs w:val="24"/>
        </w:rPr>
        <w:t xml:space="preserve">de las clasificaciones </w:t>
      </w:r>
      <w:r w:rsidR="007463C4" w:rsidRPr="007A7C6B">
        <w:rPr>
          <w:sz w:val="24"/>
          <w:szCs w:val="24"/>
        </w:rPr>
        <w:t xml:space="preserve">de las conductas agresivas es la diferenciación entre la agresión reactiva y la proactiva, teniendo como base el nivel de planificación e </w:t>
      </w:r>
      <w:r w:rsidR="007463C4" w:rsidRPr="007A7C6B">
        <w:rPr>
          <w:sz w:val="24"/>
          <w:szCs w:val="24"/>
        </w:rPr>
        <w:lastRenderedPageBreak/>
        <w:t>impulsividad con las que se lleva a cabo. Las agresiones reactivas contienen un mayor nivel de impulsividad y se dan como defensa a una provocación, mientras que la agresión proactiva carece</w:t>
      </w:r>
      <w:r w:rsidR="0028116D" w:rsidRPr="007A7C6B">
        <w:rPr>
          <w:sz w:val="24"/>
          <w:szCs w:val="24"/>
        </w:rPr>
        <w:t xml:space="preserve"> de</w:t>
      </w:r>
      <w:r w:rsidR="007463C4" w:rsidRPr="007A7C6B">
        <w:rPr>
          <w:sz w:val="24"/>
          <w:szCs w:val="24"/>
        </w:rPr>
        <w:t xml:space="preserve"> tales niveles de impulsividad, presentando una planificación y deliberación en la emisión de dicha conducta, a veces buscando algún beneficio secundario</w:t>
      </w:r>
      <w:r w:rsidR="003160E3" w:rsidRPr="007A7C6B">
        <w:rPr>
          <w:sz w:val="24"/>
          <w:szCs w:val="24"/>
        </w:rPr>
        <w:t xml:space="preserve"> (Hecht y Latzman, 2018)</w:t>
      </w:r>
      <w:r w:rsidR="007463C4" w:rsidRPr="007A7C6B">
        <w:rPr>
          <w:sz w:val="24"/>
          <w:szCs w:val="24"/>
        </w:rPr>
        <w:t>.</w:t>
      </w:r>
      <w:r w:rsidR="008E7EC4" w:rsidRPr="007A7C6B">
        <w:rPr>
          <w:sz w:val="24"/>
          <w:szCs w:val="24"/>
        </w:rPr>
        <w:t xml:space="preserve"> Otra diferenciación</w:t>
      </w:r>
      <w:r w:rsidR="0028116D" w:rsidRPr="007A7C6B">
        <w:rPr>
          <w:sz w:val="24"/>
          <w:szCs w:val="24"/>
        </w:rPr>
        <w:t xml:space="preserve"> similar</w:t>
      </w:r>
      <w:r w:rsidR="008E7EC4" w:rsidRPr="007A7C6B">
        <w:rPr>
          <w:sz w:val="24"/>
          <w:szCs w:val="24"/>
        </w:rPr>
        <w:t xml:space="preserve"> de las conductas agresivas sería instrumental y hostil, la primera implica obtener una ventaja </w:t>
      </w:r>
      <w:r w:rsidR="00D50C98" w:rsidRPr="007A7C6B">
        <w:rPr>
          <w:sz w:val="24"/>
          <w:szCs w:val="24"/>
        </w:rPr>
        <w:t xml:space="preserve">sobre la víctima mientras que la segunda solo tiene como objetivo infligir daño </w:t>
      </w:r>
      <w:r w:rsidR="007463C4" w:rsidRPr="007A7C6B">
        <w:rPr>
          <w:sz w:val="24"/>
          <w:szCs w:val="24"/>
        </w:rPr>
        <w:fldChar w:fldCharType="begin" w:fldLock="1"/>
      </w:r>
      <w:r w:rsidR="007463C4" w:rsidRPr="007A7C6B">
        <w:rPr>
          <w:sz w:val="24"/>
          <w:szCs w:val="24"/>
        </w:rPr>
        <w:instrText>ADDIN CSL_CITATION {"citationItems":[{"id":"ITEM-1","itemData":{"DOI":"10.1007/BF01261598","ISBN":"0800035550","ISSN":"00910627","abstract":"An analogue task of instrumental and hostile aggression during a competitive game, modified to minimize overlap between aggressive responses, was evaluated in 8- to 14-year-old clinically referred boys (n=33). Postgame interviews indicated that the hostile response, an aversive noise, was perceived by over 80% of subjects as hostile and not instrumental. In contrast, the instrumental response, blocking the opponent's game, was perceived about equally as having instrumental and hostile functions. The hostile aggressive response was uniquely correlated with continuous performance task impulsive commission errors (r=51), which supported the theoretical relation of hostile aggression to poor impulse control. These results suggest that instrumental and hostile aggression can be distinguished and when precisely defined are distinct in theoretically important ways. © 1993 Plenum Publishing Corporation.","author":[{"dropping-particle":"","family":"Atkins","given":"Marc S.","non-dropping-particle":"","parse-names":false,"suffix":""},{"dropping-particle":"","family":"Stoff","given":"David M.","non-dropping-particle":"","parse-names":false,"suffix":""},{"dropping-particle":"","family":"Osborne","given":"Mary L.","non-dropping-particle":"","parse-names":false,"suffix":""},{"dropping-particle":"","family":"Brown","given":"Kirn","non-dropping-particle":"","parse-names":false,"suffix":""}],"container-title":"Journal of Abnormal Child Psychology","id":"ITEM-1","issue":"4","issued":{"date-parts":[["1993"]]},"page":"355-365","title":"Distinguishing instrumental and hostile aggression: Does it make a difference?","type":"article-journal","volume":"21"},"uris":["http://www.mendeley.com/documents/?uuid=5d354a6c-6197-4db7-b678-afc065318f03"]}],"mendeley":{"formattedCitation":"(Atkins, Stoff, Osborne, &amp; Brown, 1993)","plainTextFormattedCitation":"(Atkins, Stoff, Osborne, &amp; Brown, 1993)","previouslyFormattedCitation":"(Atkins, Stoff, Osborne, &amp; Brown, 1993)"},"properties":{"noteIndex":0},"schema":"https://github.com/citation-style-language/schema/raw/master/csl-citation.json"}</w:instrText>
      </w:r>
      <w:r w:rsidR="007463C4" w:rsidRPr="007A7C6B">
        <w:rPr>
          <w:sz w:val="24"/>
          <w:szCs w:val="24"/>
        </w:rPr>
        <w:fldChar w:fldCharType="separate"/>
      </w:r>
      <w:r w:rsidR="007463C4" w:rsidRPr="007A7C6B">
        <w:rPr>
          <w:noProof/>
          <w:sz w:val="24"/>
          <w:szCs w:val="24"/>
        </w:rPr>
        <w:t xml:space="preserve">(Atkins, Stoff, Osborne </w:t>
      </w:r>
      <w:r w:rsidR="00E963C8" w:rsidRPr="007A7C6B">
        <w:rPr>
          <w:noProof/>
          <w:sz w:val="24"/>
          <w:szCs w:val="24"/>
        </w:rPr>
        <w:t>y</w:t>
      </w:r>
      <w:r w:rsidR="007463C4" w:rsidRPr="007A7C6B">
        <w:rPr>
          <w:noProof/>
          <w:sz w:val="24"/>
          <w:szCs w:val="24"/>
        </w:rPr>
        <w:t xml:space="preserve"> Brown, 1993)</w:t>
      </w:r>
      <w:r w:rsidR="007463C4" w:rsidRPr="007A7C6B">
        <w:rPr>
          <w:sz w:val="24"/>
          <w:szCs w:val="24"/>
        </w:rPr>
        <w:fldChar w:fldCharType="end"/>
      </w:r>
      <w:r w:rsidR="007463C4" w:rsidRPr="007A7C6B">
        <w:rPr>
          <w:sz w:val="24"/>
          <w:szCs w:val="24"/>
        </w:rPr>
        <w:t xml:space="preserve">. </w:t>
      </w:r>
    </w:p>
    <w:p w14:paraId="7CBE7EDB" w14:textId="091702AA" w:rsidR="00BD7270" w:rsidRPr="007A7C6B" w:rsidRDefault="00662517">
      <w:pPr>
        <w:spacing w:line="360" w:lineRule="auto"/>
        <w:jc w:val="both"/>
        <w:rPr>
          <w:sz w:val="24"/>
          <w:szCs w:val="24"/>
        </w:rPr>
      </w:pPr>
      <w:r w:rsidRPr="007A7C6B">
        <w:rPr>
          <w:sz w:val="24"/>
          <w:szCs w:val="24"/>
        </w:rPr>
        <w:t>En la misma línea,</w:t>
      </w:r>
      <w:r w:rsidR="007463C4" w:rsidRPr="007A7C6B">
        <w:rPr>
          <w:sz w:val="24"/>
          <w:szCs w:val="24"/>
        </w:rPr>
        <w:t xml:space="preserve"> Andreu, </w:t>
      </w:r>
      <w:r w:rsidR="00EB20E9">
        <w:rPr>
          <w:sz w:val="24"/>
          <w:szCs w:val="24"/>
        </w:rPr>
        <w:t>Martín</w:t>
      </w:r>
      <w:r w:rsidR="00EB20E9" w:rsidRPr="007A7C6B">
        <w:rPr>
          <w:sz w:val="24"/>
          <w:szCs w:val="24"/>
        </w:rPr>
        <w:t xml:space="preserve"> </w:t>
      </w:r>
      <w:r w:rsidR="007463C4" w:rsidRPr="007A7C6B">
        <w:rPr>
          <w:sz w:val="24"/>
          <w:szCs w:val="24"/>
        </w:rPr>
        <w:t>y Raine (2006) plantearon un modelo dicotómico de la agresión que permitiera una clasificación mucho más sencilla. Establecieron dos dimensiones: “</w:t>
      </w:r>
      <w:r w:rsidR="007463C4" w:rsidRPr="007A7C6B">
        <w:rPr>
          <w:i/>
          <w:iCs/>
          <w:sz w:val="24"/>
          <w:szCs w:val="24"/>
        </w:rPr>
        <w:t>reactiva-hostil-impulsiva</w:t>
      </w:r>
      <w:r w:rsidR="007463C4" w:rsidRPr="007A7C6B">
        <w:rPr>
          <w:sz w:val="24"/>
          <w:szCs w:val="24"/>
        </w:rPr>
        <w:t>” y “</w:t>
      </w:r>
      <w:r w:rsidR="007463C4" w:rsidRPr="007A7C6B">
        <w:rPr>
          <w:i/>
          <w:iCs/>
          <w:sz w:val="24"/>
          <w:szCs w:val="24"/>
        </w:rPr>
        <w:t>proactiva-instrumental</w:t>
      </w:r>
      <w:r w:rsidR="007463C4" w:rsidRPr="007A7C6B">
        <w:rPr>
          <w:sz w:val="24"/>
          <w:szCs w:val="24"/>
        </w:rPr>
        <w:t>-</w:t>
      </w:r>
      <w:r w:rsidR="007463C4" w:rsidRPr="007A7C6B">
        <w:rPr>
          <w:i/>
          <w:iCs/>
          <w:sz w:val="24"/>
          <w:szCs w:val="24"/>
        </w:rPr>
        <w:t>planificada</w:t>
      </w:r>
      <w:r w:rsidR="007463C4" w:rsidRPr="007A7C6B">
        <w:rPr>
          <w:sz w:val="24"/>
          <w:szCs w:val="24"/>
        </w:rPr>
        <w:t xml:space="preserve">”. La primera, englobaría todas aquellas conductas cuyo objetivo es causar daño a otro, asociadas tanto a reacciones defensivas como bajos niveles de autocontrol. La segunda dimensión se relaciona con la agresión como modo de alcanzar objetivos u obtener beneficios, y no se relacionaría necesariamente con niveles de autocontrol bajos como </w:t>
      </w:r>
      <w:r w:rsidR="00E744E9" w:rsidRPr="007A7C6B">
        <w:rPr>
          <w:sz w:val="24"/>
          <w:szCs w:val="24"/>
        </w:rPr>
        <w:t xml:space="preserve">en </w:t>
      </w:r>
      <w:r w:rsidR="007463C4" w:rsidRPr="007A7C6B">
        <w:rPr>
          <w:sz w:val="24"/>
          <w:szCs w:val="24"/>
        </w:rPr>
        <w:t>la anterior.</w:t>
      </w:r>
    </w:p>
    <w:p w14:paraId="214065B6" w14:textId="2831A003" w:rsidR="00737BF0" w:rsidRPr="007A7C6B" w:rsidRDefault="00741769">
      <w:pPr>
        <w:spacing w:line="360" w:lineRule="auto"/>
        <w:ind w:firstLine="708"/>
        <w:jc w:val="both"/>
        <w:rPr>
          <w:sz w:val="24"/>
          <w:szCs w:val="24"/>
        </w:rPr>
      </w:pPr>
      <w:r w:rsidRPr="007A7C6B">
        <w:rPr>
          <w:sz w:val="24"/>
          <w:szCs w:val="24"/>
        </w:rPr>
        <w:t>El concepto de agresión se encuentra estrechamente relacionado con otros como la</w:t>
      </w:r>
      <w:r w:rsidR="00EC3AF9" w:rsidRPr="007A7C6B">
        <w:rPr>
          <w:sz w:val="24"/>
          <w:szCs w:val="24"/>
        </w:rPr>
        <w:t xml:space="preserve"> es la </w:t>
      </w:r>
      <w:r w:rsidRPr="007A7C6B">
        <w:rPr>
          <w:sz w:val="24"/>
          <w:szCs w:val="24"/>
        </w:rPr>
        <w:t>ira</w:t>
      </w:r>
      <w:r w:rsidR="00136ADE" w:rsidRPr="007A7C6B">
        <w:rPr>
          <w:sz w:val="24"/>
          <w:szCs w:val="24"/>
        </w:rPr>
        <w:t xml:space="preserve"> y la hostilidad</w:t>
      </w:r>
      <w:r w:rsidR="00EC3AF9" w:rsidRPr="007A7C6B">
        <w:rPr>
          <w:sz w:val="24"/>
          <w:szCs w:val="24"/>
        </w:rPr>
        <w:t xml:space="preserve">. </w:t>
      </w:r>
      <w:r w:rsidRPr="007A7C6B">
        <w:rPr>
          <w:sz w:val="24"/>
          <w:szCs w:val="24"/>
        </w:rPr>
        <w:t>Respecto a la ira</w:t>
      </w:r>
      <w:r w:rsidR="001A60BA">
        <w:rPr>
          <w:sz w:val="24"/>
          <w:szCs w:val="24"/>
        </w:rPr>
        <w:t>,</w:t>
      </w:r>
      <w:r w:rsidRPr="007A7C6B">
        <w:rPr>
          <w:sz w:val="24"/>
          <w:szCs w:val="24"/>
        </w:rPr>
        <w:t xml:space="preserve"> se caracteriza principalmente por un elevado afecto negativo y tendencia a la activación fisiológica</w:t>
      </w:r>
      <w:r w:rsidR="002F572D" w:rsidRPr="007A7C6B">
        <w:rPr>
          <w:sz w:val="24"/>
          <w:szCs w:val="24"/>
        </w:rPr>
        <w:t>, pero esta no per</w:t>
      </w:r>
      <w:r w:rsidR="00AF3E5C" w:rsidRPr="007A7C6B">
        <w:rPr>
          <w:sz w:val="24"/>
          <w:szCs w:val="24"/>
        </w:rPr>
        <w:t>si</w:t>
      </w:r>
      <w:r w:rsidR="002F572D" w:rsidRPr="007A7C6B">
        <w:rPr>
          <w:sz w:val="24"/>
          <w:szCs w:val="24"/>
        </w:rPr>
        <w:t>gu</w:t>
      </w:r>
      <w:r w:rsidR="00AF3E5C" w:rsidRPr="007A7C6B">
        <w:rPr>
          <w:sz w:val="24"/>
          <w:szCs w:val="24"/>
        </w:rPr>
        <w:t>e</w:t>
      </w:r>
      <w:r w:rsidR="002F572D" w:rsidRPr="007A7C6B">
        <w:rPr>
          <w:sz w:val="24"/>
          <w:szCs w:val="24"/>
        </w:rPr>
        <w:t xml:space="preserve"> una meta en concreto como ocurre en la agresión</w:t>
      </w:r>
      <w:r w:rsidRPr="007A7C6B">
        <w:rPr>
          <w:sz w:val="24"/>
          <w:szCs w:val="24"/>
        </w:rPr>
        <w:t xml:space="preserve"> </w:t>
      </w:r>
      <w:r w:rsidRPr="007A7C6B">
        <w:rPr>
          <w:sz w:val="24"/>
          <w:szCs w:val="24"/>
        </w:rPr>
        <w:fldChar w:fldCharType="begin" w:fldLock="1"/>
      </w:r>
      <w:r w:rsidRPr="007A7C6B">
        <w:rPr>
          <w:sz w:val="24"/>
          <w:szCs w:val="24"/>
        </w:rPr>
        <w:instrText>ADDIN CSL_CITATION {"citationItems":[{"id":"ITEM-1","itemData":{"ISSN":"1138-493X","abstract":"El presente trabajo persigue dar una visión amplia del fenómeno emocional de la ira, repasando las distintas aproximaciones y conceptualizaciones realizadas desde distintas corrientes teóricas en el estudio de la emoción. Con ello se intenta optimizar la evaluación y el tratamiento de la ira, repasando los autoinformes más relevantes en su evaluación y los métodos utilizados en los programas de prevención primaria y secundaria que mejores resultados han mostrado. Finalmente se proponen elementos básicos para el tratamiento de la ira. La inclusión en mismo trabajo de trabajos procedentes de la psicología básica, la evaluación y el tratamiento favorecerá una mejor aproximación a la ira.","author":[{"dropping-particle":"","family":"Pérez Nieto","given":"Miguel","non-dropping-particle":"","parse-names":false,"suffix":""},{"dropping-particle":"","family":"Redondo Delgado","given":"Marta","non-dropping-particle":"","parse-names":false,"suffix":""},{"dropping-particle":"","family":"León","given":"Leticia","non-dropping-particle":"","parse-names":false,"suffix":""}],"container-title":"Reme","id":"ITEM-1","issue":"28","issued":{"date-parts":[["2008"]]},"page":"5","title":"Aproximaciones a la emoción de ira: de la conceptualización a la intervención psicológica","type":"article-journal","volume":"11"},"uris":["http://www.mendeley.com/documents/?uuid=2e591f5f-b9d9-404f-af3d-b70f1ea0f7e5"]}],"mendeley":{"formattedCitation":"(Pérez Nieto, Redondo Delgado, &amp; León, 2008)","plainTextFormattedCitation":"(Pérez Nieto, Redondo Delgado, &amp; León, 2008)","previouslyFormattedCitation":"(Pérez Nieto, Redondo Delgado, &amp; León, 2008)"},"properties":{"noteIndex":0},"schema":"https://github.com/citation-style-language/schema/raw/master/csl-citation.json"}</w:instrText>
      </w:r>
      <w:r w:rsidRPr="007A7C6B">
        <w:rPr>
          <w:sz w:val="24"/>
          <w:szCs w:val="24"/>
        </w:rPr>
        <w:fldChar w:fldCharType="separate"/>
      </w:r>
      <w:r w:rsidRPr="007A7C6B">
        <w:rPr>
          <w:noProof/>
          <w:sz w:val="24"/>
          <w:szCs w:val="24"/>
        </w:rPr>
        <w:t>(</w:t>
      </w:r>
      <w:r w:rsidR="007B77F5" w:rsidRPr="007A7C6B">
        <w:rPr>
          <w:sz w:val="24"/>
          <w:szCs w:val="24"/>
        </w:rPr>
        <w:t>Matalinares et al.</w:t>
      </w:r>
      <w:r w:rsidR="00AF3E5C" w:rsidRPr="007A7C6B">
        <w:rPr>
          <w:noProof/>
          <w:sz w:val="24"/>
          <w:szCs w:val="24"/>
        </w:rPr>
        <w:t>,</w:t>
      </w:r>
      <w:r w:rsidR="00C514C9" w:rsidRPr="007A7C6B">
        <w:rPr>
          <w:noProof/>
          <w:sz w:val="24"/>
          <w:szCs w:val="24"/>
        </w:rPr>
        <w:t xml:space="preserve"> </w:t>
      </w:r>
      <w:r w:rsidR="00AF3E5C" w:rsidRPr="007A7C6B">
        <w:rPr>
          <w:noProof/>
          <w:sz w:val="24"/>
          <w:szCs w:val="24"/>
        </w:rPr>
        <w:t>2012;</w:t>
      </w:r>
      <w:r w:rsidR="00BD3ABA" w:rsidRPr="007A7C6B">
        <w:rPr>
          <w:noProof/>
          <w:sz w:val="24"/>
          <w:szCs w:val="24"/>
        </w:rPr>
        <w:t xml:space="preserve"> </w:t>
      </w:r>
      <w:r w:rsidRPr="007A7C6B">
        <w:rPr>
          <w:noProof/>
          <w:sz w:val="24"/>
          <w:szCs w:val="24"/>
        </w:rPr>
        <w:t>Pérez</w:t>
      </w:r>
      <w:r w:rsidR="00181442">
        <w:rPr>
          <w:noProof/>
          <w:sz w:val="24"/>
          <w:szCs w:val="24"/>
        </w:rPr>
        <w:t>-</w:t>
      </w:r>
      <w:r w:rsidRPr="007A7C6B">
        <w:rPr>
          <w:noProof/>
          <w:sz w:val="24"/>
          <w:szCs w:val="24"/>
        </w:rPr>
        <w:t>Nieto, Redondo</w:t>
      </w:r>
      <w:r w:rsidR="00181442">
        <w:rPr>
          <w:noProof/>
          <w:sz w:val="24"/>
          <w:szCs w:val="24"/>
        </w:rPr>
        <w:t>-</w:t>
      </w:r>
      <w:r w:rsidRPr="007A7C6B">
        <w:rPr>
          <w:noProof/>
          <w:sz w:val="24"/>
          <w:szCs w:val="24"/>
        </w:rPr>
        <w:t xml:space="preserve">Delgado </w:t>
      </w:r>
      <w:r w:rsidR="00AF3E5C" w:rsidRPr="007A7C6B">
        <w:rPr>
          <w:noProof/>
          <w:sz w:val="24"/>
          <w:szCs w:val="24"/>
        </w:rPr>
        <w:t>y</w:t>
      </w:r>
      <w:r w:rsidRPr="007A7C6B">
        <w:rPr>
          <w:noProof/>
          <w:sz w:val="24"/>
          <w:szCs w:val="24"/>
        </w:rPr>
        <w:t xml:space="preserve"> León, 2008)</w:t>
      </w:r>
      <w:r w:rsidRPr="007A7C6B">
        <w:rPr>
          <w:sz w:val="24"/>
          <w:szCs w:val="24"/>
        </w:rPr>
        <w:fldChar w:fldCharType="end"/>
      </w:r>
      <w:r w:rsidRPr="007A7C6B">
        <w:rPr>
          <w:sz w:val="24"/>
          <w:szCs w:val="24"/>
        </w:rPr>
        <w:t>. Spielberger</w:t>
      </w:r>
      <w:r w:rsidR="00DA185F">
        <w:rPr>
          <w:sz w:val="24"/>
          <w:szCs w:val="24"/>
        </w:rPr>
        <w:t xml:space="preserve"> </w:t>
      </w:r>
      <w:r w:rsidR="00914AAC">
        <w:rPr>
          <w:sz w:val="24"/>
          <w:szCs w:val="24"/>
        </w:rPr>
        <w:t>(1988)</w:t>
      </w:r>
      <w:r w:rsidRPr="007A7C6B">
        <w:rPr>
          <w:sz w:val="24"/>
          <w:szCs w:val="24"/>
        </w:rPr>
        <w:t xml:space="preserve"> (como se citó en </w:t>
      </w:r>
      <w:r w:rsidRPr="007A7C6B">
        <w:rPr>
          <w:sz w:val="24"/>
          <w:szCs w:val="24"/>
        </w:rPr>
        <w:fldChar w:fldCharType="begin" w:fldLock="1"/>
      </w:r>
      <w:r w:rsidRPr="007A7C6B">
        <w:rPr>
          <w:sz w:val="24"/>
          <w:szCs w:val="24"/>
        </w:rPr>
        <w:instrText>ADDIN CSL_CITATION {"citationItems":[{"id":"ITEM-1","itemData":{"DOI":"10.5944/ap.4.2.484","ISSN":"1578-908X","author":[{"dropping-particle":"","family":"Samper García","given":"Paula","non-dropping-particle":"","parse-names":false,"suffix":""},{"dropping-particle":"","family":"Aparici","given":"G.","non-dropping-particle":"","parse-names":false,"suffix":""},{"dropping-particle":"","family":"Mestre","given":"Vicenta","non-dropping-particle":"","parse-names":false,"suffix":""}],"container-title":"Acción Psicológica","id":"ITEM-1","issue":"2","issued":{"date-parts":[["2006"]]},"title":"La agresividad auto y heteroevaluada: variables implicadas [Self and heteroinform aggression: involved variables]","type":"article-journal","volume":"4"},"uris":["http://www.mendeley.com/documents/?uuid=1b46e2f7-7422-44d6-8248-d53780423e2e"]}],"mendeley":{"formattedCitation":"(Samper García, Aparici, &amp; Mestre, 2006)","manualFormatting":"Samper García, Aparici, &amp; Mestre, 2006)","plainTextFormattedCitation":"(Samper García, Aparici, &amp; Mestre, 2006)","previouslyFormattedCitation":"(Samper García, Aparici, &amp; Mestre, 2006)"},"properties":{"noteIndex":0},"schema":"https://github.com/citation-style-language/schema/raw/master/csl-citation.json"}</w:instrText>
      </w:r>
      <w:r w:rsidRPr="007A7C6B">
        <w:rPr>
          <w:sz w:val="24"/>
          <w:szCs w:val="24"/>
        </w:rPr>
        <w:fldChar w:fldCharType="separate"/>
      </w:r>
      <w:r w:rsidRPr="007A7C6B">
        <w:rPr>
          <w:noProof/>
          <w:sz w:val="24"/>
          <w:szCs w:val="24"/>
        </w:rPr>
        <w:t>Samper</w:t>
      </w:r>
      <w:r w:rsidR="00851756">
        <w:rPr>
          <w:noProof/>
          <w:sz w:val="24"/>
          <w:szCs w:val="24"/>
        </w:rPr>
        <w:t>-</w:t>
      </w:r>
      <w:r w:rsidRPr="007A7C6B">
        <w:rPr>
          <w:noProof/>
          <w:sz w:val="24"/>
          <w:szCs w:val="24"/>
        </w:rPr>
        <w:t xml:space="preserve">García, Aparici, </w:t>
      </w:r>
      <w:r w:rsidR="00BF5B03" w:rsidRPr="007A7C6B">
        <w:rPr>
          <w:noProof/>
          <w:sz w:val="24"/>
          <w:szCs w:val="24"/>
        </w:rPr>
        <w:t>y</w:t>
      </w:r>
      <w:r w:rsidRPr="007A7C6B">
        <w:rPr>
          <w:noProof/>
          <w:sz w:val="24"/>
          <w:szCs w:val="24"/>
        </w:rPr>
        <w:t xml:space="preserve"> Mestre, 2006)</w:t>
      </w:r>
      <w:r w:rsidRPr="007A7C6B">
        <w:rPr>
          <w:sz w:val="24"/>
          <w:szCs w:val="24"/>
        </w:rPr>
        <w:fldChar w:fldCharType="end"/>
      </w:r>
      <w:r w:rsidRPr="007A7C6B">
        <w:rPr>
          <w:sz w:val="24"/>
          <w:szCs w:val="24"/>
        </w:rPr>
        <w:t xml:space="preserve"> </w:t>
      </w:r>
      <w:r w:rsidRPr="007A7C6B">
        <w:rPr>
          <w:noProof/>
          <w:sz w:val="24"/>
          <w:szCs w:val="24"/>
        </w:rPr>
        <w:t xml:space="preserve">se centró en diferenciar la ira de la hostilidad y la agresión, proponiendo así lo que llamó el </w:t>
      </w:r>
      <w:r w:rsidRPr="007A7C6B">
        <w:rPr>
          <w:sz w:val="24"/>
          <w:szCs w:val="24"/>
        </w:rPr>
        <w:t xml:space="preserve">síndrome </w:t>
      </w:r>
      <w:r w:rsidRPr="0093245E">
        <w:rPr>
          <w:i/>
          <w:iCs/>
          <w:sz w:val="24"/>
          <w:szCs w:val="24"/>
        </w:rPr>
        <w:t>Anger-Hostility-Agressión</w:t>
      </w:r>
      <w:r w:rsidR="00A52A67" w:rsidRPr="007A7C6B">
        <w:rPr>
          <w:sz w:val="24"/>
          <w:szCs w:val="24"/>
        </w:rPr>
        <w:t xml:space="preserve"> (AHA</w:t>
      </w:r>
      <w:r w:rsidRPr="007A7C6B">
        <w:rPr>
          <w:sz w:val="24"/>
          <w:szCs w:val="24"/>
        </w:rPr>
        <w:t>) al continuo de secuencias que iniciaban en la ira y cuya activación hacia pasar a la persona a tener una actitud hostil que implicaban un conjunto de actitudes negativas complejas y desembocaba en una acción violenta como es la agresión</w:t>
      </w:r>
      <w:r w:rsidR="00205267" w:rsidRPr="007A7C6B">
        <w:rPr>
          <w:sz w:val="24"/>
          <w:szCs w:val="24"/>
        </w:rPr>
        <w:t xml:space="preserve">. Por otro lado, la hostilidad implica una evaluación negativa acerca de las personas y las cosas, junto al deseo de provocar daño. </w:t>
      </w:r>
      <w:r w:rsidR="004C4274" w:rsidRPr="007A7C6B">
        <w:rPr>
          <w:sz w:val="24"/>
          <w:szCs w:val="24"/>
        </w:rPr>
        <w:t>La manifestación de esta se muestra a través del resentimiento</w:t>
      </w:r>
      <w:r w:rsidR="001A60BA">
        <w:rPr>
          <w:sz w:val="24"/>
          <w:szCs w:val="24"/>
        </w:rPr>
        <w:t>,</w:t>
      </w:r>
      <w:r w:rsidR="004C4274" w:rsidRPr="007A7C6B">
        <w:rPr>
          <w:sz w:val="24"/>
          <w:szCs w:val="24"/>
        </w:rPr>
        <w:t xml:space="preserve"> junto a sentimientos de enfado o ira que pueden desembocar en conductas agresivas</w:t>
      </w:r>
      <w:r w:rsidR="004847ED" w:rsidRPr="007A7C6B">
        <w:rPr>
          <w:sz w:val="24"/>
          <w:szCs w:val="24"/>
        </w:rPr>
        <w:t xml:space="preserve"> (</w:t>
      </w:r>
      <w:r w:rsidR="009122AF" w:rsidRPr="007A7C6B">
        <w:rPr>
          <w:sz w:val="24"/>
          <w:szCs w:val="24"/>
        </w:rPr>
        <w:t>Matalinares et al.</w:t>
      </w:r>
      <w:r w:rsidR="009122AF" w:rsidRPr="007A7C6B">
        <w:rPr>
          <w:noProof/>
          <w:sz w:val="24"/>
          <w:szCs w:val="24"/>
        </w:rPr>
        <w:t xml:space="preserve"> ,2012; </w:t>
      </w:r>
      <w:r w:rsidR="00563D7A" w:rsidRPr="007A7C6B">
        <w:rPr>
          <w:noProof/>
          <w:sz w:val="24"/>
          <w:szCs w:val="24"/>
        </w:rPr>
        <w:t>Pérez</w:t>
      </w:r>
      <w:r w:rsidR="00563D7A">
        <w:rPr>
          <w:noProof/>
          <w:sz w:val="24"/>
          <w:szCs w:val="24"/>
        </w:rPr>
        <w:t>-</w:t>
      </w:r>
      <w:r w:rsidR="009122AF" w:rsidRPr="007A7C6B">
        <w:rPr>
          <w:noProof/>
          <w:sz w:val="24"/>
          <w:szCs w:val="24"/>
        </w:rPr>
        <w:t>Nieto</w:t>
      </w:r>
      <w:r w:rsidR="008604B2" w:rsidRPr="007A7C6B">
        <w:rPr>
          <w:noProof/>
          <w:sz w:val="24"/>
          <w:szCs w:val="24"/>
        </w:rPr>
        <w:t xml:space="preserve"> et al.</w:t>
      </w:r>
      <w:r w:rsidR="009122AF" w:rsidRPr="007A7C6B">
        <w:rPr>
          <w:noProof/>
          <w:sz w:val="24"/>
          <w:szCs w:val="24"/>
        </w:rPr>
        <w:t>, 2008)</w:t>
      </w:r>
    </w:p>
    <w:p w14:paraId="1B55691C" w14:textId="5F9A9242" w:rsidR="00281FFA" w:rsidRDefault="005D3C93" w:rsidP="00281FFA">
      <w:pPr>
        <w:spacing w:line="360" w:lineRule="auto"/>
        <w:jc w:val="both"/>
        <w:rPr>
          <w:sz w:val="24"/>
          <w:szCs w:val="24"/>
        </w:rPr>
      </w:pPr>
      <w:bookmarkStart w:id="1" w:name="_Hlk34988577"/>
      <w:r w:rsidRPr="007A7C6B">
        <w:rPr>
          <w:sz w:val="24"/>
          <w:szCs w:val="24"/>
        </w:rPr>
        <w:t xml:space="preserve">Uno de los trastornos estrechamente relacionados con la conducta violenta humana es la psicopatía, por lo que su estudio ha tenido prioridad </w:t>
      </w:r>
      <w:r w:rsidR="006644A8">
        <w:rPr>
          <w:sz w:val="24"/>
          <w:szCs w:val="24"/>
        </w:rPr>
        <w:t xml:space="preserve">tanto </w:t>
      </w:r>
      <w:r w:rsidRPr="007A7C6B">
        <w:rPr>
          <w:sz w:val="24"/>
          <w:szCs w:val="24"/>
        </w:rPr>
        <w:t xml:space="preserve">en el ámbito de la psicología forense como de la criminología (Ortega-Escobar y Alcázar-Córcoles, 2019). </w:t>
      </w:r>
    </w:p>
    <w:p w14:paraId="08E04402" w14:textId="6E6BAFB8" w:rsidR="00281FFA" w:rsidRDefault="00281FFA" w:rsidP="00281FFA">
      <w:pPr>
        <w:spacing w:line="360" w:lineRule="auto"/>
        <w:jc w:val="both"/>
        <w:rPr>
          <w:sz w:val="24"/>
          <w:szCs w:val="24"/>
        </w:rPr>
      </w:pPr>
      <w:r w:rsidRPr="007A7C6B">
        <w:rPr>
          <w:sz w:val="24"/>
          <w:szCs w:val="24"/>
        </w:rPr>
        <w:lastRenderedPageBreak/>
        <w:t xml:space="preserve">En este mismo siglo, la obra de Hervey Cleckley, </w:t>
      </w:r>
      <w:r w:rsidRPr="007A7C6B">
        <w:rPr>
          <w:i/>
          <w:iCs/>
          <w:sz w:val="24"/>
          <w:szCs w:val="24"/>
        </w:rPr>
        <w:t>The mask of sanity</w:t>
      </w:r>
      <w:r w:rsidRPr="007A7C6B">
        <w:rPr>
          <w:sz w:val="24"/>
          <w:szCs w:val="24"/>
        </w:rPr>
        <w:t xml:space="preserve"> (1941), propuso una de las primeras descripciones del psicópata. En esta obra se proponen 16 características del psicópata, extraídas de la experiencia clínica del autor durante su trabajo en un hospital psiquiátrico. La propuesta de Cleckley serviría de base para la creación de la herramienta más empleada para la medición de la psicopatía, el Psychopathy Checklist (PCL)</w:t>
      </w:r>
      <w:r w:rsidR="0093245E">
        <w:rPr>
          <w:sz w:val="24"/>
          <w:szCs w:val="24"/>
        </w:rPr>
        <w:t xml:space="preserve"> (1980)</w:t>
      </w:r>
      <w:r w:rsidRPr="007A7C6B">
        <w:rPr>
          <w:sz w:val="24"/>
          <w:szCs w:val="24"/>
        </w:rPr>
        <w:t xml:space="preserve">, de Robert Hare (Ortega- Escobar y Alcázar-Córcoles, 2019; </w:t>
      </w:r>
      <w:r w:rsidRPr="007A7C6B">
        <w:rPr>
          <w:rFonts w:ascii="Times New Roman" w:eastAsia="Times New Roman" w:hAnsi="Times New Roman" w:cs="Times New Roman"/>
          <w:sz w:val="24"/>
          <w:szCs w:val="24"/>
          <w:lang w:eastAsia="es-ES"/>
        </w:rPr>
        <w:t>Weber</w:t>
      </w:r>
      <w:r w:rsidRPr="007A7C6B">
        <w:t xml:space="preserve">, </w:t>
      </w:r>
      <w:r w:rsidRPr="007A7C6B">
        <w:rPr>
          <w:rFonts w:ascii="Times New Roman" w:eastAsia="Times New Roman" w:hAnsi="Times New Roman" w:cs="Times New Roman"/>
          <w:sz w:val="24"/>
          <w:szCs w:val="24"/>
          <w:lang w:eastAsia="es-ES"/>
        </w:rPr>
        <w:t>Amunts</w:t>
      </w:r>
      <w:r w:rsidRPr="007A7C6B">
        <w:t xml:space="preserve"> y </w:t>
      </w:r>
      <w:r w:rsidRPr="007A7C6B">
        <w:rPr>
          <w:rFonts w:ascii="Times New Roman" w:eastAsia="Times New Roman" w:hAnsi="Times New Roman" w:cs="Times New Roman"/>
          <w:sz w:val="24"/>
          <w:szCs w:val="24"/>
          <w:lang w:eastAsia="es-ES"/>
        </w:rPr>
        <w:t>Schneider</w:t>
      </w:r>
      <w:r w:rsidRPr="007A7C6B">
        <w:t>, 2008</w:t>
      </w:r>
      <w:r w:rsidRPr="007A7C6B">
        <w:rPr>
          <w:sz w:val="24"/>
          <w:szCs w:val="24"/>
        </w:rPr>
        <w:t xml:space="preserve">). </w:t>
      </w:r>
    </w:p>
    <w:p w14:paraId="4403C451" w14:textId="77777777" w:rsidR="00281FFA" w:rsidRPr="00B4010B" w:rsidRDefault="00281FFA" w:rsidP="00281FFA">
      <w:pPr>
        <w:spacing w:line="360" w:lineRule="auto"/>
        <w:jc w:val="both"/>
        <w:rPr>
          <w:sz w:val="24"/>
          <w:szCs w:val="24"/>
        </w:rPr>
      </w:pPr>
      <w:r w:rsidRPr="00B4010B">
        <w:rPr>
          <w:sz w:val="24"/>
          <w:szCs w:val="24"/>
        </w:rPr>
        <w:t xml:space="preserve">Robert Hare </w:t>
      </w:r>
      <w:r>
        <w:rPr>
          <w:sz w:val="24"/>
          <w:szCs w:val="24"/>
        </w:rPr>
        <w:t>describe a los psicópatas</w:t>
      </w:r>
      <w:r w:rsidRPr="00B4010B">
        <w:rPr>
          <w:sz w:val="24"/>
          <w:szCs w:val="24"/>
        </w:rPr>
        <w:t xml:space="preserve"> como:</w:t>
      </w:r>
    </w:p>
    <w:p w14:paraId="5F8F3276" w14:textId="77777777" w:rsidR="00281FFA" w:rsidRPr="00B4010B" w:rsidRDefault="00281FFA" w:rsidP="00281FFA">
      <w:pPr>
        <w:spacing w:line="360" w:lineRule="auto"/>
        <w:ind w:left="708"/>
        <w:jc w:val="both"/>
        <w:rPr>
          <w:sz w:val="24"/>
          <w:szCs w:val="24"/>
        </w:rPr>
      </w:pPr>
      <w:r w:rsidRPr="00B4010B">
        <w:rPr>
          <w:sz w:val="24"/>
          <w:szCs w:val="24"/>
        </w:rPr>
        <w:t xml:space="preserve">“Depredadores que encandilan, manipulan y se abren camino en la vida sin piedad, </w:t>
      </w:r>
      <w:r>
        <w:rPr>
          <w:sz w:val="24"/>
          <w:szCs w:val="24"/>
        </w:rPr>
        <w:t>… c</w:t>
      </w:r>
      <w:r w:rsidRPr="00B4010B">
        <w:rPr>
          <w:sz w:val="24"/>
          <w:szCs w:val="24"/>
        </w:rPr>
        <w:t>on una total carencia de conciencia y sentimientos por los demás</w:t>
      </w:r>
      <w:r>
        <w:rPr>
          <w:sz w:val="24"/>
          <w:szCs w:val="24"/>
        </w:rPr>
        <w:t xml:space="preserve">… </w:t>
      </w:r>
      <w:r w:rsidRPr="00B4010B">
        <w:rPr>
          <w:sz w:val="24"/>
          <w:szCs w:val="24"/>
        </w:rPr>
        <w:t>sin respeto por las normas sociales y sin el menor rastro de arrepentimiento o piedad” (Hare, 2003, p. 13).</w:t>
      </w:r>
    </w:p>
    <w:p w14:paraId="0D5FC2B3" w14:textId="15E5A7EA" w:rsidR="008939E8" w:rsidRPr="007A7C6B" w:rsidRDefault="005D3C93" w:rsidP="00A84A97">
      <w:pPr>
        <w:spacing w:line="360" w:lineRule="auto"/>
        <w:ind w:firstLine="708"/>
        <w:jc w:val="both"/>
        <w:rPr>
          <w:sz w:val="24"/>
          <w:szCs w:val="24"/>
        </w:rPr>
      </w:pPr>
      <w:r w:rsidRPr="007A7C6B">
        <w:rPr>
          <w:sz w:val="24"/>
          <w:szCs w:val="24"/>
        </w:rPr>
        <w:t xml:space="preserve">Aquellos sujetos denominados psicópatas presentan un estilo de vida caracterizado por la impulsividad, la búsqueda de sensaciones y la irresponsabilidad, por lo que </w:t>
      </w:r>
      <w:r w:rsidR="006644A8">
        <w:rPr>
          <w:sz w:val="24"/>
          <w:szCs w:val="24"/>
        </w:rPr>
        <w:t>son</w:t>
      </w:r>
      <w:r w:rsidR="006644A8" w:rsidRPr="007A7C6B">
        <w:rPr>
          <w:sz w:val="24"/>
          <w:szCs w:val="24"/>
        </w:rPr>
        <w:t xml:space="preserve"> </w:t>
      </w:r>
      <w:r w:rsidRPr="007A7C6B">
        <w:rPr>
          <w:sz w:val="24"/>
          <w:szCs w:val="24"/>
        </w:rPr>
        <w:t xml:space="preserve">sujetos que se encuentran en una constante búsqueda de gratificación y </w:t>
      </w:r>
      <w:r w:rsidR="006644A8">
        <w:rPr>
          <w:sz w:val="24"/>
          <w:szCs w:val="24"/>
        </w:rPr>
        <w:t>presentan</w:t>
      </w:r>
      <w:r w:rsidR="006644A8" w:rsidRPr="007A7C6B">
        <w:rPr>
          <w:sz w:val="24"/>
          <w:szCs w:val="24"/>
        </w:rPr>
        <w:t xml:space="preserve"> </w:t>
      </w:r>
      <w:r w:rsidRPr="007A7C6B">
        <w:rPr>
          <w:sz w:val="24"/>
          <w:szCs w:val="24"/>
        </w:rPr>
        <w:t>dificultades para mantener actividades rutinarias</w:t>
      </w:r>
      <w:r w:rsidR="006644A8">
        <w:rPr>
          <w:sz w:val="24"/>
          <w:szCs w:val="24"/>
        </w:rPr>
        <w:t>,</w:t>
      </w:r>
      <w:r w:rsidRPr="007A7C6B">
        <w:rPr>
          <w:sz w:val="24"/>
          <w:szCs w:val="24"/>
        </w:rPr>
        <w:t xml:space="preserve"> además de cumplir con sus propias obligaciones. En cuanto a la criminalidad, estos sujetos </w:t>
      </w:r>
      <w:r w:rsidR="006644A8">
        <w:rPr>
          <w:sz w:val="24"/>
          <w:szCs w:val="24"/>
        </w:rPr>
        <w:t>presentan</w:t>
      </w:r>
      <w:r w:rsidR="006644A8" w:rsidRPr="007A7C6B">
        <w:rPr>
          <w:sz w:val="24"/>
          <w:szCs w:val="24"/>
        </w:rPr>
        <w:t xml:space="preserve"> </w:t>
      </w:r>
      <w:r w:rsidRPr="007A7C6B">
        <w:rPr>
          <w:sz w:val="24"/>
          <w:szCs w:val="24"/>
        </w:rPr>
        <w:t>conductas antisociales caracterizadas por un inicio temprano, versatilidad, reincidencia y la presencia de violencia en sus delitos</w:t>
      </w:r>
      <w:r w:rsidR="006644A8">
        <w:rPr>
          <w:sz w:val="24"/>
          <w:szCs w:val="24"/>
        </w:rPr>
        <w:t>.</w:t>
      </w:r>
      <w:r w:rsidR="00A84A97">
        <w:rPr>
          <w:sz w:val="24"/>
          <w:szCs w:val="24"/>
        </w:rPr>
        <w:t xml:space="preserve"> </w:t>
      </w:r>
      <w:r w:rsidR="006644A8">
        <w:rPr>
          <w:sz w:val="24"/>
          <w:szCs w:val="24"/>
        </w:rPr>
        <w:t>E</w:t>
      </w:r>
      <w:r w:rsidR="00055084" w:rsidRPr="007A7C6B">
        <w:rPr>
          <w:sz w:val="24"/>
          <w:szCs w:val="24"/>
        </w:rPr>
        <w:t>stos componentes les hará diferenciarse tanto cualitativamente como cuantitativamente de otro tipo de infractores</w:t>
      </w:r>
      <w:r w:rsidRPr="007A7C6B">
        <w:rPr>
          <w:sz w:val="24"/>
          <w:szCs w:val="24"/>
        </w:rPr>
        <w:t xml:space="preserve"> (Muñoz</w:t>
      </w:r>
      <w:r w:rsidR="006644A8">
        <w:rPr>
          <w:sz w:val="24"/>
          <w:szCs w:val="24"/>
        </w:rPr>
        <w:t>-</w:t>
      </w:r>
      <w:r w:rsidRPr="007A7C6B">
        <w:rPr>
          <w:sz w:val="24"/>
          <w:szCs w:val="24"/>
        </w:rPr>
        <w:t xml:space="preserve">Vicente, 2011). </w:t>
      </w:r>
      <w:bookmarkEnd w:id="1"/>
      <w:r w:rsidR="008939E8">
        <w:rPr>
          <w:sz w:val="24"/>
          <w:szCs w:val="24"/>
        </w:rPr>
        <w:t xml:space="preserve">Esto queda enmarcado en dos pilares fundamentales como elementos configuradores de la psicopatía, el centrado en aspectos afectivos e interpersonales (falta de empatía, ausencia de </w:t>
      </w:r>
      <w:r w:rsidR="00A84A97">
        <w:rPr>
          <w:sz w:val="24"/>
          <w:szCs w:val="24"/>
        </w:rPr>
        <w:t>remordimientos</w:t>
      </w:r>
      <w:r w:rsidR="008939E8">
        <w:rPr>
          <w:sz w:val="24"/>
          <w:szCs w:val="24"/>
        </w:rPr>
        <w:t xml:space="preserve"> y culpa etc.), y el centrado en aspectos de la conducta antisocial/desviada (Hare, 2003)</w:t>
      </w:r>
    </w:p>
    <w:p w14:paraId="01C1993C" w14:textId="695661A8" w:rsidR="00700078" w:rsidRPr="00B4010B" w:rsidRDefault="000147FE">
      <w:pPr>
        <w:spacing w:line="360" w:lineRule="auto"/>
        <w:jc w:val="both"/>
        <w:rPr>
          <w:sz w:val="24"/>
          <w:szCs w:val="24"/>
        </w:rPr>
      </w:pPr>
      <w:r w:rsidRPr="00B4010B">
        <w:rPr>
          <w:sz w:val="24"/>
          <w:szCs w:val="24"/>
        </w:rPr>
        <w:t>Hare (2003) expone como estos sujetos acaban</w:t>
      </w:r>
      <w:r w:rsidR="00C735A8" w:rsidRPr="00B4010B">
        <w:rPr>
          <w:sz w:val="24"/>
          <w:szCs w:val="24"/>
        </w:rPr>
        <w:t xml:space="preserve"> la mayoría de las veces en prisión, lo que implica su presencia en el sistema judicial. Estos individuos han sido estudiados desde las perspectiva</w:t>
      </w:r>
      <w:r w:rsidR="006644A8">
        <w:rPr>
          <w:sz w:val="24"/>
          <w:szCs w:val="24"/>
        </w:rPr>
        <w:t>s</w:t>
      </w:r>
      <w:r w:rsidR="00C735A8" w:rsidRPr="00B4010B">
        <w:rPr>
          <w:sz w:val="24"/>
          <w:szCs w:val="24"/>
        </w:rPr>
        <w:t xml:space="preserve"> de la neuropsicología forense, hallándose</w:t>
      </w:r>
      <w:r w:rsidR="00EC6B5E" w:rsidRPr="00B4010B">
        <w:rPr>
          <w:sz w:val="24"/>
          <w:szCs w:val="24"/>
        </w:rPr>
        <w:t xml:space="preserve"> diferencias estructurales </w:t>
      </w:r>
      <w:r w:rsidR="006644A8">
        <w:rPr>
          <w:sz w:val="24"/>
          <w:szCs w:val="24"/>
        </w:rPr>
        <w:t>y</w:t>
      </w:r>
      <w:r w:rsidR="006644A8" w:rsidRPr="00B4010B">
        <w:rPr>
          <w:sz w:val="24"/>
          <w:szCs w:val="24"/>
        </w:rPr>
        <w:t xml:space="preserve"> </w:t>
      </w:r>
      <w:r w:rsidR="00EC6B5E" w:rsidRPr="00B4010B">
        <w:rPr>
          <w:sz w:val="24"/>
          <w:szCs w:val="24"/>
        </w:rPr>
        <w:t xml:space="preserve">funcionales </w:t>
      </w:r>
      <w:r w:rsidR="006644A8">
        <w:rPr>
          <w:sz w:val="24"/>
          <w:szCs w:val="24"/>
        </w:rPr>
        <w:t xml:space="preserve">en relación </w:t>
      </w:r>
      <w:r w:rsidR="00EC6B5E" w:rsidRPr="00B4010B">
        <w:rPr>
          <w:sz w:val="24"/>
          <w:szCs w:val="24"/>
        </w:rPr>
        <w:t>con la autorregulación, la reversión del aprendizaje y la toma de decisiones, lo que supone una falta de integración del mundo emocional</w:t>
      </w:r>
      <w:r w:rsidR="006644A8">
        <w:rPr>
          <w:sz w:val="24"/>
          <w:szCs w:val="24"/>
        </w:rPr>
        <w:t>,</w:t>
      </w:r>
      <w:r w:rsidR="00A84A97">
        <w:rPr>
          <w:sz w:val="24"/>
          <w:szCs w:val="24"/>
        </w:rPr>
        <w:t xml:space="preserve"> </w:t>
      </w:r>
      <w:r w:rsidR="00EC6B5E" w:rsidRPr="00B4010B">
        <w:rPr>
          <w:sz w:val="24"/>
          <w:szCs w:val="24"/>
        </w:rPr>
        <w:t xml:space="preserve">el </w:t>
      </w:r>
      <w:r w:rsidR="00E74FDB" w:rsidRPr="00B4010B">
        <w:rPr>
          <w:sz w:val="24"/>
          <w:szCs w:val="24"/>
        </w:rPr>
        <w:t>razonamientos</w:t>
      </w:r>
      <w:r w:rsidR="00EC6B5E" w:rsidRPr="00B4010B">
        <w:rPr>
          <w:sz w:val="24"/>
          <w:szCs w:val="24"/>
        </w:rPr>
        <w:t xml:space="preserve"> y la conducta</w:t>
      </w:r>
      <w:r w:rsidR="006644A8">
        <w:rPr>
          <w:sz w:val="24"/>
          <w:szCs w:val="24"/>
        </w:rPr>
        <w:t xml:space="preserve"> en este tipo de individuos</w:t>
      </w:r>
      <w:r w:rsidR="00EC6B5E" w:rsidRPr="00B4010B">
        <w:rPr>
          <w:sz w:val="24"/>
          <w:szCs w:val="24"/>
        </w:rPr>
        <w:t xml:space="preserve"> (</w:t>
      </w:r>
      <w:r w:rsidR="00E74FDB" w:rsidRPr="00B4010B">
        <w:rPr>
          <w:sz w:val="24"/>
          <w:szCs w:val="24"/>
        </w:rPr>
        <w:t>Alcázar-Córcoles, Verdejo-García y Bouso-Saiz, 2008)</w:t>
      </w:r>
      <w:r w:rsidR="009C305A" w:rsidRPr="00B4010B">
        <w:rPr>
          <w:sz w:val="24"/>
          <w:szCs w:val="24"/>
        </w:rPr>
        <w:t>.</w:t>
      </w:r>
    </w:p>
    <w:p w14:paraId="67E07343" w14:textId="31ED4B5D" w:rsidR="006037E5" w:rsidRPr="00B4010B" w:rsidRDefault="00276EC3">
      <w:pPr>
        <w:spacing w:line="360" w:lineRule="auto"/>
        <w:ind w:firstLine="708"/>
        <w:jc w:val="both"/>
        <w:rPr>
          <w:sz w:val="24"/>
          <w:szCs w:val="24"/>
        </w:rPr>
      </w:pPr>
      <w:r>
        <w:rPr>
          <w:sz w:val="24"/>
          <w:szCs w:val="24"/>
        </w:rPr>
        <w:lastRenderedPageBreak/>
        <w:t xml:space="preserve">En el ámbito de estudio del </w:t>
      </w:r>
      <w:r w:rsidR="009C305A" w:rsidRPr="00B4010B">
        <w:rPr>
          <w:sz w:val="24"/>
          <w:szCs w:val="24"/>
        </w:rPr>
        <w:t xml:space="preserve">origen de las conductas violentas encontramos la disciplina de la neuropsicología forense. Esta disciplina nace de los lazos de la neuropsicología clínica y la psicología forense, y analiza las bases normales y los </w:t>
      </w:r>
      <w:r w:rsidR="003F0E8B">
        <w:rPr>
          <w:sz w:val="24"/>
          <w:szCs w:val="24"/>
        </w:rPr>
        <w:t>e</w:t>
      </w:r>
      <w:r w:rsidR="003F0E8B" w:rsidRPr="00B4010B">
        <w:rPr>
          <w:sz w:val="24"/>
          <w:szCs w:val="24"/>
        </w:rPr>
        <w:t xml:space="preserve">fectos </w:t>
      </w:r>
      <w:r w:rsidR="009C305A" w:rsidRPr="00B4010B">
        <w:rPr>
          <w:sz w:val="24"/>
          <w:szCs w:val="24"/>
        </w:rPr>
        <w:t>de anomalías y alteraciones del sistema nervioso central y su resultado en el funcionamiento cotidiano (Nagore, 2019). Una de las labores del neuropsicólogo forense es la de ayudar a clarificar la imputabilidad del acusado o de la existencia de circunstancias atenuantes (Iruarrizaga, 1999).</w:t>
      </w:r>
    </w:p>
    <w:p w14:paraId="601A53C5" w14:textId="650A8042" w:rsidR="004B4129" w:rsidRPr="00B4010B" w:rsidRDefault="004B4129">
      <w:pPr>
        <w:spacing w:line="360" w:lineRule="auto"/>
        <w:ind w:firstLine="708"/>
        <w:jc w:val="both"/>
        <w:rPr>
          <w:sz w:val="24"/>
          <w:szCs w:val="24"/>
        </w:rPr>
      </w:pPr>
      <w:r w:rsidRPr="00B4010B">
        <w:rPr>
          <w:sz w:val="24"/>
          <w:szCs w:val="24"/>
        </w:rPr>
        <w:t>El principal objetivo del presente trabajo es la realización de una revisión centrada en el sustrato neurobiológico y neuropsicológico de la agresión y la violencia</w:t>
      </w:r>
      <w:r w:rsidR="00A84A97">
        <w:rPr>
          <w:sz w:val="24"/>
          <w:szCs w:val="24"/>
        </w:rPr>
        <w:t xml:space="preserve">. </w:t>
      </w:r>
      <w:r w:rsidRPr="00B4010B">
        <w:rPr>
          <w:sz w:val="24"/>
          <w:szCs w:val="24"/>
        </w:rPr>
        <w:t xml:space="preserve">A partir de este abordaje clínico se analizarán las nuevas corrientes criminológicas y neuropsicológicas en materia de </w:t>
      </w:r>
      <w:r w:rsidR="00281FFA">
        <w:rPr>
          <w:sz w:val="24"/>
          <w:szCs w:val="24"/>
        </w:rPr>
        <w:t xml:space="preserve">tratamiento e </w:t>
      </w:r>
      <w:r w:rsidRPr="00B4010B">
        <w:rPr>
          <w:sz w:val="24"/>
          <w:szCs w:val="24"/>
        </w:rPr>
        <w:t>imputabilidad en relación con la psicopatía</w:t>
      </w:r>
      <w:r w:rsidR="00A84A97">
        <w:rPr>
          <w:sz w:val="24"/>
          <w:szCs w:val="24"/>
        </w:rPr>
        <w:t xml:space="preserve"> </w:t>
      </w:r>
      <w:r w:rsidR="00281FFA">
        <w:rPr>
          <w:sz w:val="24"/>
          <w:szCs w:val="24"/>
        </w:rPr>
        <w:t>como máximo exponente de la conducta criminal.</w:t>
      </w:r>
    </w:p>
    <w:p w14:paraId="5509DE24" w14:textId="4CB1788C" w:rsidR="00297CE1" w:rsidRDefault="00ED7B9A">
      <w:pPr>
        <w:pStyle w:val="Ttulo1"/>
        <w:spacing w:line="360" w:lineRule="auto"/>
        <w:jc w:val="both"/>
        <w:rPr>
          <w:b/>
          <w:bCs/>
          <w:color w:val="auto"/>
        </w:rPr>
      </w:pPr>
      <w:r w:rsidRPr="00B4010B">
        <w:rPr>
          <w:b/>
          <w:bCs/>
          <w:color w:val="auto"/>
        </w:rPr>
        <w:t>Metodología</w:t>
      </w:r>
    </w:p>
    <w:p w14:paraId="70F6A4DD" w14:textId="23719A87" w:rsidR="007A29D3" w:rsidRPr="00714347" w:rsidRDefault="007A29D3" w:rsidP="007A29D3">
      <w:pPr>
        <w:rPr>
          <w:b/>
          <w:bCs/>
          <w:sz w:val="24"/>
          <w:szCs w:val="24"/>
        </w:rPr>
      </w:pPr>
      <w:r w:rsidRPr="00714347">
        <w:rPr>
          <w:b/>
          <w:bCs/>
          <w:sz w:val="24"/>
          <w:szCs w:val="24"/>
        </w:rPr>
        <w:t>Fuentes de información</w:t>
      </w:r>
    </w:p>
    <w:p w14:paraId="5841ECA8" w14:textId="1F2AB814" w:rsidR="007A29D3" w:rsidRPr="00714347" w:rsidRDefault="007A29D3" w:rsidP="009C255E">
      <w:pPr>
        <w:spacing w:line="360" w:lineRule="auto"/>
        <w:ind w:firstLine="708"/>
        <w:jc w:val="both"/>
        <w:rPr>
          <w:sz w:val="24"/>
          <w:szCs w:val="24"/>
        </w:rPr>
      </w:pPr>
      <w:r w:rsidRPr="00714347">
        <w:rPr>
          <w:sz w:val="24"/>
          <w:szCs w:val="24"/>
        </w:rPr>
        <w:t>Para recoger la información necesaria para la realización de la presente revisión se han seguido criterios formales (búsqueda en bases de datos especializadas indexadas y utilización de referencias obtenidas de los artículos seleccionados) y criterios informales (documentos facilitados por el director del TFG).</w:t>
      </w:r>
    </w:p>
    <w:p w14:paraId="75153C30" w14:textId="21365BB2" w:rsidR="007A29D3" w:rsidRPr="00714347" w:rsidRDefault="007A29D3" w:rsidP="009C255E">
      <w:pPr>
        <w:spacing w:line="360" w:lineRule="auto"/>
        <w:jc w:val="both"/>
        <w:rPr>
          <w:b/>
          <w:bCs/>
          <w:sz w:val="24"/>
          <w:szCs w:val="24"/>
        </w:rPr>
      </w:pPr>
      <w:r w:rsidRPr="00714347">
        <w:rPr>
          <w:b/>
          <w:bCs/>
          <w:sz w:val="24"/>
          <w:szCs w:val="24"/>
        </w:rPr>
        <w:t>Procedimiento</w:t>
      </w:r>
    </w:p>
    <w:p w14:paraId="3D688039" w14:textId="59BF57B2" w:rsidR="007A29D3" w:rsidRPr="00714347" w:rsidRDefault="007A29D3" w:rsidP="009C255E">
      <w:pPr>
        <w:spacing w:line="360" w:lineRule="auto"/>
        <w:ind w:firstLine="708"/>
        <w:jc w:val="both"/>
        <w:rPr>
          <w:sz w:val="24"/>
          <w:szCs w:val="24"/>
        </w:rPr>
      </w:pPr>
      <w:r w:rsidRPr="00714347">
        <w:rPr>
          <w:sz w:val="24"/>
          <w:szCs w:val="24"/>
        </w:rPr>
        <w:t>Se ha realizado una revisión bibliográfica para actualizar la literatura científica centrad</w:t>
      </w:r>
      <w:r w:rsidR="008C718C" w:rsidRPr="00714347">
        <w:rPr>
          <w:sz w:val="24"/>
          <w:szCs w:val="24"/>
        </w:rPr>
        <w:t>a</w:t>
      </w:r>
      <w:r w:rsidRPr="00714347">
        <w:rPr>
          <w:sz w:val="24"/>
          <w:szCs w:val="24"/>
        </w:rPr>
        <w:t xml:space="preserve"> en el estudio de los aspectos neurobiológicos de la agresión y la violencia. Además, se han buscado las principales publicaciones sobre psicopatía, tratamiento, aspectos neurobiológicos </w:t>
      </w:r>
      <w:r w:rsidR="008C718C" w:rsidRPr="00714347">
        <w:rPr>
          <w:sz w:val="24"/>
          <w:szCs w:val="24"/>
        </w:rPr>
        <w:t>abordaje</w:t>
      </w:r>
      <w:r w:rsidRPr="00714347">
        <w:rPr>
          <w:sz w:val="24"/>
          <w:szCs w:val="24"/>
        </w:rPr>
        <w:t xml:space="preserve"> psico-legal.</w:t>
      </w:r>
    </w:p>
    <w:p w14:paraId="2FE604DA" w14:textId="302DA9E3" w:rsidR="007A29D3" w:rsidRPr="00950231" w:rsidRDefault="007A29D3" w:rsidP="00714347">
      <w:pPr>
        <w:rPr>
          <w:b/>
          <w:bCs/>
        </w:rPr>
      </w:pPr>
      <w:r w:rsidRPr="00714347">
        <w:rPr>
          <w:b/>
          <w:bCs/>
        </w:rPr>
        <w:t>Estrategia de búsqueda</w:t>
      </w:r>
    </w:p>
    <w:p w14:paraId="6E8035F3" w14:textId="7DA1C597" w:rsidR="003368C4" w:rsidRPr="00617484" w:rsidRDefault="003368C4">
      <w:pPr>
        <w:spacing w:line="360" w:lineRule="auto"/>
        <w:ind w:firstLine="708"/>
        <w:jc w:val="both"/>
        <w:rPr>
          <w:sz w:val="24"/>
          <w:szCs w:val="24"/>
        </w:rPr>
      </w:pPr>
      <w:r w:rsidRPr="00617484">
        <w:rPr>
          <w:sz w:val="24"/>
          <w:szCs w:val="24"/>
        </w:rPr>
        <w:t xml:space="preserve">Para localizar los programas de intervención, se examinaron las siguientes bases especializadas de datos bibliográficos: </w:t>
      </w:r>
      <w:r w:rsidRPr="00D17786">
        <w:rPr>
          <w:i/>
          <w:iCs/>
          <w:sz w:val="24"/>
          <w:szCs w:val="24"/>
        </w:rPr>
        <w:t>PsycINFO, Academic Search Complete</w:t>
      </w:r>
      <w:r w:rsidRPr="00617484">
        <w:rPr>
          <w:sz w:val="24"/>
          <w:szCs w:val="24"/>
        </w:rPr>
        <w:t xml:space="preserve">, </w:t>
      </w:r>
      <w:r w:rsidRPr="00D17786">
        <w:rPr>
          <w:i/>
          <w:iCs/>
          <w:sz w:val="24"/>
          <w:szCs w:val="24"/>
        </w:rPr>
        <w:t xml:space="preserve">Open Dissertations, E-Journals, ERIC, Psychology and Behavioral Sciences Collect, PSICODOC, MEDLINE Complete, CINAHL </w:t>
      </w:r>
      <w:r w:rsidRPr="00617484">
        <w:rPr>
          <w:sz w:val="24"/>
          <w:szCs w:val="24"/>
        </w:rPr>
        <w:t xml:space="preserve">Dichas bases de datos son proporcionadas por la empresa </w:t>
      </w:r>
      <w:r w:rsidRPr="00D17786">
        <w:rPr>
          <w:i/>
          <w:iCs/>
          <w:sz w:val="24"/>
          <w:szCs w:val="24"/>
        </w:rPr>
        <w:t>EBSCOhost</w:t>
      </w:r>
      <w:r w:rsidRPr="00617484">
        <w:rPr>
          <w:sz w:val="24"/>
          <w:szCs w:val="24"/>
        </w:rPr>
        <w:t xml:space="preserve">. Los accesos se llevaron a cabo en diciembre de 2019 y enero de 2020. </w:t>
      </w:r>
    </w:p>
    <w:p w14:paraId="65317105" w14:textId="2E160E33" w:rsidR="002146FD" w:rsidRPr="00396ADF" w:rsidRDefault="00487A06" w:rsidP="00C82282">
      <w:pPr>
        <w:spacing w:line="360" w:lineRule="auto"/>
        <w:ind w:firstLine="708"/>
        <w:jc w:val="both"/>
        <w:rPr>
          <w:sz w:val="24"/>
          <w:szCs w:val="24"/>
        </w:rPr>
      </w:pPr>
      <w:r>
        <w:rPr>
          <w:sz w:val="24"/>
          <w:szCs w:val="24"/>
        </w:rPr>
        <w:lastRenderedPageBreak/>
        <w:t>Para la primera fase de</w:t>
      </w:r>
      <w:r w:rsidRPr="00617484">
        <w:rPr>
          <w:sz w:val="24"/>
          <w:szCs w:val="24"/>
        </w:rPr>
        <w:t xml:space="preserve"> </w:t>
      </w:r>
      <w:r w:rsidR="001229EC" w:rsidRPr="00617484">
        <w:rPr>
          <w:sz w:val="24"/>
          <w:szCs w:val="24"/>
        </w:rPr>
        <w:t>búsqueda</w:t>
      </w:r>
      <w:r>
        <w:rPr>
          <w:sz w:val="24"/>
          <w:szCs w:val="24"/>
        </w:rPr>
        <w:t xml:space="preserve"> se buscaron los siguientes términos en inglés</w:t>
      </w:r>
      <w:r w:rsidR="001229EC" w:rsidRPr="00617484">
        <w:rPr>
          <w:sz w:val="24"/>
          <w:szCs w:val="24"/>
        </w:rPr>
        <w:t>: “</w:t>
      </w:r>
      <w:r w:rsidR="001229EC" w:rsidRPr="00617484">
        <w:rPr>
          <w:i/>
          <w:iCs/>
          <w:sz w:val="24"/>
          <w:szCs w:val="24"/>
        </w:rPr>
        <w:t xml:space="preserve">neuropsychology”, </w:t>
      </w:r>
      <w:r w:rsidR="00BD49DA" w:rsidRPr="00617484">
        <w:rPr>
          <w:i/>
          <w:iCs/>
          <w:sz w:val="24"/>
          <w:szCs w:val="24"/>
        </w:rPr>
        <w:t>“violence”, “aggressive</w:t>
      </w:r>
      <w:r w:rsidR="00BD49DA" w:rsidRPr="00617484">
        <w:rPr>
          <w:sz w:val="24"/>
          <w:szCs w:val="24"/>
        </w:rPr>
        <w:t xml:space="preserve"> </w:t>
      </w:r>
      <w:r w:rsidR="00BD49DA" w:rsidRPr="00617484">
        <w:rPr>
          <w:i/>
          <w:iCs/>
          <w:sz w:val="24"/>
          <w:szCs w:val="24"/>
        </w:rPr>
        <w:t>behavior”</w:t>
      </w:r>
      <w:r w:rsidR="00123195">
        <w:rPr>
          <w:i/>
          <w:iCs/>
          <w:sz w:val="24"/>
          <w:szCs w:val="24"/>
        </w:rPr>
        <w:t xml:space="preserve"> </w:t>
      </w:r>
      <w:r w:rsidR="00123195" w:rsidRPr="00123195">
        <w:rPr>
          <w:sz w:val="24"/>
          <w:szCs w:val="24"/>
        </w:rPr>
        <w:t xml:space="preserve">en las bases de datos </w:t>
      </w:r>
      <w:r w:rsidR="00123195" w:rsidRPr="00123195">
        <w:rPr>
          <w:rStyle w:val="Textoennegrita"/>
          <w:b w:val="0"/>
          <w:bCs w:val="0"/>
          <w:sz w:val="24"/>
          <w:szCs w:val="24"/>
        </w:rPr>
        <w:t xml:space="preserve">APA </w:t>
      </w:r>
      <w:r w:rsidR="001C7E9E" w:rsidRPr="00123195">
        <w:rPr>
          <w:rStyle w:val="Textoennegrita"/>
          <w:b w:val="0"/>
          <w:bCs w:val="0"/>
          <w:sz w:val="24"/>
          <w:szCs w:val="24"/>
        </w:rPr>
        <w:t>PsycINFO</w:t>
      </w:r>
      <w:r w:rsidR="00123195" w:rsidRPr="00123195">
        <w:rPr>
          <w:rStyle w:val="Textoennegrita"/>
          <w:b w:val="0"/>
          <w:bCs w:val="0"/>
          <w:sz w:val="24"/>
          <w:szCs w:val="24"/>
        </w:rPr>
        <w:t>, PSICODOC y MEDLINE</w:t>
      </w:r>
      <w:r w:rsidR="00123195" w:rsidRPr="00123195">
        <w:rPr>
          <w:sz w:val="24"/>
          <w:szCs w:val="24"/>
        </w:rPr>
        <w:t xml:space="preserve"> facilitadas por EBSCO Host</w:t>
      </w:r>
      <w:r w:rsidR="00123195">
        <w:rPr>
          <w:i/>
          <w:iCs/>
          <w:sz w:val="24"/>
          <w:szCs w:val="24"/>
        </w:rPr>
        <w:t xml:space="preserve">. </w:t>
      </w:r>
      <w:r w:rsidR="007D58E2" w:rsidRPr="00617484">
        <w:rPr>
          <w:sz w:val="24"/>
          <w:szCs w:val="24"/>
        </w:rPr>
        <w:t>Estos términos se emparejaron mediante los operadores</w:t>
      </w:r>
      <w:r>
        <w:rPr>
          <w:sz w:val="24"/>
          <w:szCs w:val="24"/>
        </w:rPr>
        <w:t xml:space="preserve"> booleanos</w:t>
      </w:r>
      <w:r w:rsidR="007D58E2" w:rsidRPr="00617484">
        <w:rPr>
          <w:sz w:val="24"/>
          <w:szCs w:val="24"/>
        </w:rPr>
        <w:t xml:space="preserve"> “AND” y “OR”</w:t>
      </w:r>
      <w:r w:rsidR="00123195">
        <w:rPr>
          <w:sz w:val="24"/>
          <w:szCs w:val="24"/>
        </w:rPr>
        <w:t>.</w:t>
      </w:r>
      <w:r w:rsidR="00FC0AF1">
        <w:rPr>
          <w:sz w:val="24"/>
          <w:szCs w:val="24"/>
        </w:rPr>
        <w:t xml:space="preserve"> </w:t>
      </w:r>
      <w:r>
        <w:rPr>
          <w:sz w:val="24"/>
          <w:szCs w:val="24"/>
        </w:rPr>
        <w:t xml:space="preserve">Siguiendo los criterios de inclusión se </w:t>
      </w:r>
      <w:r w:rsidR="00A5108D">
        <w:rPr>
          <w:sz w:val="24"/>
          <w:szCs w:val="24"/>
        </w:rPr>
        <w:t>encontraron</w:t>
      </w:r>
      <w:r w:rsidR="00A5108D" w:rsidRPr="00617484">
        <w:rPr>
          <w:sz w:val="24"/>
          <w:szCs w:val="24"/>
        </w:rPr>
        <w:t xml:space="preserve"> </w:t>
      </w:r>
      <w:r w:rsidR="00A5108D" w:rsidRPr="00123195">
        <w:rPr>
          <w:sz w:val="24"/>
          <w:szCs w:val="24"/>
        </w:rPr>
        <w:t>14,</w:t>
      </w:r>
      <w:r w:rsidR="00A5108D">
        <w:rPr>
          <w:sz w:val="24"/>
          <w:szCs w:val="24"/>
        </w:rPr>
        <w:t>012</w:t>
      </w:r>
      <w:r w:rsidR="00A5108D" w:rsidRPr="00123195">
        <w:rPr>
          <w:sz w:val="24"/>
          <w:szCs w:val="24"/>
        </w:rPr>
        <w:t xml:space="preserve"> </w:t>
      </w:r>
      <w:r w:rsidR="00123195">
        <w:rPr>
          <w:sz w:val="24"/>
          <w:szCs w:val="24"/>
        </w:rPr>
        <w:t>artículos</w:t>
      </w:r>
      <w:r w:rsidR="00B26624">
        <w:rPr>
          <w:sz w:val="24"/>
          <w:szCs w:val="24"/>
        </w:rPr>
        <w:t xml:space="preserve">. </w:t>
      </w:r>
      <w:r w:rsidR="00C82282">
        <w:rPr>
          <w:sz w:val="24"/>
          <w:szCs w:val="24"/>
        </w:rPr>
        <w:t xml:space="preserve">Finalmente se obtuvieron </w:t>
      </w:r>
      <w:r w:rsidR="00684AD9" w:rsidRPr="00684AD9">
        <w:rPr>
          <w:sz w:val="24"/>
          <w:szCs w:val="24"/>
        </w:rPr>
        <w:t>1,277</w:t>
      </w:r>
      <w:r w:rsidR="00FC0AF1">
        <w:rPr>
          <w:sz w:val="24"/>
          <w:szCs w:val="24"/>
        </w:rPr>
        <w:t xml:space="preserve"> </w:t>
      </w:r>
      <w:r w:rsidR="00C82282">
        <w:rPr>
          <w:sz w:val="24"/>
          <w:szCs w:val="24"/>
        </w:rPr>
        <w:t xml:space="preserve">ya que además se seleccionó “hombres” en el filtro de género y “adulto” en el filtro de edad. </w:t>
      </w:r>
      <w:r w:rsidR="00E52945">
        <w:rPr>
          <w:sz w:val="24"/>
          <w:szCs w:val="24"/>
        </w:rPr>
        <w:t>De estos resultados se emplearon 14 publicaciones</w:t>
      </w:r>
      <w:r w:rsidR="00FC0AF1">
        <w:rPr>
          <w:sz w:val="24"/>
          <w:szCs w:val="24"/>
        </w:rPr>
        <w:t>.</w:t>
      </w:r>
    </w:p>
    <w:p w14:paraId="358A77C3" w14:textId="1F2B87DB" w:rsidR="00E21D09" w:rsidRPr="00C50EF7" w:rsidRDefault="00A72B52" w:rsidP="009A0B65">
      <w:pPr>
        <w:spacing w:line="360" w:lineRule="auto"/>
        <w:jc w:val="both"/>
      </w:pPr>
      <w:r w:rsidRPr="00123195">
        <w:rPr>
          <w:sz w:val="24"/>
          <w:szCs w:val="24"/>
        </w:rPr>
        <w:t xml:space="preserve">En segundo lugar, se </w:t>
      </w:r>
      <w:r w:rsidR="00E21D09" w:rsidRPr="00123195">
        <w:rPr>
          <w:sz w:val="24"/>
          <w:szCs w:val="24"/>
        </w:rPr>
        <w:t>realizó</w:t>
      </w:r>
      <w:r w:rsidRPr="00123195">
        <w:rPr>
          <w:sz w:val="24"/>
          <w:szCs w:val="24"/>
        </w:rPr>
        <w:t xml:space="preserve"> una búsqueda en estas mismas bases de datos de los conceptos </w:t>
      </w:r>
      <w:r w:rsidR="00963D12" w:rsidRPr="00123195">
        <w:rPr>
          <w:sz w:val="24"/>
          <w:szCs w:val="24"/>
        </w:rPr>
        <w:t>“</w:t>
      </w:r>
      <w:r w:rsidR="00963D12" w:rsidRPr="00123195">
        <w:rPr>
          <w:i/>
          <w:iCs/>
          <w:sz w:val="24"/>
          <w:szCs w:val="24"/>
        </w:rPr>
        <w:t>p</w:t>
      </w:r>
      <w:r w:rsidRPr="00123195">
        <w:rPr>
          <w:i/>
          <w:iCs/>
          <w:sz w:val="24"/>
          <w:szCs w:val="24"/>
        </w:rPr>
        <w:t>sychopathy</w:t>
      </w:r>
      <w:r w:rsidR="00963D12" w:rsidRPr="00123195">
        <w:rPr>
          <w:i/>
          <w:iCs/>
          <w:sz w:val="24"/>
          <w:szCs w:val="24"/>
        </w:rPr>
        <w:t>”</w:t>
      </w:r>
      <w:r w:rsidRPr="00123195">
        <w:rPr>
          <w:i/>
          <w:iCs/>
          <w:sz w:val="24"/>
          <w:szCs w:val="24"/>
        </w:rPr>
        <w:t xml:space="preserve"> </w:t>
      </w:r>
      <w:r w:rsidR="00963D12" w:rsidRPr="00123195">
        <w:rPr>
          <w:sz w:val="24"/>
          <w:szCs w:val="24"/>
        </w:rPr>
        <w:t>“</w:t>
      </w:r>
      <w:r w:rsidR="00DE553D" w:rsidRPr="00123195">
        <w:rPr>
          <w:i/>
          <w:iCs/>
          <w:sz w:val="24"/>
          <w:szCs w:val="24"/>
        </w:rPr>
        <w:t>c</w:t>
      </w:r>
      <w:r w:rsidRPr="00123195">
        <w:rPr>
          <w:i/>
          <w:iCs/>
          <w:sz w:val="24"/>
          <w:szCs w:val="24"/>
        </w:rPr>
        <w:t>onceptualization</w:t>
      </w:r>
      <w:r w:rsidR="00963D12" w:rsidRPr="00123195">
        <w:rPr>
          <w:i/>
          <w:iCs/>
          <w:sz w:val="24"/>
          <w:szCs w:val="24"/>
        </w:rPr>
        <w:t>”</w:t>
      </w:r>
      <w:r w:rsidR="008C718C" w:rsidRPr="00123195">
        <w:rPr>
          <w:i/>
          <w:iCs/>
          <w:sz w:val="24"/>
          <w:szCs w:val="24"/>
        </w:rPr>
        <w:t xml:space="preserve"> “treatment”</w:t>
      </w:r>
      <w:r w:rsidR="00963D12" w:rsidRPr="00123195">
        <w:rPr>
          <w:sz w:val="24"/>
          <w:szCs w:val="24"/>
        </w:rPr>
        <w:t xml:space="preserve">, </w:t>
      </w:r>
      <w:r w:rsidR="009B391B" w:rsidRPr="00123195">
        <w:rPr>
          <w:sz w:val="24"/>
          <w:szCs w:val="24"/>
        </w:rPr>
        <w:t>emparejados con el operador “AND”</w:t>
      </w:r>
      <w:r w:rsidR="00C51B10">
        <w:rPr>
          <w:sz w:val="24"/>
          <w:szCs w:val="24"/>
        </w:rPr>
        <w:t xml:space="preserve"> y “OR”</w:t>
      </w:r>
      <w:r w:rsidR="001E22EC" w:rsidRPr="00123195">
        <w:rPr>
          <w:sz w:val="24"/>
          <w:szCs w:val="24"/>
        </w:rPr>
        <w:t xml:space="preserve">. </w:t>
      </w:r>
      <w:r w:rsidR="00795B0D" w:rsidRPr="00123195">
        <w:rPr>
          <w:sz w:val="24"/>
          <w:szCs w:val="24"/>
        </w:rPr>
        <w:t xml:space="preserve">Siguiendo los criterios de inclusión se encontraron </w:t>
      </w:r>
      <w:r w:rsidR="00EB709D">
        <w:rPr>
          <w:sz w:val="24"/>
          <w:szCs w:val="24"/>
        </w:rPr>
        <w:t>33 resultados de los cuales se emplearon 6 artículos académicos.</w:t>
      </w:r>
    </w:p>
    <w:p w14:paraId="3F05FEFB" w14:textId="6B9E780D" w:rsidR="009B6106" w:rsidRPr="00396ADF" w:rsidRDefault="009B6106">
      <w:pPr>
        <w:spacing w:line="360" w:lineRule="auto"/>
        <w:ind w:firstLine="708"/>
        <w:jc w:val="both"/>
        <w:rPr>
          <w:i/>
          <w:iCs/>
          <w:sz w:val="24"/>
          <w:szCs w:val="24"/>
        </w:rPr>
      </w:pPr>
      <w:r w:rsidRPr="00396ADF">
        <w:rPr>
          <w:sz w:val="24"/>
          <w:szCs w:val="24"/>
        </w:rPr>
        <w:t>En tercer lugar se realizó la búsqueda de los términos: “</w:t>
      </w:r>
      <w:r w:rsidRPr="00396ADF">
        <w:rPr>
          <w:i/>
          <w:iCs/>
          <w:sz w:val="24"/>
          <w:szCs w:val="24"/>
        </w:rPr>
        <w:t>psychopaty”</w:t>
      </w:r>
      <w:r w:rsidRPr="00396ADF">
        <w:rPr>
          <w:sz w:val="24"/>
          <w:szCs w:val="24"/>
        </w:rPr>
        <w:t xml:space="preserve"> y “</w:t>
      </w:r>
      <w:r w:rsidRPr="00396ADF">
        <w:rPr>
          <w:i/>
          <w:iCs/>
          <w:sz w:val="24"/>
          <w:szCs w:val="24"/>
        </w:rPr>
        <w:t>neuropsychology”</w:t>
      </w:r>
      <w:r w:rsidR="008300D8" w:rsidRPr="00396ADF">
        <w:rPr>
          <w:sz w:val="24"/>
          <w:szCs w:val="24"/>
        </w:rPr>
        <w:t xml:space="preserve"> en las bases de datos facilitadas por EBSCO Host, emparejados con el operador “AND”. La búsqueda se limitó al intervalo de tiempo entre 2010 y 2020. Se obtuvieron </w:t>
      </w:r>
      <w:r w:rsidR="00BD4453" w:rsidRPr="00396ADF">
        <w:rPr>
          <w:sz w:val="24"/>
          <w:szCs w:val="24"/>
        </w:rPr>
        <w:t>335</w:t>
      </w:r>
      <w:r w:rsidR="008300D8" w:rsidRPr="00396ADF">
        <w:rPr>
          <w:sz w:val="24"/>
          <w:szCs w:val="24"/>
        </w:rPr>
        <w:t xml:space="preserve"> resultados</w:t>
      </w:r>
      <w:r w:rsidR="000D2DFB" w:rsidRPr="00396ADF">
        <w:rPr>
          <w:sz w:val="24"/>
          <w:szCs w:val="24"/>
        </w:rPr>
        <w:t>, de los cuales solo 190 se encontraban en versión online</w:t>
      </w:r>
      <w:r w:rsidR="007A7C6B" w:rsidRPr="00396ADF">
        <w:rPr>
          <w:sz w:val="24"/>
          <w:szCs w:val="24"/>
        </w:rPr>
        <w:t>, y solo 121 no se encontraban duplicados</w:t>
      </w:r>
      <w:r w:rsidR="000D2DFB" w:rsidRPr="00396ADF">
        <w:rPr>
          <w:sz w:val="24"/>
          <w:szCs w:val="24"/>
        </w:rPr>
        <w:t>. S</w:t>
      </w:r>
      <w:r w:rsidR="00BD4453" w:rsidRPr="00396ADF">
        <w:rPr>
          <w:sz w:val="24"/>
          <w:szCs w:val="24"/>
        </w:rPr>
        <w:t xml:space="preserve">obre </w:t>
      </w:r>
      <w:r w:rsidR="000D2DFB" w:rsidRPr="00396ADF">
        <w:rPr>
          <w:sz w:val="24"/>
          <w:szCs w:val="24"/>
        </w:rPr>
        <w:t>estos artículos disponibles</w:t>
      </w:r>
      <w:r w:rsidR="00BD4453" w:rsidRPr="00396ADF">
        <w:rPr>
          <w:sz w:val="24"/>
          <w:szCs w:val="24"/>
        </w:rPr>
        <w:t xml:space="preserve"> se emplearon los mismos criterios de descarte anteriormente, y finalmente se obtuvieron 9 artículos.</w:t>
      </w:r>
    </w:p>
    <w:p w14:paraId="05DEEE1D" w14:textId="6407A16A" w:rsidR="00FC0AF1" w:rsidRDefault="00396ADF">
      <w:pPr>
        <w:spacing w:line="360" w:lineRule="auto"/>
        <w:ind w:firstLine="708"/>
        <w:jc w:val="both"/>
        <w:rPr>
          <w:sz w:val="24"/>
          <w:szCs w:val="24"/>
        </w:rPr>
      </w:pPr>
      <w:r w:rsidRPr="00900ABD">
        <w:rPr>
          <w:sz w:val="24"/>
          <w:szCs w:val="24"/>
        </w:rPr>
        <w:t xml:space="preserve">Finalmente, la </w:t>
      </w:r>
      <w:r w:rsidR="00C321E4" w:rsidRPr="00900ABD">
        <w:rPr>
          <w:sz w:val="24"/>
          <w:szCs w:val="24"/>
        </w:rPr>
        <w:t>última</w:t>
      </w:r>
      <w:r w:rsidRPr="00900ABD">
        <w:rPr>
          <w:sz w:val="24"/>
          <w:szCs w:val="24"/>
        </w:rPr>
        <w:t xml:space="preserve"> </w:t>
      </w:r>
      <w:r w:rsidR="00900ABD" w:rsidRPr="00900ABD">
        <w:rPr>
          <w:sz w:val="24"/>
          <w:szCs w:val="24"/>
        </w:rPr>
        <w:t>búsqueda</w:t>
      </w:r>
      <w:r w:rsidRPr="00900ABD">
        <w:rPr>
          <w:sz w:val="24"/>
          <w:szCs w:val="24"/>
        </w:rPr>
        <w:t xml:space="preserve"> se realizo fue la de los términos: “</w:t>
      </w:r>
      <w:r w:rsidR="008C718C">
        <w:rPr>
          <w:i/>
          <w:iCs/>
          <w:sz w:val="24"/>
          <w:szCs w:val="24"/>
        </w:rPr>
        <w:t>psicopatía</w:t>
      </w:r>
      <w:r w:rsidRPr="00900ABD">
        <w:rPr>
          <w:i/>
          <w:iCs/>
          <w:sz w:val="24"/>
          <w:szCs w:val="24"/>
        </w:rPr>
        <w:t>”</w:t>
      </w:r>
      <w:r w:rsidR="00900ABD">
        <w:rPr>
          <w:i/>
          <w:iCs/>
          <w:sz w:val="24"/>
          <w:szCs w:val="24"/>
        </w:rPr>
        <w:t xml:space="preserve"> </w:t>
      </w:r>
      <w:r w:rsidR="00D124FE">
        <w:rPr>
          <w:sz w:val="24"/>
          <w:szCs w:val="24"/>
        </w:rPr>
        <w:t>“</w:t>
      </w:r>
      <w:r w:rsidR="00D124FE" w:rsidRPr="00AB79C7">
        <w:rPr>
          <w:i/>
          <w:iCs/>
          <w:sz w:val="24"/>
          <w:szCs w:val="24"/>
        </w:rPr>
        <w:t>imputabilidad</w:t>
      </w:r>
      <w:r w:rsidR="00FC0AF1">
        <w:rPr>
          <w:sz w:val="24"/>
          <w:szCs w:val="24"/>
        </w:rPr>
        <w:t>”,</w:t>
      </w:r>
      <w:r w:rsidRPr="00900ABD">
        <w:rPr>
          <w:i/>
          <w:iCs/>
          <w:sz w:val="24"/>
          <w:szCs w:val="24"/>
        </w:rPr>
        <w:t xml:space="preserve"> </w:t>
      </w:r>
      <w:r w:rsidR="00900ABD" w:rsidRPr="00900ABD">
        <w:rPr>
          <w:i/>
          <w:iCs/>
          <w:sz w:val="24"/>
          <w:szCs w:val="24"/>
        </w:rPr>
        <w:t>“jurisprudencia”</w:t>
      </w:r>
      <w:r w:rsidR="00900ABD" w:rsidRPr="00900ABD">
        <w:rPr>
          <w:sz w:val="24"/>
          <w:szCs w:val="24"/>
        </w:rPr>
        <w:t xml:space="preserve"> en las bases de datos facilitadas por EBSCO Host, emparejados con el operador “AND”. La búsqueda se limitó al intervalo de tiempo entre 2010 y 2020. Se obtuvieron 3 resultados, de los cuales se emplearon los tres artículos disponibles.</w:t>
      </w:r>
    </w:p>
    <w:p w14:paraId="605CD9C9" w14:textId="07E07EFF" w:rsidR="008C718C" w:rsidRPr="00C50EF7" w:rsidRDefault="008C718C" w:rsidP="00714347">
      <w:pPr>
        <w:spacing w:line="360" w:lineRule="auto"/>
        <w:jc w:val="both"/>
        <w:rPr>
          <w:b/>
          <w:bCs/>
          <w:sz w:val="24"/>
          <w:szCs w:val="24"/>
        </w:rPr>
      </w:pPr>
      <w:r w:rsidRPr="00C50EF7">
        <w:rPr>
          <w:b/>
          <w:bCs/>
          <w:sz w:val="24"/>
          <w:szCs w:val="24"/>
        </w:rPr>
        <w:t>Criterios de inclusión</w:t>
      </w:r>
    </w:p>
    <w:p w14:paraId="70AF3154" w14:textId="3F5DB9BB" w:rsidR="00D124FE" w:rsidRDefault="00487A06">
      <w:pPr>
        <w:spacing w:line="360" w:lineRule="auto"/>
        <w:ind w:firstLine="708"/>
        <w:jc w:val="both"/>
        <w:rPr>
          <w:sz w:val="24"/>
          <w:szCs w:val="24"/>
        </w:rPr>
      </w:pPr>
      <w:r>
        <w:rPr>
          <w:sz w:val="24"/>
          <w:szCs w:val="24"/>
        </w:rPr>
        <w:t xml:space="preserve">Se ha delimitado el marco temporal de los documentos primarios entre el 2010 y el 2020. </w:t>
      </w:r>
      <w:r w:rsidR="000C028C">
        <w:rPr>
          <w:sz w:val="24"/>
          <w:szCs w:val="24"/>
        </w:rPr>
        <w:t xml:space="preserve">Tan solo se han incluido documentos en inglés y en español. </w:t>
      </w:r>
      <w:r w:rsidR="00D124FE">
        <w:rPr>
          <w:sz w:val="24"/>
          <w:szCs w:val="24"/>
        </w:rPr>
        <w:t xml:space="preserve">En relación a los documentos centrados en la aproximación </w:t>
      </w:r>
      <w:r w:rsidR="000C028C">
        <w:rPr>
          <w:sz w:val="24"/>
          <w:szCs w:val="24"/>
        </w:rPr>
        <w:t>de</w:t>
      </w:r>
      <w:r w:rsidR="00D124FE">
        <w:rPr>
          <w:sz w:val="24"/>
          <w:szCs w:val="24"/>
        </w:rPr>
        <w:t xml:space="preserve"> la violencia y la agresión, se han seleccionado aquellos centrados en los aspectos biológicos (genética, neuropsicología, funcionamiento cognitivo etc.)</w:t>
      </w:r>
      <w:r w:rsidR="000C028C">
        <w:rPr>
          <w:sz w:val="24"/>
          <w:szCs w:val="24"/>
        </w:rPr>
        <w:t xml:space="preserve"> y relacionados con el estudio de la delincuencia y la criminología científica.</w:t>
      </w:r>
    </w:p>
    <w:p w14:paraId="4A74A4B9" w14:textId="60F40C05" w:rsidR="00487A06" w:rsidRDefault="00D124FE">
      <w:pPr>
        <w:spacing w:line="360" w:lineRule="auto"/>
        <w:ind w:firstLine="708"/>
        <w:jc w:val="both"/>
        <w:rPr>
          <w:sz w:val="24"/>
          <w:szCs w:val="24"/>
        </w:rPr>
      </w:pPr>
      <w:r>
        <w:rPr>
          <w:sz w:val="24"/>
          <w:szCs w:val="24"/>
        </w:rPr>
        <w:t>En relación al estudio de la psicopatía</w:t>
      </w:r>
      <w:r w:rsidR="00487A06">
        <w:rPr>
          <w:sz w:val="24"/>
          <w:szCs w:val="24"/>
        </w:rPr>
        <w:t xml:space="preserve"> se han seleccionado los artículos en español y en inglés que se centraran específicamente en los </w:t>
      </w:r>
      <w:r>
        <w:rPr>
          <w:sz w:val="24"/>
          <w:szCs w:val="24"/>
        </w:rPr>
        <w:t>temas centrales de tratamiento</w:t>
      </w:r>
      <w:r w:rsidR="000C028C">
        <w:rPr>
          <w:sz w:val="24"/>
          <w:szCs w:val="24"/>
        </w:rPr>
        <w:t xml:space="preserve"> </w:t>
      </w:r>
      <w:r>
        <w:rPr>
          <w:sz w:val="24"/>
          <w:szCs w:val="24"/>
        </w:rPr>
        <w:t xml:space="preserve">y bases </w:t>
      </w:r>
      <w:r>
        <w:rPr>
          <w:sz w:val="24"/>
          <w:szCs w:val="24"/>
        </w:rPr>
        <w:lastRenderedPageBreak/>
        <w:t xml:space="preserve">psicológicas y neurobiológicas. </w:t>
      </w:r>
      <w:r w:rsidR="000C028C">
        <w:rPr>
          <w:sz w:val="24"/>
          <w:szCs w:val="24"/>
        </w:rPr>
        <w:t xml:space="preserve">Para valorar el abordaje jurisprudencial y psicolegal de la psicopatía solo se han incluido documentos en castellano que enfocaran el tema desde la psicología jurídica y forense (se han desechado documentos de derecho comparado o exclusivamente </w:t>
      </w:r>
      <w:commentRangeStart w:id="2"/>
      <w:r w:rsidR="000C028C">
        <w:rPr>
          <w:sz w:val="24"/>
          <w:szCs w:val="24"/>
        </w:rPr>
        <w:t>jurídicos</w:t>
      </w:r>
      <w:commentRangeEnd w:id="2"/>
      <w:r w:rsidR="00FC0AF1">
        <w:rPr>
          <w:rStyle w:val="Refdecomentario"/>
          <w:rFonts w:ascii="Times New Roman" w:eastAsia="Times New Roman" w:hAnsi="Times New Roman" w:cs="Times New Roman"/>
          <w:lang w:eastAsia="es-ES"/>
        </w:rPr>
        <w:commentReference w:id="2"/>
      </w:r>
      <w:r w:rsidR="000C028C">
        <w:rPr>
          <w:sz w:val="24"/>
          <w:szCs w:val="24"/>
        </w:rPr>
        <w:t>).</w:t>
      </w:r>
    </w:p>
    <w:p w14:paraId="0D7E0026" w14:textId="77777777" w:rsidR="00FC0AF1" w:rsidRPr="00900ABD" w:rsidRDefault="00FC0AF1">
      <w:pPr>
        <w:spacing w:line="360" w:lineRule="auto"/>
        <w:ind w:firstLine="708"/>
        <w:jc w:val="both"/>
        <w:rPr>
          <w:sz w:val="24"/>
          <w:szCs w:val="24"/>
        </w:rPr>
      </w:pPr>
    </w:p>
    <w:p w14:paraId="7BEB3ECE" w14:textId="77777777" w:rsidR="00ED6292" w:rsidRPr="0034474F" w:rsidRDefault="00ED6292">
      <w:pPr>
        <w:pStyle w:val="Ttulo1"/>
        <w:spacing w:line="360" w:lineRule="auto"/>
        <w:jc w:val="both"/>
        <w:rPr>
          <w:rFonts w:eastAsia="Times New Roman"/>
        </w:rPr>
      </w:pPr>
      <w:bookmarkStart w:id="3" w:name="_Hlk30672902"/>
      <w:bookmarkStart w:id="4" w:name="_Hlk30848719"/>
      <w:r w:rsidRPr="00BE0ABA">
        <w:rPr>
          <w:rFonts w:eastAsia="Times New Roman"/>
          <w:color w:val="auto"/>
        </w:rPr>
        <w:t>Modelos explicativos neurobiológicos de la violencia y la agresión </w:t>
      </w:r>
    </w:p>
    <w:p w14:paraId="36E425A2" w14:textId="718FF1BF" w:rsidR="00ED6292" w:rsidRPr="00900ABD" w:rsidRDefault="00ED6292">
      <w:pPr>
        <w:spacing w:after="0" w:line="360" w:lineRule="auto"/>
        <w:ind w:firstLine="708"/>
        <w:jc w:val="both"/>
        <w:rPr>
          <w:rFonts w:eastAsiaTheme="minorEastAsia"/>
          <w:sz w:val="24"/>
          <w:szCs w:val="24"/>
          <w:lang w:eastAsia="es-ES"/>
        </w:rPr>
      </w:pPr>
      <w:r w:rsidRPr="00900ABD">
        <w:rPr>
          <w:rFonts w:eastAsiaTheme="minorEastAsia"/>
          <w:sz w:val="24"/>
          <w:szCs w:val="24"/>
          <w:lang w:eastAsia="es-ES"/>
        </w:rPr>
        <w:t>Desde el modelo biológico, se plantean diferentes explicaciones de la conducta agresiva. En primer lugar</w:t>
      </w:r>
      <w:r w:rsidR="005A3EDE">
        <w:rPr>
          <w:rFonts w:eastAsiaTheme="minorEastAsia"/>
          <w:sz w:val="24"/>
          <w:szCs w:val="24"/>
          <w:lang w:eastAsia="es-ES"/>
        </w:rPr>
        <w:t>,</w:t>
      </w:r>
      <w:r w:rsidRPr="00900ABD">
        <w:rPr>
          <w:rFonts w:eastAsiaTheme="minorEastAsia"/>
          <w:sz w:val="24"/>
          <w:szCs w:val="24"/>
          <w:lang w:eastAsia="es-ES"/>
        </w:rPr>
        <w:t xml:space="preserve"> la </w:t>
      </w:r>
      <w:r w:rsidRPr="00900ABD">
        <w:rPr>
          <w:rFonts w:eastAsiaTheme="minorEastAsia"/>
          <w:b/>
          <w:bCs/>
          <w:sz w:val="24"/>
          <w:szCs w:val="24"/>
          <w:lang w:eastAsia="es-ES"/>
        </w:rPr>
        <w:t xml:space="preserve">neuroquímica </w:t>
      </w:r>
      <w:r w:rsidR="008611FD" w:rsidRPr="00900ABD">
        <w:rPr>
          <w:rFonts w:eastAsiaTheme="minorEastAsia"/>
          <w:b/>
          <w:bCs/>
          <w:sz w:val="24"/>
          <w:szCs w:val="24"/>
          <w:lang w:eastAsia="es-ES"/>
        </w:rPr>
        <w:t xml:space="preserve">y </w:t>
      </w:r>
      <w:r w:rsidR="008611FD">
        <w:rPr>
          <w:rFonts w:eastAsiaTheme="minorEastAsia"/>
          <w:b/>
          <w:bCs/>
          <w:sz w:val="24"/>
          <w:szCs w:val="24"/>
          <w:lang w:eastAsia="es-ES"/>
        </w:rPr>
        <w:t>los</w:t>
      </w:r>
      <w:r w:rsidR="005A3EDE">
        <w:rPr>
          <w:rFonts w:eastAsiaTheme="minorEastAsia"/>
          <w:b/>
          <w:bCs/>
          <w:sz w:val="24"/>
          <w:szCs w:val="24"/>
          <w:lang w:eastAsia="es-ES"/>
        </w:rPr>
        <w:t xml:space="preserve"> </w:t>
      </w:r>
      <w:r w:rsidRPr="00900ABD">
        <w:rPr>
          <w:rFonts w:eastAsiaTheme="minorEastAsia"/>
          <w:b/>
          <w:bCs/>
          <w:sz w:val="24"/>
          <w:szCs w:val="24"/>
          <w:lang w:eastAsia="es-ES"/>
        </w:rPr>
        <w:t>estudios farmacológicos</w:t>
      </w:r>
      <w:r w:rsidRPr="00900ABD">
        <w:rPr>
          <w:rFonts w:eastAsiaTheme="minorEastAsia"/>
          <w:sz w:val="24"/>
          <w:szCs w:val="24"/>
          <w:lang w:eastAsia="es-ES"/>
        </w:rPr>
        <w:t xml:space="preserve"> relaciona</w:t>
      </w:r>
      <w:r w:rsidR="005A3EDE">
        <w:rPr>
          <w:rFonts w:eastAsiaTheme="minorEastAsia"/>
          <w:sz w:val="24"/>
          <w:szCs w:val="24"/>
          <w:lang w:eastAsia="es-ES"/>
        </w:rPr>
        <w:t>n</w:t>
      </w:r>
      <w:r w:rsidRPr="00900ABD">
        <w:rPr>
          <w:rFonts w:eastAsiaTheme="minorEastAsia"/>
          <w:sz w:val="24"/>
          <w:szCs w:val="24"/>
          <w:lang w:eastAsia="es-ES"/>
        </w:rPr>
        <w:t xml:space="preserve"> la agresividad con diferentes neurotransmisores como es la serotonina (Herreros, Rubio y Monzón, 2010). Por otro lado, a </w:t>
      </w:r>
      <w:r w:rsidRPr="00900ABD">
        <w:rPr>
          <w:rFonts w:eastAsiaTheme="minorEastAsia"/>
          <w:b/>
          <w:bCs/>
          <w:sz w:val="24"/>
          <w:szCs w:val="24"/>
          <w:lang w:eastAsia="es-ES"/>
        </w:rPr>
        <w:t>nivel neurobiológico</w:t>
      </w:r>
      <w:r w:rsidRPr="00900ABD">
        <w:rPr>
          <w:rFonts w:eastAsiaTheme="minorEastAsia"/>
          <w:sz w:val="24"/>
          <w:szCs w:val="24"/>
          <w:lang w:eastAsia="es-ES"/>
        </w:rPr>
        <w:t>, una de las principales áreas asociadas con el control de las conductas agresivas es la corteza prefrontal (CPF), esta área es la encargada de las funciones ejecutivas, lo que implica el control de impulsos e inhibición de ciertas conductas. Los comportamientos agresivos serían consecuencia de un mal funcionamiento de esta área, principalmente consecuencia de daño cerebral (Carrasco y González, 2006; Sepúlveda</w:t>
      </w:r>
      <w:r w:rsidR="003031D4">
        <w:rPr>
          <w:rFonts w:eastAsiaTheme="minorEastAsia"/>
          <w:sz w:val="24"/>
          <w:szCs w:val="24"/>
          <w:lang w:eastAsia="es-ES"/>
        </w:rPr>
        <w:t>-</w:t>
      </w:r>
      <w:r w:rsidRPr="00900ABD">
        <w:rPr>
          <w:rFonts w:eastAsiaTheme="minorEastAsia"/>
          <w:sz w:val="24"/>
          <w:szCs w:val="24"/>
          <w:lang w:eastAsia="es-ES"/>
        </w:rPr>
        <w:t>Rojas y Moreno</w:t>
      </w:r>
      <w:r w:rsidR="003031D4">
        <w:rPr>
          <w:rFonts w:eastAsiaTheme="minorEastAsia"/>
          <w:sz w:val="24"/>
          <w:szCs w:val="24"/>
          <w:lang w:eastAsia="es-ES"/>
        </w:rPr>
        <w:t>-</w:t>
      </w:r>
      <w:r w:rsidRPr="00900ABD">
        <w:rPr>
          <w:rFonts w:eastAsiaTheme="minorEastAsia"/>
          <w:sz w:val="24"/>
          <w:szCs w:val="24"/>
          <w:lang w:eastAsia="es-ES"/>
        </w:rPr>
        <w:t xml:space="preserve">Paris, 2017). Finalmente, desde la </w:t>
      </w:r>
      <w:r w:rsidRPr="00900ABD">
        <w:rPr>
          <w:rFonts w:eastAsiaTheme="minorEastAsia"/>
          <w:b/>
          <w:bCs/>
          <w:sz w:val="24"/>
          <w:szCs w:val="24"/>
          <w:lang w:eastAsia="es-ES"/>
        </w:rPr>
        <w:t>genética</w:t>
      </w:r>
      <w:r w:rsidRPr="00900ABD">
        <w:rPr>
          <w:rFonts w:eastAsiaTheme="minorEastAsia"/>
          <w:sz w:val="24"/>
          <w:szCs w:val="24"/>
          <w:lang w:eastAsia="es-ES"/>
        </w:rPr>
        <w:t xml:space="preserve"> se han estudiado dos genes en concreto en relación con la conducta agresiva: el gen MAOA y el 5-HTT (</w:t>
      </w:r>
      <w:r w:rsidR="003031D4" w:rsidRPr="00900ABD">
        <w:rPr>
          <w:rFonts w:eastAsiaTheme="minorEastAsia"/>
          <w:sz w:val="24"/>
          <w:szCs w:val="24"/>
          <w:lang w:eastAsia="es-ES"/>
        </w:rPr>
        <w:t>Sepúlveda</w:t>
      </w:r>
      <w:r w:rsidR="003031D4">
        <w:rPr>
          <w:rFonts w:eastAsiaTheme="minorEastAsia"/>
          <w:sz w:val="24"/>
          <w:szCs w:val="24"/>
          <w:lang w:eastAsia="es-ES"/>
        </w:rPr>
        <w:t>-</w:t>
      </w:r>
      <w:r w:rsidR="003031D4" w:rsidRPr="00900ABD">
        <w:rPr>
          <w:rFonts w:eastAsiaTheme="minorEastAsia"/>
          <w:sz w:val="24"/>
          <w:szCs w:val="24"/>
          <w:lang w:eastAsia="es-ES"/>
        </w:rPr>
        <w:t>Rojas y Moreno</w:t>
      </w:r>
      <w:r w:rsidR="003031D4">
        <w:rPr>
          <w:rFonts w:eastAsiaTheme="minorEastAsia"/>
          <w:sz w:val="24"/>
          <w:szCs w:val="24"/>
          <w:lang w:eastAsia="es-ES"/>
        </w:rPr>
        <w:t>-</w:t>
      </w:r>
      <w:r w:rsidR="003031D4" w:rsidRPr="00900ABD">
        <w:rPr>
          <w:rFonts w:eastAsiaTheme="minorEastAsia"/>
          <w:sz w:val="24"/>
          <w:szCs w:val="24"/>
          <w:lang w:eastAsia="es-ES"/>
        </w:rPr>
        <w:t>Paris, 2017</w:t>
      </w:r>
      <w:r w:rsidRPr="00900ABD">
        <w:rPr>
          <w:rFonts w:eastAsiaTheme="minorEastAsia"/>
          <w:sz w:val="24"/>
          <w:szCs w:val="24"/>
          <w:lang w:eastAsia="es-ES"/>
        </w:rPr>
        <w:t>). Estos modelos se expondrán en mayor profundidad en los siguientes apartados, basándose en la clasificación realizada por Gil-Verona et al. (2002): genéticos-neuroquímicos, endocrinológicos</w:t>
      </w:r>
      <w:r w:rsidR="00FF2846" w:rsidRPr="00900ABD">
        <w:rPr>
          <w:rFonts w:eastAsiaTheme="minorEastAsia"/>
          <w:sz w:val="24"/>
          <w:szCs w:val="24"/>
          <w:lang w:eastAsia="es-ES"/>
        </w:rPr>
        <w:t xml:space="preserve"> </w:t>
      </w:r>
      <w:r w:rsidRPr="00900ABD">
        <w:rPr>
          <w:rFonts w:eastAsiaTheme="minorEastAsia"/>
          <w:sz w:val="24"/>
          <w:szCs w:val="24"/>
          <w:lang w:eastAsia="es-ES"/>
        </w:rPr>
        <w:t>y neurobiológicos.</w:t>
      </w:r>
    </w:p>
    <w:bookmarkEnd w:id="3"/>
    <w:p w14:paraId="6984797D" w14:textId="77777777" w:rsidR="00ED6292" w:rsidRPr="00BE0ABA" w:rsidRDefault="00ED6292">
      <w:pPr>
        <w:pStyle w:val="Ttulo2"/>
        <w:spacing w:line="360" w:lineRule="auto"/>
        <w:jc w:val="both"/>
        <w:rPr>
          <w:u w:val="single"/>
        </w:rPr>
      </w:pPr>
      <w:r w:rsidRPr="00BE0ABA">
        <w:rPr>
          <w:color w:val="auto"/>
          <w:u w:val="single"/>
        </w:rPr>
        <w:t>Modelo Genético-neuroquímico</w:t>
      </w:r>
    </w:p>
    <w:p w14:paraId="1A358EBF" w14:textId="426D4C46" w:rsidR="00ED6292" w:rsidRPr="00900ABD" w:rsidRDefault="00ED6292">
      <w:pPr>
        <w:spacing w:after="0" w:line="360" w:lineRule="auto"/>
        <w:ind w:firstLine="708"/>
        <w:jc w:val="both"/>
        <w:rPr>
          <w:sz w:val="24"/>
          <w:szCs w:val="24"/>
        </w:rPr>
      </w:pPr>
      <w:r w:rsidRPr="00900ABD">
        <w:rPr>
          <w:sz w:val="24"/>
          <w:szCs w:val="24"/>
        </w:rPr>
        <w:t xml:space="preserve">Los neurotransmisores más conocidos a nivel general son la serotonina, la noradrenalina, la dopamina, la </w:t>
      </w:r>
      <w:r w:rsidR="001B18AE" w:rsidRPr="00900ABD">
        <w:rPr>
          <w:sz w:val="24"/>
          <w:szCs w:val="24"/>
        </w:rPr>
        <w:t>acetilcolina</w:t>
      </w:r>
      <w:r w:rsidRPr="00900ABD">
        <w:rPr>
          <w:sz w:val="24"/>
          <w:szCs w:val="24"/>
        </w:rPr>
        <w:t xml:space="preserve"> y el GABA (ácido gamma aminobutírico). Estos neurotransmisores en su exceso o defecto se han relacionado con problemas en salud mental, y en concreto la serotonina, la dopamina y la noradrenalina se han relación con el control de las conductas agresivas, la irritabilidad y la impulsividad (</w:t>
      </w:r>
      <w:r w:rsidRPr="00900ABD">
        <w:rPr>
          <w:rFonts w:eastAsiaTheme="minorEastAsia"/>
          <w:sz w:val="24"/>
          <w:szCs w:val="24"/>
          <w:lang w:eastAsia="es-ES"/>
        </w:rPr>
        <w:t xml:space="preserve">Pacheco, 2017; </w:t>
      </w:r>
      <w:r w:rsidRPr="00900ABD">
        <w:rPr>
          <w:sz w:val="24"/>
          <w:szCs w:val="24"/>
        </w:rPr>
        <w:t>Ramírez, 2006).</w:t>
      </w:r>
    </w:p>
    <w:p w14:paraId="13B2032A" w14:textId="6A4238BF" w:rsidR="00ED6292" w:rsidRPr="00900ABD" w:rsidRDefault="00ED6292">
      <w:pPr>
        <w:spacing w:after="0" w:line="360" w:lineRule="auto"/>
        <w:ind w:firstLine="708"/>
        <w:jc w:val="both"/>
        <w:rPr>
          <w:rFonts w:eastAsiaTheme="minorEastAsia"/>
          <w:sz w:val="24"/>
          <w:szCs w:val="24"/>
          <w:lang w:eastAsia="es-ES"/>
        </w:rPr>
      </w:pPr>
      <w:r w:rsidRPr="00900ABD">
        <w:rPr>
          <w:sz w:val="24"/>
          <w:szCs w:val="24"/>
        </w:rPr>
        <w:t xml:space="preserve">En primer lugar, la </w:t>
      </w:r>
      <w:r w:rsidRPr="00900ABD">
        <w:rPr>
          <w:b/>
          <w:bCs/>
          <w:sz w:val="24"/>
          <w:szCs w:val="24"/>
        </w:rPr>
        <w:t>serotonina</w:t>
      </w:r>
      <w:r w:rsidRPr="00900ABD">
        <w:rPr>
          <w:sz w:val="24"/>
          <w:szCs w:val="24"/>
        </w:rPr>
        <w:t xml:space="preserve"> o </w:t>
      </w:r>
      <w:r w:rsidRPr="00900ABD">
        <w:rPr>
          <w:b/>
          <w:bCs/>
          <w:sz w:val="24"/>
          <w:szCs w:val="24"/>
        </w:rPr>
        <w:t xml:space="preserve">5-hidroxitriptamina (5-HT) </w:t>
      </w:r>
      <w:r w:rsidRPr="00900ABD">
        <w:rPr>
          <w:sz w:val="24"/>
          <w:szCs w:val="24"/>
        </w:rPr>
        <w:t>es “una monoamina que sirve como neurotransmisor en el cerebro, las neuronas que la sintetizan están agrupadas en varios núcleos del tronco encefálico</w:t>
      </w:r>
      <w:r w:rsidR="002C1544" w:rsidRPr="00900ABD">
        <w:rPr>
          <w:sz w:val="24"/>
          <w:szCs w:val="24"/>
        </w:rPr>
        <w:t>”</w:t>
      </w:r>
      <w:r w:rsidRPr="00900ABD">
        <w:rPr>
          <w:sz w:val="24"/>
          <w:szCs w:val="24"/>
        </w:rPr>
        <w:t xml:space="preserve"> (</w:t>
      </w:r>
      <w:r w:rsidRPr="00900ABD">
        <w:rPr>
          <w:rFonts w:eastAsiaTheme="minorEastAsia"/>
          <w:sz w:val="24"/>
          <w:szCs w:val="24"/>
          <w:lang w:eastAsia="es-ES"/>
        </w:rPr>
        <w:t xml:space="preserve">Gil-Verona et al., 2002, p.296). La serotonina es uno de los neurotransmisores más estudiados por su implicación en muchas de las funciones biológicas y psicológicas básicas, entre las que se encuentra el </w:t>
      </w:r>
      <w:r w:rsidRPr="00900ABD">
        <w:rPr>
          <w:rFonts w:eastAsiaTheme="minorEastAsia"/>
          <w:sz w:val="24"/>
          <w:szCs w:val="24"/>
          <w:lang w:eastAsia="es-ES"/>
        </w:rPr>
        <w:lastRenderedPageBreak/>
        <w:t xml:space="preserve">control del comportamiento humano (Ramírez, 2006). La serotonina funciona como un inhibidor de la agresión, aunque sus efectos </w:t>
      </w:r>
      <w:r w:rsidR="00F1097E">
        <w:rPr>
          <w:rFonts w:eastAsiaTheme="minorEastAsia"/>
          <w:sz w:val="24"/>
          <w:szCs w:val="24"/>
          <w:lang w:eastAsia="es-ES"/>
        </w:rPr>
        <w:t>pueden diferir.</w:t>
      </w:r>
      <w:r w:rsidRPr="00900ABD">
        <w:rPr>
          <w:rFonts w:eastAsiaTheme="minorEastAsia"/>
          <w:sz w:val="24"/>
          <w:szCs w:val="24"/>
          <w:lang w:eastAsia="es-ES"/>
        </w:rPr>
        <w:t xml:space="preserve"> </w:t>
      </w:r>
      <w:r w:rsidR="00F1097E">
        <w:rPr>
          <w:rFonts w:eastAsiaTheme="minorEastAsia"/>
          <w:sz w:val="24"/>
          <w:szCs w:val="24"/>
          <w:lang w:eastAsia="es-ES"/>
        </w:rPr>
        <w:t>P</w:t>
      </w:r>
      <w:r w:rsidRPr="00900ABD">
        <w:rPr>
          <w:rFonts w:eastAsiaTheme="minorEastAsia"/>
          <w:sz w:val="24"/>
          <w:szCs w:val="24"/>
          <w:lang w:eastAsia="es-ES"/>
        </w:rPr>
        <w:t xml:space="preserve">or ejemplo la presencia de niveles altos de 5-HT, en ciertas áreas cerebrales como la corteza prefrontal, se relaciona con la ansiedad, mientras que el déficit de 5-HT produce un menor control de la impulsividad, lo que puede manifestarse como ciertos tipos de agresiones (Ortega-Escobar y Alcázar-Córcoles, 2019; </w:t>
      </w:r>
      <w:r w:rsidR="002C1544" w:rsidRPr="00900ABD">
        <w:rPr>
          <w:rFonts w:eastAsiaTheme="minorEastAsia"/>
          <w:sz w:val="24"/>
          <w:szCs w:val="24"/>
          <w:lang w:eastAsia="es-ES"/>
        </w:rPr>
        <w:t xml:space="preserve">Ramírez, 2006; </w:t>
      </w:r>
      <w:r w:rsidRPr="00900ABD">
        <w:rPr>
          <w:rFonts w:eastAsiaTheme="minorEastAsia"/>
          <w:sz w:val="24"/>
          <w:szCs w:val="24"/>
          <w:lang w:eastAsia="es-ES"/>
        </w:rPr>
        <w:t>S</w:t>
      </w:r>
      <w:r w:rsidR="00F1097E">
        <w:rPr>
          <w:rFonts w:eastAsiaTheme="minorEastAsia"/>
          <w:sz w:val="24"/>
          <w:szCs w:val="24"/>
          <w:lang w:eastAsia="es-ES"/>
        </w:rPr>
        <w:t>á</w:t>
      </w:r>
      <w:r w:rsidRPr="00900ABD">
        <w:rPr>
          <w:rFonts w:eastAsiaTheme="minorEastAsia"/>
          <w:sz w:val="24"/>
          <w:szCs w:val="24"/>
          <w:lang w:eastAsia="es-ES"/>
        </w:rPr>
        <w:t xml:space="preserve">nchez y Mosquera, 2011). La 5-HT es empleada como neurotransmisor en ciertas áreas cerebrales como el hipotálamo, área relacionada con el control de la agresión, pero este nivel de serotonina en el cerebro puede variar por la influencia de agentes externos durante la niñez que provocan un descenso del umbral biológico de la violencia (Gil-Verona et al.,2002; Ortega-Escobar y Alcázar-Córcoles, 2019). Finalmente, Duke, Bègue, Bell y </w:t>
      </w:r>
      <w:r w:rsidRPr="00900ABD">
        <w:rPr>
          <w:rFonts w:ascii="Times New Roman" w:eastAsia="Times New Roman" w:hAnsi="Times New Roman" w:cs="Times New Roman"/>
          <w:sz w:val="24"/>
          <w:szCs w:val="24"/>
          <w:lang w:eastAsia="es-ES"/>
        </w:rPr>
        <w:t xml:space="preserve">Eisenlohr-Moul </w:t>
      </w:r>
      <w:r w:rsidRPr="00900ABD">
        <w:rPr>
          <w:rFonts w:eastAsiaTheme="minorEastAsia"/>
          <w:sz w:val="24"/>
          <w:szCs w:val="24"/>
          <w:lang w:eastAsia="es-ES"/>
        </w:rPr>
        <w:t xml:space="preserve">(2013) realizaron un meta análisis de los estudios que relacionaban el 5-HT con la agresión y hallaron en los resultados que dicho neurotransmisor explicaba poco más del 1% de la varianza en los comportamientos agresivos. Estos autores plantean la posibilidad de que la función de la serotonina en el control de la conducta </w:t>
      </w:r>
      <w:r w:rsidR="002C1544" w:rsidRPr="00900ABD">
        <w:rPr>
          <w:rFonts w:eastAsiaTheme="minorEastAsia"/>
          <w:sz w:val="24"/>
          <w:szCs w:val="24"/>
          <w:lang w:eastAsia="es-ES"/>
        </w:rPr>
        <w:t>es</w:t>
      </w:r>
      <w:r w:rsidRPr="00900ABD">
        <w:rPr>
          <w:rFonts w:eastAsiaTheme="minorEastAsia"/>
          <w:sz w:val="24"/>
          <w:szCs w:val="24"/>
          <w:lang w:eastAsia="es-ES"/>
        </w:rPr>
        <w:t xml:space="preserve"> más </w:t>
      </w:r>
      <w:proofErr w:type="gramStart"/>
      <w:r w:rsidRPr="00900ABD">
        <w:rPr>
          <w:rFonts w:eastAsiaTheme="minorEastAsia"/>
          <w:sz w:val="24"/>
          <w:szCs w:val="24"/>
          <w:lang w:eastAsia="es-ES"/>
        </w:rPr>
        <w:t>complejo</w:t>
      </w:r>
      <w:proofErr w:type="gramEnd"/>
      <w:r w:rsidRPr="00900ABD">
        <w:rPr>
          <w:rFonts w:eastAsiaTheme="minorEastAsia"/>
          <w:sz w:val="24"/>
          <w:szCs w:val="24"/>
          <w:lang w:eastAsia="es-ES"/>
        </w:rPr>
        <w:t>, lo que supondría la necesidad de mejora en el estudio de las vías nerviosas en las que interviene dicho neurotransmisor.</w:t>
      </w:r>
    </w:p>
    <w:p w14:paraId="2F302A91" w14:textId="53C8FB9D" w:rsidR="00ED6292" w:rsidRPr="00900ABD" w:rsidRDefault="00ED6292">
      <w:pPr>
        <w:autoSpaceDE w:val="0"/>
        <w:autoSpaceDN w:val="0"/>
        <w:adjustRightInd w:val="0"/>
        <w:spacing w:before="160" w:after="0" w:line="360" w:lineRule="auto"/>
        <w:ind w:firstLine="708"/>
        <w:jc w:val="both"/>
        <w:rPr>
          <w:rFonts w:ascii="Times New Roman" w:hAnsi="Times New Roman" w:cs="Times New Roman"/>
          <w:sz w:val="24"/>
          <w:szCs w:val="24"/>
        </w:rPr>
      </w:pPr>
      <w:r w:rsidRPr="00900ABD">
        <w:rPr>
          <w:rFonts w:ascii="Times New Roman" w:hAnsi="Times New Roman" w:cs="Times New Roman"/>
          <w:sz w:val="24"/>
          <w:szCs w:val="24"/>
        </w:rPr>
        <w:t xml:space="preserve">El sistema noradrenérgico es el encargado de las conductas de lucha y huida. La presencia de niveles elevados de </w:t>
      </w:r>
      <w:r w:rsidRPr="00900ABD">
        <w:rPr>
          <w:rFonts w:ascii="Times New Roman" w:hAnsi="Times New Roman" w:cs="Times New Roman"/>
          <w:b/>
          <w:bCs/>
          <w:sz w:val="24"/>
          <w:szCs w:val="24"/>
        </w:rPr>
        <w:t>noradrenalina</w:t>
      </w:r>
      <w:r w:rsidRPr="00900ABD">
        <w:rPr>
          <w:rFonts w:ascii="Times New Roman" w:hAnsi="Times New Roman" w:cs="Times New Roman"/>
          <w:sz w:val="24"/>
          <w:szCs w:val="24"/>
        </w:rPr>
        <w:t xml:space="preserve">, en estudios en población preclínica, producía un aumento de la presión sanguínea, el ritmo cardiaco, la irritabilidad, la ansiedad y el insomnio, además de una </w:t>
      </w:r>
      <w:r w:rsidR="00F1097E">
        <w:rPr>
          <w:rFonts w:ascii="Times New Roman" w:hAnsi="Times New Roman" w:cs="Times New Roman"/>
          <w:sz w:val="24"/>
          <w:szCs w:val="24"/>
        </w:rPr>
        <w:t>desinhibición</w:t>
      </w:r>
      <w:r w:rsidR="00F1097E" w:rsidRPr="00900ABD">
        <w:rPr>
          <w:rFonts w:ascii="Times New Roman" w:hAnsi="Times New Roman" w:cs="Times New Roman"/>
          <w:sz w:val="24"/>
          <w:szCs w:val="24"/>
        </w:rPr>
        <w:t xml:space="preserve"> </w:t>
      </w:r>
      <w:r w:rsidRPr="00900ABD">
        <w:rPr>
          <w:rFonts w:ascii="Times New Roman" w:hAnsi="Times New Roman" w:cs="Times New Roman"/>
          <w:sz w:val="24"/>
          <w:szCs w:val="24"/>
        </w:rPr>
        <w:t xml:space="preserve">de las conductas agresivas en aquellos individuos con tendencia a la impulsividad, </w:t>
      </w:r>
      <w:r w:rsidR="00F1097E">
        <w:rPr>
          <w:rFonts w:ascii="Times New Roman" w:hAnsi="Times New Roman" w:cs="Times New Roman"/>
          <w:sz w:val="24"/>
          <w:szCs w:val="24"/>
        </w:rPr>
        <w:t xml:space="preserve">por lo que </w:t>
      </w:r>
      <w:r w:rsidRPr="00900ABD">
        <w:rPr>
          <w:rFonts w:ascii="Times New Roman" w:hAnsi="Times New Roman" w:cs="Times New Roman"/>
          <w:sz w:val="24"/>
          <w:szCs w:val="24"/>
        </w:rPr>
        <w:t>en líneas generales, produce una hiperactivación del cuerpo humano. Algunos estudios indican que la síntesis de la noradrenalina dependerá del ambiente, siendo mayor en situaciones hostiles (Corvo y Dutton, 2015</w:t>
      </w:r>
      <w:r w:rsidR="00DF0E8E" w:rsidRPr="00900ABD">
        <w:rPr>
          <w:rFonts w:ascii="Times New Roman" w:hAnsi="Times New Roman" w:cs="Times New Roman"/>
          <w:sz w:val="24"/>
          <w:szCs w:val="24"/>
        </w:rPr>
        <w:t xml:space="preserve">; </w:t>
      </w:r>
      <w:r w:rsidRPr="00900ABD">
        <w:rPr>
          <w:rFonts w:ascii="Times New Roman" w:hAnsi="Times New Roman" w:cs="Times New Roman"/>
          <w:sz w:val="24"/>
          <w:szCs w:val="24"/>
        </w:rPr>
        <w:t>Pacheco, 2017</w:t>
      </w:r>
      <w:r w:rsidR="00A35FC3" w:rsidRPr="00900ABD">
        <w:rPr>
          <w:rFonts w:ascii="Times New Roman" w:hAnsi="Times New Roman" w:cs="Times New Roman"/>
          <w:sz w:val="24"/>
          <w:szCs w:val="24"/>
        </w:rPr>
        <w:t xml:space="preserve">; Ramírez, 2006; </w:t>
      </w:r>
      <w:r w:rsidRPr="00900ABD">
        <w:rPr>
          <w:rFonts w:ascii="Times New Roman" w:hAnsi="Times New Roman" w:cs="Times New Roman"/>
          <w:sz w:val="24"/>
          <w:szCs w:val="24"/>
        </w:rPr>
        <w:t>Sanchez y Mosquera, 2011).</w:t>
      </w:r>
    </w:p>
    <w:p w14:paraId="65DDBB04" w14:textId="77777777" w:rsidR="00ED6292" w:rsidRPr="00B4010B" w:rsidRDefault="00ED6292">
      <w:pPr>
        <w:spacing w:after="0" w:line="360" w:lineRule="auto"/>
        <w:jc w:val="both"/>
        <w:rPr>
          <w:rFonts w:eastAsiaTheme="minorEastAsia"/>
        </w:rPr>
      </w:pPr>
    </w:p>
    <w:p w14:paraId="065C6717" w14:textId="6069A155" w:rsidR="00ED6292" w:rsidRPr="00517042" w:rsidRDefault="00ED6292">
      <w:pPr>
        <w:spacing w:after="0" w:line="360" w:lineRule="auto"/>
        <w:jc w:val="both"/>
        <w:rPr>
          <w:rFonts w:eastAsiaTheme="minorEastAsia"/>
          <w:sz w:val="24"/>
          <w:szCs w:val="24"/>
          <w:lang w:eastAsia="es-ES"/>
        </w:rPr>
      </w:pPr>
      <w:r w:rsidRPr="00900ABD">
        <w:rPr>
          <w:rFonts w:eastAsiaTheme="minorEastAsia"/>
          <w:sz w:val="24"/>
          <w:szCs w:val="24"/>
        </w:rPr>
        <w:tab/>
        <w:t xml:space="preserve">La </w:t>
      </w:r>
      <w:r w:rsidRPr="00900ABD">
        <w:rPr>
          <w:rFonts w:eastAsiaTheme="minorEastAsia"/>
          <w:b/>
          <w:bCs/>
          <w:sz w:val="24"/>
          <w:szCs w:val="24"/>
        </w:rPr>
        <w:t>dopamina</w:t>
      </w:r>
      <w:r w:rsidRPr="00517042">
        <w:rPr>
          <w:rFonts w:eastAsiaTheme="minorEastAsia"/>
          <w:sz w:val="24"/>
          <w:szCs w:val="24"/>
        </w:rPr>
        <w:t xml:space="preserve"> es uno de los neurotransmisores más importantes para el ser humano, ya que se encarga de regular la gratificación interna del cerebro. El sistema dopaminérgico es esencial para el aprendizaje humano, y se encar</w:t>
      </w:r>
      <w:r w:rsidRPr="00617484">
        <w:rPr>
          <w:rFonts w:eastAsiaTheme="minorEastAsia"/>
          <w:sz w:val="24"/>
          <w:szCs w:val="24"/>
        </w:rPr>
        <w:t xml:space="preserve">ga de la vinculación entre conductas y sus consecuencias, principalmente, en el aprendizaje por recompensas, activando el núcleo accumbens, mientras que en el aprendizaje de conductas de activación se activará la amígdala. Es por eso por lo que cuando se habla de dopamina, esta es relacionada con la búsqueda de placer, pero también interviene en procesos anímicos y de alerta. En su relación con las conductas agresivas, cuando existe un déficit </w:t>
      </w:r>
      <w:r w:rsidRPr="00617484">
        <w:rPr>
          <w:rFonts w:eastAsiaTheme="minorEastAsia"/>
          <w:sz w:val="24"/>
          <w:szCs w:val="24"/>
        </w:rPr>
        <w:lastRenderedPageBreak/>
        <w:t>dopaminérgico, los individuos tenderán a buscar sensaciones y recompensa</w:t>
      </w:r>
      <w:r w:rsidR="008E00B3">
        <w:rPr>
          <w:rFonts w:eastAsiaTheme="minorEastAsia"/>
          <w:sz w:val="24"/>
          <w:szCs w:val="24"/>
        </w:rPr>
        <w:t>s</w:t>
      </w:r>
      <w:r w:rsidRPr="00617484">
        <w:rPr>
          <w:rFonts w:eastAsiaTheme="minorEastAsia"/>
          <w:sz w:val="24"/>
          <w:szCs w:val="24"/>
        </w:rPr>
        <w:t xml:space="preserve"> mayores, realizando conductas más arriesgadas. </w:t>
      </w:r>
      <w:r w:rsidR="00DF0E8E" w:rsidRPr="00617484">
        <w:rPr>
          <w:rFonts w:eastAsiaTheme="minorEastAsia"/>
          <w:sz w:val="24"/>
          <w:szCs w:val="24"/>
        </w:rPr>
        <w:t>Los desequilibrios de los niveles de dopamina también tienen</w:t>
      </w:r>
      <w:r w:rsidRPr="00617484">
        <w:rPr>
          <w:rFonts w:eastAsiaTheme="minorEastAsia"/>
          <w:sz w:val="24"/>
          <w:szCs w:val="24"/>
        </w:rPr>
        <w:t xml:space="preserve"> otras implicaciones psiquiátricas, relacionándose con algunos trastornos de personalidad, desordenes anímicos, el trastorno de estrés postraumático y la enfermedad de Parkinson (</w:t>
      </w:r>
      <w:r w:rsidRPr="00617484">
        <w:rPr>
          <w:rFonts w:eastAsiaTheme="minorEastAsia"/>
          <w:sz w:val="24"/>
          <w:szCs w:val="24"/>
          <w:lang w:eastAsia="es-ES"/>
        </w:rPr>
        <w:t>Corvo y Dutton</w:t>
      </w:r>
      <w:r w:rsidRPr="00517042">
        <w:rPr>
          <w:rFonts w:eastAsiaTheme="minorEastAsia"/>
          <w:sz w:val="24"/>
          <w:szCs w:val="24"/>
          <w:lang w:eastAsia="es-ES"/>
        </w:rPr>
        <w:t>, 2015;</w:t>
      </w:r>
      <w:r w:rsidRPr="00900ABD">
        <w:rPr>
          <w:rFonts w:eastAsiaTheme="minorEastAsia"/>
          <w:sz w:val="24"/>
          <w:szCs w:val="24"/>
        </w:rPr>
        <w:t xml:space="preserve"> </w:t>
      </w:r>
      <w:r w:rsidRPr="00517042">
        <w:rPr>
          <w:rFonts w:eastAsiaTheme="minorEastAsia"/>
          <w:sz w:val="24"/>
          <w:szCs w:val="24"/>
          <w:lang w:eastAsia="es-ES"/>
        </w:rPr>
        <w:t xml:space="preserve">Pacheco, 2017; </w:t>
      </w:r>
      <w:r w:rsidRPr="00900ABD">
        <w:rPr>
          <w:rFonts w:eastAsiaTheme="minorEastAsia"/>
          <w:sz w:val="24"/>
          <w:szCs w:val="24"/>
        </w:rPr>
        <w:t>Ramírez, 2006</w:t>
      </w:r>
      <w:r w:rsidRPr="00517042">
        <w:rPr>
          <w:rFonts w:eastAsiaTheme="minorEastAsia"/>
          <w:sz w:val="24"/>
          <w:szCs w:val="24"/>
          <w:lang w:eastAsia="es-ES"/>
        </w:rPr>
        <w:t>).</w:t>
      </w:r>
    </w:p>
    <w:p w14:paraId="21EBA0A5" w14:textId="77777777" w:rsidR="00ED6292" w:rsidRPr="00517042" w:rsidRDefault="00ED6292">
      <w:pPr>
        <w:spacing w:after="0" w:line="360" w:lineRule="auto"/>
        <w:ind w:firstLine="708"/>
        <w:jc w:val="both"/>
        <w:rPr>
          <w:rFonts w:eastAsiaTheme="minorEastAsia"/>
          <w:sz w:val="24"/>
          <w:szCs w:val="24"/>
        </w:rPr>
      </w:pPr>
      <w:r w:rsidRPr="00900ABD">
        <w:rPr>
          <w:rFonts w:eastAsiaTheme="minorEastAsia"/>
          <w:sz w:val="24"/>
          <w:szCs w:val="24"/>
        </w:rPr>
        <w:t xml:space="preserve">El sistema colinérgico, y en concreto la </w:t>
      </w:r>
      <w:r w:rsidRPr="00517042">
        <w:rPr>
          <w:rFonts w:eastAsiaTheme="minorEastAsia"/>
          <w:b/>
          <w:bCs/>
          <w:sz w:val="24"/>
          <w:szCs w:val="24"/>
        </w:rPr>
        <w:t>acetilcolina</w:t>
      </w:r>
      <w:r w:rsidRPr="00517042">
        <w:rPr>
          <w:rFonts w:eastAsiaTheme="minorEastAsia"/>
          <w:sz w:val="24"/>
          <w:szCs w:val="24"/>
        </w:rPr>
        <w:t>, están relacionadas con funciones fundamentales para el ser humano como el aprendizaje y la memoria. Este neurotransmisor también se encuentra involucrado en estados de alerta y comportamientos agresivos, debido a la hiperactivación que provoca en el sistema límbico (Corvo y Dutton, 2015; Ramírez, 2006).</w:t>
      </w:r>
    </w:p>
    <w:p w14:paraId="677E91C3" w14:textId="77777777" w:rsidR="00ED6292" w:rsidRPr="00517042" w:rsidRDefault="00ED6292">
      <w:pPr>
        <w:spacing w:after="0" w:line="360" w:lineRule="auto"/>
        <w:ind w:firstLine="708"/>
        <w:jc w:val="both"/>
        <w:rPr>
          <w:rFonts w:eastAsiaTheme="minorEastAsia"/>
          <w:sz w:val="24"/>
          <w:szCs w:val="24"/>
        </w:rPr>
      </w:pPr>
      <w:r w:rsidRPr="00517042">
        <w:rPr>
          <w:rFonts w:eastAsiaTheme="minorEastAsia"/>
          <w:sz w:val="24"/>
          <w:szCs w:val="24"/>
        </w:rPr>
        <w:t>Finalmente, los sistemas GABAérgicos se encargan de la inhibición del sistema nervioso, promoviendo la relajación. En relación con los comportamientos agresivos se ha descubierto que ciertas dosis inducidas farmacológicamente de GABA pueden inhibir ciertas conductas agresivas, pero es necesario atender a las variables individuales como contextuales (Corvo y Dutton, 2015; Ramírez, 2006).</w:t>
      </w:r>
    </w:p>
    <w:p w14:paraId="7DAACC0A" w14:textId="77B9FD78" w:rsidR="00ED6292" w:rsidRPr="00517042" w:rsidRDefault="00ED6292">
      <w:pPr>
        <w:spacing w:after="0" w:line="360" w:lineRule="auto"/>
        <w:ind w:firstLine="708"/>
        <w:jc w:val="both"/>
        <w:rPr>
          <w:rFonts w:eastAsiaTheme="minorEastAsia"/>
          <w:sz w:val="24"/>
          <w:szCs w:val="24"/>
          <w:lang w:eastAsia="es-ES"/>
        </w:rPr>
      </w:pPr>
      <w:bookmarkStart w:id="5" w:name="_Hlk30673088"/>
      <w:r w:rsidRPr="00517042">
        <w:rPr>
          <w:rFonts w:eastAsiaTheme="minorEastAsia"/>
          <w:sz w:val="24"/>
          <w:szCs w:val="24"/>
          <w:lang w:eastAsia="es-ES"/>
        </w:rPr>
        <w:t xml:space="preserve">A nivel </w:t>
      </w:r>
      <w:r w:rsidRPr="00517042">
        <w:rPr>
          <w:rFonts w:eastAsiaTheme="minorEastAsia"/>
          <w:b/>
          <w:bCs/>
          <w:sz w:val="24"/>
          <w:szCs w:val="24"/>
          <w:u w:val="single"/>
          <w:lang w:eastAsia="es-ES"/>
        </w:rPr>
        <w:t>genético</w:t>
      </w:r>
      <w:r w:rsidRPr="00517042">
        <w:rPr>
          <w:rFonts w:eastAsiaTheme="minorEastAsia"/>
          <w:sz w:val="24"/>
          <w:szCs w:val="24"/>
          <w:lang w:eastAsia="es-ES"/>
        </w:rPr>
        <w:t xml:space="preserve">, los principales genes asociados al comportamiento agresivo y/o impulsivo son: el 5-HTT (gen transportador de serotonina) y el gen MAO-A (gen de la monoamino oxidasa A). Uno de los más importantes hallazgos en el campo de la genética clínica fue el realizado por </w:t>
      </w:r>
      <w:r w:rsidR="00CE2444">
        <w:rPr>
          <w:rFonts w:eastAsiaTheme="minorEastAsia"/>
          <w:sz w:val="24"/>
          <w:szCs w:val="24"/>
          <w:lang w:eastAsia="es-ES"/>
        </w:rPr>
        <w:t>Brunner, Nelen, Breakefield, Ropers y van Oost</w:t>
      </w:r>
      <w:r w:rsidRPr="00517042">
        <w:rPr>
          <w:rFonts w:eastAsiaTheme="minorEastAsia"/>
          <w:sz w:val="24"/>
          <w:szCs w:val="24"/>
          <w:lang w:eastAsia="es-ES"/>
        </w:rPr>
        <w:t xml:space="preserve">  </w:t>
      </w:r>
      <w:r w:rsidR="004D7DB0">
        <w:rPr>
          <w:rFonts w:eastAsiaTheme="minorEastAsia"/>
          <w:sz w:val="24"/>
          <w:szCs w:val="24"/>
          <w:lang w:eastAsia="es-ES"/>
        </w:rPr>
        <w:t>(</w:t>
      </w:r>
      <w:r w:rsidRPr="00517042">
        <w:rPr>
          <w:rFonts w:eastAsiaTheme="minorEastAsia"/>
          <w:sz w:val="24"/>
          <w:szCs w:val="24"/>
          <w:lang w:eastAsia="es-ES"/>
        </w:rPr>
        <w:t>1993</w:t>
      </w:r>
      <w:r w:rsidR="004D7DB0">
        <w:rPr>
          <w:rFonts w:eastAsiaTheme="minorEastAsia"/>
          <w:sz w:val="24"/>
          <w:szCs w:val="24"/>
          <w:lang w:eastAsia="es-ES"/>
        </w:rPr>
        <w:t>)</w:t>
      </w:r>
      <w:r w:rsidRPr="00517042">
        <w:rPr>
          <w:rFonts w:eastAsiaTheme="minorEastAsia"/>
          <w:sz w:val="24"/>
          <w:szCs w:val="24"/>
          <w:lang w:eastAsia="es-ES"/>
        </w:rPr>
        <w:t xml:space="preserve">, </w:t>
      </w:r>
      <w:r w:rsidR="004D7DB0">
        <w:rPr>
          <w:rFonts w:eastAsiaTheme="minorEastAsia"/>
          <w:sz w:val="24"/>
          <w:szCs w:val="24"/>
          <w:lang w:eastAsia="es-ES"/>
        </w:rPr>
        <w:t>observaron que</w:t>
      </w:r>
      <w:r w:rsidR="008E00B3">
        <w:rPr>
          <w:rFonts w:eastAsiaTheme="minorEastAsia"/>
          <w:sz w:val="24"/>
          <w:szCs w:val="24"/>
          <w:lang w:eastAsia="es-ES"/>
        </w:rPr>
        <w:t xml:space="preserve"> la</w:t>
      </w:r>
      <w:r w:rsidRPr="00517042">
        <w:rPr>
          <w:rFonts w:eastAsiaTheme="minorEastAsia"/>
          <w:sz w:val="24"/>
          <w:szCs w:val="24"/>
          <w:lang w:eastAsia="es-ES"/>
        </w:rPr>
        <w:t xml:space="preserve"> tendencia al comportamiento antisociales en varones de una familia holandesa que contaba con una baja actividad de la enzima MAO-A, encargada de la desintegración de mensajero</w:t>
      </w:r>
      <w:r w:rsidR="008E00B3">
        <w:rPr>
          <w:rFonts w:eastAsiaTheme="minorEastAsia"/>
          <w:sz w:val="24"/>
          <w:szCs w:val="24"/>
          <w:lang w:eastAsia="es-ES"/>
        </w:rPr>
        <w:t>s</w:t>
      </w:r>
      <w:r w:rsidRPr="00517042">
        <w:rPr>
          <w:rFonts w:eastAsiaTheme="minorEastAsia"/>
          <w:sz w:val="24"/>
          <w:szCs w:val="24"/>
          <w:lang w:eastAsia="es-ES"/>
        </w:rPr>
        <w:t xml:space="preserve"> químicos como la serotonina (Ramírez, 2006), a partir de este hallazgo continuaron las investigaciones centradas en dicha mutación.  Caspi et al. (2002) hallaron que la presencia de polimorfismo de dicho gen en su baja expresión, MAOA-L, junto a la interacción en ambiente hostiles en la infancia, predisponía a los sujetos a un mayor comportamiento agresivo que quienes presentaban dicho polimorfismo en su mayor expresión, MAOA-H, o aquello que contaban con MAOA-L pero no interaccionaron con ambientes hostiles. </w:t>
      </w:r>
    </w:p>
    <w:p w14:paraId="1C62928C" w14:textId="77777777" w:rsidR="00ED6292" w:rsidRPr="00517042" w:rsidRDefault="00ED6292">
      <w:pPr>
        <w:spacing w:after="0" w:line="360" w:lineRule="auto"/>
        <w:jc w:val="both"/>
        <w:rPr>
          <w:rFonts w:eastAsiaTheme="minorEastAsia"/>
          <w:sz w:val="24"/>
          <w:szCs w:val="24"/>
          <w:lang w:eastAsia="es-ES"/>
        </w:rPr>
      </w:pPr>
      <w:r w:rsidRPr="00517042">
        <w:rPr>
          <w:rFonts w:eastAsiaTheme="minorEastAsia"/>
          <w:sz w:val="24"/>
          <w:szCs w:val="24"/>
          <w:lang w:eastAsia="es-ES"/>
        </w:rPr>
        <w:t xml:space="preserve">En cuanto al gen 5-HTT, su principal función se relaciona con la liberación de serotonina. Este gen cuenta con dos alelos, uno corto y otro largo, el primero se asocia a con una recaptación insuficiente de serotonina en la sinapsis y una respuesta excesiva al estrés, lo que se relacionaría con un inadecuado control de los impulsos (Gallardo-Pujol, Forero, Maydeu-Olivares y Andrés-Pueyo, 2009; Soria, Pérez, Soto y Feria, 2008). </w:t>
      </w:r>
    </w:p>
    <w:p w14:paraId="0C9CC287" w14:textId="2AA1FA31" w:rsidR="00ED6292" w:rsidRPr="00517042" w:rsidRDefault="00ED6292">
      <w:pPr>
        <w:spacing w:after="0" w:line="360" w:lineRule="auto"/>
        <w:jc w:val="both"/>
        <w:rPr>
          <w:rFonts w:eastAsiaTheme="minorEastAsia"/>
          <w:sz w:val="24"/>
          <w:szCs w:val="24"/>
          <w:lang w:eastAsia="es-ES"/>
        </w:rPr>
      </w:pPr>
      <w:r w:rsidRPr="00517042">
        <w:rPr>
          <w:rFonts w:eastAsiaTheme="minorEastAsia"/>
          <w:sz w:val="24"/>
          <w:szCs w:val="24"/>
          <w:lang w:eastAsia="es-ES"/>
        </w:rPr>
        <w:lastRenderedPageBreak/>
        <w:t>En general, el efecto de los genes en el comportamiento agresivo no sirve para explicar por completo todas su</w:t>
      </w:r>
      <w:r w:rsidR="008E00B3">
        <w:rPr>
          <w:rFonts w:eastAsiaTheme="minorEastAsia"/>
          <w:sz w:val="24"/>
          <w:szCs w:val="24"/>
          <w:lang w:eastAsia="es-ES"/>
        </w:rPr>
        <w:t>s</w:t>
      </w:r>
      <w:r w:rsidRPr="00517042">
        <w:rPr>
          <w:rFonts w:eastAsiaTheme="minorEastAsia"/>
          <w:sz w:val="24"/>
          <w:szCs w:val="24"/>
          <w:lang w:eastAsia="es-ES"/>
        </w:rPr>
        <w:t xml:space="preserve"> expresiones, siendo fundamental la presencia de factores ambientales. Un ejemplo de ello fue el estudio realizado por el grupo Caspi</w:t>
      </w:r>
      <w:r w:rsidR="008E00B3">
        <w:rPr>
          <w:rFonts w:eastAsiaTheme="minorEastAsia"/>
          <w:sz w:val="24"/>
          <w:szCs w:val="24"/>
          <w:lang w:eastAsia="es-ES"/>
        </w:rPr>
        <w:t xml:space="preserve"> (2002)</w:t>
      </w:r>
      <w:r w:rsidRPr="00517042">
        <w:rPr>
          <w:rFonts w:eastAsiaTheme="minorEastAsia"/>
          <w:sz w:val="24"/>
          <w:szCs w:val="24"/>
          <w:lang w:eastAsia="es-ES"/>
        </w:rPr>
        <w:t>, quienes demostraron que la interacción genética-ambiente explicaba con mayor profundidad la etiología de dichos comportamientos (Gallardo-Pujol et al</w:t>
      </w:r>
      <w:r w:rsidR="00F73DE4" w:rsidRPr="00517042">
        <w:rPr>
          <w:rFonts w:eastAsiaTheme="minorEastAsia"/>
          <w:sz w:val="24"/>
          <w:szCs w:val="24"/>
          <w:lang w:eastAsia="es-ES"/>
        </w:rPr>
        <w:t>.,</w:t>
      </w:r>
      <w:r w:rsidRPr="00517042">
        <w:rPr>
          <w:rFonts w:eastAsiaTheme="minorEastAsia"/>
          <w:sz w:val="24"/>
          <w:szCs w:val="24"/>
          <w:lang w:eastAsia="es-ES"/>
        </w:rPr>
        <w:t xml:space="preserve"> 2009)</w:t>
      </w:r>
    </w:p>
    <w:bookmarkEnd w:id="5"/>
    <w:p w14:paraId="74DF7B53" w14:textId="77777777" w:rsidR="00ED6292" w:rsidRPr="00517042" w:rsidRDefault="00ED6292">
      <w:pPr>
        <w:spacing w:after="0" w:line="360" w:lineRule="auto"/>
        <w:jc w:val="both"/>
        <w:rPr>
          <w:rFonts w:eastAsiaTheme="minorEastAsia"/>
          <w:sz w:val="24"/>
          <w:szCs w:val="24"/>
          <w:lang w:eastAsia="es-ES"/>
        </w:rPr>
      </w:pPr>
    </w:p>
    <w:p w14:paraId="3C8B0787" w14:textId="77777777" w:rsidR="00ED6292" w:rsidRPr="00517042" w:rsidRDefault="00ED6292">
      <w:pPr>
        <w:pStyle w:val="Ttulo2"/>
        <w:spacing w:line="360" w:lineRule="auto"/>
        <w:jc w:val="both"/>
        <w:rPr>
          <w:color w:val="auto"/>
          <w:sz w:val="28"/>
          <w:szCs w:val="28"/>
          <w:u w:val="single"/>
        </w:rPr>
      </w:pPr>
      <w:bookmarkStart w:id="6" w:name="_Hlk30672966"/>
      <w:r w:rsidRPr="00517042">
        <w:rPr>
          <w:color w:val="auto"/>
          <w:u w:val="single"/>
        </w:rPr>
        <w:t>Modelo endocrinológico</w:t>
      </w:r>
    </w:p>
    <w:p w14:paraId="3CACA0EE" w14:textId="46B90A38" w:rsidR="00ED6292" w:rsidRPr="00517042" w:rsidRDefault="00ED6292">
      <w:pPr>
        <w:spacing w:after="0" w:line="360" w:lineRule="auto"/>
        <w:ind w:firstLine="708"/>
        <w:jc w:val="both"/>
        <w:rPr>
          <w:rFonts w:eastAsiaTheme="minorEastAsia"/>
          <w:sz w:val="24"/>
          <w:szCs w:val="24"/>
          <w:lang w:eastAsia="es-ES"/>
        </w:rPr>
      </w:pPr>
      <w:r w:rsidRPr="00900ABD">
        <w:rPr>
          <w:rFonts w:eastAsiaTheme="minorEastAsia"/>
          <w:sz w:val="24"/>
          <w:szCs w:val="24"/>
          <w:lang w:eastAsia="es-ES"/>
        </w:rPr>
        <w:t xml:space="preserve">A nivel </w:t>
      </w:r>
      <w:r w:rsidRPr="00517042">
        <w:rPr>
          <w:rFonts w:eastAsiaTheme="minorEastAsia"/>
          <w:b/>
          <w:bCs/>
          <w:sz w:val="24"/>
          <w:szCs w:val="24"/>
          <w:lang w:eastAsia="es-ES"/>
        </w:rPr>
        <w:t>endocrinológico</w:t>
      </w:r>
      <w:r w:rsidRPr="00517042">
        <w:rPr>
          <w:rFonts w:eastAsiaTheme="minorEastAsia"/>
          <w:sz w:val="24"/>
          <w:szCs w:val="24"/>
          <w:lang w:eastAsia="es-ES"/>
        </w:rPr>
        <w:t>, los modelos clásicos consideraban que las únicas hormonas que influían en la conducta agresiva eran los andrógenos y otras hormonas gonadales. Este modelo clásico consideraba que las hormonas presentaban una comunicación unidireccional con la estructura y funciones cerebrales (Ramírez, 2006). En la actualidad, se considera que la relación entre los sistemas hormonales y el sistema nervioso es reciproca, y una disfunción de las primera no es la causante directa y exclusiva de conductas antisociales pero si forma parte de la génesis de ese tipo de conductas (Pacheco, 2017).</w:t>
      </w:r>
    </w:p>
    <w:p w14:paraId="45A6B0F6" w14:textId="43C9E98D" w:rsidR="00ED6292" w:rsidRPr="00517042" w:rsidRDefault="00ED6292">
      <w:pPr>
        <w:tabs>
          <w:tab w:val="left" w:pos="6663"/>
        </w:tabs>
        <w:spacing w:after="0" w:line="360" w:lineRule="auto"/>
        <w:ind w:firstLine="708"/>
        <w:jc w:val="both"/>
        <w:rPr>
          <w:rFonts w:eastAsiaTheme="minorEastAsia"/>
          <w:sz w:val="24"/>
          <w:szCs w:val="24"/>
          <w:lang w:eastAsia="es-ES"/>
        </w:rPr>
      </w:pPr>
      <w:r w:rsidRPr="00517042">
        <w:rPr>
          <w:rFonts w:eastAsiaTheme="minorEastAsia"/>
          <w:sz w:val="24"/>
          <w:szCs w:val="24"/>
          <w:lang w:eastAsia="es-ES"/>
        </w:rPr>
        <w:t xml:space="preserve">Las hormonas sexuales, principalmente la </w:t>
      </w:r>
      <w:r w:rsidRPr="00517042">
        <w:rPr>
          <w:rFonts w:eastAsiaTheme="minorEastAsia"/>
          <w:b/>
          <w:bCs/>
          <w:sz w:val="24"/>
          <w:szCs w:val="24"/>
          <w:lang w:eastAsia="es-ES"/>
        </w:rPr>
        <w:t>testosterona</w:t>
      </w:r>
      <w:r w:rsidRPr="00517042">
        <w:rPr>
          <w:rFonts w:eastAsiaTheme="minorEastAsia"/>
          <w:sz w:val="24"/>
          <w:szCs w:val="24"/>
          <w:lang w:eastAsia="es-ES"/>
        </w:rPr>
        <w:t>, han sido numerosamente estudiadas por su influencia en el comportamiento humano, especialmente en la diferenciación que se produce entre sexos. Los estudios han demostrado que la testosterona sirve como buen predictor del comportamiento antisocial y de conductas agresivas (Pacheco, 2017). Los estudios realizados a animales han permitido observar que la presencia de hormonas andrógenos tempranas tiene un efecto organizador en el cerebro, sensibilizando los circuitos neuronales a la testosterona, lo que estimula que se produzca con mayor facilidad la agresión intramachos. Este tipo de agresiones en el mundo animal se han relacionado principalmente con la reproducción y la territorialidad (Gil-Verona et al., 2002). En la especie humana se ha observado que evolutivamente, los niveles de andrógenos en niños son bajos y estables, y a la edad de 7 años comienza un aumento gradual de este tipo de hormonas, hasta la llegada la adolescencia, cuando se produce un incremento más marcado de dichas hormonas, aumentando las conductas agresivas. Este tipo de comportamientos agresivos se relaciona con comportamientos antisociales en adolescentes, que en algunos casos desaparecen con la llegada a la adultez, ya que el nivel de testosterona empieza a disminuir</w:t>
      </w:r>
      <w:r w:rsidR="00887212">
        <w:rPr>
          <w:rFonts w:eastAsiaTheme="minorEastAsia"/>
          <w:sz w:val="24"/>
          <w:szCs w:val="24"/>
          <w:lang w:eastAsia="es-ES"/>
        </w:rPr>
        <w:t xml:space="preserve"> </w:t>
      </w:r>
      <w:r w:rsidRPr="00517042">
        <w:rPr>
          <w:rFonts w:eastAsiaTheme="minorEastAsia"/>
          <w:sz w:val="24"/>
          <w:szCs w:val="24"/>
          <w:lang w:eastAsia="es-ES"/>
        </w:rPr>
        <w:t>(Gil-Verona et al., 2002</w:t>
      </w:r>
      <w:r w:rsidR="00F73DE4" w:rsidRPr="00517042">
        <w:rPr>
          <w:rFonts w:eastAsiaTheme="minorEastAsia"/>
          <w:sz w:val="24"/>
          <w:szCs w:val="24"/>
          <w:lang w:eastAsia="es-ES"/>
        </w:rPr>
        <w:t>; Ramírez, 2006</w:t>
      </w:r>
      <w:r w:rsidRPr="00517042">
        <w:rPr>
          <w:rFonts w:eastAsiaTheme="minorEastAsia"/>
          <w:sz w:val="24"/>
          <w:szCs w:val="24"/>
          <w:lang w:eastAsia="es-ES"/>
        </w:rPr>
        <w:t xml:space="preserve">). </w:t>
      </w:r>
    </w:p>
    <w:p w14:paraId="26DFB9CA" w14:textId="34118C95" w:rsidR="00ED6292" w:rsidRPr="00517042" w:rsidRDefault="00ED6292">
      <w:pPr>
        <w:spacing w:after="0" w:line="360" w:lineRule="auto"/>
        <w:jc w:val="both"/>
        <w:rPr>
          <w:rFonts w:eastAsiaTheme="minorEastAsia"/>
          <w:sz w:val="24"/>
          <w:szCs w:val="24"/>
          <w:lang w:eastAsia="es-ES"/>
        </w:rPr>
      </w:pPr>
      <w:r w:rsidRPr="00517042">
        <w:rPr>
          <w:rFonts w:eastAsiaTheme="minorEastAsia"/>
          <w:sz w:val="24"/>
          <w:szCs w:val="24"/>
          <w:lang w:eastAsia="es-ES"/>
        </w:rPr>
        <w:tab/>
        <w:t xml:space="preserve">Aunque las líneas de investigación estén enfocadas en el estudio de la correlación entre testosterona y agresividad, otros han enfocado esta correlación con las hormonas </w:t>
      </w:r>
      <w:r w:rsidRPr="00517042">
        <w:rPr>
          <w:rFonts w:eastAsiaTheme="minorEastAsia"/>
          <w:sz w:val="24"/>
          <w:szCs w:val="24"/>
          <w:lang w:eastAsia="es-ES"/>
        </w:rPr>
        <w:lastRenderedPageBreak/>
        <w:t xml:space="preserve">sexuales típicamente femeninas: estradiol, </w:t>
      </w:r>
      <w:r w:rsidRPr="00517042">
        <w:rPr>
          <w:rFonts w:eastAsiaTheme="minorEastAsia"/>
          <w:b/>
          <w:bCs/>
          <w:sz w:val="24"/>
          <w:szCs w:val="24"/>
          <w:lang w:eastAsia="es-ES"/>
        </w:rPr>
        <w:t>progesterona y estrógenos</w:t>
      </w:r>
      <w:r w:rsidRPr="00517042">
        <w:rPr>
          <w:rFonts w:eastAsiaTheme="minorEastAsia"/>
          <w:sz w:val="24"/>
          <w:szCs w:val="24"/>
          <w:lang w:eastAsia="es-ES"/>
        </w:rPr>
        <w:t xml:space="preserve">. En el caso de los </w:t>
      </w:r>
      <w:r w:rsidRPr="00517042">
        <w:rPr>
          <w:rFonts w:eastAsiaTheme="minorEastAsia"/>
          <w:b/>
          <w:bCs/>
          <w:sz w:val="24"/>
          <w:szCs w:val="24"/>
          <w:lang w:eastAsia="es-ES"/>
        </w:rPr>
        <w:t>estrógenos</w:t>
      </w:r>
      <w:r w:rsidRPr="00517042">
        <w:rPr>
          <w:rFonts w:eastAsiaTheme="minorEastAsia"/>
          <w:sz w:val="24"/>
          <w:szCs w:val="24"/>
          <w:lang w:eastAsia="es-ES"/>
        </w:rPr>
        <w:t xml:space="preserve">, se </w:t>
      </w:r>
      <w:r w:rsidR="002C1F98" w:rsidRPr="00517042">
        <w:rPr>
          <w:rFonts w:eastAsiaTheme="minorEastAsia"/>
          <w:sz w:val="24"/>
          <w:szCs w:val="24"/>
          <w:lang w:eastAsia="es-ES"/>
        </w:rPr>
        <w:t>observó</w:t>
      </w:r>
      <w:r w:rsidRPr="00517042">
        <w:rPr>
          <w:rFonts w:eastAsiaTheme="minorEastAsia"/>
          <w:sz w:val="24"/>
          <w:szCs w:val="24"/>
          <w:lang w:eastAsia="es-ES"/>
        </w:rPr>
        <w:t xml:space="preserve"> la relación entre el subreceptor alfa de los estrógenos con las conductas agresivas en animales de laboratorio (Gil-Verona et al., 2002). Respecto a las otras dos hormonas, numerosos estudios pudieron evidenciar que bajos niveles de estas predisponían a las mujeres a la agresividad dirigida hacia otros como hacia s</w:t>
      </w:r>
      <w:r w:rsidR="00887212">
        <w:rPr>
          <w:rFonts w:eastAsiaTheme="minorEastAsia"/>
          <w:sz w:val="24"/>
          <w:szCs w:val="24"/>
          <w:lang w:eastAsia="es-ES"/>
        </w:rPr>
        <w:t>í</w:t>
      </w:r>
      <w:r w:rsidRPr="00517042">
        <w:rPr>
          <w:rFonts w:eastAsiaTheme="minorEastAsia"/>
          <w:sz w:val="24"/>
          <w:szCs w:val="24"/>
          <w:lang w:eastAsia="es-ES"/>
        </w:rPr>
        <w:t xml:space="preserve"> mismas, estos niveles se relacionaban con el ciclo menstrual, por lo que la variación de la progesterona se relacionaba con mayor irritabilidad en la fase premenstrual, cuando sus niveles eran más bajos. Estos estudios pudieron deducir que un mayor nivel de estas hormonas suponía una ayuda a la regulación emocional (Denson, O´Dean, Blake y Beames, 2018; Ramírez, 2006).</w:t>
      </w:r>
    </w:p>
    <w:p w14:paraId="6FE74DDA" w14:textId="7D5915F3" w:rsidR="00ED6292" w:rsidRPr="00517042" w:rsidRDefault="00ED6292">
      <w:pPr>
        <w:spacing w:after="0" w:line="360" w:lineRule="auto"/>
        <w:jc w:val="both"/>
        <w:rPr>
          <w:rFonts w:eastAsiaTheme="minorEastAsia"/>
          <w:sz w:val="24"/>
          <w:szCs w:val="24"/>
          <w:lang w:eastAsia="es-ES"/>
        </w:rPr>
      </w:pPr>
      <w:r w:rsidRPr="00517042">
        <w:rPr>
          <w:rFonts w:eastAsiaTheme="minorEastAsia"/>
          <w:sz w:val="24"/>
          <w:szCs w:val="24"/>
          <w:lang w:eastAsia="es-ES"/>
        </w:rPr>
        <w:t xml:space="preserve">Además de las hormonas sexuales, otras hormonas involucradas en el comportamiento agresivo son las hormonas suprarrenales (Ramírez, 2006). Ante situaciones de estrés, el eje hipófiso-suprarrenal provoca una activación de la medula suprarrenal, lo que conlleva la producción de adrenalina la cual aumenta la frecuencia cardiaca y el flujo sanguíneo, mientras que la corteza suprarrenal incrementa la producción de cortisol, generando un mayor grado de tensión en el organismo (Calzada, 2007). </w:t>
      </w:r>
    </w:p>
    <w:p w14:paraId="17A28B60" w14:textId="5E24A210" w:rsidR="00ED6292" w:rsidRPr="00517042" w:rsidRDefault="00ED6292">
      <w:pPr>
        <w:spacing w:after="0" w:line="360" w:lineRule="auto"/>
        <w:jc w:val="both"/>
        <w:rPr>
          <w:rFonts w:eastAsiaTheme="minorEastAsia"/>
          <w:sz w:val="24"/>
          <w:szCs w:val="24"/>
          <w:lang w:eastAsia="es-ES"/>
        </w:rPr>
      </w:pPr>
      <w:r w:rsidRPr="00517042">
        <w:rPr>
          <w:rFonts w:eastAsiaTheme="minorEastAsia"/>
          <w:sz w:val="24"/>
          <w:szCs w:val="24"/>
          <w:lang w:eastAsia="es-ES"/>
        </w:rPr>
        <w:t xml:space="preserve">En cuanto al comportamiento agresivo, la literatura científica ha planteado que el cortisol tendría una función moderadora de la relación entre la testosterona y la conducta. En algunos estudios se ha observado que bajos niveles de cortisol </w:t>
      </w:r>
      <w:r w:rsidRPr="00517042">
        <w:rPr>
          <w:rFonts w:eastAsia="Times New Roman"/>
          <w:sz w:val="24"/>
          <w:szCs w:val="24"/>
          <w:lang w:eastAsia="es-ES"/>
        </w:rPr>
        <w:t>potencian el efecto de la testosterona, favoreciendo conductas agresivas, mientras que</w:t>
      </w:r>
      <w:r w:rsidR="00887212">
        <w:rPr>
          <w:rFonts w:eastAsia="Times New Roman"/>
          <w:sz w:val="24"/>
          <w:szCs w:val="24"/>
          <w:lang w:eastAsia="es-ES"/>
        </w:rPr>
        <w:t>,</w:t>
      </w:r>
      <w:r w:rsidRPr="00517042">
        <w:rPr>
          <w:rFonts w:eastAsia="Times New Roman"/>
          <w:sz w:val="24"/>
          <w:szCs w:val="24"/>
          <w:lang w:eastAsia="es-ES"/>
        </w:rPr>
        <w:t xml:space="preserve"> en niveles altos, el cortisol bloquea el efecto de la testosterona (</w:t>
      </w:r>
      <w:r w:rsidRPr="00517042">
        <w:rPr>
          <w:rFonts w:eastAsiaTheme="minorEastAsia"/>
          <w:sz w:val="24"/>
          <w:szCs w:val="24"/>
          <w:lang w:eastAsia="es-ES"/>
        </w:rPr>
        <w:t>Denson, O´Dean, Blake y Beames, 2018; Sariñana-González, Romero-Martínez y Moya-Albiol, 2015).</w:t>
      </w:r>
    </w:p>
    <w:p w14:paraId="51C999FF" w14:textId="309CED1E" w:rsidR="00ED6292" w:rsidRPr="00517042" w:rsidRDefault="00ED6292">
      <w:pPr>
        <w:spacing w:after="0" w:line="360" w:lineRule="auto"/>
        <w:jc w:val="both"/>
        <w:rPr>
          <w:rFonts w:eastAsiaTheme="minorEastAsia"/>
          <w:sz w:val="24"/>
          <w:szCs w:val="24"/>
          <w:lang w:eastAsia="es-ES"/>
        </w:rPr>
      </w:pPr>
      <w:r w:rsidRPr="00517042">
        <w:rPr>
          <w:rFonts w:eastAsiaTheme="minorEastAsia"/>
          <w:sz w:val="24"/>
          <w:szCs w:val="24"/>
          <w:lang w:eastAsia="es-ES"/>
        </w:rPr>
        <w:t xml:space="preserve">En cuanto a la </w:t>
      </w:r>
      <w:r w:rsidRPr="00517042">
        <w:rPr>
          <w:rFonts w:eastAsiaTheme="minorEastAsia"/>
          <w:b/>
          <w:bCs/>
          <w:sz w:val="24"/>
          <w:szCs w:val="24"/>
          <w:lang w:eastAsia="es-ES"/>
        </w:rPr>
        <w:t>adrenalina</w:t>
      </w:r>
      <w:r w:rsidRPr="00517042">
        <w:rPr>
          <w:rFonts w:eastAsiaTheme="minorEastAsia"/>
          <w:sz w:val="24"/>
          <w:szCs w:val="24"/>
          <w:lang w:eastAsia="es-ES"/>
        </w:rPr>
        <w:t xml:space="preserve"> y la </w:t>
      </w:r>
      <w:r w:rsidRPr="00517042">
        <w:rPr>
          <w:rFonts w:eastAsiaTheme="minorEastAsia"/>
          <w:b/>
          <w:bCs/>
          <w:sz w:val="24"/>
          <w:szCs w:val="24"/>
          <w:lang w:eastAsia="es-ES"/>
        </w:rPr>
        <w:t>noradrenalina</w:t>
      </w:r>
      <w:r w:rsidRPr="00517042">
        <w:rPr>
          <w:rFonts w:eastAsiaTheme="minorEastAsia"/>
          <w:sz w:val="24"/>
          <w:szCs w:val="24"/>
          <w:lang w:eastAsia="es-ES"/>
        </w:rPr>
        <w:t>, la primera se relaciona con el miedo y la agresión mientras que la segunda con la irritabilidad (S</w:t>
      </w:r>
      <w:r w:rsidR="00887212">
        <w:rPr>
          <w:rFonts w:eastAsiaTheme="minorEastAsia"/>
          <w:sz w:val="24"/>
          <w:szCs w:val="24"/>
          <w:lang w:eastAsia="es-ES"/>
        </w:rPr>
        <w:t>á</w:t>
      </w:r>
      <w:r w:rsidRPr="00517042">
        <w:rPr>
          <w:rFonts w:eastAsiaTheme="minorEastAsia"/>
          <w:sz w:val="24"/>
          <w:szCs w:val="24"/>
          <w:lang w:eastAsia="es-ES"/>
        </w:rPr>
        <w:t>nchez y Mosquera, 2011). La conducta agresiva se producirá por influencia de los estímulos ambientales y su interpretación, lo que haría variar este tipo de conductas a pesar de producirse la excreción de estos dos tipos de hormonas, aunque algunos estudios han observado que la noradrenalina se encuentra presente en niveles elevados en especies depredadoras (Ramírez, 2006).</w:t>
      </w:r>
    </w:p>
    <w:p w14:paraId="3E25A759" w14:textId="1F557637" w:rsidR="00ED6292" w:rsidRPr="00517042" w:rsidRDefault="00ED6292" w:rsidP="00514947">
      <w:pPr>
        <w:spacing w:after="0" w:line="360" w:lineRule="auto"/>
        <w:jc w:val="both"/>
        <w:rPr>
          <w:rFonts w:eastAsiaTheme="minorEastAsia"/>
          <w:sz w:val="24"/>
          <w:szCs w:val="24"/>
          <w:lang w:eastAsia="es-ES"/>
        </w:rPr>
      </w:pPr>
      <w:r w:rsidRPr="00517042">
        <w:rPr>
          <w:rFonts w:eastAsiaTheme="minorEastAsia"/>
          <w:sz w:val="24"/>
          <w:szCs w:val="24"/>
          <w:lang w:eastAsia="es-ES"/>
        </w:rPr>
        <w:t>Finalmente, Ramírez (200</w:t>
      </w:r>
      <w:r w:rsidR="00514947">
        <w:rPr>
          <w:rFonts w:eastAsiaTheme="minorEastAsia"/>
          <w:sz w:val="24"/>
          <w:szCs w:val="24"/>
          <w:lang w:eastAsia="es-ES"/>
        </w:rPr>
        <w:t>6</w:t>
      </w:r>
      <w:r w:rsidRPr="00517042">
        <w:rPr>
          <w:rFonts w:eastAsiaTheme="minorEastAsia"/>
          <w:sz w:val="24"/>
          <w:szCs w:val="24"/>
          <w:lang w:eastAsia="es-ES"/>
        </w:rPr>
        <w:t xml:space="preserve">) plantea otras tres hormonas más relacionadas con la agresividad. En primer lugar, la </w:t>
      </w:r>
      <w:r w:rsidRPr="00517042">
        <w:rPr>
          <w:rFonts w:eastAsiaTheme="minorEastAsia"/>
          <w:b/>
          <w:bCs/>
          <w:sz w:val="24"/>
          <w:szCs w:val="24"/>
          <w:lang w:eastAsia="es-ES"/>
        </w:rPr>
        <w:t>prolactina</w:t>
      </w:r>
      <w:r w:rsidRPr="00517042">
        <w:rPr>
          <w:rFonts w:eastAsiaTheme="minorEastAsia"/>
          <w:sz w:val="24"/>
          <w:szCs w:val="24"/>
          <w:lang w:eastAsia="es-ES"/>
        </w:rPr>
        <w:t xml:space="preserve">, </w:t>
      </w:r>
      <w:r w:rsidR="002E176A">
        <w:rPr>
          <w:rFonts w:eastAsiaTheme="minorEastAsia"/>
          <w:sz w:val="24"/>
          <w:szCs w:val="24"/>
          <w:lang w:eastAsia="es-ES"/>
        </w:rPr>
        <w:t>que correlaciona con la agresión e</w:t>
      </w:r>
      <w:r w:rsidR="00514947">
        <w:rPr>
          <w:rFonts w:eastAsiaTheme="minorEastAsia"/>
          <w:sz w:val="24"/>
          <w:szCs w:val="24"/>
          <w:lang w:eastAsia="es-ES"/>
        </w:rPr>
        <w:t>n</w:t>
      </w:r>
      <w:r w:rsidR="002E176A">
        <w:rPr>
          <w:rFonts w:eastAsiaTheme="minorEastAsia"/>
          <w:sz w:val="24"/>
          <w:szCs w:val="24"/>
          <w:lang w:eastAsia="es-ES"/>
        </w:rPr>
        <w:t xml:space="preserve"> población</w:t>
      </w:r>
      <w:r w:rsidR="00514947">
        <w:rPr>
          <w:rFonts w:eastAsiaTheme="minorEastAsia"/>
          <w:sz w:val="24"/>
          <w:szCs w:val="24"/>
          <w:lang w:eastAsia="es-ES"/>
        </w:rPr>
        <w:t xml:space="preserve"> </w:t>
      </w:r>
      <w:r w:rsidRPr="00517042">
        <w:rPr>
          <w:rFonts w:eastAsiaTheme="minorEastAsia"/>
          <w:sz w:val="24"/>
          <w:szCs w:val="24"/>
          <w:lang w:eastAsia="es-ES"/>
        </w:rPr>
        <w:t xml:space="preserve">clínica por abusos de sustancias. </w:t>
      </w:r>
      <w:r w:rsidR="002E176A">
        <w:rPr>
          <w:rFonts w:eastAsiaTheme="minorEastAsia"/>
          <w:sz w:val="24"/>
          <w:szCs w:val="24"/>
          <w:lang w:eastAsia="es-ES"/>
        </w:rPr>
        <w:t>En segundo lugar, l</w:t>
      </w:r>
      <w:r w:rsidRPr="00517042">
        <w:rPr>
          <w:rFonts w:eastAsiaTheme="minorEastAsia"/>
          <w:sz w:val="24"/>
          <w:szCs w:val="24"/>
          <w:lang w:eastAsia="es-ES"/>
        </w:rPr>
        <w:t xml:space="preserve">a </w:t>
      </w:r>
      <w:r w:rsidRPr="00517042">
        <w:rPr>
          <w:rFonts w:eastAsiaTheme="minorEastAsia"/>
          <w:b/>
          <w:bCs/>
          <w:sz w:val="24"/>
          <w:szCs w:val="24"/>
          <w:lang w:eastAsia="es-ES"/>
        </w:rPr>
        <w:t>vasopresina</w:t>
      </w:r>
      <w:r w:rsidRPr="00517042">
        <w:rPr>
          <w:rFonts w:eastAsiaTheme="minorEastAsia"/>
          <w:sz w:val="24"/>
          <w:szCs w:val="24"/>
          <w:lang w:eastAsia="es-ES"/>
        </w:rPr>
        <w:t xml:space="preserve">, de la que se plantea que su receptor antagonista tendría efectos anti-agresivos. Por último la </w:t>
      </w:r>
      <w:r w:rsidRPr="00517042">
        <w:rPr>
          <w:rFonts w:eastAsiaTheme="minorEastAsia"/>
          <w:b/>
          <w:bCs/>
          <w:sz w:val="24"/>
          <w:szCs w:val="24"/>
          <w:lang w:eastAsia="es-ES"/>
        </w:rPr>
        <w:t>melatonina</w:t>
      </w:r>
      <w:r w:rsidRPr="00517042">
        <w:rPr>
          <w:rFonts w:eastAsiaTheme="minorEastAsia"/>
          <w:sz w:val="24"/>
          <w:szCs w:val="24"/>
          <w:lang w:eastAsia="es-ES"/>
        </w:rPr>
        <w:t xml:space="preserve">, </w:t>
      </w:r>
      <w:r w:rsidRPr="00517042">
        <w:rPr>
          <w:rFonts w:eastAsiaTheme="minorEastAsia"/>
          <w:sz w:val="24"/>
          <w:szCs w:val="24"/>
          <w:lang w:eastAsia="es-ES"/>
        </w:rPr>
        <w:lastRenderedPageBreak/>
        <w:t xml:space="preserve">aunque su principal función sea la regulación de los ciclos circadianos, también interviene en los estados de ánimo, pudiendo desencadenar en trastornos de conducta. </w:t>
      </w:r>
    </w:p>
    <w:bookmarkEnd w:id="4"/>
    <w:bookmarkEnd w:id="6"/>
    <w:p w14:paraId="0C5721E3" w14:textId="77777777" w:rsidR="007612EB" w:rsidRPr="00517042" w:rsidRDefault="007612EB">
      <w:pPr>
        <w:pStyle w:val="Ttulo2"/>
        <w:spacing w:line="360" w:lineRule="auto"/>
        <w:jc w:val="both"/>
        <w:rPr>
          <w:color w:val="auto"/>
          <w:u w:val="single"/>
        </w:rPr>
      </w:pPr>
      <w:r w:rsidRPr="00517042">
        <w:rPr>
          <w:color w:val="auto"/>
          <w:u w:val="single"/>
        </w:rPr>
        <w:t>Modelos neurobiológicos</w:t>
      </w:r>
    </w:p>
    <w:p w14:paraId="05BBABA7" w14:textId="77777777" w:rsidR="007612EB" w:rsidRPr="00517042" w:rsidRDefault="007612EB">
      <w:pPr>
        <w:spacing w:line="360" w:lineRule="auto"/>
        <w:ind w:firstLine="708"/>
        <w:jc w:val="both"/>
        <w:rPr>
          <w:sz w:val="24"/>
          <w:szCs w:val="24"/>
        </w:rPr>
      </w:pPr>
      <w:r w:rsidRPr="00517042">
        <w:rPr>
          <w:sz w:val="24"/>
          <w:szCs w:val="24"/>
        </w:rPr>
        <w:t>El comportamiento agresivo en los humanos se ha relacionado, principalmente, con dos áreas cerebrales: el sistema límbico y la corteza prefrontal. El paradigma clásico, proponía que la corteza prefrontal orbitofrontal (COF) tenía una función inhibitoria de la actividad de las estructural límbicas subcorticales, por lo que individuos con tendencia a los comportamientos agresivos impulsivos no contaban con dicha inhibición (Ortega-Escobar y Alcázar- Córcoles, 2019).</w:t>
      </w:r>
    </w:p>
    <w:p w14:paraId="0BB4E343" w14:textId="743016C5" w:rsidR="007612EB" w:rsidRPr="00517042" w:rsidRDefault="007612EB">
      <w:pPr>
        <w:spacing w:line="360" w:lineRule="auto"/>
        <w:ind w:firstLine="708"/>
        <w:jc w:val="both"/>
        <w:rPr>
          <w:sz w:val="24"/>
          <w:szCs w:val="24"/>
        </w:rPr>
      </w:pPr>
      <w:r w:rsidRPr="00517042">
        <w:rPr>
          <w:sz w:val="24"/>
          <w:szCs w:val="24"/>
        </w:rPr>
        <w:t xml:space="preserve">El </w:t>
      </w:r>
      <w:r w:rsidRPr="00517042">
        <w:rPr>
          <w:b/>
          <w:bCs/>
          <w:sz w:val="24"/>
          <w:szCs w:val="24"/>
        </w:rPr>
        <w:t>sistema límbico</w:t>
      </w:r>
      <w:r w:rsidRPr="00517042">
        <w:rPr>
          <w:sz w:val="24"/>
          <w:szCs w:val="24"/>
        </w:rPr>
        <w:t xml:space="preserve"> está compuesto por la amígdala, el núcleo accumbens y el hipotálamo además de otras estructuras interconectadas, constituyendo así uno de los circuitos neuronales más importantes en relación con el comportamiento humano agresivo. De forma simplificada, este circuito recibe los estímulos externos y los asocia a un estado emocional, tanto positivo como negativo, y la presencia de anormalidades en algunas de sus regiones predispondrán a la aparición de conductas violentas. Dos de las estructuras más relevantes en este sistema y de las que se va a desarrollar su influencia sobre la conducta violenta son el hipotálamo y la amígdala (Herreros et al., 2010; Ortega-Escobar y Alcázar- Córcoles, 2016</w:t>
      </w:r>
      <w:r w:rsidR="00B86090" w:rsidRPr="00900ABD">
        <w:rPr>
          <w:sz w:val="24"/>
          <w:szCs w:val="24"/>
        </w:rPr>
        <w:t>; Siegel y V</w:t>
      </w:r>
      <w:r w:rsidR="00B86090" w:rsidRPr="00517042">
        <w:rPr>
          <w:sz w:val="24"/>
          <w:szCs w:val="24"/>
        </w:rPr>
        <w:t>ictoroff, 2009</w:t>
      </w:r>
      <w:r w:rsidRPr="00517042">
        <w:rPr>
          <w:sz w:val="24"/>
          <w:szCs w:val="24"/>
        </w:rPr>
        <w:t>).</w:t>
      </w:r>
    </w:p>
    <w:p w14:paraId="357F40A8" w14:textId="6C868C5A" w:rsidR="007612EB" w:rsidRPr="00517042" w:rsidRDefault="007612EB">
      <w:pPr>
        <w:spacing w:line="360" w:lineRule="auto"/>
        <w:jc w:val="both"/>
        <w:rPr>
          <w:sz w:val="24"/>
          <w:szCs w:val="24"/>
        </w:rPr>
      </w:pPr>
      <w:r w:rsidRPr="00517042">
        <w:rPr>
          <w:sz w:val="24"/>
          <w:szCs w:val="24"/>
        </w:rPr>
        <w:t xml:space="preserve">La </w:t>
      </w:r>
      <w:r w:rsidRPr="00517042">
        <w:rPr>
          <w:b/>
          <w:bCs/>
          <w:sz w:val="24"/>
          <w:szCs w:val="24"/>
        </w:rPr>
        <w:t>amígdala</w:t>
      </w:r>
      <w:r w:rsidRPr="00517042">
        <w:rPr>
          <w:sz w:val="24"/>
          <w:szCs w:val="24"/>
        </w:rPr>
        <w:t xml:space="preserve"> es una de las regiones más importantes del cerebro ya que permite el aprendizaje de reforzamientos positivos y de castigos. Esta región se activa principalmente ante situaciones de amenaza, incrementando la actividad del sistema nervioso autónomo y de los mecanismos de atención y de los sistemas de alerta</w:t>
      </w:r>
      <w:r w:rsidR="008D359D">
        <w:rPr>
          <w:sz w:val="24"/>
          <w:szCs w:val="24"/>
        </w:rPr>
        <w:t xml:space="preserve"> </w:t>
      </w:r>
      <w:r w:rsidRPr="00517042">
        <w:rPr>
          <w:sz w:val="24"/>
          <w:szCs w:val="24"/>
        </w:rPr>
        <w:t>(Calzada, 2007; Herreros et al., 2010). Es por esta función tan importante que se ha observado que personas con lesiones en est</w:t>
      </w:r>
      <w:r w:rsidR="008D359D">
        <w:rPr>
          <w:sz w:val="24"/>
          <w:szCs w:val="24"/>
        </w:rPr>
        <w:t>a</w:t>
      </w:r>
      <w:r w:rsidRPr="00517042">
        <w:rPr>
          <w:sz w:val="24"/>
          <w:szCs w:val="24"/>
        </w:rPr>
        <w:t xml:space="preserve"> área tienen dificultades tanto en el reconocimiento en otros de señales de malestar como en generar respuestas de miedo, siendo similar a lo que les sucede a individuos con alta tendencia a las conductas violentas (Sepúlveda Rojas y Moreno París, 2017; Ortega-Escobar y Alcázar- Córcoles, 2016). La amígdala no es una estructura unitaria, se encuentra dividida en tres núcleos: basolateral, centra medial y el cortical. En esta área se encuentran las masas celulares intercaladas, formadas por neuronas inhibidoras GABAérgicas, las cuales se consideran imprescindibles en la actividad inhibitoria que realiza la amigada (Rosell y Siever, 2015). En aquellas investigaciones en las que se </w:t>
      </w:r>
      <w:r w:rsidR="005172E6" w:rsidRPr="00900ABD">
        <w:rPr>
          <w:sz w:val="24"/>
          <w:szCs w:val="24"/>
        </w:rPr>
        <w:t>empleó</w:t>
      </w:r>
      <w:r w:rsidRPr="00517042">
        <w:rPr>
          <w:sz w:val="24"/>
          <w:szCs w:val="24"/>
        </w:rPr>
        <w:t xml:space="preserve"> neuroimagen de la amígdala para el estudio del comportamiento agresivo se observó que existía una relación poco consistente entre el </w:t>
      </w:r>
      <w:r w:rsidRPr="00517042">
        <w:rPr>
          <w:sz w:val="24"/>
          <w:szCs w:val="24"/>
        </w:rPr>
        <w:lastRenderedPageBreak/>
        <w:t>volumen de la amígdala y dichos comportamientos, pudiéndose producir por una falta de diferenciación entre agresión impulsiva o instrumental o que no se atendió a los diferentes núcleos que conforman la amígdala (Ortega-Escobar y Alcázar- Córcoles, 2016).</w:t>
      </w:r>
    </w:p>
    <w:p w14:paraId="6DE03329" w14:textId="4FF95473" w:rsidR="007612EB" w:rsidRPr="00517042" w:rsidRDefault="007612EB">
      <w:pPr>
        <w:spacing w:line="360" w:lineRule="auto"/>
        <w:jc w:val="both"/>
        <w:rPr>
          <w:sz w:val="24"/>
          <w:szCs w:val="24"/>
        </w:rPr>
      </w:pPr>
      <w:r w:rsidRPr="00517042">
        <w:rPr>
          <w:sz w:val="24"/>
          <w:szCs w:val="24"/>
        </w:rPr>
        <w:t>La amígdala proyecta impulso</w:t>
      </w:r>
      <w:r w:rsidR="008D359D">
        <w:rPr>
          <w:sz w:val="24"/>
          <w:szCs w:val="24"/>
        </w:rPr>
        <w:t>s</w:t>
      </w:r>
      <w:r w:rsidRPr="00517042">
        <w:rPr>
          <w:sz w:val="24"/>
          <w:szCs w:val="24"/>
        </w:rPr>
        <w:t xml:space="preserve"> nerviosos hacia el </w:t>
      </w:r>
      <w:r w:rsidRPr="00517042">
        <w:rPr>
          <w:b/>
          <w:bCs/>
          <w:sz w:val="24"/>
          <w:szCs w:val="24"/>
        </w:rPr>
        <w:t>hipotálamo</w:t>
      </w:r>
      <w:r w:rsidRPr="00517042">
        <w:rPr>
          <w:sz w:val="24"/>
          <w:szCs w:val="24"/>
        </w:rPr>
        <w:t xml:space="preserve">, área importante en el comportamiento agresivo (Gil-Verona et al., 2002). Las principales conexiones entre ambas estructuras se llevan a cabo a través de la estría terminal y de la amidalófuga ventral, y estas conexiones están relacionadas directamente con la modulación de la agresión. La mayoría de los estudios sobre esta área cerebral se realizaron en gatos, observándose que realizaban conductas análogas a la agresión reactiva y a la instrumental. En estos estudios se </w:t>
      </w:r>
      <w:r w:rsidR="005172E6" w:rsidRPr="00900ABD">
        <w:rPr>
          <w:sz w:val="24"/>
          <w:szCs w:val="24"/>
        </w:rPr>
        <w:t>observó</w:t>
      </w:r>
      <w:r w:rsidRPr="00517042">
        <w:rPr>
          <w:sz w:val="24"/>
          <w:szCs w:val="24"/>
        </w:rPr>
        <w:t xml:space="preserve"> como las diferentes áreas del hipotálamo regulaban los tipos de agresividad. El área lateral y la sustancia gris periacueductal ventrolateral del tronco encefálico las encargas de la modulación de las conductas análogas a la agresión instrumental mientras que el hipotálamo medial se encargaba de las conductas agresivas reactivas. Estas áreas mencionadas involucradas en la agresividad en gatos se han considerado similares a lo que sucede en seres humanos (Ortega-Escobar y Alcázar- Córcoles, 2016).  Un ejemplo de la relación entre hipotálamo y agresividad es la </w:t>
      </w:r>
      <w:r w:rsidRPr="00517042">
        <w:rPr>
          <w:i/>
          <w:iCs/>
          <w:sz w:val="24"/>
          <w:szCs w:val="24"/>
        </w:rPr>
        <w:t>hamartoma</w:t>
      </w:r>
      <w:r w:rsidRPr="00517042">
        <w:rPr>
          <w:sz w:val="24"/>
          <w:szCs w:val="24"/>
        </w:rPr>
        <w:t xml:space="preserve"> </w:t>
      </w:r>
      <w:r w:rsidRPr="00517042">
        <w:rPr>
          <w:i/>
          <w:iCs/>
          <w:sz w:val="24"/>
          <w:szCs w:val="24"/>
        </w:rPr>
        <w:t>hipotalámica</w:t>
      </w:r>
      <w:r w:rsidRPr="00517042">
        <w:rPr>
          <w:sz w:val="24"/>
          <w:szCs w:val="24"/>
        </w:rPr>
        <w:t>, esta anomalía consiste en consiste en que un grupo de neuronas realizan un recorrido equivocado en la migración celular embrionario y se ubican en zonas que no deberían estar, en este caso, en el hipotálamo, influyendo así en el control de la agresión que realiza dicha estructura cerebral (Sepúlveda</w:t>
      </w:r>
      <w:r w:rsidR="007723DF">
        <w:rPr>
          <w:sz w:val="24"/>
          <w:szCs w:val="24"/>
        </w:rPr>
        <w:t>-</w:t>
      </w:r>
      <w:r w:rsidRPr="00517042">
        <w:rPr>
          <w:sz w:val="24"/>
          <w:szCs w:val="24"/>
        </w:rPr>
        <w:t>Rojas y Moreno</w:t>
      </w:r>
      <w:r w:rsidR="007723DF">
        <w:rPr>
          <w:sz w:val="24"/>
          <w:szCs w:val="24"/>
        </w:rPr>
        <w:t>-</w:t>
      </w:r>
      <w:r w:rsidRPr="00517042">
        <w:rPr>
          <w:sz w:val="24"/>
          <w:szCs w:val="24"/>
        </w:rPr>
        <w:t>París, 2017).</w:t>
      </w:r>
    </w:p>
    <w:p w14:paraId="4D17ACB2" w14:textId="52FBEA2D" w:rsidR="007612EB" w:rsidRPr="00517042" w:rsidRDefault="007612EB">
      <w:pPr>
        <w:spacing w:line="360" w:lineRule="auto"/>
        <w:ind w:firstLine="708"/>
        <w:jc w:val="both"/>
        <w:rPr>
          <w:rFonts w:asciiTheme="majorHAnsi" w:eastAsia="Times New Roman" w:hAnsiTheme="majorHAnsi" w:cstheme="majorHAnsi"/>
          <w:sz w:val="24"/>
          <w:szCs w:val="24"/>
          <w:lang w:eastAsia="es-ES"/>
        </w:rPr>
      </w:pPr>
      <w:r w:rsidRPr="00517042">
        <w:rPr>
          <w:rFonts w:asciiTheme="majorHAnsi" w:eastAsia="Times New Roman" w:hAnsiTheme="majorHAnsi" w:cstheme="majorHAnsi"/>
          <w:sz w:val="24"/>
          <w:szCs w:val="24"/>
          <w:lang w:eastAsia="es-ES"/>
        </w:rPr>
        <w:t xml:space="preserve">Los estudios de neuroimagen sobre la agresividad humana siempre han concedido un papel muy relevante a la </w:t>
      </w:r>
      <w:r w:rsidRPr="00517042">
        <w:rPr>
          <w:rFonts w:asciiTheme="majorHAnsi" w:eastAsia="Times New Roman" w:hAnsiTheme="majorHAnsi" w:cstheme="majorHAnsi"/>
          <w:b/>
          <w:bCs/>
          <w:sz w:val="24"/>
          <w:szCs w:val="24"/>
          <w:lang w:eastAsia="es-ES"/>
        </w:rPr>
        <w:t>corteza prefrontal</w:t>
      </w:r>
      <w:r w:rsidRPr="00517042">
        <w:rPr>
          <w:rFonts w:asciiTheme="majorHAnsi" w:eastAsia="Times New Roman" w:hAnsiTheme="majorHAnsi" w:cstheme="majorHAnsi"/>
          <w:sz w:val="24"/>
          <w:szCs w:val="24"/>
          <w:lang w:eastAsia="es-ES"/>
        </w:rPr>
        <w:t xml:space="preserve"> (Haller, 2014; Sepúlveda</w:t>
      </w:r>
      <w:r w:rsidR="007723DF">
        <w:rPr>
          <w:rFonts w:asciiTheme="majorHAnsi" w:eastAsia="Times New Roman" w:hAnsiTheme="majorHAnsi" w:cstheme="majorHAnsi"/>
          <w:sz w:val="24"/>
          <w:szCs w:val="24"/>
          <w:lang w:eastAsia="es-ES"/>
        </w:rPr>
        <w:t>-</w:t>
      </w:r>
      <w:r w:rsidRPr="00517042">
        <w:rPr>
          <w:rFonts w:asciiTheme="majorHAnsi" w:eastAsia="Times New Roman" w:hAnsiTheme="majorHAnsi" w:cstheme="majorHAnsi"/>
          <w:sz w:val="24"/>
          <w:szCs w:val="24"/>
          <w:lang w:eastAsia="es-ES"/>
        </w:rPr>
        <w:t>Rojas y Moreno</w:t>
      </w:r>
      <w:r w:rsidR="007723DF">
        <w:rPr>
          <w:rFonts w:asciiTheme="majorHAnsi" w:eastAsia="Times New Roman" w:hAnsiTheme="majorHAnsi" w:cstheme="majorHAnsi"/>
          <w:sz w:val="24"/>
          <w:szCs w:val="24"/>
          <w:lang w:eastAsia="es-ES"/>
        </w:rPr>
        <w:t>-</w:t>
      </w:r>
      <w:r w:rsidRPr="00517042">
        <w:rPr>
          <w:rFonts w:asciiTheme="majorHAnsi" w:eastAsia="Times New Roman" w:hAnsiTheme="majorHAnsi" w:cstheme="majorHAnsi"/>
          <w:sz w:val="24"/>
          <w:szCs w:val="24"/>
          <w:lang w:eastAsia="es-ES"/>
        </w:rPr>
        <w:t>París, 2017). La corteza prefrontal incluye tres regiones: la corteza orbitofrontal (COF), el área dorsolateral (COFdl) y la ventro medial (CPFvm) (</w:t>
      </w:r>
      <w:r w:rsidRPr="00517042">
        <w:rPr>
          <w:sz w:val="24"/>
          <w:szCs w:val="24"/>
        </w:rPr>
        <w:t>Ortega-Escobar y Alcázar- Córcoles, 2016; Sepúlveda</w:t>
      </w:r>
      <w:r w:rsidR="007723DF">
        <w:rPr>
          <w:sz w:val="24"/>
          <w:szCs w:val="24"/>
        </w:rPr>
        <w:t>-</w:t>
      </w:r>
      <w:r w:rsidRPr="00517042">
        <w:rPr>
          <w:sz w:val="24"/>
          <w:szCs w:val="24"/>
        </w:rPr>
        <w:t>Rojas y Moreno</w:t>
      </w:r>
      <w:r w:rsidR="007723DF">
        <w:rPr>
          <w:sz w:val="24"/>
          <w:szCs w:val="24"/>
        </w:rPr>
        <w:t>-</w:t>
      </w:r>
      <w:r w:rsidRPr="00517042">
        <w:rPr>
          <w:sz w:val="24"/>
          <w:szCs w:val="24"/>
        </w:rPr>
        <w:t xml:space="preserve">París, 2017). </w:t>
      </w:r>
      <w:r w:rsidRPr="00517042">
        <w:rPr>
          <w:rFonts w:asciiTheme="majorHAnsi" w:eastAsia="Times New Roman" w:hAnsiTheme="majorHAnsi" w:cstheme="majorHAnsi"/>
          <w:sz w:val="24"/>
          <w:szCs w:val="24"/>
          <w:lang w:eastAsia="es-ES"/>
        </w:rPr>
        <w:t xml:space="preserve">Según las teorías clásicas el comportamiento agresivo se produciría por un déficit de las funciones de esta área cerebral, lo que implicaría un aumento de la impulsividad además de la afectación a la capacidad empática, insensibilidad al castigo y dificultades en el aprendizaje emocional (Haller, 2014). Actualmente las conductas agresivas se conciben como el resultado de la estimulación e inhibición de diferentes áreas cerebrales (Gil-Verona et al.,2002). </w:t>
      </w:r>
    </w:p>
    <w:p w14:paraId="2666B045" w14:textId="05D1B130" w:rsidR="007612EB" w:rsidRPr="00517042" w:rsidRDefault="007612EB">
      <w:pPr>
        <w:spacing w:line="360" w:lineRule="auto"/>
        <w:jc w:val="both"/>
        <w:rPr>
          <w:sz w:val="24"/>
          <w:szCs w:val="24"/>
        </w:rPr>
      </w:pPr>
      <w:r w:rsidRPr="00517042">
        <w:rPr>
          <w:sz w:val="24"/>
          <w:szCs w:val="24"/>
        </w:rPr>
        <w:t xml:space="preserve">El COF y la Corteza Cingulada Anterior (CCA) son dos áreas involucradas en los procesos afectivos, sensoriales y cognitivos, cuyas funciones se relacionan con la producción de respuestas adaptativas tanto cognitivas como conductuales y afectivas </w:t>
      </w:r>
      <w:r w:rsidRPr="00517042">
        <w:rPr>
          <w:sz w:val="24"/>
          <w:szCs w:val="24"/>
        </w:rPr>
        <w:lastRenderedPageBreak/>
        <w:t xml:space="preserve">(Rosell y Siever, 2015). Principalmente, la COF tiene las conexiones más fuertes con la amígdala, teniendo como principal función regular los estados de alerta y vigilia </w:t>
      </w:r>
      <w:r w:rsidRPr="00517042">
        <w:rPr>
          <w:rFonts w:eastAsia="Times New Roman"/>
          <w:sz w:val="24"/>
          <w:szCs w:val="24"/>
          <w:lang w:eastAsia="es-ES"/>
        </w:rPr>
        <w:t>(</w:t>
      </w:r>
      <w:r w:rsidRPr="00517042">
        <w:rPr>
          <w:sz w:val="24"/>
          <w:szCs w:val="24"/>
        </w:rPr>
        <w:t>Ortega-Escobar y Alcázar- Córcoles, 2016; Sepúlveda</w:t>
      </w:r>
      <w:r w:rsidR="00800FB2">
        <w:rPr>
          <w:sz w:val="24"/>
          <w:szCs w:val="24"/>
        </w:rPr>
        <w:t>-</w:t>
      </w:r>
      <w:r w:rsidRPr="00517042">
        <w:rPr>
          <w:sz w:val="24"/>
          <w:szCs w:val="24"/>
        </w:rPr>
        <w:t>Rojas y Moreno</w:t>
      </w:r>
      <w:r w:rsidR="00800FB2">
        <w:rPr>
          <w:sz w:val="24"/>
          <w:szCs w:val="24"/>
        </w:rPr>
        <w:t>-</w:t>
      </w:r>
      <w:r w:rsidRPr="00517042">
        <w:rPr>
          <w:sz w:val="24"/>
          <w:szCs w:val="24"/>
        </w:rPr>
        <w:t>París, 2017). Tanto estudios de neuroimagen estructurales como funcionales han demostrado la relación de est</w:t>
      </w:r>
      <w:r w:rsidR="0052443B">
        <w:rPr>
          <w:sz w:val="24"/>
          <w:szCs w:val="24"/>
        </w:rPr>
        <w:t>a</w:t>
      </w:r>
      <w:r w:rsidRPr="00517042">
        <w:rPr>
          <w:sz w:val="24"/>
          <w:szCs w:val="24"/>
        </w:rPr>
        <w:t xml:space="preserve"> área cerebral con los comportamientos agresivos. En el caso de los estudios a nivel estructural, las investigaciones observaron que existía una relación entre menor volumen de sustancia gris en el COF con el aumento de las conductas violentas (Rosell y Siever, 2015), mientras que nivel funcional, aquellos sujetos con lesiones en esta misma región, suponía un menor funcionamiento de este dando como resultado una mayor impulsividad (Ortega-Escobar y Alcázar- Córcoles, 2016). No todas las lesiones prefrontales implican la aparición de conductas violentas, diversos estudios observaron los daños ubicados en la COFdl se relacionaban con disfunciones motoras y apatía (Gallardo-Pujol et al.,2009</w:t>
      </w:r>
      <w:r w:rsidR="00AF3A59" w:rsidRPr="00900ABD">
        <w:rPr>
          <w:sz w:val="24"/>
          <w:szCs w:val="24"/>
        </w:rPr>
        <w:t xml:space="preserve">; </w:t>
      </w:r>
      <w:r w:rsidR="00AF3A59" w:rsidRPr="00517042">
        <w:rPr>
          <w:sz w:val="24"/>
          <w:szCs w:val="24"/>
        </w:rPr>
        <w:t>Haller, 2014</w:t>
      </w:r>
      <w:r w:rsidRPr="00517042">
        <w:rPr>
          <w:sz w:val="24"/>
          <w:szCs w:val="24"/>
        </w:rPr>
        <w:t>).</w:t>
      </w:r>
    </w:p>
    <w:p w14:paraId="407A5F1A" w14:textId="3DC3383E" w:rsidR="002146FD" w:rsidRDefault="002146FD">
      <w:pPr>
        <w:pStyle w:val="Ttulo1"/>
        <w:spacing w:line="360" w:lineRule="auto"/>
        <w:jc w:val="both"/>
        <w:rPr>
          <w:color w:val="auto"/>
        </w:rPr>
      </w:pPr>
      <w:r w:rsidRPr="00BE0ABA">
        <w:rPr>
          <w:color w:val="auto"/>
        </w:rPr>
        <w:t>Psicopatía</w:t>
      </w:r>
    </w:p>
    <w:p w14:paraId="759A0E22" w14:textId="2031F272" w:rsidR="004B70E2" w:rsidRPr="00761A5F" w:rsidRDefault="004B70E2">
      <w:pPr>
        <w:spacing w:line="360" w:lineRule="auto"/>
        <w:ind w:firstLine="708"/>
        <w:jc w:val="both"/>
        <w:rPr>
          <w:sz w:val="24"/>
          <w:szCs w:val="24"/>
        </w:rPr>
      </w:pPr>
      <w:r w:rsidRPr="00761A5F">
        <w:rPr>
          <w:sz w:val="24"/>
          <w:szCs w:val="24"/>
        </w:rPr>
        <w:t xml:space="preserve">Como se ha expuesto durante la introducción, </w:t>
      </w:r>
      <w:r w:rsidR="00B62A19">
        <w:rPr>
          <w:sz w:val="24"/>
          <w:szCs w:val="24"/>
        </w:rPr>
        <w:t xml:space="preserve">la psicopatía es un fenómeno de </w:t>
      </w:r>
      <w:r w:rsidRPr="00761A5F">
        <w:rPr>
          <w:sz w:val="24"/>
          <w:szCs w:val="24"/>
        </w:rPr>
        <w:t>origen muy reciente, datando sus primeros usos en el siglo XX. Este constructo se ha relacionado de forma muy estrecha con la conducta violenta y la criminalidad</w:t>
      </w:r>
      <w:r w:rsidR="00B62A19">
        <w:rPr>
          <w:sz w:val="24"/>
          <w:szCs w:val="24"/>
        </w:rPr>
        <w:t xml:space="preserve"> </w:t>
      </w:r>
      <w:r w:rsidRPr="00761A5F">
        <w:rPr>
          <w:sz w:val="24"/>
          <w:szCs w:val="24"/>
        </w:rPr>
        <w:t xml:space="preserve">(Ortega-Escobar y Alcázar-Córcoles, 2019). En la actualidad, </w:t>
      </w:r>
      <w:r w:rsidR="00B62A19">
        <w:rPr>
          <w:sz w:val="24"/>
          <w:szCs w:val="24"/>
        </w:rPr>
        <w:t>uno de l</w:t>
      </w:r>
      <w:r w:rsidR="00350418">
        <w:rPr>
          <w:sz w:val="24"/>
          <w:szCs w:val="24"/>
        </w:rPr>
        <w:t>o</w:t>
      </w:r>
      <w:r w:rsidR="00B62A19">
        <w:rPr>
          <w:sz w:val="24"/>
          <w:szCs w:val="24"/>
        </w:rPr>
        <w:t>s grandes problemas tanto a nivel clínico como legal es la falta de diferenciación de fenómenos como la psicopatía, la sociopatía, el trastorno antisocial de la personalidad y el trastorno disocial</w:t>
      </w:r>
      <w:r w:rsidR="00FC0AF1">
        <w:rPr>
          <w:sz w:val="24"/>
          <w:szCs w:val="24"/>
        </w:rPr>
        <w:t xml:space="preserve"> </w:t>
      </w:r>
      <w:r w:rsidRPr="00761A5F">
        <w:rPr>
          <w:sz w:val="24"/>
          <w:szCs w:val="24"/>
        </w:rPr>
        <w:t>(</w:t>
      </w:r>
      <w:r w:rsidR="00A03EF6" w:rsidRPr="007C5903">
        <w:rPr>
          <w:rFonts w:ascii="Times New Roman" w:eastAsia="Times New Roman" w:hAnsi="Times New Roman" w:cs="Times New Roman"/>
          <w:sz w:val="24"/>
          <w:szCs w:val="24"/>
          <w:lang w:eastAsia="es-ES"/>
        </w:rPr>
        <w:t xml:space="preserve">Beltri </w:t>
      </w:r>
      <w:r w:rsidR="00A03EF6">
        <w:rPr>
          <w:rFonts w:ascii="Times New Roman" w:eastAsia="Times New Roman" w:hAnsi="Times New Roman" w:cs="Times New Roman"/>
          <w:sz w:val="24"/>
          <w:szCs w:val="24"/>
          <w:lang w:eastAsia="es-ES"/>
        </w:rPr>
        <w:t>y</w:t>
      </w:r>
      <w:r w:rsidR="00A03EF6" w:rsidRPr="007C5903">
        <w:rPr>
          <w:rFonts w:ascii="Times New Roman" w:eastAsia="Times New Roman" w:hAnsi="Times New Roman" w:cs="Times New Roman"/>
          <w:sz w:val="24"/>
          <w:szCs w:val="24"/>
          <w:lang w:eastAsia="es-ES"/>
        </w:rPr>
        <w:t xml:space="preserve"> Fuentes, 2008</w:t>
      </w:r>
      <w:r w:rsidRPr="00761A5F">
        <w:rPr>
          <w:sz w:val="24"/>
          <w:szCs w:val="24"/>
        </w:rPr>
        <w:t xml:space="preserve">). </w:t>
      </w:r>
    </w:p>
    <w:p w14:paraId="247030AF" w14:textId="4A12CEBB" w:rsidR="004B70E2" w:rsidRPr="00761A5F" w:rsidRDefault="004B70E2">
      <w:pPr>
        <w:spacing w:line="360" w:lineRule="auto"/>
        <w:ind w:firstLine="708"/>
        <w:jc w:val="both"/>
        <w:rPr>
          <w:sz w:val="24"/>
          <w:szCs w:val="24"/>
        </w:rPr>
      </w:pPr>
      <w:r w:rsidRPr="00761A5F">
        <w:rPr>
          <w:sz w:val="24"/>
          <w:szCs w:val="24"/>
        </w:rPr>
        <w:t xml:space="preserve">En primer lugar, numerosas investigaciones han indicado que la psicopatía no podría ser considerada un tipo de trastorno mental, ya que la entidad de la psicopatía no cuadra con la conceptualización de trastorno mental planteada por la Asociación Americana de Psicólogos (APA), debido a que, por ejemplo, no existe ninguna alteración clínicamente significativa que interfiere en la vida diaria de estos sujetos (Pozueco-Romero, Moreno-Manso, García-Baamonde y Blázquez-Alonso, </w:t>
      </w:r>
      <w:r w:rsidR="00821F06" w:rsidRPr="00761A5F">
        <w:rPr>
          <w:sz w:val="24"/>
          <w:szCs w:val="24"/>
        </w:rPr>
        <w:t>201</w:t>
      </w:r>
      <w:r w:rsidR="00821F06">
        <w:rPr>
          <w:sz w:val="24"/>
          <w:szCs w:val="24"/>
        </w:rPr>
        <w:t>6</w:t>
      </w:r>
      <w:r w:rsidR="00EC5968" w:rsidRPr="00761A5F">
        <w:rPr>
          <w:sz w:val="24"/>
          <w:szCs w:val="24"/>
        </w:rPr>
        <w:t>).</w:t>
      </w:r>
    </w:p>
    <w:p w14:paraId="0E773A0A" w14:textId="0BE6A687" w:rsidR="00EC5968" w:rsidRDefault="00EC5968">
      <w:pPr>
        <w:spacing w:line="360" w:lineRule="auto"/>
        <w:ind w:firstLine="708"/>
        <w:jc w:val="both"/>
        <w:rPr>
          <w:rFonts w:ascii="Times New Roman"/>
          <w:sz w:val="24"/>
          <w:szCs w:val="24"/>
        </w:rPr>
      </w:pPr>
      <w:r w:rsidRPr="00761A5F">
        <w:rPr>
          <w:sz w:val="24"/>
          <w:szCs w:val="24"/>
        </w:rPr>
        <w:t xml:space="preserve">Por otro lado, el empleo de psicopatía como sinónimo de </w:t>
      </w:r>
      <w:r w:rsidR="004D032E" w:rsidRPr="00761A5F">
        <w:rPr>
          <w:sz w:val="24"/>
          <w:szCs w:val="24"/>
        </w:rPr>
        <w:t>T</w:t>
      </w:r>
      <w:r w:rsidRPr="00761A5F">
        <w:rPr>
          <w:sz w:val="24"/>
          <w:szCs w:val="24"/>
        </w:rPr>
        <w:t xml:space="preserve">rastorno de la </w:t>
      </w:r>
      <w:r w:rsidR="004D032E" w:rsidRPr="00761A5F">
        <w:rPr>
          <w:sz w:val="24"/>
          <w:szCs w:val="24"/>
        </w:rPr>
        <w:t>P</w:t>
      </w:r>
      <w:r w:rsidRPr="00761A5F">
        <w:rPr>
          <w:sz w:val="24"/>
          <w:szCs w:val="24"/>
        </w:rPr>
        <w:t xml:space="preserve">ersonalidad </w:t>
      </w:r>
      <w:r w:rsidR="004D032E" w:rsidRPr="00761A5F">
        <w:rPr>
          <w:sz w:val="24"/>
          <w:szCs w:val="24"/>
        </w:rPr>
        <w:t>A</w:t>
      </w:r>
      <w:r w:rsidRPr="00761A5F">
        <w:rPr>
          <w:sz w:val="24"/>
          <w:szCs w:val="24"/>
        </w:rPr>
        <w:t>ntisocial (TAP)</w:t>
      </w:r>
      <w:r w:rsidR="004D032E" w:rsidRPr="00761A5F">
        <w:rPr>
          <w:sz w:val="24"/>
          <w:szCs w:val="24"/>
        </w:rPr>
        <w:t xml:space="preserve"> del DSM, e incluso del Trastorno Disocial de la Personalidad del DIE, </w:t>
      </w:r>
      <w:r w:rsidR="00435084" w:rsidRPr="00761A5F">
        <w:rPr>
          <w:sz w:val="24"/>
          <w:szCs w:val="24"/>
        </w:rPr>
        <w:t xml:space="preserve">no es del todo acertado. Aunque ambos trastornos presenten características que puedan solaparse con la psicopatía, </w:t>
      </w:r>
      <w:r w:rsidR="00EA32E2">
        <w:rPr>
          <w:sz w:val="24"/>
          <w:szCs w:val="24"/>
        </w:rPr>
        <w:t xml:space="preserve">esta última tiene como características centrales la alteración de las esferas interpersonal y afectiva (Factor I de la </w:t>
      </w:r>
      <w:r w:rsidR="00EA32E2">
        <w:rPr>
          <w:sz w:val="24"/>
          <w:szCs w:val="24"/>
        </w:rPr>
        <w:lastRenderedPageBreak/>
        <w:t xml:space="preserve">PCL-R) </w:t>
      </w:r>
      <w:r w:rsidR="00D00A40">
        <w:rPr>
          <w:sz w:val="24"/>
          <w:szCs w:val="24"/>
        </w:rPr>
        <w:t xml:space="preserve">(Hare, 2003) </w:t>
      </w:r>
      <w:r w:rsidR="00EA32E2">
        <w:rPr>
          <w:sz w:val="24"/>
          <w:szCs w:val="24"/>
        </w:rPr>
        <w:t>mientras que la conceptualización del sociópata y el antisocial se centra más en la conducta desviada e i</w:t>
      </w:r>
      <w:r w:rsidR="00821F06">
        <w:rPr>
          <w:sz w:val="24"/>
          <w:szCs w:val="24"/>
        </w:rPr>
        <w:t>r</w:t>
      </w:r>
      <w:r w:rsidR="00EA32E2">
        <w:rPr>
          <w:sz w:val="24"/>
          <w:szCs w:val="24"/>
        </w:rPr>
        <w:t xml:space="preserve">responsable </w:t>
      </w:r>
      <w:r w:rsidR="00613778" w:rsidRPr="00761A5F">
        <w:rPr>
          <w:sz w:val="24"/>
          <w:szCs w:val="24"/>
        </w:rPr>
        <w:t>(Dujo y Horcajo</w:t>
      </w:r>
      <w:r w:rsidR="00D62C88">
        <w:rPr>
          <w:sz w:val="24"/>
          <w:szCs w:val="24"/>
        </w:rPr>
        <w:t>-Gil</w:t>
      </w:r>
      <w:r w:rsidR="00613778" w:rsidRPr="00761A5F">
        <w:rPr>
          <w:sz w:val="24"/>
          <w:szCs w:val="24"/>
        </w:rPr>
        <w:t>, 2017)</w:t>
      </w:r>
      <w:r w:rsidR="005C15D0" w:rsidRPr="00761A5F">
        <w:rPr>
          <w:sz w:val="24"/>
          <w:szCs w:val="24"/>
        </w:rPr>
        <w:t>.</w:t>
      </w:r>
      <w:r w:rsidR="00EA32E2">
        <w:rPr>
          <w:sz w:val="24"/>
          <w:szCs w:val="24"/>
        </w:rPr>
        <w:t xml:space="preserve"> La mayor parte de las investigaciones actuales consideran a la psicopatía como un continuo, es decir, no realizan un retrato taxonómico del fenómeno. Esto implica que hay perfiles con unas puntuaciones muy elevadas en el Factor I pero bajas en facetas de conducta antisocial y desviada (Factor II) lo que da lugar a perfiles de criminalidad de “cuello blanco” o incluso de perfiles integrados </w:t>
      </w:r>
      <w:r w:rsidR="00EA32E2">
        <w:rPr>
          <w:rFonts w:ascii="Times New Roman"/>
          <w:sz w:val="24"/>
          <w:szCs w:val="24"/>
        </w:rPr>
        <w:t>(Ortega-Escobar, Alc</w:t>
      </w:r>
      <w:r w:rsidR="00EA32E2">
        <w:rPr>
          <w:rFonts w:hAnsi="Times New Roman"/>
          <w:sz w:val="24"/>
          <w:szCs w:val="24"/>
        </w:rPr>
        <w:t>á</w:t>
      </w:r>
      <w:r w:rsidR="00EA32E2">
        <w:rPr>
          <w:rFonts w:ascii="Times New Roman"/>
          <w:sz w:val="24"/>
          <w:szCs w:val="24"/>
        </w:rPr>
        <w:t>zar-C</w:t>
      </w:r>
      <w:r w:rsidR="00EA32E2">
        <w:rPr>
          <w:rFonts w:hAnsi="Times New Roman"/>
          <w:sz w:val="24"/>
          <w:szCs w:val="24"/>
        </w:rPr>
        <w:t>ó</w:t>
      </w:r>
      <w:r w:rsidR="00EA32E2">
        <w:rPr>
          <w:rFonts w:ascii="Times New Roman"/>
          <w:sz w:val="24"/>
          <w:szCs w:val="24"/>
        </w:rPr>
        <w:t>rcoles, 2019).</w:t>
      </w:r>
    </w:p>
    <w:p w14:paraId="0E1E9825" w14:textId="6F67D80E" w:rsidR="00857864" w:rsidRDefault="00311069" w:rsidP="00714347">
      <w:pPr>
        <w:spacing w:line="360" w:lineRule="auto"/>
        <w:ind w:firstLine="708"/>
        <w:jc w:val="both"/>
        <w:rPr>
          <w:rFonts w:ascii="Times New Roman"/>
          <w:sz w:val="24"/>
          <w:szCs w:val="24"/>
        </w:rPr>
      </w:pPr>
      <w:r>
        <w:rPr>
          <w:rFonts w:ascii="Times New Roman"/>
          <w:sz w:val="24"/>
          <w:szCs w:val="24"/>
        </w:rPr>
        <w:t xml:space="preserve">Esta misma diferenciación entre los factores interpersonales/afectivos y conductuales se ha observado el estudio de la psicopatía infanto-juvenil. En este caso la presencia de una mayor insensibilidad emocional </w:t>
      </w:r>
      <w:r w:rsidR="00D66379">
        <w:rPr>
          <w:rFonts w:ascii="Times New Roman"/>
          <w:sz w:val="24"/>
          <w:szCs w:val="24"/>
        </w:rPr>
        <w:t>(CU)</w:t>
      </w:r>
      <w:r w:rsidR="00D00A40">
        <w:rPr>
          <w:rFonts w:ascii="Times New Roman"/>
          <w:sz w:val="24"/>
          <w:szCs w:val="24"/>
        </w:rPr>
        <w:t xml:space="preserve"> </w:t>
      </w:r>
      <w:r>
        <w:rPr>
          <w:rFonts w:ascii="Times New Roman"/>
          <w:sz w:val="24"/>
          <w:szCs w:val="24"/>
        </w:rPr>
        <w:t>en jóvenes se correlacionaba con mayor numero de conducta disruptivas y peor pronóstico del tratamiento</w:t>
      </w:r>
      <w:r w:rsidR="00D66379">
        <w:rPr>
          <w:rFonts w:ascii="Times New Roman"/>
          <w:sz w:val="24"/>
          <w:szCs w:val="24"/>
        </w:rPr>
        <w:t xml:space="preserve"> (</w:t>
      </w:r>
      <w:r w:rsidR="00D66379">
        <w:rPr>
          <w:rFonts w:ascii="Times New Roman"/>
          <w:sz w:val="24"/>
          <w:szCs w:val="24"/>
          <w:lang w:val="es-ES_tradnl"/>
        </w:rPr>
        <w:t>Hawes y Dadds 2005)</w:t>
      </w:r>
    </w:p>
    <w:p w14:paraId="7FE0A224" w14:textId="716AAC9F" w:rsidR="004B70E2" w:rsidRPr="00761A5F" w:rsidRDefault="003E2025">
      <w:pPr>
        <w:spacing w:line="360" w:lineRule="auto"/>
        <w:ind w:firstLine="708"/>
        <w:jc w:val="both"/>
        <w:rPr>
          <w:sz w:val="24"/>
          <w:szCs w:val="24"/>
        </w:rPr>
      </w:pPr>
      <w:r w:rsidRPr="00761A5F">
        <w:rPr>
          <w:sz w:val="24"/>
          <w:szCs w:val="24"/>
        </w:rPr>
        <w:t xml:space="preserve">Finalmente, la relación entre psicopatía y criminalidad ha sido uno de los aspectos más </w:t>
      </w:r>
      <w:r w:rsidR="00F554D7" w:rsidRPr="00761A5F">
        <w:rPr>
          <w:sz w:val="24"/>
          <w:szCs w:val="24"/>
        </w:rPr>
        <w:t>investigados</w:t>
      </w:r>
      <w:r w:rsidRPr="00761A5F">
        <w:rPr>
          <w:sz w:val="24"/>
          <w:szCs w:val="24"/>
        </w:rPr>
        <w:t xml:space="preserve">, pero </w:t>
      </w:r>
      <w:r w:rsidR="00F554D7" w:rsidRPr="00761A5F">
        <w:rPr>
          <w:sz w:val="24"/>
          <w:szCs w:val="24"/>
        </w:rPr>
        <w:t>Cleckley</w:t>
      </w:r>
      <w:r w:rsidR="00053C5B">
        <w:rPr>
          <w:sz w:val="24"/>
          <w:szCs w:val="24"/>
        </w:rPr>
        <w:t xml:space="preserve"> (1941)</w:t>
      </w:r>
      <w:r w:rsidR="00F554D7" w:rsidRPr="00761A5F">
        <w:rPr>
          <w:sz w:val="24"/>
          <w:szCs w:val="24"/>
        </w:rPr>
        <w:t xml:space="preserve"> </w:t>
      </w:r>
      <w:r w:rsidR="00960A93" w:rsidRPr="00761A5F">
        <w:rPr>
          <w:sz w:val="24"/>
          <w:szCs w:val="24"/>
        </w:rPr>
        <w:t>también</w:t>
      </w:r>
      <w:r w:rsidR="00F554D7" w:rsidRPr="00761A5F">
        <w:rPr>
          <w:sz w:val="24"/>
          <w:szCs w:val="24"/>
        </w:rPr>
        <w:t xml:space="preserve"> hizo referencia en la presencia de </w:t>
      </w:r>
      <w:r w:rsidR="00960A93" w:rsidRPr="00761A5F">
        <w:rPr>
          <w:sz w:val="24"/>
          <w:szCs w:val="24"/>
        </w:rPr>
        <w:t>psicópatas</w:t>
      </w:r>
      <w:r w:rsidR="00F554D7" w:rsidRPr="00761A5F">
        <w:rPr>
          <w:sz w:val="24"/>
          <w:szCs w:val="24"/>
        </w:rPr>
        <w:t xml:space="preserve"> subclínicos o </w:t>
      </w:r>
      <w:r w:rsidR="00460835" w:rsidRPr="00761A5F">
        <w:rPr>
          <w:sz w:val="24"/>
          <w:szCs w:val="24"/>
        </w:rPr>
        <w:t>“socializados”</w:t>
      </w:r>
      <w:r w:rsidR="00185F34" w:rsidRPr="00761A5F">
        <w:rPr>
          <w:sz w:val="24"/>
          <w:szCs w:val="24"/>
        </w:rPr>
        <w:t xml:space="preserve">. Estos sujetos, según este mismo autor, se diferenciarían de los que cometen crímenes en una mayor apariencia de normalidad, pero sus características tanto afectivas como interpersonales serian </w:t>
      </w:r>
      <w:r w:rsidR="00BB4F35" w:rsidRPr="00761A5F">
        <w:rPr>
          <w:sz w:val="24"/>
          <w:szCs w:val="24"/>
        </w:rPr>
        <w:t>iguales (Pozueco</w:t>
      </w:r>
      <w:r w:rsidR="00441442">
        <w:rPr>
          <w:sz w:val="24"/>
          <w:szCs w:val="24"/>
        </w:rPr>
        <w:t>-</w:t>
      </w:r>
      <w:r w:rsidR="00BB4F35" w:rsidRPr="00761A5F">
        <w:rPr>
          <w:sz w:val="24"/>
          <w:szCs w:val="24"/>
        </w:rPr>
        <w:t xml:space="preserve">Romero, </w:t>
      </w:r>
      <w:r w:rsidR="00441442" w:rsidRPr="00761A5F">
        <w:rPr>
          <w:sz w:val="24"/>
          <w:szCs w:val="24"/>
        </w:rPr>
        <w:t>Romero</w:t>
      </w:r>
      <w:r w:rsidR="00441442">
        <w:rPr>
          <w:sz w:val="24"/>
          <w:szCs w:val="24"/>
        </w:rPr>
        <w:t>-</w:t>
      </w:r>
      <w:r w:rsidR="00BB4F35" w:rsidRPr="00761A5F">
        <w:rPr>
          <w:sz w:val="24"/>
          <w:szCs w:val="24"/>
        </w:rPr>
        <w:t xml:space="preserve">Guillena, y </w:t>
      </w:r>
      <w:r w:rsidR="00441442" w:rsidRPr="00761A5F">
        <w:rPr>
          <w:sz w:val="24"/>
          <w:szCs w:val="24"/>
        </w:rPr>
        <w:t>Casas</w:t>
      </w:r>
      <w:r w:rsidR="00441442">
        <w:rPr>
          <w:sz w:val="24"/>
          <w:szCs w:val="24"/>
        </w:rPr>
        <w:t>-</w:t>
      </w:r>
      <w:r w:rsidR="00BB4F35" w:rsidRPr="00761A5F">
        <w:rPr>
          <w:sz w:val="24"/>
          <w:szCs w:val="24"/>
        </w:rPr>
        <w:t>Barquero, 2011).</w:t>
      </w:r>
    </w:p>
    <w:p w14:paraId="67B931A4" w14:textId="1070AAC1" w:rsidR="004B70E2" w:rsidRDefault="004B70E2">
      <w:pPr>
        <w:spacing w:line="360" w:lineRule="auto"/>
        <w:ind w:firstLine="708"/>
        <w:jc w:val="both"/>
        <w:rPr>
          <w:sz w:val="24"/>
          <w:szCs w:val="24"/>
        </w:rPr>
      </w:pPr>
      <w:r w:rsidRPr="00761A5F">
        <w:rPr>
          <w:sz w:val="24"/>
          <w:szCs w:val="24"/>
        </w:rPr>
        <w:t>Tras los anteriores planteamientos, cabe preguntarse entonces ¿cómo es un psicópata? Las principales características de los individuos etiquetados como psicópatas han sido estudiados</w:t>
      </w:r>
      <w:r w:rsidR="00053C5B">
        <w:rPr>
          <w:sz w:val="24"/>
          <w:szCs w:val="24"/>
        </w:rPr>
        <w:t xml:space="preserve"> principalmente</w:t>
      </w:r>
      <w:r w:rsidRPr="00761A5F">
        <w:rPr>
          <w:sz w:val="24"/>
          <w:szCs w:val="24"/>
        </w:rPr>
        <w:t xml:space="preserve"> desde el ámbito de la psicología forense.</w:t>
      </w:r>
      <w:r w:rsidR="00647F1E" w:rsidRPr="00761A5F">
        <w:rPr>
          <w:sz w:val="24"/>
          <w:szCs w:val="24"/>
        </w:rPr>
        <w:t xml:space="preserve"> En la psicopatía se pueden distinguir </w:t>
      </w:r>
      <w:r w:rsidR="00285608">
        <w:rPr>
          <w:sz w:val="24"/>
          <w:szCs w:val="24"/>
        </w:rPr>
        <w:t>cuatro</w:t>
      </w:r>
      <w:r w:rsidR="00285608" w:rsidRPr="00761A5F">
        <w:rPr>
          <w:sz w:val="24"/>
          <w:szCs w:val="24"/>
        </w:rPr>
        <w:t xml:space="preserve"> </w:t>
      </w:r>
      <w:r w:rsidR="00647F1E" w:rsidRPr="00761A5F">
        <w:rPr>
          <w:sz w:val="24"/>
          <w:szCs w:val="24"/>
        </w:rPr>
        <w:t xml:space="preserve">esferas claramente </w:t>
      </w:r>
      <w:r w:rsidR="00F00073" w:rsidRPr="00761A5F">
        <w:rPr>
          <w:sz w:val="24"/>
          <w:szCs w:val="24"/>
        </w:rPr>
        <w:t xml:space="preserve">diferenciadas: </w:t>
      </w:r>
      <w:r w:rsidR="00285608">
        <w:rPr>
          <w:sz w:val="24"/>
          <w:szCs w:val="24"/>
        </w:rPr>
        <w:t xml:space="preserve">cognitiva, </w:t>
      </w:r>
      <w:r w:rsidR="00232AE9" w:rsidRPr="00761A5F">
        <w:rPr>
          <w:sz w:val="24"/>
          <w:szCs w:val="24"/>
        </w:rPr>
        <w:t>conductual</w:t>
      </w:r>
      <w:r w:rsidR="00F00073" w:rsidRPr="00761A5F">
        <w:rPr>
          <w:sz w:val="24"/>
          <w:szCs w:val="24"/>
        </w:rPr>
        <w:t>, afectiva e interpersonal (Dujo y Horcajo-Gil, 2017</w:t>
      </w:r>
      <w:r w:rsidR="00285608">
        <w:rPr>
          <w:sz w:val="24"/>
          <w:szCs w:val="24"/>
        </w:rPr>
        <w:t xml:space="preserve">; </w:t>
      </w:r>
      <w:r w:rsidR="0093245E" w:rsidRPr="007A7C6B">
        <w:rPr>
          <w:sz w:val="24"/>
          <w:szCs w:val="24"/>
        </w:rPr>
        <w:t>Muñoz</w:t>
      </w:r>
      <w:r w:rsidR="0093245E">
        <w:rPr>
          <w:sz w:val="24"/>
          <w:szCs w:val="24"/>
        </w:rPr>
        <w:t>-</w:t>
      </w:r>
      <w:r w:rsidR="0093245E" w:rsidRPr="007A7C6B">
        <w:rPr>
          <w:sz w:val="24"/>
          <w:szCs w:val="24"/>
        </w:rPr>
        <w:t>Vicente</w:t>
      </w:r>
      <w:r w:rsidR="00285608">
        <w:rPr>
          <w:sz w:val="24"/>
          <w:szCs w:val="24"/>
        </w:rPr>
        <w:t>, 2011</w:t>
      </w:r>
      <w:r w:rsidR="00F00073" w:rsidRPr="00761A5F">
        <w:rPr>
          <w:sz w:val="24"/>
          <w:szCs w:val="24"/>
        </w:rPr>
        <w:t>).</w:t>
      </w:r>
    </w:p>
    <w:p w14:paraId="2C12A914" w14:textId="1733FA49" w:rsidR="00D35427" w:rsidRPr="0029175D" w:rsidRDefault="00285608" w:rsidP="00667499">
      <w:pPr>
        <w:spacing w:line="360" w:lineRule="auto"/>
        <w:ind w:firstLine="708"/>
        <w:jc w:val="both"/>
        <w:rPr>
          <w:sz w:val="24"/>
          <w:szCs w:val="24"/>
        </w:rPr>
      </w:pPr>
      <w:r>
        <w:rPr>
          <w:sz w:val="24"/>
          <w:szCs w:val="24"/>
        </w:rPr>
        <w:t xml:space="preserve">En la </w:t>
      </w:r>
      <w:r w:rsidRPr="0029175D">
        <w:rPr>
          <w:b/>
          <w:bCs/>
          <w:sz w:val="24"/>
          <w:szCs w:val="24"/>
        </w:rPr>
        <w:t>esfera cognitiva</w:t>
      </w:r>
      <w:r>
        <w:rPr>
          <w:sz w:val="24"/>
          <w:szCs w:val="24"/>
        </w:rPr>
        <w:t xml:space="preserve"> se han detectado que los esquemas mentales de este tipo de sujetos se caracterizan por </w:t>
      </w:r>
      <w:r w:rsidR="00151840">
        <w:rPr>
          <w:sz w:val="24"/>
          <w:szCs w:val="24"/>
        </w:rPr>
        <w:t>egocentrismo reflejado en la búsqueda de su propio placer</w:t>
      </w:r>
      <w:r w:rsidR="00D36702">
        <w:rPr>
          <w:sz w:val="24"/>
          <w:szCs w:val="24"/>
        </w:rPr>
        <w:t xml:space="preserve"> y la configuración un locus de control externo </w:t>
      </w:r>
      <w:r w:rsidR="001E5D4C">
        <w:rPr>
          <w:sz w:val="24"/>
          <w:szCs w:val="24"/>
        </w:rPr>
        <w:t>respecto a las cr</w:t>
      </w:r>
      <w:r w:rsidR="00053C5B">
        <w:rPr>
          <w:sz w:val="24"/>
          <w:szCs w:val="24"/>
        </w:rPr>
        <w:t>í</w:t>
      </w:r>
      <w:r w:rsidR="001E5D4C">
        <w:rPr>
          <w:sz w:val="24"/>
          <w:szCs w:val="24"/>
        </w:rPr>
        <w:t>ticas y una percepción hostil del medio por lo que sus interacciones se pueden caracterizar por la hostilidad</w:t>
      </w:r>
      <w:r w:rsidR="00D35427">
        <w:rPr>
          <w:sz w:val="24"/>
          <w:szCs w:val="24"/>
        </w:rPr>
        <w:t xml:space="preserve"> (</w:t>
      </w:r>
      <w:r w:rsidR="0093245E" w:rsidRPr="007A7C6B">
        <w:rPr>
          <w:sz w:val="24"/>
          <w:szCs w:val="24"/>
        </w:rPr>
        <w:t>Muñoz</w:t>
      </w:r>
      <w:r w:rsidR="0093245E">
        <w:rPr>
          <w:sz w:val="24"/>
          <w:szCs w:val="24"/>
        </w:rPr>
        <w:t>-</w:t>
      </w:r>
      <w:r w:rsidR="0093245E" w:rsidRPr="007A7C6B">
        <w:rPr>
          <w:sz w:val="24"/>
          <w:szCs w:val="24"/>
        </w:rPr>
        <w:t>Vicente</w:t>
      </w:r>
      <w:r w:rsidR="00D35427">
        <w:rPr>
          <w:sz w:val="24"/>
          <w:szCs w:val="24"/>
        </w:rPr>
        <w:t>, 2011</w:t>
      </w:r>
      <w:r w:rsidR="00D35427" w:rsidRPr="00761A5F">
        <w:rPr>
          <w:sz w:val="24"/>
          <w:szCs w:val="24"/>
        </w:rPr>
        <w:t>)</w:t>
      </w:r>
    </w:p>
    <w:p w14:paraId="58006EE0" w14:textId="32A552AB" w:rsidR="00AA7ADF" w:rsidRPr="00761A5F" w:rsidRDefault="001E5C41">
      <w:pPr>
        <w:spacing w:line="360" w:lineRule="auto"/>
        <w:ind w:firstLine="708"/>
        <w:jc w:val="both"/>
        <w:rPr>
          <w:sz w:val="24"/>
          <w:szCs w:val="24"/>
        </w:rPr>
      </w:pPr>
      <w:r w:rsidRPr="00761A5F">
        <w:rPr>
          <w:sz w:val="24"/>
          <w:szCs w:val="24"/>
        </w:rPr>
        <w:t xml:space="preserve">En la </w:t>
      </w:r>
      <w:r w:rsidRPr="00761A5F">
        <w:rPr>
          <w:b/>
          <w:bCs/>
          <w:sz w:val="24"/>
          <w:szCs w:val="24"/>
        </w:rPr>
        <w:t xml:space="preserve">esfera </w:t>
      </w:r>
      <w:r w:rsidR="00232AE9" w:rsidRPr="00761A5F">
        <w:rPr>
          <w:b/>
          <w:bCs/>
          <w:sz w:val="24"/>
          <w:szCs w:val="24"/>
        </w:rPr>
        <w:t>conductual</w:t>
      </w:r>
      <w:r w:rsidRPr="00761A5F">
        <w:rPr>
          <w:sz w:val="24"/>
          <w:szCs w:val="24"/>
        </w:rPr>
        <w:t xml:space="preserve">, estos individuos </w:t>
      </w:r>
      <w:r w:rsidR="00AA7ADF" w:rsidRPr="00761A5F">
        <w:rPr>
          <w:sz w:val="24"/>
          <w:szCs w:val="24"/>
        </w:rPr>
        <w:t xml:space="preserve">se caracterizan por la falta de </w:t>
      </w:r>
      <w:r w:rsidR="00BC7E36" w:rsidRPr="00761A5F">
        <w:rPr>
          <w:sz w:val="24"/>
          <w:szCs w:val="24"/>
        </w:rPr>
        <w:t>responsabilidad</w:t>
      </w:r>
      <w:r w:rsidR="00AA7ADF" w:rsidRPr="00761A5F">
        <w:rPr>
          <w:sz w:val="24"/>
          <w:szCs w:val="24"/>
        </w:rPr>
        <w:t xml:space="preserve"> en sus actos, </w:t>
      </w:r>
      <w:r w:rsidR="00BC7E36" w:rsidRPr="00761A5F">
        <w:rPr>
          <w:sz w:val="24"/>
          <w:szCs w:val="24"/>
        </w:rPr>
        <w:t>impulsividad</w:t>
      </w:r>
      <w:r w:rsidR="00656441" w:rsidRPr="00761A5F">
        <w:rPr>
          <w:sz w:val="24"/>
          <w:szCs w:val="24"/>
        </w:rPr>
        <w:t>,</w:t>
      </w:r>
      <w:r w:rsidR="00AA7ADF" w:rsidRPr="00761A5F">
        <w:rPr>
          <w:sz w:val="24"/>
          <w:szCs w:val="24"/>
        </w:rPr>
        <w:t xml:space="preserve"> búsqueda de sensaciones</w:t>
      </w:r>
      <w:r w:rsidR="00656441" w:rsidRPr="00761A5F">
        <w:rPr>
          <w:sz w:val="24"/>
          <w:szCs w:val="24"/>
        </w:rPr>
        <w:t xml:space="preserve">, estilo de vida parasitario y falta de metas realistas a largo plazo. </w:t>
      </w:r>
      <w:r w:rsidR="00BC7E36" w:rsidRPr="00761A5F">
        <w:rPr>
          <w:sz w:val="24"/>
          <w:szCs w:val="24"/>
        </w:rPr>
        <w:t xml:space="preserve">Como hemos mencionado anteriormente, no todos los </w:t>
      </w:r>
      <w:r w:rsidR="00387B53" w:rsidRPr="00761A5F">
        <w:rPr>
          <w:sz w:val="24"/>
          <w:szCs w:val="24"/>
        </w:rPr>
        <w:t>psicópatas</w:t>
      </w:r>
      <w:r w:rsidR="00BC7E36" w:rsidRPr="00761A5F">
        <w:rPr>
          <w:sz w:val="24"/>
          <w:szCs w:val="24"/>
        </w:rPr>
        <w:t xml:space="preserve"> cometen actos delictivos, pero </w:t>
      </w:r>
      <w:r w:rsidR="00387B53" w:rsidRPr="00761A5F">
        <w:rPr>
          <w:sz w:val="24"/>
          <w:szCs w:val="24"/>
        </w:rPr>
        <w:t xml:space="preserve">la mayor de los </w:t>
      </w:r>
      <w:r w:rsidR="00387B53" w:rsidRPr="00761A5F">
        <w:rPr>
          <w:sz w:val="24"/>
          <w:szCs w:val="24"/>
        </w:rPr>
        <w:lastRenderedPageBreak/>
        <w:t>estudios realizados ha</w:t>
      </w:r>
      <w:r w:rsidR="00BC7E36" w:rsidRPr="00761A5F">
        <w:rPr>
          <w:sz w:val="24"/>
          <w:szCs w:val="24"/>
        </w:rPr>
        <w:t xml:space="preserve"> sido en población penitenciaria, por lo que Hare incluye en el Psychopathy Checklist-Revised (PCL-R) una serie de ítems relacionados con el ámbito criminal como la transgresión de normas </w:t>
      </w:r>
      <w:r w:rsidR="00656441" w:rsidRPr="00761A5F">
        <w:rPr>
          <w:sz w:val="24"/>
          <w:szCs w:val="24"/>
        </w:rPr>
        <w:t>sociales</w:t>
      </w:r>
      <w:r w:rsidR="00387B53" w:rsidRPr="00761A5F">
        <w:rPr>
          <w:sz w:val="24"/>
          <w:szCs w:val="24"/>
        </w:rPr>
        <w:t xml:space="preserve">, delincuencia juvenil, </w:t>
      </w:r>
      <w:r w:rsidR="00BC64D0" w:rsidRPr="00761A5F">
        <w:rPr>
          <w:sz w:val="24"/>
          <w:szCs w:val="24"/>
        </w:rPr>
        <w:t>renovación</w:t>
      </w:r>
      <w:r w:rsidR="00387B53" w:rsidRPr="00761A5F">
        <w:rPr>
          <w:sz w:val="24"/>
          <w:szCs w:val="24"/>
        </w:rPr>
        <w:t xml:space="preserve"> de la libertad condicional y versatilidad criminal </w:t>
      </w:r>
      <w:r w:rsidR="00656441" w:rsidRPr="00761A5F">
        <w:rPr>
          <w:sz w:val="24"/>
          <w:szCs w:val="24"/>
        </w:rPr>
        <w:t xml:space="preserve"> (</w:t>
      </w:r>
      <w:r w:rsidR="00387B53" w:rsidRPr="00761A5F">
        <w:rPr>
          <w:sz w:val="24"/>
          <w:szCs w:val="24"/>
        </w:rPr>
        <w:t xml:space="preserve">Ortega- Escobar y Alcázar-Córcoles, 2019; </w:t>
      </w:r>
      <w:r w:rsidR="00441442" w:rsidRPr="00761A5F">
        <w:rPr>
          <w:sz w:val="24"/>
          <w:szCs w:val="24"/>
        </w:rPr>
        <w:t>Pozueco</w:t>
      </w:r>
      <w:r w:rsidR="00441442">
        <w:rPr>
          <w:sz w:val="24"/>
          <w:szCs w:val="24"/>
        </w:rPr>
        <w:t>-</w:t>
      </w:r>
      <w:r w:rsidR="00656441" w:rsidRPr="00761A5F">
        <w:rPr>
          <w:sz w:val="24"/>
          <w:szCs w:val="24"/>
        </w:rPr>
        <w:t xml:space="preserve">Romero et. al, </w:t>
      </w:r>
      <w:r w:rsidR="00441442" w:rsidRPr="00761A5F">
        <w:rPr>
          <w:sz w:val="24"/>
          <w:szCs w:val="24"/>
        </w:rPr>
        <w:t>201</w:t>
      </w:r>
      <w:r w:rsidR="00441442">
        <w:rPr>
          <w:sz w:val="24"/>
          <w:szCs w:val="24"/>
        </w:rPr>
        <w:t>6</w:t>
      </w:r>
      <w:r w:rsidR="00656441" w:rsidRPr="00761A5F">
        <w:rPr>
          <w:sz w:val="24"/>
          <w:szCs w:val="24"/>
        </w:rPr>
        <w:t>).</w:t>
      </w:r>
    </w:p>
    <w:p w14:paraId="2C344DE5" w14:textId="7696324F" w:rsidR="007F3C4B" w:rsidRPr="00761A5F" w:rsidRDefault="007F3C4B">
      <w:pPr>
        <w:spacing w:line="360" w:lineRule="auto"/>
        <w:ind w:firstLine="708"/>
        <w:jc w:val="both"/>
        <w:rPr>
          <w:sz w:val="24"/>
          <w:szCs w:val="24"/>
        </w:rPr>
      </w:pPr>
      <w:r w:rsidRPr="00761A5F">
        <w:rPr>
          <w:sz w:val="24"/>
          <w:szCs w:val="24"/>
        </w:rPr>
        <w:t xml:space="preserve">En cuanto a la </w:t>
      </w:r>
      <w:r w:rsidRPr="00761A5F">
        <w:rPr>
          <w:b/>
          <w:bCs/>
          <w:sz w:val="24"/>
          <w:szCs w:val="24"/>
        </w:rPr>
        <w:t>esfera afectiva</w:t>
      </w:r>
      <w:r w:rsidRPr="00761A5F">
        <w:rPr>
          <w:sz w:val="24"/>
          <w:szCs w:val="24"/>
        </w:rPr>
        <w:t>, Dawel, O’Kearney, McKone, y Palermo (2012)</w:t>
      </w:r>
      <w:r w:rsidR="00476888" w:rsidRPr="00761A5F">
        <w:rPr>
          <w:sz w:val="24"/>
          <w:szCs w:val="24"/>
        </w:rPr>
        <w:t xml:space="preserve"> realizaron un </w:t>
      </w:r>
      <w:r w:rsidR="00BB4F35" w:rsidRPr="00761A5F">
        <w:rPr>
          <w:sz w:val="24"/>
          <w:szCs w:val="24"/>
        </w:rPr>
        <w:t>metaanálisis</w:t>
      </w:r>
      <w:r w:rsidR="00476888" w:rsidRPr="00761A5F">
        <w:rPr>
          <w:sz w:val="24"/>
          <w:szCs w:val="24"/>
        </w:rPr>
        <w:t xml:space="preserve"> </w:t>
      </w:r>
      <w:r w:rsidR="00BB4F35" w:rsidRPr="00761A5F">
        <w:rPr>
          <w:sz w:val="24"/>
          <w:szCs w:val="24"/>
        </w:rPr>
        <w:t xml:space="preserve">en el que indicaron que los </w:t>
      </w:r>
      <w:r w:rsidR="00D814A0" w:rsidRPr="00761A5F">
        <w:rPr>
          <w:sz w:val="24"/>
          <w:szCs w:val="24"/>
        </w:rPr>
        <w:t>psicópatas</w:t>
      </w:r>
      <w:r w:rsidR="00BB4F35" w:rsidRPr="00761A5F">
        <w:rPr>
          <w:sz w:val="24"/>
          <w:szCs w:val="24"/>
        </w:rPr>
        <w:t xml:space="preserve"> mostraban </w:t>
      </w:r>
      <w:r w:rsidR="00D814A0" w:rsidRPr="00761A5F">
        <w:rPr>
          <w:sz w:val="24"/>
          <w:szCs w:val="24"/>
        </w:rPr>
        <w:t>déficits</w:t>
      </w:r>
      <w:r w:rsidR="00BB4F35" w:rsidRPr="00761A5F">
        <w:rPr>
          <w:sz w:val="24"/>
          <w:szCs w:val="24"/>
        </w:rPr>
        <w:t xml:space="preserve"> significativos </w:t>
      </w:r>
      <w:r w:rsidR="00F546F4" w:rsidRPr="00761A5F">
        <w:rPr>
          <w:sz w:val="24"/>
          <w:szCs w:val="24"/>
        </w:rPr>
        <w:t xml:space="preserve">en </w:t>
      </w:r>
      <w:r w:rsidR="00845946" w:rsidRPr="00761A5F">
        <w:rPr>
          <w:sz w:val="24"/>
          <w:szCs w:val="24"/>
        </w:rPr>
        <w:t xml:space="preserve">el reconocimiento de </w:t>
      </w:r>
      <w:r w:rsidR="00F546F4" w:rsidRPr="00761A5F">
        <w:rPr>
          <w:sz w:val="24"/>
          <w:szCs w:val="24"/>
        </w:rPr>
        <w:t xml:space="preserve">las emociones de ira, disgusto, miedo, felicidad y </w:t>
      </w:r>
      <w:r w:rsidR="00D814A0" w:rsidRPr="00761A5F">
        <w:rPr>
          <w:sz w:val="24"/>
          <w:szCs w:val="24"/>
        </w:rPr>
        <w:t>sorpresa</w:t>
      </w:r>
      <w:r w:rsidR="00F546F4" w:rsidRPr="00761A5F">
        <w:rPr>
          <w:sz w:val="24"/>
          <w:szCs w:val="24"/>
        </w:rPr>
        <w:t>, siendo la más deficitaria la del miedo</w:t>
      </w:r>
      <w:r w:rsidR="00DD7CA3">
        <w:rPr>
          <w:sz w:val="24"/>
          <w:szCs w:val="24"/>
        </w:rPr>
        <w:t>, lo que supondría la existencia de falta de empatía (</w:t>
      </w:r>
      <w:r w:rsidR="00A84A97" w:rsidRPr="007A7C6B">
        <w:rPr>
          <w:sz w:val="24"/>
          <w:szCs w:val="24"/>
        </w:rPr>
        <w:t>Muñoz</w:t>
      </w:r>
      <w:r w:rsidR="00A84A97">
        <w:rPr>
          <w:sz w:val="24"/>
          <w:szCs w:val="24"/>
        </w:rPr>
        <w:t>-</w:t>
      </w:r>
      <w:r w:rsidR="00A84A97" w:rsidRPr="007A7C6B">
        <w:rPr>
          <w:sz w:val="24"/>
          <w:szCs w:val="24"/>
        </w:rPr>
        <w:t>Vicente</w:t>
      </w:r>
      <w:r w:rsidR="00DD7CA3">
        <w:rPr>
          <w:sz w:val="24"/>
          <w:szCs w:val="24"/>
        </w:rPr>
        <w:t>, 2011)</w:t>
      </w:r>
      <w:r w:rsidR="00F546F4" w:rsidRPr="00761A5F">
        <w:rPr>
          <w:sz w:val="24"/>
          <w:szCs w:val="24"/>
        </w:rPr>
        <w:t xml:space="preserve">. </w:t>
      </w:r>
      <w:r w:rsidR="00845946" w:rsidRPr="00761A5F">
        <w:rPr>
          <w:sz w:val="24"/>
          <w:szCs w:val="24"/>
        </w:rPr>
        <w:t xml:space="preserve">Estos mismos autores manifestaban que los sujetos presentaban dificultades en el reconocimiento y en la experiencia subjetiva de esta </w:t>
      </w:r>
      <w:r w:rsidR="00D12240" w:rsidRPr="00761A5F">
        <w:rPr>
          <w:sz w:val="24"/>
          <w:szCs w:val="24"/>
        </w:rPr>
        <w:t>última</w:t>
      </w:r>
      <w:r w:rsidR="00845946" w:rsidRPr="00761A5F">
        <w:rPr>
          <w:sz w:val="24"/>
          <w:szCs w:val="24"/>
        </w:rPr>
        <w:t xml:space="preserve"> </w:t>
      </w:r>
      <w:r w:rsidR="00D12240" w:rsidRPr="00761A5F">
        <w:rPr>
          <w:sz w:val="24"/>
          <w:szCs w:val="24"/>
        </w:rPr>
        <w:t>emoción</w:t>
      </w:r>
      <w:r w:rsidR="007135D1" w:rsidRPr="00761A5F">
        <w:rPr>
          <w:sz w:val="24"/>
          <w:szCs w:val="24"/>
        </w:rPr>
        <w:t>, pero si parecen presentar emociones como la felicidad, la sorpresa o el disgusto (</w:t>
      </w:r>
      <w:r w:rsidR="00E313DB" w:rsidRPr="00761A5F">
        <w:rPr>
          <w:sz w:val="24"/>
          <w:szCs w:val="24"/>
        </w:rPr>
        <w:t>Ortega- Escobar y Alcázar-Córcoles, 2019)</w:t>
      </w:r>
      <w:r w:rsidR="00854CC5" w:rsidRPr="00761A5F">
        <w:rPr>
          <w:sz w:val="24"/>
          <w:szCs w:val="24"/>
        </w:rPr>
        <w:t>. Otro aspecto por el que se caracterizan en esta esfera es el bajo condicionamiento al castigo</w:t>
      </w:r>
      <w:r w:rsidR="00DD7CA3">
        <w:rPr>
          <w:sz w:val="24"/>
          <w:szCs w:val="24"/>
        </w:rPr>
        <w:t xml:space="preserve"> </w:t>
      </w:r>
      <w:r w:rsidR="00854CC5" w:rsidRPr="00761A5F">
        <w:rPr>
          <w:sz w:val="24"/>
          <w:szCs w:val="24"/>
        </w:rPr>
        <w:t>(Dujo y Horcajo-Gil, 2017).</w:t>
      </w:r>
      <w:r w:rsidR="00DD7CA3">
        <w:rPr>
          <w:sz w:val="24"/>
          <w:szCs w:val="24"/>
        </w:rPr>
        <w:t xml:space="preserve"> En cuanto a la ira, en los sujetos </w:t>
      </w:r>
      <w:r w:rsidR="002B788B">
        <w:rPr>
          <w:sz w:val="24"/>
          <w:szCs w:val="24"/>
        </w:rPr>
        <w:t>psicópatas</w:t>
      </w:r>
      <w:r w:rsidR="00DD7CA3">
        <w:rPr>
          <w:sz w:val="24"/>
          <w:szCs w:val="24"/>
        </w:rPr>
        <w:t xml:space="preserve"> aparecen dos modos de expresarlo</w:t>
      </w:r>
      <w:r w:rsidR="002B788B">
        <w:rPr>
          <w:sz w:val="24"/>
          <w:szCs w:val="24"/>
        </w:rPr>
        <w:t>, una de forma visceral como reacción a ataques directos y otra instrumental, en la cual su activación fisiológica se encuentra normalizada (</w:t>
      </w:r>
      <w:r w:rsidR="00A84A97" w:rsidRPr="007A7C6B">
        <w:rPr>
          <w:sz w:val="24"/>
          <w:szCs w:val="24"/>
        </w:rPr>
        <w:t>Muñoz</w:t>
      </w:r>
      <w:r w:rsidR="00A84A97">
        <w:rPr>
          <w:sz w:val="24"/>
          <w:szCs w:val="24"/>
        </w:rPr>
        <w:t>-</w:t>
      </w:r>
      <w:r w:rsidR="00A84A97" w:rsidRPr="007A7C6B">
        <w:rPr>
          <w:sz w:val="24"/>
          <w:szCs w:val="24"/>
        </w:rPr>
        <w:t>Vicente</w:t>
      </w:r>
      <w:r w:rsidR="002B788B">
        <w:rPr>
          <w:sz w:val="24"/>
          <w:szCs w:val="24"/>
        </w:rPr>
        <w:t>, 2011)</w:t>
      </w:r>
      <w:r w:rsidR="002B788B" w:rsidRPr="00761A5F">
        <w:rPr>
          <w:sz w:val="24"/>
          <w:szCs w:val="24"/>
        </w:rPr>
        <w:t>.</w:t>
      </w:r>
    </w:p>
    <w:p w14:paraId="3F1D29CF" w14:textId="77777777" w:rsidR="009A0B65" w:rsidRPr="009A0B65" w:rsidRDefault="009B40EF" w:rsidP="009A0B65">
      <w:pPr>
        <w:pStyle w:val="Descripcin"/>
        <w:keepNext/>
        <w:spacing w:line="360" w:lineRule="auto"/>
        <w:jc w:val="both"/>
        <w:rPr>
          <w:i w:val="0"/>
          <w:iCs w:val="0"/>
          <w:sz w:val="24"/>
          <w:szCs w:val="24"/>
        </w:rPr>
      </w:pPr>
      <w:r w:rsidRPr="009A0B65">
        <w:rPr>
          <w:i w:val="0"/>
          <w:iCs w:val="0"/>
          <w:sz w:val="24"/>
          <w:szCs w:val="24"/>
        </w:rPr>
        <w:t xml:space="preserve">Por último, en la esfera </w:t>
      </w:r>
      <w:r w:rsidRPr="009A0B65">
        <w:rPr>
          <w:b/>
          <w:bCs/>
          <w:i w:val="0"/>
          <w:iCs w:val="0"/>
          <w:sz w:val="24"/>
          <w:szCs w:val="24"/>
        </w:rPr>
        <w:t>interpersonal</w:t>
      </w:r>
      <w:r w:rsidRPr="009A0B65">
        <w:rPr>
          <w:i w:val="0"/>
          <w:iCs w:val="0"/>
          <w:sz w:val="24"/>
          <w:szCs w:val="24"/>
        </w:rPr>
        <w:t xml:space="preserve">, </w:t>
      </w:r>
      <w:r w:rsidR="00246FC0" w:rsidRPr="009A0B65">
        <w:rPr>
          <w:i w:val="0"/>
          <w:iCs w:val="0"/>
          <w:sz w:val="24"/>
          <w:szCs w:val="24"/>
        </w:rPr>
        <w:t>Robert Hare plante</w:t>
      </w:r>
      <w:r w:rsidR="007E14BF" w:rsidRPr="009A0B65">
        <w:rPr>
          <w:i w:val="0"/>
          <w:iCs w:val="0"/>
          <w:sz w:val="24"/>
          <w:szCs w:val="24"/>
        </w:rPr>
        <w:t>a</w:t>
      </w:r>
      <w:r w:rsidR="001E5C41" w:rsidRPr="009A0B65">
        <w:rPr>
          <w:i w:val="0"/>
          <w:iCs w:val="0"/>
          <w:sz w:val="24"/>
          <w:szCs w:val="24"/>
        </w:rPr>
        <w:t xml:space="preserve"> en el </w:t>
      </w:r>
      <w:r w:rsidR="00BC7E36" w:rsidRPr="009A0B65">
        <w:rPr>
          <w:i w:val="0"/>
          <w:iCs w:val="0"/>
          <w:sz w:val="24"/>
          <w:szCs w:val="24"/>
        </w:rPr>
        <w:t xml:space="preserve">PCL-R </w:t>
      </w:r>
      <w:r w:rsidR="00246FC0" w:rsidRPr="009A0B65">
        <w:rPr>
          <w:i w:val="0"/>
          <w:iCs w:val="0"/>
          <w:sz w:val="24"/>
          <w:szCs w:val="24"/>
        </w:rPr>
        <w:t>que estos sujetos se caracterizan por “encanto superficial, sentido grandioso de la propia valía, mentira patológica, estafador/manipulador” (Ortega- Escobar y Alcázar-Córcoles, 2019, p.77)</w:t>
      </w:r>
      <w:r w:rsidR="007D3C30" w:rsidRPr="009A0B65">
        <w:rPr>
          <w:i w:val="0"/>
          <w:iCs w:val="0"/>
          <w:sz w:val="24"/>
          <w:szCs w:val="24"/>
        </w:rPr>
        <w:t>.</w:t>
      </w:r>
    </w:p>
    <w:p w14:paraId="42F36B07" w14:textId="77777777" w:rsidR="00D00A40" w:rsidRDefault="00D00A40" w:rsidP="00421F5F">
      <w:pPr>
        <w:pStyle w:val="Descripcin"/>
        <w:keepNext/>
        <w:jc w:val="both"/>
        <w:rPr>
          <w:b/>
          <w:bCs/>
          <w:i w:val="0"/>
          <w:iCs w:val="0"/>
          <w:sz w:val="24"/>
          <w:szCs w:val="24"/>
        </w:rPr>
      </w:pPr>
    </w:p>
    <w:p w14:paraId="29F57020" w14:textId="772E36A6" w:rsidR="00421F5F" w:rsidRPr="009A0B65" w:rsidRDefault="00E336E6" w:rsidP="00421F5F">
      <w:pPr>
        <w:pStyle w:val="Descripcin"/>
        <w:keepNext/>
        <w:jc w:val="both"/>
        <w:rPr>
          <w:sz w:val="24"/>
          <w:szCs w:val="24"/>
        </w:rPr>
      </w:pPr>
      <w:r w:rsidRPr="00421F5F">
        <w:rPr>
          <w:b/>
          <w:bCs/>
          <w:i w:val="0"/>
          <w:iCs w:val="0"/>
          <w:sz w:val="24"/>
          <w:szCs w:val="24"/>
        </w:rPr>
        <w:t xml:space="preserve">Tabla </w:t>
      </w:r>
      <w:r w:rsidR="004618AE" w:rsidRPr="00421F5F">
        <w:rPr>
          <w:b/>
          <w:bCs/>
          <w:i w:val="0"/>
          <w:iCs w:val="0"/>
          <w:sz w:val="24"/>
          <w:szCs w:val="24"/>
        </w:rPr>
        <w:fldChar w:fldCharType="begin"/>
      </w:r>
      <w:r w:rsidR="004618AE" w:rsidRPr="00421F5F">
        <w:rPr>
          <w:b/>
          <w:bCs/>
          <w:i w:val="0"/>
          <w:iCs w:val="0"/>
          <w:sz w:val="24"/>
          <w:szCs w:val="24"/>
        </w:rPr>
        <w:instrText xml:space="preserve"> SEQ Tabla \* ARABIC </w:instrText>
      </w:r>
      <w:r w:rsidR="004618AE" w:rsidRPr="00421F5F">
        <w:rPr>
          <w:b/>
          <w:bCs/>
          <w:i w:val="0"/>
          <w:iCs w:val="0"/>
          <w:sz w:val="24"/>
          <w:szCs w:val="24"/>
        </w:rPr>
        <w:fldChar w:fldCharType="separate"/>
      </w:r>
      <w:r w:rsidRPr="00421F5F">
        <w:rPr>
          <w:b/>
          <w:bCs/>
          <w:i w:val="0"/>
          <w:iCs w:val="0"/>
          <w:noProof/>
          <w:sz w:val="24"/>
          <w:szCs w:val="24"/>
        </w:rPr>
        <w:t>1</w:t>
      </w:r>
      <w:r w:rsidR="004618AE" w:rsidRPr="00421F5F">
        <w:rPr>
          <w:b/>
          <w:bCs/>
          <w:i w:val="0"/>
          <w:iCs w:val="0"/>
          <w:noProof/>
          <w:sz w:val="24"/>
          <w:szCs w:val="24"/>
        </w:rPr>
        <w:fldChar w:fldCharType="end"/>
      </w:r>
    </w:p>
    <w:p w14:paraId="4F4533ED" w14:textId="45D22580" w:rsidR="00E336E6" w:rsidRPr="00E66348" w:rsidRDefault="00E336E6" w:rsidP="00421F5F">
      <w:pPr>
        <w:pStyle w:val="Descripcin"/>
        <w:keepNext/>
        <w:jc w:val="both"/>
        <w:rPr>
          <w:sz w:val="24"/>
          <w:szCs w:val="24"/>
        </w:rPr>
      </w:pPr>
      <w:r w:rsidRPr="00E66348">
        <w:rPr>
          <w:sz w:val="24"/>
          <w:szCs w:val="24"/>
        </w:rPr>
        <w:t>Resumen esferas psicopatía</w:t>
      </w:r>
    </w:p>
    <w:tbl>
      <w:tblPr>
        <w:tblStyle w:val="Tablanormal2"/>
        <w:tblW w:w="5000" w:type="pct"/>
        <w:tblLook w:val="04A0" w:firstRow="1" w:lastRow="0" w:firstColumn="1" w:lastColumn="0" w:noHBand="0" w:noVBand="1"/>
      </w:tblPr>
      <w:tblGrid>
        <w:gridCol w:w="2093"/>
        <w:gridCol w:w="2094"/>
        <w:gridCol w:w="1941"/>
        <w:gridCol w:w="2376"/>
      </w:tblGrid>
      <w:tr w:rsidR="00D35427" w14:paraId="2718922F" w14:textId="77777777" w:rsidTr="002917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1" w:type="pct"/>
          </w:tcPr>
          <w:p w14:paraId="038FCFEE" w14:textId="0AA5F416" w:rsidR="00D35427" w:rsidRPr="00E66348" w:rsidRDefault="00D35427" w:rsidP="00E66348">
            <w:pPr>
              <w:spacing w:line="360" w:lineRule="auto"/>
              <w:jc w:val="center"/>
              <w:rPr>
                <w:sz w:val="20"/>
                <w:szCs w:val="20"/>
              </w:rPr>
            </w:pPr>
            <w:r w:rsidRPr="00E66348">
              <w:rPr>
                <w:sz w:val="20"/>
                <w:szCs w:val="20"/>
              </w:rPr>
              <w:t>Esfera cognitiva</w:t>
            </w:r>
          </w:p>
        </w:tc>
        <w:tc>
          <w:tcPr>
            <w:tcW w:w="1231" w:type="pct"/>
          </w:tcPr>
          <w:p w14:paraId="332A907B" w14:textId="3CC242F7" w:rsidR="00D35427" w:rsidRPr="00E66348" w:rsidRDefault="00D35427" w:rsidP="00E66348">
            <w:pPr>
              <w:spacing w:line="36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E66348">
              <w:rPr>
                <w:sz w:val="20"/>
                <w:szCs w:val="20"/>
              </w:rPr>
              <w:t>Esfera conductual</w:t>
            </w:r>
          </w:p>
        </w:tc>
        <w:tc>
          <w:tcPr>
            <w:tcW w:w="1141" w:type="pct"/>
          </w:tcPr>
          <w:p w14:paraId="02F59C93" w14:textId="72622A74" w:rsidR="00D35427" w:rsidRPr="00E66348" w:rsidRDefault="00D35427" w:rsidP="00E66348">
            <w:pPr>
              <w:spacing w:line="36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E66348">
              <w:rPr>
                <w:sz w:val="20"/>
                <w:szCs w:val="20"/>
              </w:rPr>
              <w:t>Esfera afectiva</w:t>
            </w:r>
          </w:p>
        </w:tc>
        <w:tc>
          <w:tcPr>
            <w:tcW w:w="1397" w:type="pct"/>
          </w:tcPr>
          <w:p w14:paraId="2384575F" w14:textId="1F48B5B0" w:rsidR="00D35427" w:rsidRPr="00E66348" w:rsidRDefault="00D35427" w:rsidP="00E66348">
            <w:pPr>
              <w:spacing w:line="36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E66348">
              <w:rPr>
                <w:sz w:val="20"/>
                <w:szCs w:val="20"/>
              </w:rPr>
              <w:t>Esfera interpersonal</w:t>
            </w:r>
          </w:p>
        </w:tc>
      </w:tr>
      <w:tr w:rsidR="00D35427" w14:paraId="723E83EB" w14:textId="77777777" w:rsidTr="002917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1" w:type="pct"/>
          </w:tcPr>
          <w:p w14:paraId="05F49D68" w14:textId="77777777" w:rsidR="00C25F9A" w:rsidRPr="00E66348" w:rsidRDefault="00C25F9A" w:rsidP="006032FE">
            <w:pPr>
              <w:spacing w:line="360" w:lineRule="auto"/>
              <w:jc w:val="both"/>
              <w:rPr>
                <w:b w:val="0"/>
                <w:bCs w:val="0"/>
                <w:sz w:val="20"/>
                <w:szCs w:val="20"/>
              </w:rPr>
            </w:pPr>
            <w:r w:rsidRPr="00E66348">
              <w:rPr>
                <w:b w:val="0"/>
                <w:bCs w:val="0"/>
                <w:sz w:val="20"/>
                <w:szCs w:val="20"/>
              </w:rPr>
              <w:t>E</w:t>
            </w:r>
            <w:r w:rsidR="00D35427" w:rsidRPr="00E66348">
              <w:rPr>
                <w:b w:val="0"/>
                <w:bCs w:val="0"/>
                <w:sz w:val="20"/>
                <w:szCs w:val="20"/>
              </w:rPr>
              <w:t xml:space="preserve">gocentrismo </w:t>
            </w:r>
          </w:p>
          <w:p w14:paraId="3AD151A6" w14:textId="77777777" w:rsidR="00C25F9A" w:rsidRPr="00E66348" w:rsidRDefault="00C25F9A" w:rsidP="006032FE">
            <w:pPr>
              <w:spacing w:line="360" w:lineRule="auto"/>
              <w:jc w:val="both"/>
              <w:rPr>
                <w:b w:val="0"/>
                <w:bCs w:val="0"/>
                <w:sz w:val="20"/>
                <w:szCs w:val="20"/>
              </w:rPr>
            </w:pPr>
            <w:r w:rsidRPr="00E66348">
              <w:rPr>
                <w:b w:val="0"/>
                <w:bCs w:val="0"/>
                <w:sz w:val="20"/>
                <w:szCs w:val="20"/>
              </w:rPr>
              <w:t>B</w:t>
            </w:r>
            <w:r w:rsidR="00D35427" w:rsidRPr="00E66348">
              <w:rPr>
                <w:b w:val="0"/>
                <w:bCs w:val="0"/>
                <w:sz w:val="20"/>
                <w:szCs w:val="20"/>
              </w:rPr>
              <w:t xml:space="preserve">úsqueda de su propio placer </w:t>
            </w:r>
          </w:p>
          <w:p w14:paraId="0733F935" w14:textId="77777777" w:rsidR="00C25F9A" w:rsidRPr="00E66348" w:rsidRDefault="00C25F9A" w:rsidP="006032FE">
            <w:pPr>
              <w:spacing w:line="360" w:lineRule="auto"/>
              <w:jc w:val="both"/>
              <w:rPr>
                <w:b w:val="0"/>
                <w:bCs w:val="0"/>
                <w:sz w:val="20"/>
                <w:szCs w:val="20"/>
              </w:rPr>
            </w:pPr>
            <w:r w:rsidRPr="00E66348">
              <w:rPr>
                <w:b w:val="0"/>
                <w:bCs w:val="0"/>
                <w:sz w:val="20"/>
                <w:szCs w:val="20"/>
              </w:rPr>
              <w:t>Locus d</w:t>
            </w:r>
            <w:r w:rsidR="00D35427" w:rsidRPr="00E66348">
              <w:rPr>
                <w:b w:val="0"/>
                <w:bCs w:val="0"/>
                <w:sz w:val="20"/>
                <w:szCs w:val="20"/>
              </w:rPr>
              <w:t xml:space="preserve">e control externo </w:t>
            </w:r>
          </w:p>
          <w:p w14:paraId="13CB67A9" w14:textId="5C9CCFD0" w:rsidR="00D35427" w:rsidRPr="00D62C88" w:rsidRDefault="00C25F9A" w:rsidP="006032FE">
            <w:pPr>
              <w:spacing w:line="360" w:lineRule="auto"/>
              <w:jc w:val="both"/>
              <w:rPr>
                <w:b w:val="0"/>
                <w:bCs w:val="0"/>
                <w:sz w:val="20"/>
                <w:szCs w:val="20"/>
              </w:rPr>
            </w:pPr>
            <w:r w:rsidRPr="00E66348">
              <w:rPr>
                <w:b w:val="0"/>
                <w:bCs w:val="0"/>
                <w:sz w:val="20"/>
                <w:szCs w:val="20"/>
              </w:rPr>
              <w:t>P</w:t>
            </w:r>
            <w:r w:rsidR="00D35427" w:rsidRPr="00E66348">
              <w:rPr>
                <w:b w:val="0"/>
                <w:bCs w:val="0"/>
                <w:sz w:val="20"/>
                <w:szCs w:val="20"/>
              </w:rPr>
              <w:t>ercepción hostil del medio</w:t>
            </w:r>
            <w:r w:rsidR="00D35427" w:rsidRPr="00D62C88">
              <w:rPr>
                <w:sz w:val="20"/>
                <w:szCs w:val="20"/>
              </w:rPr>
              <w:t xml:space="preserve"> </w:t>
            </w:r>
          </w:p>
        </w:tc>
        <w:tc>
          <w:tcPr>
            <w:tcW w:w="1231" w:type="pct"/>
          </w:tcPr>
          <w:p w14:paraId="324702D9" w14:textId="3F289AE7"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t>Impulsividad</w:t>
            </w:r>
          </w:p>
          <w:p w14:paraId="3247E882" w14:textId="77777777"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t>Búsqueda de sensaciones</w:t>
            </w:r>
          </w:p>
          <w:p w14:paraId="1503CD84" w14:textId="14990007"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t>Estilo de vida parasitario Falta de metas realistas a largo plazo</w:t>
            </w:r>
          </w:p>
          <w:p w14:paraId="3A1E0801" w14:textId="77777777"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t>Transgresión de normas sociales</w:t>
            </w:r>
          </w:p>
          <w:p w14:paraId="787B1D12" w14:textId="77777777"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lastRenderedPageBreak/>
              <w:t>Delincuencia juvenil</w:t>
            </w:r>
          </w:p>
          <w:p w14:paraId="33403055" w14:textId="77777777"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t xml:space="preserve">Renovación de la libertad condicional </w:t>
            </w:r>
          </w:p>
          <w:p w14:paraId="74ACE82B" w14:textId="7763DCAA"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t xml:space="preserve">Versatilidad criminal  </w:t>
            </w:r>
          </w:p>
        </w:tc>
        <w:tc>
          <w:tcPr>
            <w:tcW w:w="1141" w:type="pct"/>
          </w:tcPr>
          <w:p w14:paraId="628850A1" w14:textId="77777777" w:rsidR="00DD7CA3"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lastRenderedPageBreak/>
              <w:t>Déficits en el reconocimiento de emociones</w:t>
            </w:r>
          </w:p>
          <w:p w14:paraId="42C1EC09" w14:textId="554BC28D" w:rsidR="00D35427" w:rsidRPr="00D62C88" w:rsidRDefault="00DD7CA3"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t>Falta de empatía</w:t>
            </w:r>
            <w:r w:rsidR="00D35427" w:rsidRPr="00D62C88">
              <w:rPr>
                <w:sz w:val="20"/>
                <w:szCs w:val="20"/>
              </w:rPr>
              <w:t xml:space="preserve"> </w:t>
            </w:r>
          </w:p>
          <w:p w14:paraId="3A5E3D7F" w14:textId="394B3C77"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t xml:space="preserve">Bajo condicionamiento al castigo </w:t>
            </w:r>
          </w:p>
          <w:p w14:paraId="165B742E" w14:textId="52B05745" w:rsidR="00CD3141" w:rsidRPr="00D62C88" w:rsidRDefault="00CD3141"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t>Ira visceral e instrumental.</w:t>
            </w:r>
          </w:p>
          <w:p w14:paraId="2853A452" w14:textId="77777777"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color w:val="00B050"/>
                <w:sz w:val="20"/>
                <w:szCs w:val="20"/>
              </w:rPr>
            </w:pPr>
          </w:p>
        </w:tc>
        <w:tc>
          <w:tcPr>
            <w:tcW w:w="1397" w:type="pct"/>
          </w:tcPr>
          <w:p w14:paraId="55D95FF9" w14:textId="635EA89A"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lastRenderedPageBreak/>
              <w:t>Encanto superficial</w:t>
            </w:r>
          </w:p>
          <w:p w14:paraId="7400B8B5" w14:textId="7AABBE13"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t>Sentido grandioso de la propia valía,</w:t>
            </w:r>
          </w:p>
          <w:p w14:paraId="2BD3AA71" w14:textId="1D30805E" w:rsidR="00D35427" w:rsidRPr="00D62C88" w:rsidRDefault="00D35427" w:rsidP="006032FE">
            <w:pPr>
              <w:spacing w:line="360" w:lineRule="auto"/>
              <w:jc w:val="both"/>
              <w:cnfStyle w:val="000000100000" w:firstRow="0" w:lastRow="0" w:firstColumn="0" w:lastColumn="0" w:oddVBand="0" w:evenVBand="0" w:oddHBand="1" w:evenHBand="0" w:firstRowFirstColumn="0" w:firstRowLastColumn="0" w:lastRowFirstColumn="0" w:lastRowLastColumn="0"/>
              <w:rPr>
                <w:sz w:val="20"/>
                <w:szCs w:val="20"/>
              </w:rPr>
            </w:pPr>
            <w:r w:rsidRPr="00D62C88">
              <w:rPr>
                <w:sz w:val="20"/>
                <w:szCs w:val="20"/>
              </w:rPr>
              <w:t xml:space="preserve">Mentira patológica, estafador/manipulador </w:t>
            </w:r>
          </w:p>
        </w:tc>
      </w:tr>
    </w:tbl>
    <w:p w14:paraId="41D34DAC" w14:textId="3C4F0C32" w:rsidR="00D00A40" w:rsidRDefault="00D00A40" w:rsidP="009A0B65">
      <w:pPr>
        <w:spacing w:line="360" w:lineRule="auto"/>
        <w:jc w:val="both"/>
        <w:rPr>
          <w:rFonts w:asciiTheme="majorHAnsi" w:eastAsia="Times New Roman" w:hAnsiTheme="majorHAnsi" w:cstheme="majorHAnsi"/>
          <w:sz w:val="24"/>
          <w:szCs w:val="24"/>
          <w:lang w:eastAsia="es-ES"/>
        </w:rPr>
      </w:pPr>
      <w:r>
        <w:rPr>
          <w:rFonts w:asciiTheme="majorHAnsi" w:eastAsia="Times New Roman" w:hAnsiTheme="majorHAnsi" w:cstheme="majorHAnsi"/>
          <w:sz w:val="24"/>
          <w:szCs w:val="24"/>
          <w:lang w:eastAsia="es-ES"/>
        </w:rPr>
        <w:t>Fuente:</w:t>
      </w:r>
      <w:r w:rsidR="00D62C88">
        <w:rPr>
          <w:rFonts w:asciiTheme="majorHAnsi" w:eastAsia="Times New Roman" w:hAnsiTheme="majorHAnsi" w:cstheme="majorHAnsi"/>
          <w:sz w:val="24"/>
          <w:szCs w:val="24"/>
          <w:lang w:eastAsia="es-ES"/>
        </w:rPr>
        <w:t xml:space="preserve"> elaboración propia</w:t>
      </w:r>
    </w:p>
    <w:p w14:paraId="1E0EB732" w14:textId="4E1CCC38" w:rsidR="00765692" w:rsidRDefault="00765692" w:rsidP="009A0B65">
      <w:pPr>
        <w:spacing w:line="360" w:lineRule="auto"/>
        <w:jc w:val="both"/>
        <w:rPr>
          <w:rFonts w:asciiTheme="majorHAnsi" w:eastAsia="Times New Roman" w:hAnsiTheme="majorHAnsi" w:cstheme="majorHAnsi"/>
          <w:sz w:val="24"/>
          <w:szCs w:val="24"/>
          <w:lang w:eastAsia="es-ES"/>
        </w:rPr>
      </w:pPr>
      <w:r>
        <w:rPr>
          <w:rFonts w:asciiTheme="majorHAnsi" w:eastAsia="Times New Roman" w:hAnsiTheme="majorHAnsi" w:cstheme="majorHAnsi"/>
          <w:sz w:val="24"/>
          <w:szCs w:val="24"/>
          <w:lang w:eastAsia="es-ES"/>
        </w:rPr>
        <w:t xml:space="preserve">La tratabilidad de la psicopatía es una de las grandes cuestiones a resolver, ya que conecta las necesidades legales con la investigación clínica la respecto. Aunque la tradición investigadora señala que </w:t>
      </w:r>
      <w:r w:rsidR="007920A8">
        <w:rPr>
          <w:rFonts w:asciiTheme="majorHAnsi" w:eastAsia="Times New Roman" w:hAnsiTheme="majorHAnsi" w:cstheme="majorHAnsi"/>
          <w:sz w:val="24"/>
          <w:szCs w:val="24"/>
          <w:lang w:eastAsia="es-ES"/>
        </w:rPr>
        <w:t>el</w:t>
      </w:r>
      <w:r>
        <w:rPr>
          <w:rFonts w:asciiTheme="majorHAnsi" w:eastAsia="Times New Roman" w:hAnsiTheme="majorHAnsi" w:cstheme="majorHAnsi"/>
          <w:sz w:val="24"/>
          <w:szCs w:val="24"/>
          <w:lang w:eastAsia="es-ES"/>
        </w:rPr>
        <w:t xml:space="preserve"> </w:t>
      </w:r>
      <w:r w:rsidR="00EE70D8">
        <w:rPr>
          <w:rFonts w:asciiTheme="majorHAnsi" w:eastAsia="Times New Roman" w:hAnsiTheme="majorHAnsi" w:cstheme="majorHAnsi"/>
          <w:sz w:val="24"/>
          <w:szCs w:val="24"/>
          <w:lang w:eastAsia="es-ES"/>
        </w:rPr>
        <w:t>tratamiento</w:t>
      </w:r>
      <w:r>
        <w:rPr>
          <w:rFonts w:asciiTheme="majorHAnsi" w:eastAsia="Times New Roman" w:hAnsiTheme="majorHAnsi" w:cstheme="majorHAnsi"/>
          <w:sz w:val="24"/>
          <w:szCs w:val="24"/>
          <w:lang w:eastAsia="es-ES"/>
        </w:rPr>
        <w:t xml:space="preserve"> de los </w:t>
      </w:r>
      <w:r w:rsidR="00EE70D8">
        <w:rPr>
          <w:rFonts w:asciiTheme="majorHAnsi" w:eastAsia="Times New Roman" w:hAnsiTheme="majorHAnsi" w:cstheme="majorHAnsi"/>
          <w:sz w:val="24"/>
          <w:szCs w:val="24"/>
          <w:lang w:eastAsia="es-ES"/>
        </w:rPr>
        <w:t>psicópatas presenta una baja tasa de éxito e incluso pueden llegar a seriatrogénicos</w:t>
      </w:r>
      <w:r w:rsidR="007920A8">
        <w:rPr>
          <w:rFonts w:asciiTheme="majorHAnsi" w:eastAsia="Times New Roman" w:hAnsiTheme="majorHAnsi" w:cstheme="majorHAnsi"/>
          <w:sz w:val="24"/>
          <w:szCs w:val="24"/>
          <w:lang w:eastAsia="es-ES"/>
        </w:rPr>
        <w:t xml:space="preserve"> (Harris y Rice, 2006; </w:t>
      </w:r>
      <w:r w:rsidR="007920A8">
        <w:rPr>
          <w:rFonts w:ascii="Times New Roman"/>
          <w:sz w:val="24"/>
          <w:szCs w:val="24"/>
          <w:lang w:val="es-ES_tradnl"/>
        </w:rPr>
        <w:t xml:space="preserve">Schug y Fradella, </w:t>
      </w:r>
      <w:r w:rsidR="002E2E27">
        <w:rPr>
          <w:rFonts w:ascii="Times New Roman"/>
          <w:sz w:val="24"/>
          <w:szCs w:val="24"/>
          <w:lang w:val="es-ES_tradnl"/>
        </w:rPr>
        <w:t>2015</w:t>
      </w:r>
      <w:r w:rsidR="007920A8">
        <w:rPr>
          <w:rFonts w:ascii="Times New Roman"/>
          <w:sz w:val="24"/>
          <w:szCs w:val="24"/>
          <w:lang w:val="es-ES_tradnl"/>
        </w:rPr>
        <w:t>)</w:t>
      </w:r>
      <w:r w:rsidR="00EE70D8">
        <w:rPr>
          <w:rFonts w:asciiTheme="majorHAnsi" w:eastAsia="Times New Roman" w:hAnsiTheme="majorHAnsi" w:cstheme="majorHAnsi"/>
          <w:sz w:val="24"/>
          <w:szCs w:val="24"/>
          <w:lang w:eastAsia="es-ES"/>
        </w:rPr>
        <w:t>, los últimos estudios arrojan algo de optimismo en la cuestión.</w:t>
      </w:r>
    </w:p>
    <w:p w14:paraId="0EF63277" w14:textId="304FBB7F" w:rsidR="00EE70D8" w:rsidRDefault="00EE70D8">
      <w:pPr>
        <w:spacing w:line="360" w:lineRule="auto"/>
        <w:ind w:firstLine="708"/>
        <w:jc w:val="both"/>
        <w:rPr>
          <w:rFonts w:ascii="Times New Roman"/>
          <w:sz w:val="24"/>
          <w:szCs w:val="24"/>
          <w:lang w:val="es-ES_tradnl"/>
        </w:rPr>
      </w:pPr>
      <w:r>
        <w:rPr>
          <w:rFonts w:asciiTheme="majorHAnsi" w:eastAsia="Times New Roman" w:hAnsiTheme="majorHAnsi" w:cstheme="majorHAnsi"/>
          <w:sz w:val="24"/>
          <w:szCs w:val="24"/>
          <w:lang w:eastAsia="es-ES"/>
        </w:rPr>
        <w:t>Una de las aproximaciones</w:t>
      </w:r>
      <w:r w:rsidR="007920A8">
        <w:rPr>
          <w:rFonts w:asciiTheme="majorHAnsi" w:eastAsia="Times New Roman" w:hAnsiTheme="majorHAnsi" w:cstheme="majorHAnsi"/>
          <w:sz w:val="24"/>
          <w:szCs w:val="24"/>
          <w:lang w:eastAsia="es-ES"/>
        </w:rPr>
        <w:t xml:space="preserve"> más aceptadas</w:t>
      </w:r>
      <w:r>
        <w:rPr>
          <w:rFonts w:asciiTheme="majorHAnsi" w:eastAsia="Times New Roman" w:hAnsiTheme="majorHAnsi" w:cstheme="majorHAnsi"/>
          <w:sz w:val="24"/>
          <w:szCs w:val="24"/>
          <w:lang w:eastAsia="es-ES"/>
        </w:rPr>
        <w:t xml:space="preserve"> es el trabajo con los factores de protección que modulan la conducta desviada con el objetivo de dotar al psicópata de conductas alternativas prosociales (Skeem, Polasckek, Patrick y Lilienfeld, 2011). En esta misma línea se apuesta por centrar los tratam</w:t>
      </w:r>
      <w:r w:rsidR="007920A8">
        <w:rPr>
          <w:rFonts w:asciiTheme="majorHAnsi" w:eastAsia="Times New Roman" w:hAnsiTheme="majorHAnsi" w:cstheme="majorHAnsi"/>
          <w:sz w:val="24"/>
          <w:szCs w:val="24"/>
          <w:lang w:eastAsia="es-ES"/>
        </w:rPr>
        <w:t>ie</w:t>
      </w:r>
      <w:r>
        <w:rPr>
          <w:rFonts w:asciiTheme="majorHAnsi" w:eastAsia="Times New Roman" w:hAnsiTheme="majorHAnsi" w:cstheme="majorHAnsi"/>
          <w:sz w:val="24"/>
          <w:szCs w:val="24"/>
          <w:lang w:eastAsia="es-ES"/>
        </w:rPr>
        <w:t>ntos en las necesidades criminógenas (factores de resigo dinámicas modificables )</w:t>
      </w:r>
      <w:r w:rsidR="007920A8">
        <w:rPr>
          <w:rFonts w:asciiTheme="majorHAnsi" w:eastAsia="Times New Roman" w:hAnsiTheme="majorHAnsi" w:cstheme="majorHAnsi"/>
          <w:sz w:val="24"/>
          <w:szCs w:val="24"/>
          <w:lang w:eastAsia="es-ES"/>
        </w:rPr>
        <w:t xml:space="preserve"> </w:t>
      </w:r>
      <w:r>
        <w:rPr>
          <w:rFonts w:asciiTheme="majorHAnsi" w:eastAsia="Times New Roman" w:hAnsiTheme="majorHAnsi" w:cstheme="majorHAnsi"/>
          <w:sz w:val="24"/>
          <w:szCs w:val="24"/>
          <w:lang w:eastAsia="es-ES"/>
        </w:rPr>
        <w:t>a trav</w:t>
      </w:r>
      <w:r w:rsidR="007920A8">
        <w:rPr>
          <w:rFonts w:asciiTheme="majorHAnsi" w:eastAsia="Times New Roman" w:hAnsiTheme="majorHAnsi" w:cstheme="majorHAnsi"/>
          <w:sz w:val="24"/>
          <w:szCs w:val="24"/>
          <w:lang w:eastAsia="es-ES"/>
        </w:rPr>
        <w:t>é</w:t>
      </w:r>
      <w:r>
        <w:rPr>
          <w:rFonts w:asciiTheme="majorHAnsi" w:eastAsia="Times New Roman" w:hAnsiTheme="majorHAnsi" w:cstheme="majorHAnsi"/>
          <w:sz w:val="24"/>
          <w:szCs w:val="24"/>
          <w:lang w:eastAsia="es-ES"/>
        </w:rPr>
        <w:t xml:space="preserve">s del modelo </w:t>
      </w:r>
      <w:r>
        <w:rPr>
          <w:rFonts w:ascii="Times New Roman"/>
          <w:sz w:val="24"/>
          <w:szCs w:val="24"/>
          <w:lang w:val="es-ES_tradnl"/>
        </w:rPr>
        <w:t>RNR (Riesgo-Necesidad-Responsividad) (Bonta</w:t>
      </w:r>
      <w:r w:rsidR="002D7EEE">
        <w:rPr>
          <w:rFonts w:ascii="Times New Roman"/>
          <w:sz w:val="24"/>
          <w:szCs w:val="24"/>
          <w:lang w:val="es-ES_tradnl"/>
        </w:rPr>
        <w:t xml:space="preserve"> y Andrews</w:t>
      </w:r>
      <w:r>
        <w:rPr>
          <w:rFonts w:ascii="Times New Roman"/>
          <w:sz w:val="24"/>
          <w:szCs w:val="24"/>
          <w:lang w:val="es-ES_tradnl"/>
        </w:rPr>
        <w:t>, 2010) con el objetivo de reducir la reincidencia.</w:t>
      </w:r>
    </w:p>
    <w:p w14:paraId="2E24AA06" w14:textId="2253728A" w:rsidR="00EE70D8" w:rsidRPr="0029175D" w:rsidRDefault="00EE70D8">
      <w:pPr>
        <w:spacing w:line="360" w:lineRule="auto"/>
        <w:ind w:firstLine="708"/>
        <w:jc w:val="both"/>
        <w:rPr>
          <w:rFonts w:asciiTheme="majorHAnsi" w:eastAsia="Times New Roman" w:hAnsiTheme="majorHAnsi" w:cstheme="majorHAnsi"/>
          <w:sz w:val="24"/>
          <w:szCs w:val="24"/>
          <w:lang w:eastAsia="es-ES"/>
        </w:rPr>
      </w:pPr>
      <w:r>
        <w:rPr>
          <w:rFonts w:ascii="Times New Roman"/>
          <w:sz w:val="24"/>
          <w:szCs w:val="24"/>
          <w:lang w:val="es-ES_tradnl"/>
        </w:rPr>
        <w:t xml:space="preserve">Esto implica que la mayor parte de los </w:t>
      </w:r>
      <w:r w:rsidR="007920A8">
        <w:rPr>
          <w:rFonts w:ascii="Times New Roman"/>
          <w:sz w:val="24"/>
          <w:szCs w:val="24"/>
          <w:lang w:val="es-ES_tradnl"/>
        </w:rPr>
        <w:t>programas</w:t>
      </w:r>
      <w:r>
        <w:rPr>
          <w:rFonts w:ascii="Times New Roman"/>
          <w:sz w:val="24"/>
          <w:szCs w:val="24"/>
          <w:lang w:val="es-ES_tradnl"/>
        </w:rPr>
        <w:t xml:space="preserve"> actuales no se centran en trabajar los rasgos psicopáticos</w:t>
      </w:r>
      <w:r w:rsidR="007920A8">
        <w:rPr>
          <w:rFonts w:ascii="Times New Roman"/>
          <w:sz w:val="24"/>
          <w:szCs w:val="24"/>
          <w:lang w:val="es-ES_tradnl"/>
        </w:rPr>
        <w:t xml:space="preserve"> (Factor I)</w:t>
      </w:r>
      <w:r>
        <w:rPr>
          <w:rFonts w:ascii="Times New Roman"/>
          <w:sz w:val="24"/>
          <w:szCs w:val="24"/>
          <w:lang w:val="es-ES_tradnl"/>
        </w:rPr>
        <w:t xml:space="preserve">, </w:t>
      </w:r>
      <w:r w:rsidR="007920A8">
        <w:rPr>
          <w:rFonts w:ascii="Times New Roman"/>
          <w:sz w:val="24"/>
          <w:szCs w:val="24"/>
          <w:lang w:val="es-ES_tradnl"/>
        </w:rPr>
        <w:t xml:space="preserve">ya </w:t>
      </w:r>
      <w:r>
        <w:rPr>
          <w:rFonts w:ascii="Times New Roman"/>
          <w:sz w:val="24"/>
          <w:szCs w:val="24"/>
          <w:lang w:val="es-ES_tradnl"/>
        </w:rPr>
        <w:t>que de alguna manera se consideran más o menos inamovibles y a</w:t>
      </w:r>
      <w:r w:rsidR="007920A8">
        <w:rPr>
          <w:rFonts w:ascii="Times New Roman"/>
          <w:sz w:val="24"/>
          <w:szCs w:val="24"/>
          <w:lang w:val="es-ES_tradnl"/>
        </w:rPr>
        <w:t>ú</w:t>
      </w:r>
      <w:r>
        <w:rPr>
          <w:rFonts w:ascii="Times New Roman"/>
          <w:sz w:val="24"/>
          <w:szCs w:val="24"/>
          <w:lang w:val="es-ES_tradnl"/>
        </w:rPr>
        <w:t xml:space="preserve">n mas si tenemos en cuanta que este tipo de perfiles no </w:t>
      </w:r>
      <w:r w:rsidR="007920A8">
        <w:rPr>
          <w:rFonts w:ascii="Times New Roman"/>
          <w:sz w:val="24"/>
          <w:szCs w:val="24"/>
          <w:lang w:val="es-ES_tradnl"/>
        </w:rPr>
        <w:t>consideran</w:t>
      </w:r>
      <w:r>
        <w:rPr>
          <w:rFonts w:ascii="Times New Roman"/>
          <w:sz w:val="24"/>
          <w:szCs w:val="24"/>
          <w:lang w:val="es-ES_tradnl"/>
        </w:rPr>
        <w:t xml:space="preserve"> que deban cambiar y establecen relaciones terapéuticas basadas en la manipulación y el engaño, lo que lleva a los profesionales a centrar sus intervenciones en elementos utilitaristas y prácticos de cara al propio beneficio del psicópata. No se busca cambiar la esencia, se busca que el </w:t>
      </w:r>
      <w:r w:rsidR="007920A8">
        <w:rPr>
          <w:rFonts w:ascii="Times New Roman"/>
          <w:sz w:val="24"/>
          <w:szCs w:val="24"/>
          <w:lang w:val="es-ES_tradnl"/>
        </w:rPr>
        <w:t>psicópata</w:t>
      </w:r>
      <w:r>
        <w:rPr>
          <w:rFonts w:ascii="Times New Roman"/>
          <w:sz w:val="24"/>
          <w:szCs w:val="24"/>
          <w:lang w:val="es-ES_tradnl"/>
        </w:rPr>
        <w:t xml:space="preserve"> adquier</w:t>
      </w:r>
      <w:r w:rsidR="007920A8">
        <w:rPr>
          <w:rFonts w:ascii="Times New Roman"/>
          <w:sz w:val="24"/>
          <w:szCs w:val="24"/>
          <w:lang w:val="es-ES_tradnl"/>
        </w:rPr>
        <w:t>a</w:t>
      </w:r>
      <w:r>
        <w:rPr>
          <w:rFonts w:ascii="Times New Roman"/>
          <w:sz w:val="24"/>
          <w:szCs w:val="24"/>
          <w:lang w:val="es-ES_tradnl"/>
        </w:rPr>
        <w:t xml:space="preserve"> un arsenal de comp</w:t>
      </w:r>
      <w:r w:rsidR="007920A8">
        <w:rPr>
          <w:rFonts w:ascii="Times New Roman"/>
          <w:sz w:val="24"/>
          <w:szCs w:val="24"/>
          <w:lang w:val="es-ES_tradnl"/>
        </w:rPr>
        <w:t>or</w:t>
      </w:r>
      <w:r>
        <w:rPr>
          <w:rFonts w:ascii="Times New Roman"/>
          <w:sz w:val="24"/>
          <w:szCs w:val="24"/>
          <w:lang w:val="es-ES_tradnl"/>
        </w:rPr>
        <w:t>tam</w:t>
      </w:r>
      <w:r w:rsidR="007920A8">
        <w:rPr>
          <w:rFonts w:ascii="Times New Roman"/>
          <w:sz w:val="24"/>
          <w:szCs w:val="24"/>
          <w:lang w:val="es-ES_tradnl"/>
        </w:rPr>
        <w:t>ie</w:t>
      </w:r>
      <w:r>
        <w:rPr>
          <w:rFonts w:ascii="Times New Roman"/>
          <w:sz w:val="24"/>
          <w:szCs w:val="24"/>
          <w:lang w:val="es-ES_tradnl"/>
        </w:rPr>
        <w:t xml:space="preserve">ntos prosociales para que, por su propio </w:t>
      </w:r>
      <w:r w:rsidR="007920A8">
        <w:rPr>
          <w:rFonts w:ascii="Times New Roman"/>
          <w:sz w:val="24"/>
          <w:szCs w:val="24"/>
          <w:lang w:val="es-ES_tradnl"/>
        </w:rPr>
        <w:t>interés,</w:t>
      </w:r>
      <w:r>
        <w:rPr>
          <w:rFonts w:ascii="Times New Roman"/>
          <w:sz w:val="24"/>
          <w:szCs w:val="24"/>
          <w:lang w:val="es-ES_tradnl"/>
        </w:rPr>
        <w:t xml:space="preserve"> no vuelva a </w:t>
      </w:r>
      <w:r w:rsidR="007920A8">
        <w:rPr>
          <w:rFonts w:ascii="Times New Roman"/>
          <w:sz w:val="24"/>
          <w:szCs w:val="24"/>
          <w:lang w:val="es-ES_tradnl"/>
        </w:rPr>
        <w:t>interaccionar</w:t>
      </w:r>
      <w:r>
        <w:rPr>
          <w:rFonts w:ascii="Times New Roman"/>
          <w:sz w:val="24"/>
          <w:szCs w:val="24"/>
          <w:lang w:val="es-ES_tradnl"/>
        </w:rPr>
        <w:t xml:space="preserve"> con el sistema legal</w:t>
      </w:r>
      <w:r w:rsidR="00311069">
        <w:rPr>
          <w:rFonts w:ascii="Times New Roman"/>
          <w:sz w:val="24"/>
          <w:szCs w:val="24"/>
          <w:lang w:val="es-ES_tradnl"/>
        </w:rPr>
        <w:t xml:space="preserve"> (Skeem et al., 2011)</w:t>
      </w:r>
    </w:p>
    <w:p w14:paraId="44C78750" w14:textId="77777777" w:rsidR="002146FD" w:rsidRPr="00617484" w:rsidRDefault="002146FD">
      <w:pPr>
        <w:pStyle w:val="Ttulo1"/>
        <w:spacing w:line="360" w:lineRule="auto"/>
        <w:jc w:val="both"/>
        <w:rPr>
          <w:color w:val="auto"/>
        </w:rPr>
      </w:pPr>
      <w:r w:rsidRPr="00617484">
        <w:rPr>
          <w:color w:val="auto"/>
        </w:rPr>
        <w:t>Correlatos neuropsicológicos en psicopatía</w:t>
      </w:r>
    </w:p>
    <w:p w14:paraId="63496E2F" w14:textId="3F93B56D" w:rsidR="007612EB" w:rsidRPr="0029175D" w:rsidRDefault="007612EB">
      <w:pPr>
        <w:spacing w:line="360" w:lineRule="auto"/>
        <w:ind w:firstLine="708"/>
        <w:jc w:val="both"/>
        <w:rPr>
          <w:rFonts w:asciiTheme="majorHAnsi" w:eastAsia="Times New Roman" w:hAnsiTheme="majorHAnsi" w:cstheme="majorHAnsi"/>
          <w:sz w:val="24"/>
          <w:szCs w:val="24"/>
          <w:lang w:eastAsia="es-ES"/>
        </w:rPr>
      </w:pPr>
      <w:r w:rsidRPr="0029175D">
        <w:rPr>
          <w:rFonts w:asciiTheme="majorHAnsi" w:eastAsia="Times New Roman" w:hAnsiTheme="majorHAnsi" w:cstheme="majorHAnsi"/>
          <w:sz w:val="24"/>
          <w:szCs w:val="24"/>
          <w:lang w:eastAsia="es-ES"/>
        </w:rPr>
        <w:t xml:space="preserve">La neuropsicología se ha encargado del estudio comparativo entre sujetos con daños cerebrales en regiones </w:t>
      </w:r>
      <w:r w:rsidR="009058CF" w:rsidRPr="0029175D">
        <w:rPr>
          <w:rFonts w:asciiTheme="majorHAnsi" w:eastAsia="Times New Roman" w:hAnsiTheme="majorHAnsi" w:cstheme="majorHAnsi"/>
          <w:sz w:val="24"/>
          <w:szCs w:val="24"/>
          <w:lang w:eastAsia="es-ES"/>
        </w:rPr>
        <w:t>específicas</w:t>
      </w:r>
      <w:r w:rsidRPr="0029175D">
        <w:rPr>
          <w:rFonts w:asciiTheme="majorHAnsi" w:eastAsia="Times New Roman" w:hAnsiTheme="majorHAnsi" w:cstheme="majorHAnsi"/>
          <w:sz w:val="24"/>
          <w:szCs w:val="24"/>
          <w:lang w:eastAsia="es-ES"/>
        </w:rPr>
        <w:t xml:space="preserve"> y sujetos con altas puntuaciones en las escalas de psicopatía. Estos estudios permitirían localizar en que área cerebral existiera una disfunción en aquellos sujetos considerados psicópatas (Ortega-Escobar y Alcázar-Córcoles, 2019). Las principales áreas cerebrales relacionadas con la psicopatía son el </w:t>
      </w:r>
      <w:r w:rsidRPr="0029175D">
        <w:rPr>
          <w:rFonts w:asciiTheme="majorHAnsi" w:eastAsia="Times New Roman" w:hAnsiTheme="majorHAnsi" w:cstheme="majorHAnsi"/>
          <w:sz w:val="24"/>
          <w:szCs w:val="24"/>
          <w:lang w:eastAsia="es-ES"/>
        </w:rPr>
        <w:lastRenderedPageBreak/>
        <w:t>córtex prefrontal (CPF) y la amígdala. El CPF se relacionaría con las conductas antisociales mientras que la amígdala se relacionaría con la ausencia de empatía, expresión de miedo y desarrollo de la agresividad instrumental (Dujo y Horcajo</w:t>
      </w:r>
      <w:r w:rsidR="00D00A40">
        <w:rPr>
          <w:rFonts w:asciiTheme="majorHAnsi" w:eastAsia="Times New Roman" w:hAnsiTheme="majorHAnsi" w:cstheme="majorHAnsi"/>
          <w:sz w:val="24"/>
          <w:szCs w:val="24"/>
          <w:lang w:eastAsia="es-ES"/>
        </w:rPr>
        <w:t>-</w:t>
      </w:r>
      <w:r w:rsidRPr="0029175D">
        <w:rPr>
          <w:rFonts w:asciiTheme="majorHAnsi" w:eastAsia="Times New Roman" w:hAnsiTheme="majorHAnsi" w:cstheme="majorHAnsi"/>
          <w:sz w:val="24"/>
          <w:szCs w:val="24"/>
          <w:lang w:eastAsia="es-ES"/>
        </w:rPr>
        <w:t>Gil, 2017).</w:t>
      </w:r>
    </w:p>
    <w:p w14:paraId="1314E70E" w14:textId="37F015AA" w:rsidR="007612EB" w:rsidRPr="0029175D" w:rsidRDefault="007612EB" w:rsidP="001C77A6">
      <w:pPr>
        <w:spacing w:line="360" w:lineRule="auto"/>
        <w:ind w:firstLine="708"/>
        <w:jc w:val="both"/>
        <w:rPr>
          <w:rFonts w:asciiTheme="majorHAnsi" w:hAnsiTheme="majorHAnsi" w:cstheme="majorHAnsi"/>
          <w:sz w:val="24"/>
          <w:szCs w:val="24"/>
        </w:rPr>
      </w:pPr>
      <w:r w:rsidRPr="0029175D">
        <w:rPr>
          <w:rFonts w:asciiTheme="majorHAnsi" w:eastAsia="Times New Roman" w:hAnsiTheme="majorHAnsi" w:cstheme="majorHAnsi"/>
          <w:sz w:val="24"/>
          <w:szCs w:val="24"/>
          <w:lang w:eastAsia="es-ES"/>
        </w:rPr>
        <w:t xml:space="preserve">Como se ha comentado en apartados posteriores, la CPF </w:t>
      </w:r>
      <w:r w:rsidR="00113A74" w:rsidRPr="0029175D">
        <w:rPr>
          <w:rFonts w:asciiTheme="majorHAnsi" w:eastAsia="Times New Roman" w:hAnsiTheme="majorHAnsi" w:cstheme="majorHAnsi"/>
          <w:sz w:val="24"/>
          <w:szCs w:val="24"/>
          <w:lang w:eastAsia="es-ES"/>
        </w:rPr>
        <w:t>está</w:t>
      </w:r>
      <w:r w:rsidRPr="0029175D">
        <w:rPr>
          <w:rFonts w:asciiTheme="majorHAnsi" w:eastAsia="Times New Roman" w:hAnsiTheme="majorHAnsi" w:cstheme="majorHAnsi"/>
          <w:sz w:val="24"/>
          <w:szCs w:val="24"/>
          <w:lang w:eastAsia="es-ES"/>
        </w:rPr>
        <w:t xml:space="preserve"> relacionada con el control de impulsos y la emisión de respuestas adaptativas.</w:t>
      </w:r>
      <w:r w:rsidR="009F6AFF">
        <w:rPr>
          <w:rFonts w:asciiTheme="majorHAnsi" w:eastAsia="Times New Roman" w:hAnsiTheme="majorHAnsi" w:cstheme="majorHAnsi"/>
          <w:sz w:val="24"/>
          <w:szCs w:val="24"/>
          <w:lang w:eastAsia="es-ES"/>
        </w:rPr>
        <w:t xml:space="preserve"> Benton (1991) </w:t>
      </w:r>
      <w:r w:rsidR="009F6AFF" w:rsidRPr="0029175D">
        <w:rPr>
          <w:rFonts w:asciiTheme="majorHAnsi" w:eastAsia="Times New Roman" w:hAnsiTheme="majorHAnsi" w:cstheme="majorHAnsi"/>
          <w:sz w:val="24"/>
          <w:szCs w:val="24"/>
          <w:lang w:eastAsia="es-ES"/>
        </w:rPr>
        <w:t>(como se citó en Ortega-Escobar y Alcázar-Córcoles, 2019)</w:t>
      </w:r>
      <w:r w:rsidR="009F6AFF">
        <w:rPr>
          <w:rFonts w:asciiTheme="majorHAnsi" w:eastAsia="Times New Roman" w:hAnsiTheme="majorHAnsi" w:cstheme="majorHAnsi"/>
          <w:sz w:val="24"/>
          <w:szCs w:val="24"/>
          <w:lang w:eastAsia="es-ES"/>
        </w:rPr>
        <w:t xml:space="preserve"> observó en sus estudios que las lesiones en la corteza prefrontal generaban un conjunto de </w:t>
      </w:r>
      <w:r w:rsidR="001C77A6">
        <w:rPr>
          <w:rFonts w:asciiTheme="majorHAnsi" w:eastAsia="Times New Roman" w:hAnsiTheme="majorHAnsi" w:cstheme="majorHAnsi"/>
          <w:sz w:val="24"/>
          <w:szCs w:val="24"/>
          <w:lang w:eastAsia="es-ES"/>
        </w:rPr>
        <w:t>déficits</w:t>
      </w:r>
      <w:r w:rsidR="009F6AFF">
        <w:rPr>
          <w:rFonts w:asciiTheme="majorHAnsi" w:eastAsia="Times New Roman" w:hAnsiTheme="majorHAnsi" w:cstheme="majorHAnsi"/>
          <w:sz w:val="24"/>
          <w:szCs w:val="24"/>
          <w:lang w:eastAsia="es-ES"/>
        </w:rPr>
        <w:t xml:space="preserve"> </w:t>
      </w:r>
      <w:r w:rsidR="001C77A6">
        <w:rPr>
          <w:rFonts w:asciiTheme="majorHAnsi" w:eastAsia="Times New Roman" w:hAnsiTheme="majorHAnsi" w:cstheme="majorHAnsi"/>
          <w:sz w:val="24"/>
          <w:szCs w:val="24"/>
          <w:lang w:eastAsia="es-ES"/>
        </w:rPr>
        <w:t xml:space="preserve">que denominó </w:t>
      </w:r>
      <w:r w:rsidR="001C77A6">
        <w:rPr>
          <w:rFonts w:asciiTheme="majorHAnsi" w:eastAsia="Times New Roman" w:hAnsiTheme="majorHAnsi" w:cstheme="majorHAnsi"/>
          <w:i/>
          <w:iCs/>
          <w:sz w:val="24"/>
          <w:szCs w:val="24"/>
          <w:lang w:eastAsia="es-ES"/>
        </w:rPr>
        <w:t>síndrome del lóbulo frontal</w:t>
      </w:r>
      <w:r w:rsidR="001C77A6">
        <w:rPr>
          <w:rFonts w:asciiTheme="majorHAnsi" w:eastAsia="Times New Roman" w:hAnsiTheme="majorHAnsi" w:cstheme="majorHAnsi"/>
          <w:sz w:val="24"/>
          <w:szCs w:val="24"/>
          <w:lang w:eastAsia="es-ES"/>
        </w:rPr>
        <w:t>.</w:t>
      </w:r>
      <w:r w:rsidR="001C77A6" w:rsidRPr="0029175D" w:rsidDel="001C77A6">
        <w:rPr>
          <w:rFonts w:asciiTheme="majorHAnsi" w:eastAsia="Times New Roman" w:hAnsiTheme="majorHAnsi" w:cstheme="majorHAnsi"/>
          <w:sz w:val="24"/>
          <w:szCs w:val="24"/>
          <w:lang w:eastAsia="es-ES"/>
        </w:rPr>
        <w:t xml:space="preserve"> </w:t>
      </w:r>
      <w:r w:rsidRPr="0029175D">
        <w:rPr>
          <w:rFonts w:asciiTheme="majorHAnsi" w:eastAsia="Times New Roman" w:hAnsiTheme="majorHAnsi" w:cstheme="majorHAnsi"/>
          <w:sz w:val="24"/>
          <w:szCs w:val="24"/>
          <w:lang w:eastAsia="es-ES"/>
        </w:rPr>
        <w:t xml:space="preserve">Actualmente, </w:t>
      </w:r>
      <w:r w:rsidRPr="0029175D">
        <w:rPr>
          <w:rFonts w:asciiTheme="majorHAnsi" w:hAnsiTheme="majorHAnsi" w:cstheme="majorHAnsi"/>
          <w:sz w:val="24"/>
          <w:szCs w:val="24"/>
        </w:rPr>
        <w:t>estudios de neuroimagen ha</w:t>
      </w:r>
      <w:r w:rsidR="00857864">
        <w:rPr>
          <w:rFonts w:asciiTheme="majorHAnsi" w:hAnsiTheme="majorHAnsi" w:cstheme="majorHAnsi"/>
          <w:sz w:val="24"/>
          <w:szCs w:val="24"/>
        </w:rPr>
        <w:t>n</w:t>
      </w:r>
      <w:r w:rsidRPr="0029175D">
        <w:rPr>
          <w:rFonts w:asciiTheme="majorHAnsi" w:hAnsiTheme="majorHAnsi" w:cstheme="majorHAnsi"/>
          <w:sz w:val="24"/>
          <w:szCs w:val="24"/>
        </w:rPr>
        <w:t xml:space="preserve"> permitido observar que en los sujetos psicópatas existe una atrofia en la sustancia gris prefrontal e hipoperfusión de dichas regiones cerebrales</w:t>
      </w:r>
      <w:r w:rsidRPr="0029175D">
        <w:rPr>
          <w:rFonts w:asciiTheme="majorHAnsi" w:eastAsia="Times New Roman" w:hAnsiTheme="majorHAnsi" w:cstheme="majorHAnsi"/>
          <w:sz w:val="24"/>
          <w:szCs w:val="24"/>
          <w:lang w:eastAsia="es-ES"/>
        </w:rPr>
        <w:t xml:space="preserve"> </w:t>
      </w:r>
      <w:r w:rsidR="00113A74" w:rsidRPr="0029175D">
        <w:rPr>
          <w:rFonts w:asciiTheme="majorHAnsi" w:eastAsia="Times New Roman" w:hAnsiTheme="majorHAnsi" w:cstheme="majorHAnsi"/>
          <w:sz w:val="24"/>
          <w:szCs w:val="24"/>
          <w:lang w:eastAsia="es-ES"/>
        </w:rPr>
        <w:t>(</w:t>
      </w:r>
      <w:r w:rsidRPr="0029175D">
        <w:rPr>
          <w:rFonts w:asciiTheme="majorHAnsi" w:eastAsia="Times New Roman" w:hAnsiTheme="majorHAnsi" w:cstheme="majorHAnsi"/>
          <w:sz w:val="24"/>
          <w:szCs w:val="24"/>
          <w:lang w:eastAsia="es-ES"/>
        </w:rPr>
        <w:t>Salvador, Silvina, Vallejos, Moauro y Román, 2015)</w:t>
      </w:r>
      <w:r w:rsidRPr="0029175D">
        <w:rPr>
          <w:rFonts w:asciiTheme="majorHAnsi" w:hAnsiTheme="majorHAnsi" w:cstheme="majorHAnsi"/>
          <w:sz w:val="24"/>
          <w:szCs w:val="24"/>
        </w:rPr>
        <w:t>.</w:t>
      </w:r>
      <w:r w:rsidR="00113A74" w:rsidRPr="0029175D">
        <w:rPr>
          <w:rFonts w:asciiTheme="majorHAnsi" w:hAnsiTheme="majorHAnsi" w:cstheme="majorHAnsi"/>
          <w:sz w:val="24"/>
          <w:szCs w:val="24"/>
        </w:rPr>
        <w:t xml:space="preserve"> </w:t>
      </w:r>
      <w:r w:rsidRPr="0029175D">
        <w:rPr>
          <w:rFonts w:asciiTheme="majorHAnsi" w:hAnsiTheme="majorHAnsi" w:cstheme="majorHAnsi"/>
          <w:sz w:val="24"/>
          <w:szCs w:val="24"/>
        </w:rPr>
        <w:t>Yang et al. (</w:t>
      </w:r>
      <w:r w:rsidRPr="0029175D">
        <w:rPr>
          <w:rFonts w:asciiTheme="majorHAnsi" w:eastAsia="Times New Roman" w:hAnsiTheme="majorHAnsi" w:cstheme="majorHAnsi"/>
          <w:sz w:val="24"/>
          <w:szCs w:val="24"/>
          <w:lang w:eastAsia="es-ES"/>
        </w:rPr>
        <w:t>2005</w:t>
      </w:r>
      <w:r w:rsidRPr="0029175D">
        <w:rPr>
          <w:rFonts w:asciiTheme="majorHAnsi" w:hAnsiTheme="majorHAnsi" w:cstheme="majorHAnsi"/>
          <w:sz w:val="24"/>
          <w:szCs w:val="24"/>
        </w:rPr>
        <w:t>) realizaron un estudio en el que observaron la existencia de correlación entre altas puntuaciones en el PCL-R con bajo volumen de la CPF, pero esta correlación se producía tanto en factor 1 como en el factor 2. Estos autores observaron que existía una reducción del 22.3% del volumen de sustancia gris en el grupo de sujetos psicópatas encarcelados frente al grupo control.</w:t>
      </w:r>
    </w:p>
    <w:p w14:paraId="23F0BFBB" w14:textId="64487AF0" w:rsidR="007612EB" w:rsidRPr="0029175D" w:rsidRDefault="007612EB">
      <w:pPr>
        <w:spacing w:line="360" w:lineRule="auto"/>
        <w:jc w:val="both"/>
        <w:rPr>
          <w:rFonts w:asciiTheme="majorHAnsi" w:eastAsia="Times New Roman" w:hAnsiTheme="majorHAnsi" w:cstheme="majorHAnsi"/>
          <w:sz w:val="24"/>
          <w:szCs w:val="24"/>
          <w:lang w:eastAsia="es-ES"/>
        </w:rPr>
      </w:pPr>
      <w:r w:rsidRPr="0029175D">
        <w:rPr>
          <w:rFonts w:asciiTheme="majorHAnsi" w:hAnsiTheme="majorHAnsi" w:cstheme="majorHAnsi"/>
          <w:sz w:val="24"/>
          <w:szCs w:val="24"/>
        </w:rPr>
        <w:t>A pesar de estas observaciones neuroanatómicas, los estudios han mostrado la difícil tarea que supone relacionar un área cerebral de la CPF con la psicopatía</w:t>
      </w:r>
      <w:r w:rsidRPr="0029175D">
        <w:rPr>
          <w:rFonts w:asciiTheme="majorHAnsi" w:eastAsia="Times New Roman" w:hAnsiTheme="majorHAnsi" w:cstheme="majorHAnsi"/>
          <w:sz w:val="24"/>
          <w:szCs w:val="24"/>
          <w:lang w:eastAsia="es-ES"/>
        </w:rPr>
        <w:t>. A causa de esta dificultad para relacionar áreas específicas con la psicopatía, los test neuropsicológicos han permitido relacionar disfunciones en la COF</w:t>
      </w:r>
      <w:r w:rsidR="005137A0">
        <w:rPr>
          <w:rFonts w:asciiTheme="majorHAnsi" w:eastAsia="Times New Roman" w:hAnsiTheme="majorHAnsi" w:cstheme="majorHAnsi"/>
          <w:sz w:val="24"/>
          <w:szCs w:val="24"/>
          <w:lang w:eastAsia="es-ES"/>
        </w:rPr>
        <w:t xml:space="preserve"> (</w:t>
      </w:r>
      <w:r w:rsidR="00EA78BF">
        <w:rPr>
          <w:rFonts w:asciiTheme="majorHAnsi" w:eastAsia="Times New Roman" w:hAnsiTheme="majorHAnsi" w:cstheme="majorHAnsi"/>
          <w:sz w:val="24"/>
          <w:szCs w:val="24"/>
          <w:lang w:eastAsia="es-ES"/>
        </w:rPr>
        <w:t>córtex</w:t>
      </w:r>
      <w:r w:rsidR="005137A0">
        <w:rPr>
          <w:rFonts w:asciiTheme="majorHAnsi" w:eastAsia="Times New Roman" w:hAnsiTheme="majorHAnsi" w:cstheme="majorHAnsi"/>
          <w:sz w:val="24"/>
          <w:szCs w:val="24"/>
          <w:lang w:eastAsia="es-ES"/>
        </w:rPr>
        <w:t xml:space="preserve"> orbitofrontal)</w:t>
      </w:r>
      <w:r w:rsidRPr="0029175D">
        <w:rPr>
          <w:rFonts w:asciiTheme="majorHAnsi" w:eastAsia="Times New Roman" w:hAnsiTheme="majorHAnsi" w:cstheme="majorHAnsi"/>
          <w:sz w:val="24"/>
          <w:szCs w:val="24"/>
          <w:lang w:eastAsia="es-ES"/>
        </w:rPr>
        <w:t xml:space="preserve"> con la psicopatía </w:t>
      </w:r>
      <w:r w:rsidRPr="0029175D">
        <w:rPr>
          <w:rFonts w:asciiTheme="majorHAnsi" w:hAnsiTheme="majorHAnsi" w:cstheme="majorHAnsi"/>
          <w:sz w:val="24"/>
          <w:szCs w:val="24"/>
        </w:rPr>
        <w:t>(</w:t>
      </w:r>
      <w:r w:rsidR="00113A74" w:rsidRPr="0029175D">
        <w:rPr>
          <w:rFonts w:asciiTheme="majorHAnsi" w:hAnsiTheme="majorHAnsi" w:cstheme="majorHAnsi"/>
          <w:sz w:val="24"/>
          <w:szCs w:val="24"/>
        </w:rPr>
        <w:t xml:space="preserve">Pérez, 2012; </w:t>
      </w:r>
      <w:r w:rsidRPr="0029175D">
        <w:rPr>
          <w:rFonts w:asciiTheme="majorHAnsi" w:eastAsia="Times New Roman" w:hAnsiTheme="majorHAnsi" w:cstheme="majorHAnsi"/>
          <w:sz w:val="24"/>
          <w:szCs w:val="24"/>
          <w:lang w:eastAsia="es-ES"/>
        </w:rPr>
        <w:t xml:space="preserve">Salvador et al., 2015; Ortega-Escobar y Alcázar-Córcoles, 2019). </w:t>
      </w:r>
      <w:r w:rsidRPr="0029175D">
        <w:rPr>
          <w:rFonts w:asciiTheme="majorHAnsi" w:hAnsiTheme="majorHAnsi" w:cstheme="majorHAnsi"/>
          <w:sz w:val="24"/>
          <w:szCs w:val="24"/>
        </w:rPr>
        <w:t xml:space="preserve">La COF se encarga de la integración de la información emocional y cognitiva, produciendo como resultado del análisis de dicha información una acción o inhibición (Pérez, 2012). En los sujetos psicópatas, el sistema de inhibición se encuentra hipoactivo mientras que el de activación </w:t>
      </w:r>
      <w:r w:rsidR="00036C67">
        <w:rPr>
          <w:rFonts w:asciiTheme="majorHAnsi" w:hAnsiTheme="majorHAnsi" w:cstheme="majorHAnsi"/>
          <w:sz w:val="24"/>
          <w:szCs w:val="24"/>
        </w:rPr>
        <w:t xml:space="preserve">se </w:t>
      </w:r>
      <w:proofErr w:type="gramStart"/>
      <w:r w:rsidR="00036C67">
        <w:rPr>
          <w:rFonts w:asciiTheme="majorHAnsi" w:hAnsiTheme="majorHAnsi" w:cstheme="majorHAnsi"/>
          <w:sz w:val="24"/>
          <w:szCs w:val="24"/>
        </w:rPr>
        <w:t xml:space="preserve">encuentra </w:t>
      </w:r>
      <w:r w:rsidR="00036C67" w:rsidRPr="0029175D">
        <w:rPr>
          <w:rFonts w:asciiTheme="majorHAnsi" w:hAnsiTheme="majorHAnsi" w:cstheme="majorHAnsi"/>
          <w:sz w:val="24"/>
          <w:szCs w:val="24"/>
        </w:rPr>
        <w:t xml:space="preserve"> </w:t>
      </w:r>
      <w:r w:rsidR="00EA78BF" w:rsidRPr="0029175D">
        <w:rPr>
          <w:rFonts w:asciiTheme="majorHAnsi" w:hAnsiTheme="majorHAnsi" w:cstheme="majorHAnsi"/>
          <w:sz w:val="24"/>
          <w:szCs w:val="24"/>
        </w:rPr>
        <w:t>hiperactiv</w:t>
      </w:r>
      <w:r w:rsidR="00EA78BF">
        <w:rPr>
          <w:rFonts w:asciiTheme="majorHAnsi" w:hAnsiTheme="majorHAnsi" w:cstheme="majorHAnsi"/>
          <w:sz w:val="24"/>
          <w:szCs w:val="24"/>
        </w:rPr>
        <w:t>o</w:t>
      </w:r>
      <w:proofErr w:type="gramEnd"/>
      <w:r w:rsidR="00036C67" w:rsidRPr="0029175D">
        <w:rPr>
          <w:rFonts w:asciiTheme="majorHAnsi" w:hAnsiTheme="majorHAnsi" w:cstheme="majorHAnsi"/>
          <w:sz w:val="24"/>
          <w:szCs w:val="24"/>
        </w:rPr>
        <w:t xml:space="preserve"> </w:t>
      </w:r>
      <w:r w:rsidRPr="0029175D">
        <w:rPr>
          <w:rFonts w:asciiTheme="majorHAnsi" w:hAnsiTheme="majorHAnsi" w:cstheme="majorHAnsi"/>
          <w:sz w:val="24"/>
          <w:szCs w:val="24"/>
        </w:rPr>
        <w:t>(Salvador et al., 2015). A nivel anatómico, la COF se encuentra unido al sistema límbico a través del fascículo uncinado y se ha observado que en los sujetos psicópatas existen alteraciones en el fascículo uncinado, lo que implica que en el proceso de toma de decisiones no intervienen componentes afectivos, lo que</w:t>
      </w:r>
      <w:r w:rsidR="005137A0">
        <w:rPr>
          <w:rFonts w:asciiTheme="majorHAnsi" w:hAnsiTheme="majorHAnsi" w:cstheme="majorHAnsi"/>
          <w:sz w:val="24"/>
          <w:szCs w:val="24"/>
        </w:rPr>
        <w:t xml:space="preserve"> a su vez</w:t>
      </w:r>
      <w:r w:rsidRPr="0029175D">
        <w:rPr>
          <w:rFonts w:asciiTheme="majorHAnsi" w:hAnsiTheme="majorHAnsi" w:cstheme="majorHAnsi"/>
          <w:sz w:val="24"/>
          <w:szCs w:val="24"/>
        </w:rPr>
        <w:t xml:space="preserve"> se relacionaría con la baja respuesta al estrés con la que cuentan estos sujetos, llevando a la toma de decisiones impulsivas</w:t>
      </w:r>
      <w:r w:rsidR="005137A0">
        <w:rPr>
          <w:rFonts w:asciiTheme="majorHAnsi" w:hAnsiTheme="majorHAnsi" w:cstheme="majorHAnsi"/>
          <w:sz w:val="24"/>
          <w:szCs w:val="24"/>
        </w:rPr>
        <w:t xml:space="preserve"> </w:t>
      </w:r>
      <w:r w:rsidRPr="0029175D">
        <w:rPr>
          <w:rFonts w:asciiTheme="majorHAnsi" w:hAnsiTheme="majorHAnsi" w:cstheme="majorHAnsi"/>
          <w:sz w:val="24"/>
          <w:szCs w:val="24"/>
        </w:rPr>
        <w:t>(</w:t>
      </w:r>
      <w:r w:rsidRPr="0029175D">
        <w:rPr>
          <w:rFonts w:asciiTheme="majorHAnsi" w:eastAsia="Times New Roman" w:hAnsiTheme="majorHAnsi" w:cstheme="majorHAnsi"/>
          <w:sz w:val="24"/>
          <w:szCs w:val="24"/>
          <w:lang w:eastAsia="es-ES"/>
        </w:rPr>
        <w:t>Salvador et al., 2015</w:t>
      </w:r>
      <w:r w:rsidRPr="0029175D">
        <w:rPr>
          <w:rFonts w:asciiTheme="majorHAnsi" w:hAnsiTheme="majorHAnsi" w:cstheme="majorHAnsi"/>
          <w:sz w:val="24"/>
          <w:szCs w:val="24"/>
        </w:rPr>
        <w:t xml:space="preserve">). </w:t>
      </w:r>
    </w:p>
    <w:p w14:paraId="65F832E3" w14:textId="102E91E2" w:rsidR="007612EB" w:rsidRPr="0029175D" w:rsidRDefault="007612EB">
      <w:pPr>
        <w:spacing w:line="360" w:lineRule="auto"/>
        <w:ind w:firstLine="708"/>
        <w:jc w:val="both"/>
        <w:rPr>
          <w:rFonts w:asciiTheme="majorHAnsi" w:hAnsiTheme="majorHAnsi" w:cstheme="majorHAnsi"/>
          <w:sz w:val="24"/>
          <w:szCs w:val="24"/>
        </w:rPr>
      </w:pPr>
      <w:r w:rsidRPr="0029175D">
        <w:rPr>
          <w:rFonts w:asciiTheme="majorHAnsi" w:hAnsiTheme="majorHAnsi" w:cstheme="majorHAnsi"/>
          <w:sz w:val="24"/>
          <w:szCs w:val="24"/>
        </w:rPr>
        <w:t xml:space="preserve">La otra región cerebral relacionada con la psicopatía ha sido la amígdala. La amígdala </w:t>
      </w:r>
      <w:r w:rsidR="00113A74" w:rsidRPr="0029175D">
        <w:rPr>
          <w:rFonts w:asciiTheme="majorHAnsi" w:hAnsiTheme="majorHAnsi" w:cstheme="majorHAnsi"/>
          <w:sz w:val="24"/>
          <w:szCs w:val="24"/>
        </w:rPr>
        <w:t>está</w:t>
      </w:r>
      <w:r w:rsidRPr="0029175D">
        <w:rPr>
          <w:rFonts w:asciiTheme="majorHAnsi" w:hAnsiTheme="majorHAnsi" w:cstheme="majorHAnsi"/>
          <w:sz w:val="24"/>
          <w:szCs w:val="24"/>
        </w:rPr>
        <w:t xml:space="preserve"> conformada por un conjunto de núcleos y se encuentra conectada de forma bidireccional con numerosas estructuras cerebrales, tanto corticales como la CPF, como </w:t>
      </w:r>
      <w:r w:rsidRPr="0029175D">
        <w:rPr>
          <w:rFonts w:asciiTheme="majorHAnsi" w:hAnsiTheme="majorHAnsi" w:cstheme="majorHAnsi"/>
          <w:sz w:val="24"/>
          <w:szCs w:val="24"/>
        </w:rPr>
        <w:lastRenderedPageBreak/>
        <w:t xml:space="preserve">subcorticales como el hipotálamo (Ortega-Escobar y Alcázar-Córcoles, 2019). Los estudios sobre lesiones en el complejo amigdaloide parten de la dificultad de diferenciar si dicha alteración se ha producido en uno o varios de los núcleos y si ha afectado a fibras que la conectan con otras áreas cerebrales (Ortega-Escobar y Alcázar-Córcoles, 2019). Pardini, Raine, Erickson y Loeber (2014) realizaron un estudio en el que pudieron observar que los sujetos psicópatas contaban con una disminución de hasta el 17% del tamaño del complejo amigdaloide. En este estudio se </w:t>
      </w:r>
      <w:r w:rsidR="00113A74" w:rsidRPr="0029175D">
        <w:rPr>
          <w:rFonts w:asciiTheme="majorHAnsi" w:hAnsiTheme="majorHAnsi" w:cstheme="majorHAnsi"/>
          <w:sz w:val="24"/>
          <w:szCs w:val="24"/>
        </w:rPr>
        <w:t>indicó</w:t>
      </w:r>
      <w:r w:rsidRPr="0029175D">
        <w:rPr>
          <w:rFonts w:asciiTheme="majorHAnsi" w:hAnsiTheme="majorHAnsi" w:cstheme="majorHAnsi"/>
          <w:sz w:val="24"/>
          <w:szCs w:val="24"/>
        </w:rPr>
        <w:t xml:space="preserve"> que este volumen inferior suponía un factor de riesgo para el comportamiento violento e incluso delictivo en el futuro.</w:t>
      </w:r>
    </w:p>
    <w:p w14:paraId="4052CA08" w14:textId="77777777" w:rsidR="008D27E4" w:rsidRPr="004B0338" w:rsidRDefault="008D27E4">
      <w:pPr>
        <w:pStyle w:val="Ttulo1"/>
        <w:spacing w:line="360" w:lineRule="auto"/>
        <w:jc w:val="both"/>
        <w:rPr>
          <w:color w:val="auto"/>
        </w:rPr>
      </w:pPr>
      <w:r w:rsidRPr="004B0338">
        <w:rPr>
          <w:color w:val="auto"/>
        </w:rPr>
        <w:t>Implicaciones psico legales</w:t>
      </w:r>
    </w:p>
    <w:p w14:paraId="431D715E" w14:textId="077CDBCE" w:rsidR="008D27E4" w:rsidRPr="004B0338" w:rsidRDefault="008D27E4">
      <w:pPr>
        <w:spacing w:line="360" w:lineRule="auto"/>
        <w:ind w:firstLine="708"/>
        <w:jc w:val="both"/>
        <w:rPr>
          <w:sz w:val="24"/>
          <w:szCs w:val="24"/>
        </w:rPr>
      </w:pPr>
      <w:r w:rsidRPr="004B0338">
        <w:rPr>
          <w:sz w:val="24"/>
          <w:szCs w:val="24"/>
        </w:rPr>
        <w:t xml:space="preserve">Como se mencionó en la introducción, una de las labores de la neuropsicología forense </w:t>
      </w:r>
      <w:r w:rsidR="006B3E56">
        <w:rPr>
          <w:sz w:val="24"/>
          <w:szCs w:val="24"/>
        </w:rPr>
        <w:t>puede consistir en enlazar un hecho delictivo con las bases neurobiológicas de un sujeto con el objetivo de</w:t>
      </w:r>
      <w:r w:rsidR="006B3E56" w:rsidRPr="004B0338">
        <w:rPr>
          <w:sz w:val="24"/>
          <w:szCs w:val="24"/>
        </w:rPr>
        <w:t xml:space="preserve"> </w:t>
      </w:r>
      <w:r w:rsidR="006B3E56">
        <w:rPr>
          <w:sz w:val="24"/>
          <w:szCs w:val="24"/>
        </w:rPr>
        <w:t xml:space="preserve">valorar </w:t>
      </w:r>
      <w:r w:rsidRPr="004B0338">
        <w:rPr>
          <w:sz w:val="24"/>
          <w:szCs w:val="24"/>
        </w:rPr>
        <w:t xml:space="preserve">la imputabilidad (Iruarrizaga, 1999). El concepto de imputabilidad a pesar de ser un término jurídico tiene un componente psicológico ya que </w:t>
      </w:r>
      <w:r w:rsidR="00650E15">
        <w:rPr>
          <w:sz w:val="24"/>
          <w:szCs w:val="24"/>
        </w:rPr>
        <w:t>se basa en</w:t>
      </w:r>
      <w:r w:rsidRPr="004B0338">
        <w:rPr>
          <w:sz w:val="24"/>
          <w:szCs w:val="24"/>
        </w:rPr>
        <w:t xml:space="preserve"> las capacidades del sujeto para poder ser declarado culpable en caso de cometer un acto antijurídico</w:t>
      </w:r>
      <w:r w:rsidRPr="004B0338">
        <w:rPr>
          <w:rFonts w:ascii="Times New Roman" w:eastAsia="Times New Roman" w:hAnsi="Times New Roman" w:cs="Times New Roman"/>
          <w:sz w:val="24"/>
          <w:szCs w:val="24"/>
          <w:lang w:eastAsia="es-ES"/>
        </w:rPr>
        <w:t>.</w:t>
      </w:r>
      <w:r w:rsidRPr="004B0338">
        <w:rPr>
          <w:sz w:val="24"/>
          <w:szCs w:val="24"/>
        </w:rPr>
        <w:t xml:space="preserve"> El concepto de imputabilidad requiere de dos elementos: las capacidades cognoscitivas (comprensión del acto)</w:t>
      </w:r>
      <w:r w:rsidR="001146B5">
        <w:rPr>
          <w:sz w:val="24"/>
          <w:szCs w:val="24"/>
        </w:rPr>
        <w:t xml:space="preserve"> </w:t>
      </w:r>
      <w:r w:rsidRPr="004B0338">
        <w:rPr>
          <w:sz w:val="24"/>
          <w:szCs w:val="24"/>
        </w:rPr>
        <w:t>y las capacidad volitivas (actuar libremente y en consecuencia) (</w:t>
      </w:r>
      <w:r w:rsidRPr="004B0338">
        <w:rPr>
          <w:rFonts w:ascii="Times New Roman" w:eastAsia="Times New Roman" w:hAnsi="Times New Roman" w:cs="Times New Roman"/>
          <w:sz w:val="24"/>
          <w:szCs w:val="24"/>
          <w:lang w:eastAsia="es-ES"/>
        </w:rPr>
        <w:t xml:space="preserve">De La Torre,1999; </w:t>
      </w:r>
      <w:r w:rsidRPr="004B0338">
        <w:rPr>
          <w:sz w:val="24"/>
          <w:szCs w:val="24"/>
        </w:rPr>
        <w:t xml:space="preserve">García, 2007). </w:t>
      </w:r>
    </w:p>
    <w:p w14:paraId="5B930288" w14:textId="7DD8C80F" w:rsidR="008D27E4" w:rsidRPr="004B0338" w:rsidRDefault="001146B5">
      <w:pPr>
        <w:spacing w:line="360" w:lineRule="auto"/>
        <w:ind w:firstLine="708"/>
        <w:jc w:val="both"/>
        <w:rPr>
          <w:rFonts w:ascii="Times New Roman" w:eastAsia="Times New Roman" w:hAnsi="Times New Roman" w:cs="Times New Roman"/>
          <w:sz w:val="24"/>
          <w:szCs w:val="24"/>
          <w:lang w:eastAsia="es-ES"/>
        </w:rPr>
      </w:pPr>
      <w:r>
        <w:rPr>
          <w:sz w:val="24"/>
          <w:szCs w:val="24"/>
        </w:rPr>
        <w:t>En base a la defin</w:t>
      </w:r>
      <w:r w:rsidR="00615890">
        <w:rPr>
          <w:sz w:val="24"/>
          <w:szCs w:val="24"/>
        </w:rPr>
        <w:t>i</w:t>
      </w:r>
      <w:r>
        <w:rPr>
          <w:sz w:val="24"/>
          <w:szCs w:val="24"/>
        </w:rPr>
        <w:t>ción de la imputabilidad</w:t>
      </w:r>
      <w:r w:rsidR="008D27E4" w:rsidRPr="004B0338">
        <w:rPr>
          <w:sz w:val="24"/>
          <w:szCs w:val="24"/>
        </w:rPr>
        <w:t xml:space="preserve">, </w:t>
      </w:r>
      <w:r>
        <w:rPr>
          <w:sz w:val="24"/>
          <w:szCs w:val="24"/>
        </w:rPr>
        <w:t>los</w:t>
      </w:r>
      <w:r w:rsidR="008D27E4" w:rsidRPr="004B0338">
        <w:rPr>
          <w:sz w:val="24"/>
          <w:szCs w:val="24"/>
        </w:rPr>
        <w:t xml:space="preserve"> trastornos mentales </w:t>
      </w:r>
      <w:r>
        <w:rPr>
          <w:sz w:val="24"/>
          <w:szCs w:val="24"/>
        </w:rPr>
        <w:t xml:space="preserve">se consideran </w:t>
      </w:r>
      <w:r w:rsidR="008D27E4" w:rsidRPr="004B0338">
        <w:rPr>
          <w:sz w:val="24"/>
          <w:szCs w:val="24"/>
        </w:rPr>
        <w:t xml:space="preserve">como causa de </w:t>
      </w:r>
      <w:r>
        <w:rPr>
          <w:sz w:val="24"/>
          <w:szCs w:val="24"/>
        </w:rPr>
        <w:t>modificación de la responsabilidad criminal</w:t>
      </w:r>
      <w:r w:rsidRPr="004B0338">
        <w:rPr>
          <w:sz w:val="24"/>
          <w:szCs w:val="24"/>
        </w:rPr>
        <w:t xml:space="preserve"> </w:t>
      </w:r>
      <w:r w:rsidR="008D27E4" w:rsidRPr="004B0338">
        <w:rPr>
          <w:sz w:val="24"/>
          <w:szCs w:val="24"/>
        </w:rPr>
        <w:t xml:space="preserve">siempre y cuando las capacidades cognoscitivas y volitivas se vieran afectadas y esto se </w:t>
      </w:r>
      <w:r>
        <w:rPr>
          <w:sz w:val="24"/>
          <w:szCs w:val="24"/>
        </w:rPr>
        <w:t>pueda demostrar (</w:t>
      </w:r>
      <w:r w:rsidR="00420104">
        <w:rPr>
          <w:sz w:val="24"/>
          <w:szCs w:val="24"/>
        </w:rPr>
        <w:t xml:space="preserve">fórmula mixta, </w:t>
      </w:r>
      <w:r>
        <w:rPr>
          <w:sz w:val="24"/>
          <w:szCs w:val="24"/>
        </w:rPr>
        <w:t>base patológica y efecto psicológico)</w:t>
      </w:r>
      <w:r w:rsidR="008D27E4" w:rsidRPr="004B0338">
        <w:rPr>
          <w:sz w:val="24"/>
          <w:szCs w:val="24"/>
        </w:rPr>
        <w:t>. Esto implica que no siempre existe el mismo grado de responsabilidad</w:t>
      </w:r>
      <w:r>
        <w:rPr>
          <w:sz w:val="24"/>
          <w:szCs w:val="24"/>
        </w:rPr>
        <w:t>,</w:t>
      </w:r>
      <w:r w:rsidR="008D27E4" w:rsidRPr="004B0338">
        <w:rPr>
          <w:sz w:val="24"/>
          <w:szCs w:val="24"/>
        </w:rPr>
        <w:t xml:space="preserve"> lo que dará lugar a la aplicación de circunstancias eximentes y atenuantes</w:t>
      </w:r>
      <w:r>
        <w:rPr>
          <w:sz w:val="24"/>
          <w:szCs w:val="24"/>
        </w:rPr>
        <w:t>.</w:t>
      </w:r>
      <w:r w:rsidRPr="001146B5">
        <w:rPr>
          <w:rFonts w:eastAsiaTheme="minorEastAsia"/>
          <w:color w:val="000000" w:themeColor="text1"/>
          <w:kern w:val="24"/>
          <w:sz w:val="32"/>
          <w:szCs w:val="32"/>
        </w:rPr>
        <w:t xml:space="preserve"> </w:t>
      </w:r>
      <w:r w:rsidRPr="001146B5">
        <w:rPr>
          <w:sz w:val="24"/>
          <w:szCs w:val="24"/>
        </w:rPr>
        <w:t xml:space="preserve">La imputabilidad viene recogida en nuestro Código Penal (La Ley Orgánica 10/1995, de 23 de noviembre) en los artículos </w:t>
      </w:r>
      <w:r w:rsidRPr="001146B5">
        <w:rPr>
          <w:b/>
          <w:bCs/>
          <w:sz w:val="24"/>
          <w:szCs w:val="24"/>
        </w:rPr>
        <w:t>20, 21 y 22</w:t>
      </w:r>
      <w:r w:rsidRPr="001146B5">
        <w:rPr>
          <w:sz w:val="24"/>
          <w:szCs w:val="24"/>
        </w:rPr>
        <w:t>, entre otros</w:t>
      </w:r>
      <w:r w:rsidRPr="001146B5" w:rsidDel="001146B5">
        <w:rPr>
          <w:sz w:val="24"/>
          <w:szCs w:val="24"/>
        </w:rPr>
        <w:t xml:space="preserve"> </w:t>
      </w:r>
      <w:r w:rsidR="008D27E4" w:rsidRPr="004B0338">
        <w:rPr>
          <w:sz w:val="24"/>
          <w:szCs w:val="24"/>
        </w:rPr>
        <w:t>(</w:t>
      </w:r>
      <w:r w:rsidR="008D27E4" w:rsidRPr="004B0338">
        <w:rPr>
          <w:rFonts w:ascii="Times New Roman" w:eastAsia="Times New Roman" w:hAnsi="Times New Roman" w:cs="Times New Roman"/>
          <w:sz w:val="24"/>
          <w:szCs w:val="24"/>
          <w:lang w:eastAsia="es-ES"/>
        </w:rPr>
        <w:t>De La Torre,1999)</w:t>
      </w:r>
      <w:r w:rsidR="008D27E4" w:rsidRPr="004B0338">
        <w:rPr>
          <w:sz w:val="24"/>
          <w:szCs w:val="24"/>
        </w:rPr>
        <w:t>.</w:t>
      </w:r>
      <w:r w:rsidR="008D27E4" w:rsidRPr="004B0338">
        <w:rPr>
          <w:rFonts w:ascii="Times New Roman" w:eastAsia="Times New Roman" w:hAnsi="Times New Roman" w:cs="Times New Roman"/>
          <w:sz w:val="24"/>
          <w:szCs w:val="24"/>
          <w:lang w:eastAsia="es-ES"/>
        </w:rPr>
        <w:t xml:space="preserve"> </w:t>
      </w:r>
    </w:p>
    <w:p w14:paraId="69763B21" w14:textId="3C318CC0" w:rsidR="00E429E4" w:rsidRDefault="00A86604" w:rsidP="00086344">
      <w:pPr>
        <w:spacing w:line="360" w:lineRule="auto"/>
        <w:ind w:firstLine="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La psicopatía apareció por primera vez en la jurisprudencia española en 1988, </w:t>
      </w:r>
      <w:r w:rsidR="008D27E4" w:rsidRPr="004B0338">
        <w:rPr>
          <w:rFonts w:ascii="Times New Roman" w:eastAsia="Times New Roman" w:hAnsi="Times New Roman" w:cs="Times New Roman"/>
          <w:sz w:val="24"/>
          <w:szCs w:val="24"/>
          <w:lang w:eastAsia="es-ES"/>
        </w:rPr>
        <w:t xml:space="preserve"> siendo una de las sentencias más importantes la STS 1391/1988 del 29 de febrero (Agustina y Lorenzo, 2016). </w:t>
      </w:r>
      <w:r>
        <w:rPr>
          <w:sz w:val="24"/>
          <w:szCs w:val="24"/>
        </w:rPr>
        <w:t>En</w:t>
      </w:r>
      <w:r w:rsidR="008D27E4" w:rsidRPr="004B0338">
        <w:rPr>
          <w:sz w:val="24"/>
          <w:szCs w:val="24"/>
        </w:rPr>
        <w:t xml:space="preserve"> el ámbito jurídico se ha considera la psicopatía como parte de los trastornos de personalidad, a pesar de no constar en los manuales de clasificación clínica, y una de las premisas que más controversia genera es si son penalmente culpables de los delitos que cometen</w:t>
      </w:r>
      <w:r w:rsidR="001146B5">
        <w:rPr>
          <w:sz w:val="24"/>
          <w:szCs w:val="24"/>
        </w:rPr>
        <w:t xml:space="preserve"> </w:t>
      </w:r>
      <w:r w:rsidR="008D27E4" w:rsidRPr="004B0338">
        <w:rPr>
          <w:sz w:val="24"/>
          <w:szCs w:val="24"/>
        </w:rPr>
        <w:t>(</w:t>
      </w:r>
      <w:r w:rsidR="008D27E4" w:rsidRPr="004B0338">
        <w:rPr>
          <w:rFonts w:ascii="Times New Roman" w:eastAsia="Times New Roman" w:hAnsi="Times New Roman" w:cs="Times New Roman"/>
          <w:sz w:val="24"/>
          <w:szCs w:val="24"/>
          <w:lang w:eastAsia="es-ES"/>
        </w:rPr>
        <w:t xml:space="preserve">Agustina y Lorenzo, 2016; Peñaranda </w:t>
      </w:r>
      <w:r w:rsidR="008D27E4" w:rsidRPr="004B0338">
        <w:rPr>
          <w:rFonts w:ascii="Times New Roman" w:eastAsia="Times New Roman" w:hAnsi="Times New Roman" w:cs="Times New Roman"/>
          <w:sz w:val="24"/>
          <w:szCs w:val="24"/>
          <w:lang w:eastAsia="es-ES"/>
        </w:rPr>
        <w:lastRenderedPageBreak/>
        <w:t>y Puente, 2019). El tratamiento de la psicopatía en la jurisprudencia en general no ha considerado que existan elementos suficientes para la modificación de la responsabilidad criminal a excepción de que existiera otras anomalías psíquicas</w:t>
      </w:r>
      <w:r w:rsidR="00765692">
        <w:rPr>
          <w:rFonts w:ascii="Times New Roman" w:eastAsia="Times New Roman" w:hAnsi="Times New Roman" w:cs="Times New Roman"/>
          <w:sz w:val="24"/>
          <w:szCs w:val="24"/>
          <w:lang w:eastAsia="es-ES"/>
        </w:rPr>
        <w:t xml:space="preserve"> (comorbilidad)</w:t>
      </w:r>
      <w:r w:rsidR="008D27E4" w:rsidRPr="004B0338">
        <w:rPr>
          <w:rFonts w:ascii="Times New Roman" w:eastAsia="Times New Roman" w:hAnsi="Times New Roman" w:cs="Times New Roman"/>
          <w:sz w:val="24"/>
          <w:szCs w:val="24"/>
          <w:lang w:eastAsia="es-ES"/>
        </w:rPr>
        <w:t xml:space="preserve"> u orgánicas que así los justificasen (Agustina y Lorenzo, 2016; De La Torre,1999</w:t>
      </w:r>
      <w:r w:rsidR="006B3E56">
        <w:rPr>
          <w:rFonts w:ascii="Times New Roman" w:eastAsia="Times New Roman" w:hAnsi="Times New Roman" w:cs="Times New Roman"/>
          <w:sz w:val="24"/>
          <w:szCs w:val="24"/>
          <w:lang w:eastAsia="es-ES"/>
        </w:rPr>
        <w:t xml:space="preserve">). </w:t>
      </w:r>
      <w:r w:rsidR="008D27E4" w:rsidRPr="004B0338">
        <w:rPr>
          <w:rFonts w:ascii="Times New Roman" w:eastAsia="Times New Roman" w:hAnsi="Times New Roman" w:cs="Times New Roman"/>
          <w:sz w:val="24"/>
          <w:szCs w:val="24"/>
          <w:lang w:eastAsia="es-ES"/>
        </w:rPr>
        <w:t>Con la aparición del Código Penal de 1995 y la redacción de los artículos 20 y 21, de forma aparente la psicopatía podía incluirse dentro de las alteraciones psíquicas que considera el art</w:t>
      </w:r>
      <w:r w:rsidR="00722E6A">
        <w:rPr>
          <w:rFonts w:ascii="Times New Roman" w:eastAsia="Times New Roman" w:hAnsi="Times New Roman" w:cs="Times New Roman"/>
          <w:sz w:val="24"/>
          <w:szCs w:val="24"/>
          <w:lang w:eastAsia="es-ES"/>
        </w:rPr>
        <w:t>í</w:t>
      </w:r>
      <w:r w:rsidR="008D27E4" w:rsidRPr="004B0338">
        <w:rPr>
          <w:rFonts w:ascii="Times New Roman" w:eastAsia="Times New Roman" w:hAnsi="Times New Roman" w:cs="Times New Roman"/>
          <w:sz w:val="24"/>
          <w:szCs w:val="24"/>
          <w:lang w:eastAsia="es-ES"/>
        </w:rPr>
        <w:t>culo 20.1, pero el Alto Tribunal especific</w:t>
      </w:r>
      <w:r w:rsidR="00765692">
        <w:rPr>
          <w:rFonts w:ascii="Times New Roman" w:eastAsia="Times New Roman" w:hAnsi="Times New Roman" w:cs="Times New Roman"/>
          <w:sz w:val="24"/>
          <w:szCs w:val="24"/>
          <w:lang w:eastAsia="es-ES"/>
        </w:rPr>
        <w:t>ó</w:t>
      </w:r>
      <w:r w:rsidR="008D27E4" w:rsidRPr="004B0338">
        <w:rPr>
          <w:rFonts w:ascii="Times New Roman" w:eastAsia="Times New Roman" w:hAnsi="Times New Roman" w:cs="Times New Roman"/>
          <w:sz w:val="24"/>
          <w:szCs w:val="24"/>
          <w:lang w:eastAsia="es-ES"/>
        </w:rPr>
        <w:t xml:space="preserve"> que la jurisprudencia no atiende a una regla general y en la mayoría de las ocasiones ha considerado a los acusados con dicha patología plenamente responsables (Agustina y Lorenzo, 2016). Actualmente la jurisprudencia considera la psicopatía una anomalía psíquica pero no por esto implica que sus capacidades cognoscitiva y volitivas se vean afectadas por lo que también debe analizarse el nexo causal con el acto delictivo, es decir, si ha existido influencia de la patología en la comisión del delito, además de existencia de otras circunstancias que pueden influir como el abuso de sustancia, muy presente en la jurisprudencia relacionada con la psicopatía (Dujo y Horcajo</w:t>
      </w:r>
      <w:r>
        <w:rPr>
          <w:rFonts w:ascii="Times New Roman" w:eastAsia="Times New Roman" w:hAnsi="Times New Roman" w:cs="Times New Roman"/>
          <w:sz w:val="24"/>
          <w:szCs w:val="24"/>
          <w:lang w:eastAsia="es-ES"/>
        </w:rPr>
        <w:t>-</w:t>
      </w:r>
      <w:r w:rsidR="008D27E4" w:rsidRPr="004B0338">
        <w:rPr>
          <w:rFonts w:ascii="Times New Roman" w:eastAsia="Times New Roman" w:hAnsi="Times New Roman" w:cs="Times New Roman"/>
          <w:sz w:val="24"/>
          <w:szCs w:val="24"/>
          <w:lang w:eastAsia="es-ES"/>
        </w:rPr>
        <w:t>Gil, 2017). Es en este punto donde Peñaranda y Puente (2019) plantean que las aportaciones sobre la etiología de la psicopatía podrían influenciar los criterios jurídicos anteriormente mencionados.</w:t>
      </w:r>
      <w:r w:rsidR="008D27E4">
        <w:rPr>
          <w:rFonts w:ascii="Times New Roman" w:eastAsia="Times New Roman" w:hAnsi="Times New Roman" w:cs="Times New Roman"/>
          <w:sz w:val="24"/>
          <w:szCs w:val="24"/>
          <w:lang w:eastAsia="es-ES"/>
        </w:rPr>
        <w:t xml:space="preserve"> </w:t>
      </w:r>
    </w:p>
    <w:p w14:paraId="75402533" w14:textId="5AE4433D" w:rsidR="00883CAE" w:rsidRDefault="00B1163E" w:rsidP="009A0B65">
      <w:pPr>
        <w:spacing w:line="360" w:lineRule="auto"/>
        <w:ind w:firstLine="708"/>
        <w:jc w:val="both"/>
        <w:rPr>
          <w:rFonts w:asciiTheme="majorHAnsi" w:hAnsiTheme="majorHAnsi" w:cstheme="majorHAnsi"/>
          <w:sz w:val="24"/>
          <w:szCs w:val="24"/>
        </w:rPr>
      </w:pPr>
      <w:r>
        <w:rPr>
          <w:rFonts w:ascii="Times New Roman" w:eastAsia="Times New Roman" w:hAnsi="Times New Roman" w:cs="Times New Roman"/>
          <w:sz w:val="24"/>
          <w:szCs w:val="24"/>
          <w:lang w:eastAsia="es-ES"/>
        </w:rPr>
        <w:t xml:space="preserve">No existe un tratamiento homogéneo de la psicopatía </w:t>
      </w:r>
      <w:r w:rsidR="003F2D73">
        <w:rPr>
          <w:rFonts w:ascii="Times New Roman" w:eastAsia="Times New Roman" w:hAnsi="Times New Roman" w:cs="Times New Roman"/>
          <w:sz w:val="24"/>
          <w:szCs w:val="24"/>
          <w:lang w:eastAsia="es-ES"/>
        </w:rPr>
        <w:t xml:space="preserve">por lo que la jurisprudencia ha tratado a sujetos con el mismo diagnostico de distinto modo, aplicando eximentes </w:t>
      </w:r>
      <w:r w:rsidR="003C0E36">
        <w:rPr>
          <w:rFonts w:ascii="Times New Roman" w:eastAsia="Times New Roman" w:hAnsi="Times New Roman" w:cs="Times New Roman"/>
          <w:sz w:val="24"/>
          <w:szCs w:val="24"/>
          <w:lang w:eastAsia="es-ES"/>
        </w:rPr>
        <w:t xml:space="preserve">incompletas en algunas ocasiones, principalmente cuando convergen con otras patologías, </w:t>
      </w:r>
      <w:r w:rsidR="003F2D73">
        <w:rPr>
          <w:rFonts w:ascii="Times New Roman" w:eastAsia="Times New Roman" w:hAnsi="Times New Roman" w:cs="Times New Roman"/>
          <w:sz w:val="24"/>
          <w:szCs w:val="24"/>
          <w:lang w:eastAsia="es-ES"/>
        </w:rPr>
        <w:t xml:space="preserve"> pero difícilmente se considera de la aplicación de una completa (</w:t>
      </w:r>
      <w:r w:rsidR="00962CB4">
        <w:rPr>
          <w:rFonts w:ascii="Times New Roman" w:eastAsia="Times New Roman" w:hAnsi="Times New Roman" w:cs="Times New Roman"/>
          <w:sz w:val="24"/>
          <w:szCs w:val="24"/>
          <w:lang w:eastAsia="es-ES"/>
        </w:rPr>
        <w:t>Agustina y Lorenzo, 2016</w:t>
      </w:r>
      <w:r w:rsidR="003C0E36">
        <w:rPr>
          <w:rFonts w:ascii="Times New Roman" w:eastAsia="Times New Roman" w:hAnsi="Times New Roman" w:cs="Times New Roman"/>
          <w:sz w:val="24"/>
          <w:szCs w:val="24"/>
          <w:lang w:eastAsia="es-ES"/>
        </w:rPr>
        <w:t>; Dujo y Horcajo-Gil, 2017</w:t>
      </w:r>
      <w:r w:rsidR="00962CB4">
        <w:rPr>
          <w:rFonts w:ascii="Times New Roman" w:eastAsia="Times New Roman" w:hAnsi="Times New Roman" w:cs="Times New Roman"/>
          <w:sz w:val="24"/>
          <w:szCs w:val="24"/>
          <w:lang w:eastAsia="es-ES"/>
        </w:rPr>
        <w:t>)</w:t>
      </w:r>
      <w:r w:rsidR="003B1403">
        <w:rPr>
          <w:rFonts w:ascii="Times New Roman" w:eastAsia="Times New Roman" w:hAnsi="Times New Roman" w:cs="Times New Roman"/>
          <w:sz w:val="24"/>
          <w:szCs w:val="24"/>
          <w:lang w:eastAsia="es-ES"/>
        </w:rPr>
        <w:t xml:space="preserve">. Por esta ausencia de una norma general, la aplicación de medidas de seguridad en casos de psicopatía es bastante escasa y su aplicación o no gira en torno a la efectividad que tendrían estas respecto a la aplicación de la pena (Agustina y Lorenzo, 2016; </w:t>
      </w:r>
      <w:r w:rsidR="00F72805">
        <w:rPr>
          <w:rFonts w:asciiTheme="majorHAnsi" w:hAnsiTheme="majorHAnsi" w:cstheme="majorHAnsi"/>
          <w:sz w:val="24"/>
          <w:szCs w:val="24"/>
        </w:rPr>
        <w:t>Ramos</w:t>
      </w:r>
      <w:r w:rsidR="00F72805" w:rsidRPr="0029175D">
        <w:rPr>
          <w:rFonts w:asciiTheme="majorHAnsi" w:hAnsiTheme="majorHAnsi" w:cstheme="majorHAnsi"/>
          <w:sz w:val="24"/>
          <w:szCs w:val="24"/>
        </w:rPr>
        <w:t xml:space="preserve"> y </w:t>
      </w:r>
      <w:r w:rsidR="00F72805">
        <w:rPr>
          <w:rFonts w:asciiTheme="majorHAnsi" w:hAnsiTheme="majorHAnsi" w:cstheme="majorHAnsi"/>
          <w:sz w:val="24"/>
          <w:szCs w:val="24"/>
        </w:rPr>
        <w:t>Rodríguez</w:t>
      </w:r>
      <w:r w:rsidR="003B1403" w:rsidRPr="0029175D">
        <w:rPr>
          <w:rFonts w:asciiTheme="majorHAnsi" w:hAnsiTheme="majorHAnsi" w:cstheme="majorHAnsi"/>
          <w:sz w:val="24"/>
          <w:szCs w:val="24"/>
        </w:rPr>
        <w:t>, 2019</w:t>
      </w:r>
      <w:r w:rsidR="003B1403">
        <w:rPr>
          <w:rFonts w:asciiTheme="majorHAnsi" w:hAnsiTheme="majorHAnsi" w:cstheme="majorHAnsi"/>
          <w:sz w:val="24"/>
          <w:szCs w:val="24"/>
        </w:rPr>
        <w:t>).</w:t>
      </w:r>
      <w:r w:rsidR="00A8439D">
        <w:rPr>
          <w:rFonts w:ascii="Times New Roman" w:eastAsia="Times New Roman" w:hAnsi="Times New Roman" w:cs="Times New Roman"/>
          <w:sz w:val="24"/>
          <w:szCs w:val="24"/>
          <w:lang w:eastAsia="es-ES"/>
        </w:rPr>
        <w:t xml:space="preserve"> </w:t>
      </w:r>
      <w:r w:rsidR="003B1403">
        <w:rPr>
          <w:rFonts w:ascii="Times New Roman" w:eastAsia="Times New Roman" w:hAnsi="Times New Roman" w:cs="Times New Roman"/>
          <w:sz w:val="24"/>
          <w:szCs w:val="24"/>
          <w:lang w:eastAsia="es-ES"/>
        </w:rPr>
        <w:t>La</w:t>
      </w:r>
      <w:r w:rsidR="00A8439D">
        <w:rPr>
          <w:rFonts w:ascii="Times New Roman" w:eastAsia="Times New Roman" w:hAnsi="Times New Roman" w:cs="Times New Roman"/>
          <w:sz w:val="24"/>
          <w:szCs w:val="24"/>
          <w:lang w:eastAsia="es-ES"/>
        </w:rPr>
        <w:t xml:space="preserve"> aplicación de </w:t>
      </w:r>
      <w:r w:rsidR="003B1403">
        <w:rPr>
          <w:rFonts w:ascii="Times New Roman" w:eastAsia="Times New Roman" w:hAnsi="Times New Roman" w:cs="Times New Roman"/>
          <w:sz w:val="24"/>
          <w:szCs w:val="24"/>
          <w:lang w:eastAsia="es-ES"/>
        </w:rPr>
        <w:t>medidas de seguridad</w:t>
      </w:r>
      <w:r w:rsidR="00883CAE">
        <w:rPr>
          <w:rFonts w:ascii="Times New Roman" w:eastAsia="Times New Roman" w:hAnsi="Times New Roman" w:cs="Times New Roman"/>
          <w:sz w:val="24"/>
          <w:szCs w:val="24"/>
          <w:lang w:eastAsia="es-ES"/>
        </w:rPr>
        <w:t xml:space="preserve"> parece ser una de las opciones que </w:t>
      </w:r>
      <w:r w:rsidR="00E429E4">
        <w:rPr>
          <w:rFonts w:ascii="Times New Roman" w:eastAsia="Times New Roman" w:hAnsi="Times New Roman" w:cs="Times New Roman"/>
          <w:sz w:val="24"/>
          <w:szCs w:val="24"/>
          <w:lang w:eastAsia="es-ES"/>
        </w:rPr>
        <w:t>más</w:t>
      </w:r>
      <w:r w:rsidR="00883CAE">
        <w:rPr>
          <w:rFonts w:ascii="Times New Roman" w:eastAsia="Times New Roman" w:hAnsi="Times New Roman" w:cs="Times New Roman"/>
          <w:sz w:val="24"/>
          <w:szCs w:val="24"/>
          <w:lang w:eastAsia="es-ES"/>
        </w:rPr>
        <w:t xml:space="preserve"> se ajustan a tratar el comportamiento delictivo de</w:t>
      </w:r>
      <w:r w:rsidR="00E429E4">
        <w:rPr>
          <w:rFonts w:ascii="Times New Roman" w:eastAsia="Times New Roman" w:hAnsi="Times New Roman" w:cs="Times New Roman"/>
          <w:sz w:val="24"/>
          <w:szCs w:val="24"/>
          <w:lang w:eastAsia="es-ES"/>
        </w:rPr>
        <w:t xml:space="preserve"> </w:t>
      </w:r>
      <w:r w:rsidR="00883CAE">
        <w:rPr>
          <w:rFonts w:ascii="Times New Roman" w:eastAsia="Times New Roman" w:hAnsi="Times New Roman" w:cs="Times New Roman"/>
          <w:sz w:val="24"/>
          <w:szCs w:val="24"/>
          <w:lang w:eastAsia="es-ES"/>
        </w:rPr>
        <w:t xml:space="preserve">este tipo de sujetos pero plantea la problemática de si es útil en aquellos sujetos considerados intratables y si esta aplicación </w:t>
      </w:r>
      <w:r w:rsidR="007B4285">
        <w:rPr>
          <w:rFonts w:ascii="Times New Roman" w:eastAsia="Times New Roman" w:hAnsi="Times New Roman" w:cs="Times New Roman"/>
          <w:sz w:val="24"/>
          <w:szCs w:val="24"/>
          <w:lang w:eastAsia="es-ES"/>
        </w:rPr>
        <w:t>fuera</w:t>
      </w:r>
      <w:r w:rsidR="00883CAE">
        <w:rPr>
          <w:rFonts w:ascii="Times New Roman" w:eastAsia="Times New Roman" w:hAnsi="Times New Roman" w:cs="Times New Roman"/>
          <w:sz w:val="24"/>
          <w:szCs w:val="24"/>
          <w:lang w:eastAsia="es-ES"/>
        </w:rPr>
        <w:t xml:space="preserve"> por beneficio del </w:t>
      </w:r>
      <w:r w:rsidR="00B95769">
        <w:rPr>
          <w:rFonts w:ascii="Times New Roman" w:eastAsia="Times New Roman" w:hAnsi="Times New Roman" w:cs="Times New Roman"/>
          <w:sz w:val="24"/>
          <w:szCs w:val="24"/>
          <w:lang w:eastAsia="es-ES"/>
        </w:rPr>
        <w:t>individuo</w:t>
      </w:r>
      <w:r w:rsidR="00883CAE">
        <w:rPr>
          <w:rFonts w:ascii="Times New Roman" w:eastAsia="Times New Roman" w:hAnsi="Times New Roman" w:cs="Times New Roman"/>
          <w:sz w:val="24"/>
          <w:szCs w:val="24"/>
          <w:lang w:eastAsia="es-ES"/>
        </w:rPr>
        <w:t xml:space="preserve"> </w:t>
      </w:r>
      <w:r w:rsidR="007B4285">
        <w:rPr>
          <w:rFonts w:ascii="Times New Roman" w:eastAsia="Times New Roman" w:hAnsi="Times New Roman" w:cs="Times New Roman"/>
          <w:sz w:val="24"/>
          <w:szCs w:val="24"/>
          <w:lang w:eastAsia="es-ES"/>
        </w:rPr>
        <w:t>o por prevención de futuros daños a la sociedad (</w:t>
      </w:r>
      <w:r w:rsidR="00E429E4">
        <w:rPr>
          <w:rFonts w:ascii="Times New Roman" w:eastAsia="Times New Roman" w:hAnsi="Times New Roman" w:cs="Times New Roman"/>
          <w:sz w:val="24"/>
          <w:szCs w:val="24"/>
          <w:lang w:eastAsia="es-ES"/>
        </w:rPr>
        <w:t>Gómez</w:t>
      </w:r>
      <w:r w:rsidR="007B4285">
        <w:rPr>
          <w:rFonts w:ascii="Times New Roman" w:eastAsia="Times New Roman" w:hAnsi="Times New Roman" w:cs="Times New Roman"/>
          <w:sz w:val="24"/>
          <w:szCs w:val="24"/>
          <w:lang w:eastAsia="es-ES"/>
        </w:rPr>
        <w:t xml:space="preserve"> y Halty, 2016; </w:t>
      </w:r>
      <w:r w:rsidR="00F72805">
        <w:rPr>
          <w:rFonts w:asciiTheme="majorHAnsi" w:hAnsiTheme="majorHAnsi" w:cstheme="majorHAnsi"/>
          <w:sz w:val="24"/>
          <w:szCs w:val="24"/>
        </w:rPr>
        <w:t>Ramos</w:t>
      </w:r>
      <w:r w:rsidR="007B4285" w:rsidRPr="0029175D">
        <w:rPr>
          <w:rFonts w:asciiTheme="majorHAnsi" w:hAnsiTheme="majorHAnsi" w:cstheme="majorHAnsi"/>
          <w:sz w:val="24"/>
          <w:szCs w:val="24"/>
        </w:rPr>
        <w:t xml:space="preserve"> y </w:t>
      </w:r>
      <w:r w:rsidR="00F72805">
        <w:rPr>
          <w:rFonts w:asciiTheme="majorHAnsi" w:hAnsiTheme="majorHAnsi" w:cstheme="majorHAnsi"/>
          <w:sz w:val="24"/>
          <w:szCs w:val="24"/>
        </w:rPr>
        <w:t>Rodríguez</w:t>
      </w:r>
      <w:r w:rsidR="007B4285" w:rsidRPr="0029175D">
        <w:rPr>
          <w:rFonts w:asciiTheme="majorHAnsi" w:hAnsiTheme="majorHAnsi" w:cstheme="majorHAnsi"/>
          <w:sz w:val="24"/>
          <w:szCs w:val="24"/>
        </w:rPr>
        <w:t>, 2019</w:t>
      </w:r>
      <w:r w:rsidR="009A0B65">
        <w:rPr>
          <w:rFonts w:asciiTheme="majorHAnsi" w:hAnsiTheme="majorHAnsi" w:cstheme="majorHAnsi"/>
          <w:sz w:val="24"/>
          <w:szCs w:val="24"/>
        </w:rPr>
        <w:t>).</w:t>
      </w:r>
    </w:p>
    <w:p w14:paraId="643E1ABA" w14:textId="0123F83E" w:rsidR="00A316AA" w:rsidRPr="00A316AA" w:rsidRDefault="00890715" w:rsidP="00A316AA">
      <w:pPr>
        <w:spacing w:line="360" w:lineRule="auto"/>
        <w:jc w:val="both"/>
        <w:rPr>
          <w:sz w:val="24"/>
          <w:szCs w:val="24"/>
        </w:rPr>
      </w:pPr>
      <w:r w:rsidRPr="00A316AA">
        <w:rPr>
          <w:rFonts w:eastAsia="Times New Roman"/>
          <w:sz w:val="24"/>
          <w:szCs w:val="24"/>
          <w:lang w:eastAsia="es-ES"/>
        </w:rPr>
        <w:t xml:space="preserve">Para mostrar esto, </w:t>
      </w:r>
      <w:r w:rsidR="00F32226" w:rsidRPr="00A316AA">
        <w:rPr>
          <w:rFonts w:eastAsia="Times New Roman"/>
          <w:sz w:val="24"/>
          <w:szCs w:val="24"/>
          <w:lang w:eastAsia="es-ES"/>
        </w:rPr>
        <w:t xml:space="preserve">se procederá a analizar la </w:t>
      </w:r>
      <w:r w:rsidR="00C355AB" w:rsidRPr="00A316AA">
        <w:rPr>
          <w:sz w:val="24"/>
          <w:szCs w:val="24"/>
        </w:rPr>
        <w:t xml:space="preserve">STS 3814/2014. En esta sentencia se expone </w:t>
      </w:r>
      <w:r w:rsidR="007F24C7" w:rsidRPr="00A316AA">
        <w:rPr>
          <w:sz w:val="24"/>
          <w:szCs w:val="24"/>
        </w:rPr>
        <w:t>que el acusado interpone un recurso alegando la presencia de una atenuante recogida en el articulo 21.6ª, en este caso al padecer trastorno antisocial</w:t>
      </w:r>
      <w:r w:rsidR="002407FA" w:rsidRPr="00A316AA">
        <w:rPr>
          <w:sz w:val="24"/>
          <w:szCs w:val="24"/>
        </w:rPr>
        <w:t xml:space="preserve"> de la personalidad</w:t>
      </w:r>
      <w:r w:rsidR="007F24C7" w:rsidRPr="00A316AA">
        <w:rPr>
          <w:sz w:val="24"/>
          <w:szCs w:val="24"/>
        </w:rPr>
        <w:t xml:space="preserve"> (la </w:t>
      </w:r>
      <w:r w:rsidR="007F24C7" w:rsidRPr="00A316AA">
        <w:rPr>
          <w:sz w:val="24"/>
          <w:szCs w:val="24"/>
        </w:rPr>
        <w:lastRenderedPageBreak/>
        <w:t>jurisprudencia trata indistintamente psicopatía y TAP)</w:t>
      </w:r>
      <w:r w:rsidR="0003609E" w:rsidRPr="00A316AA">
        <w:rPr>
          <w:sz w:val="24"/>
          <w:szCs w:val="24"/>
        </w:rPr>
        <w:t xml:space="preserve">. En este caso se indica que </w:t>
      </w:r>
      <w:r w:rsidR="00163BAE" w:rsidRPr="00A316AA">
        <w:rPr>
          <w:sz w:val="24"/>
          <w:szCs w:val="24"/>
        </w:rPr>
        <w:t xml:space="preserve">“Las psicopatías o trastornos de la personalidad no presentan siempre la misma intensidad o grado de afectación en quien las padece”, y que en ese caso los profesionales que intervinieron en la evaluación del sujeto advirtieron la presencia de dicha patología y a pesar de esta, se </w:t>
      </w:r>
      <w:r w:rsidR="00A316AA" w:rsidRPr="00A316AA">
        <w:rPr>
          <w:sz w:val="24"/>
          <w:szCs w:val="24"/>
        </w:rPr>
        <w:t xml:space="preserve">indicó que esta no interfería en la comisión de los actos cometidos y estos fueron libres y voluntarios, por lo que se decidió rechazar dicho motivo. </w:t>
      </w:r>
    </w:p>
    <w:p w14:paraId="5D21EB8A" w14:textId="262E9606" w:rsidR="00615BFF" w:rsidRPr="00BD7FA2" w:rsidRDefault="00615BFF">
      <w:pPr>
        <w:pStyle w:val="Ttulo1"/>
        <w:spacing w:line="360" w:lineRule="auto"/>
        <w:jc w:val="both"/>
        <w:rPr>
          <w:color w:val="auto"/>
        </w:rPr>
      </w:pPr>
      <w:r w:rsidRPr="00BD7FA2">
        <w:rPr>
          <w:color w:val="auto"/>
        </w:rPr>
        <w:t>Discusión y conclusiones</w:t>
      </w:r>
    </w:p>
    <w:p w14:paraId="7955F043" w14:textId="2C4C5901" w:rsidR="00615BFF" w:rsidRPr="00BD7FA2" w:rsidRDefault="00615BFF">
      <w:pPr>
        <w:spacing w:after="0" w:line="360" w:lineRule="auto"/>
        <w:ind w:firstLine="708"/>
        <w:jc w:val="both"/>
        <w:rPr>
          <w:sz w:val="24"/>
          <w:szCs w:val="24"/>
        </w:rPr>
      </w:pPr>
      <w:r w:rsidRPr="00BD7FA2">
        <w:rPr>
          <w:sz w:val="24"/>
          <w:szCs w:val="24"/>
        </w:rPr>
        <w:t>La agresión y la violencia son acontecimientos frecuentes en la sociedad actual</w:t>
      </w:r>
      <w:r w:rsidR="00650E15">
        <w:rPr>
          <w:sz w:val="24"/>
          <w:szCs w:val="24"/>
        </w:rPr>
        <w:t>,</w:t>
      </w:r>
      <w:r w:rsidRPr="00BD7FA2">
        <w:rPr>
          <w:sz w:val="24"/>
          <w:szCs w:val="24"/>
        </w:rPr>
        <w:t xml:space="preserve"> y aunque en ocasiones puedan tener un</w:t>
      </w:r>
      <w:r w:rsidR="00650E15">
        <w:rPr>
          <w:sz w:val="24"/>
          <w:szCs w:val="24"/>
        </w:rPr>
        <w:t>a</w:t>
      </w:r>
      <w:r w:rsidRPr="00BD7FA2">
        <w:rPr>
          <w:sz w:val="24"/>
          <w:szCs w:val="24"/>
        </w:rPr>
        <w:t xml:space="preserve"> finalidad adaptativa, también supone</w:t>
      </w:r>
      <w:r w:rsidR="00D513D8">
        <w:rPr>
          <w:sz w:val="24"/>
          <w:szCs w:val="24"/>
        </w:rPr>
        <w:t>n</w:t>
      </w:r>
      <w:r w:rsidRPr="00BD7FA2">
        <w:rPr>
          <w:sz w:val="24"/>
          <w:szCs w:val="24"/>
        </w:rPr>
        <w:t xml:space="preserve"> un problema que abordar cuando produce consecuencias graves como las daños f</w:t>
      </w:r>
      <w:r w:rsidR="009D64A4">
        <w:rPr>
          <w:sz w:val="24"/>
          <w:szCs w:val="24"/>
        </w:rPr>
        <w:t>í</w:t>
      </w:r>
      <w:r w:rsidRPr="00BD7FA2">
        <w:rPr>
          <w:sz w:val="24"/>
          <w:szCs w:val="24"/>
        </w:rPr>
        <w:t xml:space="preserve">sicos y psicológicas e incluso la muerte. </w:t>
      </w:r>
    </w:p>
    <w:p w14:paraId="70EF2017" w14:textId="431A0EA1" w:rsidR="00615BFF" w:rsidRPr="00BD7FA2" w:rsidRDefault="00E07C16">
      <w:pPr>
        <w:spacing w:after="0" w:line="360" w:lineRule="auto"/>
        <w:ind w:firstLine="708"/>
        <w:jc w:val="both"/>
        <w:rPr>
          <w:sz w:val="24"/>
          <w:szCs w:val="24"/>
        </w:rPr>
      </w:pPr>
      <w:r>
        <w:rPr>
          <w:sz w:val="24"/>
          <w:szCs w:val="24"/>
        </w:rPr>
        <w:t xml:space="preserve">Aunque las teorías criminológicas parten de modelos de </w:t>
      </w:r>
      <w:r w:rsidR="00CB0550">
        <w:rPr>
          <w:sz w:val="24"/>
          <w:szCs w:val="24"/>
        </w:rPr>
        <w:t>interacción</w:t>
      </w:r>
      <w:r>
        <w:rPr>
          <w:sz w:val="24"/>
          <w:szCs w:val="24"/>
        </w:rPr>
        <w:t xml:space="preserve"> </w:t>
      </w:r>
      <w:r w:rsidR="00EE443E">
        <w:rPr>
          <w:sz w:val="24"/>
          <w:szCs w:val="24"/>
        </w:rPr>
        <w:t>psicosociales que</w:t>
      </w:r>
      <w:r>
        <w:rPr>
          <w:sz w:val="24"/>
          <w:szCs w:val="24"/>
        </w:rPr>
        <w:t xml:space="preserve"> consideran a</w:t>
      </w:r>
      <w:r w:rsidR="00420104">
        <w:rPr>
          <w:sz w:val="24"/>
          <w:szCs w:val="24"/>
        </w:rPr>
        <w:t xml:space="preserve"> </w:t>
      </w:r>
      <w:r>
        <w:rPr>
          <w:sz w:val="24"/>
          <w:szCs w:val="24"/>
        </w:rPr>
        <w:t>la agresión y la violencia como fenómenos multicausales</w:t>
      </w:r>
      <w:r w:rsidR="00420104">
        <w:rPr>
          <w:sz w:val="24"/>
          <w:szCs w:val="24"/>
        </w:rPr>
        <w:t>,</w:t>
      </w:r>
      <w:r>
        <w:rPr>
          <w:sz w:val="24"/>
          <w:szCs w:val="24"/>
        </w:rPr>
        <w:t xml:space="preserve"> el presente trabajo </w:t>
      </w:r>
      <w:r w:rsidR="00420104">
        <w:rPr>
          <w:sz w:val="24"/>
          <w:szCs w:val="24"/>
        </w:rPr>
        <w:t>se</w:t>
      </w:r>
      <w:r>
        <w:rPr>
          <w:sz w:val="24"/>
          <w:szCs w:val="24"/>
        </w:rPr>
        <w:t xml:space="preserve"> h</w:t>
      </w:r>
      <w:r w:rsidR="00420104">
        <w:rPr>
          <w:sz w:val="24"/>
          <w:szCs w:val="24"/>
        </w:rPr>
        <w:t>a</w:t>
      </w:r>
      <w:r>
        <w:rPr>
          <w:sz w:val="24"/>
          <w:szCs w:val="24"/>
        </w:rPr>
        <w:t xml:space="preserve"> centrado en los componentes neurobiológicos y neuropsicológicos de la agresión en general y de la psicopatía en concreto.</w:t>
      </w:r>
      <w:r w:rsidR="00CB0550">
        <w:rPr>
          <w:sz w:val="24"/>
          <w:szCs w:val="24"/>
        </w:rPr>
        <w:t xml:space="preserve"> </w:t>
      </w:r>
      <w:r w:rsidR="00615BFF" w:rsidRPr="00BD7FA2">
        <w:rPr>
          <w:sz w:val="24"/>
          <w:szCs w:val="24"/>
        </w:rPr>
        <w:t>Tras la revisión bibliográfica realizada sobre estos factores he podido ampliar mis conocimientos sobre dichas conductas</w:t>
      </w:r>
      <w:r w:rsidR="002F040E">
        <w:rPr>
          <w:sz w:val="24"/>
          <w:szCs w:val="24"/>
        </w:rPr>
        <w:t xml:space="preserve"> y su conexión con las dos grandes cuestiones:</w:t>
      </w:r>
      <w:r w:rsidR="00CB0550">
        <w:rPr>
          <w:sz w:val="24"/>
          <w:szCs w:val="24"/>
        </w:rPr>
        <w:t xml:space="preserve"> </w:t>
      </w:r>
      <w:r w:rsidR="002F040E">
        <w:rPr>
          <w:sz w:val="24"/>
          <w:szCs w:val="24"/>
        </w:rPr>
        <w:t>su tratabilidad y sus implicaciones legales</w:t>
      </w:r>
      <w:r w:rsidR="00615BFF" w:rsidRPr="00BD7FA2">
        <w:rPr>
          <w:sz w:val="24"/>
          <w:szCs w:val="24"/>
        </w:rPr>
        <w:t xml:space="preserve"> </w:t>
      </w:r>
    </w:p>
    <w:p w14:paraId="20AF05F9" w14:textId="11907B1D" w:rsidR="00615BFF" w:rsidRDefault="00615BFF">
      <w:pPr>
        <w:spacing w:after="0" w:line="360" w:lineRule="auto"/>
        <w:ind w:firstLine="708"/>
        <w:jc w:val="both"/>
        <w:rPr>
          <w:sz w:val="24"/>
          <w:szCs w:val="24"/>
        </w:rPr>
      </w:pPr>
      <w:r w:rsidRPr="00BD7FA2">
        <w:rPr>
          <w:sz w:val="24"/>
          <w:szCs w:val="24"/>
        </w:rPr>
        <w:t xml:space="preserve">Las conductas estudiadas a lo largo del presente trabajo se han relacionado </w:t>
      </w:r>
      <w:r w:rsidR="00EE443E">
        <w:rPr>
          <w:sz w:val="24"/>
          <w:szCs w:val="24"/>
        </w:rPr>
        <w:t xml:space="preserve">principalmente con una sola </w:t>
      </w:r>
      <w:r w:rsidRPr="00BD7FA2">
        <w:rPr>
          <w:sz w:val="24"/>
          <w:szCs w:val="24"/>
        </w:rPr>
        <w:t>etiqueta diagn</w:t>
      </w:r>
      <w:r w:rsidR="00650E15">
        <w:rPr>
          <w:sz w:val="24"/>
          <w:szCs w:val="24"/>
        </w:rPr>
        <w:t>ó</w:t>
      </w:r>
      <w:r w:rsidRPr="00BD7FA2">
        <w:rPr>
          <w:sz w:val="24"/>
          <w:szCs w:val="24"/>
        </w:rPr>
        <w:t>stica: la psicopatía. En la literatura se ha mostrado como aquellos factores biológicos que predisponen a la violencia están presentes en sujetos etiquetados como psicópatas</w:t>
      </w:r>
      <w:r w:rsidR="009C255E">
        <w:rPr>
          <w:sz w:val="24"/>
          <w:szCs w:val="24"/>
        </w:rPr>
        <w:t xml:space="preserve">. Aunque estos no son los únicos factores que influyen en este tipo de conductas, los factores psicológicos y ambientales también tienen una gran relevancia. </w:t>
      </w:r>
      <w:r>
        <w:rPr>
          <w:sz w:val="24"/>
          <w:szCs w:val="24"/>
        </w:rPr>
        <w:t xml:space="preserve">Respecto a los factores biológicos, se ha podido observar que existen evidencias a este nivel de diferencias entre la población general y </w:t>
      </w:r>
      <w:r w:rsidR="00E07C16">
        <w:rPr>
          <w:sz w:val="24"/>
          <w:szCs w:val="24"/>
        </w:rPr>
        <w:t xml:space="preserve">los </w:t>
      </w:r>
      <w:r>
        <w:rPr>
          <w:sz w:val="24"/>
          <w:szCs w:val="24"/>
        </w:rPr>
        <w:t>psicópata</w:t>
      </w:r>
      <w:r w:rsidR="00E07C16">
        <w:rPr>
          <w:sz w:val="24"/>
          <w:szCs w:val="24"/>
        </w:rPr>
        <w:t>s</w:t>
      </w:r>
      <w:r>
        <w:rPr>
          <w:sz w:val="24"/>
          <w:szCs w:val="24"/>
        </w:rPr>
        <w:t>, e incluso se han manifestado diferencias que a nivel de neuroimagen son observables</w:t>
      </w:r>
      <w:r w:rsidR="00E07C16">
        <w:rPr>
          <w:sz w:val="24"/>
          <w:szCs w:val="24"/>
        </w:rPr>
        <w:t>,</w:t>
      </w:r>
      <w:r>
        <w:rPr>
          <w:sz w:val="24"/>
          <w:szCs w:val="24"/>
        </w:rPr>
        <w:t xml:space="preserve"> </w:t>
      </w:r>
      <w:r w:rsidR="00E07C16">
        <w:rPr>
          <w:sz w:val="24"/>
          <w:szCs w:val="24"/>
        </w:rPr>
        <w:t>tanto a nivel funcional como estructural</w:t>
      </w:r>
      <w:r>
        <w:rPr>
          <w:sz w:val="24"/>
          <w:szCs w:val="24"/>
        </w:rPr>
        <w:t xml:space="preserve">. Estos estudios de neuroimagen plantean la posibilidad de ser empleados en juicios como prueba de la existencia de anomalía física de estos sujetos para considerar la </w:t>
      </w:r>
      <w:r w:rsidR="00284C36">
        <w:rPr>
          <w:sz w:val="24"/>
          <w:szCs w:val="24"/>
        </w:rPr>
        <w:t xml:space="preserve">aplicación </w:t>
      </w:r>
      <w:r>
        <w:rPr>
          <w:sz w:val="24"/>
          <w:szCs w:val="24"/>
        </w:rPr>
        <w:t xml:space="preserve">o no de eximentes. El problema que se plantea </w:t>
      </w:r>
      <w:r w:rsidR="00284C36">
        <w:rPr>
          <w:sz w:val="24"/>
          <w:szCs w:val="24"/>
        </w:rPr>
        <w:t>es si verdaderamente la existencia de alteraciones en la estructura o funcionalidad del sustrato neuropsicológico de los delincuentes en general y de lo</w:t>
      </w:r>
      <w:r w:rsidR="00420104">
        <w:rPr>
          <w:sz w:val="24"/>
          <w:szCs w:val="24"/>
        </w:rPr>
        <w:t>s</w:t>
      </w:r>
      <w:r w:rsidR="00284C36">
        <w:rPr>
          <w:sz w:val="24"/>
          <w:szCs w:val="24"/>
        </w:rPr>
        <w:t xml:space="preserve"> psicópatas en concreto puede afectar a la compresión del hecho y el ajuste de la conducta a dicho </w:t>
      </w:r>
      <w:r w:rsidR="009C255E">
        <w:rPr>
          <w:sz w:val="24"/>
          <w:szCs w:val="24"/>
        </w:rPr>
        <w:t>entendimiento.</w:t>
      </w:r>
      <w:r>
        <w:rPr>
          <w:sz w:val="24"/>
          <w:szCs w:val="24"/>
        </w:rPr>
        <w:t xml:space="preserve"> </w:t>
      </w:r>
      <w:r w:rsidR="00284C36">
        <w:rPr>
          <w:sz w:val="24"/>
          <w:szCs w:val="24"/>
        </w:rPr>
        <w:t>Esta posibilidad abriría un nuevo debate jurídico en materia de imputabilidad</w:t>
      </w:r>
      <w:r w:rsidR="00420104">
        <w:rPr>
          <w:sz w:val="24"/>
          <w:szCs w:val="24"/>
        </w:rPr>
        <w:t>, pero a día de hoy sigue siendo una vía de investigación abierta.</w:t>
      </w:r>
      <w:r w:rsidR="00284C36">
        <w:rPr>
          <w:sz w:val="24"/>
          <w:szCs w:val="24"/>
        </w:rPr>
        <w:t xml:space="preserve"> </w:t>
      </w:r>
      <w:r>
        <w:rPr>
          <w:sz w:val="24"/>
          <w:szCs w:val="24"/>
        </w:rPr>
        <w:t xml:space="preserve">Existe una </w:t>
      </w:r>
      <w:r>
        <w:rPr>
          <w:sz w:val="24"/>
          <w:szCs w:val="24"/>
        </w:rPr>
        <w:lastRenderedPageBreak/>
        <w:t>necesidad de avanzar en la investigación en este ámbito y ampliar la literatura con el fin de que</w:t>
      </w:r>
      <w:r w:rsidR="00650E15">
        <w:rPr>
          <w:sz w:val="24"/>
          <w:szCs w:val="24"/>
        </w:rPr>
        <w:t>,</w:t>
      </w:r>
      <w:r>
        <w:rPr>
          <w:sz w:val="24"/>
          <w:szCs w:val="24"/>
        </w:rPr>
        <w:t xml:space="preserve"> en caso de querer emplearse en la actividad </w:t>
      </w:r>
      <w:r w:rsidR="00420104">
        <w:rPr>
          <w:sz w:val="24"/>
          <w:szCs w:val="24"/>
        </w:rPr>
        <w:t xml:space="preserve">procesal </w:t>
      </w:r>
      <w:r>
        <w:rPr>
          <w:sz w:val="24"/>
          <w:szCs w:val="24"/>
        </w:rPr>
        <w:t>probatoria</w:t>
      </w:r>
      <w:r w:rsidR="00650E15">
        <w:rPr>
          <w:sz w:val="24"/>
          <w:szCs w:val="24"/>
        </w:rPr>
        <w:t>,</w:t>
      </w:r>
      <w:r>
        <w:rPr>
          <w:sz w:val="24"/>
          <w:szCs w:val="24"/>
        </w:rPr>
        <w:t xml:space="preserve"> exista suficiente base científica que fundamente dichas pruebas con el fin de plantear </w:t>
      </w:r>
      <w:r w:rsidR="00421073">
        <w:rPr>
          <w:sz w:val="24"/>
          <w:szCs w:val="24"/>
        </w:rPr>
        <w:t>l</w:t>
      </w:r>
      <w:r w:rsidR="00420104">
        <w:rPr>
          <w:sz w:val="24"/>
          <w:szCs w:val="24"/>
        </w:rPr>
        <w:t xml:space="preserve">as medidas de modificación </w:t>
      </w:r>
      <w:r w:rsidR="00421073">
        <w:rPr>
          <w:sz w:val="24"/>
          <w:szCs w:val="24"/>
        </w:rPr>
        <w:t>de</w:t>
      </w:r>
      <w:r w:rsidR="00420104">
        <w:rPr>
          <w:sz w:val="24"/>
          <w:szCs w:val="24"/>
        </w:rPr>
        <w:t xml:space="preserve"> responsabilidad criminal y las medidas de seguridad alternativas correspondientes.</w:t>
      </w:r>
    </w:p>
    <w:p w14:paraId="0C784467" w14:textId="62110743" w:rsidR="00420104" w:rsidRDefault="00615BFF">
      <w:pPr>
        <w:spacing w:after="0" w:line="360" w:lineRule="auto"/>
        <w:ind w:firstLine="708"/>
        <w:jc w:val="both"/>
        <w:rPr>
          <w:sz w:val="24"/>
          <w:szCs w:val="24"/>
        </w:rPr>
      </w:pPr>
      <w:r w:rsidRPr="00111CE5">
        <w:rPr>
          <w:sz w:val="24"/>
          <w:szCs w:val="24"/>
        </w:rPr>
        <w:t xml:space="preserve">La psicopatía, a causa de su predisposición a la violencia, se encuentra muy presente en el ámbito jurídico y forense. En la jurisprudencia existe cierta confusión terminológica, ya que se denomina psicópata a cualquier sujeto con conductas antisociales, llevando a la confusión entre psicopatía y trastorno de la personalidad antisocial. </w:t>
      </w:r>
      <w:r w:rsidR="00650E15">
        <w:rPr>
          <w:sz w:val="24"/>
          <w:szCs w:val="24"/>
        </w:rPr>
        <w:t>Esta confusión no solo dificulta el diseño de tratamientos ajustados a las características de los casos, sino que, desde el punto de vista legal dificulta la cohesión de los criterios legales incluidos en la jurisprudencia</w:t>
      </w:r>
      <w:r w:rsidR="00DC0019">
        <w:rPr>
          <w:sz w:val="24"/>
          <w:szCs w:val="24"/>
        </w:rPr>
        <w:t xml:space="preserve"> que dan lugar a las reglas y pautas de actuación. </w:t>
      </w:r>
      <w:r w:rsidRPr="00111CE5">
        <w:rPr>
          <w:sz w:val="24"/>
          <w:szCs w:val="24"/>
        </w:rPr>
        <w:t>De forma genérica en España, ambas etiquetas diagnosticas tiene responsabilidad criminal plena, aunque lentamente se están empezando a escuchar a aquellos autores que plantean la existencia de anomalías o disfunciones cerebrales que predisponen a la violencia.</w:t>
      </w:r>
      <w:r>
        <w:rPr>
          <w:sz w:val="24"/>
          <w:szCs w:val="24"/>
        </w:rPr>
        <w:t xml:space="preserve"> Algunos autores plantean la existencia de psicópatas en los que si se pudiese implementar tratamiento y otros en los que no. La existencia o no de tratamiento supondría un cambio en el paradigma judicial ya que la existencia de medidas de seguridad que pudiesen favorecer la reinserción de dichos individuos sería m</w:t>
      </w:r>
      <w:r w:rsidR="00650E15">
        <w:rPr>
          <w:sz w:val="24"/>
          <w:szCs w:val="24"/>
        </w:rPr>
        <w:t>á</w:t>
      </w:r>
      <w:r>
        <w:rPr>
          <w:sz w:val="24"/>
          <w:szCs w:val="24"/>
        </w:rPr>
        <w:t>s beneficios</w:t>
      </w:r>
      <w:r w:rsidR="00650E15">
        <w:rPr>
          <w:sz w:val="24"/>
          <w:szCs w:val="24"/>
        </w:rPr>
        <w:t>o</w:t>
      </w:r>
      <w:r>
        <w:rPr>
          <w:sz w:val="24"/>
          <w:szCs w:val="24"/>
        </w:rPr>
        <w:t xml:space="preserve"> para la sociedad que la instancia en prisión durante un n</w:t>
      </w:r>
      <w:r w:rsidR="00650E15">
        <w:rPr>
          <w:sz w:val="24"/>
          <w:szCs w:val="24"/>
        </w:rPr>
        <w:t>ú</w:t>
      </w:r>
      <w:r>
        <w:rPr>
          <w:sz w:val="24"/>
          <w:szCs w:val="24"/>
        </w:rPr>
        <w:t xml:space="preserve">mero concreto de años. </w:t>
      </w:r>
    </w:p>
    <w:p w14:paraId="74E38087" w14:textId="77777777" w:rsidR="00420104" w:rsidRDefault="00420104">
      <w:pPr>
        <w:spacing w:after="0" w:line="360" w:lineRule="auto"/>
        <w:ind w:firstLine="708"/>
        <w:jc w:val="both"/>
        <w:rPr>
          <w:sz w:val="24"/>
          <w:szCs w:val="24"/>
        </w:rPr>
      </w:pPr>
    </w:p>
    <w:p w14:paraId="7584DF6B" w14:textId="26581BAF" w:rsidR="00615BFF" w:rsidRPr="00111CE5" w:rsidRDefault="00EE443E" w:rsidP="00EE443E">
      <w:pPr>
        <w:spacing w:after="0" w:line="360" w:lineRule="auto"/>
        <w:jc w:val="both"/>
        <w:rPr>
          <w:sz w:val="24"/>
          <w:szCs w:val="24"/>
        </w:rPr>
      </w:pPr>
      <w:r>
        <w:rPr>
          <w:sz w:val="24"/>
          <w:szCs w:val="24"/>
        </w:rPr>
        <w:tab/>
      </w:r>
      <w:r w:rsidR="00615BFF">
        <w:rPr>
          <w:sz w:val="24"/>
          <w:szCs w:val="24"/>
        </w:rPr>
        <w:t xml:space="preserve"> Las líneas actuales de tratamiento en la literatura actual proponen trabajar directamente con los factores de riesgo</w:t>
      </w:r>
      <w:r w:rsidR="00271E93">
        <w:rPr>
          <w:sz w:val="24"/>
          <w:szCs w:val="24"/>
        </w:rPr>
        <w:t xml:space="preserve"> dinámicos</w:t>
      </w:r>
      <w:r w:rsidR="00615BFF">
        <w:rPr>
          <w:sz w:val="24"/>
          <w:szCs w:val="24"/>
        </w:rPr>
        <w:t xml:space="preserve"> y la alianza terapéutica, para poder conseguir que este tipo de sujetos finalicen la terapia</w:t>
      </w:r>
      <w:r w:rsidR="002C6310">
        <w:rPr>
          <w:sz w:val="24"/>
          <w:szCs w:val="24"/>
        </w:rPr>
        <w:t xml:space="preserve"> apelando a un sentido utilitarista y beneficioso para sus intereses</w:t>
      </w:r>
      <w:r w:rsidR="00615BFF">
        <w:rPr>
          <w:sz w:val="24"/>
          <w:szCs w:val="24"/>
        </w:rPr>
        <w:t>.</w:t>
      </w:r>
      <w:r w:rsidR="00420104">
        <w:rPr>
          <w:sz w:val="24"/>
          <w:szCs w:val="24"/>
        </w:rPr>
        <w:t xml:space="preserve"> En los últimos años las </w:t>
      </w:r>
      <w:r w:rsidR="00DC0019">
        <w:rPr>
          <w:sz w:val="24"/>
          <w:szCs w:val="24"/>
        </w:rPr>
        <w:t>investigaciones</w:t>
      </w:r>
      <w:r w:rsidR="00420104">
        <w:rPr>
          <w:sz w:val="24"/>
          <w:szCs w:val="24"/>
        </w:rPr>
        <w:t xml:space="preserve"> se han centrado en identificar las aspectos diferenciales de lo </w:t>
      </w:r>
      <w:r w:rsidR="00DC0019">
        <w:rPr>
          <w:sz w:val="24"/>
          <w:szCs w:val="24"/>
        </w:rPr>
        <w:t>psicópatas</w:t>
      </w:r>
      <w:r w:rsidR="00420104">
        <w:rPr>
          <w:sz w:val="24"/>
          <w:szCs w:val="24"/>
        </w:rPr>
        <w:t xml:space="preserve"> para aislar aquellas variables m</w:t>
      </w:r>
      <w:r w:rsidR="00DC0019">
        <w:rPr>
          <w:sz w:val="24"/>
          <w:szCs w:val="24"/>
        </w:rPr>
        <w:t>á</w:t>
      </w:r>
      <w:r w:rsidR="00420104">
        <w:rPr>
          <w:sz w:val="24"/>
          <w:szCs w:val="24"/>
        </w:rPr>
        <w:t xml:space="preserve">s </w:t>
      </w:r>
      <w:r w:rsidR="00DC0019">
        <w:rPr>
          <w:sz w:val="24"/>
          <w:szCs w:val="24"/>
        </w:rPr>
        <w:t>relacionadas</w:t>
      </w:r>
      <w:r w:rsidR="00420104">
        <w:rPr>
          <w:sz w:val="24"/>
          <w:szCs w:val="24"/>
        </w:rPr>
        <w:t xml:space="preserve"> con la </w:t>
      </w:r>
      <w:r w:rsidR="00DC0019">
        <w:rPr>
          <w:sz w:val="24"/>
          <w:szCs w:val="24"/>
        </w:rPr>
        <w:t>conducta</w:t>
      </w:r>
      <w:r w:rsidR="00420104">
        <w:rPr>
          <w:sz w:val="24"/>
          <w:szCs w:val="24"/>
        </w:rPr>
        <w:t xml:space="preserve"> delictiva. </w:t>
      </w:r>
      <w:r w:rsidR="00DC0019">
        <w:rPr>
          <w:sz w:val="24"/>
          <w:szCs w:val="24"/>
        </w:rPr>
        <w:t>Aunque</w:t>
      </w:r>
      <w:r w:rsidR="00420104">
        <w:rPr>
          <w:sz w:val="24"/>
          <w:szCs w:val="24"/>
        </w:rPr>
        <w:t xml:space="preserve"> los resultados son </w:t>
      </w:r>
      <w:r w:rsidR="00DC0019">
        <w:rPr>
          <w:sz w:val="24"/>
          <w:szCs w:val="24"/>
        </w:rPr>
        <w:t>heterogéneos</w:t>
      </w:r>
      <w:r w:rsidR="00420104">
        <w:rPr>
          <w:sz w:val="24"/>
          <w:szCs w:val="24"/>
        </w:rPr>
        <w:t xml:space="preserve">, parece ser que son las </w:t>
      </w:r>
      <w:r w:rsidR="00DC0019">
        <w:rPr>
          <w:sz w:val="24"/>
          <w:szCs w:val="24"/>
        </w:rPr>
        <w:t>características</w:t>
      </w:r>
      <w:r w:rsidR="00420104">
        <w:rPr>
          <w:sz w:val="24"/>
          <w:szCs w:val="24"/>
        </w:rPr>
        <w:t xml:space="preserve"> </w:t>
      </w:r>
      <w:r w:rsidR="00DC0019">
        <w:rPr>
          <w:sz w:val="24"/>
          <w:szCs w:val="24"/>
        </w:rPr>
        <w:t>asociadas</w:t>
      </w:r>
      <w:r w:rsidR="00420104">
        <w:rPr>
          <w:sz w:val="24"/>
          <w:szCs w:val="24"/>
        </w:rPr>
        <w:t xml:space="preserve"> al Factor II de la PCL los que más correlacionan con la</w:t>
      </w:r>
      <w:r w:rsidR="00DC0019">
        <w:rPr>
          <w:sz w:val="24"/>
          <w:szCs w:val="24"/>
        </w:rPr>
        <w:t>s</w:t>
      </w:r>
      <w:r w:rsidR="00420104">
        <w:rPr>
          <w:sz w:val="24"/>
          <w:szCs w:val="24"/>
        </w:rPr>
        <w:t xml:space="preserve"> conducta</w:t>
      </w:r>
      <w:r w:rsidR="00DC0019">
        <w:rPr>
          <w:sz w:val="24"/>
          <w:szCs w:val="24"/>
        </w:rPr>
        <w:t>s</w:t>
      </w:r>
      <w:r w:rsidR="00420104">
        <w:rPr>
          <w:sz w:val="24"/>
          <w:szCs w:val="24"/>
        </w:rPr>
        <w:t xml:space="preserve"> delictiva</w:t>
      </w:r>
      <w:r w:rsidR="00DC0019">
        <w:rPr>
          <w:sz w:val="24"/>
          <w:szCs w:val="24"/>
        </w:rPr>
        <w:t>s</w:t>
      </w:r>
      <w:r w:rsidR="00420104">
        <w:rPr>
          <w:sz w:val="24"/>
          <w:szCs w:val="24"/>
        </w:rPr>
        <w:t>.</w:t>
      </w:r>
      <w:r w:rsidR="00615BFF">
        <w:rPr>
          <w:sz w:val="24"/>
          <w:szCs w:val="24"/>
        </w:rPr>
        <w:t xml:space="preserve"> </w:t>
      </w:r>
      <w:r w:rsidR="00420104">
        <w:rPr>
          <w:sz w:val="24"/>
          <w:szCs w:val="24"/>
        </w:rPr>
        <w:t xml:space="preserve">Aunque no se ha descartado la posibilidad de tratar los rasgos psicopáticos en los todos los </w:t>
      </w:r>
      <w:r w:rsidR="00DC0019">
        <w:rPr>
          <w:sz w:val="24"/>
          <w:szCs w:val="24"/>
        </w:rPr>
        <w:t>individuos</w:t>
      </w:r>
      <w:r w:rsidR="00420104">
        <w:rPr>
          <w:sz w:val="24"/>
          <w:szCs w:val="24"/>
        </w:rPr>
        <w:t xml:space="preserve">, parece ser que la línea general de los </w:t>
      </w:r>
      <w:r w:rsidR="00DC0019">
        <w:rPr>
          <w:sz w:val="24"/>
          <w:szCs w:val="24"/>
        </w:rPr>
        <w:t>tratamientos</w:t>
      </w:r>
      <w:r w:rsidR="00420104">
        <w:rPr>
          <w:sz w:val="24"/>
          <w:szCs w:val="24"/>
        </w:rPr>
        <w:t xml:space="preserve"> efectivos </w:t>
      </w:r>
      <w:r w:rsidR="00DC0019">
        <w:rPr>
          <w:sz w:val="24"/>
          <w:szCs w:val="24"/>
        </w:rPr>
        <w:t xml:space="preserve">se centra en el tratamiento de los factores de riesgo dinámicos. Esta idea de separar las esferas conductuales y las afectivas/ interpersonales también se ha empleado en el estudio de los perfiles infantojuveniles. Esto adquiere especial relevancia en materia </w:t>
      </w:r>
      <w:r w:rsidR="00DC0019">
        <w:rPr>
          <w:sz w:val="24"/>
          <w:szCs w:val="24"/>
        </w:rPr>
        <w:lastRenderedPageBreak/>
        <w:t xml:space="preserve">de prevención, sobre todo en aquellos individuos que desde temprana edad presentan mayores índices de insensibilidad afectiva, correlacionando este indicador con mayor riego de violencia y pero respuesta al tratamiento.  </w:t>
      </w:r>
      <w:r w:rsidR="00615BFF">
        <w:rPr>
          <w:sz w:val="24"/>
          <w:szCs w:val="24"/>
        </w:rPr>
        <w:t xml:space="preserve">Enfocado a líneas futuras la propuesta de diferentes tipos de programas serviría para poder tener propuestas entre las que elegir a la hora de aplicar un programa de tratamiento tanto si el sujeto se encuentra en prisión como si se le ha implementado medidas de seguridad. </w:t>
      </w:r>
      <w:r w:rsidR="00615BFF" w:rsidRPr="00111CE5">
        <w:rPr>
          <w:sz w:val="24"/>
          <w:szCs w:val="24"/>
        </w:rPr>
        <w:t>En conclusión, parece necesario profundizar en todos los factores que componen la etiología de la psicopatía, para poder tener un</w:t>
      </w:r>
      <w:r w:rsidR="00284C36">
        <w:rPr>
          <w:sz w:val="24"/>
          <w:szCs w:val="24"/>
        </w:rPr>
        <w:t>a</w:t>
      </w:r>
      <w:r w:rsidR="00615BFF" w:rsidRPr="00111CE5">
        <w:rPr>
          <w:sz w:val="24"/>
          <w:szCs w:val="24"/>
        </w:rPr>
        <w:t xml:space="preserve"> visión global de esta. </w:t>
      </w:r>
      <w:r w:rsidR="00DC0019">
        <w:rPr>
          <w:sz w:val="24"/>
          <w:szCs w:val="24"/>
        </w:rPr>
        <w:t xml:space="preserve">En general, cuando nos planteamos si el psicópata es consciente de que lo hace, casi todas las líneas doctrinales y científicas apuntan a que sí. El psicópata distingue el bien del mal y comprende lo que hace en todo momento por lo que a pesar de que existe una anomalía, su correlato psicológico no conlleva una pérdida de la comprensión de la realidad. La línea general ha sido la de considerar que el psicópata es plenamente responsable a excepción de casos en los existe comorbilidad con otros trastornos o consumo de sustancias. </w:t>
      </w:r>
      <w:r w:rsidR="00615BFF" w:rsidRPr="00111CE5">
        <w:rPr>
          <w:sz w:val="24"/>
          <w:szCs w:val="24"/>
        </w:rPr>
        <w:t>En cuanto se atendiera a esta visión holística, se podría profundizar en métodos de intervención que proponer en el ámbito jurídico para asegurar una posible adecuada reinserción de estos sujetos a la sociedad, pero mientras no exista seguridad en la intervención con estos difícilmente se les dejara de considerar plenamente responsables de sus actos.</w:t>
      </w:r>
    </w:p>
    <w:p w14:paraId="0E0B2F34" w14:textId="54C7B7F7" w:rsidR="00D774BF" w:rsidRDefault="00CF4003">
      <w:pPr>
        <w:pStyle w:val="Ttulo1"/>
        <w:spacing w:line="360" w:lineRule="auto"/>
        <w:jc w:val="both"/>
        <w:rPr>
          <w:color w:val="auto"/>
        </w:rPr>
      </w:pPr>
      <w:r w:rsidRPr="00111CE5">
        <w:rPr>
          <w:color w:val="auto"/>
        </w:rPr>
        <w:t>Bibliografía</w:t>
      </w:r>
      <w:r w:rsidR="00F6348A">
        <w:rPr>
          <w:color w:val="auto"/>
        </w:rPr>
        <w:t xml:space="preserve"> </w:t>
      </w:r>
    </w:p>
    <w:p w14:paraId="023C8D6C" w14:textId="77777777" w:rsidR="008A3248" w:rsidRPr="00617484" w:rsidRDefault="008A3248">
      <w:pPr>
        <w:spacing w:line="360" w:lineRule="auto"/>
        <w:ind w:left="708" w:hanging="708"/>
        <w:jc w:val="both"/>
        <w:rPr>
          <w:rFonts w:eastAsia="Times New Roman"/>
          <w:sz w:val="24"/>
          <w:szCs w:val="24"/>
          <w:lang w:eastAsia="es-ES"/>
        </w:rPr>
      </w:pPr>
      <w:r w:rsidRPr="00617484">
        <w:rPr>
          <w:rFonts w:eastAsia="Times New Roman"/>
          <w:sz w:val="24"/>
          <w:szCs w:val="24"/>
          <w:lang w:eastAsia="es-ES"/>
        </w:rPr>
        <w:t xml:space="preserve">Agustina, J. R. y Lorenzo García, F. (2016). Sobre el confuso concepto de psicopatía en la jurisprudencia del Tribunal Supremo español: una revisión crítica ante los nuevos retos del Derecho penal de la peligrosidad. </w:t>
      </w:r>
      <w:r w:rsidRPr="00617484">
        <w:rPr>
          <w:rFonts w:eastAsia="Times New Roman"/>
          <w:i/>
          <w:iCs/>
          <w:sz w:val="24"/>
          <w:szCs w:val="24"/>
          <w:lang w:eastAsia="es-ES"/>
        </w:rPr>
        <w:t>Política criminal</w:t>
      </w:r>
      <w:r w:rsidRPr="00617484">
        <w:rPr>
          <w:rFonts w:eastAsia="Times New Roman"/>
          <w:sz w:val="24"/>
          <w:szCs w:val="24"/>
          <w:lang w:eastAsia="es-ES"/>
        </w:rPr>
        <w:t xml:space="preserve">, </w:t>
      </w:r>
      <w:r w:rsidRPr="00617484">
        <w:rPr>
          <w:rFonts w:eastAsia="Times New Roman"/>
          <w:i/>
          <w:iCs/>
          <w:sz w:val="24"/>
          <w:szCs w:val="24"/>
          <w:lang w:eastAsia="es-ES"/>
        </w:rPr>
        <w:t>11</w:t>
      </w:r>
      <w:r w:rsidRPr="00617484">
        <w:rPr>
          <w:rFonts w:eastAsia="Times New Roman"/>
          <w:sz w:val="24"/>
          <w:szCs w:val="24"/>
          <w:lang w:eastAsia="es-ES"/>
        </w:rPr>
        <w:t>(21), 66-103.</w:t>
      </w:r>
    </w:p>
    <w:p w14:paraId="680A1D35" w14:textId="77777777" w:rsidR="008A3248" w:rsidRPr="000B0D49" w:rsidRDefault="008A3248">
      <w:pPr>
        <w:spacing w:line="360" w:lineRule="auto"/>
        <w:ind w:left="708" w:hanging="708"/>
        <w:jc w:val="both"/>
        <w:rPr>
          <w:sz w:val="24"/>
          <w:szCs w:val="24"/>
          <w:lang w:val="en-US"/>
        </w:rPr>
      </w:pPr>
      <w:r w:rsidRPr="00111CE5">
        <w:rPr>
          <w:sz w:val="24"/>
          <w:szCs w:val="24"/>
        </w:rPr>
        <w:t xml:space="preserve">Alcázar-Córcoles, M. Á., Verdejo-García, A. y Bouso-Saiz, J. C. (2008). La neuropsicología forense ante el reto de la relación entre cognición y emoción en la psicopatía. </w:t>
      </w:r>
      <w:r w:rsidRPr="000B0D49">
        <w:rPr>
          <w:i/>
          <w:iCs/>
          <w:sz w:val="24"/>
          <w:szCs w:val="24"/>
          <w:lang w:val="en-US"/>
        </w:rPr>
        <w:t>Revista de neurología</w:t>
      </w:r>
      <w:r w:rsidRPr="000B0D49">
        <w:rPr>
          <w:sz w:val="24"/>
          <w:szCs w:val="24"/>
          <w:lang w:val="en-US"/>
        </w:rPr>
        <w:t xml:space="preserve">, </w:t>
      </w:r>
      <w:r w:rsidRPr="000B0D49">
        <w:rPr>
          <w:i/>
          <w:iCs/>
          <w:sz w:val="24"/>
          <w:szCs w:val="24"/>
          <w:lang w:val="en-US"/>
        </w:rPr>
        <w:t>47</w:t>
      </w:r>
      <w:r w:rsidRPr="000B0D49">
        <w:rPr>
          <w:sz w:val="24"/>
          <w:szCs w:val="24"/>
          <w:lang w:val="en-US"/>
        </w:rPr>
        <w:t>(11), 607-612.</w:t>
      </w:r>
    </w:p>
    <w:p w14:paraId="670F6434" w14:textId="77777777" w:rsidR="008A3248" w:rsidRPr="000B0D49" w:rsidRDefault="008A3248">
      <w:pPr>
        <w:spacing w:line="360" w:lineRule="auto"/>
        <w:ind w:left="708" w:hanging="708"/>
        <w:jc w:val="both"/>
        <w:rPr>
          <w:sz w:val="24"/>
          <w:szCs w:val="24"/>
          <w:lang w:val="en-US"/>
        </w:rPr>
      </w:pPr>
      <w:r w:rsidRPr="000B0D49">
        <w:rPr>
          <w:sz w:val="24"/>
          <w:szCs w:val="24"/>
          <w:lang w:val="en-US"/>
        </w:rPr>
        <w:t xml:space="preserve">Anderson, C. A., y Bushman, B. J. (2001). </w:t>
      </w:r>
      <w:r w:rsidRPr="00111CE5">
        <w:rPr>
          <w:sz w:val="24"/>
          <w:szCs w:val="24"/>
          <w:lang w:val="en-US"/>
        </w:rPr>
        <w:t>Effects of Violent Video Games on Aggressive Behavior, Aggressive Cognition, Aggressive Affect, Physiological Arousal, and Prosocial Behavior: A Meta-Analytic Review of the Scientific Literature.</w:t>
      </w:r>
      <w:r w:rsidRPr="00111CE5">
        <w:rPr>
          <w:i/>
          <w:iCs/>
          <w:sz w:val="24"/>
          <w:szCs w:val="24"/>
          <w:lang w:val="en-US"/>
        </w:rPr>
        <w:t xml:space="preserve"> </w:t>
      </w:r>
      <w:r w:rsidRPr="000B0D49">
        <w:rPr>
          <w:i/>
          <w:iCs/>
          <w:sz w:val="24"/>
          <w:szCs w:val="24"/>
          <w:lang w:val="en-US"/>
        </w:rPr>
        <w:t>Psychological Science, 12</w:t>
      </w:r>
      <w:r w:rsidRPr="000B0D49">
        <w:rPr>
          <w:sz w:val="24"/>
          <w:szCs w:val="24"/>
          <w:lang w:val="en-US"/>
        </w:rPr>
        <w:t>(5), 353–359</w:t>
      </w:r>
      <w:r w:rsidRPr="000B0D49">
        <w:rPr>
          <w:i/>
          <w:iCs/>
          <w:sz w:val="24"/>
          <w:szCs w:val="24"/>
          <w:lang w:val="en-US"/>
        </w:rPr>
        <w:t>.</w:t>
      </w:r>
      <w:r w:rsidRPr="000B0D49">
        <w:rPr>
          <w:sz w:val="24"/>
          <w:szCs w:val="24"/>
          <w:lang w:val="en-US"/>
        </w:rPr>
        <w:t xml:space="preserve"> doi:10.1111/1467-9280.00366 </w:t>
      </w:r>
    </w:p>
    <w:p w14:paraId="54840996" w14:textId="77777777" w:rsidR="008A3248" w:rsidRPr="00111CE5" w:rsidRDefault="008A3248">
      <w:pPr>
        <w:widowControl w:val="0"/>
        <w:autoSpaceDE w:val="0"/>
        <w:autoSpaceDN w:val="0"/>
        <w:adjustRightInd w:val="0"/>
        <w:spacing w:after="140" w:line="360" w:lineRule="auto"/>
        <w:ind w:left="480" w:hanging="480"/>
        <w:jc w:val="both"/>
        <w:rPr>
          <w:rFonts w:ascii="Times New Roman" w:hAnsi="Times New Roman" w:cs="Times New Roman"/>
          <w:noProof/>
          <w:sz w:val="24"/>
          <w:szCs w:val="24"/>
        </w:rPr>
      </w:pPr>
      <w:r w:rsidRPr="00111CE5">
        <w:rPr>
          <w:rFonts w:ascii="Times New Roman" w:hAnsi="Times New Roman" w:cs="Times New Roman"/>
          <w:noProof/>
          <w:sz w:val="24"/>
          <w:szCs w:val="24"/>
        </w:rPr>
        <w:t xml:space="preserve">Andreu, J. M. (2010). </w:t>
      </w:r>
      <w:r w:rsidRPr="00111CE5">
        <w:rPr>
          <w:rFonts w:ascii="Times New Roman" w:hAnsi="Times New Roman" w:cs="Times New Roman"/>
          <w:i/>
          <w:iCs/>
          <w:noProof/>
          <w:sz w:val="24"/>
          <w:szCs w:val="24"/>
        </w:rPr>
        <w:t>Cuestionario de agresividad premeditada e impulsiva</w:t>
      </w:r>
      <w:r w:rsidRPr="00111CE5">
        <w:rPr>
          <w:rFonts w:ascii="Times New Roman" w:hAnsi="Times New Roman" w:cs="Times New Roman"/>
          <w:noProof/>
          <w:sz w:val="24"/>
          <w:szCs w:val="24"/>
        </w:rPr>
        <w:t>. 1-38.</w:t>
      </w:r>
    </w:p>
    <w:p w14:paraId="6870B281" w14:textId="77777777" w:rsidR="008A3248" w:rsidRPr="00111CE5" w:rsidRDefault="008A3248">
      <w:pPr>
        <w:spacing w:after="0" w:line="360" w:lineRule="auto"/>
        <w:ind w:left="708" w:hanging="708"/>
        <w:jc w:val="both"/>
        <w:rPr>
          <w:rFonts w:ascii="Times New Roman" w:eastAsia="Times New Roman" w:hAnsi="Times New Roman" w:cs="Times New Roman"/>
          <w:sz w:val="24"/>
          <w:szCs w:val="24"/>
          <w:lang w:eastAsia="es-ES"/>
        </w:rPr>
      </w:pPr>
      <w:r w:rsidRPr="00111CE5">
        <w:rPr>
          <w:rFonts w:ascii="Times New Roman" w:eastAsia="Times New Roman" w:hAnsi="Times New Roman" w:cs="Times New Roman"/>
          <w:sz w:val="24"/>
          <w:szCs w:val="24"/>
          <w:lang w:eastAsia="es-ES"/>
        </w:rPr>
        <w:lastRenderedPageBreak/>
        <w:t xml:space="preserve">Andreu, J.M., A., Martín, J. y Raine, A. (2006). Un modelo dicotómico de la agresión: valoración mediante dos autoinformes (CAMA y RPQ). </w:t>
      </w:r>
      <w:r w:rsidRPr="00111CE5">
        <w:rPr>
          <w:rFonts w:ascii="Times New Roman" w:eastAsia="Times New Roman" w:hAnsi="Times New Roman" w:cs="Times New Roman"/>
          <w:i/>
          <w:iCs/>
          <w:sz w:val="24"/>
          <w:szCs w:val="24"/>
          <w:lang w:eastAsia="es-ES"/>
        </w:rPr>
        <w:t>Psicopatología Clínica Legal y Forense</w:t>
      </w:r>
      <w:r w:rsidRPr="00111CE5">
        <w:rPr>
          <w:rFonts w:ascii="Times New Roman" w:eastAsia="Times New Roman" w:hAnsi="Times New Roman" w:cs="Times New Roman"/>
          <w:sz w:val="24"/>
          <w:szCs w:val="24"/>
          <w:lang w:eastAsia="es-ES"/>
        </w:rPr>
        <w:t xml:space="preserve">, </w:t>
      </w:r>
      <w:r w:rsidRPr="00111CE5">
        <w:rPr>
          <w:rFonts w:ascii="Times New Roman" w:eastAsia="Times New Roman" w:hAnsi="Times New Roman" w:cs="Times New Roman"/>
          <w:i/>
          <w:iCs/>
          <w:sz w:val="24"/>
          <w:szCs w:val="24"/>
          <w:lang w:eastAsia="es-ES"/>
        </w:rPr>
        <w:t>6</w:t>
      </w:r>
      <w:r w:rsidRPr="00111CE5">
        <w:rPr>
          <w:rFonts w:ascii="Times New Roman" w:eastAsia="Times New Roman" w:hAnsi="Times New Roman" w:cs="Times New Roman"/>
          <w:sz w:val="24"/>
          <w:szCs w:val="24"/>
          <w:lang w:eastAsia="es-ES"/>
        </w:rPr>
        <w:t>(1), 25-42.</w:t>
      </w:r>
    </w:p>
    <w:p w14:paraId="467CF819" w14:textId="77777777" w:rsidR="008A3248" w:rsidRPr="00111CE5" w:rsidRDefault="008A3248">
      <w:pPr>
        <w:widowControl w:val="0"/>
        <w:autoSpaceDE w:val="0"/>
        <w:autoSpaceDN w:val="0"/>
        <w:adjustRightInd w:val="0"/>
        <w:spacing w:after="140" w:line="360" w:lineRule="auto"/>
        <w:ind w:left="480" w:hanging="480"/>
        <w:jc w:val="both"/>
        <w:rPr>
          <w:rFonts w:ascii="Times New Roman" w:hAnsi="Times New Roman" w:cs="Times New Roman"/>
          <w:noProof/>
          <w:sz w:val="24"/>
          <w:szCs w:val="24"/>
          <w:lang w:val="en-US"/>
        </w:rPr>
      </w:pPr>
      <w:r w:rsidRPr="00111CE5">
        <w:rPr>
          <w:rFonts w:ascii="Times New Roman" w:hAnsi="Times New Roman" w:cs="Times New Roman"/>
          <w:noProof/>
          <w:sz w:val="24"/>
          <w:szCs w:val="24"/>
        </w:rPr>
        <w:t xml:space="preserve">Asbed, A. (2017). Violencia y agresividad  en la adolescencia. Notas sobre metapsicología y psicopatología  de la violencia. </w:t>
      </w:r>
      <w:r w:rsidRPr="00111CE5">
        <w:rPr>
          <w:rFonts w:ascii="Times New Roman" w:hAnsi="Times New Roman" w:cs="Times New Roman"/>
          <w:i/>
          <w:iCs/>
          <w:noProof/>
          <w:sz w:val="24"/>
          <w:szCs w:val="24"/>
          <w:lang w:val="en-US"/>
        </w:rPr>
        <w:t>Psicoanalisis</w:t>
      </w:r>
      <w:r w:rsidRPr="00111CE5">
        <w:rPr>
          <w:rFonts w:ascii="Times New Roman" w:hAnsi="Times New Roman" w:cs="Times New Roman"/>
          <w:noProof/>
          <w:sz w:val="24"/>
          <w:szCs w:val="24"/>
          <w:lang w:val="en-US"/>
        </w:rPr>
        <w:t xml:space="preserve">, </w:t>
      </w:r>
      <w:r w:rsidRPr="00111CE5">
        <w:rPr>
          <w:rFonts w:ascii="Times New Roman" w:hAnsi="Times New Roman" w:cs="Times New Roman"/>
          <w:i/>
          <w:iCs/>
          <w:noProof/>
          <w:sz w:val="24"/>
          <w:szCs w:val="24"/>
          <w:lang w:val="en-US"/>
        </w:rPr>
        <w:t>39</w:t>
      </w:r>
      <w:r w:rsidRPr="00111CE5">
        <w:rPr>
          <w:rFonts w:ascii="Times New Roman" w:hAnsi="Times New Roman" w:cs="Times New Roman"/>
          <w:noProof/>
          <w:sz w:val="24"/>
          <w:szCs w:val="24"/>
          <w:lang w:val="en-US"/>
        </w:rPr>
        <w:t>(2), 29-43.</w:t>
      </w:r>
    </w:p>
    <w:p w14:paraId="4346ACE0" w14:textId="77777777" w:rsidR="008A3248" w:rsidRPr="00111CE5" w:rsidRDefault="008A3248">
      <w:pPr>
        <w:widowControl w:val="0"/>
        <w:autoSpaceDE w:val="0"/>
        <w:autoSpaceDN w:val="0"/>
        <w:adjustRightInd w:val="0"/>
        <w:spacing w:after="140" w:line="360" w:lineRule="auto"/>
        <w:ind w:left="480" w:hanging="480"/>
        <w:jc w:val="both"/>
        <w:rPr>
          <w:rFonts w:ascii="Times New Roman" w:hAnsi="Times New Roman" w:cs="Times New Roman"/>
          <w:noProof/>
          <w:sz w:val="24"/>
          <w:szCs w:val="24"/>
          <w:lang w:val="en-US"/>
        </w:rPr>
      </w:pPr>
      <w:r w:rsidRPr="00111CE5">
        <w:rPr>
          <w:rFonts w:ascii="Times New Roman" w:hAnsi="Times New Roman" w:cs="Times New Roman"/>
          <w:noProof/>
          <w:sz w:val="24"/>
          <w:szCs w:val="24"/>
          <w:lang w:val="en-US"/>
        </w:rPr>
        <w:t xml:space="preserve">Atkins, M. S., Stoff, D. M., Osborne, M. L., &amp; Brown, K. (1993). Distinguishing instrumental and hostile aggression: Does it make a difference? </w:t>
      </w:r>
      <w:r w:rsidRPr="00450FE0">
        <w:rPr>
          <w:rFonts w:ascii="Times New Roman" w:hAnsi="Times New Roman" w:cs="Times New Roman"/>
          <w:i/>
          <w:iCs/>
          <w:noProof/>
          <w:sz w:val="24"/>
          <w:szCs w:val="24"/>
          <w:lang w:val="en-US"/>
        </w:rPr>
        <w:t>Journal of Abnormal Child Psychology</w:t>
      </w:r>
      <w:r w:rsidRPr="00111CE5">
        <w:rPr>
          <w:rFonts w:ascii="Times New Roman" w:hAnsi="Times New Roman" w:cs="Times New Roman"/>
          <w:noProof/>
          <w:sz w:val="24"/>
          <w:szCs w:val="24"/>
          <w:lang w:val="en-US"/>
        </w:rPr>
        <w:t xml:space="preserve">, </w:t>
      </w:r>
      <w:r w:rsidRPr="00450FE0">
        <w:rPr>
          <w:rFonts w:ascii="Times New Roman" w:hAnsi="Times New Roman" w:cs="Times New Roman"/>
          <w:i/>
          <w:iCs/>
          <w:noProof/>
          <w:sz w:val="24"/>
          <w:szCs w:val="24"/>
          <w:lang w:val="en-US"/>
        </w:rPr>
        <w:t>21</w:t>
      </w:r>
      <w:r w:rsidRPr="00111CE5">
        <w:rPr>
          <w:rFonts w:ascii="Times New Roman" w:hAnsi="Times New Roman" w:cs="Times New Roman"/>
          <w:noProof/>
          <w:sz w:val="24"/>
          <w:szCs w:val="24"/>
          <w:lang w:val="en-US"/>
        </w:rPr>
        <w:t>(4), 355-365. https://doi.org/10.1007/BF01261598</w:t>
      </w:r>
    </w:p>
    <w:p w14:paraId="0962E665" w14:textId="77777777" w:rsidR="008A3248" w:rsidRPr="000B0D49" w:rsidRDefault="008A3248" w:rsidP="007C5903">
      <w:pPr>
        <w:spacing w:after="0" w:line="360" w:lineRule="auto"/>
        <w:ind w:left="708" w:hanging="708"/>
        <w:jc w:val="both"/>
        <w:rPr>
          <w:rFonts w:ascii="Times New Roman" w:eastAsia="Times New Roman" w:hAnsi="Times New Roman" w:cs="Times New Roman"/>
          <w:sz w:val="24"/>
          <w:szCs w:val="24"/>
          <w:lang w:eastAsia="es-ES"/>
        </w:rPr>
      </w:pPr>
      <w:r w:rsidRPr="000B0D49">
        <w:rPr>
          <w:rFonts w:ascii="Times New Roman" w:eastAsia="Times New Roman" w:hAnsi="Times New Roman" w:cs="Times New Roman"/>
          <w:sz w:val="24"/>
          <w:szCs w:val="24"/>
          <w:lang w:eastAsia="es-ES"/>
        </w:rPr>
        <w:t xml:space="preserve">Beltri, R. T., y Fuentes, À. C. (2008). </w:t>
      </w:r>
      <w:r w:rsidRPr="007C5903">
        <w:rPr>
          <w:rFonts w:ascii="Times New Roman" w:eastAsia="Times New Roman" w:hAnsi="Times New Roman" w:cs="Times New Roman"/>
          <w:sz w:val="24"/>
          <w:szCs w:val="24"/>
          <w:lang w:eastAsia="es-ES"/>
        </w:rPr>
        <w:t xml:space="preserve">Psicopatía: una entidad clínica controvertida pero necesaria en psiquiatría forense. </w:t>
      </w:r>
      <w:r w:rsidRPr="000B0D49">
        <w:rPr>
          <w:rFonts w:ascii="Times New Roman" w:eastAsia="Times New Roman" w:hAnsi="Times New Roman" w:cs="Times New Roman"/>
          <w:i/>
          <w:iCs/>
          <w:sz w:val="24"/>
          <w:szCs w:val="24"/>
          <w:lang w:eastAsia="es-ES"/>
        </w:rPr>
        <w:t>Revista Española de Medicina Legal, 34</w:t>
      </w:r>
      <w:r w:rsidRPr="000B0D49">
        <w:rPr>
          <w:rFonts w:ascii="Times New Roman" w:eastAsia="Times New Roman" w:hAnsi="Times New Roman" w:cs="Times New Roman"/>
          <w:sz w:val="24"/>
          <w:szCs w:val="24"/>
          <w:lang w:eastAsia="es-ES"/>
        </w:rPr>
        <w:t>(1), 25-35.</w:t>
      </w:r>
    </w:p>
    <w:p w14:paraId="322D5C13" w14:textId="77777777" w:rsidR="008A3248" w:rsidRPr="0001659F" w:rsidRDefault="008A3248" w:rsidP="001419E4">
      <w:pPr>
        <w:spacing w:after="0" w:line="360" w:lineRule="auto"/>
        <w:ind w:left="708" w:hanging="708"/>
        <w:jc w:val="both"/>
        <w:rPr>
          <w:rFonts w:ascii="Times New Roman" w:eastAsia="Times New Roman" w:hAnsi="Times New Roman" w:cs="Times New Roman"/>
          <w:sz w:val="24"/>
          <w:szCs w:val="24"/>
          <w:lang w:eastAsia="es-ES"/>
        </w:rPr>
      </w:pPr>
      <w:r w:rsidRPr="001419E4">
        <w:rPr>
          <w:rFonts w:ascii="Times New Roman" w:eastAsia="Times New Roman" w:hAnsi="Times New Roman" w:cs="Times New Roman"/>
          <w:sz w:val="24"/>
          <w:szCs w:val="24"/>
          <w:lang w:val="en-US" w:eastAsia="es-ES"/>
        </w:rPr>
        <w:t xml:space="preserve">Benton, A.L. (1991). The prefrontal region: Its early history. En H.S. Levin, H.M. Eisenberg y A.L. Benton (eds), </w:t>
      </w:r>
      <w:r w:rsidRPr="008A3248">
        <w:rPr>
          <w:rFonts w:ascii="Times New Roman" w:eastAsia="Times New Roman" w:hAnsi="Times New Roman" w:cs="Times New Roman"/>
          <w:i/>
          <w:iCs/>
          <w:sz w:val="24"/>
          <w:szCs w:val="24"/>
          <w:lang w:val="en-US" w:eastAsia="es-ES"/>
        </w:rPr>
        <w:t>Frontal lobe function and dysfunction</w:t>
      </w:r>
      <w:r w:rsidRPr="001419E4">
        <w:rPr>
          <w:rFonts w:ascii="Times New Roman" w:eastAsia="Times New Roman" w:hAnsi="Times New Roman" w:cs="Times New Roman"/>
          <w:sz w:val="24"/>
          <w:szCs w:val="24"/>
          <w:lang w:val="en-US" w:eastAsia="es-ES"/>
        </w:rPr>
        <w:t xml:space="preserve"> (pp.3-32). </w:t>
      </w:r>
      <w:r w:rsidRPr="0001659F">
        <w:rPr>
          <w:rFonts w:ascii="Times New Roman" w:eastAsia="Times New Roman" w:hAnsi="Times New Roman" w:cs="Times New Roman"/>
          <w:sz w:val="24"/>
          <w:szCs w:val="24"/>
          <w:lang w:eastAsia="es-ES"/>
        </w:rPr>
        <w:t>Oxford: Oxford University Press</w:t>
      </w:r>
    </w:p>
    <w:p w14:paraId="11322543" w14:textId="77777777" w:rsidR="008A3248" w:rsidRPr="008A3248" w:rsidRDefault="008A3248" w:rsidP="001419E4">
      <w:pPr>
        <w:spacing w:after="0" w:line="360" w:lineRule="auto"/>
        <w:ind w:left="708" w:hanging="708"/>
        <w:jc w:val="both"/>
        <w:rPr>
          <w:rFonts w:ascii="Times New Roman" w:eastAsia="Times New Roman" w:hAnsi="Times New Roman" w:cs="Times New Roman"/>
          <w:sz w:val="24"/>
          <w:szCs w:val="24"/>
          <w:lang w:eastAsia="es-ES"/>
        </w:rPr>
      </w:pPr>
      <w:r w:rsidRPr="008A3248">
        <w:rPr>
          <w:rFonts w:ascii="Times New Roman" w:eastAsia="Times New Roman" w:hAnsi="Times New Roman" w:cs="Times New Roman"/>
          <w:sz w:val="24"/>
          <w:szCs w:val="24"/>
          <w:lang w:eastAsia="es-ES"/>
        </w:rPr>
        <w:t xml:space="preserve">Berkowitz, L. (1996) </w:t>
      </w:r>
      <w:r w:rsidRPr="008A3248">
        <w:rPr>
          <w:rFonts w:ascii="Times New Roman" w:eastAsia="Times New Roman" w:hAnsi="Times New Roman" w:cs="Times New Roman"/>
          <w:i/>
          <w:iCs/>
          <w:sz w:val="24"/>
          <w:szCs w:val="24"/>
          <w:lang w:eastAsia="es-ES"/>
        </w:rPr>
        <w:t>Agresión: causas, consecuencias y control</w:t>
      </w:r>
      <w:r w:rsidRPr="008A3248">
        <w:rPr>
          <w:rFonts w:ascii="Times New Roman" w:eastAsia="Times New Roman" w:hAnsi="Times New Roman" w:cs="Times New Roman"/>
          <w:sz w:val="24"/>
          <w:szCs w:val="24"/>
          <w:lang w:eastAsia="es-ES"/>
        </w:rPr>
        <w:t>. Desclée de Brouwer</w:t>
      </w:r>
    </w:p>
    <w:p w14:paraId="4BCC4572" w14:textId="77777777" w:rsidR="008A3248" w:rsidRPr="000B0D49" w:rsidRDefault="008A3248" w:rsidP="00637015">
      <w:pPr>
        <w:spacing w:after="0" w:line="360" w:lineRule="auto"/>
        <w:ind w:left="708" w:hanging="708"/>
        <w:jc w:val="both"/>
        <w:rPr>
          <w:rFonts w:ascii="Times New Roman" w:eastAsia="Times New Roman" w:hAnsi="Times New Roman" w:cs="Times New Roman"/>
          <w:sz w:val="24"/>
          <w:szCs w:val="24"/>
          <w:lang w:val="en-US" w:eastAsia="es-ES"/>
        </w:rPr>
      </w:pPr>
      <w:r w:rsidRPr="008A3248">
        <w:rPr>
          <w:rFonts w:ascii="Times New Roman" w:eastAsia="Times New Roman" w:hAnsi="Times New Roman" w:cs="Times New Roman"/>
          <w:sz w:val="24"/>
          <w:szCs w:val="24"/>
          <w:lang w:eastAsia="es-ES"/>
        </w:rPr>
        <w:t xml:space="preserve"> Bonta, J., y Andrews, D.A. (2010). </w:t>
      </w:r>
      <w:r w:rsidRPr="00A03EF6">
        <w:rPr>
          <w:rFonts w:ascii="Times New Roman" w:eastAsia="Times New Roman" w:hAnsi="Times New Roman" w:cs="Times New Roman"/>
          <w:sz w:val="24"/>
          <w:szCs w:val="24"/>
          <w:lang w:val="en-US" w:eastAsia="es-ES"/>
        </w:rPr>
        <w:t xml:space="preserve">Viewing offender assessment and rehabilitation through the lens of the risk-need-responsivity model. In F. McNeil, P. Raynor, </w:t>
      </w:r>
      <w:r>
        <w:rPr>
          <w:rFonts w:ascii="Times New Roman" w:eastAsia="Times New Roman" w:hAnsi="Times New Roman" w:cs="Times New Roman"/>
          <w:sz w:val="24"/>
          <w:szCs w:val="24"/>
          <w:lang w:val="en-US" w:eastAsia="es-ES"/>
        </w:rPr>
        <w:t>y</w:t>
      </w:r>
      <w:r w:rsidRPr="00A03EF6">
        <w:rPr>
          <w:rFonts w:ascii="Times New Roman" w:eastAsia="Times New Roman" w:hAnsi="Times New Roman" w:cs="Times New Roman"/>
          <w:sz w:val="24"/>
          <w:szCs w:val="24"/>
          <w:lang w:val="en-US" w:eastAsia="es-ES"/>
        </w:rPr>
        <w:t xml:space="preserve"> C. Trotter (Eds.), </w:t>
      </w:r>
      <w:r w:rsidRPr="00A03EF6">
        <w:rPr>
          <w:rFonts w:ascii="Times New Roman" w:eastAsia="Times New Roman" w:hAnsi="Times New Roman" w:cs="Times New Roman"/>
          <w:i/>
          <w:iCs/>
          <w:sz w:val="24"/>
          <w:szCs w:val="24"/>
          <w:lang w:val="en-US" w:eastAsia="es-ES"/>
        </w:rPr>
        <w:t>Offender supervision: New directions in theory, research and practice</w:t>
      </w:r>
      <w:r w:rsidRPr="00A03EF6">
        <w:rPr>
          <w:rFonts w:ascii="Times New Roman" w:eastAsia="Times New Roman" w:hAnsi="Times New Roman" w:cs="Times New Roman"/>
          <w:sz w:val="24"/>
          <w:szCs w:val="24"/>
          <w:lang w:val="en-US" w:eastAsia="es-ES"/>
        </w:rPr>
        <w:t xml:space="preserve"> (pp. 19-40). </w:t>
      </w:r>
      <w:r w:rsidRPr="000B0D49">
        <w:rPr>
          <w:rFonts w:ascii="Times New Roman" w:eastAsia="Times New Roman" w:hAnsi="Times New Roman" w:cs="Times New Roman"/>
          <w:sz w:val="24"/>
          <w:szCs w:val="24"/>
          <w:lang w:val="en-US" w:eastAsia="es-ES"/>
        </w:rPr>
        <w:t xml:space="preserve">New York, NY: Willan. </w:t>
      </w:r>
    </w:p>
    <w:p w14:paraId="7690F28A" w14:textId="77777777" w:rsidR="008A3248" w:rsidRPr="00111CE5" w:rsidRDefault="008A3248">
      <w:pPr>
        <w:widowControl w:val="0"/>
        <w:autoSpaceDE w:val="0"/>
        <w:autoSpaceDN w:val="0"/>
        <w:adjustRightInd w:val="0"/>
        <w:spacing w:after="140" w:line="360" w:lineRule="auto"/>
        <w:ind w:left="480" w:hanging="480"/>
        <w:jc w:val="both"/>
        <w:rPr>
          <w:rFonts w:ascii="Times New Roman" w:hAnsi="Times New Roman" w:cs="Times New Roman"/>
          <w:noProof/>
          <w:sz w:val="24"/>
          <w:szCs w:val="24"/>
        </w:rPr>
      </w:pPr>
      <w:r w:rsidRPr="008A3248">
        <w:rPr>
          <w:rFonts w:ascii="Times New Roman" w:hAnsi="Times New Roman" w:cs="Times New Roman"/>
          <w:noProof/>
          <w:sz w:val="24"/>
          <w:szCs w:val="24"/>
        </w:rPr>
        <w:t xml:space="preserve">Bouquet-Escobedo, G. S., García-Méndez, M., Díaz-Loving, R., y Rivera-Aragón, S. (2019). </w:t>
      </w:r>
      <w:r w:rsidRPr="00111CE5">
        <w:rPr>
          <w:rFonts w:ascii="Times New Roman" w:hAnsi="Times New Roman" w:cs="Times New Roman"/>
          <w:noProof/>
          <w:sz w:val="24"/>
          <w:szCs w:val="24"/>
        </w:rPr>
        <w:t>Conceptuaci</w:t>
      </w:r>
      <w:r>
        <w:rPr>
          <w:rFonts w:ascii="Times New Roman" w:hAnsi="Times New Roman" w:cs="Times New Roman"/>
          <w:noProof/>
          <w:sz w:val="24"/>
          <w:szCs w:val="24"/>
        </w:rPr>
        <w:t>ó</w:t>
      </w:r>
      <w:r w:rsidRPr="00111CE5">
        <w:rPr>
          <w:rFonts w:ascii="Times New Roman" w:hAnsi="Times New Roman" w:cs="Times New Roman"/>
          <w:noProof/>
          <w:sz w:val="24"/>
          <w:szCs w:val="24"/>
        </w:rPr>
        <w:t>n y Medici</w:t>
      </w:r>
      <w:r>
        <w:rPr>
          <w:rFonts w:ascii="Times New Roman" w:hAnsi="Times New Roman" w:cs="Times New Roman"/>
          <w:noProof/>
          <w:sz w:val="24"/>
          <w:szCs w:val="24"/>
        </w:rPr>
        <w:t>ó</w:t>
      </w:r>
      <w:r w:rsidRPr="00111CE5">
        <w:rPr>
          <w:rFonts w:ascii="Times New Roman" w:hAnsi="Times New Roman" w:cs="Times New Roman"/>
          <w:noProof/>
          <w:sz w:val="24"/>
          <w:szCs w:val="24"/>
        </w:rPr>
        <w:t>n de la Agresividad : Validaci</w:t>
      </w:r>
      <w:r>
        <w:rPr>
          <w:rFonts w:ascii="Times New Roman" w:hAnsi="Times New Roman" w:cs="Times New Roman"/>
          <w:noProof/>
          <w:sz w:val="24"/>
          <w:szCs w:val="24"/>
        </w:rPr>
        <w:t>ó</w:t>
      </w:r>
      <w:r w:rsidRPr="00111CE5">
        <w:rPr>
          <w:rFonts w:ascii="Times New Roman" w:hAnsi="Times New Roman" w:cs="Times New Roman"/>
          <w:noProof/>
          <w:sz w:val="24"/>
          <w:szCs w:val="24"/>
        </w:rPr>
        <w:t xml:space="preserve">n de una Escala. </w:t>
      </w:r>
      <w:r>
        <w:rPr>
          <w:rFonts w:ascii="Times New Roman" w:hAnsi="Times New Roman" w:cs="Times New Roman"/>
          <w:i/>
          <w:iCs/>
          <w:noProof/>
          <w:sz w:val="24"/>
          <w:szCs w:val="24"/>
        </w:rPr>
        <w:t xml:space="preserve">Revista colombiana de psicología, </w:t>
      </w:r>
      <w:r w:rsidRPr="00111CE5">
        <w:rPr>
          <w:rFonts w:ascii="Times New Roman" w:hAnsi="Times New Roman" w:cs="Times New Roman"/>
          <w:i/>
          <w:iCs/>
          <w:noProof/>
          <w:sz w:val="24"/>
          <w:szCs w:val="24"/>
        </w:rPr>
        <w:t>28</w:t>
      </w:r>
      <w:r w:rsidRPr="00111CE5">
        <w:rPr>
          <w:rFonts w:ascii="Times New Roman" w:hAnsi="Times New Roman" w:cs="Times New Roman"/>
          <w:noProof/>
          <w:sz w:val="24"/>
          <w:szCs w:val="24"/>
        </w:rPr>
        <w:t>(66), 115-130.</w:t>
      </w:r>
    </w:p>
    <w:p w14:paraId="31B586F4" w14:textId="77777777" w:rsidR="008A3248" w:rsidRPr="001419E4" w:rsidRDefault="008A3248" w:rsidP="001419E4">
      <w:pPr>
        <w:spacing w:after="0" w:line="360" w:lineRule="auto"/>
        <w:ind w:left="708" w:hanging="708"/>
        <w:jc w:val="both"/>
        <w:rPr>
          <w:rFonts w:ascii="Times New Roman" w:eastAsia="Times New Roman" w:hAnsi="Times New Roman" w:cs="Times New Roman"/>
          <w:sz w:val="24"/>
          <w:szCs w:val="24"/>
          <w:lang w:val="en-US" w:eastAsia="es-ES"/>
        </w:rPr>
      </w:pPr>
      <w:r w:rsidRPr="000B0D49">
        <w:rPr>
          <w:rFonts w:ascii="Times New Roman" w:eastAsia="Times New Roman" w:hAnsi="Times New Roman" w:cs="Times New Roman"/>
          <w:sz w:val="24"/>
          <w:szCs w:val="24"/>
          <w:lang w:val="en-US" w:eastAsia="es-ES"/>
        </w:rPr>
        <w:t xml:space="preserve">Brunner, H. G., Nelen, M., Breakefield, X. O., Ropers, H. H., &amp; Van Oost, B. A. (1993). </w:t>
      </w:r>
      <w:r w:rsidRPr="001419E4">
        <w:rPr>
          <w:rFonts w:ascii="Times New Roman" w:eastAsia="Times New Roman" w:hAnsi="Times New Roman" w:cs="Times New Roman"/>
          <w:sz w:val="24"/>
          <w:szCs w:val="24"/>
          <w:lang w:val="en-US" w:eastAsia="es-ES"/>
        </w:rPr>
        <w:t xml:space="preserve">Abnormal behavior associated with a point mutation in the structural gene for monoamine oxidase A. </w:t>
      </w:r>
      <w:r w:rsidRPr="008A3248">
        <w:rPr>
          <w:rFonts w:ascii="Times New Roman" w:eastAsia="Times New Roman" w:hAnsi="Times New Roman" w:cs="Times New Roman"/>
          <w:i/>
          <w:iCs/>
          <w:sz w:val="24"/>
          <w:szCs w:val="24"/>
          <w:lang w:val="en-US" w:eastAsia="es-ES"/>
        </w:rPr>
        <w:t>Science</w:t>
      </w:r>
      <w:r w:rsidRPr="001419E4">
        <w:rPr>
          <w:rFonts w:ascii="Times New Roman" w:eastAsia="Times New Roman" w:hAnsi="Times New Roman" w:cs="Times New Roman"/>
          <w:sz w:val="24"/>
          <w:szCs w:val="24"/>
          <w:lang w:val="en-US" w:eastAsia="es-ES"/>
        </w:rPr>
        <w:t xml:space="preserve">, </w:t>
      </w:r>
      <w:r w:rsidRPr="008A3248">
        <w:rPr>
          <w:rFonts w:ascii="Times New Roman" w:eastAsia="Times New Roman" w:hAnsi="Times New Roman" w:cs="Times New Roman"/>
          <w:i/>
          <w:iCs/>
          <w:sz w:val="24"/>
          <w:szCs w:val="24"/>
          <w:lang w:val="en-US" w:eastAsia="es-ES"/>
        </w:rPr>
        <w:t>262</w:t>
      </w:r>
      <w:r w:rsidRPr="001419E4">
        <w:rPr>
          <w:rFonts w:ascii="Times New Roman" w:eastAsia="Times New Roman" w:hAnsi="Times New Roman" w:cs="Times New Roman"/>
          <w:sz w:val="24"/>
          <w:szCs w:val="24"/>
          <w:lang w:val="en-US" w:eastAsia="es-ES"/>
        </w:rPr>
        <w:t>(5133), 578-580.</w:t>
      </w:r>
    </w:p>
    <w:p w14:paraId="1C070AFF" w14:textId="77777777" w:rsidR="008A3248" w:rsidRPr="00111CE5" w:rsidRDefault="008A3248">
      <w:pPr>
        <w:widowControl w:val="0"/>
        <w:autoSpaceDE w:val="0"/>
        <w:autoSpaceDN w:val="0"/>
        <w:adjustRightInd w:val="0"/>
        <w:spacing w:after="140" w:line="360" w:lineRule="auto"/>
        <w:ind w:left="480" w:hanging="480"/>
        <w:jc w:val="both"/>
        <w:rPr>
          <w:rFonts w:ascii="Times New Roman" w:hAnsi="Times New Roman" w:cs="Times New Roman"/>
          <w:noProof/>
          <w:sz w:val="24"/>
          <w:szCs w:val="24"/>
        </w:rPr>
      </w:pPr>
      <w:r w:rsidRPr="00111CE5">
        <w:rPr>
          <w:rFonts w:ascii="Times New Roman" w:hAnsi="Times New Roman" w:cs="Times New Roman"/>
          <w:noProof/>
          <w:sz w:val="24"/>
          <w:szCs w:val="24"/>
        </w:rPr>
        <w:t xml:space="preserve">Calzada, A. (2007) Aproximación  a los correlatos biológicos de la agresividad y la violencia humana. </w:t>
      </w:r>
      <w:r w:rsidRPr="00111CE5">
        <w:rPr>
          <w:rFonts w:ascii="Times New Roman" w:hAnsi="Times New Roman" w:cs="Times New Roman"/>
          <w:i/>
          <w:iCs/>
          <w:noProof/>
          <w:sz w:val="24"/>
          <w:szCs w:val="24"/>
        </w:rPr>
        <w:t>Revista Neurología, Neurocirugía y Psiquiatría, 40</w:t>
      </w:r>
      <w:r w:rsidRPr="00111CE5">
        <w:rPr>
          <w:rFonts w:ascii="Times New Roman" w:hAnsi="Times New Roman" w:cs="Times New Roman"/>
          <w:noProof/>
          <w:sz w:val="24"/>
          <w:szCs w:val="24"/>
        </w:rPr>
        <w:t>(4), 114-121.</w:t>
      </w:r>
    </w:p>
    <w:p w14:paraId="553D8FA2" w14:textId="77777777" w:rsidR="008A3248" w:rsidRPr="0029175D" w:rsidRDefault="008A3248">
      <w:pPr>
        <w:widowControl w:val="0"/>
        <w:autoSpaceDE w:val="0"/>
        <w:autoSpaceDN w:val="0"/>
        <w:adjustRightInd w:val="0"/>
        <w:spacing w:after="140" w:line="360" w:lineRule="auto"/>
        <w:ind w:left="480" w:hanging="480"/>
        <w:jc w:val="both"/>
        <w:rPr>
          <w:rFonts w:ascii="Times New Roman" w:hAnsi="Times New Roman" w:cs="Times New Roman"/>
          <w:noProof/>
          <w:sz w:val="24"/>
          <w:szCs w:val="24"/>
        </w:rPr>
      </w:pPr>
      <w:r w:rsidRPr="00111CE5">
        <w:rPr>
          <w:rFonts w:ascii="Times New Roman" w:hAnsi="Times New Roman" w:cs="Times New Roman"/>
          <w:noProof/>
          <w:sz w:val="24"/>
          <w:szCs w:val="24"/>
        </w:rPr>
        <w:t xml:space="preserve">Carrasco, M. Á., y González, M. J. (2006). Aspectos conceptuales de la agresión: definición y modelos explicativos [Theoretical issues on aggression: concept and models]. </w:t>
      </w:r>
      <w:r w:rsidRPr="00111CE5">
        <w:rPr>
          <w:rFonts w:ascii="Times New Roman" w:hAnsi="Times New Roman" w:cs="Times New Roman"/>
          <w:i/>
          <w:iCs/>
          <w:noProof/>
          <w:sz w:val="24"/>
          <w:szCs w:val="24"/>
        </w:rPr>
        <w:t>Acción Psicológica</w:t>
      </w:r>
      <w:r w:rsidRPr="00111CE5">
        <w:rPr>
          <w:rFonts w:ascii="Times New Roman" w:hAnsi="Times New Roman" w:cs="Times New Roman"/>
          <w:noProof/>
          <w:sz w:val="24"/>
          <w:szCs w:val="24"/>
        </w:rPr>
        <w:t xml:space="preserve">, </w:t>
      </w:r>
      <w:r w:rsidRPr="00111CE5">
        <w:rPr>
          <w:rFonts w:ascii="Times New Roman" w:hAnsi="Times New Roman" w:cs="Times New Roman"/>
          <w:i/>
          <w:iCs/>
          <w:noProof/>
          <w:sz w:val="24"/>
          <w:szCs w:val="24"/>
        </w:rPr>
        <w:t>4</w:t>
      </w:r>
      <w:r w:rsidRPr="00111CE5">
        <w:rPr>
          <w:rFonts w:ascii="Times New Roman" w:hAnsi="Times New Roman" w:cs="Times New Roman"/>
          <w:noProof/>
          <w:sz w:val="24"/>
          <w:szCs w:val="24"/>
        </w:rPr>
        <w:t xml:space="preserve">(2), 7-38. </w:t>
      </w:r>
      <w:hyperlink r:id="rId12" w:history="1">
        <w:r w:rsidRPr="0029175D">
          <w:rPr>
            <w:rStyle w:val="Hipervnculo"/>
            <w:rFonts w:ascii="Times New Roman" w:hAnsi="Times New Roman" w:cs="Times New Roman"/>
            <w:noProof/>
            <w:color w:val="auto"/>
            <w:sz w:val="24"/>
            <w:szCs w:val="24"/>
          </w:rPr>
          <w:t>https://doi.org/10.5944/ap.4.2.478</w:t>
        </w:r>
      </w:hyperlink>
    </w:p>
    <w:p w14:paraId="35BC2021" w14:textId="77777777" w:rsidR="008A3248" w:rsidRPr="000B0D49" w:rsidRDefault="008A3248">
      <w:pPr>
        <w:spacing w:line="360" w:lineRule="auto"/>
        <w:ind w:left="708" w:hanging="708"/>
        <w:jc w:val="both"/>
        <w:rPr>
          <w:sz w:val="28"/>
          <w:szCs w:val="28"/>
          <w:lang w:val="en-US"/>
        </w:rPr>
      </w:pPr>
      <w:r w:rsidRPr="000B0D49">
        <w:rPr>
          <w:sz w:val="24"/>
          <w:szCs w:val="24"/>
          <w:lang w:val="en-US"/>
        </w:rPr>
        <w:lastRenderedPageBreak/>
        <w:t xml:space="preserve">Caspi, A., McClay, J., Moffitt, T.E, Mill, J., Martin, J., Craig, I.W., Taylor, A. y Poulton, R. (2002). </w:t>
      </w:r>
      <w:r w:rsidRPr="000775D5">
        <w:rPr>
          <w:sz w:val="24"/>
          <w:szCs w:val="24"/>
          <w:lang w:val="en-US"/>
        </w:rPr>
        <w:t>Role of Genotype in the Cycle of Violence in Maltreated Children</w:t>
      </w:r>
      <w:r w:rsidRPr="00617484">
        <w:rPr>
          <w:i/>
          <w:iCs/>
          <w:sz w:val="24"/>
          <w:szCs w:val="24"/>
          <w:lang w:val="en-US"/>
        </w:rPr>
        <w:t xml:space="preserve">. </w:t>
      </w:r>
      <w:r w:rsidRPr="000B0D49">
        <w:rPr>
          <w:i/>
          <w:iCs/>
          <w:sz w:val="24"/>
          <w:szCs w:val="24"/>
          <w:lang w:val="en-US"/>
        </w:rPr>
        <w:t>Science, 297(5582), 851–854.</w:t>
      </w:r>
      <w:r w:rsidRPr="000B0D49">
        <w:rPr>
          <w:sz w:val="24"/>
          <w:szCs w:val="24"/>
          <w:lang w:val="en-US"/>
        </w:rPr>
        <w:t xml:space="preserve"> doi:10.1126/science.1072290 </w:t>
      </w:r>
    </w:p>
    <w:p w14:paraId="0D296982" w14:textId="77777777" w:rsidR="008A3248" w:rsidRPr="00111CE5" w:rsidRDefault="008A3248">
      <w:pPr>
        <w:spacing w:line="360" w:lineRule="auto"/>
        <w:ind w:left="708" w:hanging="708"/>
        <w:jc w:val="both"/>
      </w:pPr>
      <w:r w:rsidRPr="00111CE5">
        <w:rPr>
          <w:sz w:val="24"/>
          <w:szCs w:val="24"/>
        </w:rPr>
        <w:t xml:space="preserve">Castillo, M. (2006). El comportamiento agresivo y sus diferentes enfoques. </w:t>
      </w:r>
      <w:r w:rsidRPr="00111CE5">
        <w:rPr>
          <w:i/>
          <w:iCs/>
        </w:rPr>
        <w:t>Psicogente</w:t>
      </w:r>
      <w:r w:rsidRPr="00111CE5">
        <w:t xml:space="preserve">, </w:t>
      </w:r>
      <w:r w:rsidRPr="00111CE5">
        <w:rPr>
          <w:i/>
          <w:iCs/>
        </w:rPr>
        <w:t>9</w:t>
      </w:r>
      <w:r>
        <w:rPr>
          <w:i/>
          <w:iCs/>
        </w:rPr>
        <w:t xml:space="preserve"> </w:t>
      </w:r>
      <w:r w:rsidRPr="00111CE5">
        <w:t>(15).</w:t>
      </w:r>
    </w:p>
    <w:p w14:paraId="08C159B3" w14:textId="77777777" w:rsidR="008A3248" w:rsidRPr="000B0D49" w:rsidRDefault="008A3248">
      <w:pPr>
        <w:spacing w:after="0" w:line="360" w:lineRule="auto"/>
        <w:ind w:left="708" w:hanging="708"/>
        <w:jc w:val="both"/>
        <w:rPr>
          <w:rFonts w:ascii="Times New Roman" w:eastAsia="Times New Roman" w:hAnsi="Times New Roman" w:cs="Times New Roman"/>
          <w:sz w:val="24"/>
          <w:szCs w:val="24"/>
          <w:lang w:eastAsia="es-ES"/>
        </w:rPr>
      </w:pPr>
      <w:r w:rsidRPr="00111CE5">
        <w:rPr>
          <w:rFonts w:ascii="Times New Roman" w:eastAsia="Times New Roman" w:hAnsi="Times New Roman" w:cs="Times New Roman"/>
          <w:sz w:val="24"/>
          <w:szCs w:val="24"/>
          <w:lang w:eastAsia="es-ES"/>
        </w:rPr>
        <w:t>Chapi</w:t>
      </w:r>
      <w:r>
        <w:rPr>
          <w:rFonts w:ascii="Times New Roman" w:eastAsia="Times New Roman" w:hAnsi="Times New Roman" w:cs="Times New Roman"/>
          <w:sz w:val="24"/>
          <w:szCs w:val="24"/>
          <w:lang w:eastAsia="es-ES"/>
        </w:rPr>
        <w:t>-</w:t>
      </w:r>
      <w:r w:rsidRPr="00111CE5">
        <w:rPr>
          <w:rFonts w:ascii="Times New Roman" w:eastAsia="Times New Roman" w:hAnsi="Times New Roman" w:cs="Times New Roman"/>
          <w:sz w:val="24"/>
          <w:szCs w:val="24"/>
          <w:lang w:eastAsia="es-ES"/>
        </w:rPr>
        <w:t xml:space="preserve">Mori, J. L. (2012). Una revisión psicológica a las teorías de la agresividad. </w:t>
      </w:r>
      <w:r w:rsidRPr="000B0D49">
        <w:rPr>
          <w:rFonts w:ascii="Times New Roman" w:eastAsia="Times New Roman" w:hAnsi="Times New Roman" w:cs="Times New Roman"/>
          <w:i/>
          <w:iCs/>
          <w:sz w:val="24"/>
          <w:szCs w:val="24"/>
          <w:lang w:eastAsia="es-ES"/>
        </w:rPr>
        <w:t>Revista electrónica de psicología Iztacala</w:t>
      </w:r>
      <w:r w:rsidRPr="000B0D49">
        <w:rPr>
          <w:rFonts w:ascii="Times New Roman" w:eastAsia="Times New Roman" w:hAnsi="Times New Roman" w:cs="Times New Roman"/>
          <w:sz w:val="24"/>
          <w:szCs w:val="24"/>
          <w:lang w:eastAsia="es-ES"/>
        </w:rPr>
        <w:t xml:space="preserve">, </w:t>
      </w:r>
      <w:r w:rsidRPr="000B0D49">
        <w:rPr>
          <w:rFonts w:ascii="Times New Roman" w:eastAsia="Times New Roman" w:hAnsi="Times New Roman" w:cs="Times New Roman"/>
          <w:i/>
          <w:iCs/>
          <w:sz w:val="24"/>
          <w:szCs w:val="24"/>
          <w:lang w:eastAsia="es-ES"/>
        </w:rPr>
        <w:t>15</w:t>
      </w:r>
      <w:r w:rsidRPr="000B0D49">
        <w:rPr>
          <w:rFonts w:ascii="Times New Roman" w:eastAsia="Times New Roman" w:hAnsi="Times New Roman" w:cs="Times New Roman"/>
          <w:sz w:val="24"/>
          <w:szCs w:val="24"/>
          <w:lang w:eastAsia="es-ES"/>
        </w:rPr>
        <w:t>(1), 80.</w:t>
      </w:r>
    </w:p>
    <w:p w14:paraId="7C9AE7B7" w14:textId="77777777" w:rsidR="008A3248" w:rsidRPr="001419E4" w:rsidRDefault="008A3248" w:rsidP="001419E4">
      <w:pPr>
        <w:spacing w:after="0" w:line="360" w:lineRule="auto"/>
        <w:ind w:left="708" w:hanging="708"/>
        <w:jc w:val="both"/>
        <w:rPr>
          <w:rFonts w:ascii="Times New Roman" w:eastAsia="Times New Roman" w:hAnsi="Times New Roman" w:cs="Times New Roman"/>
          <w:sz w:val="24"/>
          <w:szCs w:val="24"/>
          <w:lang w:val="en-US" w:eastAsia="es-ES"/>
        </w:rPr>
      </w:pPr>
      <w:r w:rsidRPr="001419E4">
        <w:rPr>
          <w:rFonts w:ascii="Times New Roman" w:eastAsia="Times New Roman" w:hAnsi="Times New Roman" w:cs="Times New Roman"/>
          <w:sz w:val="24"/>
          <w:szCs w:val="24"/>
          <w:lang w:val="en-US" w:eastAsia="es-ES"/>
        </w:rPr>
        <w:t xml:space="preserve">Cleckley, H. (1941). </w:t>
      </w:r>
      <w:r w:rsidRPr="008A3248">
        <w:rPr>
          <w:rFonts w:ascii="Times New Roman" w:eastAsia="Times New Roman" w:hAnsi="Times New Roman" w:cs="Times New Roman"/>
          <w:i/>
          <w:iCs/>
          <w:sz w:val="24"/>
          <w:szCs w:val="24"/>
          <w:lang w:val="en-US" w:eastAsia="es-ES"/>
        </w:rPr>
        <w:t>The mask of sanity: An attempt to clarify some issues about the so-called psychopathic personality</w:t>
      </w:r>
      <w:r w:rsidRPr="001419E4">
        <w:rPr>
          <w:rFonts w:ascii="Times New Roman" w:eastAsia="Times New Roman" w:hAnsi="Times New Roman" w:cs="Times New Roman"/>
          <w:sz w:val="24"/>
          <w:szCs w:val="24"/>
          <w:lang w:val="en-US" w:eastAsia="es-ES"/>
        </w:rPr>
        <w:t>. Ravenio Books.</w:t>
      </w:r>
    </w:p>
    <w:p w14:paraId="5DB84074" w14:textId="77777777" w:rsidR="008A3248" w:rsidRPr="0001659F" w:rsidRDefault="008A3248">
      <w:pPr>
        <w:spacing w:line="360" w:lineRule="auto"/>
        <w:ind w:left="708" w:hanging="708"/>
        <w:jc w:val="both"/>
        <w:rPr>
          <w:sz w:val="28"/>
          <w:szCs w:val="28"/>
          <w:lang w:val="en-US"/>
        </w:rPr>
      </w:pPr>
      <w:r w:rsidRPr="0001659F">
        <w:rPr>
          <w:sz w:val="24"/>
          <w:szCs w:val="24"/>
          <w:lang w:val="en-US"/>
        </w:rPr>
        <w:t xml:space="preserve">Corvo, K., y Dutton, D. (2015). </w:t>
      </w:r>
      <w:r w:rsidRPr="00617484">
        <w:rPr>
          <w:sz w:val="24"/>
          <w:szCs w:val="24"/>
          <w:lang w:val="en-US"/>
        </w:rPr>
        <w:t>Neurotransmitter and Neurochemical Factors in Domestic Violence Perpetration: Implications for Theory Development.</w:t>
      </w:r>
      <w:r w:rsidRPr="00617484">
        <w:rPr>
          <w:i/>
          <w:iCs/>
          <w:sz w:val="24"/>
          <w:szCs w:val="24"/>
          <w:lang w:val="en-US"/>
        </w:rPr>
        <w:t xml:space="preserve"> </w:t>
      </w:r>
      <w:r w:rsidRPr="0001659F">
        <w:rPr>
          <w:i/>
          <w:iCs/>
          <w:sz w:val="24"/>
          <w:szCs w:val="24"/>
          <w:lang w:val="en-US"/>
        </w:rPr>
        <w:t>Partner Abuse, 6(3), 351–363.</w:t>
      </w:r>
      <w:r w:rsidRPr="0001659F">
        <w:rPr>
          <w:sz w:val="24"/>
          <w:szCs w:val="24"/>
          <w:lang w:val="en-US"/>
        </w:rPr>
        <w:t xml:space="preserve"> doi:10.1891/1946-6560.6.3.351 </w:t>
      </w:r>
    </w:p>
    <w:p w14:paraId="008D8E6B" w14:textId="77777777" w:rsidR="008A3248" w:rsidRPr="00A03EF6" w:rsidRDefault="008A3248" w:rsidP="00637015">
      <w:pPr>
        <w:spacing w:after="0" w:line="360" w:lineRule="auto"/>
        <w:ind w:left="708" w:hanging="708"/>
        <w:jc w:val="both"/>
        <w:rPr>
          <w:rFonts w:ascii="Times New Roman" w:eastAsia="Times New Roman" w:hAnsi="Times New Roman" w:cs="Times New Roman"/>
          <w:sz w:val="24"/>
          <w:szCs w:val="24"/>
          <w:lang w:val="en-US" w:eastAsia="es-ES"/>
        </w:rPr>
      </w:pPr>
      <w:r w:rsidRPr="00A03EF6">
        <w:rPr>
          <w:rFonts w:ascii="Times New Roman" w:eastAsia="Times New Roman" w:hAnsi="Times New Roman" w:cs="Times New Roman"/>
          <w:sz w:val="24"/>
          <w:szCs w:val="24"/>
          <w:lang w:val="en-US" w:eastAsia="es-ES"/>
        </w:rPr>
        <w:t xml:space="preserve">Daly, M., y Wilson, M. (2003). Evolutionary psychology of lethal interpersonal violence. In </w:t>
      </w:r>
      <w:r w:rsidRPr="00A03EF6">
        <w:rPr>
          <w:rFonts w:ascii="Times New Roman" w:eastAsia="Times New Roman" w:hAnsi="Times New Roman" w:cs="Times New Roman"/>
          <w:i/>
          <w:iCs/>
          <w:sz w:val="24"/>
          <w:szCs w:val="24"/>
          <w:lang w:val="en-US" w:eastAsia="es-ES"/>
        </w:rPr>
        <w:t>International handbook of violence research</w:t>
      </w:r>
      <w:r w:rsidRPr="00A03EF6">
        <w:rPr>
          <w:rFonts w:ascii="Times New Roman" w:eastAsia="Times New Roman" w:hAnsi="Times New Roman" w:cs="Times New Roman"/>
          <w:sz w:val="24"/>
          <w:szCs w:val="24"/>
          <w:lang w:val="en-US" w:eastAsia="es-ES"/>
        </w:rPr>
        <w:t xml:space="preserve"> (pp. 569-588). Springer, Dordrecht.</w:t>
      </w:r>
    </w:p>
    <w:p w14:paraId="519D3E0A" w14:textId="77777777" w:rsidR="008A3248" w:rsidRPr="000B0D49" w:rsidRDefault="008A3248" w:rsidP="008A63B0">
      <w:pPr>
        <w:spacing w:after="0" w:line="360" w:lineRule="auto"/>
        <w:ind w:left="708" w:hanging="708"/>
        <w:jc w:val="both"/>
        <w:rPr>
          <w:rFonts w:ascii="Times New Roman" w:eastAsia="Times New Roman" w:hAnsi="Times New Roman" w:cs="Times New Roman"/>
          <w:sz w:val="24"/>
          <w:szCs w:val="24"/>
          <w:lang w:val="en-US" w:eastAsia="es-ES"/>
        </w:rPr>
      </w:pPr>
      <w:r w:rsidRPr="00780D3E">
        <w:rPr>
          <w:rFonts w:ascii="Times New Roman" w:eastAsia="Times New Roman" w:hAnsi="Times New Roman" w:cs="Times New Roman"/>
          <w:sz w:val="24"/>
          <w:szCs w:val="24"/>
          <w:lang w:val="en-US" w:eastAsia="es-ES"/>
        </w:rPr>
        <w:t xml:space="preserve">Dawel, A., O’Kearney, R., McKone, E., </w:t>
      </w:r>
      <w:r>
        <w:rPr>
          <w:rFonts w:ascii="Times New Roman" w:eastAsia="Times New Roman" w:hAnsi="Times New Roman" w:cs="Times New Roman"/>
          <w:sz w:val="24"/>
          <w:szCs w:val="24"/>
          <w:lang w:val="en-US" w:eastAsia="es-ES"/>
        </w:rPr>
        <w:t>y</w:t>
      </w:r>
      <w:r w:rsidRPr="00780D3E">
        <w:rPr>
          <w:rFonts w:ascii="Times New Roman" w:eastAsia="Times New Roman" w:hAnsi="Times New Roman" w:cs="Times New Roman"/>
          <w:sz w:val="24"/>
          <w:szCs w:val="24"/>
          <w:lang w:val="en-US" w:eastAsia="es-ES"/>
        </w:rPr>
        <w:t xml:space="preserve"> Palermo, R. (2012). Not just fear and sadness: Meta-analytic evidence of pervasive emotion recognition deficits for facial and vocal expressions in psychopathy. </w:t>
      </w:r>
      <w:r w:rsidRPr="000B0D49">
        <w:rPr>
          <w:rFonts w:ascii="Times New Roman" w:eastAsia="Times New Roman" w:hAnsi="Times New Roman" w:cs="Times New Roman"/>
          <w:i/>
          <w:iCs/>
          <w:sz w:val="24"/>
          <w:szCs w:val="24"/>
          <w:lang w:val="en-US" w:eastAsia="es-ES"/>
        </w:rPr>
        <w:t>Neuroscience &amp; Biobehavioral Reviews</w:t>
      </w:r>
      <w:r w:rsidRPr="000B0D49">
        <w:rPr>
          <w:rFonts w:ascii="Times New Roman" w:eastAsia="Times New Roman" w:hAnsi="Times New Roman" w:cs="Times New Roman"/>
          <w:sz w:val="24"/>
          <w:szCs w:val="24"/>
          <w:lang w:val="en-US" w:eastAsia="es-ES"/>
        </w:rPr>
        <w:t xml:space="preserve">, </w:t>
      </w:r>
      <w:r w:rsidRPr="000B0D49">
        <w:rPr>
          <w:rFonts w:ascii="Times New Roman" w:eastAsia="Times New Roman" w:hAnsi="Times New Roman" w:cs="Times New Roman"/>
          <w:i/>
          <w:iCs/>
          <w:sz w:val="24"/>
          <w:szCs w:val="24"/>
          <w:lang w:val="en-US" w:eastAsia="es-ES"/>
        </w:rPr>
        <w:t>36</w:t>
      </w:r>
      <w:r w:rsidRPr="000B0D49">
        <w:rPr>
          <w:rFonts w:ascii="Times New Roman" w:eastAsia="Times New Roman" w:hAnsi="Times New Roman" w:cs="Times New Roman"/>
          <w:sz w:val="24"/>
          <w:szCs w:val="24"/>
          <w:lang w:val="en-US" w:eastAsia="es-ES"/>
        </w:rPr>
        <w:t>(10), 2288-2304.</w:t>
      </w:r>
    </w:p>
    <w:p w14:paraId="1861F50E" w14:textId="77777777" w:rsidR="008A3248" w:rsidRPr="00617484" w:rsidRDefault="008A3248">
      <w:pPr>
        <w:spacing w:line="360" w:lineRule="auto"/>
        <w:ind w:left="708" w:hanging="708"/>
        <w:jc w:val="both"/>
        <w:rPr>
          <w:rFonts w:eastAsia="Times New Roman"/>
          <w:sz w:val="24"/>
          <w:szCs w:val="24"/>
          <w:lang w:eastAsia="es-ES"/>
        </w:rPr>
      </w:pPr>
      <w:r w:rsidRPr="00617484">
        <w:rPr>
          <w:rFonts w:eastAsia="Times New Roman"/>
          <w:sz w:val="24"/>
          <w:szCs w:val="24"/>
          <w:lang w:eastAsia="es-ES"/>
        </w:rPr>
        <w:t xml:space="preserve">De La Torre, J. (1999). La responsabilidad penal en las psicopatologías: valoraciones judiciales y jurisprudenciales. </w:t>
      </w:r>
      <w:r w:rsidRPr="00617484">
        <w:rPr>
          <w:rFonts w:eastAsia="Times New Roman"/>
          <w:i/>
          <w:iCs/>
          <w:sz w:val="24"/>
          <w:szCs w:val="24"/>
          <w:lang w:eastAsia="es-ES"/>
        </w:rPr>
        <w:t>Estudios de Psicología</w:t>
      </w:r>
      <w:r w:rsidRPr="00617484">
        <w:rPr>
          <w:rFonts w:eastAsia="Times New Roman"/>
          <w:sz w:val="24"/>
          <w:szCs w:val="24"/>
          <w:lang w:eastAsia="es-ES"/>
        </w:rPr>
        <w:t xml:space="preserve">, </w:t>
      </w:r>
      <w:r w:rsidRPr="00617484">
        <w:rPr>
          <w:rFonts w:eastAsia="Times New Roman"/>
          <w:i/>
          <w:iCs/>
          <w:sz w:val="24"/>
          <w:szCs w:val="24"/>
          <w:lang w:eastAsia="es-ES"/>
        </w:rPr>
        <w:t>20</w:t>
      </w:r>
      <w:r w:rsidRPr="00617484">
        <w:rPr>
          <w:rFonts w:eastAsia="Times New Roman"/>
          <w:sz w:val="24"/>
          <w:szCs w:val="24"/>
          <w:lang w:eastAsia="es-ES"/>
        </w:rPr>
        <w:t>(63-64), 163-173.</w:t>
      </w:r>
    </w:p>
    <w:p w14:paraId="0102DCDA" w14:textId="77777777" w:rsidR="008A3248" w:rsidRPr="00617484" w:rsidRDefault="008A3248" w:rsidP="00374089">
      <w:pPr>
        <w:spacing w:line="360" w:lineRule="auto"/>
        <w:ind w:left="708" w:hanging="708"/>
        <w:jc w:val="both"/>
        <w:rPr>
          <w:rFonts w:ascii="Times New Roman" w:eastAsia="Times New Roman" w:hAnsi="Times New Roman" w:cs="Times New Roman"/>
          <w:sz w:val="24"/>
          <w:szCs w:val="24"/>
          <w:lang w:val="en-US"/>
        </w:rPr>
      </w:pPr>
      <w:r w:rsidRPr="00374089">
        <w:rPr>
          <w:rFonts w:ascii="Times New Roman" w:eastAsia="Times New Roman" w:hAnsi="Times New Roman" w:cs="Times New Roman"/>
          <w:sz w:val="24"/>
          <w:szCs w:val="24"/>
        </w:rPr>
        <w:t xml:space="preserve">Denson, T. F., O’Dean, S. M., Blake, K. R., </w:t>
      </w:r>
      <w:r>
        <w:rPr>
          <w:rFonts w:ascii="Times New Roman" w:eastAsia="Times New Roman" w:hAnsi="Times New Roman" w:cs="Times New Roman"/>
          <w:sz w:val="24"/>
          <w:szCs w:val="24"/>
        </w:rPr>
        <w:t>y</w:t>
      </w:r>
      <w:r w:rsidRPr="00374089">
        <w:rPr>
          <w:rFonts w:ascii="Times New Roman" w:eastAsia="Times New Roman" w:hAnsi="Times New Roman" w:cs="Times New Roman"/>
          <w:sz w:val="24"/>
          <w:szCs w:val="24"/>
        </w:rPr>
        <w:t xml:space="preserve"> Beames, J. R. (2018). </w:t>
      </w:r>
      <w:r w:rsidRPr="00617484">
        <w:rPr>
          <w:rFonts w:ascii="Times New Roman" w:eastAsia="Times New Roman" w:hAnsi="Times New Roman" w:cs="Times New Roman"/>
          <w:sz w:val="24"/>
          <w:szCs w:val="24"/>
          <w:lang w:val="en-US"/>
        </w:rPr>
        <w:t xml:space="preserve">Aggression in women: behavior, brain and hormones. </w:t>
      </w:r>
      <w:r w:rsidRPr="00617484">
        <w:rPr>
          <w:rFonts w:ascii="Times New Roman" w:eastAsia="Times New Roman" w:hAnsi="Times New Roman" w:cs="Times New Roman"/>
          <w:i/>
          <w:iCs/>
          <w:sz w:val="24"/>
          <w:szCs w:val="24"/>
          <w:lang w:val="en-US"/>
        </w:rPr>
        <w:t>Frontiers in behavioral neuroscience</w:t>
      </w:r>
      <w:r w:rsidRPr="00617484">
        <w:rPr>
          <w:rFonts w:ascii="Times New Roman" w:eastAsia="Times New Roman" w:hAnsi="Times New Roman" w:cs="Times New Roman"/>
          <w:sz w:val="24"/>
          <w:szCs w:val="24"/>
          <w:lang w:val="en-US"/>
        </w:rPr>
        <w:t xml:space="preserve">, </w:t>
      </w:r>
      <w:r w:rsidRPr="00617484">
        <w:rPr>
          <w:rFonts w:ascii="Times New Roman" w:eastAsia="Times New Roman" w:hAnsi="Times New Roman" w:cs="Times New Roman"/>
          <w:i/>
          <w:iCs/>
          <w:sz w:val="24"/>
          <w:szCs w:val="24"/>
          <w:lang w:val="en-US"/>
        </w:rPr>
        <w:t>12</w:t>
      </w:r>
      <w:r w:rsidRPr="00617484">
        <w:rPr>
          <w:rFonts w:ascii="Times New Roman" w:eastAsia="Times New Roman" w:hAnsi="Times New Roman" w:cs="Times New Roman"/>
          <w:sz w:val="24"/>
          <w:szCs w:val="24"/>
          <w:lang w:val="en-US"/>
        </w:rPr>
        <w:t>, 81.</w:t>
      </w:r>
    </w:p>
    <w:p w14:paraId="65DF449A" w14:textId="77777777" w:rsidR="008A3248" w:rsidRPr="00617484" w:rsidRDefault="008A3248">
      <w:pPr>
        <w:spacing w:line="360" w:lineRule="auto"/>
        <w:ind w:left="708" w:hanging="708"/>
        <w:jc w:val="both"/>
        <w:rPr>
          <w:sz w:val="24"/>
          <w:szCs w:val="24"/>
        </w:rPr>
      </w:pPr>
      <w:r w:rsidRPr="00617484">
        <w:rPr>
          <w:sz w:val="24"/>
          <w:szCs w:val="24"/>
        </w:rPr>
        <w:t xml:space="preserve">Dujo, V. y Horcajo-Gil, P. J. (2017). La psicopatía en la actualidad: Abordaje clínico-legal y repercusiones forenses en el ámbito penal. </w:t>
      </w:r>
      <w:r w:rsidRPr="000775D5">
        <w:rPr>
          <w:i/>
          <w:iCs/>
          <w:sz w:val="24"/>
          <w:szCs w:val="24"/>
        </w:rPr>
        <w:t>Psicopatología Clínica Legal y Forense, 17</w:t>
      </w:r>
      <w:r w:rsidRPr="00617484">
        <w:rPr>
          <w:sz w:val="24"/>
          <w:szCs w:val="24"/>
        </w:rPr>
        <w:t>(1), 69-88.</w:t>
      </w:r>
    </w:p>
    <w:p w14:paraId="4157A4A2" w14:textId="77777777" w:rsidR="008A3248" w:rsidRPr="0029175D" w:rsidRDefault="008A3248">
      <w:pPr>
        <w:spacing w:line="360" w:lineRule="auto"/>
        <w:ind w:left="708" w:hanging="708"/>
        <w:jc w:val="both"/>
        <w:rPr>
          <w:rFonts w:ascii="Times New Roman" w:eastAsia="Times New Roman" w:hAnsi="Times New Roman" w:cs="Times New Roman"/>
          <w:sz w:val="24"/>
          <w:szCs w:val="24"/>
        </w:rPr>
      </w:pPr>
      <w:r w:rsidRPr="000B0D49">
        <w:rPr>
          <w:rFonts w:ascii="Times New Roman" w:eastAsia="Times New Roman" w:hAnsi="Times New Roman" w:cs="Times New Roman"/>
          <w:sz w:val="24"/>
          <w:szCs w:val="24"/>
          <w:lang w:val="en-US"/>
        </w:rPr>
        <w:t xml:space="preserve">Duke, A. A., Bègue, L., Bell, R., y Eisenlohr-Moul, T. (2013). </w:t>
      </w:r>
      <w:r w:rsidRPr="00617484">
        <w:rPr>
          <w:rFonts w:ascii="Times New Roman" w:eastAsia="Times New Roman" w:hAnsi="Times New Roman" w:cs="Times New Roman"/>
          <w:sz w:val="24"/>
          <w:szCs w:val="24"/>
          <w:lang w:val="en-US"/>
        </w:rPr>
        <w:t xml:space="preserve">Revisiting the serotonin–aggression relation in humans: A meta-analysis. </w:t>
      </w:r>
      <w:r w:rsidRPr="0029175D">
        <w:rPr>
          <w:rFonts w:ascii="Times New Roman" w:eastAsia="Times New Roman" w:hAnsi="Times New Roman" w:cs="Times New Roman"/>
          <w:i/>
          <w:iCs/>
          <w:sz w:val="24"/>
          <w:szCs w:val="24"/>
        </w:rPr>
        <w:t>Psychological bulletin</w:t>
      </w:r>
      <w:r w:rsidRPr="0029175D">
        <w:rPr>
          <w:rFonts w:ascii="Times New Roman" w:eastAsia="Times New Roman" w:hAnsi="Times New Roman" w:cs="Times New Roman"/>
          <w:sz w:val="24"/>
          <w:szCs w:val="24"/>
        </w:rPr>
        <w:t xml:space="preserve">, </w:t>
      </w:r>
      <w:r w:rsidRPr="0029175D">
        <w:rPr>
          <w:rFonts w:ascii="Times New Roman" w:eastAsia="Times New Roman" w:hAnsi="Times New Roman" w:cs="Times New Roman"/>
          <w:i/>
          <w:iCs/>
          <w:sz w:val="24"/>
          <w:szCs w:val="24"/>
        </w:rPr>
        <w:t>139</w:t>
      </w:r>
      <w:r w:rsidRPr="0029175D">
        <w:rPr>
          <w:rFonts w:ascii="Times New Roman" w:eastAsia="Times New Roman" w:hAnsi="Times New Roman" w:cs="Times New Roman"/>
          <w:sz w:val="24"/>
          <w:szCs w:val="24"/>
        </w:rPr>
        <w:t>(5), 1148.</w:t>
      </w:r>
    </w:p>
    <w:p w14:paraId="5A53B43D" w14:textId="77777777" w:rsidR="008A3248" w:rsidRPr="0029175D" w:rsidRDefault="008A3248">
      <w:pPr>
        <w:spacing w:line="360" w:lineRule="auto"/>
        <w:ind w:left="708" w:hanging="708"/>
        <w:jc w:val="both"/>
        <w:rPr>
          <w:rFonts w:ascii="Times New Roman" w:eastAsia="Times New Roman" w:hAnsi="Times New Roman" w:cs="Times New Roman"/>
          <w:sz w:val="24"/>
          <w:szCs w:val="24"/>
        </w:rPr>
      </w:pPr>
      <w:r w:rsidRPr="00617484">
        <w:rPr>
          <w:rFonts w:ascii="Times New Roman" w:eastAsia="Times New Roman" w:hAnsi="Times New Roman" w:cs="Times New Roman"/>
          <w:sz w:val="24"/>
          <w:szCs w:val="24"/>
        </w:rPr>
        <w:lastRenderedPageBreak/>
        <w:t xml:space="preserve">Gallardo-Pujol, D., Forero, C. G., Maydeu-Olivares, A., &amp; Andrés-Pueyo, A. (2009). Desarrollo del comportamiento antisocial: factores psicobiológicos, ambientales e interacciones genotipo-ambiente. </w:t>
      </w:r>
      <w:r w:rsidRPr="0029175D">
        <w:rPr>
          <w:rFonts w:ascii="Times New Roman" w:eastAsia="Times New Roman" w:hAnsi="Times New Roman" w:cs="Times New Roman"/>
          <w:i/>
          <w:iCs/>
          <w:sz w:val="24"/>
          <w:szCs w:val="24"/>
        </w:rPr>
        <w:t>Rev Neurol</w:t>
      </w:r>
      <w:r w:rsidRPr="0029175D">
        <w:rPr>
          <w:rFonts w:ascii="Times New Roman" w:eastAsia="Times New Roman" w:hAnsi="Times New Roman" w:cs="Times New Roman"/>
          <w:sz w:val="24"/>
          <w:szCs w:val="24"/>
        </w:rPr>
        <w:t xml:space="preserve">, </w:t>
      </w:r>
      <w:r w:rsidRPr="0029175D">
        <w:rPr>
          <w:rFonts w:ascii="Times New Roman" w:eastAsia="Times New Roman" w:hAnsi="Times New Roman" w:cs="Times New Roman"/>
          <w:i/>
          <w:iCs/>
          <w:sz w:val="24"/>
          <w:szCs w:val="24"/>
        </w:rPr>
        <w:t>48</w:t>
      </w:r>
      <w:r w:rsidRPr="0029175D">
        <w:rPr>
          <w:rFonts w:ascii="Times New Roman" w:eastAsia="Times New Roman" w:hAnsi="Times New Roman" w:cs="Times New Roman"/>
          <w:sz w:val="24"/>
          <w:szCs w:val="24"/>
        </w:rPr>
        <w:t>(4), 191-198.</w:t>
      </w:r>
    </w:p>
    <w:p w14:paraId="58367CBF" w14:textId="77777777" w:rsidR="008A3248" w:rsidRPr="00617484" w:rsidRDefault="008A3248">
      <w:pPr>
        <w:spacing w:line="360" w:lineRule="auto"/>
        <w:ind w:left="708" w:hanging="708"/>
        <w:jc w:val="both"/>
        <w:rPr>
          <w:rFonts w:eastAsia="Times New Roman"/>
          <w:sz w:val="24"/>
          <w:szCs w:val="24"/>
          <w:lang w:eastAsia="es-ES"/>
        </w:rPr>
      </w:pPr>
      <w:r w:rsidRPr="00617484">
        <w:rPr>
          <w:rFonts w:eastAsia="Times New Roman"/>
          <w:sz w:val="24"/>
          <w:szCs w:val="24"/>
          <w:lang w:eastAsia="es-ES"/>
        </w:rPr>
        <w:t xml:space="preserve">García, E. (2007). Neurociencia, conducta e imputabilidad. </w:t>
      </w:r>
      <w:r w:rsidRPr="00617484">
        <w:rPr>
          <w:rFonts w:eastAsia="Times New Roman"/>
          <w:i/>
          <w:iCs/>
          <w:sz w:val="24"/>
          <w:szCs w:val="24"/>
          <w:lang w:eastAsia="es-ES"/>
        </w:rPr>
        <w:t>Quark</w:t>
      </w:r>
      <w:r w:rsidRPr="00617484">
        <w:rPr>
          <w:rFonts w:eastAsia="Times New Roman"/>
          <w:sz w:val="24"/>
          <w:szCs w:val="24"/>
          <w:lang w:eastAsia="es-ES"/>
        </w:rPr>
        <w:t>, (39), 88-92.</w:t>
      </w:r>
    </w:p>
    <w:p w14:paraId="3D5C9D81" w14:textId="77777777" w:rsidR="008A3248" w:rsidRPr="00883656" w:rsidRDefault="008A3248">
      <w:pPr>
        <w:widowControl w:val="0"/>
        <w:autoSpaceDE w:val="0"/>
        <w:autoSpaceDN w:val="0"/>
        <w:adjustRightInd w:val="0"/>
        <w:spacing w:after="140" w:line="360" w:lineRule="auto"/>
        <w:ind w:left="708" w:hanging="708"/>
        <w:jc w:val="both"/>
        <w:rPr>
          <w:noProof/>
          <w:sz w:val="24"/>
          <w:szCs w:val="24"/>
        </w:rPr>
      </w:pPr>
      <w:bookmarkStart w:id="7" w:name="_Hlk34995380"/>
      <w:r w:rsidRPr="00883656">
        <w:rPr>
          <w:noProof/>
          <w:sz w:val="24"/>
          <w:szCs w:val="24"/>
        </w:rPr>
        <w:t>Gil</w:t>
      </w:r>
      <w:r>
        <w:rPr>
          <w:noProof/>
          <w:sz w:val="24"/>
          <w:szCs w:val="24"/>
        </w:rPr>
        <w:t>-</w:t>
      </w:r>
      <w:r w:rsidRPr="00883656">
        <w:rPr>
          <w:noProof/>
          <w:sz w:val="24"/>
          <w:szCs w:val="24"/>
        </w:rPr>
        <w:t xml:space="preserve">Verona, J., Pastor, J. F., De Paz, F., Barbosa, M., Macías, J. A., Maniega, M. A., </w:t>
      </w:r>
      <w:r w:rsidRPr="00883656">
        <w:rPr>
          <w:rFonts w:ascii="Times New Roman" w:eastAsia="Times New Roman" w:hAnsi="Times New Roman" w:cs="Times New Roman"/>
          <w:sz w:val="24"/>
          <w:szCs w:val="24"/>
          <w:lang w:eastAsia="es-ES"/>
        </w:rPr>
        <w:t>Rami-González</w:t>
      </w:r>
      <w:r>
        <w:rPr>
          <w:rFonts w:ascii="Times New Roman" w:eastAsia="Times New Roman" w:hAnsi="Times New Roman" w:cs="Times New Roman"/>
          <w:sz w:val="24"/>
          <w:szCs w:val="24"/>
          <w:lang w:eastAsia="es-ES"/>
        </w:rPr>
        <w:t xml:space="preserve">, L., Boget, T. y </w:t>
      </w:r>
      <w:r w:rsidRPr="00883656">
        <w:rPr>
          <w:noProof/>
          <w:sz w:val="24"/>
          <w:szCs w:val="24"/>
        </w:rPr>
        <w:t xml:space="preserve">Picornell, I. (2002). Psicobiología de las conductas agresivas. </w:t>
      </w:r>
      <w:r w:rsidRPr="00883656">
        <w:rPr>
          <w:i/>
          <w:iCs/>
          <w:noProof/>
          <w:sz w:val="24"/>
          <w:szCs w:val="24"/>
        </w:rPr>
        <w:t>Anales de psicología</w:t>
      </w:r>
      <w:r w:rsidRPr="00883656">
        <w:rPr>
          <w:noProof/>
          <w:sz w:val="24"/>
          <w:szCs w:val="24"/>
        </w:rPr>
        <w:t xml:space="preserve">, </w:t>
      </w:r>
      <w:r w:rsidRPr="00883656">
        <w:rPr>
          <w:i/>
          <w:iCs/>
          <w:noProof/>
          <w:sz w:val="24"/>
          <w:szCs w:val="24"/>
        </w:rPr>
        <w:t>18</w:t>
      </w:r>
      <w:r w:rsidRPr="00883656">
        <w:rPr>
          <w:noProof/>
          <w:sz w:val="24"/>
          <w:szCs w:val="24"/>
        </w:rPr>
        <w:t>(2), 293-304.</w:t>
      </w:r>
    </w:p>
    <w:bookmarkEnd w:id="7"/>
    <w:p w14:paraId="251329D8" w14:textId="77777777" w:rsidR="008A3248" w:rsidRDefault="008A3248" w:rsidP="007C5903">
      <w:pPr>
        <w:spacing w:after="0" w:line="360" w:lineRule="auto"/>
        <w:ind w:left="708" w:hanging="708"/>
        <w:jc w:val="both"/>
        <w:rPr>
          <w:rFonts w:ascii="Times New Roman" w:eastAsia="Times New Roman" w:hAnsi="Times New Roman" w:cs="Times New Roman"/>
          <w:sz w:val="24"/>
          <w:szCs w:val="24"/>
          <w:lang w:eastAsia="es-ES"/>
        </w:rPr>
      </w:pPr>
      <w:r w:rsidRPr="007C5903">
        <w:rPr>
          <w:rFonts w:ascii="Times New Roman" w:eastAsia="Times New Roman" w:hAnsi="Times New Roman" w:cs="Times New Roman"/>
          <w:sz w:val="24"/>
          <w:szCs w:val="24"/>
          <w:lang w:eastAsia="es-ES"/>
        </w:rPr>
        <w:t xml:space="preserve">Gómez, J. y Halty, L. (2016). Impacto del avance de las neurociencias en la imputabilidad jurídico-penal del sujeto psicópata. </w:t>
      </w:r>
      <w:r w:rsidRPr="00A03EF6">
        <w:rPr>
          <w:rFonts w:ascii="Times New Roman" w:eastAsia="Times New Roman" w:hAnsi="Times New Roman" w:cs="Times New Roman"/>
          <w:i/>
          <w:iCs/>
          <w:sz w:val="24"/>
          <w:szCs w:val="24"/>
          <w:lang w:eastAsia="es-ES"/>
        </w:rPr>
        <w:t>DS: Derecho y salud</w:t>
      </w:r>
      <w:r w:rsidRPr="007C5903">
        <w:rPr>
          <w:rFonts w:ascii="Times New Roman" w:eastAsia="Times New Roman" w:hAnsi="Times New Roman" w:cs="Times New Roman"/>
          <w:sz w:val="24"/>
          <w:szCs w:val="24"/>
          <w:lang w:eastAsia="es-ES"/>
        </w:rPr>
        <w:t xml:space="preserve">, </w:t>
      </w:r>
      <w:r w:rsidRPr="00A03EF6">
        <w:rPr>
          <w:rFonts w:ascii="Times New Roman" w:eastAsia="Times New Roman" w:hAnsi="Times New Roman" w:cs="Times New Roman"/>
          <w:i/>
          <w:iCs/>
          <w:sz w:val="24"/>
          <w:szCs w:val="24"/>
          <w:lang w:eastAsia="es-ES"/>
        </w:rPr>
        <w:t>26</w:t>
      </w:r>
      <w:r w:rsidRPr="007C5903">
        <w:rPr>
          <w:rFonts w:ascii="Times New Roman" w:eastAsia="Times New Roman" w:hAnsi="Times New Roman" w:cs="Times New Roman"/>
          <w:sz w:val="24"/>
          <w:szCs w:val="24"/>
          <w:lang w:eastAsia="es-ES"/>
        </w:rPr>
        <w:t>(1), 81-92.</w:t>
      </w:r>
    </w:p>
    <w:p w14:paraId="6B38FDFC" w14:textId="77777777" w:rsidR="008A3248" w:rsidRPr="008A3248" w:rsidRDefault="008A3248" w:rsidP="001419E4">
      <w:pPr>
        <w:spacing w:after="0" w:line="360" w:lineRule="auto"/>
        <w:ind w:left="708" w:hanging="708"/>
        <w:jc w:val="both"/>
        <w:rPr>
          <w:rFonts w:ascii="Times New Roman" w:eastAsia="Times New Roman" w:hAnsi="Times New Roman" w:cs="Times New Roman"/>
          <w:sz w:val="24"/>
          <w:szCs w:val="24"/>
          <w:lang w:eastAsia="es-ES"/>
        </w:rPr>
      </w:pPr>
      <w:r w:rsidRPr="008A3248">
        <w:rPr>
          <w:rFonts w:ascii="Times New Roman" w:eastAsia="Times New Roman" w:hAnsi="Times New Roman" w:cs="Times New Roman"/>
          <w:sz w:val="24"/>
          <w:szCs w:val="24"/>
          <w:lang w:eastAsia="es-ES"/>
        </w:rPr>
        <w:t xml:space="preserve">Gordillo, R. (2010). </w:t>
      </w:r>
      <w:r w:rsidRPr="008A3248">
        <w:rPr>
          <w:rFonts w:ascii="Times New Roman" w:eastAsia="Times New Roman" w:hAnsi="Times New Roman" w:cs="Times New Roman"/>
          <w:i/>
          <w:iCs/>
          <w:sz w:val="24"/>
          <w:szCs w:val="24"/>
          <w:lang w:eastAsia="es-ES"/>
        </w:rPr>
        <w:t>Análisis longitudinal de la relación entre depresión y agresión física y verbal en población infanto-juvenil</w:t>
      </w:r>
      <w:r w:rsidRPr="008A3248">
        <w:rPr>
          <w:rFonts w:ascii="Times New Roman" w:eastAsia="Times New Roman" w:hAnsi="Times New Roman" w:cs="Times New Roman"/>
          <w:sz w:val="24"/>
          <w:szCs w:val="24"/>
          <w:lang w:eastAsia="es-ES"/>
        </w:rPr>
        <w:t>. (Tesis Doctoral). Universidad Nacional de Educación a Distancia: España.</w:t>
      </w:r>
    </w:p>
    <w:p w14:paraId="0474A76F" w14:textId="77777777" w:rsidR="008A3248" w:rsidRPr="000775D5" w:rsidRDefault="008A3248">
      <w:pPr>
        <w:spacing w:line="360" w:lineRule="auto"/>
        <w:ind w:left="708" w:hanging="708"/>
        <w:jc w:val="both"/>
        <w:rPr>
          <w:sz w:val="24"/>
          <w:szCs w:val="24"/>
        </w:rPr>
      </w:pPr>
      <w:r w:rsidRPr="0029175D">
        <w:rPr>
          <w:sz w:val="24"/>
          <w:szCs w:val="24"/>
        </w:rPr>
        <w:t xml:space="preserve">Haller, J. (2014). </w:t>
      </w:r>
      <w:r w:rsidRPr="003421AB">
        <w:rPr>
          <w:i/>
          <w:iCs/>
          <w:sz w:val="24"/>
          <w:szCs w:val="24"/>
          <w:lang w:val="en-US"/>
        </w:rPr>
        <w:t>Neurobiological Bases of Abnormal Aggression and Violent Behaviour</w:t>
      </w:r>
      <w:r w:rsidRPr="00617484">
        <w:rPr>
          <w:sz w:val="24"/>
          <w:szCs w:val="24"/>
          <w:lang w:val="en-US"/>
        </w:rPr>
        <w:t xml:space="preserve">. </w:t>
      </w:r>
      <w:r w:rsidRPr="003421AB">
        <w:rPr>
          <w:sz w:val="24"/>
          <w:szCs w:val="24"/>
        </w:rPr>
        <w:t xml:space="preserve">Berlin: Springer., </w:t>
      </w:r>
      <w:hyperlink r:id="rId13" w:history="1">
        <w:r w:rsidRPr="003421AB">
          <w:rPr>
            <w:rStyle w:val="Hipervnculo"/>
            <w:color w:val="auto"/>
            <w:sz w:val="24"/>
            <w:szCs w:val="24"/>
          </w:rPr>
          <w:t>http://dx.doi.org/10.1007/978-3-7091-1268-7</w:t>
        </w:r>
      </w:hyperlink>
    </w:p>
    <w:p w14:paraId="0A47FC9C" w14:textId="77777777" w:rsidR="008A3248" w:rsidRPr="00111CE5" w:rsidRDefault="008A3248">
      <w:pPr>
        <w:spacing w:line="360" w:lineRule="auto"/>
        <w:ind w:left="708" w:hanging="708"/>
        <w:jc w:val="both"/>
        <w:rPr>
          <w:sz w:val="24"/>
          <w:szCs w:val="24"/>
        </w:rPr>
      </w:pPr>
      <w:r w:rsidRPr="00111CE5">
        <w:rPr>
          <w:sz w:val="24"/>
          <w:szCs w:val="24"/>
        </w:rPr>
        <w:t xml:space="preserve">Hare, R. (2003) </w:t>
      </w:r>
      <w:r w:rsidRPr="00111CE5">
        <w:rPr>
          <w:i/>
          <w:iCs/>
          <w:sz w:val="24"/>
          <w:szCs w:val="24"/>
        </w:rPr>
        <w:t>Sin conciencia, el inquietante mundo de los psicópatas que nos rodean</w:t>
      </w:r>
      <w:r w:rsidRPr="00111CE5">
        <w:rPr>
          <w:sz w:val="24"/>
          <w:szCs w:val="24"/>
        </w:rPr>
        <w:t>, Madrid, España: Paidós</w:t>
      </w:r>
    </w:p>
    <w:p w14:paraId="06B29164" w14:textId="77777777" w:rsidR="008A3248" w:rsidRPr="00A03EF6" w:rsidRDefault="008A3248" w:rsidP="00637015">
      <w:pPr>
        <w:spacing w:after="0" w:line="360" w:lineRule="auto"/>
        <w:ind w:left="708" w:hanging="708"/>
        <w:jc w:val="both"/>
        <w:rPr>
          <w:rFonts w:ascii="Times New Roman" w:eastAsia="Times New Roman" w:hAnsi="Times New Roman" w:cs="Times New Roman"/>
          <w:sz w:val="24"/>
          <w:szCs w:val="24"/>
          <w:lang w:val="en-US" w:eastAsia="es-ES"/>
        </w:rPr>
      </w:pPr>
      <w:r w:rsidRPr="008A3248">
        <w:rPr>
          <w:rFonts w:ascii="Times New Roman" w:eastAsia="Times New Roman" w:hAnsi="Times New Roman" w:cs="Times New Roman"/>
          <w:sz w:val="24"/>
          <w:szCs w:val="24"/>
          <w:lang w:val="en-US" w:eastAsia="es-ES"/>
        </w:rPr>
        <w:t xml:space="preserve">Harris, G. T., y Rice, M. E. (2006). </w:t>
      </w:r>
      <w:r w:rsidRPr="00A03EF6">
        <w:rPr>
          <w:rFonts w:ascii="Times New Roman" w:eastAsia="Times New Roman" w:hAnsi="Times New Roman" w:cs="Times New Roman"/>
          <w:sz w:val="24"/>
          <w:szCs w:val="24"/>
          <w:lang w:val="en-US" w:eastAsia="es-ES"/>
        </w:rPr>
        <w:t xml:space="preserve">Treatment of psychopathy. </w:t>
      </w:r>
      <w:r w:rsidRPr="00A03EF6">
        <w:rPr>
          <w:rFonts w:ascii="Times New Roman" w:eastAsia="Times New Roman" w:hAnsi="Times New Roman" w:cs="Times New Roman"/>
          <w:i/>
          <w:iCs/>
          <w:sz w:val="24"/>
          <w:szCs w:val="24"/>
          <w:lang w:val="en-US" w:eastAsia="es-ES"/>
        </w:rPr>
        <w:t>Handbook of psychopathy</w:t>
      </w:r>
      <w:r w:rsidRPr="00A03EF6">
        <w:rPr>
          <w:rFonts w:ascii="Times New Roman" w:eastAsia="Times New Roman" w:hAnsi="Times New Roman" w:cs="Times New Roman"/>
          <w:sz w:val="24"/>
          <w:szCs w:val="24"/>
          <w:lang w:val="en-US" w:eastAsia="es-ES"/>
        </w:rPr>
        <w:t>, 555-572.</w:t>
      </w:r>
    </w:p>
    <w:p w14:paraId="0B805CF5" w14:textId="77777777" w:rsidR="008A3248" w:rsidRPr="00780D3E" w:rsidRDefault="008A3248" w:rsidP="008A63B0">
      <w:pPr>
        <w:spacing w:after="0" w:line="360" w:lineRule="auto"/>
        <w:ind w:left="708" w:hanging="708"/>
        <w:jc w:val="both"/>
        <w:rPr>
          <w:rFonts w:ascii="Times New Roman" w:eastAsia="Times New Roman" w:hAnsi="Times New Roman" w:cs="Times New Roman"/>
          <w:sz w:val="24"/>
          <w:szCs w:val="24"/>
          <w:lang w:val="en-US" w:eastAsia="es-ES"/>
        </w:rPr>
      </w:pPr>
      <w:r w:rsidRPr="007C5903">
        <w:rPr>
          <w:rFonts w:ascii="Times New Roman" w:eastAsia="Times New Roman" w:hAnsi="Times New Roman" w:cs="Times New Roman"/>
          <w:sz w:val="24"/>
          <w:szCs w:val="24"/>
          <w:lang w:eastAsia="es-ES"/>
        </w:rPr>
        <w:t xml:space="preserve">Hawes, D. J., y Dadds, M. R. (2005). </w:t>
      </w:r>
      <w:r w:rsidRPr="00780D3E">
        <w:rPr>
          <w:rFonts w:ascii="Times New Roman" w:eastAsia="Times New Roman" w:hAnsi="Times New Roman" w:cs="Times New Roman"/>
          <w:sz w:val="24"/>
          <w:szCs w:val="24"/>
          <w:lang w:val="en-US" w:eastAsia="es-ES"/>
        </w:rPr>
        <w:t xml:space="preserve">The treatment of conduct problems in children with callous-unemotional traits. </w:t>
      </w:r>
      <w:r w:rsidRPr="00A03EF6">
        <w:rPr>
          <w:rFonts w:ascii="Times New Roman" w:eastAsia="Times New Roman" w:hAnsi="Times New Roman" w:cs="Times New Roman"/>
          <w:i/>
          <w:iCs/>
          <w:sz w:val="24"/>
          <w:szCs w:val="24"/>
          <w:lang w:val="en-US" w:eastAsia="es-ES"/>
        </w:rPr>
        <w:t>Journal of consulting and clinical psychology, 73</w:t>
      </w:r>
      <w:r w:rsidRPr="00780D3E">
        <w:rPr>
          <w:rFonts w:ascii="Times New Roman" w:eastAsia="Times New Roman" w:hAnsi="Times New Roman" w:cs="Times New Roman"/>
          <w:sz w:val="24"/>
          <w:szCs w:val="24"/>
          <w:lang w:val="en-US" w:eastAsia="es-ES"/>
        </w:rPr>
        <w:t>(4), 737.</w:t>
      </w:r>
    </w:p>
    <w:p w14:paraId="567ADC40" w14:textId="77777777" w:rsidR="008A3248" w:rsidRPr="00111CE5" w:rsidRDefault="008A3248">
      <w:pPr>
        <w:widowControl w:val="0"/>
        <w:autoSpaceDE w:val="0"/>
        <w:autoSpaceDN w:val="0"/>
        <w:adjustRightInd w:val="0"/>
        <w:spacing w:after="140" w:line="360" w:lineRule="auto"/>
        <w:ind w:left="480" w:hanging="480"/>
        <w:jc w:val="both"/>
        <w:rPr>
          <w:rFonts w:ascii="Times New Roman" w:hAnsi="Times New Roman" w:cs="Times New Roman"/>
          <w:noProof/>
          <w:sz w:val="24"/>
          <w:szCs w:val="24"/>
          <w:lang w:val="en-US"/>
        </w:rPr>
      </w:pPr>
      <w:r w:rsidRPr="0001659F">
        <w:rPr>
          <w:rFonts w:ascii="Times New Roman" w:hAnsi="Times New Roman" w:cs="Times New Roman"/>
          <w:noProof/>
          <w:sz w:val="24"/>
          <w:szCs w:val="24"/>
          <w:lang w:val="en-US"/>
        </w:rPr>
        <w:t xml:space="preserve">Hecht, L. K., y Latzman, R. D. (2018). </w:t>
      </w:r>
      <w:r w:rsidRPr="00111CE5">
        <w:rPr>
          <w:rFonts w:ascii="Times New Roman" w:hAnsi="Times New Roman" w:cs="Times New Roman"/>
          <w:noProof/>
          <w:sz w:val="24"/>
          <w:szCs w:val="24"/>
          <w:lang w:val="en-US"/>
        </w:rPr>
        <w:t xml:space="preserve">Exploring the differential associations between components of executive functioning and reactive and proactive aggression. </w:t>
      </w:r>
      <w:r w:rsidRPr="00111CE5">
        <w:rPr>
          <w:rFonts w:ascii="Times New Roman" w:hAnsi="Times New Roman" w:cs="Times New Roman"/>
          <w:i/>
          <w:iCs/>
          <w:noProof/>
          <w:sz w:val="24"/>
          <w:szCs w:val="24"/>
          <w:lang w:val="en-US"/>
        </w:rPr>
        <w:t>Journal of Clinical and Experimental Neuropsychology</w:t>
      </w:r>
      <w:r w:rsidRPr="00111CE5">
        <w:rPr>
          <w:rFonts w:ascii="Times New Roman" w:hAnsi="Times New Roman" w:cs="Times New Roman"/>
          <w:noProof/>
          <w:sz w:val="24"/>
          <w:szCs w:val="24"/>
          <w:lang w:val="en-US"/>
        </w:rPr>
        <w:t xml:space="preserve">, </w:t>
      </w:r>
      <w:r w:rsidRPr="00111CE5">
        <w:rPr>
          <w:rFonts w:ascii="Times New Roman" w:hAnsi="Times New Roman" w:cs="Times New Roman"/>
          <w:i/>
          <w:iCs/>
          <w:noProof/>
          <w:sz w:val="24"/>
          <w:szCs w:val="24"/>
          <w:lang w:val="en-US"/>
        </w:rPr>
        <w:t>40</w:t>
      </w:r>
      <w:r w:rsidRPr="00111CE5">
        <w:rPr>
          <w:rFonts w:ascii="Times New Roman" w:hAnsi="Times New Roman" w:cs="Times New Roman"/>
          <w:noProof/>
          <w:sz w:val="24"/>
          <w:szCs w:val="24"/>
          <w:lang w:val="en-US"/>
        </w:rPr>
        <w:t>(1), 62-74. https://doi.org/10.1080/13803395.2017.1314450</w:t>
      </w:r>
    </w:p>
    <w:p w14:paraId="42605466" w14:textId="77777777" w:rsidR="008A3248" w:rsidRPr="003421AB" w:rsidRDefault="008A3248">
      <w:pPr>
        <w:widowControl w:val="0"/>
        <w:autoSpaceDE w:val="0"/>
        <w:autoSpaceDN w:val="0"/>
        <w:adjustRightInd w:val="0"/>
        <w:spacing w:after="140" w:line="360" w:lineRule="auto"/>
        <w:ind w:left="480" w:hanging="480"/>
        <w:jc w:val="both"/>
        <w:rPr>
          <w:rFonts w:ascii="Times New Roman" w:hAnsi="Times New Roman" w:cs="Times New Roman"/>
          <w:noProof/>
          <w:sz w:val="24"/>
          <w:szCs w:val="24"/>
        </w:rPr>
      </w:pPr>
      <w:r w:rsidRPr="0001659F">
        <w:rPr>
          <w:rFonts w:ascii="Times New Roman" w:hAnsi="Times New Roman" w:cs="Times New Roman"/>
          <w:noProof/>
          <w:sz w:val="24"/>
          <w:szCs w:val="24"/>
          <w:lang w:val="en-US"/>
        </w:rPr>
        <w:t xml:space="preserve">Herreros, O., Rubio, B., y Monzón, J. (2010). </w:t>
      </w:r>
      <w:r w:rsidRPr="003421AB">
        <w:rPr>
          <w:rFonts w:ascii="Times New Roman" w:hAnsi="Times New Roman" w:cs="Times New Roman"/>
          <w:noProof/>
          <w:sz w:val="24"/>
          <w:szCs w:val="24"/>
        </w:rPr>
        <w:t>Etiología y fisiopatología de la conducta agresiva.</w:t>
      </w:r>
      <w:r w:rsidRPr="003421AB">
        <w:rPr>
          <w:i/>
          <w:iCs/>
          <w:sz w:val="24"/>
          <w:szCs w:val="24"/>
        </w:rPr>
        <w:t xml:space="preserve"> Revista de Psiquiatría Infanto-Juvenil</w:t>
      </w:r>
      <w:r w:rsidRPr="003421AB">
        <w:rPr>
          <w:sz w:val="24"/>
          <w:szCs w:val="24"/>
        </w:rPr>
        <w:t xml:space="preserve">, </w:t>
      </w:r>
      <w:r w:rsidRPr="003421AB">
        <w:rPr>
          <w:i/>
          <w:iCs/>
          <w:sz w:val="24"/>
          <w:szCs w:val="24"/>
        </w:rPr>
        <w:t>27</w:t>
      </w:r>
      <w:r w:rsidRPr="003421AB">
        <w:rPr>
          <w:sz w:val="24"/>
          <w:szCs w:val="24"/>
        </w:rPr>
        <w:t>(3), 254-269.</w:t>
      </w:r>
    </w:p>
    <w:p w14:paraId="04929C08" w14:textId="77777777" w:rsidR="008A3248" w:rsidRPr="001419E4" w:rsidRDefault="008A3248">
      <w:pPr>
        <w:spacing w:line="360" w:lineRule="auto"/>
        <w:ind w:left="708" w:hanging="708"/>
        <w:jc w:val="both"/>
        <w:rPr>
          <w:rFonts w:asciiTheme="majorHAnsi" w:hAnsiTheme="majorHAnsi" w:cstheme="majorHAnsi"/>
          <w:sz w:val="24"/>
          <w:szCs w:val="24"/>
        </w:rPr>
      </w:pPr>
      <w:r w:rsidRPr="00111CE5">
        <w:rPr>
          <w:rFonts w:asciiTheme="majorHAnsi" w:hAnsiTheme="majorHAnsi" w:cstheme="majorHAnsi"/>
          <w:sz w:val="24"/>
          <w:szCs w:val="24"/>
        </w:rPr>
        <w:t xml:space="preserve">Iruarrizaga, I. (1999) Díez, I. I. (1999). El papel profesional del neuropsicólogo en el ámbito forense. </w:t>
      </w:r>
      <w:r w:rsidRPr="001419E4">
        <w:rPr>
          <w:rFonts w:asciiTheme="majorHAnsi" w:hAnsiTheme="majorHAnsi" w:cstheme="majorHAnsi"/>
          <w:i/>
          <w:iCs/>
          <w:sz w:val="24"/>
          <w:szCs w:val="24"/>
        </w:rPr>
        <w:t>Anuario de psicología jurídica</w:t>
      </w:r>
      <w:r w:rsidRPr="001419E4">
        <w:rPr>
          <w:rFonts w:asciiTheme="majorHAnsi" w:hAnsiTheme="majorHAnsi" w:cstheme="majorHAnsi"/>
          <w:sz w:val="24"/>
          <w:szCs w:val="24"/>
        </w:rPr>
        <w:t>, (9), 133-144.</w:t>
      </w:r>
    </w:p>
    <w:p w14:paraId="0778A39F" w14:textId="77777777" w:rsidR="008A3248" w:rsidRPr="00111CE5" w:rsidRDefault="008A3248">
      <w:pPr>
        <w:spacing w:after="0" w:line="360" w:lineRule="auto"/>
        <w:ind w:left="708" w:hanging="708"/>
        <w:jc w:val="both"/>
        <w:rPr>
          <w:rFonts w:ascii="Times New Roman" w:eastAsia="Times New Roman" w:hAnsi="Times New Roman" w:cs="Times New Roman"/>
          <w:sz w:val="24"/>
          <w:szCs w:val="24"/>
          <w:lang w:eastAsia="es-ES"/>
        </w:rPr>
      </w:pPr>
      <w:r w:rsidRPr="00111CE5">
        <w:rPr>
          <w:rFonts w:ascii="Times New Roman" w:eastAsia="Times New Roman" w:hAnsi="Times New Roman" w:cs="Times New Roman"/>
          <w:sz w:val="24"/>
          <w:szCs w:val="24"/>
          <w:lang w:eastAsia="es-ES"/>
        </w:rPr>
        <w:lastRenderedPageBreak/>
        <w:t xml:space="preserve">Matalinares, M., Yaringaño, J., Uceda, J., Fernández, E., Huari, Y., y Campos, A. (2012). Estudio psicométrico de la versión española del cuestionario de agresión de Buss y Perry. </w:t>
      </w:r>
      <w:r w:rsidRPr="00111CE5">
        <w:rPr>
          <w:rFonts w:ascii="Times New Roman" w:eastAsia="Times New Roman" w:hAnsi="Times New Roman" w:cs="Times New Roman"/>
          <w:i/>
          <w:iCs/>
          <w:sz w:val="24"/>
          <w:szCs w:val="24"/>
          <w:lang w:eastAsia="es-ES"/>
        </w:rPr>
        <w:t>Revista de investigación en psicología</w:t>
      </w:r>
      <w:r w:rsidRPr="00111CE5">
        <w:rPr>
          <w:rFonts w:ascii="Times New Roman" w:eastAsia="Times New Roman" w:hAnsi="Times New Roman" w:cs="Times New Roman"/>
          <w:sz w:val="24"/>
          <w:szCs w:val="24"/>
          <w:lang w:eastAsia="es-ES"/>
        </w:rPr>
        <w:t xml:space="preserve">, </w:t>
      </w:r>
      <w:r w:rsidRPr="00111CE5">
        <w:rPr>
          <w:rFonts w:ascii="Times New Roman" w:eastAsia="Times New Roman" w:hAnsi="Times New Roman" w:cs="Times New Roman"/>
          <w:i/>
          <w:iCs/>
          <w:sz w:val="24"/>
          <w:szCs w:val="24"/>
          <w:lang w:eastAsia="es-ES"/>
        </w:rPr>
        <w:t>15</w:t>
      </w:r>
      <w:r w:rsidRPr="00111CE5">
        <w:rPr>
          <w:rFonts w:ascii="Times New Roman" w:eastAsia="Times New Roman" w:hAnsi="Times New Roman" w:cs="Times New Roman"/>
          <w:sz w:val="24"/>
          <w:szCs w:val="24"/>
          <w:lang w:eastAsia="es-ES"/>
        </w:rPr>
        <w:t>(1), 147-161.</w:t>
      </w:r>
    </w:p>
    <w:p w14:paraId="3A29AD87" w14:textId="77777777" w:rsidR="008A3248" w:rsidRPr="00A07422" w:rsidRDefault="008A3248">
      <w:pPr>
        <w:spacing w:line="360" w:lineRule="auto"/>
        <w:ind w:left="708" w:hanging="708"/>
        <w:jc w:val="both"/>
        <w:rPr>
          <w:sz w:val="24"/>
          <w:szCs w:val="24"/>
        </w:rPr>
      </w:pPr>
      <w:r w:rsidRPr="00A07422">
        <w:rPr>
          <w:sz w:val="24"/>
          <w:szCs w:val="24"/>
        </w:rPr>
        <w:t>Muñoz</w:t>
      </w:r>
      <w:r>
        <w:rPr>
          <w:sz w:val="24"/>
          <w:szCs w:val="24"/>
        </w:rPr>
        <w:t>-</w:t>
      </w:r>
      <w:r w:rsidRPr="00A07422">
        <w:rPr>
          <w:sz w:val="24"/>
          <w:szCs w:val="24"/>
        </w:rPr>
        <w:t xml:space="preserve">Vicente, J.M (2011) La psicopatía y su repercusión criminológica: un modelo comprehensivo de la dinámica de personalidad psicopatía. </w:t>
      </w:r>
      <w:r w:rsidRPr="00A07422">
        <w:rPr>
          <w:i/>
          <w:iCs/>
          <w:sz w:val="24"/>
          <w:szCs w:val="24"/>
        </w:rPr>
        <w:t>Anuario de Psicología Jurídica</w:t>
      </w:r>
      <w:r w:rsidRPr="00A07422">
        <w:rPr>
          <w:sz w:val="24"/>
          <w:szCs w:val="24"/>
        </w:rPr>
        <w:t>, 21, 57-68. http://dx.doi.org/10.5093/jr2011v21a6</w:t>
      </w:r>
    </w:p>
    <w:p w14:paraId="6BF2F8AB" w14:textId="77777777" w:rsidR="008A3248" w:rsidRPr="00111CE5" w:rsidRDefault="008A3248">
      <w:pPr>
        <w:spacing w:line="360" w:lineRule="auto"/>
        <w:ind w:left="708" w:hanging="708"/>
        <w:jc w:val="both"/>
        <w:rPr>
          <w:sz w:val="24"/>
          <w:szCs w:val="24"/>
        </w:rPr>
      </w:pPr>
      <w:r w:rsidRPr="00111CE5">
        <w:rPr>
          <w:sz w:val="24"/>
          <w:szCs w:val="24"/>
        </w:rPr>
        <w:t xml:space="preserve">Nagore, A. (2019) </w:t>
      </w:r>
      <w:r w:rsidRPr="00111CE5">
        <w:rPr>
          <w:i/>
          <w:iCs/>
          <w:sz w:val="24"/>
          <w:szCs w:val="24"/>
        </w:rPr>
        <w:t>Neuropsicología forense: una disciplina emergente</w:t>
      </w:r>
      <w:r w:rsidRPr="00111CE5">
        <w:rPr>
          <w:sz w:val="24"/>
          <w:szCs w:val="24"/>
        </w:rPr>
        <w:t xml:space="preserve">, Madrid, España: Síntesis. </w:t>
      </w:r>
    </w:p>
    <w:p w14:paraId="633AB626" w14:textId="77777777" w:rsidR="008A3248" w:rsidRPr="00617484" w:rsidRDefault="008A3248">
      <w:pPr>
        <w:spacing w:line="360" w:lineRule="auto"/>
        <w:ind w:left="708" w:hanging="708"/>
        <w:jc w:val="both"/>
        <w:rPr>
          <w:sz w:val="24"/>
          <w:szCs w:val="24"/>
        </w:rPr>
      </w:pPr>
      <w:r w:rsidRPr="00617484">
        <w:rPr>
          <w:sz w:val="24"/>
          <w:szCs w:val="24"/>
        </w:rPr>
        <w:t xml:space="preserve">Ortega- Escobar, J. y Alcázar-Córcoles, M.A. (2019). Neurobiología de la agresión y la violencia. En J. Ortega- Escobar y M.A. Alcázar-Córcoles (Eds), </w:t>
      </w:r>
      <w:r w:rsidRPr="00617484">
        <w:rPr>
          <w:i/>
          <w:iCs/>
          <w:sz w:val="24"/>
          <w:szCs w:val="24"/>
        </w:rPr>
        <w:t>Agresión y psicopatía: aspectos biológicos, neurobiológicos y legales</w:t>
      </w:r>
      <w:r w:rsidRPr="00617484">
        <w:rPr>
          <w:sz w:val="24"/>
          <w:szCs w:val="24"/>
        </w:rPr>
        <w:t xml:space="preserve"> (pp. 43-70)Madrid, España: Pirámide</w:t>
      </w:r>
    </w:p>
    <w:p w14:paraId="5E6ABDB9" w14:textId="77777777" w:rsidR="008A3248" w:rsidRPr="00111CE5" w:rsidRDefault="008A3248">
      <w:pPr>
        <w:spacing w:line="360" w:lineRule="auto"/>
        <w:ind w:left="708" w:hanging="708"/>
        <w:jc w:val="both"/>
        <w:rPr>
          <w:sz w:val="24"/>
          <w:szCs w:val="24"/>
        </w:rPr>
      </w:pPr>
      <w:bookmarkStart w:id="8" w:name="_Hlk30611246"/>
      <w:r w:rsidRPr="00111CE5">
        <w:rPr>
          <w:sz w:val="24"/>
          <w:szCs w:val="24"/>
        </w:rPr>
        <w:t xml:space="preserve">Ortega- Escobar, J. y Alcázar-Córcoles, M.A. (2019). Psicopatía. En J. Ortega- Esconar y M.A. Alcázar-Córcoles (Eds), </w:t>
      </w:r>
      <w:r w:rsidRPr="00111CE5">
        <w:rPr>
          <w:i/>
          <w:iCs/>
          <w:sz w:val="24"/>
          <w:szCs w:val="24"/>
        </w:rPr>
        <w:t xml:space="preserve">Agresión y psicopatía: aspectos biológicos, neurobiológicos y legales </w:t>
      </w:r>
      <w:r w:rsidRPr="00111CE5">
        <w:rPr>
          <w:sz w:val="24"/>
          <w:szCs w:val="24"/>
        </w:rPr>
        <w:t>(pp. 71-90)Madrid, España: Pirámide</w:t>
      </w:r>
    </w:p>
    <w:bookmarkEnd w:id="8"/>
    <w:p w14:paraId="3FFD4DF4" w14:textId="77777777" w:rsidR="008A3248" w:rsidRPr="0029175D" w:rsidRDefault="008A3248">
      <w:pPr>
        <w:spacing w:after="0" w:line="360" w:lineRule="auto"/>
        <w:ind w:left="708" w:hanging="708"/>
        <w:jc w:val="both"/>
        <w:rPr>
          <w:rFonts w:asciiTheme="majorHAnsi" w:hAnsiTheme="majorHAnsi" w:cstheme="majorHAnsi"/>
          <w:sz w:val="24"/>
          <w:szCs w:val="24"/>
        </w:rPr>
      </w:pPr>
      <w:r w:rsidRPr="00617484">
        <w:rPr>
          <w:rFonts w:asciiTheme="majorHAnsi" w:hAnsiTheme="majorHAnsi" w:cstheme="majorHAnsi"/>
          <w:sz w:val="24"/>
          <w:szCs w:val="24"/>
        </w:rPr>
        <w:t xml:space="preserve">Ortega-Escobar, J. y Alcázar-Córcoles, M.A (2019). Neuropsicología de la psicopatía. En Agresión y psicopatía: Aspectos psicológicos, neurobiológicos y legales (pp. 91-117). </w:t>
      </w:r>
      <w:r w:rsidRPr="00111CE5">
        <w:rPr>
          <w:sz w:val="24"/>
          <w:szCs w:val="24"/>
        </w:rPr>
        <w:t>Madrid, España: Pirámide</w:t>
      </w:r>
      <w:r w:rsidRPr="0029175D">
        <w:rPr>
          <w:rFonts w:asciiTheme="majorHAnsi" w:hAnsiTheme="majorHAnsi" w:cstheme="majorHAnsi"/>
          <w:sz w:val="24"/>
          <w:szCs w:val="24"/>
        </w:rPr>
        <w:t>.</w:t>
      </w:r>
    </w:p>
    <w:p w14:paraId="73A46B1F" w14:textId="77777777" w:rsidR="008A3248" w:rsidRPr="000B0D49" w:rsidRDefault="008A3248">
      <w:pPr>
        <w:spacing w:line="360" w:lineRule="auto"/>
        <w:ind w:left="708" w:hanging="708"/>
        <w:jc w:val="both"/>
        <w:rPr>
          <w:sz w:val="24"/>
          <w:szCs w:val="24"/>
          <w:lang w:val="en-US"/>
        </w:rPr>
      </w:pPr>
      <w:r w:rsidRPr="00617484">
        <w:rPr>
          <w:rStyle w:val="highlight"/>
          <w:rFonts w:asciiTheme="majorHAnsi" w:hAnsiTheme="majorHAnsi" w:cstheme="majorHAnsi"/>
          <w:sz w:val="24"/>
          <w:szCs w:val="24"/>
        </w:rPr>
        <w:t>Pacheco</w:t>
      </w:r>
      <w:r w:rsidRPr="00617484">
        <w:rPr>
          <w:sz w:val="24"/>
          <w:szCs w:val="24"/>
        </w:rPr>
        <w:t xml:space="preserve">, J. (2017). Enfoque criminológico de la conducta agresiva y su etiología hormonal. </w:t>
      </w:r>
      <w:r w:rsidRPr="00617484">
        <w:rPr>
          <w:i/>
          <w:iCs/>
          <w:sz w:val="24"/>
          <w:szCs w:val="24"/>
        </w:rPr>
        <w:t>Vox Jurix</w:t>
      </w:r>
      <w:r w:rsidRPr="00617484">
        <w:rPr>
          <w:sz w:val="24"/>
          <w:szCs w:val="24"/>
        </w:rPr>
        <w:t xml:space="preserve">, 33, 159–165. </w:t>
      </w:r>
      <w:r w:rsidRPr="000B0D49">
        <w:rPr>
          <w:sz w:val="24"/>
          <w:szCs w:val="24"/>
          <w:lang w:val="en-US"/>
        </w:rPr>
        <w:t>Recuperado de https://dialnet.unirioja.es/servlet/articulo?codigo=605875</w:t>
      </w:r>
    </w:p>
    <w:p w14:paraId="05AE6A2B" w14:textId="77777777" w:rsidR="008A3248" w:rsidRPr="000B0D49" w:rsidRDefault="008A3248">
      <w:pPr>
        <w:spacing w:line="360" w:lineRule="auto"/>
        <w:ind w:left="708" w:hanging="708"/>
        <w:jc w:val="both"/>
        <w:rPr>
          <w:rFonts w:asciiTheme="majorHAnsi" w:hAnsiTheme="majorHAnsi" w:cstheme="majorHAnsi"/>
          <w:sz w:val="24"/>
          <w:szCs w:val="24"/>
          <w:lang w:val="en-US"/>
        </w:rPr>
      </w:pPr>
      <w:r w:rsidRPr="00617484">
        <w:rPr>
          <w:rFonts w:asciiTheme="majorHAnsi" w:hAnsiTheme="majorHAnsi" w:cstheme="majorHAnsi"/>
          <w:sz w:val="24"/>
          <w:szCs w:val="24"/>
          <w:lang w:val="en-US"/>
        </w:rPr>
        <w:t xml:space="preserve">Pardini, D. A., Raine, A., Erickson, K., </w:t>
      </w:r>
      <w:r>
        <w:rPr>
          <w:rFonts w:asciiTheme="majorHAnsi" w:hAnsiTheme="majorHAnsi" w:cstheme="majorHAnsi"/>
          <w:sz w:val="24"/>
          <w:szCs w:val="24"/>
          <w:lang w:val="en-US"/>
        </w:rPr>
        <w:t>y</w:t>
      </w:r>
      <w:r w:rsidRPr="00617484">
        <w:rPr>
          <w:rFonts w:asciiTheme="majorHAnsi" w:hAnsiTheme="majorHAnsi" w:cstheme="majorHAnsi"/>
          <w:sz w:val="24"/>
          <w:szCs w:val="24"/>
          <w:lang w:val="en-US"/>
        </w:rPr>
        <w:t xml:space="preserve"> Loeber, R. (2014). Lower Amygdala Volume in Men is Associated with Childhood Aggression, Early Psychopathic Traits, and Future Violence. </w:t>
      </w:r>
      <w:r w:rsidRPr="000B0D49">
        <w:rPr>
          <w:rFonts w:asciiTheme="majorHAnsi" w:hAnsiTheme="majorHAnsi" w:cstheme="majorHAnsi"/>
          <w:i/>
          <w:iCs/>
          <w:sz w:val="24"/>
          <w:szCs w:val="24"/>
          <w:lang w:val="en-US"/>
        </w:rPr>
        <w:t>Biological Psychiatry</w:t>
      </w:r>
      <w:r w:rsidRPr="000B0D49">
        <w:rPr>
          <w:rFonts w:asciiTheme="majorHAnsi" w:hAnsiTheme="majorHAnsi" w:cstheme="majorHAnsi"/>
          <w:sz w:val="24"/>
          <w:szCs w:val="24"/>
          <w:lang w:val="en-US"/>
        </w:rPr>
        <w:t xml:space="preserve">, </w:t>
      </w:r>
      <w:r w:rsidRPr="000B0D49">
        <w:rPr>
          <w:rFonts w:asciiTheme="majorHAnsi" w:hAnsiTheme="majorHAnsi" w:cstheme="majorHAnsi"/>
          <w:i/>
          <w:iCs/>
          <w:sz w:val="24"/>
          <w:szCs w:val="24"/>
          <w:lang w:val="en-US"/>
        </w:rPr>
        <w:t>75</w:t>
      </w:r>
      <w:r w:rsidRPr="000B0D49">
        <w:rPr>
          <w:rFonts w:asciiTheme="majorHAnsi" w:hAnsiTheme="majorHAnsi" w:cstheme="majorHAnsi"/>
          <w:sz w:val="24"/>
          <w:szCs w:val="24"/>
          <w:lang w:val="en-US"/>
        </w:rPr>
        <w:t xml:space="preserve">(1), 73–80. </w:t>
      </w:r>
      <w:proofErr w:type="gramStart"/>
      <w:r w:rsidRPr="000B0D49">
        <w:rPr>
          <w:rFonts w:asciiTheme="majorHAnsi" w:hAnsiTheme="majorHAnsi" w:cstheme="majorHAnsi"/>
          <w:sz w:val="24"/>
          <w:szCs w:val="24"/>
          <w:lang w:val="en-US"/>
        </w:rPr>
        <w:t>doi:10.1</w:t>
      </w:r>
      <w:bookmarkStart w:id="9" w:name="_GoBack"/>
      <w:bookmarkEnd w:id="9"/>
      <w:r w:rsidRPr="000B0D49">
        <w:rPr>
          <w:rFonts w:asciiTheme="majorHAnsi" w:hAnsiTheme="majorHAnsi" w:cstheme="majorHAnsi"/>
          <w:sz w:val="24"/>
          <w:szCs w:val="24"/>
          <w:lang w:val="en-US"/>
        </w:rPr>
        <w:t>016/j.biopsych</w:t>
      </w:r>
      <w:proofErr w:type="gramEnd"/>
      <w:r w:rsidRPr="000B0D49">
        <w:rPr>
          <w:rFonts w:asciiTheme="majorHAnsi" w:hAnsiTheme="majorHAnsi" w:cstheme="majorHAnsi"/>
          <w:sz w:val="24"/>
          <w:szCs w:val="24"/>
          <w:lang w:val="en-US"/>
        </w:rPr>
        <w:t>.2013.04.003 </w:t>
      </w:r>
    </w:p>
    <w:p w14:paraId="0F2BA84D" w14:textId="77777777" w:rsidR="008A3248" w:rsidRPr="000B0D49" w:rsidRDefault="008A3248">
      <w:pPr>
        <w:spacing w:after="0" w:line="360" w:lineRule="auto"/>
        <w:ind w:left="708" w:hanging="708"/>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Peñaranda</w:t>
      </w:r>
      <w:r w:rsidRPr="00617484">
        <w:rPr>
          <w:rFonts w:ascii="Times New Roman" w:eastAsia="Times New Roman" w:hAnsi="Times New Roman" w:cs="Times New Roman"/>
          <w:sz w:val="24"/>
          <w:szCs w:val="24"/>
          <w:lang w:eastAsia="es-ES"/>
        </w:rPr>
        <w:t xml:space="preserve">, E. , </w:t>
      </w:r>
      <w:r>
        <w:rPr>
          <w:rFonts w:ascii="Times New Roman" w:eastAsia="Times New Roman" w:hAnsi="Times New Roman" w:cs="Times New Roman"/>
          <w:sz w:val="24"/>
          <w:szCs w:val="24"/>
          <w:lang w:eastAsia="es-ES"/>
        </w:rPr>
        <w:t>y</w:t>
      </w:r>
      <w:r w:rsidRPr="00617484">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Puente</w:t>
      </w:r>
      <w:r w:rsidRPr="00617484">
        <w:rPr>
          <w:rFonts w:ascii="Times New Roman" w:eastAsia="Times New Roman" w:hAnsi="Times New Roman" w:cs="Times New Roman"/>
          <w:sz w:val="24"/>
          <w:szCs w:val="24"/>
          <w:lang w:eastAsia="es-ES"/>
        </w:rPr>
        <w:t xml:space="preserve">, L.  (2019). Psicopatía y Derecho penal: algunas consideraciones normativas a partir del estado actual de los conocimientos científicos. En </w:t>
      </w:r>
      <w:r w:rsidRPr="00617484">
        <w:rPr>
          <w:rFonts w:ascii="Times New Roman" w:eastAsia="Times New Roman" w:hAnsi="Times New Roman" w:cs="Times New Roman"/>
          <w:i/>
          <w:iCs/>
          <w:sz w:val="24"/>
          <w:szCs w:val="24"/>
          <w:lang w:eastAsia="es-ES"/>
        </w:rPr>
        <w:t>Agresión y psicopatía: Aspectos psicológicos, neurobiológicos y legales</w:t>
      </w:r>
      <w:r w:rsidRPr="00617484">
        <w:rPr>
          <w:rFonts w:ascii="Times New Roman" w:eastAsia="Times New Roman" w:hAnsi="Times New Roman" w:cs="Times New Roman"/>
          <w:sz w:val="24"/>
          <w:szCs w:val="24"/>
          <w:lang w:eastAsia="es-ES"/>
        </w:rPr>
        <w:t xml:space="preserve"> (pp. 139-178). </w:t>
      </w:r>
      <w:r w:rsidRPr="000B0D49">
        <w:rPr>
          <w:rFonts w:ascii="Times New Roman" w:eastAsia="Times New Roman" w:hAnsi="Times New Roman" w:cs="Times New Roman"/>
          <w:sz w:val="24"/>
          <w:szCs w:val="24"/>
          <w:lang w:eastAsia="es-ES"/>
        </w:rPr>
        <w:t>Pirámide.</w:t>
      </w:r>
    </w:p>
    <w:p w14:paraId="18E439B0" w14:textId="77777777" w:rsidR="008A3248" w:rsidRPr="00617484" w:rsidRDefault="008A3248">
      <w:pPr>
        <w:spacing w:line="360" w:lineRule="auto"/>
        <w:ind w:left="708" w:hanging="708"/>
        <w:jc w:val="both"/>
        <w:rPr>
          <w:rFonts w:asciiTheme="majorHAnsi" w:hAnsiTheme="majorHAnsi" w:cstheme="majorHAnsi"/>
          <w:sz w:val="24"/>
          <w:szCs w:val="24"/>
        </w:rPr>
      </w:pPr>
      <w:r w:rsidRPr="00617484">
        <w:rPr>
          <w:rFonts w:asciiTheme="majorHAnsi" w:hAnsiTheme="majorHAnsi" w:cstheme="majorHAnsi"/>
          <w:sz w:val="24"/>
          <w:szCs w:val="24"/>
          <w:lang w:val="en-US"/>
        </w:rPr>
        <w:t>P</w:t>
      </w:r>
      <w:r>
        <w:rPr>
          <w:rFonts w:asciiTheme="majorHAnsi" w:hAnsiTheme="majorHAnsi" w:cstheme="majorHAnsi"/>
          <w:sz w:val="24"/>
          <w:szCs w:val="24"/>
          <w:lang w:val="en-US"/>
        </w:rPr>
        <w:t>é</w:t>
      </w:r>
      <w:r w:rsidRPr="00617484">
        <w:rPr>
          <w:rFonts w:asciiTheme="majorHAnsi" w:hAnsiTheme="majorHAnsi" w:cstheme="majorHAnsi"/>
          <w:sz w:val="24"/>
          <w:szCs w:val="24"/>
          <w:lang w:val="en-US"/>
        </w:rPr>
        <w:t xml:space="preserve">rez, P. R. (2012). The etiology of psychopathy: A neuropsychological perspective. </w:t>
      </w:r>
      <w:r w:rsidRPr="000B0D49">
        <w:rPr>
          <w:rFonts w:asciiTheme="majorHAnsi" w:hAnsiTheme="majorHAnsi" w:cstheme="majorHAnsi"/>
          <w:i/>
          <w:iCs/>
          <w:sz w:val="24"/>
          <w:szCs w:val="24"/>
          <w:lang w:val="en-US"/>
        </w:rPr>
        <w:t>Aggression and Violent Behavior, 17</w:t>
      </w:r>
      <w:r w:rsidRPr="000B0D49">
        <w:rPr>
          <w:rFonts w:asciiTheme="majorHAnsi" w:hAnsiTheme="majorHAnsi" w:cstheme="majorHAnsi"/>
          <w:sz w:val="24"/>
          <w:szCs w:val="24"/>
          <w:lang w:val="en-US"/>
        </w:rPr>
        <w:t xml:space="preserve">(6), 519–522. </w:t>
      </w:r>
      <w:r w:rsidRPr="00617484">
        <w:rPr>
          <w:rFonts w:asciiTheme="majorHAnsi" w:hAnsiTheme="majorHAnsi" w:cstheme="majorHAnsi"/>
          <w:sz w:val="24"/>
          <w:szCs w:val="24"/>
        </w:rPr>
        <w:t>Doi10.1016j.avb.2012.07.006</w:t>
      </w:r>
    </w:p>
    <w:p w14:paraId="0685D2C2" w14:textId="77777777" w:rsidR="008A3248" w:rsidRPr="0001659F" w:rsidRDefault="008A3248">
      <w:pPr>
        <w:widowControl w:val="0"/>
        <w:autoSpaceDE w:val="0"/>
        <w:autoSpaceDN w:val="0"/>
        <w:adjustRightInd w:val="0"/>
        <w:spacing w:after="140" w:line="360" w:lineRule="auto"/>
        <w:ind w:left="480" w:hanging="480"/>
        <w:jc w:val="both"/>
        <w:rPr>
          <w:rFonts w:ascii="Times New Roman" w:hAnsi="Times New Roman" w:cs="Times New Roman"/>
          <w:noProof/>
          <w:sz w:val="24"/>
          <w:szCs w:val="24"/>
        </w:rPr>
      </w:pPr>
      <w:r w:rsidRPr="00111CE5">
        <w:rPr>
          <w:rFonts w:ascii="Times New Roman" w:hAnsi="Times New Roman" w:cs="Times New Roman"/>
          <w:noProof/>
          <w:sz w:val="24"/>
          <w:szCs w:val="24"/>
        </w:rPr>
        <w:lastRenderedPageBreak/>
        <w:t>Pérez</w:t>
      </w:r>
      <w:r>
        <w:rPr>
          <w:rFonts w:ascii="Times New Roman" w:hAnsi="Times New Roman" w:cs="Times New Roman"/>
          <w:noProof/>
          <w:sz w:val="24"/>
          <w:szCs w:val="24"/>
        </w:rPr>
        <w:t>-</w:t>
      </w:r>
      <w:r w:rsidRPr="00111CE5">
        <w:rPr>
          <w:rFonts w:ascii="Times New Roman" w:hAnsi="Times New Roman" w:cs="Times New Roman"/>
          <w:noProof/>
          <w:sz w:val="24"/>
          <w:szCs w:val="24"/>
        </w:rPr>
        <w:t>Nieto, M., Redondo</w:t>
      </w:r>
      <w:r>
        <w:rPr>
          <w:rFonts w:ascii="Times New Roman" w:hAnsi="Times New Roman" w:cs="Times New Roman"/>
          <w:noProof/>
          <w:sz w:val="24"/>
          <w:szCs w:val="24"/>
        </w:rPr>
        <w:t>-</w:t>
      </w:r>
      <w:r w:rsidRPr="00111CE5">
        <w:rPr>
          <w:rFonts w:ascii="Times New Roman" w:hAnsi="Times New Roman" w:cs="Times New Roman"/>
          <w:noProof/>
          <w:sz w:val="24"/>
          <w:szCs w:val="24"/>
        </w:rPr>
        <w:t xml:space="preserve">Delgado, M., </w:t>
      </w:r>
      <w:r>
        <w:rPr>
          <w:rFonts w:ascii="Times New Roman" w:hAnsi="Times New Roman" w:cs="Times New Roman"/>
          <w:noProof/>
          <w:sz w:val="24"/>
          <w:szCs w:val="24"/>
        </w:rPr>
        <w:t>y</w:t>
      </w:r>
      <w:r w:rsidRPr="00111CE5">
        <w:rPr>
          <w:rFonts w:ascii="Times New Roman" w:hAnsi="Times New Roman" w:cs="Times New Roman"/>
          <w:noProof/>
          <w:sz w:val="24"/>
          <w:szCs w:val="24"/>
        </w:rPr>
        <w:t xml:space="preserve"> León, L. (2008). Aproximaciones a la emoción de ira: de la conceptualización a la intervención psicológica. </w:t>
      </w:r>
      <w:r w:rsidRPr="0001659F">
        <w:rPr>
          <w:rFonts w:ascii="Times New Roman" w:hAnsi="Times New Roman" w:cs="Times New Roman"/>
          <w:i/>
          <w:iCs/>
          <w:noProof/>
          <w:sz w:val="24"/>
          <w:szCs w:val="24"/>
        </w:rPr>
        <w:t>Reme</w:t>
      </w:r>
      <w:r w:rsidRPr="0001659F">
        <w:rPr>
          <w:rFonts w:ascii="Times New Roman" w:hAnsi="Times New Roman" w:cs="Times New Roman"/>
          <w:noProof/>
          <w:sz w:val="24"/>
          <w:szCs w:val="24"/>
        </w:rPr>
        <w:t xml:space="preserve">, </w:t>
      </w:r>
      <w:r w:rsidRPr="0001659F">
        <w:rPr>
          <w:rFonts w:ascii="Times New Roman" w:hAnsi="Times New Roman" w:cs="Times New Roman"/>
          <w:i/>
          <w:iCs/>
          <w:noProof/>
          <w:sz w:val="24"/>
          <w:szCs w:val="24"/>
        </w:rPr>
        <w:t>11</w:t>
      </w:r>
      <w:r w:rsidRPr="0001659F">
        <w:rPr>
          <w:rFonts w:ascii="Times New Roman" w:hAnsi="Times New Roman" w:cs="Times New Roman"/>
          <w:noProof/>
          <w:sz w:val="24"/>
          <w:szCs w:val="24"/>
        </w:rPr>
        <w:t>(28), 5.</w:t>
      </w:r>
    </w:p>
    <w:p w14:paraId="56F30A55" w14:textId="77777777" w:rsidR="008A3248" w:rsidRPr="00617484" w:rsidRDefault="008A3248">
      <w:pPr>
        <w:spacing w:line="360" w:lineRule="auto"/>
        <w:ind w:left="708" w:hanging="708"/>
        <w:jc w:val="both"/>
        <w:rPr>
          <w:sz w:val="24"/>
          <w:szCs w:val="24"/>
        </w:rPr>
      </w:pPr>
      <w:r w:rsidRPr="00617484">
        <w:rPr>
          <w:sz w:val="24"/>
          <w:szCs w:val="24"/>
        </w:rPr>
        <w:t xml:space="preserve">Pozueco-Romero, J. M., Moreno-Manso, J. M., García-Baamonde, M. E., </w:t>
      </w:r>
      <w:r>
        <w:rPr>
          <w:sz w:val="24"/>
          <w:szCs w:val="24"/>
        </w:rPr>
        <w:t>y</w:t>
      </w:r>
      <w:r w:rsidRPr="00617484">
        <w:rPr>
          <w:sz w:val="24"/>
          <w:szCs w:val="24"/>
        </w:rPr>
        <w:t xml:space="preserve"> Blázquez-Alonso, M. (2016). Psicopatía y psicopatologías: ¿Puede conceptualizarse la psicopatía como trastorno mental?</w:t>
      </w:r>
      <w:r w:rsidRPr="00A316AA">
        <w:rPr>
          <w:sz w:val="24"/>
          <w:szCs w:val="24"/>
        </w:rPr>
        <w:t xml:space="preserve"> </w:t>
      </w:r>
      <w:r w:rsidRPr="000775D5">
        <w:rPr>
          <w:i/>
          <w:iCs/>
          <w:sz w:val="24"/>
          <w:szCs w:val="24"/>
        </w:rPr>
        <w:t>Revista de Psicopatología y Psicología Clínica, 20</w:t>
      </w:r>
      <w:r w:rsidRPr="00617484">
        <w:rPr>
          <w:sz w:val="24"/>
          <w:szCs w:val="24"/>
        </w:rPr>
        <w:t xml:space="preserve">(3), 219. doi:10.5944/rppc.vol.20.num.3.2015.15897 </w:t>
      </w:r>
    </w:p>
    <w:p w14:paraId="44E03F03" w14:textId="77777777" w:rsidR="008A3248" w:rsidRPr="00617484" w:rsidRDefault="008A3248">
      <w:pPr>
        <w:spacing w:line="360" w:lineRule="auto"/>
        <w:ind w:left="708" w:hanging="708"/>
        <w:jc w:val="both"/>
        <w:rPr>
          <w:sz w:val="24"/>
          <w:szCs w:val="24"/>
        </w:rPr>
      </w:pPr>
      <w:r w:rsidRPr="00617484">
        <w:rPr>
          <w:sz w:val="24"/>
          <w:szCs w:val="24"/>
        </w:rPr>
        <w:t>Pozueco</w:t>
      </w:r>
      <w:r>
        <w:rPr>
          <w:sz w:val="24"/>
          <w:szCs w:val="24"/>
        </w:rPr>
        <w:t>-</w:t>
      </w:r>
      <w:r w:rsidRPr="00617484">
        <w:rPr>
          <w:sz w:val="24"/>
          <w:szCs w:val="24"/>
        </w:rPr>
        <w:t>Romero, J. M., Romero</w:t>
      </w:r>
      <w:r>
        <w:rPr>
          <w:sz w:val="24"/>
          <w:szCs w:val="24"/>
        </w:rPr>
        <w:t>-</w:t>
      </w:r>
      <w:r w:rsidRPr="00617484">
        <w:rPr>
          <w:sz w:val="24"/>
          <w:szCs w:val="24"/>
        </w:rPr>
        <w:t xml:space="preserve">Guillena, S. L., </w:t>
      </w:r>
      <w:r>
        <w:rPr>
          <w:sz w:val="24"/>
          <w:szCs w:val="24"/>
        </w:rPr>
        <w:t>y</w:t>
      </w:r>
      <w:r w:rsidRPr="00617484">
        <w:rPr>
          <w:sz w:val="24"/>
          <w:szCs w:val="24"/>
        </w:rPr>
        <w:t xml:space="preserve"> Casas</w:t>
      </w:r>
      <w:r>
        <w:rPr>
          <w:sz w:val="24"/>
          <w:szCs w:val="24"/>
        </w:rPr>
        <w:t>-</w:t>
      </w:r>
      <w:r w:rsidRPr="00617484">
        <w:rPr>
          <w:sz w:val="24"/>
          <w:szCs w:val="24"/>
        </w:rPr>
        <w:t xml:space="preserve">Barquero, N. (2011). Psicopatía, violencia y criminalidad: un análisis psicológico-forense, psiquiátrico-legal y criminológico (Parte I). </w:t>
      </w:r>
      <w:r w:rsidRPr="000775D5">
        <w:rPr>
          <w:i/>
          <w:iCs/>
          <w:sz w:val="24"/>
          <w:szCs w:val="24"/>
        </w:rPr>
        <w:t>Cuadernos de Medicina Forense, 17</w:t>
      </w:r>
      <w:r w:rsidRPr="00617484">
        <w:rPr>
          <w:sz w:val="24"/>
          <w:szCs w:val="24"/>
        </w:rPr>
        <w:t>(3), 123-136.</w:t>
      </w:r>
    </w:p>
    <w:p w14:paraId="69DE31A6" w14:textId="77777777" w:rsidR="008A3248" w:rsidRPr="00617484" w:rsidRDefault="008A3248">
      <w:pPr>
        <w:spacing w:line="360" w:lineRule="auto"/>
        <w:ind w:left="708" w:hanging="708"/>
        <w:jc w:val="both"/>
        <w:rPr>
          <w:rFonts w:asciiTheme="majorHAnsi" w:eastAsia="Times New Roman" w:hAnsiTheme="majorHAnsi" w:cstheme="majorHAnsi"/>
          <w:sz w:val="24"/>
          <w:szCs w:val="24"/>
        </w:rPr>
      </w:pPr>
      <w:r w:rsidRPr="00617484">
        <w:rPr>
          <w:sz w:val="24"/>
          <w:szCs w:val="24"/>
        </w:rPr>
        <w:t>Ramírez, J.M</w:t>
      </w:r>
      <w:r w:rsidRPr="00617484">
        <w:rPr>
          <w:rFonts w:asciiTheme="majorHAnsi" w:eastAsia="Times New Roman" w:hAnsiTheme="majorHAnsi" w:cstheme="majorHAnsi"/>
          <w:sz w:val="24"/>
          <w:szCs w:val="24"/>
        </w:rPr>
        <w:t xml:space="preserve"> (2006). Bioquímica de la agresión. </w:t>
      </w:r>
      <w:r w:rsidRPr="00617484">
        <w:rPr>
          <w:rFonts w:asciiTheme="majorHAnsi" w:eastAsia="Times New Roman" w:hAnsiTheme="majorHAnsi" w:cstheme="majorHAnsi"/>
          <w:i/>
          <w:iCs/>
          <w:sz w:val="24"/>
          <w:szCs w:val="24"/>
        </w:rPr>
        <w:t>Psicopatología Clínica Legal y Forense</w:t>
      </w:r>
      <w:r w:rsidRPr="00617484">
        <w:rPr>
          <w:rFonts w:asciiTheme="majorHAnsi" w:eastAsia="Times New Roman" w:hAnsiTheme="majorHAnsi" w:cstheme="majorHAnsi"/>
          <w:sz w:val="24"/>
          <w:szCs w:val="24"/>
        </w:rPr>
        <w:t xml:space="preserve">, </w:t>
      </w:r>
      <w:r w:rsidRPr="00617484">
        <w:rPr>
          <w:rFonts w:asciiTheme="majorHAnsi" w:eastAsia="Times New Roman" w:hAnsiTheme="majorHAnsi" w:cstheme="majorHAnsi"/>
          <w:i/>
          <w:iCs/>
          <w:sz w:val="24"/>
          <w:szCs w:val="24"/>
        </w:rPr>
        <w:t>6</w:t>
      </w:r>
      <w:r w:rsidRPr="00617484">
        <w:rPr>
          <w:rFonts w:asciiTheme="majorHAnsi" w:eastAsia="Times New Roman" w:hAnsiTheme="majorHAnsi" w:cstheme="majorHAnsi"/>
          <w:sz w:val="24"/>
          <w:szCs w:val="24"/>
        </w:rPr>
        <w:t>(1), 43-66.</w:t>
      </w:r>
    </w:p>
    <w:p w14:paraId="0C23AC29" w14:textId="77777777" w:rsidR="008A3248" w:rsidRPr="000B0D49" w:rsidRDefault="008A3248" w:rsidP="001419E4">
      <w:pPr>
        <w:spacing w:after="0" w:line="360" w:lineRule="auto"/>
        <w:ind w:left="708" w:hanging="708"/>
        <w:jc w:val="both"/>
        <w:rPr>
          <w:rFonts w:ascii="Times New Roman" w:eastAsia="Times New Roman" w:hAnsi="Times New Roman" w:cs="Times New Roman"/>
          <w:sz w:val="24"/>
          <w:szCs w:val="24"/>
          <w:lang w:val="en-US" w:eastAsia="es-ES"/>
        </w:rPr>
      </w:pPr>
      <w:r w:rsidRPr="008A3248">
        <w:rPr>
          <w:rFonts w:ascii="Times New Roman" w:eastAsia="Times New Roman" w:hAnsi="Times New Roman" w:cs="Times New Roman"/>
          <w:sz w:val="24"/>
          <w:szCs w:val="24"/>
          <w:lang w:eastAsia="es-ES"/>
        </w:rPr>
        <w:t>Renfrew, J. (2001).</w:t>
      </w:r>
      <w:r w:rsidRPr="008A3248">
        <w:rPr>
          <w:rFonts w:ascii="Times New Roman" w:eastAsia="Times New Roman" w:hAnsi="Times New Roman" w:cs="Times New Roman"/>
          <w:i/>
          <w:iCs/>
          <w:sz w:val="24"/>
          <w:szCs w:val="24"/>
          <w:lang w:eastAsia="es-ES"/>
        </w:rPr>
        <w:t>La Agresión y sus causas</w:t>
      </w:r>
      <w:r w:rsidRPr="008A3248">
        <w:rPr>
          <w:rFonts w:ascii="Times New Roman" w:eastAsia="Times New Roman" w:hAnsi="Times New Roman" w:cs="Times New Roman"/>
          <w:sz w:val="24"/>
          <w:szCs w:val="24"/>
          <w:lang w:eastAsia="es-ES"/>
        </w:rPr>
        <w:t xml:space="preserve">. </w:t>
      </w:r>
      <w:r w:rsidRPr="000B0D49">
        <w:rPr>
          <w:rFonts w:ascii="Times New Roman" w:eastAsia="Times New Roman" w:hAnsi="Times New Roman" w:cs="Times New Roman"/>
          <w:sz w:val="24"/>
          <w:szCs w:val="24"/>
          <w:lang w:val="en-US" w:eastAsia="es-ES"/>
        </w:rPr>
        <w:t>México: Trillas</w:t>
      </w:r>
    </w:p>
    <w:p w14:paraId="4F90683A" w14:textId="77777777" w:rsidR="008A3248" w:rsidRPr="001419E4" w:rsidRDefault="008A3248">
      <w:pPr>
        <w:spacing w:line="360" w:lineRule="auto"/>
        <w:ind w:left="708" w:hanging="708"/>
        <w:jc w:val="both"/>
        <w:rPr>
          <w:rFonts w:asciiTheme="majorHAnsi" w:hAnsiTheme="majorHAnsi" w:cstheme="majorHAnsi"/>
          <w:sz w:val="24"/>
          <w:szCs w:val="24"/>
        </w:rPr>
      </w:pPr>
      <w:r w:rsidRPr="000B0D49">
        <w:rPr>
          <w:rFonts w:asciiTheme="majorHAnsi" w:hAnsiTheme="majorHAnsi" w:cstheme="majorHAnsi"/>
          <w:sz w:val="24"/>
          <w:szCs w:val="24"/>
          <w:lang w:val="en-US"/>
        </w:rPr>
        <w:t xml:space="preserve">Rosell, D. R. y Siever, L. (2015). </w:t>
      </w:r>
      <w:r w:rsidRPr="00617484">
        <w:rPr>
          <w:rFonts w:asciiTheme="majorHAnsi" w:hAnsiTheme="majorHAnsi" w:cstheme="majorHAnsi"/>
          <w:sz w:val="24"/>
          <w:szCs w:val="24"/>
          <w:lang w:val="en-US"/>
        </w:rPr>
        <w:t xml:space="preserve">The neurobiology of aggression and violence. </w:t>
      </w:r>
      <w:r w:rsidRPr="001419E4">
        <w:rPr>
          <w:rFonts w:asciiTheme="majorHAnsi" w:hAnsiTheme="majorHAnsi" w:cstheme="majorHAnsi"/>
          <w:i/>
          <w:iCs/>
          <w:sz w:val="24"/>
          <w:szCs w:val="24"/>
        </w:rPr>
        <w:t>CNSSpectrums</w:t>
      </w:r>
      <w:r w:rsidRPr="001419E4">
        <w:rPr>
          <w:rFonts w:asciiTheme="majorHAnsi" w:hAnsiTheme="majorHAnsi" w:cstheme="majorHAnsi"/>
          <w:sz w:val="24"/>
          <w:szCs w:val="24"/>
        </w:rPr>
        <w:t>, 20, 254–279.</w:t>
      </w:r>
    </w:p>
    <w:p w14:paraId="71FB4FE9" w14:textId="77777777" w:rsidR="008A3248" w:rsidRPr="0029175D" w:rsidRDefault="008A3248">
      <w:pPr>
        <w:spacing w:line="360" w:lineRule="auto"/>
        <w:ind w:left="708" w:hanging="708"/>
        <w:jc w:val="both"/>
        <w:rPr>
          <w:rFonts w:asciiTheme="majorHAnsi" w:hAnsiTheme="majorHAnsi" w:cstheme="majorHAnsi"/>
          <w:sz w:val="24"/>
          <w:szCs w:val="24"/>
        </w:rPr>
      </w:pPr>
      <w:r w:rsidRPr="00617484">
        <w:rPr>
          <w:rFonts w:asciiTheme="majorHAnsi" w:hAnsiTheme="majorHAnsi" w:cstheme="majorHAnsi"/>
          <w:sz w:val="24"/>
          <w:szCs w:val="24"/>
        </w:rPr>
        <w:t xml:space="preserve">Salvador, M., Silvina, M., Vallejos, M., Moauro, H. y Román, F. (2015). Neurobiología de la psicopatía. </w:t>
      </w:r>
      <w:r w:rsidRPr="0029175D">
        <w:rPr>
          <w:rFonts w:asciiTheme="majorHAnsi" w:hAnsiTheme="majorHAnsi" w:cstheme="majorHAnsi"/>
          <w:i/>
          <w:iCs/>
          <w:sz w:val="24"/>
          <w:szCs w:val="24"/>
        </w:rPr>
        <w:t>Psiquiatría.com</w:t>
      </w:r>
      <w:r w:rsidRPr="0029175D">
        <w:rPr>
          <w:rFonts w:asciiTheme="majorHAnsi" w:hAnsiTheme="majorHAnsi" w:cstheme="majorHAnsi"/>
          <w:sz w:val="24"/>
          <w:szCs w:val="24"/>
        </w:rPr>
        <w:t>.</w:t>
      </w:r>
    </w:p>
    <w:p w14:paraId="51358B7D" w14:textId="77777777" w:rsidR="008A3248" w:rsidRPr="00111CE5" w:rsidRDefault="008A3248">
      <w:pPr>
        <w:widowControl w:val="0"/>
        <w:autoSpaceDE w:val="0"/>
        <w:autoSpaceDN w:val="0"/>
        <w:adjustRightInd w:val="0"/>
        <w:spacing w:after="140" w:line="360" w:lineRule="auto"/>
        <w:ind w:left="480" w:hanging="480"/>
        <w:jc w:val="both"/>
        <w:rPr>
          <w:rFonts w:ascii="Times New Roman" w:hAnsi="Times New Roman" w:cs="Times New Roman"/>
          <w:noProof/>
          <w:sz w:val="24"/>
          <w:szCs w:val="24"/>
        </w:rPr>
      </w:pPr>
      <w:r w:rsidRPr="00111CE5">
        <w:rPr>
          <w:rFonts w:ascii="Times New Roman" w:hAnsi="Times New Roman" w:cs="Times New Roman"/>
          <w:noProof/>
          <w:sz w:val="24"/>
          <w:szCs w:val="24"/>
        </w:rPr>
        <w:t>Samper</w:t>
      </w:r>
      <w:r>
        <w:rPr>
          <w:rFonts w:ascii="Times New Roman" w:hAnsi="Times New Roman" w:cs="Times New Roman"/>
          <w:noProof/>
          <w:sz w:val="24"/>
          <w:szCs w:val="24"/>
        </w:rPr>
        <w:t>-</w:t>
      </w:r>
      <w:r w:rsidRPr="00111CE5">
        <w:rPr>
          <w:rFonts w:ascii="Times New Roman" w:hAnsi="Times New Roman" w:cs="Times New Roman"/>
          <w:noProof/>
          <w:sz w:val="24"/>
          <w:szCs w:val="24"/>
        </w:rPr>
        <w:t xml:space="preserve">García, P., Aparici, G., &amp; Mestre, V. (2006). La agresividad auto y heteroevaluada: variables implicadas [Self and heteroinform aggression: involved variables]. </w:t>
      </w:r>
      <w:r w:rsidRPr="00111CE5">
        <w:rPr>
          <w:rFonts w:ascii="Times New Roman" w:hAnsi="Times New Roman" w:cs="Times New Roman"/>
          <w:i/>
          <w:iCs/>
          <w:noProof/>
          <w:sz w:val="24"/>
          <w:szCs w:val="24"/>
        </w:rPr>
        <w:t>Acción Psicológica</w:t>
      </w:r>
      <w:r w:rsidRPr="00111CE5">
        <w:rPr>
          <w:rFonts w:ascii="Times New Roman" w:hAnsi="Times New Roman" w:cs="Times New Roman"/>
          <w:noProof/>
          <w:sz w:val="24"/>
          <w:szCs w:val="24"/>
        </w:rPr>
        <w:t xml:space="preserve">, </w:t>
      </w:r>
      <w:r w:rsidRPr="00111CE5">
        <w:rPr>
          <w:rFonts w:ascii="Times New Roman" w:hAnsi="Times New Roman" w:cs="Times New Roman"/>
          <w:i/>
          <w:iCs/>
          <w:noProof/>
          <w:sz w:val="24"/>
          <w:szCs w:val="24"/>
        </w:rPr>
        <w:t>4</w:t>
      </w:r>
      <w:r w:rsidRPr="00111CE5">
        <w:rPr>
          <w:rFonts w:ascii="Times New Roman" w:hAnsi="Times New Roman" w:cs="Times New Roman"/>
          <w:noProof/>
          <w:sz w:val="24"/>
          <w:szCs w:val="24"/>
        </w:rPr>
        <w:t>(2). https://doi.org/10.5944/ap.4.2.484</w:t>
      </w:r>
    </w:p>
    <w:p w14:paraId="0E351F58" w14:textId="77777777" w:rsidR="008A3248" w:rsidRPr="00617484" w:rsidRDefault="008A3248">
      <w:pPr>
        <w:spacing w:line="360" w:lineRule="auto"/>
        <w:ind w:left="708" w:hanging="708"/>
        <w:jc w:val="both"/>
        <w:rPr>
          <w:rFonts w:asciiTheme="majorHAnsi" w:hAnsiTheme="majorHAnsi" w:cstheme="majorHAnsi"/>
          <w:sz w:val="24"/>
          <w:szCs w:val="24"/>
        </w:rPr>
      </w:pPr>
      <w:r w:rsidRPr="00617484">
        <w:rPr>
          <w:rFonts w:asciiTheme="majorHAnsi" w:eastAsia="Times New Roman" w:hAnsiTheme="majorHAnsi" w:cstheme="majorHAnsi"/>
          <w:sz w:val="24"/>
          <w:szCs w:val="24"/>
        </w:rPr>
        <w:t xml:space="preserve">Sánchez, A. y Mosquera, M. J. (2011). Violencia: de la psicología a la biología. </w:t>
      </w:r>
      <w:r w:rsidRPr="00617484">
        <w:rPr>
          <w:rFonts w:asciiTheme="majorHAnsi" w:hAnsiTheme="majorHAnsi" w:cstheme="majorHAnsi"/>
          <w:i/>
          <w:iCs/>
          <w:sz w:val="24"/>
          <w:szCs w:val="24"/>
        </w:rPr>
        <w:t>Psicologia.com</w:t>
      </w:r>
      <w:r w:rsidRPr="00617484">
        <w:rPr>
          <w:rFonts w:asciiTheme="majorHAnsi" w:hAnsiTheme="majorHAnsi" w:cstheme="majorHAnsi"/>
          <w:sz w:val="24"/>
          <w:szCs w:val="24"/>
        </w:rPr>
        <w:t xml:space="preserve">, </w:t>
      </w:r>
      <w:r w:rsidRPr="00617484">
        <w:rPr>
          <w:rFonts w:asciiTheme="majorHAnsi" w:hAnsiTheme="majorHAnsi" w:cstheme="majorHAnsi"/>
          <w:i/>
          <w:iCs/>
          <w:sz w:val="24"/>
          <w:szCs w:val="24"/>
        </w:rPr>
        <w:t>15</w:t>
      </w:r>
      <w:r w:rsidRPr="00617484">
        <w:rPr>
          <w:rFonts w:asciiTheme="majorHAnsi" w:hAnsiTheme="majorHAnsi" w:cstheme="majorHAnsi"/>
          <w:sz w:val="24"/>
          <w:szCs w:val="24"/>
        </w:rPr>
        <w:t xml:space="preserve"> (1), 1-17. Recuperado de: </w:t>
      </w:r>
      <w:hyperlink r:id="rId14" w:history="1">
        <w:r w:rsidRPr="00617484">
          <w:rPr>
            <w:rStyle w:val="Hipervnculo"/>
            <w:rFonts w:asciiTheme="majorHAnsi" w:hAnsiTheme="majorHAnsi" w:cstheme="majorHAnsi"/>
            <w:color w:val="auto"/>
            <w:sz w:val="24"/>
            <w:szCs w:val="24"/>
          </w:rPr>
          <w:t>http://hdl.handle.net/10401/2837</w:t>
        </w:r>
      </w:hyperlink>
    </w:p>
    <w:p w14:paraId="270019C9" w14:textId="77777777" w:rsidR="008A3248" w:rsidRPr="00111CE5" w:rsidRDefault="008A3248">
      <w:pPr>
        <w:spacing w:after="0" w:line="360" w:lineRule="auto"/>
        <w:ind w:left="708" w:hanging="708"/>
        <w:jc w:val="both"/>
        <w:rPr>
          <w:rFonts w:ascii="Times New Roman" w:eastAsia="Times New Roman" w:hAnsi="Times New Roman" w:cs="Times New Roman"/>
          <w:sz w:val="24"/>
          <w:szCs w:val="24"/>
          <w:lang w:eastAsia="es-ES"/>
        </w:rPr>
      </w:pPr>
      <w:r w:rsidRPr="00111CE5">
        <w:rPr>
          <w:rFonts w:ascii="Times New Roman" w:eastAsia="Times New Roman" w:hAnsi="Times New Roman" w:cs="Times New Roman"/>
          <w:sz w:val="24"/>
          <w:szCs w:val="24"/>
          <w:lang w:eastAsia="es-ES"/>
        </w:rPr>
        <w:t>Sanmartín, J. (2006). ¿ Qué es esa cosa llamada violencia</w:t>
      </w:r>
      <w:r>
        <w:rPr>
          <w:rFonts w:ascii="Times New Roman" w:eastAsia="Times New Roman" w:hAnsi="Times New Roman" w:cs="Times New Roman"/>
          <w:sz w:val="24"/>
          <w:szCs w:val="24"/>
          <w:lang w:eastAsia="es-ES"/>
        </w:rPr>
        <w:t>?</w:t>
      </w:r>
      <w:r w:rsidRPr="00111CE5">
        <w:rPr>
          <w:rFonts w:ascii="Times New Roman" w:eastAsia="Times New Roman" w:hAnsi="Times New Roman" w:cs="Times New Roman"/>
          <w:sz w:val="24"/>
          <w:szCs w:val="24"/>
          <w:lang w:eastAsia="es-ES"/>
        </w:rPr>
        <w:t xml:space="preserve"> </w:t>
      </w:r>
      <w:r w:rsidRPr="00111CE5">
        <w:rPr>
          <w:rFonts w:ascii="Times New Roman" w:eastAsia="Times New Roman" w:hAnsi="Times New Roman" w:cs="Times New Roman"/>
          <w:i/>
          <w:iCs/>
          <w:sz w:val="24"/>
          <w:szCs w:val="24"/>
          <w:lang w:eastAsia="es-ES"/>
        </w:rPr>
        <w:t>Diario de campo</w:t>
      </w:r>
      <w:r w:rsidRPr="00111CE5">
        <w:rPr>
          <w:rFonts w:ascii="Times New Roman" w:eastAsia="Times New Roman" w:hAnsi="Times New Roman" w:cs="Times New Roman"/>
          <w:sz w:val="24"/>
          <w:szCs w:val="24"/>
          <w:lang w:eastAsia="es-ES"/>
        </w:rPr>
        <w:t xml:space="preserve">, </w:t>
      </w:r>
      <w:r w:rsidRPr="00111CE5">
        <w:rPr>
          <w:rFonts w:ascii="Times New Roman" w:eastAsia="Times New Roman" w:hAnsi="Times New Roman" w:cs="Times New Roman"/>
          <w:i/>
          <w:iCs/>
          <w:sz w:val="24"/>
          <w:szCs w:val="24"/>
          <w:lang w:eastAsia="es-ES"/>
        </w:rPr>
        <w:t>40</w:t>
      </w:r>
      <w:r w:rsidRPr="00111CE5">
        <w:rPr>
          <w:rFonts w:ascii="Times New Roman" w:eastAsia="Times New Roman" w:hAnsi="Times New Roman" w:cs="Times New Roman"/>
          <w:sz w:val="24"/>
          <w:szCs w:val="24"/>
          <w:lang w:eastAsia="es-ES"/>
        </w:rPr>
        <w:t>, 11-30.</w:t>
      </w:r>
    </w:p>
    <w:p w14:paraId="49E9EAF1" w14:textId="77777777" w:rsidR="008A3248" w:rsidRPr="000B0D49" w:rsidRDefault="008A3248">
      <w:pPr>
        <w:spacing w:line="360" w:lineRule="auto"/>
        <w:ind w:left="708" w:hanging="708"/>
        <w:jc w:val="both"/>
        <w:rPr>
          <w:sz w:val="28"/>
          <w:szCs w:val="28"/>
        </w:rPr>
      </w:pPr>
      <w:r w:rsidRPr="00617484">
        <w:rPr>
          <w:sz w:val="24"/>
          <w:szCs w:val="24"/>
        </w:rPr>
        <w:t xml:space="preserve">Sariñana-González, P., Vitoria-Estruch, S., Romero-Martínez, Á., &amp; Moya-Albiol, L. (2015). </w:t>
      </w:r>
      <w:r w:rsidRPr="00617484">
        <w:rPr>
          <w:i/>
          <w:iCs/>
          <w:sz w:val="24"/>
          <w:szCs w:val="24"/>
          <w:lang w:val="en-US"/>
        </w:rPr>
        <w:t xml:space="preserve">Aggression predicts Cortisol Awakening Response in healthy young adults. </w:t>
      </w:r>
      <w:r w:rsidRPr="000B0D49">
        <w:rPr>
          <w:i/>
          <w:iCs/>
          <w:sz w:val="24"/>
          <w:szCs w:val="24"/>
        </w:rPr>
        <w:t>Anales de Psicología, 31</w:t>
      </w:r>
      <w:r w:rsidRPr="000B0D49">
        <w:rPr>
          <w:sz w:val="24"/>
          <w:szCs w:val="24"/>
        </w:rPr>
        <w:t>(3), 1044</w:t>
      </w:r>
      <w:r w:rsidRPr="000B0D49">
        <w:rPr>
          <w:i/>
          <w:iCs/>
          <w:sz w:val="24"/>
          <w:szCs w:val="24"/>
        </w:rPr>
        <w:t>.</w:t>
      </w:r>
      <w:r w:rsidRPr="000B0D49">
        <w:rPr>
          <w:sz w:val="24"/>
          <w:szCs w:val="24"/>
        </w:rPr>
        <w:t xml:space="preserve"> doi:10.6018/analesps.31.3.177641 </w:t>
      </w:r>
    </w:p>
    <w:p w14:paraId="2DE6FEDC" w14:textId="77777777" w:rsidR="008A3248" w:rsidRPr="00A03EF6" w:rsidRDefault="008A3248" w:rsidP="00E9706B">
      <w:pPr>
        <w:spacing w:after="0" w:line="360" w:lineRule="auto"/>
        <w:ind w:left="708" w:hanging="708"/>
        <w:jc w:val="both"/>
        <w:rPr>
          <w:rFonts w:ascii="Times New Roman" w:eastAsia="Times New Roman" w:hAnsi="Times New Roman" w:cs="Times New Roman"/>
          <w:sz w:val="24"/>
          <w:szCs w:val="24"/>
          <w:lang w:val="en-US" w:eastAsia="es-ES"/>
        </w:rPr>
      </w:pPr>
      <w:r w:rsidRPr="008A3248">
        <w:rPr>
          <w:rFonts w:ascii="Times New Roman" w:eastAsia="Times New Roman" w:hAnsi="Times New Roman" w:cs="Times New Roman"/>
          <w:sz w:val="24"/>
          <w:szCs w:val="24"/>
          <w:lang w:eastAsia="es-ES"/>
        </w:rPr>
        <w:t xml:space="preserve">Schug, R. A., y Fradella, H. F. (2014). </w:t>
      </w:r>
      <w:r w:rsidRPr="00E9706B">
        <w:rPr>
          <w:rFonts w:ascii="Times New Roman" w:eastAsia="Times New Roman" w:hAnsi="Times New Roman" w:cs="Times New Roman"/>
          <w:i/>
          <w:iCs/>
          <w:sz w:val="24"/>
          <w:szCs w:val="24"/>
          <w:lang w:val="en-US" w:eastAsia="es-ES"/>
        </w:rPr>
        <w:t>Mental illness and crime</w:t>
      </w:r>
      <w:r w:rsidRPr="00E9706B">
        <w:rPr>
          <w:rFonts w:ascii="Times New Roman" w:eastAsia="Times New Roman" w:hAnsi="Times New Roman" w:cs="Times New Roman"/>
          <w:sz w:val="24"/>
          <w:szCs w:val="24"/>
          <w:lang w:val="en-US" w:eastAsia="es-ES"/>
        </w:rPr>
        <w:t>. Thousand Oaks, CA: Sage.</w:t>
      </w:r>
    </w:p>
    <w:p w14:paraId="11CC1990" w14:textId="77777777" w:rsidR="008A3248" w:rsidRPr="00111CE5" w:rsidRDefault="008A3248">
      <w:pPr>
        <w:widowControl w:val="0"/>
        <w:autoSpaceDE w:val="0"/>
        <w:autoSpaceDN w:val="0"/>
        <w:adjustRightInd w:val="0"/>
        <w:spacing w:after="140" w:line="360" w:lineRule="auto"/>
        <w:ind w:left="480" w:hanging="480"/>
        <w:jc w:val="both"/>
        <w:rPr>
          <w:rFonts w:ascii="Times New Roman" w:hAnsi="Times New Roman" w:cs="Times New Roman"/>
          <w:noProof/>
          <w:sz w:val="24"/>
          <w:szCs w:val="24"/>
        </w:rPr>
      </w:pPr>
      <w:bookmarkStart w:id="10" w:name="_Hlk26131284"/>
      <w:r w:rsidRPr="00111CE5">
        <w:rPr>
          <w:rFonts w:ascii="Times New Roman" w:hAnsi="Times New Roman" w:cs="Times New Roman"/>
          <w:noProof/>
          <w:sz w:val="24"/>
          <w:szCs w:val="24"/>
        </w:rPr>
        <w:t>Sepulveda</w:t>
      </w:r>
      <w:r>
        <w:rPr>
          <w:rFonts w:ascii="Times New Roman" w:hAnsi="Times New Roman" w:cs="Times New Roman"/>
          <w:noProof/>
          <w:sz w:val="24"/>
          <w:szCs w:val="24"/>
        </w:rPr>
        <w:t>-</w:t>
      </w:r>
      <w:r w:rsidRPr="00111CE5">
        <w:rPr>
          <w:rFonts w:ascii="Times New Roman" w:hAnsi="Times New Roman" w:cs="Times New Roman"/>
          <w:noProof/>
          <w:sz w:val="24"/>
          <w:szCs w:val="24"/>
        </w:rPr>
        <w:t xml:space="preserve">Rojas, E., </w:t>
      </w:r>
      <w:r>
        <w:rPr>
          <w:rFonts w:ascii="Times New Roman" w:hAnsi="Times New Roman" w:cs="Times New Roman"/>
          <w:noProof/>
          <w:sz w:val="24"/>
          <w:szCs w:val="24"/>
        </w:rPr>
        <w:t>y</w:t>
      </w:r>
      <w:r w:rsidRPr="00111CE5">
        <w:rPr>
          <w:rFonts w:ascii="Times New Roman" w:hAnsi="Times New Roman" w:cs="Times New Roman"/>
          <w:noProof/>
          <w:sz w:val="24"/>
          <w:szCs w:val="24"/>
        </w:rPr>
        <w:t xml:space="preserve"> Moreno</w:t>
      </w:r>
      <w:r>
        <w:rPr>
          <w:rFonts w:ascii="Times New Roman" w:hAnsi="Times New Roman" w:cs="Times New Roman"/>
          <w:noProof/>
          <w:sz w:val="24"/>
          <w:szCs w:val="24"/>
        </w:rPr>
        <w:t>-</w:t>
      </w:r>
      <w:r w:rsidRPr="00111CE5">
        <w:rPr>
          <w:rFonts w:ascii="Times New Roman" w:hAnsi="Times New Roman" w:cs="Times New Roman"/>
          <w:noProof/>
          <w:sz w:val="24"/>
          <w:szCs w:val="24"/>
        </w:rPr>
        <w:t xml:space="preserve">Paris, J. E. (2017). Psicobiología de la agresión y la violencia. </w:t>
      </w:r>
      <w:r w:rsidRPr="00111CE5">
        <w:rPr>
          <w:rFonts w:ascii="Times New Roman" w:hAnsi="Times New Roman" w:cs="Times New Roman"/>
          <w:i/>
          <w:iCs/>
          <w:noProof/>
          <w:sz w:val="24"/>
          <w:szCs w:val="24"/>
        </w:rPr>
        <w:t>Revista Iberoamericana de Psicología</w:t>
      </w:r>
      <w:r w:rsidRPr="00111CE5">
        <w:rPr>
          <w:rFonts w:ascii="Times New Roman" w:hAnsi="Times New Roman" w:cs="Times New Roman"/>
          <w:noProof/>
          <w:sz w:val="24"/>
          <w:szCs w:val="24"/>
        </w:rPr>
        <w:t xml:space="preserve">, </w:t>
      </w:r>
      <w:r w:rsidRPr="00111CE5">
        <w:rPr>
          <w:rFonts w:ascii="Times New Roman" w:hAnsi="Times New Roman" w:cs="Times New Roman"/>
          <w:i/>
          <w:iCs/>
          <w:noProof/>
          <w:sz w:val="24"/>
          <w:szCs w:val="24"/>
        </w:rPr>
        <w:t>10</w:t>
      </w:r>
      <w:r w:rsidRPr="00111CE5">
        <w:rPr>
          <w:rFonts w:ascii="Times New Roman" w:hAnsi="Times New Roman" w:cs="Times New Roman"/>
          <w:noProof/>
          <w:sz w:val="24"/>
          <w:szCs w:val="24"/>
        </w:rPr>
        <w:t>(2), 54-64. https://doi.org/10.33881/2027-1786.rip.10206</w:t>
      </w:r>
      <w:bookmarkEnd w:id="10"/>
    </w:p>
    <w:p w14:paraId="5DFD6268" w14:textId="77777777" w:rsidR="008A3248" w:rsidRPr="0001659F" w:rsidRDefault="008A3248">
      <w:pPr>
        <w:pStyle w:val="NormalWeb"/>
        <w:spacing w:line="360" w:lineRule="auto"/>
        <w:ind w:left="480" w:hanging="480"/>
        <w:jc w:val="both"/>
        <w:rPr>
          <w:lang w:val="en-US"/>
        </w:rPr>
      </w:pPr>
      <w:r w:rsidRPr="00111CE5">
        <w:lastRenderedPageBreak/>
        <w:t xml:space="preserve">Siegel, A. y Victoroff, J. (2009). </w:t>
      </w:r>
      <w:r w:rsidRPr="00111CE5">
        <w:rPr>
          <w:lang w:val="en-US"/>
        </w:rPr>
        <w:t>Understanding human aggression: New insights</w:t>
      </w:r>
      <w:r>
        <w:rPr>
          <w:lang w:val="en-US"/>
        </w:rPr>
        <w:t xml:space="preserve"> </w:t>
      </w:r>
      <w:r w:rsidRPr="00111CE5">
        <w:rPr>
          <w:lang w:val="en-US"/>
        </w:rPr>
        <w:t xml:space="preserve">from neuroscience. </w:t>
      </w:r>
      <w:r w:rsidRPr="00617484">
        <w:rPr>
          <w:i/>
          <w:iCs/>
          <w:lang w:val="en-US"/>
        </w:rPr>
        <w:t>International Journal of Law and Psychiatry</w:t>
      </w:r>
      <w:r w:rsidRPr="00111CE5">
        <w:rPr>
          <w:lang w:val="en-US"/>
        </w:rPr>
        <w:t xml:space="preserve">, </w:t>
      </w:r>
      <w:bookmarkStart w:id="11" w:name="_Hlk34988926"/>
      <w:r w:rsidRPr="00111CE5">
        <w:rPr>
          <w:lang w:val="en-US"/>
        </w:rPr>
        <w:t xml:space="preserve">32, 209–215. </w:t>
      </w:r>
      <w:hyperlink r:id="rId15" w:history="1">
        <w:r w:rsidRPr="0001659F">
          <w:rPr>
            <w:rStyle w:val="Hipervnculo"/>
            <w:color w:val="auto"/>
            <w:lang w:val="en-US"/>
          </w:rPr>
          <w:t>http://dx.doi.org/10.1016/j.ijlp.2009.06.001</w:t>
        </w:r>
      </w:hyperlink>
    </w:p>
    <w:bookmarkEnd w:id="11"/>
    <w:p w14:paraId="5CB5195B" w14:textId="77777777" w:rsidR="008A3248" w:rsidRPr="00A03EF6" w:rsidRDefault="008A3248" w:rsidP="00637015">
      <w:pPr>
        <w:spacing w:after="0" w:line="360" w:lineRule="auto"/>
        <w:ind w:left="708" w:hanging="708"/>
        <w:jc w:val="both"/>
        <w:rPr>
          <w:rFonts w:ascii="Times New Roman" w:eastAsia="Times New Roman" w:hAnsi="Times New Roman" w:cs="Times New Roman"/>
          <w:sz w:val="24"/>
          <w:szCs w:val="24"/>
          <w:lang w:val="en-US" w:eastAsia="es-ES"/>
        </w:rPr>
      </w:pPr>
      <w:r w:rsidRPr="0001659F">
        <w:rPr>
          <w:rFonts w:ascii="Times New Roman" w:eastAsia="Times New Roman" w:hAnsi="Times New Roman" w:cs="Times New Roman"/>
          <w:sz w:val="24"/>
          <w:szCs w:val="24"/>
          <w:lang w:val="en-US" w:eastAsia="es-ES"/>
        </w:rPr>
        <w:t xml:space="preserve">Skeem, J. L., Polaschek, D. L. L., Patrick, C. J. y Lilienfeld, S. O. (2011). </w:t>
      </w:r>
      <w:r w:rsidRPr="00A03EF6">
        <w:rPr>
          <w:rFonts w:ascii="Times New Roman" w:eastAsia="Times New Roman" w:hAnsi="Times New Roman" w:cs="Times New Roman"/>
          <w:sz w:val="24"/>
          <w:szCs w:val="24"/>
          <w:lang w:val="en-US" w:eastAsia="es-ES"/>
        </w:rPr>
        <w:t xml:space="preserve">Psychopathic personality: Bridging the gap between scientific evidence and public policy. </w:t>
      </w:r>
      <w:r w:rsidRPr="00A03EF6">
        <w:rPr>
          <w:rFonts w:ascii="Times New Roman" w:eastAsia="Times New Roman" w:hAnsi="Times New Roman" w:cs="Times New Roman"/>
          <w:i/>
          <w:iCs/>
          <w:sz w:val="24"/>
          <w:szCs w:val="24"/>
          <w:lang w:val="en-US" w:eastAsia="es-ES"/>
        </w:rPr>
        <w:t>Psychological Science in the Public Interest</w:t>
      </w:r>
      <w:r w:rsidRPr="00A03EF6">
        <w:rPr>
          <w:rFonts w:ascii="Times New Roman" w:eastAsia="Times New Roman" w:hAnsi="Times New Roman" w:cs="Times New Roman"/>
          <w:sz w:val="24"/>
          <w:szCs w:val="24"/>
          <w:lang w:val="en-US" w:eastAsia="es-ES"/>
        </w:rPr>
        <w:t xml:space="preserve">, 12 (3): 95-162. </w:t>
      </w:r>
    </w:p>
    <w:p w14:paraId="2A9A8F47" w14:textId="77777777" w:rsidR="008A3248" w:rsidRPr="000B0D49" w:rsidRDefault="008A3248">
      <w:pPr>
        <w:spacing w:line="360" w:lineRule="auto"/>
        <w:ind w:left="708" w:hanging="708"/>
        <w:jc w:val="both"/>
      </w:pPr>
      <w:r w:rsidRPr="0001659F">
        <w:rPr>
          <w:sz w:val="24"/>
          <w:szCs w:val="24"/>
          <w:lang w:val="en-US"/>
        </w:rPr>
        <w:t xml:space="preserve">Soria, C., Pérez, M.I., Soto, M.E., Feria, A.I. (2008). </w:t>
      </w:r>
      <w:r w:rsidRPr="00617484">
        <w:rPr>
          <w:sz w:val="24"/>
          <w:szCs w:val="24"/>
        </w:rPr>
        <w:t xml:space="preserve">Papel de la serotonina en la conducta agresiva. </w:t>
      </w:r>
      <w:r w:rsidRPr="000B0D49">
        <w:rPr>
          <w:i/>
          <w:iCs/>
          <w:sz w:val="24"/>
          <w:szCs w:val="24"/>
        </w:rPr>
        <w:t>Revista Mexicana de Neurociencia</w:t>
      </w:r>
      <w:r w:rsidRPr="000B0D49">
        <w:rPr>
          <w:sz w:val="24"/>
          <w:szCs w:val="24"/>
        </w:rPr>
        <w:t>,</w:t>
      </w:r>
      <w:r w:rsidRPr="000B0D49">
        <w:rPr>
          <w:i/>
          <w:iCs/>
          <w:sz w:val="24"/>
          <w:szCs w:val="24"/>
        </w:rPr>
        <w:t>9</w:t>
      </w:r>
      <w:r w:rsidRPr="000B0D49">
        <w:rPr>
          <w:sz w:val="24"/>
          <w:szCs w:val="24"/>
        </w:rPr>
        <w:t>(6) ,480-489</w:t>
      </w:r>
    </w:p>
    <w:p w14:paraId="06775AC2" w14:textId="77777777" w:rsidR="008A3248" w:rsidRPr="001419E4" w:rsidRDefault="008A3248" w:rsidP="001419E4">
      <w:pPr>
        <w:spacing w:after="0" w:line="360" w:lineRule="auto"/>
        <w:ind w:left="708" w:hanging="708"/>
        <w:jc w:val="both"/>
        <w:rPr>
          <w:rFonts w:ascii="Times New Roman" w:eastAsia="Times New Roman" w:hAnsi="Times New Roman" w:cs="Times New Roman"/>
          <w:sz w:val="24"/>
          <w:szCs w:val="24"/>
          <w:lang w:val="en-US" w:eastAsia="es-ES"/>
        </w:rPr>
      </w:pPr>
      <w:r w:rsidRPr="000B0D49">
        <w:rPr>
          <w:rFonts w:ascii="Times New Roman" w:eastAsia="Times New Roman" w:hAnsi="Times New Roman" w:cs="Times New Roman"/>
          <w:sz w:val="24"/>
          <w:szCs w:val="24"/>
          <w:lang w:eastAsia="es-ES"/>
        </w:rPr>
        <w:t xml:space="preserve">Spielberger,  C.  D.  (1988).  </w:t>
      </w:r>
      <w:proofErr w:type="gramStart"/>
      <w:r w:rsidRPr="008A3248">
        <w:rPr>
          <w:rFonts w:ascii="Times New Roman" w:eastAsia="Times New Roman" w:hAnsi="Times New Roman" w:cs="Times New Roman"/>
          <w:i/>
          <w:iCs/>
          <w:sz w:val="24"/>
          <w:szCs w:val="24"/>
          <w:lang w:val="en-US" w:eastAsia="es-ES"/>
        </w:rPr>
        <w:t>Manual  for</w:t>
      </w:r>
      <w:proofErr w:type="gramEnd"/>
      <w:r w:rsidRPr="008A3248">
        <w:rPr>
          <w:rFonts w:ascii="Times New Roman" w:eastAsia="Times New Roman" w:hAnsi="Times New Roman" w:cs="Times New Roman"/>
          <w:i/>
          <w:iCs/>
          <w:sz w:val="24"/>
          <w:szCs w:val="24"/>
          <w:lang w:val="en-US" w:eastAsia="es-ES"/>
        </w:rPr>
        <w:t xml:space="preserve">  the  State-TraitAnger Expression Inventory</w:t>
      </w:r>
      <w:r w:rsidRPr="001419E4">
        <w:rPr>
          <w:rFonts w:ascii="Times New Roman" w:eastAsia="Times New Roman" w:hAnsi="Times New Roman" w:cs="Times New Roman"/>
          <w:sz w:val="24"/>
          <w:szCs w:val="24"/>
          <w:lang w:val="en-US" w:eastAsia="es-ES"/>
        </w:rPr>
        <w:t>. Odessa, F.L.: Psycho-logical Assessment Resources.</w:t>
      </w:r>
    </w:p>
    <w:p w14:paraId="2BE16E4A" w14:textId="77777777" w:rsidR="008A3248" w:rsidRPr="00111CE5" w:rsidRDefault="008A3248">
      <w:pPr>
        <w:widowControl w:val="0"/>
        <w:autoSpaceDE w:val="0"/>
        <w:autoSpaceDN w:val="0"/>
        <w:adjustRightInd w:val="0"/>
        <w:spacing w:after="140" w:line="360" w:lineRule="auto"/>
        <w:ind w:left="480" w:hanging="480"/>
        <w:jc w:val="both"/>
        <w:rPr>
          <w:rStyle w:val="Hipervnculo"/>
          <w:rFonts w:ascii="Times New Roman" w:hAnsi="Times New Roman" w:cs="Times New Roman"/>
          <w:noProof/>
          <w:color w:val="auto"/>
          <w:sz w:val="24"/>
          <w:szCs w:val="24"/>
          <w:lang w:eastAsia="es-ES"/>
        </w:rPr>
      </w:pPr>
      <w:r w:rsidRPr="00617484">
        <w:rPr>
          <w:rFonts w:ascii="Times New Roman" w:hAnsi="Times New Roman" w:cs="Times New Roman"/>
          <w:noProof/>
          <w:sz w:val="24"/>
          <w:szCs w:val="24"/>
          <w:lang w:val="en-US"/>
        </w:rPr>
        <w:t xml:space="preserve">Stahl, S. M. (2013). Deconstructing violence as a medical syndrome: Mapping psychotic, impulsive, and predatory subtypes to malfunctioning brain circuits. </w:t>
      </w:r>
      <w:r w:rsidRPr="00111CE5">
        <w:rPr>
          <w:rFonts w:ascii="Times New Roman" w:hAnsi="Times New Roman" w:cs="Times New Roman"/>
          <w:i/>
          <w:iCs/>
          <w:noProof/>
          <w:sz w:val="24"/>
          <w:szCs w:val="24"/>
        </w:rPr>
        <w:t>CNS Spectrums</w:t>
      </w:r>
      <w:r w:rsidRPr="00111CE5">
        <w:rPr>
          <w:rFonts w:ascii="Times New Roman" w:hAnsi="Times New Roman" w:cs="Times New Roman"/>
          <w:noProof/>
          <w:sz w:val="24"/>
          <w:szCs w:val="24"/>
        </w:rPr>
        <w:t xml:space="preserve">, </w:t>
      </w:r>
      <w:r w:rsidRPr="00111CE5">
        <w:rPr>
          <w:rFonts w:ascii="Times New Roman" w:hAnsi="Times New Roman" w:cs="Times New Roman"/>
          <w:i/>
          <w:iCs/>
          <w:noProof/>
          <w:sz w:val="24"/>
          <w:szCs w:val="24"/>
        </w:rPr>
        <w:t>19</w:t>
      </w:r>
      <w:r w:rsidRPr="00111CE5">
        <w:rPr>
          <w:rFonts w:ascii="Times New Roman" w:hAnsi="Times New Roman" w:cs="Times New Roman"/>
          <w:noProof/>
          <w:sz w:val="24"/>
          <w:szCs w:val="24"/>
        </w:rPr>
        <w:t xml:space="preserve">(5), 357-365. </w:t>
      </w:r>
      <w:hyperlink r:id="rId16" w:history="1">
        <w:r w:rsidRPr="00111CE5">
          <w:rPr>
            <w:rStyle w:val="Hipervnculo"/>
            <w:rFonts w:ascii="Times New Roman" w:hAnsi="Times New Roman" w:cs="Times New Roman"/>
            <w:noProof/>
            <w:color w:val="auto"/>
            <w:sz w:val="24"/>
            <w:szCs w:val="24"/>
          </w:rPr>
          <w:t>https://doi.org/10.1017/S1092852914000522</w:t>
        </w:r>
      </w:hyperlink>
    </w:p>
    <w:p w14:paraId="0250CE00" w14:textId="77777777" w:rsidR="008A3248" w:rsidRPr="00111CE5" w:rsidRDefault="008A3248">
      <w:pPr>
        <w:spacing w:line="360" w:lineRule="auto"/>
        <w:ind w:left="708" w:hanging="708"/>
        <w:jc w:val="both"/>
        <w:rPr>
          <w:rFonts w:asciiTheme="majorHAnsi" w:hAnsiTheme="majorHAnsi" w:cstheme="majorHAnsi"/>
          <w:sz w:val="24"/>
          <w:szCs w:val="24"/>
        </w:rPr>
      </w:pPr>
      <w:r w:rsidRPr="00111CE5">
        <w:rPr>
          <w:rFonts w:asciiTheme="majorHAnsi" w:hAnsiTheme="majorHAnsi" w:cstheme="majorHAnsi"/>
          <w:sz w:val="24"/>
          <w:szCs w:val="24"/>
        </w:rPr>
        <w:t>Valzelli, L. (1983). Psicobiología de la agresión y la violencia. Madrid, España: Alhambra.</w:t>
      </w:r>
    </w:p>
    <w:p w14:paraId="70FB838E" w14:textId="77777777" w:rsidR="008A3248" w:rsidRPr="000775D5" w:rsidRDefault="008A3248">
      <w:pPr>
        <w:spacing w:after="0" w:line="360" w:lineRule="auto"/>
        <w:ind w:left="708" w:hanging="708"/>
        <w:jc w:val="both"/>
        <w:rPr>
          <w:rFonts w:ascii="Times New Roman" w:eastAsia="Times New Roman" w:hAnsi="Times New Roman" w:cs="Times New Roman"/>
          <w:sz w:val="24"/>
          <w:szCs w:val="24"/>
          <w:lang w:val="en-US" w:eastAsia="es-ES"/>
        </w:rPr>
      </w:pPr>
      <w:r w:rsidRPr="00111CE5">
        <w:rPr>
          <w:rFonts w:ascii="Times New Roman" w:eastAsia="Times New Roman" w:hAnsi="Times New Roman" w:cs="Times New Roman"/>
          <w:sz w:val="24"/>
          <w:szCs w:val="24"/>
          <w:lang w:eastAsia="es-ES"/>
        </w:rPr>
        <w:t xml:space="preserve">Weber, S., Habel, U., Amunts, K., y Schneider, F. (2008). </w:t>
      </w:r>
      <w:r w:rsidRPr="00111CE5">
        <w:rPr>
          <w:rFonts w:ascii="Times New Roman" w:eastAsia="Times New Roman" w:hAnsi="Times New Roman" w:cs="Times New Roman"/>
          <w:sz w:val="24"/>
          <w:szCs w:val="24"/>
          <w:lang w:val="en-US" w:eastAsia="es-ES"/>
        </w:rPr>
        <w:t xml:space="preserve">Structural brain abnormalities in psychopaths—A review. </w:t>
      </w:r>
      <w:r w:rsidRPr="000775D5">
        <w:rPr>
          <w:rFonts w:ascii="Times New Roman" w:eastAsia="Times New Roman" w:hAnsi="Times New Roman" w:cs="Times New Roman"/>
          <w:i/>
          <w:iCs/>
          <w:sz w:val="24"/>
          <w:szCs w:val="24"/>
          <w:lang w:val="en-US" w:eastAsia="es-ES"/>
        </w:rPr>
        <w:t>Behavioral sciences &amp; the law</w:t>
      </w:r>
      <w:r w:rsidRPr="000775D5">
        <w:rPr>
          <w:rFonts w:ascii="Times New Roman" w:eastAsia="Times New Roman" w:hAnsi="Times New Roman" w:cs="Times New Roman"/>
          <w:sz w:val="24"/>
          <w:szCs w:val="24"/>
          <w:lang w:val="en-US" w:eastAsia="es-ES"/>
        </w:rPr>
        <w:t xml:space="preserve">, </w:t>
      </w:r>
      <w:r w:rsidRPr="000775D5">
        <w:rPr>
          <w:rFonts w:ascii="Times New Roman" w:eastAsia="Times New Roman" w:hAnsi="Times New Roman" w:cs="Times New Roman"/>
          <w:i/>
          <w:iCs/>
          <w:sz w:val="24"/>
          <w:szCs w:val="24"/>
          <w:lang w:val="en-US" w:eastAsia="es-ES"/>
        </w:rPr>
        <w:t>26</w:t>
      </w:r>
      <w:r w:rsidRPr="000775D5">
        <w:rPr>
          <w:rFonts w:ascii="Times New Roman" w:eastAsia="Times New Roman" w:hAnsi="Times New Roman" w:cs="Times New Roman"/>
          <w:sz w:val="24"/>
          <w:szCs w:val="24"/>
          <w:lang w:val="en-US" w:eastAsia="es-ES"/>
        </w:rPr>
        <w:t>(1), 7-28.</w:t>
      </w:r>
    </w:p>
    <w:p w14:paraId="7BF2C935" w14:textId="77777777" w:rsidR="008A3248" w:rsidRPr="000B0D49" w:rsidRDefault="008A3248">
      <w:pPr>
        <w:pStyle w:val="NormalWeb"/>
        <w:spacing w:line="360" w:lineRule="auto"/>
        <w:ind w:left="480" w:hanging="480"/>
        <w:jc w:val="both"/>
      </w:pPr>
      <w:r w:rsidRPr="000775D5">
        <w:rPr>
          <w:lang w:val="en-US"/>
        </w:rPr>
        <w:t xml:space="preserve">World Health Organization. (2002). </w:t>
      </w:r>
      <w:r w:rsidRPr="000B0D49">
        <w:t>Informe mundial sobre la violencia y la salud: resumen.</w:t>
      </w:r>
    </w:p>
    <w:p w14:paraId="2C1DF94E" w14:textId="77777777" w:rsidR="008A3248" w:rsidRPr="000B0D49" w:rsidRDefault="008A3248">
      <w:pPr>
        <w:spacing w:after="0" w:line="360" w:lineRule="auto"/>
        <w:ind w:left="708" w:hanging="708"/>
        <w:jc w:val="both"/>
        <w:rPr>
          <w:rFonts w:asciiTheme="majorHAnsi" w:hAnsiTheme="majorHAnsi" w:cstheme="majorHAnsi"/>
          <w:sz w:val="24"/>
          <w:szCs w:val="24"/>
          <w:lang w:val="en-US"/>
        </w:rPr>
      </w:pPr>
      <w:r w:rsidRPr="00617484">
        <w:rPr>
          <w:rFonts w:asciiTheme="majorHAnsi" w:hAnsiTheme="majorHAnsi" w:cstheme="majorHAnsi"/>
          <w:sz w:val="24"/>
          <w:szCs w:val="24"/>
          <w:lang w:val="en-US"/>
        </w:rPr>
        <w:t xml:space="preserve">Yang, Y., Raine, A., Lencz, T., Bihrle, S., LaCasse, L. y Colletti, P. (2005). Volume reduction in prefrontal gray matter in unsuccessful criminal psychopaths. </w:t>
      </w:r>
      <w:r w:rsidRPr="000B0D49">
        <w:rPr>
          <w:rFonts w:asciiTheme="majorHAnsi" w:hAnsiTheme="majorHAnsi" w:cstheme="majorHAnsi"/>
          <w:i/>
          <w:iCs/>
          <w:sz w:val="24"/>
          <w:szCs w:val="24"/>
          <w:lang w:val="en-US"/>
        </w:rPr>
        <w:t>Biological psychiatry, 57</w:t>
      </w:r>
      <w:r w:rsidRPr="000B0D49">
        <w:rPr>
          <w:rFonts w:asciiTheme="majorHAnsi" w:hAnsiTheme="majorHAnsi" w:cstheme="majorHAnsi"/>
          <w:sz w:val="24"/>
          <w:szCs w:val="24"/>
          <w:lang w:val="en-US"/>
        </w:rPr>
        <w:t>(10), 1103-1108.</w:t>
      </w:r>
    </w:p>
    <w:p w14:paraId="3B6CDAA4" w14:textId="2BB8245B" w:rsidR="0032104E" w:rsidRPr="00E9706B" w:rsidRDefault="0032104E" w:rsidP="001419E4">
      <w:pPr>
        <w:spacing w:after="0" w:line="360" w:lineRule="auto"/>
        <w:ind w:left="708" w:hanging="708"/>
        <w:jc w:val="both"/>
        <w:rPr>
          <w:rFonts w:ascii="Times New Roman" w:eastAsia="Times New Roman" w:hAnsi="Times New Roman" w:cs="Times New Roman"/>
          <w:sz w:val="24"/>
          <w:szCs w:val="24"/>
          <w:lang w:val="en-US" w:eastAsia="es-ES"/>
        </w:rPr>
      </w:pPr>
    </w:p>
    <w:sectPr w:rsidR="0032104E" w:rsidRPr="00E9706B" w:rsidSect="00CC0043">
      <w:headerReference w:type="default" r:id="rId17"/>
      <w:pgSz w:w="11906" w:h="16838"/>
      <w:pgMar w:top="1417" w:right="1701" w:bottom="1417" w:left="1701"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Victor Dujo" w:date="2020-03-26T22:50:00Z" w:initials="VD">
    <w:p w14:paraId="35D86D99" w14:textId="14969C6E" w:rsidR="00FC0AF1" w:rsidRDefault="00FC0AF1">
      <w:pPr>
        <w:pStyle w:val="Textocomentario"/>
      </w:pPr>
      <w:r>
        <w:rPr>
          <w:rStyle w:val="Refdecomentario"/>
        </w:rPr>
        <w:annotationRef/>
      </w:r>
      <w:r>
        <w:t>Aquí habrá que nombrar un apartado de RESULTADOS o CAPITULOS DE CONTENIDO (en negrita)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D86D9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D86D99" w16cid:durableId="2227B0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A0136" w14:textId="77777777" w:rsidR="008F41D4" w:rsidRDefault="008F41D4" w:rsidP="00297CE1">
      <w:pPr>
        <w:spacing w:after="0" w:line="240" w:lineRule="auto"/>
      </w:pPr>
      <w:r>
        <w:separator/>
      </w:r>
    </w:p>
  </w:endnote>
  <w:endnote w:type="continuationSeparator" w:id="0">
    <w:p w14:paraId="7CCE0D66" w14:textId="77777777" w:rsidR="008F41D4" w:rsidRDefault="008F41D4" w:rsidP="00297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6DA13" w14:textId="77777777" w:rsidR="008F41D4" w:rsidRDefault="008F41D4" w:rsidP="00297CE1">
      <w:pPr>
        <w:spacing w:after="0" w:line="240" w:lineRule="auto"/>
      </w:pPr>
      <w:r>
        <w:separator/>
      </w:r>
    </w:p>
  </w:footnote>
  <w:footnote w:type="continuationSeparator" w:id="0">
    <w:p w14:paraId="35E308DB" w14:textId="77777777" w:rsidR="008F41D4" w:rsidRDefault="008F41D4" w:rsidP="00297C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6452210"/>
      <w:docPartObj>
        <w:docPartGallery w:val="Page Numbers (Top of Page)"/>
        <w:docPartUnique/>
      </w:docPartObj>
    </w:sdtPr>
    <w:sdtEndPr/>
    <w:sdtContent>
      <w:p w14:paraId="1CA81432" w14:textId="76290778" w:rsidR="009F6AFF" w:rsidRDefault="009F6AFF">
        <w:pPr>
          <w:pStyle w:val="Encabezado"/>
          <w:jc w:val="right"/>
        </w:pPr>
        <w:r>
          <w:fldChar w:fldCharType="begin"/>
        </w:r>
        <w:r>
          <w:instrText>PAGE   \* MERGEFORMAT</w:instrText>
        </w:r>
        <w:r>
          <w:fldChar w:fldCharType="separate"/>
        </w:r>
        <w:r>
          <w:t>2</w:t>
        </w:r>
        <w:r>
          <w:fldChar w:fldCharType="end"/>
        </w:r>
      </w:p>
    </w:sdtContent>
  </w:sdt>
  <w:p w14:paraId="11080055" w14:textId="77777777" w:rsidR="009F6AFF" w:rsidRDefault="009F6A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03"/>
    <w:multiLevelType w:val="hybridMultilevel"/>
    <w:tmpl w:val="AAA2A95E"/>
    <w:lvl w:ilvl="0" w:tplc="4EA0B142">
      <w:start w:val="2"/>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5E6234B"/>
    <w:multiLevelType w:val="hybridMultilevel"/>
    <w:tmpl w:val="82D6B3C6"/>
    <w:lvl w:ilvl="0" w:tplc="68F03B84">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6CA2DE3"/>
    <w:multiLevelType w:val="hybridMultilevel"/>
    <w:tmpl w:val="40DA5A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0"/>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Victor Dujo">
    <w15:presenceInfo w15:providerId="Windows Live" w15:userId="a98267de057ba3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148"/>
    <w:rsid w:val="00000E4F"/>
    <w:rsid w:val="00003305"/>
    <w:rsid w:val="00003E19"/>
    <w:rsid w:val="000147FE"/>
    <w:rsid w:val="000151A8"/>
    <w:rsid w:val="0001659F"/>
    <w:rsid w:val="00023CBF"/>
    <w:rsid w:val="00030ED8"/>
    <w:rsid w:val="00035B0C"/>
    <w:rsid w:val="0003609E"/>
    <w:rsid w:val="00036A4D"/>
    <w:rsid w:val="00036C67"/>
    <w:rsid w:val="00037867"/>
    <w:rsid w:val="000408B4"/>
    <w:rsid w:val="000530A8"/>
    <w:rsid w:val="00053C5B"/>
    <w:rsid w:val="00055084"/>
    <w:rsid w:val="000775D5"/>
    <w:rsid w:val="00082908"/>
    <w:rsid w:val="00086344"/>
    <w:rsid w:val="00086A31"/>
    <w:rsid w:val="000926BB"/>
    <w:rsid w:val="00092E64"/>
    <w:rsid w:val="0009532C"/>
    <w:rsid w:val="000A2EA9"/>
    <w:rsid w:val="000A48B1"/>
    <w:rsid w:val="000A62C7"/>
    <w:rsid w:val="000A7A74"/>
    <w:rsid w:val="000B0D49"/>
    <w:rsid w:val="000C028C"/>
    <w:rsid w:val="000C420F"/>
    <w:rsid w:val="000C675C"/>
    <w:rsid w:val="000D2DFB"/>
    <w:rsid w:val="000D4929"/>
    <w:rsid w:val="000D648C"/>
    <w:rsid w:val="000E0A94"/>
    <w:rsid w:val="000E1990"/>
    <w:rsid w:val="000E3225"/>
    <w:rsid w:val="000E566C"/>
    <w:rsid w:val="000E7D5B"/>
    <w:rsid w:val="000F5DBF"/>
    <w:rsid w:val="00101D56"/>
    <w:rsid w:val="00106669"/>
    <w:rsid w:val="00111CE5"/>
    <w:rsid w:val="00113A74"/>
    <w:rsid w:val="001146B5"/>
    <w:rsid w:val="00116C59"/>
    <w:rsid w:val="001229EC"/>
    <w:rsid w:val="00123195"/>
    <w:rsid w:val="0012498C"/>
    <w:rsid w:val="00127D48"/>
    <w:rsid w:val="00133DCC"/>
    <w:rsid w:val="00136ADE"/>
    <w:rsid w:val="001419E4"/>
    <w:rsid w:val="00141A97"/>
    <w:rsid w:val="00141E50"/>
    <w:rsid w:val="00142227"/>
    <w:rsid w:val="001443F8"/>
    <w:rsid w:val="0014493C"/>
    <w:rsid w:val="001511DA"/>
    <w:rsid w:val="00151840"/>
    <w:rsid w:val="00160B2F"/>
    <w:rsid w:val="00163BAE"/>
    <w:rsid w:val="00172058"/>
    <w:rsid w:val="00174B4E"/>
    <w:rsid w:val="001803F5"/>
    <w:rsid w:val="00181442"/>
    <w:rsid w:val="00185F34"/>
    <w:rsid w:val="00186625"/>
    <w:rsid w:val="001906CE"/>
    <w:rsid w:val="001A2453"/>
    <w:rsid w:val="001A4414"/>
    <w:rsid w:val="001A60BA"/>
    <w:rsid w:val="001B18AE"/>
    <w:rsid w:val="001B6BE1"/>
    <w:rsid w:val="001C120E"/>
    <w:rsid w:val="001C32AD"/>
    <w:rsid w:val="001C57BA"/>
    <w:rsid w:val="001C63B7"/>
    <w:rsid w:val="001C77A6"/>
    <w:rsid w:val="001C7E9E"/>
    <w:rsid w:val="001D15E2"/>
    <w:rsid w:val="001D25E1"/>
    <w:rsid w:val="001D40C7"/>
    <w:rsid w:val="001D7397"/>
    <w:rsid w:val="001D763F"/>
    <w:rsid w:val="001E22EC"/>
    <w:rsid w:val="001E5C41"/>
    <w:rsid w:val="001E5D4C"/>
    <w:rsid w:val="001F7128"/>
    <w:rsid w:val="001F7263"/>
    <w:rsid w:val="00202DFE"/>
    <w:rsid w:val="00205267"/>
    <w:rsid w:val="00206B17"/>
    <w:rsid w:val="00211EAA"/>
    <w:rsid w:val="002146FD"/>
    <w:rsid w:val="00231604"/>
    <w:rsid w:val="00231A5F"/>
    <w:rsid w:val="00232AE9"/>
    <w:rsid w:val="00233403"/>
    <w:rsid w:val="002407FA"/>
    <w:rsid w:val="00246FC0"/>
    <w:rsid w:val="00250D36"/>
    <w:rsid w:val="0026539D"/>
    <w:rsid w:val="00271E93"/>
    <w:rsid w:val="00275FF7"/>
    <w:rsid w:val="00276EC3"/>
    <w:rsid w:val="0027730B"/>
    <w:rsid w:val="00277D71"/>
    <w:rsid w:val="0028116D"/>
    <w:rsid w:val="00281FFA"/>
    <w:rsid w:val="00284C36"/>
    <w:rsid w:val="00285608"/>
    <w:rsid w:val="00287D58"/>
    <w:rsid w:val="0029035F"/>
    <w:rsid w:val="0029175D"/>
    <w:rsid w:val="00292F1C"/>
    <w:rsid w:val="00293581"/>
    <w:rsid w:val="00297CE1"/>
    <w:rsid w:val="002A2502"/>
    <w:rsid w:val="002A6AE9"/>
    <w:rsid w:val="002A795D"/>
    <w:rsid w:val="002B2FD3"/>
    <w:rsid w:val="002B788B"/>
    <w:rsid w:val="002C1544"/>
    <w:rsid w:val="002C1F98"/>
    <w:rsid w:val="002C5B36"/>
    <w:rsid w:val="002C6310"/>
    <w:rsid w:val="002C7403"/>
    <w:rsid w:val="002D3EE6"/>
    <w:rsid w:val="002D7EEE"/>
    <w:rsid w:val="002E176A"/>
    <w:rsid w:val="002E1E1F"/>
    <w:rsid w:val="002E2E27"/>
    <w:rsid w:val="002E7866"/>
    <w:rsid w:val="002F040E"/>
    <w:rsid w:val="002F21B8"/>
    <w:rsid w:val="002F45EF"/>
    <w:rsid w:val="002F572D"/>
    <w:rsid w:val="003031D4"/>
    <w:rsid w:val="0030580B"/>
    <w:rsid w:val="00306381"/>
    <w:rsid w:val="00311069"/>
    <w:rsid w:val="003160E3"/>
    <w:rsid w:val="0032104E"/>
    <w:rsid w:val="003211BE"/>
    <w:rsid w:val="00321ED8"/>
    <w:rsid w:val="0032376A"/>
    <w:rsid w:val="003260FC"/>
    <w:rsid w:val="003269D3"/>
    <w:rsid w:val="003368C4"/>
    <w:rsid w:val="00336A0F"/>
    <w:rsid w:val="00340A1C"/>
    <w:rsid w:val="003421AB"/>
    <w:rsid w:val="0034241E"/>
    <w:rsid w:val="00343D1B"/>
    <w:rsid w:val="003444C8"/>
    <w:rsid w:val="0034474F"/>
    <w:rsid w:val="00347563"/>
    <w:rsid w:val="0035017D"/>
    <w:rsid w:val="00350418"/>
    <w:rsid w:val="00350BBE"/>
    <w:rsid w:val="00353FA7"/>
    <w:rsid w:val="00371056"/>
    <w:rsid w:val="00371F39"/>
    <w:rsid w:val="00374089"/>
    <w:rsid w:val="00375F8E"/>
    <w:rsid w:val="0038250F"/>
    <w:rsid w:val="0038545F"/>
    <w:rsid w:val="00387B53"/>
    <w:rsid w:val="00395442"/>
    <w:rsid w:val="00396ADF"/>
    <w:rsid w:val="003A303F"/>
    <w:rsid w:val="003A4A0F"/>
    <w:rsid w:val="003A7FD6"/>
    <w:rsid w:val="003B1403"/>
    <w:rsid w:val="003B7275"/>
    <w:rsid w:val="003B77EB"/>
    <w:rsid w:val="003C0E36"/>
    <w:rsid w:val="003C6A23"/>
    <w:rsid w:val="003D5731"/>
    <w:rsid w:val="003E2025"/>
    <w:rsid w:val="003E7B0B"/>
    <w:rsid w:val="003F0E8B"/>
    <w:rsid w:val="003F2D73"/>
    <w:rsid w:val="003F377B"/>
    <w:rsid w:val="003F6D59"/>
    <w:rsid w:val="00400DF1"/>
    <w:rsid w:val="0040230A"/>
    <w:rsid w:val="00406611"/>
    <w:rsid w:val="004108C5"/>
    <w:rsid w:val="00412326"/>
    <w:rsid w:val="004171A9"/>
    <w:rsid w:val="00420104"/>
    <w:rsid w:val="00421073"/>
    <w:rsid w:val="00421F5F"/>
    <w:rsid w:val="00427C10"/>
    <w:rsid w:val="0043332D"/>
    <w:rsid w:val="00435084"/>
    <w:rsid w:val="00441442"/>
    <w:rsid w:val="004446CB"/>
    <w:rsid w:val="00450FE0"/>
    <w:rsid w:val="004576AD"/>
    <w:rsid w:val="00457E5F"/>
    <w:rsid w:val="00460835"/>
    <w:rsid w:val="004618AE"/>
    <w:rsid w:val="004762E1"/>
    <w:rsid w:val="00476888"/>
    <w:rsid w:val="00477C27"/>
    <w:rsid w:val="00477D27"/>
    <w:rsid w:val="004847ED"/>
    <w:rsid w:val="0048654A"/>
    <w:rsid w:val="00487A06"/>
    <w:rsid w:val="00496E21"/>
    <w:rsid w:val="004A1658"/>
    <w:rsid w:val="004B1E75"/>
    <w:rsid w:val="004B39E2"/>
    <w:rsid w:val="004B4129"/>
    <w:rsid w:val="004B70E2"/>
    <w:rsid w:val="004C2FA4"/>
    <w:rsid w:val="004C4274"/>
    <w:rsid w:val="004C64FC"/>
    <w:rsid w:val="004D032E"/>
    <w:rsid w:val="004D1086"/>
    <w:rsid w:val="004D6F4E"/>
    <w:rsid w:val="004D7DB0"/>
    <w:rsid w:val="004E0E51"/>
    <w:rsid w:val="004E551A"/>
    <w:rsid w:val="004F0254"/>
    <w:rsid w:val="004F11D5"/>
    <w:rsid w:val="004F59A2"/>
    <w:rsid w:val="004F654B"/>
    <w:rsid w:val="00504897"/>
    <w:rsid w:val="00505F9A"/>
    <w:rsid w:val="005115D0"/>
    <w:rsid w:val="005137A0"/>
    <w:rsid w:val="00514947"/>
    <w:rsid w:val="00517042"/>
    <w:rsid w:val="005172E6"/>
    <w:rsid w:val="0052443B"/>
    <w:rsid w:val="00534328"/>
    <w:rsid w:val="005376FF"/>
    <w:rsid w:val="00541D90"/>
    <w:rsid w:val="00543EF3"/>
    <w:rsid w:val="005464A7"/>
    <w:rsid w:val="005479D3"/>
    <w:rsid w:val="00547ABE"/>
    <w:rsid w:val="00551F11"/>
    <w:rsid w:val="00553B8F"/>
    <w:rsid w:val="00562CEC"/>
    <w:rsid w:val="00563D7A"/>
    <w:rsid w:val="00567427"/>
    <w:rsid w:val="00571E43"/>
    <w:rsid w:val="0057580D"/>
    <w:rsid w:val="0059242D"/>
    <w:rsid w:val="00594D93"/>
    <w:rsid w:val="00597647"/>
    <w:rsid w:val="00597AF5"/>
    <w:rsid w:val="005A087B"/>
    <w:rsid w:val="005A3EDE"/>
    <w:rsid w:val="005B3A42"/>
    <w:rsid w:val="005C13DB"/>
    <w:rsid w:val="005C15D0"/>
    <w:rsid w:val="005C2B71"/>
    <w:rsid w:val="005C461E"/>
    <w:rsid w:val="005D3C93"/>
    <w:rsid w:val="005E01B0"/>
    <w:rsid w:val="005E347E"/>
    <w:rsid w:val="005E5C12"/>
    <w:rsid w:val="005E6B73"/>
    <w:rsid w:val="005F0D80"/>
    <w:rsid w:val="006032FE"/>
    <w:rsid w:val="006037E5"/>
    <w:rsid w:val="00604DFE"/>
    <w:rsid w:val="00613778"/>
    <w:rsid w:val="00615890"/>
    <w:rsid w:val="00615BFF"/>
    <w:rsid w:val="00617484"/>
    <w:rsid w:val="00623B2F"/>
    <w:rsid w:val="00625B28"/>
    <w:rsid w:val="006311C1"/>
    <w:rsid w:val="0063312A"/>
    <w:rsid w:val="00633D0C"/>
    <w:rsid w:val="00637015"/>
    <w:rsid w:val="006405FA"/>
    <w:rsid w:val="00640E3F"/>
    <w:rsid w:val="00642C3B"/>
    <w:rsid w:val="00647F1E"/>
    <w:rsid w:val="00650E15"/>
    <w:rsid w:val="006539F7"/>
    <w:rsid w:val="00655A7B"/>
    <w:rsid w:val="00656441"/>
    <w:rsid w:val="00660342"/>
    <w:rsid w:val="00662517"/>
    <w:rsid w:val="006644A8"/>
    <w:rsid w:val="00667499"/>
    <w:rsid w:val="006704ED"/>
    <w:rsid w:val="006724BE"/>
    <w:rsid w:val="00676D2C"/>
    <w:rsid w:val="00680F41"/>
    <w:rsid w:val="00684AD9"/>
    <w:rsid w:val="0068529D"/>
    <w:rsid w:val="00685F8A"/>
    <w:rsid w:val="00687B92"/>
    <w:rsid w:val="00693E31"/>
    <w:rsid w:val="00696A9D"/>
    <w:rsid w:val="006971FB"/>
    <w:rsid w:val="006A5BC5"/>
    <w:rsid w:val="006B3E56"/>
    <w:rsid w:val="006B4161"/>
    <w:rsid w:val="006B41BC"/>
    <w:rsid w:val="006B42D8"/>
    <w:rsid w:val="006C194A"/>
    <w:rsid w:val="006C1A0F"/>
    <w:rsid w:val="006C7BA0"/>
    <w:rsid w:val="006F0A0A"/>
    <w:rsid w:val="006F30AA"/>
    <w:rsid w:val="006F7982"/>
    <w:rsid w:val="006F7E5A"/>
    <w:rsid w:val="00700078"/>
    <w:rsid w:val="00702CFC"/>
    <w:rsid w:val="007053C2"/>
    <w:rsid w:val="0071263B"/>
    <w:rsid w:val="007135D1"/>
    <w:rsid w:val="00714347"/>
    <w:rsid w:val="00722E6A"/>
    <w:rsid w:val="00731833"/>
    <w:rsid w:val="00737BF0"/>
    <w:rsid w:val="00741769"/>
    <w:rsid w:val="007463C4"/>
    <w:rsid w:val="00750A57"/>
    <w:rsid w:val="00751948"/>
    <w:rsid w:val="00756EF2"/>
    <w:rsid w:val="007612EB"/>
    <w:rsid w:val="00761A5F"/>
    <w:rsid w:val="00765692"/>
    <w:rsid w:val="007660A5"/>
    <w:rsid w:val="00770218"/>
    <w:rsid w:val="007723DF"/>
    <w:rsid w:val="00772EFB"/>
    <w:rsid w:val="00780D3E"/>
    <w:rsid w:val="00781AF3"/>
    <w:rsid w:val="0078332E"/>
    <w:rsid w:val="00783CD6"/>
    <w:rsid w:val="00786F31"/>
    <w:rsid w:val="007920A8"/>
    <w:rsid w:val="00795A42"/>
    <w:rsid w:val="00795B0D"/>
    <w:rsid w:val="00796369"/>
    <w:rsid w:val="007A29D3"/>
    <w:rsid w:val="007A7A15"/>
    <w:rsid w:val="007A7BDC"/>
    <w:rsid w:val="007A7C6B"/>
    <w:rsid w:val="007B4285"/>
    <w:rsid w:val="007B77F5"/>
    <w:rsid w:val="007C13C7"/>
    <w:rsid w:val="007C1922"/>
    <w:rsid w:val="007C1E90"/>
    <w:rsid w:val="007C3409"/>
    <w:rsid w:val="007C5903"/>
    <w:rsid w:val="007C745D"/>
    <w:rsid w:val="007D0127"/>
    <w:rsid w:val="007D3C30"/>
    <w:rsid w:val="007D58E2"/>
    <w:rsid w:val="007D5B0D"/>
    <w:rsid w:val="007D6A90"/>
    <w:rsid w:val="007E14BF"/>
    <w:rsid w:val="007E5A12"/>
    <w:rsid w:val="007E7924"/>
    <w:rsid w:val="007F24C7"/>
    <w:rsid w:val="007F2A0D"/>
    <w:rsid w:val="007F3287"/>
    <w:rsid w:val="007F3C4B"/>
    <w:rsid w:val="00800495"/>
    <w:rsid w:val="00800FB2"/>
    <w:rsid w:val="0080194D"/>
    <w:rsid w:val="008044DF"/>
    <w:rsid w:val="00807D74"/>
    <w:rsid w:val="00811C11"/>
    <w:rsid w:val="00820ECD"/>
    <w:rsid w:val="00821F06"/>
    <w:rsid w:val="00822B8E"/>
    <w:rsid w:val="008300D8"/>
    <w:rsid w:val="00830A06"/>
    <w:rsid w:val="00836112"/>
    <w:rsid w:val="00836890"/>
    <w:rsid w:val="00845946"/>
    <w:rsid w:val="00851756"/>
    <w:rsid w:val="00854CC5"/>
    <w:rsid w:val="00857864"/>
    <w:rsid w:val="008604B2"/>
    <w:rsid w:val="008611FD"/>
    <w:rsid w:val="00861A2B"/>
    <w:rsid w:val="00863B95"/>
    <w:rsid w:val="008711F6"/>
    <w:rsid w:val="00871A97"/>
    <w:rsid w:val="00877831"/>
    <w:rsid w:val="00883CAE"/>
    <w:rsid w:val="008858CC"/>
    <w:rsid w:val="00887212"/>
    <w:rsid w:val="008905BF"/>
    <w:rsid w:val="00890715"/>
    <w:rsid w:val="00893390"/>
    <w:rsid w:val="008939E8"/>
    <w:rsid w:val="008A3248"/>
    <w:rsid w:val="008A5737"/>
    <w:rsid w:val="008A63B0"/>
    <w:rsid w:val="008A64AE"/>
    <w:rsid w:val="008B37D3"/>
    <w:rsid w:val="008C02F0"/>
    <w:rsid w:val="008C718C"/>
    <w:rsid w:val="008D27E4"/>
    <w:rsid w:val="008D359D"/>
    <w:rsid w:val="008D69F6"/>
    <w:rsid w:val="008E00B3"/>
    <w:rsid w:val="008E7EC4"/>
    <w:rsid w:val="008F41D4"/>
    <w:rsid w:val="00900ABD"/>
    <w:rsid w:val="009046AC"/>
    <w:rsid w:val="009058CF"/>
    <w:rsid w:val="0091068A"/>
    <w:rsid w:val="00911B06"/>
    <w:rsid w:val="009122AF"/>
    <w:rsid w:val="00914AAC"/>
    <w:rsid w:val="0092176D"/>
    <w:rsid w:val="0092220A"/>
    <w:rsid w:val="009231A7"/>
    <w:rsid w:val="0093245E"/>
    <w:rsid w:val="009331DE"/>
    <w:rsid w:val="00950231"/>
    <w:rsid w:val="00952DBC"/>
    <w:rsid w:val="0095449F"/>
    <w:rsid w:val="00957957"/>
    <w:rsid w:val="00960A93"/>
    <w:rsid w:val="00962C80"/>
    <w:rsid w:val="00962CB4"/>
    <w:rsid w:val="00963D12"/>
    <w:rsid w:val="0096568C"/>
    <w:rsid w:val="00977121"/>
    <w:rsid w:val="00981EBE"/>
    <w:rsid w:val="00983567"/>
    <w:rsid w:val="00984347"/>
    <w:rsid w:val="009877B6"/>
    <w:rsid w:val="00996BDD"/>
    <w:rsid w:val="009976A2"/>
    <w:rsid w:val="00997FAF"/>
    <w:rsid w:val="009A0B65"/>
    <w:rsid w:val="009A165D"/>
    <w:rsid w:val="009B0C9D"/>
    <w:rsid w:val="009B391B"/>
    <w:rsid w:val="009B40EF"/>
    <w:rsid w:val="009B6106"/>
    <w:rsid w:val="009C21D1"/>
    <w:rsid w:val="009C255E"/>
    <w:rsid w:val="009C305A"/>
    <w:rsid w:val="009D02EE"/>
    <w:rsid w:val="009D1CCA"/>
    <w:rsid w:val="009D1D87"/>
    <w:rsid w:val="009D3148"/>
    <w:rsid w:val="009D64A4"/>
    <w:rsid w:val="009D737E"/>
    <w:rsid w:val="009F150F"/>
    <w:rsid w:val="009F6AFF"/>
    <w:rsid w:val="00A025DC"/>
    <w:rsid w:val="00A02BC6"/>
    <w:rsid w:val="00A03EF6"/>
    <w:rsid w:val="00A149E8"/>
    <w:rsid w:val="00A16DF3"/>
    <w:rsid w:val="00A206B8"/>
    <w:rsid w:val="00A20E8C"/>
    <w:rsid w:val="00A24856"/>
    <w:rsid w:val="00A24CBC"/>
    <w:rsid w:val="00A2732E"/>
    <w:rsid w:val="00A27887"/>
    <w:rsid w:val="00A316AA"/>
    <w:rsid w:val="00A35FC3"/>
    <w:rsid w:val="00A4182D"/>
    <w:rsid w:val="00A4594F"/>
    <w:rsid w:val="00A5108D"/>
    <w:rsid w:val="00A52A67"/>
    <w:rsid w:val="00A558D8"/>
    <w:rsid w:val="00A619E7"/>
    <w:rsid w:val="00A61B0C"/>
    <w:rsid w:val="00A629D1"/>
    <w:rsid w:val="00A6386B"/>
    <w:rsid w:val="00A72B52"/>
    <w:rsid w:val="00A75977"/>
    <w:rsid w:val="00A8238E"/>
    <w:rsid w:val="00A8439D"/>
    <w:rsid w:val="00A84A97"/>
    <w:rsid w:val="00A85A4C"/>
    <w:rsid w:val="00A86604"/>
    <w:rsid w:val="00A95630"/>
    <w:rsid w:val="00A96C8D"/>
    <w:rsid w:val="00AA0079"/>
    <w:rsid w:val="00AA3662"/>
    <w:rsid w:val="00AA7ADF"/>
    <w:rsid w:val="00AB00C4"/>
    <w:rsid w:val="00AB250E"/>
    <w:rsid w:val="00AB37B5"/>
    <w:rsid w:val="00AB4EBF"/>
    <w:rsid w:val="00AB79C7"/>
    <w:rsid w:val="00AC6AE3"/>
    <w:rsid w:val="00AC7080"/>
    <w:rsid w:val="00AD3E18"/>
    <w:rsid w:val="00AE5EA9"/>
    <w:rsid w:val="00AF1F38"/>
    <w:rsid w:val="00AF3A59"/>
    <w:rsid w:val="00AF3E5C"/>
    <w:rsid w:val="00AF6CD1"/>
    <w:rsid w:val="00AF7AA3"/>
    <w:rsid w:val="00AF7D7C"/>
    <w:rsid w:val="00B008BF"/>
    <w:rsid w:val="00B0381C"/>
    <w:rsid w:val="00B040AB"/>
    <w:rsid w:val="00B0446C"/>
    <w:rsid w:val="00B1163E"/>
    <w:rsid w:val="00B17638"/>
    <w:rsid w:val="00B26624"/>
    <w:rsid w:val="00B37B3C"/>
    <w:rsid w:val="00B4010B"/>
    <w:rsid w:val="00B430B2"/>
    <w:rsid w:val="00B57D65"/>
    <w:rsid w:val="00B62A19"/>
    <w:rsid w:val="00B72663"/>
    <w:rsid w:val="00B738EB"/>
    <w:rsid w:val="00B75466"/>
    <w:rsid w:val="00B77486"/>
    <w:rsid w:val="00B8121D"/>
    <w:rsid w:val="00B86090"/>
    <w:rsid w:val="00B86FC5"/>
    <w:rsid w:val="00B923D3"/>
    <w:rsid w:val="00B95769"/>
    <w:rsid w:val="00B97396"/>
    <w:rsid w:val="00BA1949"/>
    <w:rsid w:val="00BA7D1D"/>
    <w:rsid w:val="00BB1B7A"/>
    <w:rsid w:val="00BB24D5"/>
    <w:rsid w:val="00BB492B"/>
    <w:rsid w:val="00BB4EFC"/>
    <w:rsid w:val="00BB4F35"/>
    <w:rsid w:val="00BB5CEF"/>
    <w:rsid w:val="00BB7C2A"/>
    <w:rsid w:val="00BC1541"/>
    <w:rsid w:val="00BC64D0"/>
    <w:rsid w:val="00BC669E"/>
    <w:rsid w:val="00BC78F3"/>
    <w:rsid w:val="00BC7E36"/>
    <w:rsid w:val="00BD363F"/>
    <w:rsid w:val="00BD3ABA"/>
    <w:rsid w:val="00BD4453"/>
    <w:rsid w:val="00BD49DA"/>
    <w:rsid w:val="00BD4BE4"/>
    <w:rsid w:val="00BD7270"/>
    <w:rsid w:val="00BD7D9B"/>
    <w:rsid w:val="00BE0ABA"/>
    <w:rsid w:val="00BE1897"/>
    <w:rsid w:val="00BE69D0"/>
    <w:rsid w:val="00BF055F"/>
    <w:rsid w:val="00BF5B03"/>
    <w:rsid w:val="00BF714F"/>
    <w:rsid w:val="00C02B7E"/>
    <w:rsid w:val="00C031EF"/>
    <w:rsid w:val="00C067C7"/>
    <w:rsid w:val="00C071A5"/>
    <w:rsid w:val="00C1645D"/>
    <w:rsid w:val="00C25F9A"/>
    <w:rsid w:val="00C26335"/>
    <w:rsid w:val="00C321E4"/>
    <w:rsid w:val="00C32739"/>
    <w:rsid w:val="00C355AB"/>
    <w:rsid w:val="00C40B05"/>
    <w:rsid w:val="00C43EB2"/>
    <w:rsid w:val="00C45218"/>
    <w:rsid w:val="00C46224"/>
    <w:rsid w:val="00C46B6A"/>
    <w:rsid w:val="00C50EF7"/>
    <w:rsid w:val="00C514C9"/>
    <w:rsid w:val="00C51B10"/>
    <w:rsid w:val="00C5538E"/>
    <w:rsid w:val="00C56E5C"/>
    <w:rsid w:val="00C61EF5"/>
    <w:rsid w:val="00C646F7"/>
    <w:rsid w:val="00C712CE"/>
    <w:rsid w:val="00C735A8"/>
    <w:rsid w:val="00C80F5F"/>
    <w:rsid w:val="00C82282"/>
    <w:rsid w:val="00C84C1E"/>
    <w:rsid w:val="00C84FB3"/>
    <w:rsid w:val="00C86A5B"/>
    <w:rsid w:val="00C86F28"/>
    <w:rsid w:val="00C9189C"/>
    <w:rsid w:val="00C97334"/>
    <w:rsid w:val="00CB0550"/>
    <w:rsid w:val="00CB0BB7"/>
    <w:rsid w:val="00CB35FC"/>
    <w:rsid w:val="00CB427A"/>
    <w:rsid w:val="00CB48DD"/>
    <w:rsid w:val="00CB5523"/>
    <w:rsid w:val="00CC0043"/>
    <w:rsid w:val="00CC28FF"/>
    <w:rsid w:val="00CD3141"/>
    <w:rsid w:val="00CE1CC5"/>
    <w:rsid w:val="00CE2444"/>
    <w:rsid w:val="00CF15FE"/>
    <w:rsid w:val="00CF344D"/>
    <w:rsid w:val="00CF3631"/>
    <w:rsid w:val="00CF3793"/>
    <w:rsid w:val="00CF4003"/>
    <w:rsid w:val="00CF4753"/>
    <w:rsid w:val="00CF5144"/>
    <w:rsid w:val="00D00A40"/>
    <w:rsid w:val="00D12240"/>
    <w:rsid w:val="00D124FE"/>
    <w:rsid w:val="00D125F1"/>
    <w:rsid w:val="00D12805"/>
    <w:rsid w:val="00D12CE0"/>
    <w:rsid w:val="00D155C0"/>
    <w:rsid w:val="00D16CA7"/>
    <w:rsid w:val="00D17786"/>
    <w:rsid w:val="00D214CF"/>
    <w:rsid w:val="00D24228"/>
    <w:rsid w:val="00D35199"/>
    <w:rsid w:val="00D35427"/>
    <w:rsid w:val="00D36702"/>
    <w:rsid w:val="00D46602"/>
    <w:rsid w:val="00D466A1"/>
    <w:rsid w:val="00D50C98"/>
    <w:rsid w:val="00D513D8"/>
    <w:rsid w:val="00D621BC"/>
    <w:rsid w:val="00D62C88"/>
    <w:rsid w:val="00D66379"/>
    <w:rsid w:val="00D67D1E"/>
    <w:rsid w:val="00D75483"/>
    <w:rsid w:val="00D774BF"/>
    <w:rsid w:val="00D814A0"/>
    <w:rsid w:val="00D82B92"/>
    <w:rsid w:val="00D920E4"/>
    <w:rsid w:val="00D92873"/>
    <w:rsid w:val="00D92C9D"/>
    <w:rsid w:val="00D9447E"/>
    <w:rsid w:val="00DA185F"/>
    <w:rsid w:val="00DA2E7A"/>
    <w:rsid w:val="00DA4145"/>
    <w:rsid w:val="00DB2848"/>
    <w:rsid w:val="00DB4F22"/>
    <w:rsid w:val="00DC0019"/>
    <w:rsid w:val="00DC0082"/>
    <w:rsid w:val="00DC01E0"/>
    <w:rsid w:val="00DC0F36"/>
    <w:rsid w:val="00DD7CA3"/>
    <w:rsid w:val="00DE247F"/>
    <w:rsid w:val="00DE35E0"/>
    <w:rsid w:val="00DE553D"/>
    <w:rsid w:val="00DF08B3"/>
    <w:rsid w:val="00DF0907"/>
    <w:rsid w:val="00DF0E8E"/>
    <w:rsid w:val="00DF23E7"/>
    <w:rsid w:val="00DF3A6D"/>
    <w:rsid w:val="00E07C16"/>
    <w:rsid w:val="00E17C3F"/>
    <w:rsid w:val="00E21D09"/>
    <w:rsid w:val="00E22A3B"/>
    <w:rsid w:val="00E22DB5"/>
    <w:rsid w:val="00E24555"/>
    <w:rsid w:val="00E26C76"/>
    <w:rsid w:val="00E313DB"/>
    <w:rsid w:val="00E316C7"/>
    <w:rsid w:val="00E3308C"/>
    <w:rsid w:val="00E336E6"/>
    <w:rsid w:val="00E33724"/>
    <w:rsid w:val="00E36E20"/>
    <w:rsid w:val="00E429E4"/>
    <w:rsid w:val="00E47828"/>
    <w:rsid w:val="00E47B24"/>
    <w:rsid w:val="00E50751"/>
    <w:rsid w:val="00E52945"/>
    <w:rsid w:val="00E54109"/>
    <w:rsid w:val="00E61DB3"/>
    <w:rsid w:val="00E65E1F"/>
    <w:rsid w:val="00E65EBD"/>
    <w:rsid w:val="00E66348"/>
    <w:rsid w:val="00E7228F"/>
    <w:rsid w:val="00E744E9"/>
    <w:rsid w:val="00E74FDB"/>
    <w:rsid w:val="00E848AE"/>
    <w:rsid w:val="00E963C8"/>
    <w:rsid w:val="00E96BC7"/>
    <w:rsid w:val="00E9706B"/>
    <w:rsid w:val="00EA32E2"/>
    <w:rsid w:val="00EA78BF"/>
    <w:rsid w:val="00EA7C1B"/>
    <w:rsid w:val="00EB20E9"/>
    <w:rsid w:val="00EB467F"/>
    <w:rsid w:val="00EB709D"/>
    <w:rsid w:val="00EB7160"/>
    <w:rsid w:val="00EB74B7"/>
    <w:rsid w:val="00EC0253"/>
    <w:rsid w:val="00EC2564"/>
    <w:rsid w:val="00EC2F04"/>
    <w:rsid w:val="00EC3AF9"/>
    <w:rsid w:val="00EC449B"/>
    <w:rsid w:val="00EC5968"/>
    <w:rsid w:val="00EC63E0"/>
    <w:rsid w:val="00EC6B5E"/>
    <w:rsid w:val="00EC7F00"/>
    <w:rsid w:val="00ED3039"/>
    <w:rsid w:val="00ED48AA"/>
    <w:rsid w:val="00ED6292"/>
    <w:rsid w:val="00ED7B9A"/>
    <w:rsid w:val="00EE443E"/>
    <w:rsid w:val="00EE70D8"/>
    <w:rsid w:val="00EF0867"/>
    <w:rsid w:val="00EF7F88"/>
    <w:rsid w:val="00F00073"/>
    <w:rsid w:val="00F00AD7"/>
    <w:rsid w:val="00F04BCF"/>
    <w:rsid w:val="00F1097E"/>
    <w:rsid w:val="00F15395"/>
    <w:rsid w:val="00F1794F"/>
    <w:rsid w:val="00F32226"/>
    <w:rsid w:val="00F32EDE"/>
    <w:rsid w:val="00F4136E"/>
    <w:rsid w:val="00F4309B"/>
    <w:rsid w:val="00F4469E"/>
    <w:rsid w:val="00F47427"/>
    <w:rsid w:val="00F53612"/>
    <w:rsid w:val="00F541BE"/>
    <w:rsid w:val="00F546F4"/>
    <w:rsid w:val="00F54A96"/>
    <w:rsid w:val="00F554D7"/>
    <w:rsid w:val="00F56BA1"/>
    <w:rsid w:val="00F6348A"/>
    <w:rsid w:val="00F638AF"/>
    <w:rsid w:val="00F6412F"/>
    <w:rsid w:val="00F72805"/>
    <w:rsid w:val="00F73DE4"/>
    <w:rsid w:val="00F75E73"/>
    <w:rsid w:val="00F87D56"/>
    <w:rsid w:val="00F96481"/>
    <w:rsid w:val="00FA3FD4"/>
    <w:rsid w:val="00FA4C3C"/>
    <w:rsid w:val="00FB33F1"/>
    <w:rsid w:val="00FB3406"/>
    <w:rsid w:val="00FB76E5"/>
    <w:rsid w:val="00FC0AF1"/>
    <w:rsid w:val="00FD12B0"/>
    <w:rsid w:val="00FD4E8F"/>
    <w:rsid w:val="00FD5B5E"/>
    <w:rsid w:val="00FD6E2D"/>
    <w:rsid w:val="00FE2520"/>
    <w:rsid w:val="00FF28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19DE4"/>
  <w15:chartTrackingRefBased/>
  <w15:docId w15:val="{6BF11402-CF05-41C1-BDF1-DA93D2976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41E"/>
  </w:style>
  <w:style w:type="paragraph" w:styleId="Ttulo1">
    <w:name w:val="heading 1"/>
    <w:basedOn w:val="Normal"/>
    <w:next w:val="Normal"/>
    <w:link w:val="Ttulo1Car"/>
    <w:uiPriority w:val="9"/>
    <w:qFormat/>
    <w:rsid w:val="0034241E"/>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Ttulo2">
    <w:name w:val="heading 2"/>
    <w:basedOn w:val="Normal"/>
    <w:next w:val="Normal"/>
    <w:link w:val="Ttulo2Car"/>
    <w:uiPriority w:val="9"/>
    <w:unhideWhenUsed/>
    <w:qFormat/>
    <w:rsid w:val="0034241E"/>
    <w:pPr>
      <w:keepNext/>
      <w:keepLines/>
      <w:spacing w:before="40" w:after="0"/>
      <w:outlineLvl w:val="1"/>
    </w:pPr>
    <w:rPr>
      <w:rFonts w:asciiTheme="majorHAnsi" w:eastAsiaTheme="majorEastAsia" w:hAnsiTheme="majorHAnsi" w:cstheme="majorBidi"/>
      <w:color w:val="A5A5A5" w:themeColor="accent1" w:themeShade="BF"/>
      <w:sz w:val="26"/>
      <w:szCs w:val="26"/>
    </w:rPr>
  </w:style>
  <w:style w:type="paragraph" w:styleId="Ttulo3">
    <w:name w:val="heading 3"/>
    <w:basedOn w:val="Normal"/>
    <w:next w:val="Normal"/>
    <w:link w:val="Ttulo3Car"/>
    <w:uiPriority w:val="9"/>
    <w:unhideWhenUsed/>
    <w:qFormat/>
    <w:rsid w:val="0034241E"/>
    <w:pPr>
      <w:keepNext/>
      <w:keepLines/>
      <w:spacing w:before="40" w:after="0"/>
      <w:outlineLvl w:val="2"/>
    </w:pPr>
    <w:rPr>
      <w:rFonts w:asciiTheme="majorHAnsi" w:eastAsiaTheme="majorEastAsia" w:hAnsiTheme="majorHAnsi" w:cstheme="majorBidi"/>
      <w:color w:val="6E6E6E"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3424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4241E"/>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34241E"/>
    <w:rPr>
      <w:rFonts w:asciiTheme="majorHAnsi" w:eastAsiaTheme="majorEastAsia" w:hAnsiTheme="majorHAnsi" w:cstheme="majorBidi"/>
      <w:color w:val="A5A5A5" w:themeColor="accent1" w:themeShade="BF"/>
      <w:sz w:val="32"/>
      <w:szCs w:val="32"/>
    </w:rPr>
  </w:style>
  <w:style w:type="character" w:customStyle="1" w:styleId="Ttulo2Car">
    <w:name w:val="Título 2 Car"/>
    <w:basedOn w:val="Fuentedeprrafopredeter"/>
    <w:link w:val="Ttulo2"/>
    <w:uiPriority w:val="9"/>
    <w:rsid w:val="0034241E"/>
    <w:rPr>
      <w:rFonts w:asciiTheme="majorHAnsi" w:eastAsiaTheme="majorEastAsia" w:hAnsiTheme="majorHAnsi" w:cstheme="majorBidi"/>
      <w:color w:val="A5A5A5" w:themeColor="accent1" w:themeShade="BF"/>
      <w:sz w:val="26"/>
      <w:szCs w:val="26"/>
    </w:rPr>
  </w:style>
  <w:style w:type="character" w:customStyle="1" w:styleId="Ttulo3Car">
    <w:name w:val="Título 3 Car"/>
    <w:basedOn w:val="Fuentedeprrafopredeter"/>
    <w:link w:val="Ttulo3"/>
    <w:uiPriority w:val="9"/>
    <w:rsid w:val="0034241E"/>
    <w:rPr>
      <w:rFonts w:asciiTheme="majorHAnsi" w:eastAsiaTheme="majorEastAsia" w:hAnsiTheme="majorHAnsi" w:cstheme="majorBidi"/>
      <w:color w:val="6E6E6E" w:themeColor="accent1" w:themeShade="7F"/>
      <w:sz w:val="24"/>
      <w:szCs w:val="24"/>
    </w:rPr>
  </w:style>
  <w:style w:type="paragraph" w:styleId="Textoindependiente">
    <w:name w:val="Body Text"/>
    <w:basedOn w:val="Normal"/>
    <w:link w:val="TextoindependienteCar"/>
    <w:uiPriority w:val="1"/>
    <w:qFormat/>
    <w:rsid w:val="0034241E"/>
    <w:pPr>
      <w:widowControl w:val="0"/>
      <w:autoSpaceDE w:val="0"/>
      <w:autoSpaceDN w:val="0"/>
      <w:spacing w:after="0" w:line="240" w:lineRule="auto"/>
    </w:pPr>
    <w:rPr>
      <w:rFonts w:ascii="Arial" w:eastAsia="Arial" w:hAnsi="Arial" w:cs="Arial"/>
      <w:sz w:val="64"/>
      <w:szCs w:val="64"/>
      <w:lang w:eastAsia="es-ES" w:bidi="es-ES"/>
    </w:rPr>
  </w:style>
  <w:style w:type="character" w:customStyle="1" w:styleId="TextoindependienteCar">
    <w:name w:val="Texto independiente Car"/>
    <w:basedOn w:val="Fuentedeprrafopredeter"/>
    <w:link w:val="Textoindependiente"/>
    <w:uiPriority w:val="1"/>
    <w:rsid w:val="0034241E"/>
    <w:rPr>
      <w:rFonts w:ascii="Arial" w:eastAsia="Arial" w:hAnsi="Arial" w:cs="Arial"/>
      <w:sz w:val="64"/>
      <w:szCs w:val="64"/>
      <w:lang w:eastAsia="es-ES" w:bidi="es-ES"/>
    </w:rPr>
  </w:style>
  <w:style w:type="paragraph" w:styleId="Prrafodelista">
    <w:name w:val="List Paragraph"/>
    <w:basedOn w:val="Normal"/>
    <w:uiPriority w:val="34"/>
    <w:qFormat/>
    <w:rsid w:val="0034241E"/>
    <w:pPr>
      <w:spacing w:after="0" w:line="240" w:lineRule="auto"/>
      <w:ind w:left="720"/>
      <w:contextualSpacing/>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446C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46CB"/>
    <w:rPr>
      <w:rFonts w:ascii="Segoe UI" w:hAnsi="Segoe UI" w:cs="Segoe UI"/>
      <w:sz w:val="18"/>
      <w:szCs w:val="18"/>
    </w:rPr>
  </w:style>
  <w:style w:type="paragraph" w:styleId="Textocomentario">
    <w:name w:val="annotation text"/>
    <w:basedOn w:val="Normal"/>
    <w:link w:val="TextocomentarioCar"/>
    <w:uiPriority w:val="99"/>
    <w:unhideWhenUsed/>
    <w:rsid w:val="004B4129"/>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4B4129"/>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semiHidden/>
    <w:unhideWhenUsed/>
    <w:rsid w:val="004B4129"/>
    <w:rPr>
      <w:sz w:val="16"/>
      <w:szCs w:val="16"/>
    </w:rPr>
  </w:style>
  <w:style w:type="character" w:styleId="nfasis">
    <w:name w:val="Emphasis"/>
    <w:basedOn w:val="Fuentedeprrafopredeter"/>
    <w:uiPriority w:val="20"/>
    <w:qFormat/>
    <w:rsid w:val="004B4129"/>
    <w:rPr>
      <w:i/>
      <w:iCs/>
    </w:rPr>
  </w:style>
  <w:style w:type="character" w:styleId="Hipervnculo">
    <w:name w:val="Hyperlink"/>
    <w:basedOn w:val="Fuentedeprrafopredeter"/>
    <w:uiPriority w:val="99"/>
    <w:unhideWhenUsed/>
    <w:rsid w:val="00CB427A"/>
    <w:rPr>
      <w:color w:val="5F5F5F" w:themeColor="hyperlink"/>
      <w:u w:val="single"/>
    </w:rPr>
  </w:style>
  <w:style w:type="character" w:styleId="Mencinsinresolver">
    <w:name w:val="Unresolved Mention"/>
    <w:basedOn w:val="Fuentedeprrafopredeter"/>
    <w:uiPriority w:val="99"/>
    <w:semiHidden/>
    <w:unhideWhenUsed/>
    <w:rsid w:val="00CB427A"/>
    <w:rPr>
      <w:color w:val="605E5C"/>
      <w:shd w:val="clear" w:color="auto" w:fill="E1DFDD"/>
    </w:rPr>
  </w:style>
  <w:style w:type="paragraph" w:customStyle="1" w:styleId="Default">
    <w:name w:val="Default"/>
    <w:rsid w:val="002F572D"/>
    <w:pPr>
      <w:autoSpaceDE w:val="0"/>
      <w:autoSpaceDN w:val="0"/>
      <w:adjustRightInd w:val="0"/>
      <w:spacing w:after="0" w:line="240" w:lineRule="auto"/>
    </w:pPr>
    <w:rPr>
      <w:rFonts w:ascii="Arial" w:hAnsi="Arial" w:cs="Arial"/>
      <w:color w:val="000000"/>
      <w:sz w:val="24"/>
      <w:szCs w:val="24"/>
    </w:rPr>
  </w:style>
  <w:style w:type="character" w:customStyle="1" w:styleId="A6">
    <w:name w:val="A6"/>
    <w:uiPriority w:val="99"/>
    <w:rsid w:val="002F572D"/>
    <w:rPr>
      <w:color w:val="000000"/>
      <w:sz w:val="10"/>
      <w:szCs w:val="10"/>
    </w:rPr>
  </w:style>
  <w:style w:type="paragraph" w:styleId="NormalWeb">
    <w:name w:val="Normal (Web)"/>
    <w:basedOn w:val="Normal"/>
    <w:uiPriority w:val="99"/>
    <w:unhideWhenUsed/>
    <w:rsid w:val="00B430B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B923D3"/>
    <w:rPr>
      <w:b/>
      <w:bCs/>
    </w:rPr>
  </w:style>
  <w:style w:type="paragraph" w:styleId="Asuntodelcomentario">
    <w:name w:val="annotation subject"/>
    <w:basedOn w:val="Textocomentario"/>
    <w:next w:val="Textocomentario"/>
    <w:link w:val="AsuntodelcomentarioCar"/>
    <w:uiPriority w:val="99"/>
    <w:semiHidden/>
    <w:unhideWhenUsed/>
    <w:rsid w:val="00F638AF"/>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F638AF"/>
    <w:rPr>
      <w:rFonts w:ascii="Times New Roman" w:eastAsia="Times New Roman" w:hAnsi="Times New Roman" w:cs="Times New Roman"/>
      <w:b/>
      <w:bCs/>
      <w:sz w:val="20"/>
      <w:szCs w:val="20"/>
      <w:lang w:eastAsia="es-ES"/>
    </w:rPr>
  </w:style>
  <w:style w:type="paragraph" w:styleId="Revisin">
    <w:name w:val="Revision"/>
    <w:hidden/>
    <w:uiPriority w:val="99"/>
    <w:semiHidden/>
    <w:rsid w:val="00AF7D7C"/>
    <w:pPr>
      <w:spacing w:after="0" w:line="240" w:lineRule="auto"/>
    </w:pPr>
  </w:style>
  <w:style w:type="paragraph" w:styleId="Encabezado">
    <w:name w:val="header"/>
    <w:basedOn w:val="Normal"/>
    <w:link w:val="EncabezadoCar"/>
    <w:uiPriority w:val="99"/>
    <w:unhideWhenUsed/>
    <w:rsid w:val="00297CE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97CE1"/>
  </w:style>
  <w:style w:type="paragraph" w:styleId="Piedepgina">
    <w:name w:val="footer"/>
    <w:basedOn w:val="Normal"/>
    <w:link w:val="PiedepginaCar"/>
    <w:uiPriority w:val="99"/>
    <w:unhideWhenUsed/>
    <w:rsid w:val="00297CE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97CE1"/>
  </w:style>
  <w:style w:type="character" w:customStyle="1" w:styleId="highlight">
    <w:name w:val="highlight"/>
    <w:basedOn w:val="Fuentedeprrafopredeter"/>
    <w:rsid w:val="004B70E2"/>
  </w:style>
  <w:style w:type="table" w:styleId="Tablaconcuadrcula">
    <w:name w:val="Table Grid"/>
    <w:basedOn w:val="Tablanormal"/>
    <w:uiPriority w:val="39"/>
    <w:rsid w:val="00517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5170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Descripcin">
    <w:name w:val="caption"/>
    <w:basedOn w:val="Normal"/>
    <w:next w:val="Normal"/>
    <w:uiPriority w:val="35"/>
    <w:unhideWhenUsed/>
    <w:qFormat/>
    <w:rsid w:val="00E336E6"/>
    <w:pPr>
      <w:spacing w:after="200" w:line="240" w:lineRule="auto"/>
    </w:pPr>
    <w:rPr>
      <w:i/>
      <w:iCs/>
      <w:color w:val="000000" w:themeColor="text2"/>
      <w:sz w:val="18"/>
      <w:szCs w:val="18"/>
    </w:rPr>
  </w:style>
  <w:style w:type="character" w:customStyle="1" w:styleId="tlid-translation">
    <w:name w:val="tlid-translation"/>
    <w:basedOn w:val="Fuentedeprrafopredeter"/>
    <w:rsid w:val="001D1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06051">
      <w:bodyDiv w:val="1"/>
      <w:marLeft w:val="0"/>
      <w:marRight w:val="0"/>
      <w:marTop w:val="0"/>
      <w:marBottom w:val="0"/>
      <w:divBdr>
        <w:top w:val="none" w:sz="0" w:space="0" w:color="auto"/>
        <w:left w:val="none" w:sz="0" w:space="0" w:color="auto"/>
        <w:bottom w:val="none" w:sz="0" w:space="0" w:color="auto"/>
        <w:right w:val="none" w:sz="0" w:space="0" w:color="auto"/>
      </w:divBdr>
    </w:div>
    <w:div w:id="191304321">
      <w:bodyDiv w:val="1"/>
      <w:marLeft w:val="0"/>
      <w:marRight w:val="0"/>
      <w:marTop w:val="0"/>
      <w:marBottom w:val="0"/>
      <w:divBdr>
        <w:top w:val="none" w:sz="0" w:space="0" w:color="auto"/>
        <w:left w:val="none" w:sz="0" w:space="0" w:color="auto"/>
        <w:bottom w:val="none" w:sz="0" w:space="0" w:color="auto"/>
        <w:right w:val="none" w:sz="0" w:space="0" w:color="auto"/>
      </w:divBdr>
    </w:div>
    <w:div w:id="553851260">
      <w:bodyDiv w:val="1"/>
      <w:marLeft w:val="0"/>
      <w:marRight w:val="0"/>
      <w:marTop w:val="0"/>
      <w:marBottom w:val="0"/>
      <w:divBdr>
        <w:top w:val="none" w:sz="0" w:space="0" w:color="auto"/>
        <w:left w:val="none" w:sz="0" w:space="0" w:color="auto"/>
        <w:bottom w:val="none" w:sz="0" w:space="0" w:color="auto"/>
        <w:right w:val="none" w:sz="0" w:space="0" w:color="auto"/>
      </w:divBdr>
      <w:divsChild>
        <w:div w:id="1288044895">
          <w:marLeft w:val="0"/>
          <w:marRight w:val="0"/>
          <w:marTop w:val="0"/>
          <w:marBottom w:val="0"/>
          <w:divBdr>
            <w:top w:val="none" w:sz="0" w:space="0" w:color="auto"/>
            <w:left w:val="none" w:sz="0" w:space="0" w:color="auto"/>
            <w:bottom w:val="none" w:sz="0" w:space="0" w:color="auto"/>
            <w:right w:val="none" w:sz="0" w:space="0" w:color="auto"/>
          </w:divBdr>
        </w:div>
      </w:divsChild>
    </w:div>
    <w:div w:id="634798457">
      <w:bodyDiv w:val="1"/>
      <w:marLeft w:val="0"/>
      <w:marRight w:val="0"/>
      <w:marTop w:val="0"/>
      <w:marBottom w:val="0"/>
      <w:divBdr>
        <w:top w:val="none" w:sz="0" w:space="0" w:color="auto"/>
        <w:left w:val="none" w:sz="0" w:space="0" w:color="auto"/>
        <w:bottom w:val="none" w:sz="0" w:space="0" w:color="auto"/>
        <w:right w:val="none" w:sz="0" w:space="0" w:color="auto"/>
      </w:divBdr>
    </w:div>
    <w:div w:id="867333948">
      <w:bodyDiv w:val="1"/>
      <w:marLeft w:val="0"/>
      <w:marRight w:val="0"/>
      <w:marTop w:val="0"/>
      <w:marBottom w:val="0"/>
      <w:divBdr>
        <w:top w:val="none" w:sz="0" w:space="0" w:color="auto"/>
        <w:left w:val="none" w:sz="0" w:space="0" w:color="auto"/>
        <w:bottom w:val="none" w:sz="0" w:space="0" w:color="auto"/>
        <w:right w:val="none" w:sz="0" w:space="0" w:color="auto"/>
      </w:divBdr>
    </w:div>
    <w:div w:id="881480062">
      <w:bodyDiv w:val="1"/>
      <w:marLeft w:val="0"/>
      <w:marRight w:val="0"/>
      <w:marTop w:val="0"/>
      <w:marBottom w:val="0"/>
      <w:divBdr>
        <w:top w:val="none" w:sz="0" w:space="0" w:color="auto"/>
        <w:left w:val="none" w:sz="0" w:space="0" w:color="auto"/>
        <w:bottom w:val="none" w:sz="0" w:space="0" w:color="auto"/>
        <w:right w:val="none" w:sz="0" w:space="0" w:color="auto"/>
      </w:divBdr>
    </w:div>
    <w:div w:id="966161941">
      <w:bodyDiv w:val="1"/>
      <w:marLeft w:val="0"/>
      <w:marRight w:val="0"/>
      <w:marTop w:val="0"/>
      <w:marBottom w:val="0"/>
      <w:divBdr>
        <w:top w:val="none" w:sz="0" w:space="0" w:color="auto"/>
        <w:left w:val="none" w:sz="0" w:space="0" w:color="auto"/>
        <w:bottom w:val="none" w:sz="0" w:space="0" w:color="auto"/>
        <w:right w:val="none" w:sz="0" w:space="0" w:color="auto"/>
      </w:divBdr>
      <w:divsChild>
        <w:div w:id="1365789866">
          <w:marLeft w:val="0"/>
          <w:marRight w:val="0"/>
          <w:marTop w:val="0"/>
          <w:marBottom w:val="0"/>
          <w:divBdr>
            <w:top w:val="none" w:sz="0" w:space="0" w:color="auto"/>
            <w:left w:val="none" w:sz="0" w:space="0" w:color="auto"/>
            <w:bottom w:val="none" w:sz="0" w:space="0" w:color="auto"/>
            <w:right w:val="none" w:sz="0" w:space="0" w:color="auto"/>
          </w:divBdr>
        </w:div>
      </w:divsChild>
    </w:div>
    <w:div w:id="1055741575">
      <w:bodyDiv w:val="1"/>
      <w:marLeft w:val="0"/>
      <w:marRight w:val="0"/>
      <w:marTop w:val="0"/>
      <w:marBottom w:val="0"/>
      <w:divBdr>
        <w:top w:val="none" w:sz="0" w:space="0" w:color="auto"/>
        <w:left w:val="none" w:sz="0" w:space="0" w:color="auto"/>
        <w:bottom w:val="none" w:sz="0" w:space="0" w:color="auto"/>
        <w:right w:val="none" w:sz="0" w:space="0" w:color="auto"/>
      </w:divBdr>
      <w:divsChild>
        <w:div w:id="833497182">
          <w:marLeft w:val="0"/>
          <w:marRight w:val="0"/>
          <w:marTop w:val="0"/>
          <w:marBottom w:val="0"/>
          <w:divBdr>
            <w:top w:val="none" w:sz="0" w:space="0" w:color="auto"/>
            <w:left w:val="none" w:sz="0" w:space="0" w:color="auto"/>
            <w:bottom w:val="none" w:sz="0" w:space="0" w:color="auto"/>
            <w:right w:val="none" w:sz="0" w:space="0" w:color="auto"/>
          </w:divBdr>
        </w:div>
      </w:divsChild>
    </w:div>
    <w:div w:id="1090005589">
      <w:bodyDiv w:val="1"/>
      <w:marLeft w:val="0"/>
      <w:marRight w:val="0"/>
      <w:marTop w:val="0"/>
      <w:marBottom w:val="0"/>
      <w:divBdr>
        <w:top w:val="none" w:sz="0" w:space="0" w:color="auto"/>
        <w:left w:val="none" w:sz="0" w:space="0" w:color="auto"/>
        <w:bottom w:val="none" w:sz="0" w:space="0" w:color="auto"/>
        <w:right w:val="none" w:sz="0" w:space="0" w:color="auto"/>
      </w:divBdr>
    </w:div>
    <w:div w:id="1129055694">
      <w:bodyDiv w:val="1"/>
      <w:marLeft w:val="0"/>
      <w:marRight w:val="0"/>
      <w:marTop w:val="0"/>
      <w:marBottom w:val="0"/>
      <w:divBdr>
        <w:top w:val="none" w:sz="0" w:space="0" w:color="auto"/>
        <w:left w:val="none" w:sz="0" w:space="0" w:color="auto"/>
        <w:bottom w:val="none" w:sz="0" w:space="0" w:color="auto"/>
        <w:right w:val="none" w:sz="0" w:space="0" w:color="auto"/>
      </w:divBdr>
    </w:div>
    <w:div w:id="1212111971">
      <w:bodyDiv w:val="1"/>
      <w:marLeft w:val="0"/>
      <w:marRight w:val="0"/>
      <w:marTop w:val="0"/>
      <w:marBottom w:val="0"/>
      <w:divBdr>
        <w:top w:val="none" w:sz="0" w:space="0" w:color="auto"/>
        <w:left w:val="none" w:sz="0" w:space="0" w:color="auto"/>
        <w:bottom w:val="none" w:sz="0" w:space="0" w:color="auto"/>
        <w:right w:val="none" w:sz="0" w:space="0" w:color="auto"/>
      </w:divBdr>
    </w:div>
    <w:div w:id="1310094486">
      <w:bodyDiv w:val="1"/>
      <w:marLeft w:val="0"/>
      <w:marRight w:val="0"/>
      <w:marTop w:val="0"/>
      <w:marBottom w:val="0"/>
      <w:divBdr>
        <w:top w:val="none" w:sz="0" w:space="0" w:color="auto"/>
        <w:left w:val="none" w:sz="0" w:space="0" w:color="auto"/>
        <w:bottom w:val="none" w:sz="0" w:space="0" w:color="auto"/>
        <w:right w:val="none" w:sz="0" w:space="0" w:color="auto"/>
      </w:divBdr>
      <w:divsChild>
        <w:div w:id="1961111266">
          <w:marLeft w:val="0"/>
          <w:marRight w:val="0"/>
          <w:marTop w:val="0"/>
          <w:marBottom w:val="0"/>
          <w:divBdr>
            <w:top w:val="none" w:sz="0" w:space="0" w:color="auto"/>
            <w:left w:val="none" w:sz="0" w:space="0" w:color="auto"/>
            <w:bottom w:val="none" w:sz="0" w:space="0" w:color="auto"/>
            <w:right w:val="none" w:sz="0" w:space="0" w:color="auto"/>
          </w:divBdr>
        </w:div>
        <w:div w:id="782303748">
          <w:marLeft w:val="0"/>
          <w:marRight w:val="0"/>
          <w:marTop w:val="0"/>
          <w:marBottom w:val="0"/>
          <w:divBdr>
            <w:top w:val="none" w:sz="0" w:space="0" w:color="auto"/>
            <w:left w:val="none" w:sz="0" w:space="0" w:color="auto"/>
            <w:bottom w:val="none" w:sz="0" w:space="0" w:color="auto"/>
            <w:right w:val="none" w:sz="0" w:space="0" w:color="auto"/>
          </w:divBdr>
        </w:div>
      </w:divsChild>
    </w:div>
    <w:div w:id="1330643049">
      <w:bodyDiv w:val="1"/>
      <w:marLeft w:val="0"/>
      <w:marRight w:val="0"/>
      <w:marTop w:val="0"/>
      <w:marBottom w:val="0"/>
      <w:divBdr>
        <w:top w:val="none" w:sz="0" w:space="0" w:color="auto"/>
        <w:left w:val="none" w:sz="0" w:space="0" w:color="auto"/>
        <w:bottom w:val="none" w:sz="0" w:space="0" w:color="auto"/>
        <w:right w:val="none" w:sz="0" w:space="0" w:color="auto"/>
      </w:divBdr>
    </w:div>
    <w:div w:id="1475489450">
      <w:bodyDiv w:val="1"/>
      <w:marLeft w:val="0"/>
      <w:marRight w:val="0"/>
      <w:marTop w:val="0"/>
      <w:marBottom w:val="0"/>
      <w:divBdr>
        <w:top w:val="none" w:sz="0" w:space="0" w:color="auto"/>
        <w:left w:val="none" w:sz="0" w:space="0" w:color="auto"/>
        <w:bottom w:val="none" w:sz="0" w:space="0" w:color="auto"/>
        <w:right w:val="none" w:sz="0" w:space="0" w:color="auto"/>
      </w:divBdr>
      <w:divsChild>
        <w:div w:id="618486252">
          <w:marLeft w:val="0"/>
          <w:marRight w:val="0"/>
          <w:marTop w:val="0"/>
          <w:marBottom w:val="0"/>
          <w:divBdr>
            <w:top w:val="none" w:sz="0" w:space="0" w:color="auto"/>
            <w:left w:val="none" w:sz="0" w:space="0" w:color="auto"/>
            <w:bottom w:val="none" w:sz="0" w:space="0" w:color="auto"/>
            <w:right w:val="none" w:sz="0" w:space="0" w:color="auto"/>
          </w:divBdr>
        </w:div>
      </w:divsChild>
    </w:div>
    <w:div w:id="1594169463">
      <w:bodyDiv w:val="1"/>
      <w:marLeft w:val="0"/>
      <w:marRight w:val="0"/>
      <w:marTop w:val="0"/>
      <w:marBottom w:val="0"/>
      <w:divBdr>
        <w:top w:val="none" w:sz="0" w:space="0" w:color="auto"/>
        <w:left w:val="none" w:sz="0" w:space="0" w:color="auto"/>
        <w:bottom w:val="none" w:sz="0" w:space="0" w:color="auto"/>
        <w:right w:val="none" w:sz="0" w:space="0" w:color="auto"/>
      </w:divBdr>
    </w:div>
    <w:div w:id="1634821584">
      <w:bodyDiv w:val="1"/>
      <w:marLeft w:val="0"/>
      <w:marRight w:val="0"/>
      <w:marTop w:val="0"/>
      <w:marBottom w:val="0"/>
      <w:divBdr>
        <w:top w:val="none" w:sz="0" w:space="0" w:color="auto"/>
        <w:left w:val="none" w:sz="0" w:space="0" w:color="auto"/>
        <w:bottom w:val="none" w:sz="0" w:space="0" w:color="auto"/>
        <w:right w:val="none" w:sz="0" w:space="0" w:color="auto"/>
      </w:divBdr>
    </w:div>
    <w:div w:id="1645431913">
      <w:bodyDiv w:val="1"/>
      <w:marLeft w:val="0"/>
      <w:marRight w:val="0"/>
      <w:marTop w:val="0"/>
      <w:marBottom w:val="0"/>
      <w:divBdr>
        <w:top w:val="none" w:sz="0" w:space="0" w:color="auto"/>
        <w:left w:val="none" w:sz="0" w:space="0" w:color="auto"/>
        <w:bottom w:val="none" w:sz="0" w:space="0" w:color="auto"/>
        <w:right w:val="none" w:sz="0" w:space="0" w:color="auto"/>
      </w:divBdr>
      <w:divsChild>
        <w:div w:id="930626840">
          <w:marLeft w:val="0"/>
          <w:marRight w:val="0"/>
          <w:marTop w:val="0"/>
          <w:marBottom w:val="0"/>
          <w:divBdr>
            <w:top w:val="none" w:sz="0" w:space="0" w:color="auto"/>
            <w:left w:val="none" w:sz="0" w:space="0" w:color="auto"/>
            <w:bottom w:val="none" w:sz="0" w:space="0" w:color="auto"/>
            <w:right w:val="none" w:sz="0" w:space="0" w:color="auto"/>
          </w:divBdr>
        </w:div>
      </w:divsChild>
    </w:div>
    <w:div w:id="1696423666">
      <w:bodyDiv w:val="1"/>
      <w:marLeft w:val="0"/>
      <w:marRight w:val="0"/>
      <w:marTop w:val="0"/>
      <w:marBottom w:val="0"/>
      <w:divBdr>
        <w:top w:val="none" w:sz="0" w:space="0" w:color="auto"/>
        <w:left w:val="none" w:sz="0" w:space="0" w:color="auto"/>
        <w:bottom w:val="none" w:sz="0" w:space="0" w:color="auto"/>
        <w:right w:val="none" w:sz="0" w:space="0" w:color="auto"/>
      </w:divBdr>
      <w:divsChild>
        <w:div w:id="183398667">
          <w:marLeft w:val="0"/>
          <w:marRight w:val="0"/>
          <w:marTop w:val="0"/>
          <w:marBottom w:val="0"/>
          <w:divBdr>
            <w:top w:val="none" w:sz="0" w:space="0" w:color="auto"/>
            <w:left w:val="none" w:sz="0" w:space="0" w:color="auto"/>
            <w:bottom w:val="none" w:sz="0" w:space="0" w:color="auto"/>
            <w:right w:val="none" w:sz="0" w:space="0" w:color="auto"/>
          </w:divBdr>
        </w:div>
      </w:divsChild>
    </w:div>
    <w:div w:id="1715420318">
      <w:bodyDiv w:val="1"/>
      <w:marLeft w:val="0"/>
      <w:marRight w:val="0"/>
      <w:marTop w:val="0"/>
      <w:marBottom w:val="0"/>
      <w:divBdr>
        <w:top w:val="none" w:sz="0" w:space="0" w:color="auto"/>
        <w:left w:val="none" w:sz="0" w:space="0" w:color="auto"/>
        <w:bottom w:val="none" w:sz="0" w:space="0" w:color="auto"/>
        <w:right w:val="none" w:sz="0" w:space="0" w:color="auto"/>
      </w:divBdr>
      <w:divsChild>
        <w:div w:id="1995405730">
          <w:marLeft w:val="0"/>
          <w:marRight w:val="0"/>
          <w:marTop w:val="0"/>
          <w:marBottom w:val="0"/>
          <w:divBdr>
            <w:top w:val="none" w:sz="0" w:space="0" w:color="auto"/>
            <w:left w:val="none" w:sz="0" w:space="0" w:color="auto"/>
            <w:bottom w:val="none" w:sz="0" w:space="0" w:color="auto"/>
            <w:right w:val="none" w:sz="0" w:space="0" w:color="auto"/>
          </w:divBdr>
        </w:div>
      </w:divsChild>
    </w:div>
    <w:div w:id="1852137510">
      <w:bodyDiv w:val="1"/>
      <w:marLeft w:val="0"/>
      <w:marRight w:val="0"/>
      <w:marTop w:val="0"/>
      <w:marBottom w:val="0"/>
      <w:divBdr>
        <w:top w:val="none" w:sz="0" w:space="0" w:color="auto"/>
        <w:left w:val="none" w:sz="0" w:space="0" w:color="auto"/>
        <w:bottom w:val="none" w:sz="0" w:space="0" w:color="auto"/>
        <w:right w:val="none" w:sz="0" w:space="0" w:color="auto"/>
      </w:divBdr>
    </w:div>
    <w:div w:id="1855460823">
      <w:bodyDiv w:val="1"/>
      <w:marLeft w:val="0"/>
      <w:marRight w:val="0"/>
      <w:marTop w:val="0"/>
      <w:marBottom w:val="0"/>
      <w:divBdr>
        <w:top w:val="none" w:sz="0" w:space="0" w:color="auto"/>
        <w:left w:val="none" w:sz="0" w:space="0" w:color="auto"/>
        <w:bottom w:val="none" w:sz="0" w:space="0" w:color="auto"/>
        <w:right w:val="none" w:sz="0" w:space="0" w:color="auto"/>
      </w:divBdr>
    </w:div>
    <w:div w:id="1862164846">
      <w:bodyDiv w:val="1"/>
      <w:marLeft w:val="0"/>
      <w:marRight w:val="0"/>
      <w:marTop w:val="0"/>
      <w:marBottom w:val="0"/>
      <w:divBdr>
        <w:top w:val="none" w:sz="0" w:space="0" w:color="auto"/>
        <w:left w:val="none" w:sz="0" w:space="0" w:color="auto"/>
        <w:bottom w:val="none" w:sz="0" w:space="0" w:color="auto"/>
        <w:right w:val="none" w:sz="0" w:space="0" w:color="auto"/>
      </w:divBdr>
    </w:div>
    <w:div w:id="1921787870">
      <w:bodyDiv w:val="1"/>
      <w:marLeft w:val="0"/>
      <w:marRight w:val="0"/>
      <w:marTop w:val="0"/>
      <w:marBottom w:val="0"/>
      <w:divBdr>
        <w:top w:val="none" w:sz="0" w:space="0" w:color="auto"/>
        <w:left w:val="none" w:sz="0" w:space="0" w:color="auto"/>
        <w:bottom w:val="none" w:sz="0" w:space="0" w:color="auto"/>
        <w:right w:val="none" w:sz="0" w:space="0" w:color="auto"/>
      </w:divBdr>
    </w:div>
    <w:div w:id="1924561736">
      <w:bodyDiv w:val="1"/>
      <w:marLeft w:val="0"/>
      <w:marRight w:val="0"/>
      <w:marTop w:val="0"/>
      <w:marBottom w:val="0"/>
      <w:divBdr>
        <w:top w:val="none" w:sz="0" w:space="0" w:color="auto"/>
        <w:left w:val="none" w:sz="0" w:space="0" w:color="auto"/>
        <w:bottom w:val="none" w:sz="0" w:space="0" w:color="auto"/>
        <w:right w:val="none" w:sz="0" w:space="0" w:color="auto"/>
      </w:divBdr>
      <w:divsChild>
        <w:div w:id="1229153834">
          <w:marLeft w:val="0"/>
          <w:marRight w:val="0"/>
          <w:marTop w:val="0"/>
          <w:marBottom w:val="0"/>
          <w:divBdr>
            <w:top w:val="none" w:sz="0" w:space="0" w:color="auto"/>
            <w:left w:val="none" w:sz="0" w:space="0" w:color="auto"/>
            <w:bottom w:val="none" w:sz="0" w:space="0" w:color="auto"/>
            <w:right w:val="none" w:sz="0" w:space="0" w:color="auto"/>
          </w:divBdr>
        </w:div>
      </w:divsChild>
    </w:div>
    <w:div w:id="2023697627">
      <w:bodyDiv w:val="1"/>
      <w:marLeft w:val="0"/>
      <w:marRight w:val="0"/>
      <w:marTop w:val="0"/>
      <w:marBottom w:val="0"/>
      <w:divBdr>
        <w:top w:val="none" w:sz="0" w:space="0" w:color="auto"/>
        <w:left w:val="none" w:sz="0" w:space="0" w:color="auto"/>
        <w:bottom w:val="none" w:sz="0" w:space="0" w:color="auto"/>
        <w:right w:val="none" w:sz="0" w:space="0" w:color="auto"/>
      </w:divBdr>
    </w:div>
    <w:div w:id="2102220396">
      <w:bodyDiv w:val="1"/>
      <w:marLeft w:val="0"/>
      <w:marRight w:val="0"/>
      <w:marTop w:val="0"/>
      <w:marBottom w:val="0"/>
      <w:divBdr>
        <w:top w:val="none" w:sz="0" w:space="0" w:color="auto"/>
        <w:left w:val="none" w:sz="0" w:space="0" w:color="auto"/>
        <w:bottom w:val="none" w:sz="0" w:space="0" w:color="auto"/>
        <w:right w:val="none" w:sz="0" w:space="0" w:color="auto"/>
      </w:divBdr>
    </w:div>
    <w:div w:id="2109232584">
      <w:bodyDiv w:val="1"/>
      <w:marLeft w:val="0"/>
      <w:marRight w:val="0"/>
      <w:marTop w:val="0"/>
      <w:marBottom w:val="0"/>
      <w:divBdr>
        <w:top w:val="none" w:sz="0" w:space="0" w:color="auto"/>
        <w:left w:val="none" w:sz="0" w:space="0" w:color="auto"/>
        <w:bottom w:val="none" w:sz="0" w:space="0" w:color="auto"/>
        <w:right w:val="none" w:sz="0" w:space="0" w:color="auto"/>
      </w:divBdr>
      <w:divsChild>
        <w:div w:id="77869052">
          <w:marLeft w:val="0"/>
          <w:marRight w:val="0"/>
          <w:marTop w:val="0"/>
          <w:marBottom w:val="0"/>
          <w:divBdr>
            <w:top w:val="none" w:sz="0" w:space="0" w:color="auto"/>
            <w:left w:val="none" w:sz="0" w:space="0" w:color="auto"/>
            <w:bottom w:val="none" w:sz="0" w:space="0" w:color="auto"/>
            <w:right w:val="none" w:sz="0" w:space="0" w:color="auto"/>
          </w:divBdr>
        </w:div>
      </w:divsChild>
    </w:div>
    <w:div w:id="2117747241">
      <w:bodyDiv w:val="1"/>
      <w:marLeft w:val="0"/>
      <w:marRight w:val="0"/>
      <w:marTop w:val="0"/>
      <w:marBottom w:val="0"/>
      <w:divBdr>
        <w:top w:val="none" w:sz="0" w:space="0" w:color="auto"/>
        <w:left w:val="none" w:sz="0" w:space="0" w:color="auto"/>
        <w:bottom w:val="none" w:sz="0" w:space="0" w:color="auto"/>
        <w:right w:val="none" w:sz="0" w:space="0" w:color="auto"/>
      </w:divBdr>
    </w:div>
    <w:div w:id="2141066880">
      <w:bodyDiv w:val="1"/>
      <w:marLeft w:val="0"/>
      <w:marRight w:val="0"/>
      <w:marTop w:val="0"/>
      <w:marBottom w:val="0"/>
      <w:divBdr>
        <w:top w:val="none" w:sz="0" w:space="0" w:color="auto"/>
        <w:left w:val="none" w:sz="0" w:space="0" w:color="auto"/>
        <w:bottom w:val="none" w:sz="0" w:space="0" w:color="auto"/>
        <w:right w:val="none" w:sz="0" w:space="0" w:color="auto"/>
      </w:divBdr>
      <w:divsChild>
        <w:div w:id="1292903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x.doi.org/10.1007/978-3-7091-1268-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944/ap.4.2.478"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17/S10928529140005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dx.doi.org/10.1016/j.ijlp.2009.06.001" TargetMode="Externa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hdl.handle.net/10401/2837" TargetMode="External"/></Relationship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APA">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2F490-82DE-497F-B199-7FF4EE27D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31</Pages>
  <Words>12967</Words>
  <Characters>71321</Characters>
  <Application>Microsoft Office Word</Application>
  <DocSecurity>0</DocSecurity>
  <Lines>594</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Provencio</dc:creator>
  <cp:keywords/>
  <dc:description/>
  <cp:lastModifiedBy>Marta Provencio</cp:lastModifiedBy>
  <cp:revision>10</cp:revision>
  <dcterms:created xsi:type="dcterms:W3CDTF">2020-03-26T21:25:00Z</dcterms:created>
  <dcterms:modified xsi:type="dcterms:W3CDTF">2020-03-27T13:49:00Z</dcterms:modified>
</cp:coreProperties>
</file>