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DCF" w:rsidRDefault="00883C70">
      <w:hyperlink r:id="rId4" w:history="1">
        <w:r>
          <w:rPr>
            <w:rStyle w:val="Hipervnculo"/>
          </w:rPr>
          <w:t>https://polipapers.upv.es/index.php/WPOM/issue/view/940</w:t>
        </w:r>
      </w:hyperlink>
      <w:bookmarkStart w:id="0" w:name="_GoBack"/>
      <w:bookmarkEnd w:id="0"/>
    </w:p>
    <w:sectPr w:rsidR="00D06D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C70"/>
    <w:rsid w:val="00883C70"/>
    <w:rsid w:val="00D0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6BE6A-9402-4ECF-BEF6-E3F3BABE1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883C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lipapers.upv.es/index.php/WPOM/issue/view/94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</cp:revision>
  <dcterms:created xsi:type="dcterms:W3CDTF">2019-12-24T12:49:00Z</dcterms:created>
  <dcterms:modified xsi:type="dcterms:W3CDTF">2019-12-24T12:50:00Z</dcterms:modified>
</cp:coreProperties>
</file>