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
        </w:rPr>
        <w:id w:val="624204892"/>
        <w:docPartObj>
          <w:docPartGallery w:val="Cover Pages"/>
          <w:docPartUnique/>
        </w:docPartObj>
      </w:sdtPr>
      <w:sdtEndPr>
        <w:rPr>
          <w:sz w:val="28"/>
        </w:rPr>
      </w:sdtEndPr>
      <w:sdtContent>
        <w:p w14:paraId="5C06FC29" w14:textId="4A7B7C7A" w:rsidR="000B3A4E" w:rsidRDefault="000B3A4E" w:rsidP="000B3A4E">
          <w:pPr>
            <w:spacing w:line="360" w:lineRule="auto"/>
            <w:jc w:val="center"/>
          </w:pPr>
          <w:r>
            <w:rPr>
              <w:noProof/>
            </w:rPr>
            <w:drawing>
              <wp:inline distT="0" distB="0" distL="0" distR="0" wp14:anchorId="6D9596B9" wp14:editId="1EC431F1">
                <wp:extent cx="2280285" cy="1645920"/>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0285" cy="1645920"/>
                        </a:xfrm>
                        <a:prstGeom prst="rect">
                          <a:avLst/>
                        </a:prstGeom>
                        <a:noFill/>
                      </pic:spPr>
                    </pic:pic>
                  </a:graphicData>
                </a:graphic>
              </wp:inline>
            </w:drawing>
          </w:r>
        </w:p>
        <w:p w14:paraId="130485F1" w14:textId="77777777" w:rsidR="000B3A4E" w:rsidRPr="000B3A4E" w:rsidRDefault="000B3A4E" w:rsidP="000B3A4E">
          <w:pPr>
            <w:spacing w:line="360" w:lineRule="auto"/>
            <w:rPr>
              <w:sz w:val="36"/>
              <w:szCs w:val="36"/>
            </w:rPr>
          </w:pPr>
        </w:p>
        <w:p w14:paraId="2F93283F" w14:textId="77777777" w:rsidR="000B3A4E" w:rsidRPr="000B3A4E" w:rsidRDefault="000B3A4E" w:rsidP="000B3A4E">
          <w:pPr>
            <w:spacing w:line="360" w:lineRule="auto"/>
            <w:jc w:val="center"/>
            <w:rPr>
              <w:sz w:val="36"/>
              <w:szCs w:val="36"/>
            </w:rPr>
          </w:pPr>
          <w:r w:rsidRPr="000B3A4E">
            <w:rPr>
              <w:sz w:val="36"/>
              <w:szCs w:val="36"/>
            </w:rPr>
            <w:t>Facultad de Ciencias Humanas y Sociales</w:t>
          </w:r>
        </w:p>
        <w:p w14:paraId="1786C44C" w14:textId="2EB0BE0B" w:rsidR="000B3A4E" w:rsidRPr="000B3A4E" w:rsidRDefault="000B3A4E" w:rsidP="000B3A4E">
          <w:pPr>
            <w:spacing w:line="360" w:lineRule="auto"/>
            <w:jc w:val="center"/>
            <w:rPr>
              <w:sz w:val="36"/>
              <w:szCs w:val="36"/>
            </w:rPr>
          </w:pPr>
          <w:r w:rsidRPr="000B3A4E">
            <w:rPr>
              <w:sz w:val="36"/>
              <w:szCs w:val="36"/>
            </w:rPr>
            <w:t>Grado en Relaciones Internacionales</w:t>
          </w:r>
        </w:p>
        <w:p w14:paraId="28255E91" w14:textId="77777777" w:rsidR="000B3A4E" w:rsidRDefault="000B3A4E" w:rsidP="000B3A4E">
          <w:pPr>
            <w:spacing w:line="360" w:lineRule="auto"/>
            <w:jc w:val="center"/>
          </w:pPr>
        </w:p>
        <w:p w14:paraId="4D2C00E4" w14:textId="7E633892" w:rsidR="000B3A4E" w:rsidRPr="000B3A4E" w:rsidRDefault="000B3A4E" w:rsidP="000B3A4E">
          <w:pPr>
            <w:spacing w:line="360" w:lineRule="auto"/>
            <w:jc w:val="center"/>
            <w:rPr>
              <w:b/>
              <w:bCs/>
              <w:sz w:val="48"/>
              <w:szCs w:val="32"/>
            </w:rPr>
          </w:pPr>
          <w:r w:rsidRPr="000B3A4E">
            <w:rPr>
              <w:b/>
              <w:bCs/>
              <w:sz w:val="48"/>
              <w:szCs w:val="32"/>
            </w:rPr>
            <w:t>Inviolabilidad de la Misión Diplomática y de la Oficina Consular: Análisis sobre el cumplimiento por parte del Estado receptor de la inviolabilidad de las sedes diplomáticas y consulares</w:t>
          </w:r>
        </w:p>
        <w:p w14:paraId="56794AB8" w14:textId="77777777" w:rsidR="000B3A4E" w:rsidRDefault="000B3A4E" w:rsidP="000B3A4E">
          <w:pPr>
            <w:spacing w:line="360" w:lineRule="auto"/>
          </w:pPr>
        </w:p>
        <w:p w14:paraId="063457C1" w14:textId="77777777" w:rsidR="000B3A4E" w:rsidRPr="002F5EF8" w:rsidRDefault="000B3A4E" w:rsidP="000B3A4E">
          <w:pPr>
            <w:spacing w:line="360" w:lineRule="auto"/>
            <w:jc w:val="center"/>
            <w:rPr>
              <w:sz w:val="32"/>
              <w:szCs w:val="32"/>
            </w:rPr>
          </w:pPr>
          <w:r w:rsidRPr="002F5EF8">
            <w:rPr>
              <w:sz w:val="32"/>
              <w:szCs w:val="32"/>
            </w:rPr>
            <w:t>Autor: Álvaro González-Casanova González</w:t>
          </w:r>
        </w:p>
        <w:p w14:paraId="2117319A" w14:textId="77777777" w:rsidR="000B3A4E" w:rsidRPr="002F5EF8" w:rsidRDefault="000B3A4E" w:rsidP="000B3A4E">
          <w:pPr>
            <w:spacing w:line="360" w:lineRule="auto"/>
            <w:jc w:val="center"/>
            <w:rPr>
              <w:sz w:val="32"/>
              <w:szCs w:val="32"/>
            </w:rPr>
          </w:pPr>
          <w:r w:rsidRPr="002F5EF8">
            <w:rPr>
              <w:sz w:val="32"/>
              <w:szCs w:val="32"/>
            </w:rPr>
            <w:t xml:space="preserve">5º E5 – Derecho y Relaciones Internacionales </w:t>
          </w:r>
        </w:p>
        <w:p w14:paraId="6FFA658D" w14:textId="10E7DDE8" w:rsidR="000B3A4E" w:rsidRDefault="000B3A4E" w:rsidP="000B3A4E">
          <w:pPr>
            <w:spacing w:line="360" w:lineRule="auto"/>
            <w:jc w:val="center"/>
            <w:rPr>
              <w:sz w:val="32"/>
              <w:szCs w:val="32"/>
            </w:rPr>
          </w:pPr>
          <w:r w:rsidRPr="002F5EF8">
            <w:rPr>
              <w:sz w:val="32"/>
              <w:szCs w:val="32"/>
            </w:rPr>
            <w:t xml:space="preserve">Derecho </w:t>
          </w:r>
          <w:r>
            <w:rPr>
              <w:sz w:val="32"/>
              <w:szCs w:val="32"/>
            </w:rPr>
            <w:t>Diplomático y Consular</w:t>
          </w:r>
        </w:p>
        <w:p w14:paraId="2A38DA29" w14:textId="77777777" w:rsidR="000B3A4E" w:rsidRPr="002F5EF8" w:rsidRDefault="000B3A4E" w:rsidP="000B3A4E">
          <w:pPr>
            <w:spacing w:line="360" w:lineRule="auto"/>
            <w:jc w:val="center"/>
            <w:rPr>
              <w:sz w:val="32"/>
              <w:szCs w:val="32"/>
            </w:rPr>
          </w:pPr>
        </w:p>
        <w:p w14:paraId="1045734B" w14:textId="53CE7754" w:rsidR="000B3A4E" w:rsidRPr="000B3A4E" w:rsidRDefault="000B3A4E" w:rsidP="000B3A4E">
          <w:pPr>
            <w:spacing w:line="360" w:lineRule="auto"/>
            <w:jc w:val="center"/>
            <w:rPr>
              <w:sz w:val="32"/>
              <w:szCs w:val="32"/>
            </w:rPr>
          </w:pPr>
          <w:r>
            <w:rPr>
              <w:sz w:val="32"/>
              <w:szCs w:val="32"/>
            </w:rPr>
            <w:t>Director</w:t>
          </w:r>
          <w:r w:rsidRPr="002F5EF8">
            <w:rPr>
              <w:sz w:val="32"/>
              <w:szCs w:val="32"/>
            </w:rPr>
            <w:t xml:space="preserve">: Dr. </w:t>
          </w:r>
          <w:r>
            <w:rPr>
              <w:sz w:val="32"/>
              <w:szCs w:val="32"/>
            </w:rPr>
            <w:t>José Ángel López Jiménez</w:t>
          </w:r>
        </w:p>
        <w:p w14:paraId="596E3E54" w14:textId="77777777" w:rsidR="000B3A4E" w:rsidRDefault="000B3A4E" w:rsidP="000B3A4E">
          <w:pPr>
            <w:spacing w:line="360" w:lineRule="auto"/>
          </w:pPr>
        </w:p>
        <w:p w14:paraId="1EDF4408" w14:textId="55FA98C7" w:rsidR="008E49D0" w:rsidRPr="000B3A4E" w:rsidRDefault="000B3A4E" w:rsidP="000B3A4E">
          <w:pPr>
            <w:spacing w:line="360" w:lineRule="auto"/>
            <w:jc w:val="center"/>
            <w:rPr>
              <w:sz w:val="32"/>
              <w:szCs w:val="32"/>
            </w:rPr>
          </w:pPr>
          <w:r w:rsidRPr="000B3A4E">
            <w:rPr>
              <w:sz w:val="32"/>
              <w:szCs w:val="32"/>
            </w:rPr>
            <w:t xml:space="preserve">Madrid, </w:t>
          </w:r>
          <w:r w:rsidR="00575E7C">
            <w:rPr>
              <w:sz w:val="32"/>
              <w:szCs w:val="32"/>
            </w:rPr>
            <w:t>abril</w:t>
          </w:r>
          <w:r w:rsidRPr="000B3A4E">
            <w:rPr>
              <w:sz w:val="32"/>
              <w:szCs w:val="32"/>
            </w:rPr>
            <w:t xml:space="preserve"> 2021</w:t>
          </w:r>
        </w:p>
        <w:p w14:paraId="2E1D4AC5" w14:textId="34CA35DE" w:rsidR="00D07F7C" w:rsidRDefault="00D07F7C" w:rsidP="00085C65">
          <w:pPr>
            <w:ind w:left="1370" w:right="1286"/>
            <w:jc w:val="center"/>
            <w:rPr>
              <w:sz w:val="28"/>
              <w:szCs w:val="28"/>
            </w:rPr>
          </w:pPr>
        </w:p>
        <w:p w14:paraId="4C81585E" w14:textId="1927FC5F" w:rsidR="00D07F7C" w:rsidRDefault="00D07F7C" w:rsidP="00085C65">
          <w:pPr>
            <w:ind w:left="1370" w:right="1286"/>
            <w:jc w:val="center"/>
            <w:rPr>
              <w:sz w:val="28"/>
              <w:szCs w:val="28"/>
            </w:rPr>
          </w:pPr>
        </w:p>
        <w:p w14:paraId="2E098368" w14:textId="3E02FDC7" w:rsidR="00D07F7C" w:rsidRDefault="00D07F7C" w:rsidP="00085C65">
          <w:pPr>
            <w:ind w:left="1370" w:right="1286"/>
            <w:jc w:val="center"/>
            <w:rPr>
              <w:sz w:val="28"/>
              <w:szCs w:val="28"/>
            </w:rPr>
          </w:pPr>
        </w:p>
        <w:p w14:paraId="13CEA2B2" w14:textId="7944539D" w:rsidR="00D07F7C" w:rsidRDefault="00D07F7C" w:rsidP="00085C65">
          <w:pPr>
            <w:ind w:left="1370" w:right="1286"/>
            <w:jc w:val="center"/>
            <w:rPr>
              <w:sz w:val="28"/>
              <w:szCs w:val="28"/>
            </w:rPr>
          </w:pPr>
        </w:p>
        <w:p w14:paraId="4D489CC7" w14:textId="75B36A1D" w:rsidR="00D07F7C" w:rsidRDefault="00D07F7C" w:rsidP="00085C65">
          <w:pPr>
            <w:ind w:left="1370" w:right="1286"/>
            <w:jc w:val="center"/>
            <w:rPr>
              <w:sz w:val="28"/>
              <w:szCs w:val="28"/>
            </w:rPr>
          </w:pPr>
        </w:p>
        <w:p w14:paraId="7EFAC2FB" w14:textId="75171F7A" w:rsidR="00D07F7C" w:rsidRDefault="00D07F7C" w:rsidP="00085C65">
          <w:pPr>
            <w:ind w:left="1370" w:right="1286"/>
            <w:jc w:val="center"/>
            <w:rPr>
              <w:sz w:val="28"/>
              <w:szCs w:val="28"/>
            </w:rPr>
          </w:pPr>
        </w:p>
        <w:p w14:paraId="131F74BF" w14:textId="77777777" w:rsidR="00D07F7C" w:rsidRPr="005351EF" w:rsidRDefault="00D07F7C" w:rsidP="00085C65">
          <w:pPr>
            <w:ind w:left="1370" w:right="1286"/>
            <w:jc w:val="center"/>
            <w:rPr>
              <w:sz w:val="28"/>
              <w:szCs w:val="28"/>
            </w:rPr>
          </w:pPr>
        </w:p>
        <w:p w14:paraId="770BDA99" w14:textId="44AFFED2" w:rsidR="005351EF" w:rsidRPr="005351EF" w:rsidRDefault="008E49D0" w:rsidP="008E49D0">
          <w:pPr>
            <w:jc w:val="right"/>
            <w:rPr>
              <w:rFonts w:ascii="Times New Roman" w:hAnsi="Times New Roman" w:cs="Times New Roman"/>
              <w:i/>
              <w:iCs/>
              <w:sz w:val="28"/>
              <w:szCs w:val="28"/>
            </w:rPr>
          </w:pPr>
          <w:r w:rsidRPr="005351EF">
            <w:rPr>
              <w:i/>
              <w:iCs/>
              <w:sz w:val="28"/>
              <w:szCs w:val="28"/>
            </w:rPr>
            <w:t>“</w:t>
          </w:r>
          <w:r w:rsidRPr="005351EF">
            <w:rPr>
              <w:rFonts w:ascii="Times New Roman" w:hAnsi="Times New Roman" w:cs="Times New Roman"/>
              <w:i/>
              <w:iCs/>
              <w:sz w:val="28"/>
              <w:szCs w:val="28"/>
            </w:rPr>
            <w:t>La tensión crecía en el interior de aquella habitación en la que nos hallábamos, acorralados, treinta y nueve personas, sin otra salida al exterior que un venta</w:t>
          </w:r>
          <w:r w:rsidR="005351EF" w:rsidRPr="005351EF">
            <w:rPr>
              <w:rFonts w:ascii="Times New Roman" w:hAnsi="Times New Roman" w:cs="Times New Roman"/>
              <w:i/>
              <w:iCs/>
              <w:sz w:val="28"/>
              <w:szCs w:val="28"/>
            </w:rPr>
            <w:t>nal</w:t>
          </w:r>
          <w:r w:rsidRPr="005351EF">
            <w:rPr>
              <w:rFonts w:ascii="Times New Roman" w:hAnsi="Times New Roman" w:cs="Times New Roman"/>
              <w:i/>
              <w:iCs/>
              <w:sz w:val="28"/>
              <w:szCs w:val="28"/>
            </w:rPr>
            <w:t xml:space="preserve"> cerrado por una verja cuya llave, según parece,</w:t>
          </w:r>
          <w:r w:rsidR="005351EF" w:rsidRPr="005351EF">
            <w:rPr>
              <w:rFonts w:ascii="Times New Roman" w:hAnsi="Times New Roman" w:cs="Times New Roman"/>
              <w:i/>
              <w:iCs/>
              <w:sz w:val="28"/>
              <w:szCs w:val="28"/>
            </w:rPr>
            <w:t xml:space="preserve"> </w:t>
          </w:r>
          <w:r w:rsidRPr="005351EF">
            <w:rPr>
              <w:rFonts w:ascii="Times New Roman" w:hAnsi="Times New Roman" w:cs="Times New Roman"/>
              <w:i/>
              <w:iCs/>
              <w:sz w:val="28"/>
              <w:szCs w:val="28"/>
            </w:rPr>
            <w:t xml:space="preserve">guardó consigo uno de los campesinos. </w:t>
          </w:r>
        </w:p>
        <w:p w14:paraId="27C934AC" w14:textId="77777777" w:rsidR="005351EF" w:rsidRPr="005351EF" w:rsidRDefault="008E49D0" w:rsidP="008E49D0">
          <w:pPr>
            <w:jc w:val="right"/>
            <w:rPr>
              <w:rFonts w:ascii="Times New Roman" w:hAnsi="Times New Roman" w:cs="Times New Roman"/>
              <w:i/>
              <w:iCs/>
              <w:sz w:val="28"/>
              <w:szCs w:val="28"/>
            </w:rPr>
          </w:pPr>
          <w:r w:rsidRPr="005351EF">
            <w:rPr>
              <w:rFonts w:ascii="Times New Roman" w:hAnsi="Times New Roman" w:cs="Times New Roman"/>
              <w:i/>
              <w:iCs/>
              <w:sz w:val="28"/>
              <w:szCs w:val="28"/>
            </w:rPr>
            <w:t xml:space="preserve">Mis ya desesperados llamamientos eran correspondidos, a un metro escaso, por insultos y acusaciones de complicidad del embajador con los subversivos. </w:t>
          </w:r>
        </w:p>
        <w:p w14:paraId="6D4B38D0" w14:textId="77777777" w:rsidR="005351EF" w:rsidRDefault="008E49D0" w:rsidP="008E49D0">
          <w:pPr>
            <w:jc w:val="right"/>
            <w:rPr>
              <w:rFonts w:ascii="Times New Roman" w:hAnsi="Times New Roman" w:cs="Times New Roman"/>
              <w:i/>
              <w:iCs/>
              <w:sz w:val="28"/>
              <w:szCs w:val="28"/>
            </w:rPr>
          </w:pPr>
          <w:r w:rsidRPr="005351EF">
            <w:rPr>
              <w:rFonts w:ascii="Times New Roman" w:hAnsi="Times New Roman" w:cs="Times New Roman"/>
              <w:i/>
              <w:iCs/>
              <w:sz w:val="28"/>
              <w:szCs w:val="28"/>
            </w:rPr>
            <w:t>A hachazos, los policías abrieron unas grietas en la puerta, que como en ciertas películas, se agrandaban paulatinamente y por las cuales introducían los cañones de sus armas de fuego.</w:t>
          </w:r>
          <w:r w:rsidR="005351EF" w:rsidRPr="005351EF">
            <w:rPr>
              <w:rFonts w:ascii="Times New Roman" w:hAnsi="Times New Roman" w:cs="Times New Roman"/>
              <w:i/>
              <w:iCs/>
              <w:sz w:val="28"/>
              <w:szCs w:val="28"/>
            </w:rPr>
            <w:t>”</w:t>
          </w:r>
        </w:p>
        <w:p w14:paraId="26D6E0C8" w14:textId="77777777" w:rsidR="005351EF" w:rsidRDefault="005351EF" w:rsidP="008E49D0">
          <w:pPr>
            <w:jc w:val="right"/>
            <w:rPr>
              <w:rFonts w:ascii="Times New Roman" w:hAnsi="Times New Roman" w:cs="Times New Roman"/>
              <w:i/>
              <w:iCs/>
              <w:sz w:val="28"/>
              <w:szCs w:val="28"/>
            </w:rPr>
          </w:pPr>
        </w:p>
        <w:p w14:paraId="2CAC731B" w14:textId="77777777" w:rsidR="00AA2985" w:rsidRDefault="005351EF" w:rsidP="005351EF">
          <w:pPr>
            <w:jc w:val="right"/>
            <w:rPr>
              <w:rFonts w:ascii="Times New Roman" w:hAnsi="Times New Roman" w:cs="Times New Roman"/>
              <w:i/>
              <w:iCs/>
              <w:sz w:val="28"/>
              <w:szCs w:val="28"/>
            </w:rPr>
          </w:pPr>
          <w:r>
            <w:rPr>
              <w:rFonts w:ascii="Times New Roman" w:hAnsi="Times New Roman" w:cs="Times New Roman"/>
              <w:i/>
              <w:iCs/>
              <w:sz w:val="28"/>
              <w:szCs w:val="28"/>
            </w:rPr>
            <w:t>Máximo Cajal, “Sueños y pesadillas: memorias de un diplomático”</w:t>
          </w:r>
        </w:p>
        <w:p w14:paraId="1EEB43A6" w14:textId="77777777" w:rsidR="00AA2985" w:rsidRDefault="00AA2985" w:rsidP="005351EF">
          <w:pPr>
            <w:jc w:val="right"/>
            <w:rPr>
              <w:rFonts w:ascii="Times New Roman" w:hAnsi="Times New Roman" w:cs="Times New Roman"/>
              <w:i/>
              <w:iCs/>
              <w:sz w:val="28"/>
              <w:szCs w:val="28"/>
            </w:rPr>
          </w:pPr>
        </w:p>
        <w:p w14:paraId="03192692" w14:textId="77777777" w:rsidR="00AA2985" w:rsidRDefault="00AA2985" w:rsidP="005351EF">
          <w:pPr>
            <w:jc w:val="right"/>
            <w:rPr>
              <w:rFonts w:ascii="Times New Roman" w:hAnsi="Times New Roman" w:cs="Times New Roman"/>
              <w:i/>
              <w:iCs/>
              <w:sz w:val="28"/>
              <w:szCs w:val="28"/>
            </w:rPr>
          </w:pPr>
        </w:p>
        <w:p w14:paraId="70478CB7" w14:textId="77777777" w:rsidR="00AA2985" w:rsidRDefault="00AA2985" w:rsidP="005351EF">
          <w:pPr>
            <w:jc w:val="right"/>
            <w:rPr>
              <w:rFonts w:ascii="Times New Roman" w:hAnsi="Times New Roman" w:cs="Times New Roman"/>
              <w:i/>
              <w:iCs/>
              <w:sz w:val="28"/>
              <w:szCs w:val="28"/>
            </w:rPr>
          </w:pPr>
        </w:p>
        <w:p w14:paraId="641FD915" w14:textId="77777777" w:rsidR="00AA2985" w:rsidRDefault="00AA2985" w:rsidP="005351EF">
          <w:pPr>
            <w:jc w:val="right"/>
            <w:rPr>
              <w:rFonts w:ascii="Times New Roman" w:hAnsi="Times New Roman" w:cs="Times New Roman"/>
              <w:i/>
              <w:iCs/>
              <w:sz w:val="28"/>
              <w:szCs w:val="28"/>
            </w:rPr>
          </w:pPr>
        </w:p>
        <w:p w14:paraId="5A154DB3" w14:textId="77777777" w:rsidR="00AA2985" w:rsidRDefault="00AA2985" w:rsidP="005351EF">
          <w:pPr>
            <w:jc w:val="right"/>
            <w:rPr>
              <w:rFonts w:ascii="Times New Roman" w:hAnsi="Times New Roman" w:cs="Times New Roman"/>
              <w:i/>
              <w:iCs/>
              <w:sz w:val="28"/>
              <w:szCs w:val="28"/>
            </w:rPr>
          </w:pPr>
        </w:p>
        <w:p w14:paraId="464449B4" w14:textId="77777777" w:rsidR="00AA2985" w:rsidRDefault="00AA2985" w:rsidP="005351EF">
          <w:pPr>
            <w:jc w:val="right"/>
            <w:rPr>
              <w:rFonts w:ascii="Times New Roman" w:hAnsi="Times New Roman" w:cs="Times New Roman"/>
              <w:i/>
              <w:iCs/>
              <w:sz w:val="28"/>
              <w:szCs w:val="28"/>
            </w:rPr>
          </w:pPr>
        </w:p>
        <w:p w14:paraId="70A0873D" w14:textId="77777777" w:rsidR="00AA2985" w:rsidRDefault="00AA2985" w:rsidP="005351EF">
          <w:pPr>
            <w:jc w:val="right"/>
            <w:rPr>
              <w:rFonts w:ascii="Times New Roman" w:hAnsi="Times New Roman" w:cs="Times New Roman"/>
              <w:i/>
              <w:iCs/>
              <w:sz w:val="28"/>
              <w:szCs w:val="28"/>
            </w:rPr>
          </w:pPr>
        </w:p>
        <w:p w14:paraId="6358B561" w14:textId="77777777" w:rsidR="00AA2985" w:rsidRDefault="00AA2985" w:rsidP="005351EF">
          <w:pPr>
            <w:jc w:val="right"/>
            <w:rPr>
              <w:rFonts w:ascii="Times New Roman" w:hAnsi="Times New Roman" w:cs="Times New Roman"/>
              <w:i/>
              <w:iCs/>
              <w:sz w:val="28"/>
              <w:szCs w:val="28"/>
            </w:rPr>
          </w:pPr>
        </w:p>
        <w:p w14:paraId="1099A6CF" w14:textId="77777777" w:rsidR="00AA2985" w:rsidRDefault="00AA2985" w:rsidP="005351EF">
          <w:pPr>
            <w:jc w:val="right"/>
            <w:rPr>
              <w:rFonts w:ascii="Times New Roman" w:hAnsi="Times New Roman" w:cs="Times New Roman"/>
              <w:i/>
              <w:iCs/>
              <w:sz w:val="28"/>
              <w:szCs w:val="28"/>
            </w:rPr>
          </w:pPr>
        </w:p>
        <w:p w14:paraId="494D8F3C" w14:textId="77777777" w:rsidR="00AA2985" w:rsidRDefault="00AA2985" w:rsidP="005351EF">
          <w:pPr>
            <w:jc w:val="right"/>
            <w:rPr>
              <w:rFonts w:ascii="Times New Roman" w:hAnsi="Times New Roman" w:cs="Times New Roman"/>
              <w:i/>
              <w:iCs/>
              <w:sz w:val="28"/>
              <w:szCs w:val="28"/>
            </w:rPr>
          </w:pPr>
        </w:p>
        <w:p w14:paraId="32E0D098" w14:textId="77777777" w:rsidR="00AA2985" w:rsidRDefault="00AA2985" w:rsidP="005351EF">
          <w:pPr>
            <w:jc w:val="right"/>
            <w:rPr>
              <w:rFonts w:ascii="Times New Roman" w:hAnsi="Times New Roman" w:cs="Times New Roman"/>
              <w:i/>
              <w:iCs/>
              <w:sz w:val="28"/>
              <w:szCs w:val="28"/>
            </w:rPr>
          </w:pPr>
        </w:p>
        <w:p w14:paraId="59D50255" w14:textId="77777777" w:rsidR="00AA2985" w:rsidRDefault="00AA2985" w:rsidP="005351EF">
          <w:pPr>
            <w:jc w:val="right"/>
            <w:rPr>
              <w:rFonts w:ascii="Times New Roman" w:hAnsi="Times New Roman" w:cs="Times New Roman"/>
              <w:i/>
              <w:iCs/>
              <w:sz w:val="28"/>
              <w:szCs w:val="28"/>
            </w:rPr>
          </w:pPr>
        </w:p>
        <w:p w14:paraId="08D7EFDD" w14:textId="77777777" w:rsidR="00AA2985" w:rsidRDefault="00AA2985" w:rsidP="005351EF">
          <w:pPr>
            <w:jc w:val="right"/>
            <w:rPr>
              <w:rFonts w:ascii="Times New Roman" w:hAnsi="Times New Roman" w:cs="Times New Roman"/>
              <w:i/>
              <w:iCs/>
              <w:sz w:val="28"/>
              <w:szCs w:val="28"/>
            </w:rPr>
          </w:pPr>
        </w:p>
        <w:p w14:paraId="7684D67E" w14:textId="77777777" w:rsidR="00AA2985" w:rsidRDefault="00AA2985" w:rsidP="005351EF">
          <w:pPr>
            <w:jc w:val="right"/>
            <w:rPr>
              <w:rFonts w:ascii="Times New Roman" w:hAnsi="Times New Roman" w:cs="Times New Roman"/>
              <w:i/>
              <w:iCs/>
              <w:sz w:val="28"/>
              <w:szCs w:val="28"/>
            </w:rPr>
          </w:pPr>
        </w:p>
        <w:p w14:paraId="779A380D" w14:textId="77777777" w:rsidR="00AA2985" w:rsidRDefault="00AA2985" w:rsidP="005351EF">
          <w:pPr>
            <w:jc w:val="right"/>
            <w:rPr>
              <w:rFonts w:ascii="Times New Roman" w:hAnsi="Times New Roman" w:cs="Times New Roman"/>
              <w:i/>
              <w:iCs/>
              <w:sz w:val="28"/>
              <w:szCs w:val="28"/>
            </w:rPr>
          </w:pPr>
        </w:p>
        <w:p w14:paraId="33AD4FC6" w14:textId="77777777" w:rsidR="00AA2985" w:rsidRDefault="00AA2985" w:rsidP="005351EF">
          <w:pPr>
            <w:jc w:val="right"/>
            <w:rPr>
              <w:rFonts w:ascii="Times New Roman" w:hAnsi="Times New Roman" w:cs="Times New Roman"/>
              <w:i/>
              <w:iCs/>
              <w:sz w:val="28"/>
              <w:szCs w:val="28"/>
            </w:rPr>
          </w:pPr>
        </w:p>
        <w:p w14:paraId="3E5F4AA8" w14:textId="77777777" w:rsidR="00AA2985" w:rsidRDefault="00AA2985" w:rsidP="005351EF">
          <w:pPr>
            <w:jc w:val="right"/>
            <w:rPr>
              <w:rFonts w:ascii="Times New Roman" w:hAnsi="Times New Roman" w:cs="Times New Roman"/>
              <w:i/>
              <w:iCs/>
              <w:sz w:val="28"/>
              <w:szCs w:val="28"/>
            </w:rPr>
          </w:pPr>
        </w:p>
        <w:p w14:paraId="23F6D477" w14:textId="77777777" w:rsidR="00AA2985" w:rsidRDefault="00AA2985" w:rsidP="005351EF">
          <w:pPr>
            <w:jc w:val="right"/>
            <w:rPr>
              <w:rFonts w:ascii="Times New Roman" w:hAnsi="Times New Roman" w:cs="Times New Roman"/>
              <w:i/>
              <w:iCs/>
              <w:sz w:val="28"/>
              <w:szCs w:val="28"/>
            </w:rPr>
          </w:pPr>
        </w:p>
        <w:p w14:paraId="2149C738" w14:textId="77777777" w:rsidR="00AA2985" w:rsidRDefault="00AA2985" w:rsidP="005351EF">
          <w:pPr>
            <w:jc w:val="right"/>
            <w:rPr>
              <w:rFonts w:ascii="Times New Roman" w:hAnsi="Times New Roman" w:cs="Times New Roman"/>
              <w:i/>
              <w:iCs/>
              <w:sz w:val="28"/>
              <w:szCs w:val="28"/>
            </w:rPr>
          </w:pPr>
        </w:p>
        <w:p w14:paraId="2BE06CDF" w14:textId="77777777" w:rsidR="00AA2985" w:rsidRDefault="00AA2985" w:rsidP="005351EF">
          <w:pPr>
            <w:jc w:val="right"/>
            <w:rPr>
              <w:rFonts w:ascii="Times New Roman" w:hAnsi="Times New Roman" w:cs="Times New Roman"/>
              <w:i/>
              <w:iCs/>
              <w:sz w:val="28"/>
              <w:szCs w:val="28"/>
            </w:rPr>
          </w:pPr>
        </w:p>
        <w:p w14:paraId="0B92B015" w14:textId="365780B4" w:rsidR="00AA2985" w:rsidRDefault="00AA2985" w:rsidP="005351EF">
          <w:pPr>
            <w:jc w:val="right"/>
            <w:rPr>
              <w:rFonts w:ascii="Times New Roman" w:hAnsi="Times New Roman" w:cs="Times New Roman"/>
              <w:i/>
              <w:iCs/>
              <w:sz w:val="28"/>
              <w:szCs w:val="28"/>
            </w:rPr>
          </w:pPr>
        </w:p>
        <w:p w14:paraId="55F1381B" w14:textId="77777777" w:rsidR="000B3A4E" w:rsidRDefault="000B3A4E" w:rsidP="005351EF">
          <w:pPr>
            <w:jc w:val="right"/>
            <w:rPr>
              <w:rFonts w:ascii="Times New Roman" w:hAnsi="Times New Roman" w:cs="Times New Roman"/>
              <w:i/>
              <w:iCs/>
              <w:sz w:val="28"/>
              <w:szCs w:val="28"/>
            </w:rPr>
          </w:pPr>
        </w:p>
        <w:p w14:paraId="7F2CFF8F" w14:textId="77777777" w:rsidR="00AA2985" w:rsidRDefault="00AA2985" w:rsidP="005351EF">
          <w:pPr>
            <w:jc w:val="right"/>
            <w:rPr>
              <w:rFonts w:ascii="Times New Roman" w:hAnsi="Times New Roman" w:cs="Times New Roman"/>
              <w:i/>
              <w:iCs/>
              <w:sz w:val="28"/>
              <w:szCs w:val="28"/>
            </w:rPr>
          </w:pPr>
        </w:p>
        <w:p w14:paraId="523A5E01" w14:textId="02901774" w:rsidR="00AA2985" w:rsidRDefault="00AA2985" w:rsidP="00467EF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Resumen:</w:t>
          </w:r>
        </w:p>
        <w:p w14:paraId="280BC3E6" w14:textId="045664EB" w:rsidR="00AA2985" w:rsidRDefault="00AA2985" w:rsidP="00467E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Este trabajo trata de analizar el papel del Estado receptor como garante del principio de inviolabilidad de los locales de las misiones diplomáticas y de las oficinas consulares en </w:t>
          </w:r>
          <w:r w:rsidR="001376D6">
            <w:rPr>
              <w:rFonts w:ascii="Times New Roman" w:hAnsi="Times New Roman" w:cs="Times New Roman"/>
              <w:sz w:val="24"/>
              <w:szCs w:val="24"/>
            </w:rPr>
            <w:t xml:space="preserve">su territorio en </w:t>
          </w:r>
          <w:r>
            <w:rPr>
              <w:rFonts w:ascii="Times New Roman" w:hAnsi="Times New Roman" w:cs="Times New Roman"/>
              <w:sz w:val="24"/>
              <w:szCs w:val="24"/>
            </w:rPr>
            <w:t>relación con tres casos prácticos</w:t>
          </w:r>
          <w:r w:rsidR="00564BD9">
            <w:rPr>
              <w:rFonts w:ascii="Times New Roman" w:hAnsi="Times New Roman" w:cs="Times New Roman"/>
              <w:sz w:val="24"/>
              <w:szCs w:val="24"/>
            </w:rPr>
            <w:t xml:space="preserve">: </w:t>
          </w:r>
          <w:r>
            <w:rPr>
              <w:rFonts w:ascii="Times New Roman" w:hAnsi="Times New Roman" w:cs="Times New Roman"/>
              <w:sz w:val="24"/>
              <w:szCs w:val="24"/>
            </w:rPr>
            <w:t>la quema y asalto de la Embajada de España en Guatemala, el caso relativo al personal diplomátic</w:t>
          </w:r>
          <w:r w:rsidR="001376D6">
            <w:rPr>
              <w:rFonts w:ascii="Times New Roman" w:hAnsi="Times New Roman" w:cs="Times New Roman"/>
              <w:sz w:val="24"/>
              <w:szCs w:val="24"/>
            </w:rPr>
            <w:t>o</w:t>
          </w:r>
          <w:r>
            <w:rPr>
              <w:rFonts w:ascii="Times New Roman" w:hAnsi="Times New Roman" w:cs="Times New Roman"/>
              <w:sz w:val="24"/>
              <w:szCs w:val="24"/>
            </w:rPr>
            <w:t xml:space="preserve"> y consular de la Embajada de Estado Unidos en Teherán y el ataque terrorista al Consulado de Estados Unidos en Bengasi. </w:t>
          </w:r>
          <w:r w:rsidR="001376D6">
            <w:rPr>
              <w:rFonts w:ascii="Times New Roman" w:hAnsi="Times New Roman" w:cs="Times New Roman"/>
              <w:sz w:val="24"/>
              <w:szCs w:val="24"/>
            </w:rPr>
            <w:t>En un principio se expondrán brevemente los conceptos de la misión diplomática y la oficina consular,</w:t>
          </w:r>
          <w:r w:rsidR="00097D93">
            <w:rPr>
              <w:rFonts w:ascii="Times New Roman" w:hAnsi="Times New Roman" w:cs="Times New Roman"/>
              <w:sz w:val="24"/>
              <w:szCs w:val="24"/>
            </w:rPr>
            <w:t xml:space="preserve"> y</w:t>
          </w:r>
          <w:r w:rsidR="001376D6">
            <w:rPr>
              <w:rFonts w:ascii="Times New Roman" w:hAnsi="Times New Roman" w:cs="Times New Roman"/>
              <w:sz w:val="24"/>
              <w:szCs w:val="24"/>
            </w:rPr>
            <w:t xml:space="preserve"> se estudiará el marco normativo de la inviolabilidad de los locales y la responsabilidad internacional del Estado con el fin de aplicar esta teoría a los casos prácticos según el siguiente esquema: contexto político y social, antecedentes de hechos, inviolabilidad de los locales</w:t>
          </w:r>
          <w:r w:rsidR="00097D93">
            <w:rPr>
              <w:rFonts w:ascii="Times New Roman" w:hAnsi="Times New Roman" w:cs="Times New Roman"/>
              <w:sz w:val="24"/>
              <w:szCs w:val="24"/>
            </w:rPr>
            <w:t xml:space="preserve"> diplomáticos o consulares</w:t>
          </w:r>
          <w:r w:rsidR="001376D6">
            <w:rPr>
              <w:rFonts w:ascii="Times New Roman" w:hAnsi="Times New Roman" w:cs="Times New Roman"/>
              <w:sz w:val="24"/>
              <w:szCs w:val="24"/>
            </w:rPr>
            <w:t xml:space="preserve">, responsabilidad internacional </w:t>
          </w:r>
          <w:r w:rsidR="00564BD9">
            <w:rPr>
              <w:rFonts w:ascii="Times New Roman" w:hAnsi="Times New Roman" w:cs="Times New Roman"/>
              <w:sz w:val="24"/>
              <w:szCs w:val="24"/>
            </w:rPr>
            <w:t xml:space="preserve">del Estado receptor </w:t>
          </w:r>
          <w:r w:rsidR="001376D6">
            <w:rPr>
              <w:rFonts w:ascii="Times New Roman" w:hAnsi="Times New Roman" w:cs="Times New Roman"/>
              <w:sz w:val="24"/>
              <w:szCs w:val="24"/>
            </w:rPr>
            <w:t xml:space="preserve">y consecuencias político-jurídicas. </w:t>
          </w:r>
        </w:p>
        <w:p w14:paraId="63BE5612" w14:textId="17F8D445" w:rsidR="001376D6" w:rsidRDefault="001376D6" w:rsidP="00AA2985">
          <w:pPr>
            <w:spacing w:line="360" w:lineRule="auto"/>
            <w:jc w:val="both"/>
            <w:rPr>
              <w:rFonts w:ascii="Times New Roman" w:hAnsi="Times New Roman" w:cs="Times New Roman"/>
              <w:sz w:val="24"/>
              <w:szCs w:val="24"/>
            </w:rPr>
          </w:pPr>
        </w:p>
        <w:p w14:paraId="3FF42BD7" w14:textId="4B004ACC" w:rsidR="001376D6" w:rsidRDefault="001376D6" w:rsidP="00AA29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Palabras claves: </w:t>
          </w:r>
        </w:p>
        <w:p w14:paraId="6EE2D192" w14:textId="5F5A1614" w:rsidR="001376D6" w:rsidRDefault="001376D6" w:rsidP="00AA29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Inviolabilidad de los locales, misión diplomática, oficina consular, responsabilidad internacional, hecho internacionalmente ilícito del Estado. </w:t>
          </w:r>
        </w:p>
        <w:p w14:paraId="1EB59933" w14:textId="77777777" w:rsidR="00467EFB" w:rsidRDefault="00467EFB" w:rsidP="00AA2985">
          <w:pPr>
            <w:spacing w:line="360" w:lineRule="auto"/>
            <w:jc w:val="both"/>
            <w:rPr>
              <w:rFonts w:ascii="Times New Roman" w:hAnsi="Times New Roman" w:cs="Times New Roman"/>
              <w:sz w:val="24"/>
              <w:szCs w:val="24"/>
            </w:rPr>
          </w:pPr>
        </w:p>
        <w:p w14:paraId="1B1F193A" w14:textId="40A9A281" w:rsidR="001376D6" w:rsidRPr="001376D6" w:rsidRDefault="001376D6" w:rsidP="001376D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Abstract</w:t>
          </w:r>
          <w:r w:rsidRPr="001376D6">
            <w:rPr>
              <w:rFonts w:ascii="Times New Roman" w:hAnsi="Times New Roman" w:cs="Times New Roman"/>
              <w:sz w:val="24"/>
              <w:szCs w:val="24"/>
              <w:lang w:val="en-GB"/>
            </w:rPr>
            <w:t>:</w:t>
          </w:r>
        </w:p>
        <w:p w14:paraId="131790C7" w14:textId="02445C73" w:rsidR="001376D6" w:rsidRPr="001376D6" w:rsidRDefault="001376D6" w:rsidP="001376D6">
          <w:pPr>
            <w:spacing w:line="360" w:lineRule="auto"/>
            <w:jc w:val="both"/>
            <w:rPr>
              <w:rFonts w:ascii="Times New Roman" w:hAnsi="Times New Roman" w:cs="Times New Roman"/>
              <w:sz w:val="24"/>
              <w:szCs w:val="24"/>
              <w:lang w:val="en-GB"/>
            </w:rPr>
          </w:pPr>
          <w:r w:rsidRPr="001376D6">
            <w:rPr>
              <w:rFonts w:ascii="Times New Roman" w:hAnsi="Times New Roman" w:cs="Times New Roman"/>
              <w:sz w:val="24"/>
              <w:szCs w:val="24"/>
              <w:lang w:val="en-GB"/>
            </w:rPr>
            <w:t>This paper seeks to analyse the role of the receiving state as guarantor of the principle of inviolability of the premises of diplomatic missions and consular offices in its territory in relation to three practical cases</w:t>
          </w:r>
          <w:r w:rsidR="00564BD9">
            <w:rPr>
              <w:rFonts w:ascii="Times New Roman" w:hAnsi="Times New Roman" w:cs="Times New Roman"/>
              <w:sz w:val="24"/>
              <w:szCs w:val="24"/>
              <w:lang w:val="en-GB"/>
            </w:rPr>
            <w:t>:</w:t>
          </w:r>
          <w:r w:rsidRPr="001376D6">
            <w:rPr>
              <w:rFonts w:ascii="Times New Roman" w:hAnsi="Times New Roman" w:cs="Times New Roman"/>
              <w:sz w:val="24"/>
              <w:szCs w:val="24"/>
              <w:lang w:val="en-GB"/>
            </w:rPr>
            <w:t xml:space="preserve"> the burning and assault of the Spanish Embassy in Guatemala, the case concerning the diplomatic and consular staff of the United States Embassy in Tehran and the terrorist attack on the United States Consulate in Benghazi. Initially</w:t>
          </w:r>
          <w:r w:rsidR="00097D93">
            <w:rPr>
              <w:rFonts w:ascii="Times New Roman" w:hAnsi="Times New Roman" w:cs="Times New Roman"/>
              <w:sz w:val="24"/>
              <w:szCs w:val="24"/>
              <w:lang w:val="en-GB"/>
            </w:rPr>
            <w:t>,</w:t>
          </w:r>
          <w:r w:rsidRPr="001376D6">
            <w:rPr>
              <w:rFonts w:ascii="Times New Roman" w:hAnsi="Times New Roman" w:cs="Times New Roman"/>
              <w:sz w:val="24"/>
              <w:szCs w:val="24"/>
              <w:lang w:val="en-GB"/>
            </w:rPr>
            <w:t xml:space="preserve"> the concepts of diplomatic mission and consular office will be briefly presented, and the regulatory framework of the inviolability of premises and the international responsibility of the State will be studied </w:t>
          </w:r>
          <w:proofErr w:type="gramStart"/>
          <w:r w:rsidRPr="001376D6">
            <w:rPr>
              <w:rFonts w:ascii="Times New Roman" w:hAnsi="Times New Roman" w:cs="Times New Roman"/>
              <w:sz w:val="24"/>
              <w:szCs w:val="24"/>
              <w:lang w:val="en-GB"/>
            </w:rPr>
            <w:t>in order to</w:t>
          </w:r>
          <w:proofErr w:type="gramEnd"/>
          <w:r w:rsidRPr="001376D6">
            <w:rPr>
              <w:rFonts w:ascii="Times New Roman" w:hAnsi="Times New Roman" w:cs="Times New Roman"/>
              <w:sz w:val="24"/>
              <w:szCs w:val="24"/>
              <w:lang w:val="en-GB"/>
            </w:rPr>
            <w:t xml:space="preserve"> apply this theory to practical cases according to the following scheme: political and social context, factual background, inviolability of </w:t>
          </w:r>
          <w:r w:rsidR="00097D93">
            <w:rPr>
              <w:rFonts w:ascii="Times New Roman" w:hAnsi="Times New Roman" w:cs="Times New Roman"/>
              <w:sz w:val="24"/>
              <w:szCs w:val="24"/>
              <w:lang w:val="en-GB"/>
            </w:rPr>
            <w:t xml:space="preserve">diplomatic or consular </w:t>
          </w:r>
          <w:r w:rsidRPr="001376D6">
            <w:rPr>
              <w:rFonts w:ascii="Times New Roman" w:hAnsi="Times New Roman" w:cs="Times New Roman"/>
              <w:sz w:val="24"/>
              <w:szCs w:val="24"/>
              <w:lang w:val="en-GB"/>
            </w:rPr>
            <w:t>premises, international responsibility</w:t>
          </w:r>
          <w:r w:rsidR="00564BD9">
            <w:rPr>
              <w:rFonts w:ascii="Times New Roman" w:hAnsi="Times New Roman" w:cs="Times New Roman"/>
              <w:sz w:val="24"/>
              <w:szCs w:val="24"/>
              <w:lang w:val="en-GB"/>
            </w:rPr>
            <w:t xml:space="preserve"> of the state</w:t>
          </w:r>
          <w:r w:rsidRPr="001376D6">
            <w:rPr>
              <w:rFonts w:ascii="Times New Roman" w:hAnsi="Times New Roman" w:cs="Times New Roman"/>
              <w:sz w:val="24"/>
              <w:szCs w:val="24"/>
              <w:lang w:val="en-GB"/>
            </w:rPr>
            <w:t xml:space="preserve"> and political-legal consequences. </w:t>
          </w:r>
        </w:p>
        <w:p w14:paraId="0A19D972" w14:textId="77777777" w:rsidR="001376D6" w:rsidRPr="001376D6" w:rsidRDefault="001376D6" w:rsidP="001376D6">
          <w:pPr>
            <w:spacing w:line="360" w:lineRule="auto"/>
            <w:jc w:val="both"/>
            <w:rPr>
              <w:rFonts w:ascii="Times New Roman" w:hAnsi="Times New Roman" w:cs="Times New Roman"/>
              <w:sz w:val="24"/>
              <w:szCs w:val="24"/>
              <w:lang w:val="en-GB"/>
            </w:rPr>
          </w:pPr>
        </w:p>
        <w:p w14:paraId="1CB791E7" w14:textId="77777777" w:rsidR="001376D6" w:rsidRPr="001376D6" w:rsidRDefault="001376D6" w:rsidP="001376D6">
          <w:pPr>
            <w:spacing w:line="360" w:lineRule="auto"/>
            <w:jc w:val="both"/>
            <w:rPr>
              <w:rFonts w:ascii="Times New Roman" w:hAnsi="Times New Roman" w:cs="Times New Roman"/>
              <w:sz w:val="24"/>
              <w:szCs w:val="24"/>
              <w:lang w:val="en-GB"/>
            </w:rPr>
          </w:pPr>
          <w:r w:rsidRPr="001376D6">
            <w:rPr>
              <w:rFonts w:ascii="Times New Roman" w:hAnsi="Times New Roman" w:cs="Times New Roman"/>
              <w:sz w:val="24"/>
              <w:szCs w:val="24"/>
              <w:lang w:val="en-GB"/>
            </w:rPr>
            <w:t xml:space="preserve">Key words: </w:t>
          </w:r>
        </w:p>
        <w:p w14:paraId="7189339A" w14:textId="28314EF4" w:rsidR="00FB5B5B" w:rsidRPr="001376D6" w:rsidRDefault="001376D6" w:rsidP="00AA2985">
          <w:pPr>
            <w:spacing w:line="360" w:lineRule="auto"/>
            <w:jc w:val="both"/>
            <w:rPr>
              <w:rFonts w:ascii="Times New Roman" w:hAnsi="Times New Roman" w:cs="Times New Roman"/>
              <w:sz w:val="24"/>
              <w:szCs w:val="24"/>
              <w:lang w:val="en-GB"/>
            </w:rPr>
          </w:pPr>
          <w:r w:rsidRPr="001376D6">
            <w:rPr>
              <w:rFonts w:ascii="Times New Roman" w:hAnsi="Times New Roman" w:cs="Times New Roman"/>
              <w:sz w:val="24"/>
              <w:szCs w:val="24"/>
              <w:lang w:val="en-GB"/>
            </w:rPr>
            <w:t xml:space="preserve">Inviolability of premises, diplomatic mission, consular office, international responsibility, internationally wrongful act of the State. </w:t>
          </w:r>
        </w:p>
      </w:sdtContent>
    </w:sdt>
    <w:sdt>
      <w:sdtPr>
        <w:rPr>
          <w:rFonts w:ascii="Arial" w:eastAsia="Arial" w:hAnsi="Arial" w:cs="Arial"/>
          <w:color w:val="auto"/>
          <w:sz w:val="22"/>
          <w:szCs w:val="22"/>
          <w:lang w:bidi="es-ES"/>
        </w:rPr>
        <w:id w:val="-182596590"/>
        <w:docPartObj>
          <w:docPartGallery w:val="Table of Contents"/>
          <w:docPartUnique/>
        </w:docPartObj>
      </w:sdtPr>
      <w:sdtEndPr>
        <w:rPr>
          <w:b/>
          <w:bCs/>
        </w:rPr>
      </w:sdtEndPr>
      <w:sdtContent>
        <w:p w14:paraId="603ABC51" w14:textId="2F7B8564" w:rsidR="00862A4F" w:rsidRPr="00266FFB" w:rsidRDefault="00862A4F" w:rsidP="0093125F">
          <w:pPr>
            <w:pStyle w:val="TtuloTDC"/>
            <w:spacing w:line="360" w:lineRule="auto"/>
            <w:rPr>
              <w:rFonts w:ascii="Times New Roman" w:eastAsia="Arial" w:hAnsi="Times New Roman" w:cs="Times New Roman"/>
              <w:color w:val="auto"/>
              <w:sz w:val="22"/>
              <w:szCs w:val="22"/>
              <w:lang w:bidi="es-ES"/>
            </w:rPr>
          </w:pPr>
          <w:r w:rsidRPr="00266FFB">
            <w:rPr>
              <w:rFonts w:ascii="Times New Roman" w:hAnsi="Times New Roman" w:cs="Times New Roman"/>
            </w:rPr>
            <w:t>Tabla de contenido</w:t>
          </w:r>
        </w:p>
        <w:p w14:paraId="46153526" w14:textId="2F1AFE13" w:rsidR="00266FFB" w:rsidRPr="00097D93" w:rsidRDefault="00862A4F">
          <w:pPr>
            <w:pStyle w:val="TDC1"/>
            <w:tabs>
              <w:tab w:val="left" w:pos="440"/>
            </w:tabs>
            <w:rPr>
              <w:rFonts w:eastAsiaTheme="minorEastAsia"/>
              <w:lang w:bidi="ar-SA"/>
            </w:rPr>
          </w:pPr>
          <w:r w:rsidRPr="00266FFB">
            <w:fldChar w:fldCharType="begin"/>
          </w:r>
          <w:r w:rsidRPr="00266FFB">
            <w:instrText xml:space="preserve"> TOC \o "1-3" \h \z \u </w:instrText>
          </w:r>
          <w:r w:rsidRPr="00266FFB">
            <w:fldChar w:fldCharType="separate"/>
          </w:r>
          <w:hyperlink w:anchor="_Toc65498598" w:history="1">
            <w:r w:rsidR="00266FFB" w:rsidRPr="00097D93">
              <w:rPr>
                <w:rStyle w:val="Hipervnculo"/>
              </w:rPr>
              <w:t>1.</w:t>
            </w:r>
            <w:r w:rsidR="00266FFB" w:rsidRPr="00097D93">
              <w:rPr>
                <w:rFonts w:eastAsiaTheme="minorEastAsia"/>
                <w:lang w:bidi="ar-SA"/>
              </w:rPr>
              <w:tab/>
            </w:r>
            <w:r w:rsidR="00266FFB" w:rsidRPr="00097D93">
              <w:rPr>
                <w:rStyle w:val="Hipervnculo"/>
              </w:rPr>
              <w:t>Introducción</w:t>
            </w:r>
            <w:r w:rsidR="00266FFB" w:rsidRPr="00097D93">
              <w:rPr>
                <w:webHidden/>
              </w:rPr>
              <w:tab/>
            </w:r>
            <w:r w:rsidR="00266FFB" w:rsidRPr="00097D93">
              <w:rPr>
                <w:webHidden/>
              </w:rPr>
              <w:fldChar w:fldCharType="begin"/>
            </w:r>
            <w:r w:rsidR="00266FFB" w:rsidRPr="00097D93">
              <w:rPr>
                <w:webHidden/>
              </w:rPr>
              <w:instrText xml:space="preserve"> PAGEREF _Toc65498598 \h </w:instrText>
            </w:r>
            <w:r w:rsidR="00266FFB" w:rsidRPr="00097D93">
              <w:rPr>
                <w:webHidden/>
              </w:rPr>
            </w:r>
            <w:r w:rsidR="00266FFB" w:rsidRPr="00097D93">
              <w:rPr>
                <w:webHidden/>
              </w:rPr>
              <w:fldChar w:fldCharType="separate"/>
            </w:r>
            <w:r w:rsidR="00266FFB" w:rsidRPr="00097D93">
              <w:rPr>
                <w:webHidden/>
              </w:rPr>
              <w:t>4</w:t>
            </w:r>
            <w:r w:rsidR="00266FFB" w:rsidRPr="00097D93">
              <w:rPr>
                <w:webHidden/>
              </w:rPr>
              <w:fldChar w:fldCharType="end"/>
            </w:r>
          </w:hyperlink>
        </w:p>
        <w:p w14:paraId="36A4D5F0" w14:textId="2020DACF" w:rsidR="00266FFB" w:rsidRPr="00097D93" w:rsidRDefault="00575E7C">
          <w:pPr>
            <w:pStyle w:val="TDC1"/>
            <w:tabs>
              <w:tab w:val="left" w:pos="440"/>
            </w:tabs>
            <w:rPr>
              <w:rFonts w:eastAsiaTheme="minorEastAsia"/>
              <w:lang w:bidi="ar-SA"/>
            </w:rPr>
          </w:pPr>
          <w:hyperlink w:anchor="_Toc65498599" w:history="1">
            <w:r w:rsidR="00266FFB" w:rsidRPr="00097D93">
              <w:rPr>
                <w:rStyle w:val="Hipervnculo"/>
              </w:rPr>
              <w:t>2.</w:t>
            </w:r>
            <w:r w:rsidR="00266FFB" w:rsidRPr="00097D93">
              <w:rPr>
                <w:rFonts w:eastAsiaTheme="minorEastAsia"/>
                <w:lang w:bidi="ar-SA"/>
              </w:rPr>
              <w:tab/>
            </w:r>
            <w:r w:rsidR="00266FFB" w:rsidRPr="00097D93">
              <w:rPr>
                <w:rStyle w:val="Hipervnculo"/>
              </w:rPr>
              <w:t>Conceptos</w:t>
            </w:r>
            <w:r w:rsidR="00266FFB" w:rsidRPr="00097D93">
              <w:rPr>
                <w:webHidden/>
              </w:rPr>
              <w:tab/>
            </w:r>
            <w:r w:rsidR="00266FFB" w:rsidRPr="00097D93">
              <w:rPr>
                <w:webHidden/>
              </w:rPr>
              <w:fldChar w:fldCharType="begin"/>
            </w:r>
            <w:r w:rsidR="00266FFB" w:rsidRPr="00097D93">
              <w:rPr>
                <w:webHidden/>
              </w:rPr>
              <w:instrText xml:space="preserve"> PAGEREF _Toc65498599 \h </w:instrText>
            </w:r>
            <w:r w:rsidR="00266FFB" w:rsidRPr="00097D93">
              <w:rPr>
                <w:webHidden/>
              </w:rPr>
            </w:r>
            <w:r w:rsidR="00266FFB" w:rsidRPr="00097D93">
              <w:rPr>
                <w:webHidden/>
              </w:rPr>
              <w:fldChar w:fldCharType="separate"/>
            </w:r>
            <w:r w:rsidR="00266FFB" w:rsidRPr="00097D93">
              <w:rPr>
                <w:webHidden/>
              </w:rPr>
              <w:t>6</w:t>
            </w:r>
            <w:r w:rsidR="00266FFB" w:rsidRPr="00097D93">
              <w:rPr>
                <w:webHidden/>
              </w:rPr>
              <w:fldChar w:fldCharType="end"/>
            </w:r>
          </w:hyperlink>
        </w:p>
        <w:p w14:paraId="6CB01793" w14:textId="63C1F794" w:rsidR="00266FFB" w:rsidRPr="00097D93" w:rsidRDefault="00575E7C">
          <w:pPr>
            <w:pStyle w:val="TDC2"/>
            <w:tabs>
              <w:tab w:val="left" w:pos="880"/>
              <w:tab w:val="right" w:leader="dot" w:pos="8498"/>
            </w:tabs>
            <w:rPr>
              <w:rFonts w:ascii="Times New Roman" w:eastAsiaTheme="minorEastAsia" w:hAnsi="Times New Roman" w:cs="Times New Roman"/>
              <w:noProof/>
              <w:lang w:bidi="ar-SA"/>
            </w:rPr>
          </w:pPr>
          <w:hyperlink w:anchor="_Toc65498600" w:history="1">
            <w:r w:rsidR="00266FFB" w:rsidRPr="00097D93">
              <w:rPr>
                <w:rStyle w:val="Hipervnculo"/>
                <w:rFonts w:ascii="Times New Roman" w:hAnsi="Times New Roman" w:cs="Times New Roman"/>
                <w:noProof/>
              </w:rPr>
              <w:t>2.1.</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La Misión Diplomática</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_Toc65498600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6</w:t>
            </w:r>
            <w:r w:rsidR="00266FFB" w:rsidRPr="00097D93">
              <w:rPr>
                <w:rFonts w:ascii="Times New Roman" w:hAnsi="Times New Roman" w:cs="Times New Roman"/>
                <w:noProof/>
                <w:webHidden/>
              </w:rPr>
              <w:fldChar w:fldCharType="end"/>
            </w:r>
          </w:hyperlink>
        </w:p>
        <w:p w14:paraId="3A8555DE" w14:textId="61BA408D" w:rsidR="00266FFB" w:rsidRPr="00097D93" w:rsidRDefault="00575E7C">
          <w:pPr>
            <w:pStyle w:val="TDC2"/>
            <w:tabs>
              <w:tab w:val="left" w:pos="880"/>
              <w:tab w:val="right" w:leader="dot" w:pos="8498"/>
            </w:tabs>
            <w:rPr>
              <w:rFonts w:ascii="Times New Roman" w:eastAsiaTheme="minorEastAsia" w:hAnsi="Times New Roman" w:cs="Times New Roman"/>
              <w:noProof/>
              <w:lang w:bidi="ar-SA"/>
            </w:rPr>
          </w:pPr>
          <w:hyperlink w:anchor="_Toc65498601" w:history="1">
            <w:r w:rsidR="00266FFB" w:rsidRPr="00097D93">
              <w:rPr>
                <w:rStyle w:val="Hipervnculo"/>
                <w:rFonts w:ascii="Times New Roman" w:hAnsi="Times New Roman" w:cs="Times New Roman"/>
                <w:noProof/>
              </w:rPr>
              <w:t>2.2.</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La Oficina Consular</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_Toc65498601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7</w:t>
            </w:r>
            <w:r w:rsidR="00266FFB" w:rsidRPr="00097D93">
              <w:rPr>
                <w:rFonts w:ascii="Times New Roman" w:hAnsi="Times New Roman" w:cs="Times New Roman"/>
                <w:noProof/>
                <w:webHidden/>
              </w:rPr>
              <w:fldChar w:fldCharType="end"/>
            </w:r>
          </w:hyperlink>
        </w:p>
        <w:p w14:paraId="283BFC0B" w14:textId="52ADBDBC" w:rsidR="00266FFB" w:rsidRPr="00097D93" w:rsidRDefault="00575E7C">
          <w:pPr>
            <w:pStyle w:val="TDC1"/>
            <w:tabs>
              <w:tab w:val="left" w:pos="440"/>
            </w:tabs>
            <w:rPr>
              <w:rFonts w:eastAsiaTheme="minorEastAsia"/>
              <w:lang w:bidi="ar-SA"/>
            </w:rPr>
          </w:pPr>
          <w:hyperlink w:anchor="_Toc65498602" w:history="1">
            <w:r w:rsidR="00266FFB" w:rsidRPr="00097D93">
              <w:rPr>
                <w:rStyle w:val="Hipervnculo"/>
              </w:rPr>
              <w:t>3.</w:t>
            </w:r>
            <w:r w:rsidR="00266FFB" w:rsidRPr="00097D93">
              <w:rPr>
                <w:rFonts w:eastAsiaTheme="minorEastAsia"/>
                <w:lang w:bidi="ar-SA"/>
              </w:rPr>
              <w:tab/>
            </w:r>
            <w:r w:rsidR="00266FFB" w:rsidRPr="00097D93">
              <w:rPr>
                <w:rStyle w:val="Hipervnculo"/>
              </w:rPr>
              <w:t>Inviolabilidad de los locales de la misión diplomática y la oficina consular</w:t>
            </w:r>
            <w:r w:rsidR="00266FFB" w:rsidRPr="00097D93">
              <w:rPr>
                <w:webHidden/>
              </w:rPr>
              <w:tab/>
            </w:r>
            <w:r w:rsidR="00266FFB" w:rsidRPr="00097D93">
              <w:rPr>
                <w:webHidden/>
              </w:rPr>
              <w:fldChar w:fldCharType="begin"/>
            </w:r>
            <w:r w:rsidR="00266FFB" w:rsidRPr="00097D93">
              <w:rPr>
                <w:webHidden/>
              </w:rPr>
              <w:instrText xml:space="preserve"> PAGEREF _Toc65498602 \h </w:instrText>
            </w:r>
            <w:r w:rsidR="00266FFB" w:rsidRPr="00097D93">
              <w:rPr>
                <w:webHidden/>
              </w:rPr>
            </w:r>
            <w:r w:rsidR="00266FFB" w:rsidRPr="00097D93">
              <w:rPr>
                <w:webHidden/>
              </w:rPr>
              <w:fldChar w:fldCharType="separate"/>
            </w:r>
            <w:r w:rsidR="00266FFB" w:rsidRPr="00097D93">
              <w:rPr>
                <w:webHidden/>
              </w:rPr>
              <w:t>9</w:t>
            </w:r>
            <w:r w:rsidR="00266FFB" w:rsidRPr="00097D93">
              <w:rPr>
                <w:webHidden/>
              </w:rPr>
              <w:fldChar w:fldCharType="end"/>
            </w:r>
          </w:hyperlink>
        </w:p>
        <w:p w14:paraId="2040F609" w14:textId="48B0845C" w:rsidR="00266FFB" w:rsidRPr="00097D93" w:rsidRDefault="00575E7C">
          <w:pPr>
            <w:pStyle w:val="TDC2"/>
            <w:tabs>
              <w:tab w:val="left" w:pos="880"/>
              <w:tab w:val="right" w:leader="dot" w:pos="8498"/>
            </w:tabs>
            <w:rPr>
              <w:rFonts w:ascii="Times New Roman" w:eastAsiaTheme="minorEastAsia" w:hAnsi="Times New Roman" w:cs="Times New Roman"/>
              <w:noProof/>
              <w:lang w:bidi="ar-SA"/>
            </w:rPr>
          </w:pPr>
          <w:hyperlink w:anchor="_Toc65498603" w:history="1">
            <w:r w:rsidR="00266FFB" w:rsidRPr="00097D93">
              <w:rPr>
                <w:rStyle w:val="Hipervnculo"/>
                <w:rFonts w:ascii="Times New Roman" w:hAnsi="Times New Roman" w:cs="Times New Roman"/>
                <w:noProof/>
              </w:rPr>
              <w:t>3.1.</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Contenido</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_Toc65498603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9</w:t>
            </w:r>
            <w:r w:rsidR="00266FFB" w:rsidRPr="00097D93">
              <w:rPr>
                <w:rFonts w:ascii="Times New Roman" w:hAnsi="Times New Roman" w:cs="Times New Roman"/>
                <w:noProof/>
                <w:webHidden/>
              </w:rPr>
              <w:fldChar w:fldCharType="end"/>
            </w:r>
          </w:hyperlink>
        </w:p>
        <w:p w14:paraId="772B680B" w14:textId="3E3B0371" w:rsidR="00266FFB" w:rsidRPr="00097D93" w:rsidRDefault="00575E7C">
          <w:pPr>
            <w:pStyle w:val="TDC2"/>
            <w:tabs>
              <w:tab w:val="left" w:pos="880"/>
              <w:tab w:val="right" w:leader="dot" w:pos="8498"/>
            </w:tabs>
            <w:rPr>
              <w:rFonts w:ascii="Times New Roman" w:eastAsiaTheme="minorEastAsia" w:hAnsi="Times New Roman" w:cs="Times New Roman"/>
              <w:noProof/>
              <w:lang w:bidi="ar-SA"/>
            </w:rPr>
          </w:pPr>
          <w:hyperlink w:anchor="_Toc65498604" w:history="1">
            <w:r w:rsidR="00266FFB" w:rsidRPr="00097D93">
              <w:rPr>
                <w:rStyle w:val="Hipervnculo"/>
                <w:rFonts w:ascii="Times New Roman" w:hAnsi="Times New Roman" w:cs="Times New Roman"/>
                <w:noProof/>
              </w:rPr>
              <w:t>3.2.</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Marco normativo</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_Toc65498604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10</w:t>
            </w:r>
            <w:r w:rsidR="00266FFB" w:rsidRPr="00097D93">
              <w:rPr>
                <w:rFonts w:ascii="Times New Roman" w:hAnsi="Times New Roman" w:cs="Times New Roman"/>
                <w:noProof/>
                <w:webHidden/>
              </w:rPr>
              <w:fldChar w:fldCharType="end"/>
            </w:r>
          </w:hyperlink>
        </w:p>
        <w:p w14:paraId="574377B7" w14:textId="30B2096D" w:rsidR="00266FFB" w:rsidRPr="00097D93" w:rsidRDefault="00575E7C">
          <w:pPr>
            <w:pStyle w:val="TDC3"/>
            <w:tabs>
              <w:tab w:val="left" w:pos="1320"/>
              <w:tab w:val="right" w:leader="dot" w:pos="8498"/>
            </w:tabs>
            <w:rPr>
              <w:rFonts w:ascii="Times New Roman" w:eastAsiaTheme="minorEastAsia" w:hAnsi="Times New Roman" w:cs="Times New Roman"/>
              <w:noProof/>
              <w:lang w:bidi="ar-SA"/>
            </w:rPr>
          </w:pPr>
          <w:hyperlink w:anchor="_Toc65498605" w:history="1">
            <w:r w:rsidR="00266FFB" w:rsidRPr="00097D93">
              <w:rPr>
                <w:rStyle w:val="Hipervnculo"/>
                <w:rFonts w:ascii="Times New Roman" w:hAnsi="Times New Roman" w:cs="Times New Roman"/>
                <w:noProof/>
              </w:rPr>
              <w:t>3.2.1.</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Inviolabilidad de los locales de la misión diplomática</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_Toc65498605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10</w:t>
            </w:r>
            <w:r w:rsidR="00266FFB" w:rsidRPr="00097D93">
              <w:rPr>
                <w:rFonts w:ascii="Times New Roman" w:hAnsi="Times New Roman" w:cs="Times New Roman"/>
                <w:noProof/>
                <w:webHidden/>
              </w:rPr>
              <w:fldChar w:fldCharType="end"/>
            </w:r>
          </w:hyperlink>
        </w:p>
        <w:p w14:paraId="52547BED" w14:textId="2A5AFB3C" w:rsidR="00266FFB" w:rsidRPr="00097D93" w:rsidRDefault="00575E7C">
          <w:pPr>
            <w:pStyle w:val="TDC3"/>
            <w:tabs>
              <w:tab w:val="left" w:pos="1320"/>
              <w:tab w:val="right" w:leader="dot" w:pos="8498"/>
            </w:tabs>
            <w:rPr>
              <w:rFonts w:ascii="Times New Roman" w:eastAsiaTheme="minorEastAsia" w:hAnsi="Times New Roman" w:cs="Times New Roman"/>
              <w:noProof/>
              <w:lang w:bidi="ar-SA"/>
            </w:rPr>
          </w:pPr>
          <w:hyperlink w:anchor="_Toc65498606" w:history="1">
            <w:r w:rsidR="00266FFB" w:rsidRPr="00097D93">
              <w:rPr>
                <w:rStyle w:val="Hipervnculo"/>
                <w:rFonts w:ascii="Times New Roman" w:hAnsi="Times New Roman" w:cs="Times New Roman"/>
                <w:noProof/>
              </w:rPr>
              <w:t>3.2.2.</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Inviolabilidad de los locales de la oficina consular</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_Toc65498606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12</w:t>
            </w:r>
            <w:r w:rsidR="00266FFB" w:rsidRPr="00097D93">
              <w:rPr>
                <w:rFonts w:ascii="Times New Roman" w:hAnsi="Times New Roman" w:cs="Times New Roman"/>
                <w:noProof/>
                <w:webHidden/>
              </w:rPr>
              <w:fldChar w:fldCharType="end"/>
            </w:r>
          </w:hyperlink>
        </w:p>
        <w:p w14:paraId="0E2301C7" w14:textId="460C46B4" w:rsidR="00266FFB" w:rsidRPr="00097D93" w:rsidRDefault="00575E7C">
          <w:pPr>
            <w:pStyle w:val="TDC1"/>
            <w:tabs>
              <w:tab w:val="left" w:pos="440"/>
            </w:tabs>
            <w:rPr>
              <w:rFonts w:eastAsiaTheme="minorEastAsia"/>
              <w:lang w:bidi="ar-SA"/>
            </w:rPr>
          </w:pPr>
          <w:hyperlink w:anchor="_Toc65498607" w:history="1">
            <w:r w:rsidR="00266FFB" w:rsidRPr="00097D93">
              <w:rPr>
                <w:rStyle w:val="Hipervnculo"/>
              </w:rPr>
              <w:t>4.</w:t>
            </w:r>
            <w:r w:rsidR="00266FFB" w:rsidRPr="00097D93">
              <w:rPr>
                <w:rFonts w:eastAsiaTheme="minorEastAsia"/>
                <w:lang w:bidi="ar-SA"/>
              </w:rPr>
              <w:tab/>
            </w:r>
            <w:r w:rsidR="00266FFB" w:rsidRPr="00097D93">
              <w:rPr>
                <w:rStyle w:val="Hipervnculo"/>
              </w:rPr>
              <w:t>Responsabilidad internacional por los hechos ilícitos de los Estados</w:t>
            </w:r>
            <w:r w:rsidR="00266FFB" w:rsidRPr="00097D93">
              <w:rPr>
                <w:webHidden/>
              </w:rPr>
              <w:tab/>
            </w:r>
            <w:r w:rsidR="00266FFB" w:rsidRPr="00097D93">
              <w:rPr>
                <w:webHidden/>
              </w:rPr>
              <w:fldChar w:fldCharType="begin"/>
            </w:r>
            <w:r w:rsidR="00266FFB" w:rsidRPr="00097D93">
              <w:rPr>
                <w:webHidden/>
              </w:rPr>
              <w:instrText xml:space="preserve"> PAGEREF _Toc65498607 \h </w:instrText>
            </w:r>
            <w:r w:rsidR="00266FFB" w:rsidRPr="00097D93">
              <w:rPr>
                <w:webHidden/>
              </w:rPr>
            </w:r>
            <w:r w:rsidR="00266FFB" w:rsidRPr="00097D93">
              <w:rPr>
                <w:webHidden/>
              </w:rPr>
              <w:fldChar w:fldCharType="separate"/>
            </w:r>
            <w:r w:rsidR="00266FFB" w:rsidRPr="00097D93">
              <w:rPr>
                <w:webHidden/>
              </w:rPr>
              <w:t>15</w:t>
            </w:r>
            <w:r w:rsidR="00266FFB" w:rsidRPr="00097D93">
              <w:rPr>
                <w:webHidden/>
              </w:rPr>
              <w:fldChar w:fldCharType="end"/>
            </w:r>
          </w:hyperlink>
        </w:p>
        <w:p w14:paraId="7007D820" w14:textId="68AA4822" w:rsidR="00266FFB" w:rsidRPr="00097D93" w:rsidRDefault="00575E7C">
          <w:pPr>
            <w:pStyle w:val="TDC2"/>
            <w:tabs>
              <w:tab w:val="left" w:pos="880"/>
              <w:tab w:val="right" w:leader="dot" w:pos="8498"/>
            </w:tabs>
            <w:rPr>
              <w:rFonts w:ascii="Times New Roman" w:eastAsiaTheme="minorEastAsia" w:hAnsi="Times New Roman" w:cs="Times New Roman"/>
              <w:noProof/>
              <w:lang w:bidi="ar-SA"/>
            </w:rPr>
          </w:pPr>
          <w:hyperlink w:anchor="_Toc65498608" w:history="1">
            <w:r w:rsidR="00266FFB" w:rsidRPr="00097D93">
              <w:rPr>
                <w:rStyle w:val="Hipervnculo"/>
                <w:rFonts w:ascii="Times New Roman" w:hAnsi="Times New Roman" w:cs="Times New Roman"/>
                <w:noProof/>
              </w:rPr>
              <w:t>4.1.</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Introducción a la responsabilidad internacional</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_Toc65498608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15</w:t>
            </w:r>
            <w:r w:rsidR="00266FFB" w:rsidRPr="00097D93">
              <w:rPr>
                <w:rFonts w:ascii="Times New Roman" w:hAnsi="Times New Roman" w:cs="Times New Roman"/>
                <w:noProof/>
                <w:webHidden/>
              </w:rPr>
              <w:fldChar w:fldCharType="end"/>
            </w:r>
          </w:hyperlink>
        </w:p>
        <w:p w14:paraId="77FB4399" w14:textId="5A496DAA" w:rsidR="00266FFB" w:rsidRPr="00097D93" w:rsidRDefault="00575E7C">
          <w:pPr>
            <w:pStyle w:val="TDC2"/>
            <w:tabs>
              <w:tab w:val="left" w:pos="880"/>
              <w:tab w:val="right" w:leader="dot" w:pos="8498"/>
            </w:tabs>
            <w:rPr>
              <w:rFonts w:ascii="Times New Roman" w:eastAsiaTheme="minorEastAsia" w:hAnsi="Times New Roman" w:cs="Times New Roman"/>
              <w:noProof/>
              <w:lang w:bidi="ar-SA"/>
            </w:rPr>
          </w:pPr>
          <w:hyperlink w:anchor="_Toc65498609" w:history="1">
            <w:r w:rsidR="00266FFB" w:rsidRPr="00097D93">
              <w:rPr>
                <w:rStyle w:val="Hipervnculo"/>
                <w:rFonts w:ascii="Times New Roman" w:hAnsi="Times New Roman" w:cs="Times New Roman"/>
                <w:noProof/>
              </w:rPr>
              <w:t>4.2.</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Marco normativo: el hecho internacionalmente ilícito</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_Toc65498609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15</w:t>
            </w:r>
            <w:r w:rsidR="00266FFB" w:rsidRPr="00097D93">
              <w:rPr>
                <w:rFonts w:ascii="Times New Roman" w:hAnsi="Times New Roman" w:cs="Times New Roman"/>
                <w:noProof/>
                <w:webHidden/>
              </w:rPr>
              <w:fldChar w:fldCharType="end"/>
            </w:r>
          </w:hyperlink>
        </w:p>
        <w:p w14:paraId="7D5D4E12" w14:textId="37A7C76D" w:rsidR="00266FFB" w:rsidRPr="00097D93" w:rsidRDefault="00575E7C">
          <w:pPr>
            <w:pStyle w:val="TDC2"/>
            <w:tabs>
              <w:tab w:val="left" w:pos="880"/>
              <w:tab w:val="right" w:leader="dot" w:pos="8498"/>
            </w:tabs>
            <w:rPr>
              <w:rFonts w:ascii="Times New Roman" w:eastAsiaTheme="minorEastAsia" w:hAnsi="Times New Roman" w:cs="Times New Roman"/>
              <w:noProof/>
              <w:lang w:bidi="ar-SA"/>
            </w:rPr>
          </w:pPr>
          <w:hyperlink w:anchor="_Toc65498610" w:history="1">
            <w:r w:rsidR="00266FFB" w:rsidRPr="00097D93">
              <w:rPr>
                <w:rStyle w:val="Hipervnculo"/>
                <w:rFonts w:ascii="Times New Roman" w:hAnsi="Times New Roman" w:cs="Times New Roman"/>
                <w:noProof/>
              </w:rPr>
              <w:t>4.3.</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Consecuencias de la responsabilidad internacional del Estado</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_Toc65498610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18</w:t>
            </w:r>
            <w:r w:rsidR="00266FFB" w:rsidRPr="00097D93">
              <w:rPr>
                <w:rFonts w:ascii="Times New Roman" w:hAnsi="Times New Roman" w:cs="Times New Roman"/>
                <w:noProof/>
                <w:webHidden/>
              </w:rPr>
              <w:fldChar w:fldCharType="end"/>
            </w:r>
          </w:hyperlink>
        </w:p>
        <w:p w14:paraId="7F8914BA" w14:textId="59DA7848" w:rsidR="00266FFB" w:rsidRPr="00097D93" w:rsidRDefault="00575E7C">
          <w:pPr>
            <w:pStyle w:val="TDC1"/>
            <w:tabs>
              <w:tab w:val="left" w:pos="440"/>
            </w:tabs>
            <w:rPr>
              <w:rFonts w:eastAsiaTheme="minorEastAsia"/>
              <w:lang w:bidi="ar-SA"/>
            </w:rPr>
          </w:pPr>
          <w:hyperlink w:anchor="_Toc65498611" w:history="1">
            <w:r w:rsidR="00266FFB" w:rsidRPr="00097D93">
              <w:rPr>
                <w:rStyle w:val="Hipervnculo"/>
              </w:rPr>
              <w:t>5.</w:t>
            </w:r>
            <w:r w:rsidR="00266FFB" w:rsidRPr="00097D93">
              <w:rPr>
                <w:rFonts w:eastAsiaTheme="minorEastAsia"/>
                <w:lang w:bidi="ar-SA"/>
              </w:rPr>
              <w:tab/>
            </w:r>
            <w:r w:rsidR="00266FFB" w:rsidRPr="00097D93">
              <w:rPr>
                <w:rStyle w:val="Hipervnculo"/>
              </w:rPr>
              <w:t>Casos prácticos</w:t>
            </w:r>
            <w:r w:rsidR="00266FFB" w:rsidRPr="00097D93">
              <w:rPr>
                <w:webHidden/>
              </w:rPr>
              <w:tab/>
            </w:r>
            <w:r w:rsidR="00266FFB" w:rsidRPr="00097D93">
              <w:rPr>
                <w:webHidden/>
              </w:rPr>
              <w:fldChar w:fldCharType="begin"/>
            </w:r>
            <w:r w:rsidR="00266FFB" w:rsidRPr="00097D93">
              <w:rPr>
                <w:webHidden/>
              </w:rPr>
              <w:instrText xml:space="preserve"> PAGEREF _Toc65498611 \h </w:instrText>
            </w:r>
            <w:r w:rsidR="00266FFB" w:rsidRPr="00097D93">
              <w:rPr>
                <w:webHidden/>
              </w:rPr>
            </w:r>
            <w:r w:rsidR="00266FFB" w:rsidRPr="00097D93">
              <w:rPr>
                <w:webHidden/>
              </w:rPr>
              <w:fldChar w:fldCharType="separate"/>
            </w:r>
            <w:r w:rsidR="00266FFB" w:rsidRPr="00097D93">
              <w:rPr>
                <w:webHidden/>
              </w:rPr>
              <w:t>19</w:t>
            </w:r>
            <w:r w:rsidR="00266FFB" w:rsidRPr="00097D93">
              <w:rPr>
                <w:webHidden/>
              </w:rPr>
              <w:fldChar w:fldCharType="end"/>
            </w:r>
          </w:hyperlink>
        </w:p>
        <w:p w14:paraId="48ED1E14" w14:textId="70F53163" w:rsidR="00266FFB" w:rsidRPr="00097D93" w:rsidRDefault="00575E7C">
          <w:pPr>
            <w:pStyle w:val="TDC2"/>
            <w:tabs>
              <w:tab w:val="left" w:pos="880"/>
              <w:tab w:val="right" w:leader="dot" w:pos="8498"/>
            </w:tabs>
            <w:rPr>
              <w:rFonts w:ascii="Times New Roman" w:eastAsiaTheme="minorEastAsia" w:hAnsi="Times New Roman" w:cs="Times New Roman"/>
              <w:noProof/>
              <w:lang w:bidi="ar-SA"/>
            </w:rPr>
          </w:pPr>
          <w:hyperlink w:anchor="_Toc65498612" w:history="1">
            <w:r w:rsidR="00266FFB" w:rsidRPr="00097D93">
              <w:rPr>
                <w:rStyle w:val="Hipervnculo"/>
                <w:rFonts w:ascii="Times New Roman" w:hAnsi="Times New Roman" w:cs="Times New Roman"/>
                <w:noProof/>
              </w:rPr>
              <w:t>5.1.</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Quema y Asalto de la Embajada de España en Guatemala</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_Toc65498612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19</w:t>
            </w:r>
            <w:r w:rsidR="00266FFB" w:rsidRPr="00097D93">
              <w:rPr>
                <w:rFonts w:ascii="Times New Roman" w:hAnsi="Times New Roman" w:cs="Times New Roman"/>
                <w:noProof/>
                <w:webHidden/>
              </w:rPr>
              <w:fldChar w:fldCharType="end"/>
            </w:r>
          </w:hyperlink>
        </w:p>
        <w:p w14:paraId="4BA7BE81" w14:textId="49BB5D98" w:rsidR="00266FFB" w:rsidRPr="00097D93" w:rsidRDefault="00575E7C">
          <w:pPr>
            <w:pStyle w:val="TDC3"/>
            <w:tabs>
              <w:tab w:val="left" w:pos="1320"/>
              <w:tab w:val="right" w:leader="dot" w:pos="8498"/>
            </w:tabs>
            <w:rPr>
              <w:rFonts w:ascii="Times New Roman" w:eastAsiaTheme="minorEastAsia" w:hAnsi="Times New Roman" w:cs="Times New Roman"/>
              <w:noProof/>
              <w:lang w:bidi="ar-SA"/>
            </w:rPr>
          </w:pPr>
          <w:hyperlink w:anchor="_Toc65498613" w:history="1">
            <w:r w:rsidR="00266FFB" w:rsidRPr="00097D93">
              <w:rPr>
                <w:rStyle w:val="Hipervnculo"/>
                <w:rFonts w:ascii="Times New Roman" w:hAnsi="Times New Roman" w:cs="Times New Roman"/>
                <w:noProof/>
              </w:rPr>
              <w:t>5.1.1.</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Contexto histórico</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_Toc65498613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19</w:t>
            </w:r>
            <w:r w:rsidR="00266FFB" w:rsidRPr="00097D93">
              <w:rPr>
                <w:rFonts w:ascii="Times New Roman" w:hAnsi="Times New Roman" w:cs="Times New Roman"/>
                <w:noProof/>
                <w:webHidden/>
              </w:rPr>
              <w:fldChar w:fldCharType="end"/>
            </w:r>
          </w:hyperlink>
        </w:p>
        <w:p w14:paraId="7D444183" w14:textId="5C9F7907" w:rsidR="00266FFB" w:rsidRPr="00097D93" w:rsidRDefault="00575E7C">
          <w:pPr>
            <w:pStyle w:val="TDC3"/>
            <w:tabs>
              <w:tab w:val="left" w:pos="1320"/>
              <w:tab w:val="right" w:leader="dot" w:pos="8498"/>
            </w:tabs>
            <w:rPr>
              <w:rFonts w:ascii="Times New Roman" w:eastAsiaTheme="minorEastAsia" w:hAnsi="Times New Roman" w:cs="Times New Roman"/>
              <w:noProof/>
              <w:lang w:bidi="ar-SA"/>
            </w:rPr>
          </w:pPr>
          <w:hyperlink w:anchor="_Toc65498614" w:history="1">
            <w:r w:rsidR="00266FFB" w:rsidRPr="00097D93">
              <w:rPr>
                <w:rStyle w:val="Hipervnculo"/>
                <w:rFonts w:ascii="Times New Roman" w:hAnsi="Times New Roman" w:cs="Times New Roman"/>
                <w:noProof/>
              </w:rPr>
              <w:t>5.1.2.</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Antecedentes de hechos</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_Toc65498614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20</w:t>
            </w:r>
            <w:r w:rsidR="00266FFB" w:rsidRPr="00097D93">
              <w:rPr>
                <w:rFonts w:ascii="Times New Roman" w:hAnsi="Times New Roman" w:cs="Times New Roman"/>
                <w:noProof/>
                <w:webHidden/>
              </w:rPr>
              <w:fldChar w:fldCharType="end"/>
            </w:r>
          </w:hyperlink>
        </w:p>
        <w:p w14:paraId="3E9238F3" w14:textId="7010F016" w:rsidR="00266FFB" w:rsidRPr="00097D93" w:rsidRDefault="00575E7C">
          <w:pPr>
            <w:pStyle w:val="TDC3"/>
            <w:tabs>
              <w:tab w:val="left" w:pos="1320"/>
              <w:tab w:val="right" w:leader="dot" w:pos="8498"/>
            </w:tabs>
            <w:rPr>
              <w:rFonts w:ascii="Times New Roman" w:eastAsiaTheme="minorEastAsia" w:hAnsi="Times New Roman" w:cs="Times New Roman"/>
              <w:noProof/>
              <w:lang w:bidi="ar-SA"/>
            </w:rPr>
          </w:pPr>
          <w:hyperlink w:anchor="_Toc65498615" w:history="1">
            <w:r w:rsidR="00266FFB" w:rsidRPr="00097D93">
              <w:rPr>
                <w:rStyle w:val="Hipervnculo"/>
                <w:rFonts w:ascii="Times New Roman" w:hAnsi="Times New Roman" w:cs="Times New Roman"/>
                <w:noProof/>
              </w:rPr>
              <w:t>5.1.3.</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Inviolabilidad de los locales de la misión diplomática española    en Guatemala</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_Toc65498615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21</w:t>
            </w:r>
            <w:r w:rsidR="00266FFB" w:rsidRPr="00097D93">
              <w:rPr>
                <w:rFonts w:ascii="Times New Roman" w:hAnsi="Times New Roman" w:cs="Times New Roman"/>
                <w:noProof/>
                <w:webHidden/>
              </w:rPr>
              <w:fldChar w:fldCharType="end"/>
            </w:r>
          </w:hyperlink>
        </w:p>
        <w:p w14:paraId="0A9F8D95" w14:textId="21F437DC" w:rsidR="00266FFB" w:rsidRPr="00097D93" w:rsidRDefault="00575E7C">
          <w:pPr>
            <w:pStyle w:val="TDC3"/>
            <w:tabs>
              <w:tab w:val="left" w:pos="1320"/>
              <w:tab w:val="right" w:leader="dot" w:pos="8498"/>
            </w:tabs>
            <w:rPr>
              <w:rFonts w:ascii="Times New Roman" w:eastAsiaTheme="minorEastAsia" w:hAnsi="Times New Roman" w:cs="Times New Roman"/>
              <w:noProof/>
              <w:lang w:bidi="ar-SA"/>
            </w:rPr>
          </w:pPr>
          <w:hyperlink w:anchor="_Toc65498616" w:history="1">
            <w:r w:rsidR="00266FFB" w:rsidRPr="00097D93">
              <w:rPr>
                <w:rStyle w:val="Hipervnculo"/>
                <w:rFonts w:ascii="Times New Roman" w:hAnsi="Times New Roman" w:cs="Times New Roman"/>
                <w:noProof/>
              </w:rPr>
              <w:t>5.1.4.</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Responsabilidad Internacional de la República de Guatemala</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_Toc65498616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24</w:t>
            </w:r>
            <w:r w:rsidR="00266FFB" w:rsidRPr="00097D93">
              <w:rPr>
                <w:rFonts w:ascii="Times New Roman" w:hAnsi="Times New Roman" w:cs="Times New Roman"/>
                <w:noProof/>
                <w:webHidden/>
              </w:rPr>
              <w:fldChar w:fldCharType="end"/>
            </w:r>
          </w:hyperlink>
        </w:p>
        <w:p w14:paraId="260755A9" w14:textId="32040997" w:rsidR="00266FFB" w:rsidRPr="00097D93" w:rsidRDefault="00575E7C">
          <w:pPr>
            <w:pStyle w:val="TDC3"/>
            <w:tabs>
              <w:tab w:val="left" w:pos="1320"/>
              <w:tab w:val="right" w:leader="dot" w:pos="8498"/>
            </w:tabs>
            <w:rPr>
              <w:rFonts w:ascii="Times New Roman" w:eastAsiaTheme="minorEastAsia" w:hAnsi="Times New Roman" w:cs="Times New Roman"/>
              <w:noProof/>
              <w:lang w:bidi="ar-SA"/>
            </w:rPr>
          </w:pPr>
          <w:hyperlink w:anchor="_Toc65498617" w:history="1">
            <w:r w:rsidR="00266FFB" w:rsidRPr="00097D93">
              <w:rPr>
                <w:rStyle w:val="Hipervnculo"/>
                <w:rFonts w:ascii="Times New Roman" w:hAnsi="Times New Roman" w:cs="Times New Roman"/>
                <w:noProof/>
              </w:rPr>
              <w:t>5.1.5.</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Consecuencias político-jurídicas</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_Toc65498617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26</w:t>
            </w:r>
            <w:r w:rsidR="00266FFB" w:rsidRPr="00097D93">
              <w:rPr>
                <w:rFonts w:ascii="Times New Roman" w:hAnsi="Times New Roman" w:cs="Times New Roman"/>
                <w:noProof/>
                <w:webHidden/>
              </w:rPr>
              <w:fldChar w:fldCharType="end"/>
            </w:r>
          </w:hyperlink>
        </w:p>
        <w:p w14:paraId="026E07A5" w14:textId="0D6442E9" w:rsidR="00266FFB" w:rsidRPr="00097D93" w:rsidRDefault="00575E7C">
          <w:pPr>
            <w:pStyle w:val="TDC2"/>
            <w:tabs>
              <w:tab w:val="left" w:pos="880"/>
              <w:tab w:val="right" w:leader="dot" w:pos="8498"/>
            </w:tabs>
            <w:rPr>
              <w:rFonts w:ascii="Times New Roman" w:eastAsiaTheme="minorEastAsia" w:hAnsi="Times New Roman" w:cs="Times New Roman"/>
              <w:noProof/>
              <w:lang w:bidi="ar-SA"/>
            </w:rPr>
          </w:pPr>
          <w:hyperlink w:anchor="_Toc65498618" w:history="1">
            <w:r w:rsidR="00266FFB" w:rsidRPr="00097D93">
              <w:rPr>
                <w:rStyle w:val="Hipervnculo"/>
                <w:rFonts w:ascii="Times New Roman" w:hAnsi="Times New Roman" w:cs="Times New Roman"/>
                <w:noProof/>
              </w:rPr>
              <w:t>5.2.</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Caso relativo al personal diplomático y consular de la Embajada de Estados Unidos en Teherán</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_Toc65498618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28</w:t>
            </w:r>
            <w:r w:rsidR="00266FFB" w:rsidRPr="00097D93">
              <w:rPr>
                <w:rFonts w:ascii="Times New Roman" w:hAnsi="Times New Roman" w:cs="Times New Roman"/>
                <w:noProof/>
                <w:webHidden/>
              </w:rPr>
              <w:fldChar w:fldCharType="end"/>
            </w:r>
          </w:hyperlink>
        </w:p>
        <w:p w14:paraId="5227F0D9" w14:textId="441436D1" w:rsidR="00266FFB" w:rsidRPr="00097D93" w:rsidRDefault="00575E7C">
          <w:pPr>
            <w:pStyle w:val="TDC3"/>
            <w:tabs>
              <w:tab w:val="left" w:pos="1320"/>
              <w:tab w:val="right" w:leader="dot" w:pos="8498"/>
            </w:tabs>
            <w:rPr>
              <w:rFonts w:ascii="Times New Roman" w:eastAsiaTheme="minorEastAsia" w:hAnsi="Times New Roman" w:cs="Times New Roman"/>
              <w:noProof/>
              <w:lang w:bidi="ar-SA"/>
            </w:rPr>
          </w:pPr>
          <w:hyperlink w:anchor="_Toc65498619" w:history="1">
            <w:r w:rsidR="00266FFB" w:rsidRPr="00097D93">
              <w:rPr>
                <w:rStyle w:val="Hipervnculo"/>
                <w:rFonts w:ascii="Times New Roman" w:hAnsi="Times New Roman" w:cs="Times New Roman"/>
                <w:noProof/>
              </w:rPr>
              <w:t>5.2.1.</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Contexto histórico</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_Toc65498619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28</w:t>
            </w:r>
            <w:r w:rsidR="00266FFB" w:rsidRPr="00097D93">
              <w:rPr>
                <w:rFonts w:ascii="Times New Roman" w:hAnsi="Times New Roman" w:cs="Times New Roman"/>
                <w:noProof/>
                <w:webHidden/>
              </w:rPr>
              <w:fldChar w:fldCharType="end"/>
            </w:r>
          </w:hyperlink>
        </w:p>
        <w:p w14:paraId="614F9F9B" w14:textId="09A2F015" w:rsidR="00266FFB" w:rsidRPr="00097D93" w:rsidRDefault="00575E7C">
          <w:pPr>
            <w:pStyle w:val="TDC3"/>
            <w:tabs>
              <w:tab w:val="left" w:pos="1320"/>
              <w:tab w:val="right" w:leader="dot" w:pos="8498"/>
            </w:tabs>
            <w:rPr>
              <w:rFonts w:ascii="Times New Roman" w:eastAsiaTheme="minorEastAsia" w:hAnsi="Times New Roman" w:cs="Times New Roman"/>
              <w:noProof/>
              <w:lang w:bidi="ar-SA"/>
            </w:rPr>
          </w:pPr>
          <w:hyperlink w:anchor="_Toc65498620" w:history="1">
            <w:r w:rsidR="00266FFB" w:rsidRPr="00097D93">
              <w:rPr>
                <w:rStyle w:val="Hipervnculo"/>
                <w:rFonts w:ascii="Times New Roman" w:hAnsi="Times New Roman" w:cs="Times New Roman"/>
                <w:noProof/>
              </w:rPr>
              <w:t>5.2.2.</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Antecedentes de hechos</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_Toc65498620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29</w:t>
            </w:r>
            <w:r w:rsidR="00266FFB" w:rsidRPr="00097D93">
              <w:rPr>
                <w:rFonts w:ascii="Times New Roman" w:hAnsi="Times New Roman" w:cs="Times New Roman"/>
                <w:noProof/>
                <w:webHidden/>
              </w:rPr>
              <w:fldChar w:fldCharType="end"/>
            </w:r>
          </w:hyperlink>
        </w:p>
        <w:p w14:paraId="46AAE7EE" w14:textId="18978A0C" w:rsidR="00266FFB" w:rsidRPr="00097D93" w:rsidRDefault="00575E7C">
          <w:pPr>
            <w:pStyle w:val="TDC3"/>
            <w:tabs>
              <w:tab w:val="left" w:pos="1320"/>
              <w:tab w:val="right" w:leader="dot" w:pos="8498"/>
            </w:tabs>
            <w:rPr>
              <w:rFonts w:ascii="Times New Roman" w:eastAsiaTheme="minorEastAsia" w:hAnsi="Times New Roman" w:cs="Times New Roman"/>
              <w:noProof/>
              <w:lang w:bidi="ar-SA"/>
            </w:rPr>
          </w:pPr>
          <w:hyperlink w:anchor="_Toc65498621" w:history="1">
            <w:r w:rsidR="00266FFB" w:rsidRPr="00097D93">
              <w:rPr>
                <w:rStyle w:val="Hipervnculo"/>
                <w:rFonts w:ascii="Times New Roman" w:hAnsi="Times New Roman" w:cs="Times New Roman"/>
                <w:noProof/>
              </w:rPr>
              <w:t>5.2.3.</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Inviolabilidad de los locales de la misión diplomática en Teherán y las oficinas consulares en Tabriz y Shiraz</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_Toc65498621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30</w:t>
            </w:r>
            <w:r w:rsidR="00266FFB" w:rsidRPr="00097D93">
              <w:rPr>
                <w:rFonts w:ascii="Times New Roman" w:hAnsi="Times New Roman" w:cs="Times New Roman"/>
                <w:noProof/>
                <w:webHidden/>
              </w:rPr>
              <w:fldChar w:fldCharType="end"/>
            </w:r>
          </w:hyperlink>
        </w:p>
        <w:p w14:paraId="25908182" w14:textId="500D3BE0" w:rsidR="00266FFB" w:rsidRPr="00097D93" w:rsidRDefault="00575E7C">
          <w:pPr>
            <w:pStyle w:val="TDC3"/>
            <w:tabs>
              <w:tab w:val="left" w:pos="1320"/>
              <w:tab w:val="right" w:leader="dot" w:pos="8498"/>
            </w:tabs>
            <w:rPr>
              <w:rFonts w:ascii="Times New Roman" w:eastAsiaTheme="minorEastAsia" w:hAnsi="Times New Roman" w:cs="Times New Roman"/>
              <w:noProof/>
              <w:lang w:bidi="ar-SA"/>
            </w:rPr>
          </w:pPr>
          <w:hyperlink w:anchor="_Toc65498622" w:history="1">
            <w:r w:rsidR="00266FFB" w:rsidRPr="00097D93">
              <w:rPr>
                <w:rStyle w:val="Hipervnculo"/>
                <w:rFonts w:ascii="Times New Roman" w:hAnsi="Times New Roman" w:cs="Times New Roman"/>
                <w:noProof/>
              </w:rPr>
              <w:t>5.2.4.</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Responsabilidad Internacional de la República Islámica de Irán</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_Toc65498622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33</w:t>
            </w:r>
            <w:r w:rsidR="00266FFB" w:rsidRPr="00097D93">
              <w:rPr>
                <w:rFonts w:ascii="Times New Roman" w:hAnsi="Times New Roman" w:cs="Times New Roman"/>
                <w:noProof/>
                <w:webHidden/>
              </w:rPr>
              <w:fldChar w:fldCharType="end"/>
            </w:r>
          </w:hyperlink>
        </w:p>
        <w:p w14:paraId="33C52F38" w14:textId="7A9ECC03" w:rsidR="00266FFB" w:rsidRPr="00097D93" w:rsidRDefault="00575E7C">
          <w:pPr>
            <w:pStyle w:val="TDC3"/>
            <w:tabs>
              <w:tab w:val="left" w:pos="1320"/>
              <w:tab w:val="right" w:leader="dot" w:pos="8498"/>
            </w:tabs>
            <w:rPr>
              <w:rFonts w:ascii="Times New Roman" w:eastAsiaTheme="minorEastAsia" w:hAnsi="Times New Roman" w:cs="Times New Roman"/>
              <w:noProof/>
              <w:lang w:bidi="ar-SA"/>
            </w:rPr>
          </w:pPr>
          <w:hyperlink w:anchor="_Toc65498623" w:history="1">
            <w:r w:rsidR="00266FFB" w:rsidRPr="00097D93">
              <w:rPr>
                <w:rStyle w:val="Hipervnculo"/>
                <w:rFonts w:ascii="Times New Roman" w:hAnsi="Times New Roman" w:cs="Times New Roman"/>
                <w:noProof/>
              </w:rPr>
              <w:t>5.2.5.</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Consecuencias políticas y jurídicas</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_Toc65498623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36</w:t>
            </w:r>
            <w:r w:rsidR="00266FFB" w:rsidRPr="00097D93">
              <w:rPr>
                <w:rFonts w:ascii="Times New Roman" w:hAnsi="Times New Roman" w:cs="Times New Roman"/>
                <w:noProof/>
                <w:webHidden/>
              </w:rPr>
              <w:fldChar w:fldCharType="end"/>
            </w:r>
          </w:hyperlink>
        </w:p>
        <w:p w14:paraId="2EB14CC3" w14:textId="5BF50F1F" w:rsidR="00266FFB" w:rsidRPr="00097D93" w:rsidRDefault="00575E7C">
          <w:pPr>
            <w:pStyle w:val="TDC2"/>
            <w:tabs>
              <w:tab w:val="left" w:pos="880"/>
              <w:tab w:val="right" w:leader="dot" w:pos="8498"/>
            </w:tabs>
            <w:rPr>
              <w:rFonts w:ascii="Times New Roman" w:eastAsiaTheme="minorEastAsia" w:hAnsi="Times New Roman" w:cs="Times New Roman"/>
              <w:noProof/>
              <w:lang w:bidi="ar-SA"/>
            </w:rPr>
          </w:pPr>
          <w:hyperlink w:anchor="_Toc65498624" w:history="1">
            <w:r w:rsidR="00266FFB" w:rsidRPr="00097D93">
              <w:rPr>
                <w:rStyle w:val="Hipervnculo"/>
                <w:rFonts w:ascii="Times New Roman" w:hAnsi="Times New Roman" w:cs="Times New Roman"/>
                <w:noProof/>
              </w:rPr>
              <w:t>5.3.</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Ataque terrorista en el Consulado de Estados Unidos en Bengasí</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_Toc65498624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37</w:t>
            </w:r>
            <w:r w:rsidR="00266FFB" w:rsidRPr="00097D93">
              <w:rPr>
                <w:rFonts w:ascii="Times New Roman" w:hAnsi="Times New Roman" w:cs="Times New Roman"/>
                <w:noProof/>
                <w:webHidden/>
              </w:rPr>
              <w:fldChar w:fldCharType="end"/>
            </w:r>
          </w:hyperlink>
        </w:p>
        <w:p w14:paraId="62DAB160" w14:textId="0A486035" w:rsidR="00266FFB" w:rsidRPr="00097D93" w:rsidRDefault="00575E7C">
          <w:pPr>
            <w:pStyle w:val="TDC3"/>
            <w:tabs>
              <w:tab w:val="left" w:pos="1320"/>
              <w:tab w:val="right" w:leader="dot" w:pos="8498"/>
            </w:tabs>
            <w:rPr>
              <w:rFonts w:ascii="Times New Roman" w:eastAsiaTheme="minorEastAsia" w:hAnsi="Times New Roman" w:cs="Times New Roman"/>
              <w:noProof/>
              <w:lang w:bidi="ar-SA"/>
            </w:rPr>
          </w:pPr>
          <w:hyperlink w:anchor="_Toc65498625" w:history="1">
            <w:r w:rsidR="00266FFB" w:rsidRPr="00097D93">
              <w:rPr>
                <w:rStyle w:val="Hipervnculo"/>
                <w:rFonts w:ascii="Times New Roman" w:hAnsi="Times New Roman" w:cs="Times New Roman"/>
                <w:noProof/>
              </w:rPr>
              <w:t>5.3.1.</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Contexto histórico</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_Toc65498625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37</w:t>
            </w:r>
            <w:r w:rsidR="00266FFB" w:rsidRPr="00097D93">
              <w:rPr>
                <w:rFonts w:ascii="Times New Roman" w:hAnsi="Times New Roman" w:cs="Times New Roman"/>
                <w:noProof/>
                <w:webHidden/>
              </w:rPr>
              <w:fldChar w:fldCharType="end"/>
            </w:r>
          </w:hyperlink>
        </w:p>
        <w:p w14:paraId="7AD39639" w14:textId="6886D46B" w:rsidR="00266FFB" w:rsidRPr="00097D93" w:rsidRDefault="00575E7C">
          <w:pPr>
            <w:pStyle w:val="TDC3"/>
            <w:tabs>
              <w:tab w:val="left" w:pos="1320"/>
              <w:tab w:val="right" w:leader="dot" w:pos="8498"/>
            </w:tabs>
            <w:rPr>
              <w:rFonts w:ascii="Times New Roman" w:eastAsiaTheme="minorEastAsia" w:hAnsi="Times New Roman" w:cs="Times New Roman"/>
              <w:noProof/>
              <w:lang w:bidi="ar-SA"/>
            </w:rPr>
          </w:pPr>
          <w:hyperlink w:anchor="_Toc65498626" w:history="1">
            <w:r w:rsidR="00266FFB" w:rsidRPr="00097D93">
              <w:rPr>
                <w:rStyle w:val="Hipervnculo"/>
                <w:rFonts w:ascii="Times New Roman" w:hAnsi="Times New Roman" w:cs="Times New Roman"/>
                <w:noProof/>
              </w:rPr>
              <w:t>5.3.2.</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Antecedentes de hechos</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_Toc65498626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38</w:t>
            </w:r>
            <w:r w:rsidR="00266FFB" w:rsidRPr="00097D93">
              <w:rPr>
                <w:rFonts w:ascii="Times New Roman" w:hAnsi="Times New Roman" w:cs="Times New Roman"/>
                <w:noProof/>
                <w:webHidden/>
              </w:rPr>
              <w:fldChar w:fldCharType="end"/>
            </w:r>
          </w:hyperlink>
        </w:p>
        <w:p w14:paraId="22370D8F" w14:textId="25AB0D26" w:rsidR="00266FFB" w:rsidRPr="00097D93" w:rsidRDefault="00575E7C">
          <w:pPr>
            <w:pStyle w:val="TDC3"/>
            <w:tabs>
              <w:tab w:val="left" w:pos="1320"/>
              <w:tab w:val="right" w:leader="dot" w:pos="8498"/>
            </w:tabs>
            <w:rPr>
              <w:rFonts w:ascii="Times New Roman" w:eastAsiaTheme="minorEastAsia" w:hAnsi="Times New Roman" w:cs="Times New Roman"/>
              <w:noProof/>
              <w:lang w:bidi="ar-SA"/>
            </w:rPr>
          </w:pPr>
          <w:hyperlink w:anchor="_Toc65498627" w:history="1">
            <w:r w:rsidR="00266FFB" w:rsidRPr="00097D93">
              <w:rPr>
                <w:rStyle w:val="Hipervnculo"/>
                <w:rFonts w:ascii="Times New Roman" w:hAnsi="Times New Roman" w:cs="Times New Roman"/>
                <w:noProof/>
              </w:rPr>
              <w:t>5.3.3.</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Inviolabilidad de los locales de la Oficina Consular en Bengasi</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_Toc65498627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39</w:t>
            </w:r>
            <w:r w:rsidR="00266FFB" w:rsidRPr="00097D93">
              <w:rPr>
                <w:rFonts w:ascii="Times New Roman" w:hAnsi="Times New Roman" w:cs="Times New Roman"/>
                <w:noProof/>
                <w:webHidden/>
              </w:rPr>
              <w:fldChar w:fldCharType="end"/>
            </w:r>
          </w:hyperlink>
        </w:p>
        <w:p w14:paraId="350FDC60" w14:textId="1AE9B032" w:rsidR="00266FFB" w:rsidRPr="00097D93" w:rsidRDefault="00575E7C">
          <w:pPr>
            <w:pStyle w:val="TDC3"/>
            <w:tabs>
              <w:tab w:val="left" w:pos="1320"/>
              <w:tab w:val="right" w:leader="dot" w:pos="8498"/>
            </w:tabs>
            <w:rPr>
              <w:rFonts w:ascii="Times New Roman" w:eastAsiaTheme="minorEastAsia" w:hAnsi="Times New Roman" w:cs="Times New Roman"/>
              <w:noProof/>
              <w:lang w:bidi="ar-SA"/>
            </w:rPr>
          </w:pPr>
          <w:hyperlink w:anchor="_Toc65498628" w:history="1">
            <w:r w:rsidR="00266FFB" w:rsidRPr="00097D93">
              <w:rPr>
                <w:rStyle w:val="Hipervnculo"/>
                <w:rFonts w:ascii="Times New Roman" w:hAnsi="Times New Roman" w:cs="Times New Roman"/>
                <w:noProof/>
              </w:rPr>
              <w:t>5.3.4.</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Responsabilidad Internacional de Libia</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_Toc65498628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41</w:t>
            </w:r>
            <w:r w:rsidR="00266FFB" w:rsidRPr="00097D93">
              <w:rPr>
                <w:rFonts w:ascii="Times New Roman" w:hAnsi="Times New Roman" w:cs="Times New Roman"/>
                <w:noProof/>
                <w:webHidden/>
              </w:rPr>
              <w:fldChar w:fldCharType="end"/>
            </w:r>
          </w:hyperlink>
        </w:p>
        <w:p w14:paraId="3C8615E8" w14:textId="13460665" w:rsidR="00266FFB" w:rsidRPr="00097D93" w:rsidRDefault="00575E7C">
          <w:pPr>
            <w:pStyle w:val="TDC3"/>
            <w:tabs>
              <w:tab w:val="left" w:pos="1320"/>
              <w:tab w:val="right" w:leader="dot" w:pos="8498"/>
            </w:tabs>
            <w:rPr>
              <w:rFonts w:ascii="Times New Roman" w:eastAsiaTheme="minorEastAsia" w:hAnsi="Times New Roman" w:cs="Times New Roman"/>
              <w:noProof/>
              <w:lang w:bidi="ar-SA"/>
            </w:rPr>
          </w:pPr>
          <w:hyperlink w:anchor="_Toc65498629" w:history="1">
            <w:r w:rsidR="00266FFB" w:rsidRPr="00097D93">
              <w:rPr>
                <w:rStyle w:val="Hipervnculo"/>
                <w:rFonts w:ascii="Times New Roman" w:hAnsi="Times New Roman" w:cs="Times New Roman"/>
                <w:noProof/>
              </w:rPr>
              <w:t>5.3.5.</w:t>
            </w:r>
            <w:r w:rsidR="00266FFB" w:rsidRPr="00097D93">
              <w:rPr>
                <w:rFonts w:ascii="Times New Roman" w:eastAsiaTheme="minorEastAsia" w:hAnsi="Times New Roman" w:cs="Times New Roman"/>
                <w:noProof/>
                <w:lang w:bidi="ar-SA"/>
              </w:rPr>
              <w:tab/>
            </w:r>
            <w:r w:rsidR="00266FFB" w:rsidRPr="00097D93">
              <w:rPr>
                <w:rStyle w:val="Hipervnculo"/>
                <w:rFonts w:ascii="Times New Roman" w:hAnsi="Times New Roman" w:cs="Times New Roman"/>
                <w:noProof/>
              </w:rPr>
              <w:t>Consecuencias políticas y jurídicas</w:t>
            </w:r>
            <w:r w:rsidR="00266FFB" w:rsidRPr="00097D93">
              <w:rPr>
                <w:rFonts w:ascii="Times New Roman" w:hAnsi="Times New Roman" w:cs="Times New Roman"/>
                <w:noProof/>
                <w:webHidden/>
              </w:rPr>
              <w:tab/>
            </w:r>
            <w:r w:rsidR="00266FFB" w:rsidRPr="00097D93">
              <w:rPr>
                <w:rFonts w:ascii="Times New Roman" w:hAnsi="Times New Roman" w:cs="Times New Roman"/>
                <w:noProof/>
                <w:webHidden/>
              </w:rPr>
              <w:fldChar w:fldCharType="begin"/>
            </w:r>
            <w:r w:rsidR="00266FFB" w:rsidRPr="00097D93">
              <w:rPr>
                <w:rFonts w:ascii="Times New Roman" w:hAnsi="Times New Roman" w:cs="Times New Roman"/>
                <w:noProof/>
                <w:webHidden/>
              </w:rPr>
              <w:instrText xml:space="preserve"> PAGEREF _Toc65498629 \h </w:instrText>
            </w:r>
            <w:r w:rsidR="00266FFB" w:rsidRPr="00097D93">
              <w:rPr>
                <w:rFonts w:ascii="Times New Roman" w:hAnsi="Times New Roman" w:cs="Times New Roman"/>
                <w:noProof/>
                <w:webHidden/>
              </w:rPr>
            </w:r>
            <w:r w:rsidR="00266FFB" w:rsidRPr="00097D93">
              <w:rPr>
                <w:rFonts w:ascii="Times New Roman" w:hAnsi="Times New Roman" w:cs="Times New Roman"/>
                <w:noProof/>
                <w:webHidden/>
              </w:rPr>
              <w:fldChar w:fldCharType="separate"/>
            </w:r>
            <w:r w:rsidR="00266FFB" w:rsidRPr="00097D93">
              <w:rPr>
                <w:rFonts w:ascii="Times New Roman" w:hAnsi="Times New Roman" w:cs="Times New Roman"/>
                <w:noProof/>
                <w:webHidden/>
              </w:rPr>
              <w:t>43</w:t>
            </w:r>
            <w:r w:rsidR="00266FFB" w:rsidRPr="00097D93">
              <w:rPr>
                <w:rFonts w:ascii="Times New Roman" w:hAnsi="Times New Roman" w:cs="Times New Roman"/>
                <w:noProof/>
                <w:webHidden/>
              </w:rPr>
              <w:fldChar w:fldCharType="end"/>
            </w:r>
          </w:hyperlink>
        </w:p>
        <w:p w14:paraId="7F03469C" w14:textId="312B3837" w:rsidR="00266FFB" w:rsidRPr="00097D93" w:rsidRDefault="00575E7C">
          <w:pPr>
            <w:pStyle w:val="TDC1"/>
            <w:tabs>
              <w:tab w:val="left" w:pos="440"/>
            </w:tabs>
            <w:rPr>
              <w:rFonts w:eastAsiaTheme="minorEastAsia"/>
              <w:lang w:bidi="ar-SA"/>
            </w:rPr>
          </w:pPr>
          <w:hyperlink w:anchor="_Toc65498630" w:history="1">
            <w:r w:rsidR="00266FFB" w:rsidRPr="00097D93">
              <w:rPr>
                <w:rStyle w:val="Hipervnculo"/>
              </w:rPr>
              <w:t>6.</w:t>
            </w:r>
            <w:r w:rsidR="00266FFB" w:rsidRPr="00097D93">
              <w:rPr>
                <w:rFonts w:eastAsiaTheme="minorEastAsia"/>
                <w:lang w:bidi="ar-SA"/>
              </w:rPr>
              <w:tab/>
            </w:r>
            <w:r w:rsidR="00266FFB" w:rsidRPr="00097D93">
              <w:rPr>
                <w:rStyle w:val="Hipervnculo"/>
              </w:rPr>
              <w:t>Conclusiones</w:t>
            </w:r>
            <w:r w:rsidR="00266FFB" w:rsidRPr="00097D93">
              <w:rPr>
                <w:webHidden/>
              </w:rPr>
              <w:tab/>
            </w:r>
            <w:r w:rsidR="00266FFB" w:rsidRPr="00097D93">
              <w:rPr>
                <w:webHidden/>
              </w:rPr>
              <w:fldChar w:fldCharType="begin"/>
            </w:r>
            <w:r w:rsidR="00266FFB" w:rsidRPr="00097D93">
              <w:rPr>
                <w:webHidden/>
              </w:rPr>
              <w:instrText xml:space="preserve"> PAGEREF _Toc65498630 \h </w:instrText>
            </w:r>
            <w:r w:rsidR="00266FFB" w:rsidRPr="00097D93">
              <w:rPr>
                <w:webHidden/>
              </w:rPr>
            </w:r>
            <w:r w:rsidR="00266FFB" w:rsidRPr="00097D93">
              <w:rPr>
                <w:webHidden/>
              </w:rPr>
              <w:fldChar w:fldCharType="separate"/>
            </w:r>
            <w:r w:rsidR="00266FFB" w:rsidRPr="00097D93">
              <w:rPr>
                <w:webHidden/>
              </w:rPr>
              <w:t>44</w:t>
            </w:r>
            <w:r w:rsidR="00266FFB" w:rsidRPr="00097D93">
              <w:rPr>
                <w:webHidden/>
              </w:rPr>
              <w:fldChar w:fldCharType="end"/>
            </w:r>
          </w:hyperlink>
        </w:p>
        <w:p w14:paraId="3BB8CD00" w14:textId="18311629" w:rsidR="00266FFB" w:rsidRPr="00266FFB" w:rsidRDefault="00575E7C">
          <w:pPr>
            <w:pStyle w:val="TDC1"/>
            <w:rPr>
              <w:rFonts w:eastAsiaTheme="minorEastAsia"/>
              <w:lang w:bidi="ar-SA"/>
            </w:rPr>
          </w:pPr>
          <w:hyperlink w:anchor="_Toc65498631" w:history="1">
            <w:r w:rsidR="00266FFB" w:rsidRPr="00097D93">
              <w:rPr>
                <w:rStyle w:val="Hipervnculo"/>
              </w:rPr>
              <w:t>Bibliografía</w:t>
            </w:r>
            <w:r w:rsidR="00266FFB" w:rsidRPr="00097D93">
              <w:rPr>
                <w:webHidden/>
              </w:rPr>
              <w:tab/>
            </w:r>
            <w:r w:rsidR="00266FFB" w:rsidRPr="00097D93">
              <w:rPr>
                <w:webHidden/>
              </w:rPr>
              <w:fldChar w:fldCharType="begin"/>
            </w:r>
            <w:r w:rsidR="00266FFB" w:rsidRPr="00097D93">
              <w:rPr>
                <w:webHidden/>
              </w:rPr>
              <w:instrText xml:space="preserve"> PAGEREF _Toc65498631 \h </w:instrText>
            </w:r>
            <w:r w:rsidR="00266FFB" w:rsidRPr="00097D93">
              <w:rPr>
                <w:webHidden/>
              </w:rPr>
            </w:r>
            <w:r w:rsidR="00266FFB" w:rsidRPr="00097D93">
              <w:rPr>
                <w:webHidden/>
              </w:rPr>
              <w:fldChar w:fldCharType="separate"/>
            </w:r>
            <w:r w:rsidR="00266FFB" w:rsidRPr="00097D93">
              <w:rPr>
                <w:webHidden/>
              </w:rPr>
              <w:t>49</w:t>
            </w:r>
            <w:r w:rsidR="00266FFB" w:rsidRPr="00097D93">
              <w:rPr>
                <w:webHidden/>
              </w:rPr>
              <w:fldChar w:fldCharType="end"/>
            </w:r>
          </w:hyperlink>
        </w:p>
        <w:p w14:paraId="1B5286A6" w14:textId="3B9D5C6E" w:rsidR="00250A86" w:rsidRPr="00200AC2" w:rsidRDefault="00862A4F" w:rsidP="00200AC2">
          <w:pPr>
            <w:spacing w:line="360" w:lineRule="auto"/>
          </w:pPr>
          <w:r w:rsidRPr="00266FFB">
            <w:rPr>
              <w:rFonts w:ascii="Times New Roman" w:hAnsi="Times New Roman" w:cs="Times New Roman"/>
              <w:b/>
              <w:bCs/>
            </w:rPr>
            <w:fldChar w:fldCharType="end"/>
          </w:r>
        </w:p>
      </w:sdtContent>
    </w:sdt>
    <w:p w14:paraId="234C42D3" w14:textId="2125C334" w:rsidR="00862A4F" w:rsidRPr="00250A86" w:rsidRDefault="00CC05C2" w:rsidP="00862A4F">
      <w:pPr>
        <w:pStyle w:val="Ttulo1"/>
        <w:numPr>
          <w:ilvl w:val="0"/>
          <w:numId w:val="1"/>
        </w:numPr>
        <w:spacing w:line="360" w:lineRule="auto"/>
        <w:rPr>
          <w:rFonts w:ascii="Times New Roman" w:hAnsi="Times New Roman" w:cs="Times New Roman"/>
        </w:rPr>
      </w:pPr>
      <w:bookmarkStart w:id="0" w:name="_Toc65498598"/>
      <w:r w:rsidRPr="0028255B">
        <w:rPr>
          <w:rFonts w:ascii="Times New Roman" w:hAnsi="Times New Roman" w:cs="Times New Roman"/>
        </w:rPr>
        <w:lastRenderedPageBreak/>
        <w:t>Introducción</w:t>
      </w:r>
      <w:bookmarkEnd w:id="0"/>
      <w:r w:rsidRPr="0028255B">
        <w:rPr>
          <w:rFonts w:ascii="Times New Roman" w:hAnsi="Times New Roman" w:cs="Times New Roman"/>
        </w:rPr>
        <w:t xml:space="preserve"> </w:t>
      </w:r>
    </w:p>
    <w:p w14:paraId="56D36522" w14:textId="2E76B902" w:rsidR="00B661BF" w:rsidRDefault="00D67474" w:rsidP="00DD7E1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La finalidad de este trabajo será el estudio de una de las</w:t>
      </w:r>
      <w:r w:rsidR="0020383F">
        <w:rPr>
          <w:rFonts w:ascii="Times New Roman" w:hAnsi="Times New Roman" w:cs="Times New Roman"/>
          <w:sz w:val="24"/>
          <w:szCs w:val="24"/>
        </w:rPr>
        <w:t xml:space="preserve"> inmunidades</w:t>
      </w:r>
      <w:r>
        <w:rPr>
          <w:rFonts w:ascii="Times New Roman" w:hAnsi="Times New Roman" w:cs="Times New Roman"/>
          <w:sz w:val="24"/>
          <w:szCs w:val="24"/>
        </w:rPr>
        <w:t xml:space="preserve"> más antigua</w:t>
      </w:r>
      <w:r w:rsidR="00575E7C">
        <w:rPr>
          <w:rFonts w:ascii="Times New Roman" w:hAnsi="Times New Roman" w:cs="Times New Roman"/>
          <w:sz w:val="24"/>
          <w:szCs w:val="24"/>
        </w:rPr>
        <w:t>s</w:t>
      </w:r>
      <w:r>
        <w:rPr>
          <w:rFonts w:ascii="Times New Roman" w:hAnsi="Times New Roman" w:cs="Times New Roman"/>
          <w:sz w:val="24"/>
          <w:szCs w:val="24"/>
        </w:rPr>
        <w:t xml:space="preserve"> e importantes del Derecho Diplomático y Consular como es la inviolabilidad o inmunidad </w:t>
      </w:r>
      <w:r w:rsidR="0032502C">
        <w:rPr>
          <w:rFonts w:ascii="Times New Roman" w:hAnsi="Times New Roman" w:cs="Times New Roman"/>
          <w:sz w:val="24"/>
          <w:szCs w:val="24"/>
        </w:rPr>
        <w:t xml:space="preserve">de coerción </w:t>
      </w:r>
      <w:r>
        <w:rPr>
          <w:rFonts w:ascii="Times New Roman" w:hAnsi="Times New Roman" w:cs="Times New Roman"/>
          <w:sz w:val="24"/>
          <w:szCs w:val="24"/>
        </w:rPr>
        <w:t>de los locales de la misión diplomática y de la oficina consular</w:t>
      </w:r>
      <w:r w:rsidR="00AA3CE6">
        <w:rPr>
          <w:rFonts w:ascii="Times New Roman" w:hAnsi="Times New Roman" w:cs="Times New Roman"/>
          <w:sz w:val="24"/>
          <w:szCs w:val="24"/>
        </w:rPr>
        <w:t xml:space="preserve">. Principalmente, el presente estudio tratará </w:t>
      </w:r>
      <w:r>
        <w:rPr>
          <w:rFonts w:ascii="Times New Roman" w:hAnsi="Times New Roman" w:cs="Times New Roman"/>
          <w:sz w:val="24"/>
          <w:szCs w:val="24"/>
        </w:rPr>
        <w:t xml:space="preserve">de analizar </w:t>
      </w:r>
      <w:r w:rsidR="0032502C">
        <w:rPr>
          <w:rFonts w:ascii="Times New Roman" w:hAnsi="Times New Roman" w:cs="Times New Roman"/>
          <w:sz w:val="24"/>
          <w:szCs w:val="24"/>
        </w:rPr>
        <w:t>la importancia de</w:t>
      </w:r>
      <w:r w:rsidR="00AA3CE6">
        <w:rPr>
          <w:rFonts w:ascii="Times New Roman" w:hAnsi="Times New Roman" w:cs="Times New Roman"/>
          <w:sz w:val="24"/>
          <w:szCs w:val="24"/>
        </w:rPr>
        <w:t xml:space="preserve">l </w:t>
      </w:r>
      <w:r>
        <w:rPr>
          <w:rFonts w:ascii="Times New Roman" w:hAnsi="Times New Roman" w:cs="Times New Roman"/>
          <w:sz w:val="24"/>
          <w:szCs w:val="24"/>
        </w:rPr>
        <w:t>cumplimiento</w:t>
      </w:r>
      <w:r w:rsidR="00AA3CE6">
        <w:rPr>
          <w:rFonts w:ascii="Times New Roman" w:hAnsi="Times New Roman" w:cs="Times New Roman"/>
          <w:sz w:val="24"/>
          <w:szCs w:val="24"/>
        </w:rPr>
        <w:t xml:space="preserve"> de este principio</w:t>
      </w:r>
      <w:r w:rsidR="0032502C">
        <w:rPr>
          <w:rFonts w:ascii="Times New Roman" w:hAnsi="Times New Roman" w:cs="Times New Roman"/>
          <w:sz w:val="24"/>
          <w:szCs w:val="24"/>
        </w:rPr>
        <w:t xml:space="preserve"> y el sistema de responsabilidad internacional como consecuencia de su v</w:t>
      </w:r>
      <w:r w:rsidR="00DD7E13">
        <w:rPr>
          <w:rFonts w:ascii="Times New Roman" w:hAnsi="Times New Roman" w:cs="Times New Roman"/>
          <w:sz w:val="24"/>
          <w:szCs w:val="24"/>
        </w:rPr>
        <w:t>ulneración</w:t>
      </w:r>
      <w:r w:rsidR="0032502C">
        <w:rPr>
          <w:rFonts w:ascii="Times New Roman" w:hAnsi="Times New Roman" w:cs="Times New Roman"/>
          <w:sz w:val="24"/>
          <w:szCs w:val="24"/>
        </w:rPr>
        <w:t>.</w:t>
      </w:r>
      <w:r w:rsidR="00AA3CE6">
        <w:rPr>
          <w:rFonts w:ascii="Times New Roman" w:hAnsi="Times New Roman" w:cs="Times New Roman"/>
          <w:sz w:val="24"/>
          <w:szCs w:val="24"/>
        </w:rPr>
        <w:t xml:space="preserve"> En definitiva, </w:t>
      </w:r>
      <w:r w:rsidR="00124DA2">
        <w:rPr>
          <w:rFonts w:ascii="Times New Roman" w:hAnsi="Times New Roman" w:cs="Times New Roman"/>
          <w:sz w:val="24"/>
          <w:szCs w:val="24"/>
        </w:rPr>
        <w:t xml:space="preserve">la hipótesis principal </w:t>
      </w:r>
      <w:r w:rsidR="001C69D2">
        <w:rPr>
          <w:rFonts w:ascii="Times New Roman" w:hAnsi="Times New Roman" w:cs="Times New Roman"/>
          <w:sz w:val="24"/>
          <w:szCs w:val="24"/>
        </w:rPr>
        <w:t xml:space="preserve">atenderá al problema del incumplimiento por parte del Estado receptor de la inviolabilidad de las sedes diplomáticas y consulares, pues supone un hecho ilícito internacional de grandísima relevancia que no debe quedar impune como ha sido el caso hasta nuestros días. </w:t>
      </w:r>
      <w:r w:rsidR="00DC6174">
        <w:rPr>
          <w:rFonts w:ascii="Times New Roman" w:hAnsi="Times New Roman" w:cs="Times New Roman"/>
          <w:sz w:val="24"/>
          <w:szCs w:val="24"/>
        </w:rPr>
        <w:t>Además, se tratarán de resolver otras cuestiones relativas al grado de cumplimiento de las Convenciones de Relaciones Diplomáticas y Consulares de 196</w:t>
      </w:r>
      <w:r w:rsidR="0020383F">
        <w:rPr>
          <w:rFonts w:ascii="Times New Roman" w:hAnsi="Times New Roman" w:cs="Times New Roman"/>
          <w:sz w:val="24"/>
          <w:szCs w:val="24"/>
        </w:rPr>
        <w:t>1</w:t>
      </w:r>
      <w:r w:rsidR="00DC6174">
        <w:rPr>
          <w:rFonts w:ascii="Times New Roman" w:hAnsi="Times New Roman" w:cs="Times New Roman"/>
          <w:sz w:val="24"/>
          <w:szCs w:val="24"/>
        </w:rPr>
        <w:t xml:space="preserve"> y 1963 de Viena, así com</w:t>
      </w:r>
      <w:r w:rsidR="001B0A60">
        <w:rPr>
          <w:rFonts w:ascii="Times New Roman" w:hAnsi="Times New Roman" w:cs="Times New Roman"/>
          <w:sz w:val="24"/>
          <w:szCs w:val="24"/>
        </w:rPr>
        <w:t xml:space="preserve">o el papel del contexto social y político en el Estado receptor </w:t>
      </w:r>
      <w:r w:rsidR="00DC6174">
        <w:rPr>
          <w:rFonts w:ascii="Times New Roman" w:hAnsi="Times New Roman" w:cs="Times New Roman"/>
          <w:sz w:val="24"/>
          <w:szCs w:val="24"/>
        </w:rPr>
        <w:t xml:space="preserve">. </w:t>
      </w:r>
    </w:p>
    <w:p w14:paraId="6B4F379D" w14:textId="33787F8D" w:rsidR="00D66543" w:rsidRDefault="00D66543" w:rsidP="00B661B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Las razones que motivaron la elección de est</w:t>
      </w:r>
      <w:r w:rsidR="00CE6D84">
        <w:rPr>
          <w:rFonts w:ascii="Times New Roman" w:hAnsi="Times New Roman" w:cs="Times New Roman"/>
          <w:sz w:val="24"/>
          <w:szCs w:val="24"/>
        </w:rPr>
        <w:t>a cuestión</w:t>
      </w:r>
      <w:r>
        <w:rPr>
          <w:rFonts w:ascii="Times New Roman" w:hAnsi="Times New Roman" w:cs="Times New Roman"/>
          <w:sz w:val="24"/>
          <w:szCs w:val="24"/>
        </w:rPr>
        <w:t xml:space="preserve"> responden principalmente a dos motivos</w:t>
      </w:r>
      <w:r w:rsidR="00436CC0">
        <w:rPr>
          <w:rFonts w:ascii="Times New Roman" w:hAnsi="Times New Roman" w:cs="Times New Roman"/>
          <w:sz w:val="24"/>
          <w:szCs w:val="24"/>
        </w:rPr>
        <w:t>,</w:t>
      </w:r>
      <w:r>
        <w:rPr>
          <w:rFonts w:ascii="Times New Roman" w:hAnsi="Times New Roman" w:cs="Times New Roman"/>
          <w:sz w:val="24"/>
          <w:szCs w:val="24"/>
        </w:rPr>
        <w:t xml:space="preserve"> por un lado, la necesidad de investigar sobre un principio fundamental sin el cual sería imposible la realización de las funciones diplomáticas y consulares, pues las </w:t>
      </w:r>
      <w:r w:rsidRPr="00D66543">
        <w:rPr>
          <w:rFonts w:ascii="Times New Roman" w:hAnsi="Times New Roman" w:cs="Times New Roman"/>
          <w:sz w:val="24"/>
          <w:szCs w:val="24"/>
        </w:rPr>
        <w:t xml:space="preserve">inmunidades y privilegios especiales </w:t>
      </w:r>
      <w:r w:rsidRPr="007C2A38">
        <w:rPr>
          <w:rFonts w:ascii="Times New Roman" w:hAnsi="Times New Roman" w:cs="Times New Roman"/>
          <w:i/>
          <w:iCs/>
          <w:sz w:val="24"/>
          <w:szCs w:val="24"/>
        </w:rPr>
        <w:t>“se conceden no en beneficio de las personas, sino con el fin de garantizar el desempeño eficaz de las funciones de las misiones diplomáticas en calidad de representantes de los Estados”</w:t>
      </w:r>
      <w:r w:rsidR="00D52A94">
        <w:rPr>
          <w:rStyle w:val="Refdenotaalpie"/>
          <w:rFonts w:ascii="Times New Roman" w:hAnsi="Times New Roman" w:cs="Times New Roman"/>
          <w:i/>
          <w:iCs/>
          <w:sz w:val="24"/>
          <w:szCs w:val="24"/>
        </w:rPr>
        <w:footnoteReference w:id="1"/>
      </w:r>
      <w:r>
        <w:rPr>
          <w:rFonts w:ascii="Times New Roman" w:hAnsi="Times New Roman" w:cs="Times New Roman"/>
          <w:sz w:val="24"/>
          <w:szCs w:val="24"/>
        </w:rPr>
        <w:t xml:space="preserve">. Por otro lado, </w:t>
      </w:r>
      <w:r w:rsidR="001B0A60">
        <w:rPr>
          <w:rFonts w:ascii="Times New Roman" w:hAnsi="Times New Roman" w:cs="Times New Roman"/>
          <w:sz w:val="24"/>
          <w:szCs w:val="24"/>
        </w:rPr>
        <w:t xml:space="preserve">estudiar una motivación personal como es el mundo de la diplomacia cuyo centro de actuación es la misión diplomática. </w:t>
      </w:r>
    </w:p>
    <w:p w14:paraId="25EB366F" w14:textId="6C7F12D8" w:rsidR="00D67474" w:rsidRDefault="00CE6D84" w:rsidP="00B661B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En el trabajo será</w:t>
      </w:r>
      <w:r w:rsidR="0010574C">
        <w:rPr>
          <w:rFonts w:ascii="Times New Roman" w:hAnsi="Times New Roman" w:cs="Times New Roman"/>
          <w:sz w:val="24"/>
          <w:szCs w:val="24"/>
        </w:rPr>
        <w:t xml:space="preserve"> necesario tratar una serie de cuestione</w:t>
      </w:r>
      <w:r w:rsidR="00053967">
        <w:rPr>
          <w:rFonts w:ascii="Times New Roman" w:hAnsi="Times New Roman" w:cs="Times New Roman"/>
          <w:sz w:val="24"/>
          <w:szCs w:val="24"/>
        </w:rPr>
        <w:t xml:space="preserve">s </w:t>
      </w:r>
      <w:r w:rsidR="0010574C">
        <w:rPr>
          <w:rFonts w:ascii="Times New Roman" w:hAnsi="Times New Roman" w:cs="Times New Roman"/>
          <w:sz w:val="24"/>
          <w:szCs w:val="24"/>
        </w:rPr>
        <w:t xml:space="preserve">según el siguiente </w:t>
      </w:r>
      <w:r w:rsidR="00053967">
        <w:rPr>
          <w:rFonts w:ascii="Times New Roman" w:hAnsi="Times New Roman" w:cs="Times New Roman"/>
          <w:sz w:val="24"/>
          <w:szCs w:val="24"/>
        </w:rPr>
        <w:t xml:space="preserve">el </w:t>
      </w:r>
      <w:r w:rsidR="0010574C">
        <w:rPr>
          <w:rFonts w:ascii="Times New Roman" w:hAnsi="Times New Roman" w:cs="Times New Roman"/>
          <w:sz w:val="24"/>
          <w:szCs w:val="24"/>
        </w:rPr>
        <w:t>orden de exposición: primero, se identificarán los conceptos de la misión diplomática y la oficina consular; segundo, se atenderá al marco teórico de la investigación sobre el principio de inviolabilidad de los locales y el sistema de responsabilidad internacional del Estado;</w:t>
      </w:r>
      <w:r w:rsidR="00350761">
        <w:rPr>
          <w:rFonts w:ascii="Times New Roman" w:hAnsi="Times New Roman" w:cs="Times New Roman"/>
          <w:sz w:val="24"/>
          <w:szCs w:val="24"/>
        </w:rPr>
        <w:t xml:space="preserve"> y</w:t>
      </w:r>
      <w:r w:rsidR="0010574C">
        <w:rPr>
          <w:rFonts w:ascii="Times New Roman" w:hAnsi="Times New Roman" w:cs="Times New Roman"/>
          <w:sz w:val="24"/>
          <w:szCs w:val="24"/>
        </w:rPr>
        <w:t xml:space="preserve"> tercero, el grueso del trabajo se desarrollará sobre el estudio de</w:t>
      </w:r>
      <w:r w:rsidR="00350761">
        <w:rPr>
          <w:rFonts w:ascii="Times New Roman" w:hAnsi="Times New Roman" w:cs="Times New Roman"/>
          <w:sz w:val="24"/>
          <w:szCs w:val="24"/>
        </w:rPr>
        <w:t xml:space="preserve"> </w:t>
      </w:r>
      <w:r w:rsidR="0010574C">
        <w:rPr>
          <w:rFonts w:ascii="Times New Roman" w:hAnsi="Times New Roman" w:cs="Times New Roman"/>
          <w:sz w:val="24"/>
          <w:szCs w:val="24"/>
        </w:rPr>
        <w:t xml:space="preserve">la </w:t>
      </w:r>
      <w:r w:rsidR="00350761">
        <w:rPr>
          <w:rFonts w:ascii="Times New Roman" w:hAnsi="Times New Roman" w:cs="Times New Roman"/>
          <w:sz w:val="24"/>
          <w:szCs w:val="24"/>
        </w:rPr>
        <w:t>q</w:t>
      </w:r>
      <w:r w:rsidR="0010574C">
        <w:rPr>
          <w:rFonts w:ascii="Times New Roman" w:hAnsi="Times New Roman" w:cs="Times New Roman"/>
          <w:sz w:val="24"/>
          <w:szCs w:val="24"/>
        </w:rPr>
        <w:t xml:space="preserve">uema y </w:t>
      </w:r>
      <w:r w:rsidR="00575E7C">
        <w:rPr>
          <w:rFonts w:ascii="Times New Roman" w:hAnsi="Times New Roman" w:cs="Times New Roman"/>
          <w:sz w:val="24"/>
          <w:szCs w:val="24"/>
        </w:rPr>
        <w:t>asalto a</w:t>
      </w:r>
      <w:r w:rsidR="0010574C">
        <w:rPr>
          <w:rFonts w:ascii="Times New Roman" w:hAnsi="Times New Roman" w:cs="Times New Roman"/>
          <w:sz w:val="24"/>
          <w:szCs w:val="24"/>
        </w:rPr>
        <w:t xml:space="preserve"> la Embajada de España en Guatemala el día 31 de enero de 1980, </w:t>
      </w:r>
      <w:r w:rsidR="00350761">
        <w:rPr>
          <w:rFonts w:ascii="Times New Roman" w:hAnsi="Times New Roman" w:cs="Times New Roman"/>
          <w:sz w:val="24"/>
          <w:szCs w:val="24"/>
        </w:rPr>
        <w:t>el caso de los rehenes estadounidenses en Teherán del 4 de noviembre de 1979 al 20 de enero de 1981 y el a</w:t>
      </w:r>
      <w:r w:rsidR="001B0A60">
        <w:rPr>
          <w:rFonts w:ascii="Times New Roman" w:hAnsi="Times New Roman" w:cs="Times New Roman"/>
          <w:sz w:val="24"/>
          <w:szCs w:val="24"/>
        </w:rPr>
        <w:t xml:space="preserve">taque terrorista </w:t>
      </w:r>
      <w:r w:rsidR="00350761">
        <w:rPr>
          <w:rFonts w:ascii="Times New Roman" w:hAnsi="Times New Roman" w:cs="Times New Roman"/>
          <w:sz w:val="24"/>
          <w:szCs w:val="24"/>
        </w:rPr>
        <w:t>al consulado de Estados Unidos en Bengasi el día 12 de septiembre de 2012. Finalmente, el trabajo determinará la veracidad de la</w:t>
      </w:r>
      <w:r w:rsidR="00097D93">
        <w:rPr>
          <w:rFonts w:ascii="Times New Roman" w:hAnsi="Times New Roman" w:cs="Times New Roman"/>
          <w:sz w:val="24"/>
          <w:szCs w:val="24"/>
        </w:rPr>
        <w:t>s</w:t>
      </w:r>
      <w:r w:rsidR="00350761">
        <w:rPr>
          <w:rFonts w:ascii="Times New Roman" w:hAnsi="Times New Roman" w:cs="Times New Roman"/>
          <w:sz w:val="24"/>
          <w:szCs w:val="24"/>
        </w:rPr>
        <w:t xml:space="preserve"> hipótesis sobre la supuesta impunidad del Estado receptor por el incumplimiento del principio de la inviolabilidad </w:t>
      </w:r>
      <w:r w:rsidR="00350761">
        <w:rPr>
          <w:rFonts w:ascii="Times New Roman" w:hAnsi="Times New Roman" w:cs="Times New Roman"/>
          <w:sz w:val="24"/>
          <w:szCs w:val="24"/>
        </w:rPr>
        <w:lastRenderedPageBreak/>
        <w:t>de las sedes diplomáticas y oficinas consulares con base en el marco teórico propuesto y los casos prácticos analizados</w:t>
      </w:r>
      <w:r w:rsidR="00053967">
        <w:rPr>
          <w:rFonts w:ascii="Times New Roman" w:hAnsi="Times New Roman" w:cs="Times New Roman"/>
          <w:sz w:val="24"/>
          <w:szCs w:val="24"/>
        </w:rPr>
        <w:t>.</w:t>
      </w:r>
    </w:p>
    <w:p w14:paraId="558B5680" w14:textId="3EF4F2A5" w:rsidR="001C210F" w:rsidRDefault="00053967" w:rsidP="00436CC0">
      <w:pPr>
        <w:spacing w:line="360" w:lineRule="auto"/>
        <w:jc w:val="both"/>
        <w:rPr>
          <w:rFonts w:ascii="Times New Roman" w:hAnsi="Times New Roman" w:cs="Times New Roman"/>
          <w:sz w:val="24"/>
          <w:szCs w:val="24"/>
        </w:rPr>
      </w:pPr>
      <w:r>
        <w:rPr>
          <w:rFonts w:ascii="Times New Roman" w:hAnsi="Times New Roman" w:cs="Times New Roman"/>
          <w:sz w:val="24"/>
          <w:szCs w:val="24"/>
        </w:rPr>
        <w:tab/>
        <w:t>La metodología de este trabajo según el orden de exposición propuesto será el método</w:t>
      </w:r>
      <w:r w:rsidR="00A83EEF">
        <w:rPr>
          <w:rFonts w:ascii="Times New Roman" w:hAnsi="Times New Roman" w:cs="Times New Roman"/>
          <w:sz w:val="24"/>
          <w:szCs w:val="24"/>
        </w:rPr>
        <w:t xml:space="preserve"> </w:t>
      </w:r>
      <w:r w:rsidR="00436CC0">
        <w:rPr>
          <w:rFonts w:ascii="Times New Roman" w:hAnsi="Times New Roman" w:cs="Times New Roman"/>
          <w:sz w:val="24"/>
          <w:szCs w:val="24"/>
        </w:rPr>
        <w:t>inductivo o inferencia inductiva</w:t>
      </w:r>
      <w:r w:rsidR="00CE6D84">
        <w:rPr>
          <w:rFonts w:ascii="Times New Roman" w:hAnsi="Times New Roman" w:cs="Times New Roman"/>
          <w:sz w:val="24"/>
          <w:szCs w:val="24"/>
        </w:rPr>
        <w:t>,</w:t>
      </w:r>
      <w:r w:rsidR="00436CC0">
        <w:rPr>
          <w:rFonts w:ascii="Times New Roman" w:hAnsi="Times New Roman" w:cs="Times New Roman"/>
          <w:sz w:val="24"/>
          <w:szCs w:val="24"/>
        </w:rPr>
        <w:t xml:space="preserve"> que consiste en </w:t>
      </w:r>
      <w:r w:rsidR="00436CC0" w:rsidRPr="007C2A38">
        <w:rPr>
          <w:rFonts w:ascii="Times New Roman" w:hAnsi="Times New Roman" w:cs="Times New Roman"/>
          <w:i/>
          <w:iCs/>
          <w:sz w:val="24"/>
          <w:szCs w:val="24"/>
        </w:rPr>
        <w:t>“observar, estudiar y conocer las características generales o regulares que se aprecian en una diversidad de hechos o realidades</w:t>
      </w:r>
      <w:r w:rsidR="00CE6D84" w:rsidRPr="007C2A38">
        <w:rPr>
          <w:rFonts w:ascii="Times New Roman" w:hAnsi="Times New Roman" w:cs="Times New Roman"/>
          <w:i/>
          <w:iCs/>
          <w:sz w:val="24"/>
          <w:szCs w:val="24"/>
        </w:rPr>
        <w:t>,</w:t>
      </w:r>
      <w:r w:rsidR="00436CC0" w:rsidRPr="007C2A38">
        <w:rPr>
          <w:rFonts w:ascii="Times New Roman" w:hAnsi="Times New Roman" w:cs="Times New Roman"/>
          <w:i/>
          <w:iCs/>
          <w:sz w:val="24"/>
          <w:szCs w:val="24"/>
        </w:rPr>
        <w:t xml:space="preserve"> para formular, a partir de ellas, una proposición o ley científica de carácter general</w:t>
      </w:r>
      <w:r w:rsidR="009F08FC">
        <w:rPr>
          <w:rFonts w:ascii="Times New Roman" w:hAnsi="Times New Roman" w:cs="Times New Roman"/>
          <w:i/>
          <w:iCs/>
          <w:sz w:val="24"/>
          <w:szCs w:val="24"/>
        </w:rPr>
        <w:t>”</w:t>
      </w:r>
      <w:r w:rsidR="009F08FC">
        <w:rPr>
          <w:rStyle w:val="Refdenotaalpie"/>
          <w:rFonts w:ascii="Times New Roman" w:hAnsi="Times New Roman" w:cs="Times New Roman"/>
          <w:i/>
          <w:iCs/>
          <w:sz w:val="24"/>
          <w:szCs w:val="24"/>
        </w:rPr>
        <w:footnoteReference w:id="2"/>
      </w:r>
      <w:r w:rsidR="00A83EEF">
        <w:rPr>
          <w:rFonts w:ascii="Times New Roman" w:hAnsi="Times New Roman" w:cs="Times New Roman"/>
          <w:sz w:val="24"/>
          <w:szCs w:val="24"/>
        </w:rPr>
        <w:t xml:space="preserve">. El motivo de elección de este </w:t>
      </w:r>
      <w:r w:rsidR="00575E7C">
        <w:rPr>
          <w:rFonts w:ascii="Times New Roman" w:hAnsi="Times New Roman" w:cs="Times New Roman"/>
          <w:sz w:val="24"/>
          <w:szCs w:val="24"/>
        </w:rPr>
        <w:t>método</w:t>
      </w:r>
      <w:r w:rsidR="00A83EEF">
        <w:rPr>
          <w:rFonts w:ascii="Times New Roman" w:hAnsi="Times New Roman" w:cs="Times New Roman"/>
          <w:sz w:val="24"/>
          <w:szCs w:val="24"/>
        </w:rPr>
        <w:t xml:space="preserve"> para la realización del estudio obedece a la necesidad de desarrollar un análisis empírico con base en el marco teórico del Derecho Diplomático y Consular, a partir de la comparación </w:t>
      </w:r>
      <w:r w:rsidR="00124DA2">
        <w:rPr>
          <w:rFonts w:ascii="Times New Roman" w:hAnsi="Times New Roman" w:cs="Times New Roman"/>
          <w:sz w:val="24"/>
          <w:szCs w:val="24"/>
        </w:rPr>
        <w:t xml:space="preserve">y estudio </w:t>
      </w:r>
      <w:r w:rsidR="00A83EEF">
        <w:rPr>
          <w:rFonts w:ascii="Times New Roman" w:hAnsi="Times New Roman" w:cs="Times New Roman"/>
          <w:sz w:val="24"/>
          <w:szCs w:val="24"/>
        </w:rPr>
        <w:t>de los acontecimientos en las sedes diplomáticas de España en Guatemala y Estados Unidos en Irán, y la oficina consular estadounidense en Libia. Ello permitirá</w:t>
      </w:r>
      <w:r w:rsidR="00CE6D84">
        <w:rPr>
          <w:rFonts w:ascii="Times New Roman" w:hAnsi="Times New Roman" w:cs="Times New Roman"/>
          <w:sz w:val="24"/>
          <w:szCs w:val="24"/>
        </w:rPr>
        <w:t>,</w:t>
      </w:r>
      <w:r w:rsidR="00A83EEF">
        <w:rPr>
          <w:rFonts w:ascii="Times New Roman" w:hAnsi="Times New Roman" w:cs="Times New Roman"/>
          <w:sz w:val="24"/>
          <w:szCs w:val="24"/>
        </w:rPr>
        <w:t xml:space="preserve"> a partir de casos particulares</w:t>
      </w:r>
      <w:r w:rsidR="00CE6D84">
        <w:rPr>
          <w:rFonts w:ascii="Times New Roman" w:hAnsi="Times New Roman" w:cs="Times New Roman"/>
          <w:sz w:val="24"/>
          <w:szCs w:val="24"/>
        </w:rPr>
        <w:t>,</w:t>
      </w:r>
      <w:r w:rsidR="00A83EEF">
        <w:rPr>
          <w:rFonts w:ascii="Times New Roman" w:hAnsi="Times New Roman" w:cs="Times New Roman"/>
          <w:sz w:val="24"/>
          <w:szCs w:val="24"/>
        </w:rPr>
        <w:t xml:space="preserve"> comprender, explicar y </w:t>
      </w:r>
      <w:r w:rsidR="001C210F">
        <w:rPr>
          <w:rFonts w:ascii="Times New Roman" w:hAnsi="Times New Roman" w:cs="Times New Roman"/>
          <w:sz w:val="24"/>
          <w:szCs w:val="24"/>
        </w:rPr>
        <w:t xml:space="preserve">analizar las siguientes premisas relativas a la inviolabilidad de los locales de las misiones diplomáticas y de las oficinas consulares: </w:t>
      </w:r>
    </w:p>
    <w:p w14:paraId="30A71B5E" w14:textId="48BD267E" w:rsidR="001C210F" w:rsidRPr="001C210F" w:rsidRDefault="001C210F" w:rsidP="001C210F">
      <w:pPr>
        <w:pStyle w:val="Prrafodelista"/>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Las circunstancias político-sociales del</w:t>
      </w:r>
      <w:r w:rsidRPr="001C210F">
        <w:rPr>
          <w:rFonts w:ascii="Times New Roman" w:hAnsi="Times New Roman" w:cs="Times New Roman"/>
          <w:sz w:val="24"/>
          <w:szCs w:val="24"/>
        </w:rPr>
        <w:t xml:space="preserve"> Estado receptor</w:t>
      </w:r>
      <w:r>
        <w:rPr>
          <w:rFonts w:ascii="Times New Roman" w:hAnsi="Times New Roman" w:cs="Times New Roman"/>
          <w:sz w:val="24"/>
          <w:szCs w:val="24"/>
        </w:rPr>
        <w:t xml:space="preserve"> son determinantes para este principio, pues factores como el sistema político, la inestabilidad y la inseguridad están directamente relacionados con la violación del principio de la inviolabilidad. </w:t>
      </w:r>
    </w:p>
    <w:p w14:paraId="4520F32D" w14:textId="367E7FB9" w:rsidR="001C210F" w:rsidRDefault="001C210F" w:rsidP="001C210F">
      <w:pPr>
        <w:pStyle w:val="Prrafodelista"/>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La inviolabilidad de los locales de la misión diplomática y de la oficina consular</w:t>
      </w:r>
      <w:r w:rsidR="00D52A94">
        <w:rPr>
          <w:rFonts w:ascii="Times New Roman" w:hAnsi="Times New Roman" w:cs="Times New Roman"/>
          <w:sz w:val="24"/>
          <w:szCs w:val="24"/>
        </w:rPr>
        <w:t xml:space="preserve"> es</w:t>
      </w:r>
      <w:r>
        <w:rPr>
          <w:rFonts w:ascii="Times New Roman" w:hAnsi="Times New Roman" w:cs="Times New Roman"/>
          <w:sz w:val="24"/>
          <w:szCs w:val="24"/>
        </w:rPr>
        <w:t xml:space="preserve"> de especial imp</w:t>
      </w:r>
      <w:r w:rsidR="00D52A94">
        <w:rPr>
          <w:rFonts w:ascii="Times New Roman" w:hAnsi="Times New Roman" w:cs="Times New Roman"/>
          <w:sz w:val="24"/>
          <w:szCs w:val="24"/>
        </w:rPr>
        <w:t xml:space="preserve">ortancia para el </w:t>
      </w:r>
      <w:r w:rsidR="00575E7C">
        <w:rPr>
          <w:rFonts w:ascii="Times New Roman" w:hAnsi="Times New Roman" w:cs="Times New Roman"/>
          <w:sz w:val="24"/>
          <w:szCs w:val="24"/>
        </w:rPr>
        <w:t>régimen</w:t>
      </w:r>
      <w:r w:rsidR="00D52A94">
        <w:rPr>
          <w:rFonts w:ascii="Times New Roman" w:hAnsi="Times New Roman" w:cs="Times New Roman"/>
          <w:sz w:val="24"/>
          <w:szCs w:val="24"/>
        </w:rPr>
        <w:t xml:space="preserve"> de inmunidades y privilegios del Derecho Diplomático y Consular, puesto que su violación conlleva la vulneración de otras obligaciones internacionales. </w:t>
      </w:r>
    </w:p>
    <w:p w14:paraId="01ECC2D5" w14:textId="68778D03" w:rsidR="00D52A94" w:rsidRDefault="00D52A94" w:rsidP="001C210F">
      <w:pPr>
        <w:pStyle w:val="Prrafodelista"/>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Las consecuencias inmediatas al incumplimiento por parte del Estado Receptor de esta inviolabilidad han resultado en el mayor castigo previsto como es la ruptura de relaciones diplomáticas. </w:t>
      </w:r>
    </w:p>
    <w:p w14:paraId="0A3E4022" w14:textId="0E86FD0D" w:rsidR="00D67474" w:rsidRPr="009F08FC" w:rsidRDefault="00D52A94" w:rsidP="009F08FC">
      <w:pPr>
        <w:pStyle w:val="Prrafodelista"/>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124DA2" w:rsidRPr="001C210F">
        <w:rPr>
          <w:rFonts w:ascii="Times New Roman" w:hAnsi="Times New Roman" w:cs="Times New Roman"/>
          <w:sz w:val="24"/>
          <w:szCs w:val="24"/>
        </w:rPr>
        <w:t>l incumplimiento por parte del Estado receptor de la inviolabilidad de las sedes diplomáticas y consulares supone un hecho ilícito internacional de grandísima relevancia que ha quedado impune hasta nuestros días</w:t>
      </w:r>
      <w:r>
        <w:rPr>
          <w:rFonts w:ascii="Times New Roman" w:hAnsi="Times New Roman" w:cs="Times New Roman"/>
          <w:sz w:val="24"/>
          <w:szCs w:val="24"/>
        </w:rPr>
        <w:t xml:space="preserve">, pues el sistema de responsabilidad internacional no ha sido capaz de castigar esos </w:t>
      </w:r>
      <w:r w:rsidR="00575E7C">
        <w:rPr>
          <w:rFonts w:ascii="Times New Roman" w:hAnsi="Times New Roman" w:cs="Times New Roman"/>
          <w:sz w:val="24"/>
          <w:szCs w:val="24"/>
        </w:rPr>
        <w:t>hechos</w:t>
      </w:r>
      <w:r>
        <w:rPr>
          <w:rFonts w:ascii="Times New Roman" w:hAnsi="Times New Roman" w:cs="Times New Roman"/>
          <w:sz w:val="24"/>
          <w:szCs w:val="24"/>
        </w:rPr>
        <w:t xml:space="preserve">. </w:t>
      </w:r>
    </w:p>
    <w:p w14:paraId="077BD5F6" w14:textId="174F239C" w:rsidR="00D1218A" w:rsidRPr="00D1218A" w:rsidRDefault="00647C7D" w:rsidP="00D1218A">
      <w:pPr>
        <w:pStyle w:val="Ttulo1"/>
        <w:numPr>
          <w:ilvl w:val="0"/>
          <w:numId w:val="1"/>
        </w:numPr>
        <w:spacing w:line="360" w:lineRule="auto"/>
        <w:rPr>
          <w:rFonts w:ascii="Times New Roman" w:hAnsi="Times New Roman" w:cs="Times New Roman"/>
        </w:rPr>
      </w:pPr>
      <w:bookmarkStart w:id="2" w:name="_Toc65498599"/>
      <w:r w:rsidRPr="0028255B">
        <w:rPr>
          <w:rFonts w:ascii="Times New Roman" w:hAnsi="Times New Roman" w:cs="Times New Roman"/>
        </w:rPr>
        <w:lastRenderedPageBreak/>
        <w:t>Conceptos</w:t>
      </w:r>
      <w:bookmarkEnd w:id="2"/>
    </w:p>
    <w:p w14:paraId="07EC434F" w14:textId="7C7C734B" w:rsidR="00D67474" w:rsidRPr="0028255B" w:rsidRDefault="00647C7D" w:rsidP="00647C7D">
      <w:pPr>
        <w:pStyle w:val="Ttulo2"/>
        <w:numPr>
          <w:ilvl w:val="1"/>
          <w:numId w:val="1"/>
        </w:numPr>
        <w:spacing w:line="360" w:lineRule="auto"/>
        <w:rPr>
          <w:rFonts w:ascii="Times New Roman" w:hAnsi="Times New Roman" w:cs="Times New Roman"/>
          <w:sz w:val="28"/>
          <w:szCs w:val="28"/>
        </w:rPr>
      </w:pPr>
      <w:bookmarkStart w:id="3" w:name="_Toc65498600"/>
      <w:r w:rsidRPr="0028255B">
        <w:rPr>
          <w:rFonts w:ascii="Times New Roman" w:hAnsi="Times New Roman" w:cs="Times New Roman"/>
          <w:sz w:val="28"/>
          <w:szCs w:val="28"/>
        </w:rPr>
        <w:t>La Misión Diplomática</w:t>
      </w:r>
      <w:bookmarkEnd w:id="3"/>
    </w:p>
    <w:p w14:paraId="1A663D8A" w14:textId="41614194" w:rsidR="009A1B45" w:rsidRDefault="00953C1F" w:rsidP="00F819A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 diplomacia se concibe como la herramienta </w:t>
      </w:r>
      <w:r w:rsidR="00F22D39">
        <w:rPr>
          <w:rFonts w:ascii="Times New Roman" w:hAnsi="Times New Roman" w:cs="Times New Roman"/>
          <w:sz w:val="24"/>
          <w:szCs w:val="24"/>
        </w:rPr>
        <w:t>principal</w:t>
      </w:r>
      <w:r>
        <w:rPr>
          <w:rFonts w:ascii="Times New Roman" w:hAnsi="Times New Roman" w:cs="Times New Roman"/>
          <w:sz w:val="24"/>
          <w:szCs w:val="24"/>
        </w:rPr>
        <w:t xml:space="preserve"> para la realización de la política exterior </w:t>
      </w:r>
      <w:r w:rsidR="0079659D">
        <w:rPr>
          <w:rFonts w:ascii="Times New Roman" w:hAnsi="Times New Roman" w:cs="Times New Roman"/>
          <w:sz w:val="24"/>
          <w:szCs w:val="24"/>
        </w:rPr>
        <w:t>ent</w:t>
      </w:r>
      <w:r w:rsidR="00037F55">
        <w:rPr>
          <w:rFonts w:ascii="Times New Roman" w:hAnsi="Times New Roman" w:cs="Times New Roman"/>
          <w:sz w:val="24"/>
          <w:szCs w:val="24"/>
        </w:rPr>
        <w:t xml:space="preserve">endida </w:t>
      </w:r>
      <w:r>
        <w:rPr>
          <w:rFonts w:ascii="Times New Roman" w:hAnsi="Times New Roman" w:cs="Times New Roman"/>
          <w:sz w:val="24"/>
          <w:szCs w:val="24"/>
        </w:rPr>
        <w:t xml:space="preserve">como </w:t>
      </w:r>
      <w:r w:rsidR="0079659D" w:rsidRPr="00D52A94">
        <w:rPr>
          <w:rFonts w:ascii="Times New Roman" w:hAnsi="Times New Roman" w:cs="Times New Roman"/>
          <w:i/>
          <w:iCs/>
          <w:sz w:val="24"/>
          <w:szCs w:val="24"/>
        </w:rPr>
        <w:t>“aquella parte de la política general formada por el conjunto de decisiones y actuaciones mediante las cuales se definen los objetivos y se utilizan los medios de un Estado para generar, modificar o suspender sus relaciones con otros actores de la sociedad internacional</w:t>
      </w:r>
      <w:r w:rsidRPr="00D52A94">
        <w:rPr>
          <w:rFonts w:ascii="Times New Roman" w:hAnsi="Times New Roman" w:cs="Times New Roman"/>
          <w:i/>
          <w:iCs/>
          <w:sz w:val="24"/>
          <w:szCs w:val="24"/>
        </w:rPr>
        <w:t>”</w:t>
      </w:r>
      <w:r w:rsidR="00D52A94">
        <w:rPr>
          <w:rStyle w:val="Refdenotaalpie"/>
          <w:rFonts w:ascii="Times New Roman" w:hAnsi="Times New Roman" w:cs="Times New Roman"/>
          <w:i/>
          <w:iCs/>
          <w:sz w:val="24"/>
          <w:szCs w:val="24"/>
        </w:rPr>
        <w:footnoteReference w:id="3"/>
      </w:r>
      <w:r w:rsidR="0079659D">
        <w:rPr>
          <w:rFonts w:ascii="Times New Roman" w:hAnsi="Times New Roman" w:cs="Times New Roman"/>
          <w:sz w:val="24"/>
          <w:szCs w:val="24"/>
        </w:rPr>
        <w:t xml:space="preserve">. </w:t>
      </w:r>
      <w:r w:rsidR="00647C7D">
        <w:rPr>
          <w:rFonts w:ascii="Times New Roman" w:hAnsi="Times New Roman" w:cs="Times New Roman"/>
          <w:sz w:val="24"/>
          <w:szCs w:val="24"/>
        </w:rPr>
        <w:t xml:space="preserve">En el ejercicio de esta actividad se hace latente la necesidad de un órgano externo de las </w:t>
      </w:r>
      <w:r w:rsidR="00097D93">
        <w:rPr>
          <w:rFonts w:ascii="Times New Roman" w:hAnsi="Times New Roman" w:cs="Times New Roman"/>
          <w:sz w:val="24"/>
          <w:szCs w:val="24"/>
        </w:rPr>
        <w:t>r</w:t>
      </w:r>
      <w:r w:rsidR="00647C7D">
        <w:rPr>
          <w:rFonts w:ascii="Times New Roman" w:hAnsi="Times New Roman" w:cs="Times New Roman"/>
          <w:sz w:val="24"/>
          <w:szCs w:val="24"/>
        </w:rPr>
        <w:t xml:space="preserve">elaciones </w:t>
      </w:r>
      <w:r w:rsidR="00097D93">
        <w:rPr>
          <w:rFonts w:ascii="Times New Roman" w:hAnsi="Times New Roman" w:cs="Times New Roman"/>
          <w:sz w:val="24"/>
          <w:szCs w:val="24"/>
        </w:rPr>
        <w:t>i</w:t>
      </w:r>
      <w:r w:rsidR="00647C7D">
        <w:rPr>
          <w:rFonts w:ascii="Times New Roman" w:hAnsi="Times New Roman" w:cs="Times New Roman"/>
          <w:sz w:val="24"/>
          <w:szCs w:val="24"/>
        </w:rPr>
        <w:t>nternacionales del Estado independiente de los agentes diplomáticos, como es la Misión Diplomática</w:t>
      </w:r>
      <w:r w:rsidR="0079659D">
        <w:rPr>
          <w:rFonts w:ascii="Times New Roman" w:hAnsi="Times New Roman" w:cs="Times New Roman"/>
          <w:sz w:val="24"/>
          <w:szCs w:val="24"/>
        </w:rPr>
        <w:t xml:space="preserve">, </w:t>
      </w:r>
      <w:r w:rsidR="00B905B0">
        <w:rPr>
          <w:rFonts w:ascii="Times New Roman" w:hAnsi="Times New Roman" w:cs="Times New Roman"/>
          <w:sz w:val="24"/>
          <w:szCs w:val="24"/>
        </w:rPr>
        <w:t xml:space="preserve">que en consecuencia, se define como </w:t>
      </w:r>
      <w:r w:rsidR="00B905B0" w:rsidRPr="00D52A94">
        <w:rPr>
          <w:rFonts w:ascii="Times New Roman" w:hAnsi="Times New Roman" w:cs="Times New Roman"/>
          <w:i/>
          <w:iCs/>
          <w:sz w:val="24"/>
          <w:szCs w:val="24"/>
        </w:rPr>
        <w:t>“la agencia o establecimiento que un Estado instala en otro Estado, con su consentimiento, para mantener con él relaciones diplomáticas”</w:t>
      </w:r>
      <w:r w:rsidR="00962A0D">
        <w:rPr>
          <w:rStyle w:val="Refdenotaalpie"/>
          <w:rFonts w:ascii="Times New Roman" w:hAnsi="Times New Roman" w:cs="Times New Roman"/>
          <w:i/>
          <w:iCs/>
          <w:sz w:val="24"/>
          <w:szCs w:val="24"/>
        </w:rPr>
        <w:footnoteReference w:id="4"/>
      </w:r>
      <w:r w:rsidR="00B905B0">
        <w:rPr>
          <w:rFonts w:ascii="Times New Roman" w:hAnsi="Times New Roman" w:cs="Times New Roman"/>
          <w:sz w:val="24"/>
          <w:szCs w:val="24"/>
        </w:rPr>
        <w:t xml:space="preserve">. </w:t>
      </w:r>
    </w:p>
    <w:p w14:paraId="6F220395" w14:textId="6BA69185" w:rsidR="00420E47" w:rsidRDefault="00B905B0" w:rsidP="00F819A9">
      <w:pPr>
        <w:spacing w:line="360" w:lineRule="auto"/>
        <w:ind w:firstLine="720"/>
        <w:jc w:val="both"/>
        <w:rPr>
          <w:rFonts w:ascii="Times New Roman" w:hAnsi="Times New Roman" w:cs="Times New Roman"/>
          <w:sz w:val="24"/>
          <w:szCs w:val="24"/>
        </w:rPr>
      </w:pPr>
      <w:r w:rsidRPr="009A1B45">
        <w:rPr>
          <w:rFonts w:ascii="Times New Roman" w:hAnsi="Times New Roman" w:cs="Times New Roman"/>
          <w:sz w:val="24"/>
          <w:szCs w:val="24"/>
        </w:rPr>
        <w:t>El carácter principal de esta institución será su permanencia y estabilidad en el tiempo, pues la diplomacia hasta el Renacimiento tenía un carácter ocasional</w:t>
      </w:r>
      <w:r w:rsidR="00097D93">
        <w:rPr>
          <w:rFonts w:ascii="Times New Roman" w:hAnsi="Times New Roman" w:cs="Times New Roman"/>
          <w:sz w:val="24"/>
          <w:szCs w:val="24"/>
        </w:rPr>
        <w:t xml:space="preserve"> y </w:t>
      </w:r>
      <w:r w:rsidRPr="009A1B45">
        <w:rPr>
          <w:rFonts w:ascii="Times New Roman" w:hAnsi="Times New Roman" w:cs="Times New Roman"/>
          <w:sz w:val="24"/>
          <w:szCs w:val="24"/>
        </w:rPr>
        <w:t>temporal para asuntos concretos con</w:t>
      </w:r>
      <w:r w:rsidR="00097D93">
        <w:rPr>
          <w:rFonts w:ascii="Times New Roman" w:hAnsi="Times New Roman" w:cs="Times New Roman"/>
          <w:sz w:val="24"/>
          <w:szCs w:val="24"/>
        </w:rPr>
        <w:t xml:space="preserve"> el propósito</w:t>
      </w:r>
      <w:r w:rsidRPr="009A1B45">
        <w:rPr>
          <w:rFonts w:ascii="Times New Roman" w:hAnsi="Times New Roman" w:cs="Times New Roman"/>
          <w:sz w:val="24"/>
          <w:szCs w:val="24"/>
        </w:rPr>
        <w:t xml:space="preserve"> de resolver un problema o dar solución a un interés común, es decir, nos encontrábamos ante una </w:t>
      </w:r>
      <w:r w:rsidR="00CE6D84">
        <w:rPr>
          <w:rFonts w:ascii="Times New Roman" w:hAnsi="Times New Roman" w:cs="Times New Roman"/>
          <w:sz w:val="24"/>
          <w:szCs w:val="24"/>
        </w:rPr>
        <w:t>“</w:t>
      </w:r>
      <w:r w:rsidRPr="009A1B45">
        <w:rPr>
          <w:rFonts w:ascii="Times New Roman" w:hAnsi="Times New Roman" w:cs="Times New Roman"/>
          <w:sz w:val="24"/>
          <w:szCs w:val="24"/>
        </w:rPr>
        <w:t>diplomacia ad hoc</w:t>
      </w:r>
      <w:r w:rsidR="00CE6D84">
        <w:rPr>
          <w:rFonts w:ascii="Times New Roman" w:hAnsi="Times New Roman" w:cs="Times New Roman"/>
          <w:sz w:val="24"/>
          <w:szCs w:val="24"/>
        </w:rPr>
        <w:t>”</w:t>
      </w:r>
      <w:r w:rsidRPr="009A1B45">
        <w:rPr>
          <w:rFonts w:ascii="Times New Roman" w:hAnsi="Times New Roman" w:cs="Times New Roman"/>
          <w:sz w:val="24"/>
          <w:szCs w:val="24"/>
        </w:rPr>
        <w:t xml:space="preserve"> </w:t>
      </w:r>
      <w:sdt>
        <w:sdtPr>
          <w:id w:val="721567292"/>
          <w:citation/>
        </w:sdtPr>
        <w:sdtContent>
          <w:r w:rsidRPr="009A1B45">
            <w:rPr>
              <w:rFonts w:ascii="Times New Roman" w:hAnsi="Times New Roman" w:cs="Times New Roman"/>
              <w:sz w:val="24"/>
              <w:szCs w:val="24"/>
            </w:rPr>
            <w:fldChar w:fldCharType="begin"/>
          </w:r>
          <w:r w:rsidRPr="009A1B45">
            <w:rPr>
              <w:rFonts w:ascii="Times New Roman" w:hAnsi="Times New Roman" w:cs="Times New Roman"/>
              <w:sz w:val="24"/>
              <w:szCs w:val="24"/>
            </w:rPr>
            <w:instrText xml:space="preserve">CITATION Vil18 \p 57 \l 3082 </w:instrText>
          </w:r>
          <w:r w:rsidRPr="009A1B45">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(Vilariño Pintos, 2018, pág. 57)</w:t>
          </w:r>
          <w:r w:rsidRPr="009A1B45">
            <w:rPr>
              <w:rFonts w:ascii="Times New Roman" w:hAnsi="Times New Roman" w:cs="Times New Roman"/>
              <w:sz w:val="24"/>
              <w:szCs w:val="24"/>
            </w:rPr>
            <w:fldChar w:fldCharType="end"/>
          </w:r>
        </w:sdtContent>
      </w:sdt>
      <w:r w:rsidRPr="009A1B45">
        <w:rPr>
          <w:rFonts w:ascii="Times New Roman" w:hAnsi="Times New Roman" w:cs="Times New Roman"/>
          <w:sz w:val="24"/>
          <w:szCs w:val="24"/>
        </w:rPr>
        <w:t>.</w:t>
      </w:r>
      <w:r w:rsidR="00CE6D84">
        <w:rPr>
          <w:rFonts w:ascii="Times New Roman" w:hAnsi="Times New Roman" w:cs="Times New Roman"/>
          <w:sz w:val="24"/>
          <w:szCs w:val="24"/>
        </w:rPr>
        <w:t xml:space="preserve"> Ahora bien, e</w:t>
      </w:r>
      <w:r w:rsidR="00893240">
        <w:rPr>
          <w:rFonts w:ascii="Times New Roman" w:hAnsi="Times New Roman" w:cs="Times New Roman"/>
          <w:sz w:val="24"/>
          <w:szCs w:val="24"/>
        </w:rPr>
        <w:t xml:space="preserve">l establecimiento y consolidación del Estado moderno hizo necesaria la </w:t>
      </w:r>
      <w:r w:rsidR="00420E47">
        <w:rPr>
          <w:rFonts w:ascii="Times New Roman" w:hAnsi="Times New Roman" w:cs="Times New Roman"/>
          <w:sz w:val="24"/>
          <w:szCs w:val="24"/>
        </w:rPr>
        <w:t>figura de un embajador permanente para asegurar y defender mejor sus específicos intereses como medio horizontal respecto a los otros Estados</w:t>
      </w:r>
      <w:r w:rsidR="00CE6D84">
        <w:rPr>
          <w:rFonts w:ascii="Times New Roman" w:hAnsi="Times New Roman" w:cs="Times New Roman"/>
          <w:sz w:val="24"/>
          <w:szCs w:val="24"/>
        </w:rPr>
        <w:t>. P</w:t>
      </w:r>
      <w:r w:rsidR="00420E47">
        <w:rPr>
          <w:rFonts w:ascii="Times New Roman" w:hAnsi="Times New Roman" w:cs="Times New Roman"/>
          <w:sz w:val="24"/>
          <w:szCs w:val="24"/>
        </w:rPr>
        <w:t xml:space="preserve">or ello, la </w:t>
      </w:r>
      <w:r w:rsidR="009F1C53">
        <w:rPr>
          <w:rFonts w:ascii="Times New Roman" w:hAnsi="Times New Roman" w:cs="Times New Roman"/>
          <w:sz w:val="24"/>
          <w:szCs w:val="24"/>
        </w:rPr>
        <w:t>misión diplomática</w:t>
      </w:r>
      <w:r w:rsidR="00420E47">
        <w:rPr>
          <w:rFonts w:ascii="Times New Roman" w:hAnsi="Times New Roman" w:cs="Times New Roman"/>
          <w:sz w:val="24"/>
          <w:szCs w:val="24"/>
        </w:rPr>
        <w:t xml:space="preserve"> </w:t>
      </w:r>
      <w:r w:rsidR="009F1C53">
        <w:rPr>
          <w:rFonts w:ascii="Times New Roman" w:hAnsi="Times New Roman" w:cs="Times New Roman"/>
          <w:sz w:val="24"/>
          <w:szCs w:val="24"/>
        </w:rPr>
        <w:t xml:space="preserve">permanente </w:t>
      </w:r>
      <w:r w:rsidR="00420E47">
        <w:rPr>
          <w:rFonts w:ascii="Times New Roman" w:hAnsi="Times New Roman" w:cs="Times New Roman"/>
          <w:sz w:val="24"/>
          <w:szCs w:val="24"/>
        </w:rPr>
        <w:t xml:space="preserve">fue una </w:t>
      </w:r>
      <w:r w:rsidR="00420E47" w:rsidRPr="00CE6D84">
        <w:rPr>
          <w:rFonts w:ascii="Times New Roman" w:hAnsi="Times New Roman" w:cs="Times New Roman"/>
          <w:i/>
          <w:iCs/>
          <w:sz w:val="24"/>
          <w:szCs w:val="24"/>
        </w:rPr>
        <w:t>“consecuencia lógica, natural y necesaria de l</w:t>
      </w:r>
      <w:r w:rsidR="00962A0D">
        <w:rPr>
          <w:rFonts w:ascii="Times New Roman" w:hAnsi="Times New Roman" w:cs="Times New Roman"/>
          <w:i/>
          <w:iCs/>
          <w:sz w:val="24"/>
          <w:szCs w:val="24"/>
        </w:rPr>
        <w:t>os</w:t>
      </w:r>
      <w:r w:rsidR="00420E47" w:rsidRPr="00CE6D84">
        <w:rPr>
          <w:rFonts w:ascii="Times New Roman" w:hAnsi="Times New Roman" w:cs="Times New Roman"/>
          <w:i/>
          <w:iCs/>
          <w:sz w:val="24"/>
          <w:szCs w:val="24"/>
        </w:rPr>
        <w:t xml:space="preserve"> cambios sufridos a fines de la Edad Media en la esfera de la política que, a su vez, empezaba a reflejar una nueva concepción del Estado”</w:t>
      </w:r>
      <w:r w:rsidR="00962A0D">
        <w:rPr>
          <w:rStyle w:val="Refdenotaalpie"/>
          <w:rFonts w:ascii="Times New Roman" w:hAnsi="Times New Roman" w:cs="Times New Roman"/>
          <w:i/>
          <w:iCs/>
          <w:sz w:val="24"/>
          <w:szCs w:val="24"/>
        </w:rPr>
        <w:footnoteReference w:id="5"/>
      </w:r>
      <w:r w:rsidR="009F1C53">
        <w:rPr>
          <w:rFonts w:ascii="Times New Roman" w:hAnsi="Times New Roman" w:cs="Times New Roman"/>
          <w:sz w:val="24"/>
          <w:szCs w:val="24"/>
        </w:rPr>
        <w:t xml:space="preserve">. </w:t>
      </w:r>
    </w:p>
    <w:p w14:paraId="56988437" w14:textId="2A14338F" w:rsidR="009F1C53" w:rsidRDefault="009F1C53" w:rsidP="00F819A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El establecimiento de este órgano institucional requiere un acuerdo internacional entre el Estado acreditante y el receptor</w:t>
      </w:r>
      <w:r w:rsidR="00CE6D84">
        <w:rPr>
          <w:rFonts w:ascii="Times New Roman" w:hAnsi="Times New Roman" w:cs="Times New Roman"/>
          <w:sz w:val="24"/>
          <w:szCs w:val="24"/>
        </w:rPr>
        <w:t xml:space="preserve">, </w:t>
      </w:r>
      <w:r>
        <w:rPr>
          <w:rFonts w:ascii="Times New Roman" w:hAnsi="Times New Roman" w:cs="Times New Roman"/>
          <w:sz w:val="24"/>
          <w:szCs w:val="24"/>
        </w:rPr>
        <w:t>según lo dispuesto en el artículo 2 de</w:t>
      </w:r>
      <w:r w:rsidR="00E92930">
        <w:rPr>
          <w:rFonts w:ascii="Times New Roman" w:hAnsi="Times New Roman" w:cs="Times New Roman"/>
          <w:sz w:val="24"/>
          <w:szCs w:val="24"/>
        </w:rPr>
        <w:t>l</w:t>
      </w:r>
      <w:r>
        <w:rPr>
          <w:rFonts w:ascii="Times New Roman" w:hAnsi="Times New Roman" w:cs="Times New Roman"/>
          <w:sz w:val="24"/>
          <w:szCs w:val="24"/>
        </w:rPr>
        <w:t xml:space="preserve"> Convenio sobre Relaciones Diplomática de Viena de 1961</w:t>
      </w:r>
      <w:r w:rsidR="00CE6D84">
        <w:rPr>
          <w:rFonts w:ascii="Times New Roman" w:hAnsi="Times New Roman" w:cs="Times New Roman"/>
          <w:sz w:val="24"/>
          <w:szCs w:val="24"/>
        </w:rPr>
        <w:t>:</w:t>
      </w:r>
      <w:r w:rsidR="00E92930">
        <w:rPr>
          <w:rFonts w:ascii="Times New Roman" w:hAnsi="Times New Roman" w:cs="Times New Roman"/>
          <w:sz w:val="24"/>
          <w:szCs w:val="24"/>
        </w:rPr>
        <w:t xml:space="preserve"> </w:t>
      </w:r>
      <w:r w:rsidR="00E92930" w:rsidRPr="00CE6D84">
        <w:rPr>
          <w:rFonts w:ascii="Times New Roman" w:hAnsi="Times New Roman" w:cs="Times New Roman"/>
          <w:i/>
          <w:iCs/>
          <w:sz w:val="24"/>
          <w:szCs w:val="24"/>
        </w:rPr>
        <w:t xml:space="preserve">“el establecimiento de relaciones diplomáticas entre Estados y el </w:t>
      </w:r>
      <w:r w:rsidR="00575E7C">
        <w:rPr>
          <w:rFonts w:ascii="Times New Roman" w:hAnsi="Times New Roman" w:cs="Times New Roman"/>
          <w:i/>
          <w:iCs/>
          <w:sz w:val="24"/>
          <w:szCs w:val="24"/>
        </w:rPr>
        <w:t>e</w:t>
      </w:r>
      <w:r w:rsidR="00E92930" w:rsidRPr="00CE6D84">
        <w:rPr>
          <w:rFonts w:ascii="Times New Roman" w:hAnsi="Times New Roman" w:cs="Times New Roman"/>
          <w:i/>
          <w:iCs/>
          <w:sz w:val="24"/>
          <w:szCs w:val="24"/>
        </w:rPr>
        <w:t>nvío de misiones diplomáticas permanentes se efectúa por consentimiento mutuo”</w:t>
      </w:r>
      <w:r w:rsidR="00E92930">
        <w:rPr>
          <w:rFonts w:ascii="Times New Roman" w:hAnsi="Times New Roman" w:cs="Times New Roman"/>
          <w:sz w:val="24"/>
          <w:szCs w:val="24"/>
        </w:rPr>
        <w:t xml:space="preserve">. Asimismo, el Convenio establece en el artículo 3 las funciones primarias de este establecimiento que consisten en la representación del Estado </w:t>
      </w:r>
      <w:r w:rsidR="00E92930">
        <w:rPr>
          <w:rFonts w:ascii="Times New Roman" w:hAnsi="Times New Roman" w:cs="Times New Roman"/>
          <w:sz w:val="24"/>
          <w:szCs w:val="24"/>
        </w:rPr>
        <w:lastRenderedPageBreak/>
        <w:t>acreditante</w:t>
      </w:r>
      <w:r w:rsidR="00575E7C">
        <w:rPr>
          <w:rFonts w:ascii="Times New Roman" w:hAnsi="Times New Roman" w:cs="Times New Roman"/>
          <w:sz w:val="24"/>
          <w:szCs w:val="24"/>
        </w:rPr>
        <w:t>;</w:t>
      </w:r>
      <w:r w:rsidR="00E92930">
        <w:rPr>
          <w:rFonts w:ascii="Times New Roman" w:hAnsi="Times New Roman" w:cs="Times New Roman"/>
          <w:sz w:val="24"/>
          <w:szCs w:val="24"/>
        </w:rPr>
        <w:t xml:space="preserve"> la protección de sus intereses</w:t>
      </w:r>
      <w:r w:rsidR="00575E7C">
        <w:rPr>
          <w:rFonts w:ascii="Times New Roman" w:hAnsi="Times New Roman" w:cs="Times New Roman"/>
          <w:sz w:val="24"/>
          <w:szCs w:val="24"/>
        </w:rPr>
        <w:t>;</w:t>
      </w:r>
      <w:r w:rsidR="00E92930">
        <w:rPr>
          <w:rFonts w:ascii="Times New Roman" w:hAnsi="Times New Roman" w:cs="Times New Roman"/>
          <w:sz w:val="24"/>
          <w:szCs w:val="24"/>
        </w:rPr>
        <w:t xml:space="preserve"> la negociación con el Estado receptor</w:t>
      </w:r>
      <w:r w:rsidR="00575E7C">
        <w:rPr>
          <w:rFonts w:ascii="Times New Roman" w:hAnsi="Times New Roman" w:cs="Times New Roman"/>
          <w:sz w:val="24"/>
          <w:szCs w:val="24"/>
        </w:rPr>
        <w:t>;</w:t>
      </w:r>
      <w:r w:rsidR="00E92930">
        <w:rPr>
          <w:rFonts w:ascii="Times New Roman" w:hAnsi="Times New Roman" w:cs="Times New Roman"/>
          <w:sz w:val="24"/>
          <w:szCs w:val="24"/>
        </w:rPr>
        <w:t xml:space="preserve"> la observación e información al propio gobierno</w:t>
      </w:r>
      <w:r w:rsidR="00575E7C">
        <w:rPr>
          <w:rFonts w:ascii="Times New Roman" w:hAnsi="Times New Roman" w:cs="Times New Roman"/>
          <w:sz w:val="24"/>
          <w:szCs w:val="24"/>
        </w:rPr>
        <w:t>;</w:t>
      </w:r>
      <w:r w:rsidR="00E92930">
        <w:rPr>
          <w:rFonts w:ascii="Times New Roman" w:hAnsi="Times New Roman" w:cs="Times New Roman"/>
          <w:sz w:val="24"/>
          <w:szCs w:val="24"/>
        </w:rPr>
        <w:t xml:space="preserve"> y el fomento de las relaciones económicas, culturales y científicas. En relación con la extinción </w:t>
      </w:r>
      <w:r w:rsidR="001833E5">
        <w:rPr>
          <w:rFonts w:ascii="Times New Roman" w:hAnsi="Times New Roman" w:cs="Times New Roman"/>
          <w:sz w:val="24"/>
          <w:szCs w:val="24"/>
        </w:rPr>
        <w:t xml:space="preserve">o terminación </w:t>
      </w:r>
      <w:r w:rsidR="00E92930">
        <w:rPr>
          <w:rFonts w:ascii="Times New Roman" w:hAnsi="Times New Roman" w:cs="Times New Roman"/>
          <w:sz w:val="24"/>
          <w:szCs w:val="24"/>
        </w:rPr>
        <w:t xml:space="preserve">de la </w:t>
      </w:r>
      <w:r w:rsidR="00037F55">
        <w:rPr>
          <w:rFonts w:ascii="Times New Roman" w:hAnsi="Times New Roman" w:cs="Times New Roman"/>
          <w:sz w:val="24"/>
          <w:szCs w:val="24"/>
        </w:rPr>
        <w:t>misión</w:t>
      </w:r>
      <w:r w:rsidR="008232B9">
        <w:rPr>
          <w:rFonts w:ascii="Times New Roman" w:hAnsi="Times New Roman" w:cs="Times New Roman"/>
          <w:sz w:val="24"/>
          <w:szCs w:val="24"/>
        </w:rPr>
        <w:t xml:space="preserve"> -</w:t>
      </w:r>
      <w:r w:rsidR="00E92930">
        <w:rPr>
          <w:rFonts w:ascii="Times New Roman" w:hAnsi="Times New Roman" w:cs="Times New Roman"/>
          <w:sz w:val="24"/>
          <w:szCs w:val="24"/>
        </w:rPr>
        <w:t xml:space="preserve">entendida como el cierre indefinido </w:t>
      </w:r>
      <w:r w:rsidR="008232B9">
        <w:rPr>
          <w:rFonts w:ascii="Times New Roman" w:hAnsi="Times New Roman" w:cs="Times New Roman"/>
          <w:sz w:val="24"/>
          <w:szCs w:val="24"/>
        </w:rPr>
        <w:t>que n</w:t>
      </w:r>
      <w:r w:rsidR="00E92930">
        <w:rPr>
          <w:rFonts w:ascii="Times New Roman" w:hAnsi="Times New Roman" w:cs="Times New Roman"/>
          <w:sz w:val="24"/>
          <w:szCs w:val="24"/>
        </w:rPr>
        <w:t>o siempre implica la ruptura de las relaciones diplomática</w:t>
      </w:r>
      <w:r w:rsidR="008232B9">
        <w:rPr>
          <w:rFonts w:ascii="Times New Roman" w:hAnsi="Times New Roman" w:cs="Times New Roman"/>
          <w:sz w:val="24"/>
          <w:szCs w:val="24"/>
        </w:rPr>
        <w:t>s-</w:t>
      </w:r>
      <w:r w:rsidR="00E92930">
        <w:rPr>
          <w:rFonts w:ascii="Times New Roman" w:hAnsi="Times New Roman" w:cs="Times New Roman"/>
          <w:sz w:val="24"/>
          <w:szCs w:val="24"/>
        </w:rPr>
        <w:t xml:space="preserve"> cabe destacar las principales causas: la supresión, el no reconocimiento de gobiernos por no considerarlo legítimo, la desaparición de la personalidad jurídico-internacional de uno de los Estado y la propia ruptura de relaciones diplomáticas </w:t>
      </w:r>
      <w:r w:rsidR="0092002A">
        <w:rPr>
          <w:rFonts w:ascii="Times New Roman" w:hAnsi="Times New Roman" w:cs="Times New Roman"/>
          <w:sz w:val="24"/>
          <w:szCs w:val="24"/>
        </w:rPr>
        <w:t>generalmente como resultado de la violación de otras obligaciones de derecho internacional general o convencional en el contexto de una situación de crisis política grave entre ambos Estado, como será</w:t>
      </w:r>
      <w:r w:rsidR="00037F55">
        <w:rPr>
          <w:rFonts w:ascii="Times New Roman" w:hAnsi="Times New Roman" w:cs="Times New Roman"/>
          <w:sz w:val="24"/>
          <w:szCs w:val="24"/>
        </w:rPr>
        <w:t>n</w:t>
      </w:r>
      <w:r w:rsidR="0092002A">
        <w:rPr>
          <w:rFonts w:ascii="Times New Roman" w:hAnsi="Times New Roman" w:cs="Times New Roman"/>
          <w:sz w:val="24"/>
          <w:szCs w:val="24"/>
        </w:rPr>
        <w:t xml:space="preserve"> los supuestos que se estudiarán infra </w:t>
      </w:r>
      <w:sdt>
        <w:sdtPr>
          <w:rPr>
            <w:rFonts w:ascii="Times New Roman" w:hAnsi="Times New Roman" w:cs="Times New Roman"/>
            <w:sz w:val="24"/>
            <w:szCs w:val="24"/>
          </w:rPr>
          <w:id w:val="-232771650"/>
          <w:citation/>
        </w:sdtPr>
        <w:sdtContent>
          <w:r w:rsidR="0092002A">
            <w:rPr>
              <w:rFonts w:ascii="Times New Roman" w:hAnsi="Times New Roman" w:cs="Times New Roman"/>
              <w:sz w:val="24"/>
              <w:szCs w:val="24"/>
            </w:rPr>
            <w:fldChar w:fldCharType="begin"/>
          </w:r>
          <w:r w:rsidR="0092002A">
            <w:rPr>
              <w:rFonts w:ascii="Times New Roman" w:hAnsi="Times New Roman" w:cs="Times New Roman"/>
              <w:sz w:val="24"/>
              <w:szCs w:val="24"/>
            </w:rPr>
            <w:instrText xml:space="preserve">CITATION Vil18 \p 196-198 \l 3082 </w:instrText>
          </w:r>
          <w:r w:rsidR="0092002A">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(Vilariño Pintos, 2018, págs. 196-198)</w:t>
          </w:r>
          <w:r w:rsidR="0092002A">
            <w:rPr>
              <w:rFonts w:ascii="Times New Roman" w:hAnsi="Times New Roman" w:cs="Times New Roman"/>
              <w:sz w:val="24"/>
              <w:szCs w:val="24"/>
            </w:rPr>
            <w:fldChar w:fldCharType="end"/>
          </w:r>
        </w:sdtContent>
      </w:sdt>
      <w:r w:rsidR="0092002A">
        <w:rPr>
          <w:rFonts w:ascii="Times New Roman" w:hAnsi="Times New Roman" w:cs="Times New Roman"/>
          <w:sz w:val="24"/>
          <w:szCs w:val="24"/>
        </w:rPr>
        <w:t xml:space="preserve">. </w:t>
      </w:r>
    </w:p>
    <w:p w14:paraId="43A6E1D6" w14:textId="788E4682" w:rsidR="001C44C9" w:rsidRDefault="0092002A" w:rsidP="0069088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Finalmente, es necesario </w:t>
      </w:r>
      <w:r w:rsidR="006512BE">
        <w:rPr>
          <w:rFonts w:ascii="Times New Roman" w:hAnsi="Times New Roman" w:cs="Times New Roman"/>
          <w:sz w:val="24"/>
          <w:szCs w:val="24"/>
        </w:rPr>
        <w:t>a</w:t>
      </w:r>
      <w:r w:rsidR="00037F55">
        <w:rPr>
          <w:rFonts w:ascii="Times New Roman" w:hAnsi="Times New Roman" w:cs="Times New Roman"/>
          <w:sz w:val="24"/>
          <w:szCs w:val="24"/>
        </w:rPr>
        <w:t>tender a</w:t>
      </w:r>
      <w:r w:rsidR="006512BE">
        <w:rPr>
          <w:rFonts w:ascii="Times New Roman" w:hAnsi="Times New Roman" w:cs="Times New Roman"/>
          <w:sz w:val="24"/>
          <w:szCs w:val="24"/>
        </w:rPr>
        <w:t xml:space="preserve"> los </w:t>
      </w:r>
      <w:r>
        <w:rPr>
          <w:rFonts w:ascii="Times New Roman" w:hAnsi="Times New Roman" w:cs="Times New Roman"/>
          <w:sz w:val="24"/>
          <w:szCs w:val="24"/>
        </w:rPr>
        <w:t>diversos tipos de misiones diplomáticas</w:t>
      </w:r>
      <w:r w:rsidR="006512BE">
        <w:rPr>
          <w:rFonts w:ascii="Times New Roman" w:hAnsi="Times New Roman" w:cs="Times New Roman"/>
          <w:sz w:val="24"/>
          <w:szCs w:val="24"/>
        </w:rPr>
        <w:t>,</w:t>
      </w:r>
      <w:r>
        <w:rPr>
          <w:rFonts w:ascii="Times New Roman" w:hAnsi="Times New Roman" w:cs="Times New Roman"/>
          <w:sz w:val="24"/>
          <w:szCs w:val="24"/>
        </w:rPr>
        <w:t xml:space="preserve"> entre las que se encuentran</w:t>
      </w:r>
      <w:r w:rsidR="006512BE">
        <w:rPr>
          <w:rFonts w:ascii="Times New Roman" w:hAnsi="Times New Roman" w:cs="Times New Roman"/>
          <w:sz w:val="24"/>
          <w:szCs w:val="24"/>
        </w:rPr>
        <w:t xml:space="preserve">: </w:t>
      </w:r>
      <w:r>
        <w:rPr>
          <w:rFonts w:ascii="Times New Roman" w:hAnsi="Times New Roman" w:cs="Times New Roman"/>
          <w:sz w:val="24"/>
          <w:szCs w:val="24"/>
        </w:rPr>
        <w:t xml:space="preserve">(1) la </w:t>
      </w:r>
      <w:r w:rsidR="00037F55">
        <w:rPr>
          <w:rFonts w:ascii="Times New Roman" w:hAnsi="Times New Roman" w:cs="Times New Roman"/>
          <w:sz w:val="24"/>
          <w:szCs w:val="24"/>
        </w:rPr>
        <w:t xml:space="preserve">Misión bilateral o </w:t>
      </w:r>
      <w:r w:rsidR="00E13B05">
        <w:rPr>
          <w:rFonts w:ascii="Times New Roman" w:hAnsi="Times New Roman" w:cs="Times New Roman"/>
          <w:sz w:val="24"/>
          <w:szCs w:val="24"/>
        </w:rPr>
        <w:t>E</w:t>
      </w:r>
      <w:r>
        <w:rPr>
          <w:rFonts w:ascii="Times New Roman" w:hAnsi="Times New Roman" w:cs="Times New Roman"/>
          <w:sz w:val="24"/>
          <w:szCs w:val="24"/>
        </w:rPr>
        <w:t xml:space="preserve">mbajada </w:t>
      </w:r>
      <w:r w:rsidR="00037F55">
        <w:rPr>
          <w:rFonts w:ascii="Times New Roman" w:hAnsi="Times New Roman" w:cs="Times New Roman"/>
          <w:sz w:val="24"/>
          <w:szCs w:val="24"/>
        </w:rPr>
        <w:t>será el centro de atención de este trabajo y se define como</w:t>
      </w:r>
      <w:r>
        <w:rPr>
          <w:rFonts w:ascii="Times New Roman" w:hAnsi="Times New Roman" w:cs="Times New Roman"/>
          <w:sz w:val="24"/>
          <w:szCs w:val="24"/>
        </w:rPr>
        <w:t xml:space="preserve"> la misión</w:t>
      </w:r>
      <w:r w:rsidR="00E13B05">
        <w:rPr>
          <w:rFonts w:ascii="Times New Roman" w:hAnsi="Times New Roman" w:cs="Times New Roman"/>
          <w:sz w:val="24"/>
          <w:szCs w:val="24"/>
        </w:rPr>
        <w:t xml:space="preserve"> </w:t>
      </w:r>
      <w:r w:rsidR="00037F55">
        <w:rPr>
          <w:rFonts w:ascii="Times New Roman" w:hAnsi="Times New Roman" w:cs="Times New Roman"/>
          <w:sz w:val="24"/>
          <w:szCs w:val="24"/>
        </w:rPr>
        <w:t xml:space="preserve">representativa y permanente que un Estado acredita ante otro Estado y que </w:t>
      </w:r>
      <w:r w:rsidR="001E790B">
        <w:rPr>
          <w:rFonts w:ascii="Times New Roman" w:hAnsi="Times New Roman" w:cs="Times New Roman"/>
          <w:sz w:val="24"/>
          <w:szCs w:val="24"/>
        </w:rPr>
        <w:t>está</w:t>
      </w:r>
      <w:r w:rsidR="00037F55">
        <w:rPr>
          <w:rFonts w:ascii="Times New Roman" w:hAnsi="Times New Roman" w:cs="Times New Roman"/>
          <w:sz w:val="24"/>
          <w:szCs w:val="24"/>
        </w:rPr>
        <w:t xml:space="preserve"> a cargo de un embajador</w:t>
      </w:r>
      <w:r>
        <w:rPr>
          <w:rFonts w:ascii="Times New Roman" w:hAnsi="Times New Roman" w:cs="Times New Roman"/>
          <w:sz w:val="24"/>
          <w:szCs w:val="24"/>
        </w:rPr>
        <w:t xml:space="preserve">, (2) la </w:t>
      </w:r>
      <w:r w:rsidR="00E13B05">
        <w:rPr>
          <w:rFonts w:ascii="Times New Roman" w:hAnsi="Times New Roman" w:cs="Times New Roman"/>
          <w:sz w:val="24"/>
          <w:szCs w:val="24"/>
        </w:rPr>
        <w:t>N</w:t>
      </w:r>
      <w:r>
        <w:rPr>
          <w:rFonts w:ascii="Times New Roman" w:hAnsi="Times New Roman" w:cs="Times New Roman"/>
          <w:sz w:val="24"/>
          <w:szCs w:val="24"/>
        </w:rPr>
        <w:t xml:space="preserve">unciatura se trata de la misión diplomática ordinaria de la Santa Sede que se acredita ante otros sujetos de Derecho Internacional, (3) </w:t>
      </w:r>
      <w:r w:rsidR="00E13B05">
        <w:rPr>
          <w:rFonts w:ascii="Times New Roman" w:hAnsi="Times New Roman" w:cs="Times New Roman"/>
          <w:sz w:val="24"/>
          <w:szCs w:val="24"/>
        </w:rPr>
        <w:t>el Alto Comisaria</w:t>
      </w:r>
      <w:r w:rsidR="00CE6D84">
        <w:rPr>
          <w:rFonts w:ascii="Times New Roman" w:hAnsi="Times New Roman" w:cs="Times New Roman"/>
          <w:sz w:val="24"/>
          <w:szCs w:val="24"/>
        </w:rPr>
        <w:t>d</w:t>
      </w:r>
      <w:r w:rsidR="00E13B05">
        <w:rPr>
          <w:rFonts w:ascii="Times New Roman" w:hAnsi="Times New Roman" w:cs="Times New Roman"/>
          <w:sz w:val="24"/>
          <w:szCs w:val="24"/>
        </w:rPr>
        <w:t>o en el ámbito de las relaciones entre los Estados miembro de la Comunidad Británica de Naciones (</w:t>
      </w:r>
      <w:r w:rsidR="00E13B05" w:rsidRPr="00575E7C">
        <w:rPr>
          <w:rFonts w:ascii="Times New Roman" w:hAnsi="Times New Roman" w:cs="Times New Roman"/>
          <w:i/>
          <w:iCs/>
          <w:sz w:val="24"/>
          <w:szCs w:val="24"/>
        </w:rPr>
        <w:t>The British Commo</w:t>
      </w:r>
      <w:r w:rsidR="00D14C37" w:rsidRPr="00575E7C">
        <w:rPr>
          <w:rFonts w:ascii="Times New Roman" w:hAnsi="Times New Roman" w:cs="Times New Roman"/>
          <w:i/>
          <w:iCs/>
          <w:sz w:val="24"/>
          <w:szCs w:val="24"/>
        </w:rPr>
        <w:t>n</w:t>
      </w:r>
      <w:r w:rsidR="00E13B05" w:rsidRPr="00575E7C">
        <w:rPr>
          <w:rFonts w:ascii="Times New Roman" w:hAnsi="Times New Roman" w:cs="Times New Roman"/>
          <w:i/>
          <w:iCs/>
          <w:sz w:val="24"/>
          <w:szCs w:val="24"/>
        </w:rPr>
        <w:t xml:space="preserve">wealth of </w:t>
      </w:r>
      <w:proofErr w:type="spellStart"/>
      <w:r w:rsidR="00E13B05" w:rsidRPr="00575E7C">
        <w:rPr>
          <w:rFonts w:ascii="Times New Roman" w:hAnsi="Times New Roman" w:cs="Times New Roman"/>
          <w:i/>
          <w:iCs/>
          <w:sz w:val="24"/>
          <w:szCs w:val="24"/>
        </w:rPr>
        <w:t>Nations</w:t>
      </w:r>
      <w:proofErr w:type="spellEnd"/>
      <w:r w:rsidR="00E13B05">
        <w:rPr>
          <w:rFonts w:ascii="Times New Roman" w:hAnsi="Times New Roman" w:cs="Times New Roman"/>
          <w:sz w:val="24"/>
          <w:szCs w:val="24"/>
        </w:rPr>
        <w:t xml:space="preserve">), (4) la Representación permanente ante una Organización Internacional y (5) la Misión permanente de una Organización Internacional </w:t>
      </w:r>
      <w:sdt>
        <w:sdtPr>
          <w:rPr>
            <w:rFonts w:ascii="Times New Roman" w:hAnsi="Times New Roman" w:cs="Times New Roman"/>
            <w:sz w:val="24"/>
            <w:szCs w:val="24"/>
          </w:rPr>
          <w:id w:val="-196075865"/>
          <w:citation/>
        </w:sdtPr>
        <w:sdtContent>
          <w:r w:rsidR="00E13B05">
            <w:rPr>
              <w:rFonts w:ascii="Times New Roman" w:hAnsi="Times New Roman" w:cs="Times New Roman"/>
              <w:sz w:val="24"/>
              <w:szCs w:val="24"/>
            </w:rPr>
            <w:fldChar w:fldCharType="begin"/>
          </w:r>
          <w:r w:rsidR="006512BE">
            <w:rPr>
              <w:rFonts w:ascii="Times New Roman" w:hAnsi="Times New Roman" w:cs="Times New Roman"/>
              <w:sz w:val="24"/>
              <w:szCs w:val="24"/>
            </w:rPr>
            <w:instrText xml:space="preserve">CITATION Jar89 \p 31-36 \l 3082 </w:instrText>
          </w:r>
          <w:r w:rsidR="00E13B05">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(Jara Roncati, 1989, págs. 31-36)</w:t>
          </w:r>
          <w:r w:rsidR="00E13B05">
            <w:rPr>
              <w:rFonts w:ascii="Times New Roman" w:hAnsi="Times New Roman" w:cs="Times New Roman"/>
              <w:sz w:val="24"/>
              <w:szCs w:val="24"/>
            </w:rPr>
            <w:fldChar w:fldCharType="end"/>
          </w:r>
        </w:sdtContent>
      </w:sdt>
      <w:r w:rsidR="006512BE">
        <w:rPr>
          <w:rFonts w:ascii="Times New Roman" w:hAnsi="Times New Roman" w:cs="Times New Roman"/>
          <w:sz w:val="24"/>
          <w:szCs w:val="24"/>
        </w:rPr>
        <w:t xml:space="preserve">. </w:t>
      </w:r>
      <w:r w:rsidR="00037F55">
        <w:rPr>
          <w:rFonts w:ascii="Times New Roman" w:hAnsi="Times New Roman" w:cs="Times New Roman"/>
          <w:sz w:val="24"/>
          <w:szCs w:val="24"/>
        </w:rPr>
        <w:t>Respecto a la organización de la Embajada, todo Estado tiene el derecho de estructur</w:t>
      </w:r>
      <w:r w:rsidR="004D2CE1">
        <w:rPr>
          <w:rFonts w:ascii="Times New Roman" w:hAnsi="Times New Roman" w:cs="Times New Roman"/>
          <w:sz w:val="24"/>
          <w:szCs w:val="24"/>
        </w:rPr>
        <w:t>ar</w:t>
      </w:r>
      <w:r w:rsidR="00037F55">
        <w:rPr>
          <w:rFonts w:ascii="Times New Roman" w:hAnsi="Times New Roman" w:cs="Times New Roman"/>
          <w:sz w:val="24"/>
          <w:szCs w:val="24"/>
        </w:rPr>
        <w:t xml:space="preserve"> unilateralmente este </w:t>
      </w:r>
      <w:r w:rsidR="004D2CE1">
        <w:rPr>
          <w:rFonts w:ascii="Times New Roman" w:hAnsi="Times New Roman" w:cs="Times New Roman"/>
          <w:sz w:val="24"/>
          <w:szCs w:val="24"/>
        </w:rPr>
        <w:t>órgano, sin perjuicio de que la actividad general se desarrollará en “</w:t>
      </w:r>
      <w:r w:rsidR="004D2CE1" w:rsidRPr="00575E7C">
        <w:rPr>
          <w:rFonts w:ascii="Times New Roman" w:hAnsi="Times New Roman" w:cs="Times New Roman"/>
          <w:i/>
          <w:iCs/>
          <w:sz w:val="24"/>
          <w:szCs w:val="24"/>
        </w:rPr>
        <w:t>la cancillería</w:t>
      </w:r>
      <w:r w:rsidR="004D2CE1">
        <w:rPr>
          <w:rFonts w:ascii="Times New Roman" w:hAnsi="Times New Roman" w:cs="Times New Roman"/>
          <w:sz w:val="24"/>
          <w:szCs w:val="24"/>
        </w:rPr>
        <w:t xml:space="preserve">” donde también se mantendrán los registros, archivos y documentos de la misión, y cuya jefatura suele corresponder </w:t>
      </w:r>
      <w:r w:rsidR="00CA7C18">
        <w:rPr>
          <w:rFonts w:ascii="Times New Roman" w:hAnsi="Times New Roman" w:cs="Times New Roman"/>
          <w:sz w:val="24"/>
          <w:szCs w:val="24"/>
        </w:rPr>
        <w:t>al</w:t>
      </w:r>
      <w:r w:rsidR="004D2CE1">
        <w:rPr>
          <w:rFonts w:ascii="Times New Roman" w:hAnsi="Times New Roman" w:cs="Times New Roman"/>
          <w:sz w:val="24"/>
          <w:szCs w:val="24"/>
        </w:rPr>
        <w:t xml:space="preserve"> agente diplomático directamente inferior al jefe de la misión, en su caso, el ministro consejero o el primer secretario. </w:t>
      </w:r>
    </w:p>
    <w:p w14:paraId="63F9DFC7" w14:textId="5842BA7E" w:rsidR="00420E47" w:rsidRPr="0028255B" w:rsidRDefault="00214B5A" w:rsidP="00250A86">
      <w:pPr>
        <w:pStyle w:val="Ttulo2"/>
        <w:numPr>
          <w:ilvl w:val="1"/>
          <w:numId w:val="1"/>
        </w:numPr>
        <w:spacing w:line="360" w:lineRule="auto"/>
        <w:rPr>
          <w:rFonts w:ascii="Times New Roman" w:hAnsi="Times New Roman" w:cs="Times New Roman"/>
          <w:sz w:val="28"/>
          <w:szCs w:val="28"/>
        </w:rPr>
      </w:pPr>
      <w:r w:rsidRPr="0028255B">
        <w:rPr>
          <w:rFonts w:ascii="Times New Roman" w:hAnsi="Times New Roman" w:cs="Times New Roman"/>
          <w:sz w:val="28"/>
          <w:szCs w:val="28"/>
        </w:rPr>
        <w:t xml:space="preserve"> </w:t>
      </w:r>
      <w:bookmarkStart w:id="4" w:name="_Toc65498601"/>
      <w:r w:rsidRPr="0028255B">
        <w:rPr>
          <w:rFonts w:ascii="Times New Roman" w:hAnsi="Times New Roman" w:cs="Times New Roman"/>
          <w:sz w:val="28"/>
          <w:szCs w:val="28"/>
        </w:rPr>
        <w:t xml:space="preserve">La </w:t>
      </w:r>
      <w:r w:rsidR="00A81BF9">
        <w:rPr>
          <w:rFonts w:ascii="Times New Roman" w:hAnsi="Times New Roman" w:cs="Times New Roman"/>
          <w:sz w:val="28"/>
          <w:szCs w:val="28"/>
        </w:rPr>
        <w:t>O</w:t>
      </w:r>
      <w:r w:rsidRPr="0028255B">
        <w:rPr>
          <w:rFonts w:ascii="Times New Roman" w:hAnsi="Times New Roman" w:cs="Times New Roman"/>
          <w:sz w:val="28"/>
          <w:szCs w:val="28"/>
        </w:rPr>
        <w:t xml:space="preserve">ficina </w:t>
      </w:r>
      <w:r w:rsidR="00A81BF9">
        <w:rPr>
          <w:rFonts w:ascii="Times New Roman" w:hAnsi="Times New Roman" w:cs="Times New Roman"/>
          <w:sz w:val="28"/>
          <w:szCs w:val="28"/>
        </w:rPr>
        <w:t>C</w:t>
      </w:r>
      <w:r w:rsidRPr="0028255B">
        <w:rPr>
          <w:rFonts w:ascii="Times New Roman" w:hAnsi="Times New Roman" w:cs="Times New Roman"/>
          <w:sz w:val="28"/>
          <w:szCs w:val="28"/>
        </w:rPr>
        <w:t>onsular</w:t>
      </w:r>
      <w:bookmarkEnd w:id="4"/>
      <w:r w:rsidRPr="0028255B">
        <w:rPr>
          <w:rFonts w:ascii="Times New Roman" w:hAnsi="Times New Roman" w:cs="Times New Roman"/>
          <w:sz w:val="28"/>
          <w:szCs w:val="28"/>
        </w:rPr>
        <w:t xml:space="preserve"> </w:t>
      </w:r>
    </w:p>
    <w:p w14:paraId="248424AA" w14:textId="039303B1" w:rsidR="00CC05C2" w:rsidRDefault="003A327A" w:rsidP="00F819A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 institución de la oficina consular se encuentra definida en la Convención de Viena sobre Relaciones Consulares de 1963 en su primer artículo por el cual se entiende como oficina consular </w:t>
      </w:r>
      <w:r w:rsidRPr="006261AB">
        <w:rPr>
          <w:rFonts w:ascii="Times New Roman" w:hAnsi="Times New Roman" w:cs="Times New Roman"/>
          <w:i/>
          <w:iCs/>
          <w:sz w:val="24"/>
          <w:szCs w:val="24"/>
        </w:rPr>
        <w:t xml:space="preserve">“todo consulado general, </w:t>
      </w:r>
      <w:r w:rsidR="00687FA6" w:rsidRPr="006261AB">
        <w:rPr>
          <w:rFonts w:ascii="Times New Roman" w:hAnsi="Times New Roman" w:cs="Times New Roman"/>
          <w:i/>
          <w:iCs/>
          <w:sz w:val="24"/>
          <w:szCs w:val="24"/>
        </w:rPr>
        <w:t>viceconsulado</w:t>
      </w:r>
      <w:r w:rsidRPr="006261AB">
        <w:rPr>
          <w:rFonts w:ascii="Times New Roman" w:hAnsi="Times New Roman" w:cs="Times New Roman"/>
          <w:i/>
          <w:iCs/>
          <w:sz w:val="24"/>
          <w:szCs w:val="24"/>
        </w:rPr>
        <w:t xml:space="preserve"> o agencia consular”.</w:t>
      </w:r>
      <w:r w:rsidR="006261AB">
        <w:rPr>
          <w:rFonts w:ascii="Times New Roman" w:hAnsi="Times New Roman" w:cs="Times New Roman"/>
          <w:sz w:val="24"/>
          <w:szCs w:val="24"/>
        </w:rPr>
        <w:t xml:space="preserve"> E</w:t>
      </w:r>
      <w:r w:rsidR="001576D2">
        <w:rPr>
          <w:rFonts w:ascii="Times New Roman" w:hAnsi="Times New Roman" w:cs="Times New Roman"/>
          <w:sz w:val="24"/>
          <w:szCs w:val="24"/>
        </w:rPr>
        <w:t>sta definición resulta corta e imprecisa, pues simplemente es una remisión a las categorías de oficina consular, por l</w:t>
      </w:r>
      <w:r w:rsidR="00ED7491">
        <w:rPr>
          <w:rFonts w:ascii="Times New Roman" w:hAnsi="Times New Roman" w:cs="Times New Roman"/>
          <w:sz w:val="24"/>
          <w:szCs w:val="24"/>
        </w:rPr>
        <w:t xml:space="preserve">o que según la definición de Martí </w:t>
      </w:r>
      <w:proofErr w:type="spellStart"/>
      <w:r w:rsidR="00ED7491">
        <w:rPr>
          <w:rFonts w:ascii="Times New Roman" w:hAnsi="Times New Roman" w:cs="Times New Roman"/>
          <w:sz w:val="24"/>
          <w:szCs w:val="24"/>
        </w:rPr>
        <w:t>Martí</w:t>
      </w:r>
      <w:proofErr w:type="spellEnd"/>
      <w:r w:rsidR="00ED7491">
        <w:rPr>
          <w:rFonts w:ascii="Times New Roman" w:hAnsi="Times New Roman" w:cs="Times New Roman"/>
          <w:sz w:val="24"/>
          <w:szCs w:val="24"/>
        </w:rPr>
        <w:t xml:space="preserve"> </w:t>
      </w:r>
      <w:r w:rsidR="001C44C9">
        <w:rPr>
          <w:rFonts w:ascii="Times New Roman" w:hAnsi="Times New Roman" w:cs="Times New Roman"/>
          <w:sz w:val="24"/>
          <w:szCs w:val="24"/>
        </w:rPr>
        <w:t xml:space="preserve">y Núñez Hernández </w:t>
      </w:r>
      <w:r w:rsidR="00ED7491">
        <w:rPr>
          <w:rFonts w:ascii="Times New Roman" w:hAnsi="Times New Roman" w:cs="Times New Roman"/>
          <w:sz w:val="24"/>
          <w:szCs w:val="24"/>
        </w:rPr>
        <w:t xml:space="preserve">entenderemos esta institución como </w:t>
      </w:r>
      <w:r w:rsidR="00ED7491" w:rsidRPr="00962A0D">
        <w:rPr>
          <w:rFonts w:ascii="Times New Roman" w:hAnsi="Times New Roman" w:cs="Times New Roman"/>
          <w:i/>
          <w:iCs/>
          <w:sz w:val="24"/>
          <w:szCs w:val="24"/>
        </w:rPr>
        <w:t xml:space="preserve">“un órgano unipersonal, de competencia territorialmente limitada, general y activa de la Administración en el exterior, con </w:t>
      </w:r>
      <w:r w:rsidR="00ED7491" w:rsidRPr="00962A0D">
        <w:rPr>
          <w:rFonts w:ascii="Times New Roman" w:hAnsi="Times New Roman" w:cs="Times New Roman"/>
          <w:i/>
          <w:iCs/>
          <w:sz w:val="24"/>
          <w:szCs w:val="24"/>
        </w:rPr>
        <w:lastRenderedPageBreak/>
        <w:t>personal y local protegidos con status internacional, acreditado y admitido para la aplicación de su propio ordenamiento jurídico en un distrito definido, en la medida en que lo conviene o autoriza el ordenamiento receptor y para colaborar con las autoridades locales con la finalidad de asistir y proteger a sus nacionales, asegurar los bienes y derechos de las personas naturales y morales del mandante, así como los intereses del Estado que lo nombra, prestando asimismo servicios a los nacionales del Estado de residencia”</w:t>
      </w:r>
      <w:r w:rsidR="00962A0D">
        <w:rPr>
          <w:rStyle w:val="Refdenotaalpie"/>
          <w:rFonts w:ascii="Times New Roman" w:hAnsi="Times New Roman" w:cs="Times New Roman"/>
          <w:i/>
          <w:iCs/>
          <w:sz w:val="24"/>
          <w:szCs w:val="24"/>
        </w:rPr>
        <w:footnoteReference w:id="6"/>
      </w:r>
      <w:r w:rsidR="00ED7491">
        <w:rPr>
          <w:rFonts w:ascii="Times New Roman" w:hAnsi="Times New Roman" w:cs="Times New Roman"/>
          <w:sz w:val="24"/>
          <w:szCs w:val="24"/>
        </w:rPr>
        <w:t xml:space="preserve">. </w:t>
      </w:r>
    </w:p>
    <w:p w14:paraId="26D895C3" w14:textId="3B14FBFB" w:rsidR="008C0E5C" w:rsidRDefault="001C44C9" w:rsidP="00F819A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Las relaciones consulares han existido entre los diferentes pueblos desde hace siglos, tal y como advierte el preámbulo de la Convención sobre Relaciones Consulares de 1961, pues su origen se remonta a la necesidad de proteger </w:t>
      </w:r>
      <w:r w:rsidR="00B26948">
        <w:rPr>
          <w:rFonts w:ascii="Times New Roman" w:hAnsi="Times New Roman" w:cs="Times New Roman"/>
          <w:sz w:val="24"/>
          <w:szCs w:val="24"/>
        </w:rPr>
        <w:t xml:space="preserve">las relaciones comerciales, concretamente, </w:t>
      </w:r>
      <w:r>
        <w:rPr>
          <w:rFonts w:ascii="Times New Roman" w:hAnsi="Times New Roman" w:cs="Times New Roman"/>
          <w:sz w:val="24"/>
          <w:szCs w:val="24"/>
        </w:rPr>
        <w:t xml:space="preserve">a los mercaderes y navegantes establecidos en países lejanos </w:t>
      </w:r>
      <w:r w:rsidR="004A3FF4">
        <w:rPr>
          <w:rFonts w:ascii="Times New Roman" w:hAnsi="Times New Roman" w:cs="Times New Roman"/>
          <w:sz w:val="24"/>
          <w:szCs w:val="24"/>
        </w:rPr>
        <w:t>diferentes por sus hábitos, lengua y costumbre</w:t>
      </w:r>
      <w:r w:rsidR="00401105">
        <w:rPr>
          <w:rFonts w:ascii="Times New Roman" w:hAnsi="Times New Roman" w:cs="Times New Roman"/>
          <w:sz w:val="24"/>
          <w:szCs w:val="24"/>
        </w:rPr>
        <w:t xml:space="preserve">. Si bien es cierto que el establecimiento de las misiones diplomáticas permanentes provocó un serio declive de la institución consular, la realidad es que durante el siglo XIX se produce un resurgimiento de esta entidad </w:t>
      </w:r>
      <w:r w:rsidR="006261AB">
        <w:rPr>
          <w:rFonts w:ascii="Times New Roman" w:hAnsi="Times New Roman" w:cs="Times New Roman"/>
          <w:sz w:val="24"/>
          <w:szCs w:val="24"/>
        </w:rPr>
        <w:t>a causa</w:t>
      </w:r>
      <w:r w:rsidR="00401105">
        <w:rPr>
          <w:rFonts w:ascii="Times New Roman" w:hAnsi="Times New Roman" w:cs="Times New Roman"/>
          <w:sz w:val="24"/>
          <w:szCs w:val="24"/>
        </w:rPr>
        <w:t xml:space="preserve"> del desarrollo del tráfico internacional</w:t>
      </w:r>
      <w:r w:rsidR="006261AB">
        <w:rPr>
          <w:rFonts w:ascii="Times New Roman" w:hAnsi="Times New Roman" w:cs="Times New Roman"/>
          <w:sz w:val="24"/>
          <w:szCs w:val="24"/>
        </w:rPr>
        <w:t xml:space="preserve"> </w:t>
      </w:r>
      <w:r w:rsidR="00401105">
        <w:rPr>
          <w:rFonts w:ascii="Times New Roman" w:hAnsi="Times New Roman" w:cs="Times New Roman"/>
          <w:sz w:val="24"/>
          <w:szCs w:val="24"/>
        </w:rPr>
        <w:t xml:space="preserve">favorecido por la revolución industrial y el liberalismo económico </w:t>
      </w:r>
      <w:sdt>
        <w:sdtPr>
          <w:rPr>
            <w:rFonts w:ascii="Times New Roman" w:hAnsi="Times New Roman" w:cs="Times New Roman"/>
            <w:sz w:val="24"/>
            <w:szCs w:val="24"/>
          </w:rPr>
          <w:id w:val="320015521"/>
          <w:citation/>
        </w:sdtPr>
        <w:sdtContent>
          <w:r w:rsidR="00401105">
            <w:rPr>
              <w:rFonts w:ascii="Times New Roman" w:hAnsi="Times New Roman" w:cs="Times New Roman"/>
              <w:sz w:val="24"/>
              <w:szCs w:val="24"/>
            </w:rPr>
            <w:fldChar w:fldCharType="begin"/>
          </w:r>
          <w:r w:rsidR="00AE2ED9">
            <w:rPr>
              <w:rFonts w:ascii="Times New Roman" w:hAnsi="Times New Roman" w:cs="Times New Roman"/>
              <w:sz w:val="24"/>
              <w:szCs w:val="24"/>
            </w:rPr>
            <w:instrText xml:space="preserve">CITATION Mar74 \p 13-26 \l 3082 </w:instrText>
          </w:r>
          <w:r w:rsidR="00401105">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(Maresca, 1974, págs. 13-26)</w:t>
          </w:r>
          <w:r w:rsidR="00401105">
            <w:rPr>
              <w:rFonts w:ascii="Times New Roman" w:hAnsi="Times New Roman" w:cs="Times New Roman"/>
              <w:sz w:val="24"/>
              <w:szCs w:val="24"/>
            </w:rPr>
            <w:fldChar w:fldCharType="end"/>
          </w:r>
        </w:sdtContent>
      </w:sdt>
      <w:r w:rsidR="00401105">
        <w:rPr>
          <w:rFonts w:ascii="Times New Roman" w:hAnsi="Times New Roman" w:cs="Times New Roman"/>
          <w:sz w:val="24"/>
          <w:szCs w:val="24"/>
        </w:rPr>
        <w:t>.</w:t>
      </w:r>
      <w:r w:rsidR="008C0E5C">
        <w:rPr>
          <w:rFonts w:ascii="Times New Roman" w:hAnsi="Times New Roman" w:cs="Times New Roman"/>
          <w:sz w:val="24"/>
          <w:szCs w:val="24"/>
        </w:rPr>
        <w:t xml:space="preserve"> </w:t>
      </w:r>
    </w:p>
    <w:p w14:paraId="62B265B7" w14:textId="1553CE10" w:rsidR="0028255B" w:rsidRDefault="003747B2" w:rsidP="00F819A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El principio general que rige el establecimiento de las relaciones consulares, al igual que las diplomáticas, será el consentimiento mutuo, de acuerdo con lo estipulado en </w:t>
      </w:r>
      <w:r w:rsidR="00687FA6">
        <w:rPr>
          <w:rFonts w:ascii="Times New Roman" w:hAnsi="Times New Roman" w:cs="Times New Roman"/>
          <w:sz w:val="24"/>
          <w:szCs w:val="24"/>
        </w:rPr>
        <w:t>el</w:t>
      </w:r>
      <w:r>
        <w:rPr>
          <w:rFonts w:ascii="Times New Roman" w:hAnsi="Times New Roman" w:cs="Times New Roman"/>
          <w:sz w:val="24"/>
          <w:szCs w:val="24"/>
        </w:rPr>
        <w:t xml:space="preserve"> artículo 2 de la Convención de Viena sobre Relaciones Consulares de 1963. No obstante, el establecimiento de este tipo de relaciones no comp</w:t>
      </w:r>
      <w:r w:rsidR="00750C2F">
        <w:rPr>
          <w:rFonts w:ascii="Times New Roman" w:hAnsi="Times New Roman" w:cs="Times New Roman"/>
          <w:sz w:val="24"/>
          <w:szCs w:val="24"/>
        </w:rPr>
        <w:t>orta</w:t>
      </w:r>
      <w:r>
        <w:rPr>
          <w:rFonts w:ascii="Times New Roman" w:hAnsi="Times New Roman" w:cs="Times New Roman"/>
          <w:sz w:val="24"/>
          <w:szCs w:val="24"/>
        </w:rPr>
        <w:t xml:space="preserve"> en ningún momento </w:t>
      </w:r>
      <w:r w:rsidR="00750C2F">
        <w:rPr>
          <w:rFonts w:ascii="Times New Roman" w:hAnsi="Times New Roman" w:cs="Times New Roman"/>
          <w:sz w:val="24"/>
          <w:szCs w:val="24"/>
        </w:rPr>
        <w:t xml:space="preserve">el reconocimiento de Estados, ni su mantenimiento responde a un reconocimiento de gobiernos, y la ruptura de relaciones diplomáticas </w:t>
      </w:r>
      <w:r w:rsidR="008F03B8">
        <w:rPr>
          <w:rFonts w:ascii="Times New Roman" w:hAnsi="Times New Roman" w:cs="Times New Roman"/>
          <w:sz w:val="24"/>
          <w:szCs w:val="24"/>
        </w:rPr>
        <w:t xml:space="preserve">tampoco </w:t>
      </w:r>
      <w:r w:rsidR="00750C2F">
        <w:rPr>
          <w:rFonts w:ascii="Times New Roman" w:hAnsi="Times New Roman" w:cs="Times New Roman"/>
          <w:sz w:val="24"/>
          <w:szCs w:val="24"/>
        </w:rPr>
        <w:t xml:space="preserve">entrañará inmediatamente </w:t>
      </w:r>
      <w:r w:rsidR="008F03B8">
        <w:rPr>
          <w:rFonts w:ascii="Times New Roman" w:hAnsi="Times New Roman" w:cs="Times New Roman"/>
          <w:sz w:val="24"/>
          <w:szCs w:val="24"/>
        </w:rPr>
        <w:t xml:space="preserve">el cese </w:t>
      </w:r>
      <w:r w:rsidR="00750C2F">
        <w:rPr>
          <w:rFonts w:ascii="Times New Roman" w:hAnsi="Times New Roman" w:cs="Times New Roman"/>
          <w:sz w:val="24"/>
          <w:szCs w:val="24"/>
        </w:rPr>
        <w:t>de estas relaciones. Las principales funciones de la misión consular están establecidas en el artículo 5 de la convención mencionada, pero puede ser categorizadas de la siguiente forma: “</w:t>
      </w:r>
      <w:r w:rsidR="00750C2F" w:rsidRPr="00962A0D">
        <w:rPr>
          <w:rFonts w:ascii="Times New Roman" w:hAnsi="Times New Roman" w:cs="Times New Roman"/>
          <w:i/>
          <w:iCs/>
          <w:sz w:val="24"/>
          <w:szCs w:val="24"/>
        </w:rPr>
        <w:t>1) las que coinciden en cierto modo con las funciones de la misión diplomática; 2) asistencia a nacionales; 3) extensión de pasaportes, documentos de viaje y visados; 4) notariales y registrales; 5) cooperación judicial internacional; 6) en materia de navegación marítima y aérea; y 7) residuales”</w:t>
      </w:r>
      <w:r w:rsidR="00962A0D">
        <w:rPr>
          <w:rStyle w:val="Refdenotaalpie"/>
          <w:rFonts w:ascii="Times New Roman" w:hAnsi="Times New Roman" w:cs="Times New Roman"/>
          <w:i/>
          <w:iCs/>
          <w:sz w:val="24"/>
          <w:szCs w:val="24"/>
        </w:rPr>
        <w:footnoteReference w:id="7"/>
      </w:r>
      <w:r w:rsidR="00750C2F">
        <w:rPr>
          <w:rFonts w:ascii="Times New Roman" w:hAnsi="Times New Roman" w:cs="Times New Roman"/>
          <w:sz w:val="24"/>
          <w:szCs w:val="24"/>
        </w:rPr>
        <w:t>.</w:t>
      </w:r>
    </w:p>
    <w:p w14:paraId="42D04B7D" w14:textId="2256E16E" w:rsidR="004D43C2" w:rsidRDefault="004D43C2" w:rsidP="00F819A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La clasificación de las oficinas consulares responde a dos criterios principales: cla</w:t>
      </w:r>
      <w:r w:rsidR="004B75D6">
        <w:rPr>
          <w:rFonts w:ascii="Times New Roman" w:hAnsi="Times New Roman" w:cs="Times New Roman"/>
          <w:sz w:val="24"/>
          <w:szCs w:val="24"/>
        </w:rPr>
        <w:t>se</w:t>
      </w:r>
      <w:r>
        <w:rPr>
          <w:rFonts w:ascii="Times New Roman" w:hAnsi="Times New Roman" w:cs="Times New Roman"/>
          <w:sz w:val="24"/>
          <w:szCs w:val="24"/>
        </w:rPr>
        <w:t xml:space="preserve">s y categorías. Primero, según las clases existen oficinas de carreras que serán </w:t>
      </w:r>
      <w:r>
        <w:rPr>
          <w:rFonts w:ascii="Times New Roman" w:hAnsi="Times New Roman" w:cs="Times New Roman"/>
          <w:sz w:val="24"/>
          <w:szCs w:val="24"/>
        </w:rPr>
        <w:lastRenderedPageBreak/>
        <w:t xml:space="preserve">dirigidas por un funcionario consular de carrera y oficinas honorarias regidas por un funcionario </w:t>
      </w:r>
      <w:r w:rsidR="00287FCD">
        <w:rPr>
          <w:rFonts w:ascii="Times New Roman" w:hAnsi="Times New Roman" w:cs="Times New Roman"/>
          <w:sz w:val="24"/>
          <w:szCs w:val="24"/>
        </w:rPr>
        <w:t>consular honorario. Segundo, existen cu</w:t>
      </w:r>
      <w:r w:rsidR="006261AB">
        <w:rPr>
          <w:rFonts w:ascii="Times New Roman" w:hAnsi="Times New Roman" w:cs="Times New Roman"/>
          <w:sz w:val="24"/>
          <w:szCs w:val="24"/>
        </w:rPr>
        <w:t>atro</w:t>
      </w:r>
      <w:r w:rsidR="00287FCD">
        <w:rPr>
          <w:rFonts w:ascii="Times New Roman" w:hAnsi="Times New Roman" w:cs="Times New Roman"/>
          <w:sz w:val="24"/>
          <w:szCs w:val="24"/>
        </w:rPr>
        <w:t xml:space="preserve"> categorías, acorde con el artículo 9 del Convenio de Viena de 1963: consulado general</w:t>
      </w:r>
      <w:r w:rsidR="006261AB">
        <w:rPr>
          <w:rFonts w:ascii="Times New Roman" w:hAnsi="Times New Roman" w:cs="Times New Roman"/>
          <w:sz w:val="24"/>
          <w:szCs w:val="24"/>
        </w:rPr>
        <w:t xml:space="preserve">, </w:t>
      </w:r>
      <w:r w:rsidR="00287FCD">
        <w:rPr>
          <w:rFonts w:ascii="Times New Roman" w:hAnsi="Times New Roman" w:cs="Times New Roman"/>
          <w:sz w:val="24"/>
          <w:szCs w:val="24"/>
        </w:rPr>
        <w:t>consulad</w:t>
      </w:r>
      <w:r w:rsidR="006261AB">
        <w:rPr>
          <w:rFonts w:ascii="Times New Roman" w:hAnsi="Times New Roman" w:cs="Times New Roman"/>
          <w:sz w:val="24"/>
          <w:szCs w:val="24"/>
        </w:rPr>
        <w:t xml:space="preserve">o, </w:t>
      </w:r>
      <w:r w:rsidR="00687FA6">
        <w:rPr>
          <w:rFonts w:ascii="Times New Roman" w:hAnsi="Times New Roman" w:cs="Times New Roman"/>
          <w:sz w:val="24"/>
          <w:szCs w:val="24"/>
        </w:rPr>
        <w:t>viceconsulado</w:t>
      </w:r>
      <w:r w:rsidR="00287FCD">
        <w:rPr>
          <w:rFonts w:ascii="Times New Roman" w:hAnsi="Times New Roman" w:cs="Times New Roman"/>
          <w:sz w:val="24"/>
          <w:szCs w:val="24"/>
        </w:rPr>
        <w:t xml:space="preserve"> y agencia consular. La principal diferencia de estas se encuentra en que las </w:t>
      </w:r>
      <w:r w:rsidR="006261AB">
        <w:rPr>
          <w:rFonts w:ascii="Times New Roman" w:hAnsi="Times New Roman" w:cs="Times New Roman"/>
          <w:sz w:val="24"/>
          <w:szCs w:val="24"/>
        </w:rPr>
        <w:t xml:space="preserve">dos </w:t>
      </w:r>
      <w:r w:rsidR="00287FCD">
        <w:rPr>
          <w:rFonts w:ascii="Times New Roman" w:hAnsi="Times New Roman" w:cs="Times New Roman"/>
          <w:sz w:val="24"/>
          <w:szCs w:val="24"/>
        </w:rPr>
        <w:t xml:space="preserve">primeras son autónomas y responden directamente con su </w:t>
      </w:r>
      <w:r w:rsidR="00FC41F3">
        <w:rPr>
          <w:rFonts w:ascii="Times New Roman" w:hAnsi="Times New Roman" w:cs="Times New Roman"/>
          <w:sz w:val="24"/>
          <w:szCs w:val="24"/>
        </w:rPr>
        <w:t>M</w:t>
      </w:r>
      <w:r w:rsidR="00287FCD">
        <w:rPr>
          <w:rFonts w:ascii="Times New Roman" w:hAnsi="Times New Roman" w:cs="Times New Roman"/>
          <w:sz w:val="24"/>
          <w:szCs w:val="24"/>
        </w:rPr>
        <w:t xml:space="preserve">inisterio de </w:t>
      </w:r>
      <w:r w:rsidR="00FC41F3">
        <w:rPr>
          <w:rFonts w:ascii="Times New Roman" w:hAnsi="Times New Roman" w:cs="Times New Roman"/>
          <w:sz w:val="24"/>
          <w:szCs w:val="24"/>
        </w:rPr>
        <w:t>A</w:t>
      </w:r>
      <w:r w:rsidR="00287FCD">
        <w:rPr>
          <w:rFonts w:ascii="Times New Roman" w:hAnsi="Times New Roman" w:cs="Times New Roman"/>
          <w:sz w:val="24"/>
          <w:szCs w:val="24"/>
        </w:rPr>
        <w:t xml:space="preserve">suntos </w:t>
      </w:r>
      <w:r w:rsidR="00FC41F3">
        <w:rPr>
          <w:rFonts w:ascii="Times New Roman" w:hAnsi="Times New Roman" w:cs="Times New Roman"/>
          <w:sz w:val="24"/>
          <w:szCs w:val="24"/>
        </w:rPr>
        <w:t>E</w:t>
      </w:r>
      <w:r w:rsidR="00287FCD">
        <w:rPr>
          <w:rFonts w:ascii="Times New Roman" w:hAnsi="Times New Roman" w:cs="Times New Roman"/>
          <w:sz w:val="24"/>
          <w:szCs w:val="24"/>
        </w:rPr>
        <w:t xml:space="preserve">xteriores, mientras que las </w:t>
      </w:r>
      <w:r w:rsidR="006261AB">
        <w:rPr>
          <w:rFonts w:ascii="Times New Roman" w:hAnsi="Times New Roman" w:cs="Times New Roman"/>
          <w:sz w:val="24"/>
          <w:szCs w:val="24"/>
        </w:rPr>
        <w:t>dos posteriores</w:t>
      </w:r>
      <w:r w:rsidR="00287FCD">
        <w:rPr>
          <w:rFonts w:ascii="Times New Roman" w:hAnsi="Times New Roman" w:cs="Times New Roman"/>
          <w:sz w:val="24"/>
          <w:szCs w:val="24"/>
        </w:rPr>
        <w:t xml:space="preserve"> dependerán de las primeras. </w:t>
      </w:r>
      <w:sdt>
        <w:sdtPr>
          <w:rPr>
            <w:rFonts w:ascii="Times New Roman" w:hAnsi="Times New Roman" w:cs="Times New Roman"/>
            <w:sz w:val="24"/>
            <w:szCs w:val="24"/>
          </w:rPr>
          <w:id w:val="-135567873"/>
          <w:citation/>
        </w:sdtPr>
        <w:sdtContent>
          <w:r w:rsidR="00281D09">
            <w:rPr>
              <w:rFonts w:ascii="Times New Roman" w:hAnsi="Times New Roman" w:cs="Times New Roman"/>
              <w:sz w:val="24"/>
              <w:szCs w:val="24"/>
            </w:rPr>
            <w:fldChar w:fldCharType="begin"/>
          </w:r>
          <w:r w:rsidR="00281D09">
            <w:rPr>
              <w:rFonts w:ascii="Times New Roman" w:hAnsi="Times New Roman" w:cs="Times New Roman"/>
              <w:sz w:val="24"/>
              <w:szCs w:val="24"/>
            </w:rPr>
            <w:instrText xml:space="preserve">CITATION Vil18 \p 440-445 \l 3082 </w:instrText>
          </w:r>
          <w:r w:rsidR="00281D09">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(Vilariño Pintos, 2018, págs. 440-445)</w:t>
          </w:r>
          <w:r w:rsidR="00281D09">
            <w:rPr>
              <w:rFonts w:ascii="Times New Roman" w:hAnsi="Times New Roman" w:cs="Times New Roman"/>
              <w:sz w:val="24"/>
              <w:szCs w:val="24"/>
            </w:rPr>
            <w:fldChar w:fldCharType="end"/>
          </w:r>
        </w:sdtContent>
      </w:sdt>
      <w:r w:rsidR="00281D09">
        <w:rPr>
          <w:rFonts w:ascii="Times New Roman" w:hAnsi="Times New Roman" w:cs="Times New Roman"/>
          <w:sz w:val="24"/>
          <w:szCs w:val="24"/>
        </w:rPr>
        <w:t xml:space="preserve">. </w:t>
      </w:r>
      <w:r w:rsidR="00630A2B">
        <w:rPr>
          <w:rFonts w:ascii="Times New Roman" w:hAnsi="Times New Roman" w:cs="Times New Roman"/>
          <w:sz w:val="24"/>
          <w:szCs w:val="24"/>
        </w:rPr>
        <w:t xml:space="preserve">En particular, </w:t>
      </w:r>
      <w:r w:rsidR="00FC41F3">
        <w:rPr>
          <w:rFonts w:ascii="Times New Roman" w:hAnsi="Times New Roman" w:cs="Times New Roman"/>
          <w:sz w:val="24"/>
          <w:szCs w:val="24"/>
        </w:rPr>
        <w:t>los</w:t>
      </w:r>
      <w:r w:rsidR="00D05DAE">
        <w:rPr>
          <w:rFonts w:ascii="Times New Roman" w:hAnsi="Times New Roman" w:cs="Times New Roman"/>
          <w:sz w:val="24"/>
          <w:szCs w:val="24"/>
        </w:rPr>
        <w:t xml:space="preserve"> caso</w:t>
      </w:r>
      <w:r w:rsidR="00FC41F3">
        <w:rPr>
          <w:rFonts w:ascii="Times New Roman" w:hAnsi="Times New Roman" w:cs="Times New Roman"/>
          <w:sz w:val="24"/>
          <w:szCs w:val="24"/>
        </w:rPr>
        <w:t>s</w:t>
      </w:r>
      <w:r w:rsidR="00D05DAE">
        <w:rPr>
          <w:rFonts w:ascii="Times New Roman" w:hAnsi="Times New Roman" w:cs="Times New Roman"/>
          <w:sz w:val="24"/>
          <w:szCs w:val="24"/>
        </w:rPr>
        <w:t xml:space="preserve"> práctico</w:t>
      </w:r>
      <w:r w:rsidR="00FC41F3">
        <w:rPr>
          <w:rFonts w:ascii="Times New Roman" w:hAnsi="Times New Roman" w:cs="Times New Roman"/>
          <w:sz w:val="24"/>
          <w:szCs w:val="24"/>
        </w:rPr>
        <w:t>s</w:t>
      </w:r>
      <w:r w:rsidR="00D05DAE">
        <w:rPr>
          <w:rFonts w:ascii="Times New Roman" w:hAnsi="Times New Roman" w:cs="Times New Roman"/>
          <w:sz w:val="24"/>
          <w:szCs w:val="24"/>
        </w:rPr>
        <w:t xml:space="preserve"> que se estudiará</w:t>
      </w:r>
      <w:r w:rsidR="00FC41F3">
        <w:rPr>
          <w:rFonts w:ascii="Times New Roman" w:hAnsi="Times New Roman" w:cs="Times New Roman"/>
          <w:sz w:val="24"/>
          <w:szCs w:val="24"/>
        </w:rPr>
        <w:t>n</w:t>
      </w:r>
      <w:r w:rsidR="00D05DAE">
        <w:rPr>
          <w:rFonts w:ascii="Times New Roman" w:hAnsi="Times New Roman" w:cs="Times New Roman"/>
          <w:sz w:val="24"/>
          <w:szCs w:val="24"/>
        </w:rPr>
        <w:t xml:space="preserve"> se centra</w:t>
      </w:r>
      <w:r w:rsidR="00FC41F3">
        <w:rPr>
          <w:rFonts w:ascii="Times New Roman" w:hAnsi="Times New Roman" w:cs="Times New Roman"/>
          <w:sz w:val="24"/>
          <w:szCs w:val="24"/>
        </w:rPr>
        <w:t xml:space="preserve">n en las oficinas consulares de Estados Unidos dirigidas por funcionarios de carreras, en concreto, los Consulados en Irán y en Bengasi, Libia. </w:t>
      </w:r>
    </w:p>
    <w:p w14:paraId="0D76F9F3" w14:textId="07F2035E" w:rsidR="00D1218A" w:rsidRDefault="00D1218A" w:rsidP="00D1218A">
      <w:pPr>
        <w:spacing w:line="360" w:lineRule="auto"/>
        <w:jc w:val="both"/>
        <w:rPr>
          <w:rFonts w:ascii="Times New Roman" w:hAnsi="Times New Roman" w:cs="Times New Roman"/>
          <w:sz w:val="24"/>
          <w:szCs w:val="24"/>
        </w:rPr>
      </w:pPr>
    </w:p>
    <w:p w14:paraId="4F281E7E" w14:textId="2DABC837" w:rsidR="0028255B" w:rsidRDefault="0028255B" w:rsidP="0028255B">
      <w:pPr>
        <w:pStyle w:val="Ttulo1"/>
        <w:numPr>
          <w:ilvl w:val="0"/>
          <w:numId w:val="1"/>
        </w:numPr>
        <w:spacing w:line="360" w:lineRule="auto"/>
        <w:jc w:val="both"/>
        <w:rPr>
          <w:rFonts w:ascii="Times New Roman" w:hAnsi="Times New Roman" w:cs="Times New Roman"/>
        </w:rPr>
      </w:pPr>
      <w:bookmarkStart w:id="5" w:name="_Toc65498602"/>
      <w:r>
        <w:rPr>
          <w:rFonts w:ascii="Times New Roman" w:hAnsi="Times New Roman" w:cs="Times New Roman"/>
        </w:rPr>
        <w:t>Inviolabilidad</w:t>
      </w:r>
      <w:r w:rsidR="009A0329">
        <w:rPr>
          <w:rFonts w:ascii="Times New Roman" w:hAnsi="Times New Roman" w:cs="Times New Roman"/>
        </w:rPr>
        <w:t xml:space="preserve"> de los locales de la misión diplomática y la oficina consular</w:t>
      </w:r>
      <w:bookmarkEnd w:id="5"/>
    </w:p>
    <w:p w14:paraId="40F76997" w14:textId="3A8DEF62" w:rsidR="0028255B" w:rsidRDefault="0028255B" w:rsidP="006E487F">
      <w:pPr>
        <w:pStyle w:val="Ttulo2"/>
        <w:numPr>
          <w:ilvl w:val="1"/>
          <w:numId w:val="1"/>
        </w:numPr>
        <w:spacing w:line="360" w:lineRule="auto"/>
        <w:jc w:val="both"/>
        <w:rPr>
          <w:rFonts w:ascii="Times New Roman" w:hAnsi="Times New Roman" w:cs="Times New Roman"/>
          <w:sz w:val="28"/>
          <w:szCs w:val="28"/>
        </w:rPr>
      </w:pPr>
      <w:bookmarkStart w:id="6" w:name="_Toc65498603"/>
      <w:r w:rsidRPr="0028255B">
        <w:rPr>
          <w:rFonts w:ascii="Times New Roman" w:hAnsi="Times New Roman" w:cs="Times New Roman"/>
          <w:sz w:val="28"/>
          <w:szCs w:val="28"/>
        </w:rPr>
        <w:t>Contenido</w:t>
      </w:r>
      <w:bookmarkEnd w:id="6"/>
      <w:r w:rsidRPr="0028255B">
        <w:rPr>
          <w:rFonts w:ascii="Times New Roman" w:hAnsi="Times New Roman" w:cs="Times New Roman"/>
          <w:sz w:val="28"/>
          <w:szCs w:val="28"/>
        </w:rPr>
        <w:t xml:space="preserve"> </w:t>
      </w:r>
    </w:p>
    <w:p w14:paraId="58A689A3" w14:textId="3C4231D7" w:rsidR="00BD3146" w:rsidRDefault="006E487F" w:rsidP="00F819A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Las inmunidades y privilegios de las misiones diplomáticas y de las oficinas consulares se conciben como una garantía excepcional para asegurar el funcionamiento de estas instituciones, pues </w:t>
      </w:r>
      <w:r w:rsidRPr="009F08FC">
        <w:rPr>
          <w:rFonts w:ascii="Times New Roman" w:hAnsi="Times New Roman" w:cs="Times New Roman"/>
          <w:i/>
          <w:iCs/>
          <w:sz w:val="24"/>
          <w:szCs w:val="24"/>
        </w:rPr>
        <w:t>“se conceden no en beneficio de las personas, sino con el fin de garantizar el desempeño eficaz de las funciones de las misiones diplomáticas en calidad de representantes de los Estados”</w:t>
      </w:r>
      <w:r w:rsidR="009F08FC">
        <w:rPr>
          <w:rFonts w:ascii="Times New Roman" w:hAnsi="Times New Roman" w:cs="Times New Roman"/>
          <w:sz w:val="24"/>
          <w:szCs w:val="24"/>
        </w:rPr>
        <w:t xml:space="preserve"> </w:t>
      </w:r>
      <w:r>
        <w:rPr>
          <w:rFonts w:ascii="Times New Roman" w:hAnsi="Times New Roman" w:cs="Times New Roman"/>
          <w:sz w:val="24"/>
          <w:szCs w:val="24"/>
        </w:rPr>
        <w:t xml:space="preserve">según </w:t>
      </w:r>
      <w:r w:rsidR="006261AB">
        <w:rPr>
          <w:rFonts w:ascii="Times New Roman" w:hAnsi="Times New Roman" w:cs="Times New Roman"/>
          <w:sz w:val="24"/>
          <w:szCs w:val="24"/>
        </w:rPr>
        <w:t>los</w:t>
      </w:r>
      <w:r>
        <w:rPr>
          <w:rFonts w:ascii="Times New Roman" w:hAnsi="Times New Roman" w:cs="Times New Roman"/>
          <w:sz w:val="24"/>
          <w:szCs w:val="24"/>
        </w:rPr>
        <w:t xml:space="preserve"> preámbulo</w:t>
      </w:r>
      <w:r w:rsidR="006261AB">
        <w:rPr>
          <w:rFonts w:ascii="Times New Roman" w:hAnsi="Times New Roman" w:cs="Times New Roman"/>
          <w:sz w:val="24"/>
          <w:szCs w:val="24"/>
        </w:rPr>
        <w:t>s</w:t>
      </w:r>
      <w:r>
        <w:rPr>
          <w:rFonts w:ascii="Times New Roman" w:hAnsi="Times New Roman" w:cs="Times New Roman"/>
          <w:sz w:val="24"/>
          <w:szCs w:val="24"/>
        </w:rPr>
        <w:t xml:space="preserve"> de</w:t>
      </w:r>
      <w:r w:rsidR="006261AB">
        <w:rPr>
          <w:rFonts w:ascii="Times New Roman" w:hAnsi="Times New Roman" w:cs="Times New Roman"/>
          <w:sz w:val="24"/>
          <w:szCs w:val="24"/>
        </w:rPr>
        <w:t xml:space="preserve"> los</w:t>
      </w:r>
      <w:r>
        <w:rPr>
          <w:rFonts w:ascii="Times New Roman" w:hAnsi="Times New Roman" w:cs="Times New Roman"/>
          <w:sz w:val="24"/>
          <w:szCs w:val="24"/>
        </w:rPr>
        <w:t xml:space="preserve"> Convenio</w:t>
      </w:r>
      <w:r w:rsidR="006261AB">
        <w:rPr>
          <w:rFonts w:ascii="Times New Roman" w:hAnsi="Times New Roman" w:cs="Times New Roman"/>
          <w:sz w:val="24"/>
          <w:szCs w:val="24"/>
        </w:rPr>
        <w:t>s</w:t>
      </w:r>
      <w:r>
        <w:rPr>
          <w:rFonts w:ascii="Times New Roman" w:hAnsi="Times New Roman" w:cs="Times New Roman"/>
          <w:sz w:val="24"/>
          <w:szCs w:val="24"/>
        </w:rPr>
        <w:t xml:space="preserve"> de Viena de 1961 y 1963. </w:t>
      </w:r>
    </w:p>
    <w:p w14:paraId="795CE825" w14:textId="023F18FA" w:rsidR="00BD3146" w:rsidRDefault="00BD3146" w:rsidP="00F819A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El fundamento de est</w:t>
      </w:r>
      <w:r w:rsidR="00CE6D84">
        <w:rPr>
          <w:rFonts w:ascii="Times New Roman" w:hAnsi="Times New Roman" w:cs="Times New Roman"/>
          <w:sz w:val="24"/>
          <w:szCs w:val="24"/>
        </w:rPr>
        <w:t>a</w:t>
      </w:r>
      <w:r>
        <w:rPr>
          <w:rFonts w:ascii="Times New Roman" w:hAnsi="Times New Roman" w:cs="Times New Roman"/>
          <w:sz w:val="24"/>
          <w:szCs w:val="24"/>
        </w:rPr>
        <w:t>s inmunidades y privilegios se basaba inicialmente en el principio de la extraterritorialidad</w:t>
      </w:r>
      <w:r w:rsidR="006261AB">
        <w:rPr>
          <w:rFonts w:ascii="Times New Roman" w:hAnsi="Times New Roman" w:cs="Times New Roman"/>
          <w:sz w:val="24"/>
          <w:szCs w:val="24"/>
        </w:rPr>
        <w:t>. U</w:t>
      </w:r>
      <w:r>
        <w:rPr>
          <w:rFonts w:ascii="Times New Roman" w:hAnsi="Times New Roman" w:cs="Times New Roman"/>
          <w:sz w:val="24"/>
          <w:szCs w:val="24"/>
        </w:rPr>
        <w:t xml:space="preserve">na </w:t>
      </w:r>
      <w:r w:rsidR="008C7403">
        <w:rPr>
          <w:rFonts w:ascii="Times New Roman" w:hAnsi="Times New Roman" w:cs="Times New Roman"/>
          <w:sz w:val="24"/>
          <w:szCs w:val="24"/>
        </w:rPr>
        <w:t xml:space="preserve">ficción atribuida a Hugo Grocio que defendía que el miembro del personal diplomático no había abandonado el territorio de su Estado y la misión diplomática pertenecía al Estado acreditante, pese a encontrarse en el territorio del Estado receptor. Esta teoría </w:t>
      </w:r>
      <w:r w:rsidR="00CE6D84">
        <w:rPr>
          <w:rFonts w:ascii="Times New Roman" w:hAnsi="Times New Roman" w:cs="Times New Roman"/>
          <w:sz w:val="24"/>
          <w:szCs w:val="24"/>
        </w:rPr>
        <w:t>ya</w:t>
      </w:r>
      <w:r w:rsidR="008C7403">
        <w:rPr>
          <w:rFonts w:ascii="Times New Roman" w:hAnsi="Times New Roman" w:cs="Times New Roman"/>
          <w:sz w:val="24"/>
          <w:szCs w:val="24"/>
        </w:rPr>
        <w:t xml:space="preserve"> ha quedado obsoleta debido a su artificialidad y ha sido sustituida por una concepción funcional consagrada en los preámbulos ya mencionados, que justifica la concesión de un estatuto privilegiado con el fin de ejercer sus funciones y directrices del Estado acreditante con total independencia del receptor </w:t>
      </w:r>
      <w:sdt>
        <w:sdtPr>
          <w:rPr>
            <w:rFonts w:ascii="Times New Roman" w:hAnsi="Times New Roman" w:cs="Times New Roman"/>
            <w:sz w:val="24"/>
            <w:szCs w:val="24"/>
          </w:rPr>
          <w:id w:val="2031524344"/>
          <w:citation/>
        </w:sdtPr>
        <w:sdtContent>
          <w:r w:rsidR="008C7403">
            <w:rPr>
              <w:rFonts w:ascii="Times New Roman" w:hAnsi="Times New Roman" w:cs="Times New Roman"/>
              <w:sz w:val="24"/>
              <w:szCs w:val="24"/>
            </w:rPr>
            <w:fldChar w:fldCharType="begin"/>
          </w:r>
          <w:r w:rsidR="008C7403">
            <w:rPr>
              <w:rFonts w:ascii="Times New Roman" w:hAnsi="Times New Roman" w:cs="Times New Roman"/>
              <w:sz w:val="24"/>
              <w:szCs w:val="24"/>
            </w:rPr>
            <w:instrText xml:space="preserve">CITATION Ytu15 \p 177 \l 3082 </w:instrText>
          </w:r>
          <w:r w:rsidR="008C7403">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(Yturriaga Barberán, 2015, pág. 177)</w:t>
          </w:r>
          <w:r w:rsidR="008C7403">
            <w:rPr>
              <w:rFonts w:ascii="Times New Roman" w:hAnsi="Times New Roman" w:cs="Times New Roman"/>
              <w:sz w:val="24"/>
              <w:szCs w:val="24"/>
            </w:rPr>
            <w:fldChar w:fldCharType="end"/>
          </w:r>
        </w:sdtContent>
      </w:sdt>
      <w:r w:rsidR="0006597B">
        <w:rPr>
          <w:rFonts w:ascii="Times New Roman" w:hAnsi="Times New Roman" w:cs="Times New Roman"/>
          <w:sz w:val="24"/>
          <w:szCs w:val="24"/>
        </w:rPr>
        <w:t>.</w:t>
      </w:r>
    </w:p>
    <w:p w14:paraId="05304362" w14:textId="6BAD5E46" w:rsidR="0028255B" w:rsidRDefault="00BD3146" w:rsidP="00F819A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Entre estas instituciones cabe destacar la inmunidad de coerción o inviolabilidad</w:t>
      </w:r>
      <w:r w:rsidR="00CE6D84">
        <w:rPr>
          <w:rFonts w:ascii="Times New Roman" w:hAnsi="Times New Roman" w:cs="Times New Roman"/>
          <w:sz w:val="24"/>
          <w:szCs w:val="24"/>
        </w:rPr>
        <w:t>,</w:t>
      </w:r>
      <w:r w:rsidR="003A4AFE">
        <w:rPr>
          <w:rFonts w:ascii="Times New Roman" w:hAnsi="Times New Roman" w:cs="Times New Roman"/>
          <w:sz w:val="24"/>
          <w:szCs w:val="24"/>
        </w:rPr>
        <w:t xml:space="preserve"> considerada como la</w:t>
      </w:r>
      <w:r w:rsidR="006E487F">
        <w:rPr>
          <w:rFonts w:ascii="Times New Roman" w:hAnsi="Times New Roman" w:cs="Times New Roman"/>
          <w:sz w:val="24"/>
          <w:szCs w:val="24"/>
        </w:rPr>
        <w:t xml:space="preserve"> más antigua e importante del Derecho de Gentes, ya que </w:t>
      </w:r>
      <w:r w:rsidR="008E2A27">
        <w:rPr>
          <w:rFonts w:ascii="Times New Roman" w:hAnsi="Times New Roman" w:cs="Times New Roman"/>
          <w:sz w:val="24"/>
          <w:szCs w:val="24"/>
        </w:rPr>
        <w:t xml:space="preserve">siempre ha sido necesario garantizar la seguridad de los negociadores, especialmente en conflictos </w:t>
      </w:r>
      <w:r w:rsidR="008E2A27">
        <w:rPr>
          <w:rFonts w:ascii="Times New Roman" w:hAnsi="Times New Roman" w:cs="Times New Roman"/>
          <w:sz w:val="24"/>
          <w:szCs w:val="24"/>
        </w:rPr>
        <w:lastRenderedPageBreak/>
        <w:t xml:space="preserve">con países considerados enemigos. Cicerón defendería que </w:t>
      </w:r>
      <w:r w:rsidR="008E2A27" w:rsidRPr="00CE6D84">
        <w:rPr>
          <w:rFonts w:ascii="Times New Roman" w:hAnsi="Times New Roman" w:cs="Times New Roman"/>
          <w:i/>
          <w:iCs/>
          <w:sz w:val="24"/>
          <w:szCs w:val="24"/>
        </w:rPr>
        <w:t>“la inviolabilidad de los Embajadores está protegida, a la vez por el derecho humano y el divino; su persona es sagrada y respetada de tal manera que son inviolables no solamente en un país aliado, sino también cunado se encuentren en manos enemigas”</w:t>
      </w:r>
      <w:r w:rsidR="00962A0D">
        <w:rPr>
          <w:rStyle w:val="Refdenotaalpie"/>
          <w:rFonts w:ascii="Times New Roman" w:hAnsi="Times New Roman" w:cs="Times New Roman"/>
          <w:i/>
          <w:iCs/>
          <w:sz w:val="24"/>
          <w:szCs w:val="24"/>
        </w:rPr>
        <w:footnoteReference w:id="8"/>
      </w:r>
      <w:r w:rsidR="008E2A27">
        <w:rPr>
          <w:rFonts w:ascii="Times New Roman" w:hAnsi="Times New Roman" w:cs="Times New Roman"/>
          <w:sz w:val="24"/>
          <w:szCs w:val="24"/>
        </w:rPr>
        <w:t>. No obstante, si en un inicio la inviolabilidad se aplicaba a los miembros de las misiones diplomáticas y consulares, finalmente este principio se ha ampliado</w:t>
      </w:r>
      <w:r w:rsidR="00CE6D84">
        <w:rPr>
          <w:rFonts w:ascii="Times New Roman" w:hAnsi="Times New Roman" w:cs="Times New Roman"/>
          <w:sz w:val="24"/>
          <w:szCs w:val="24"/>
        </w:rPr>
        <w:t xml:space="preserve"> para</w:t>
      </w:r>
      <w:r w:rsidR="008E2A27">
        <w:rPr>
          <w:rFonts w:ascii="Times New Roman" w:hAnsi="Times New Roman" w:cs="Times New Roman"/>
          <w:sz w:val="24"/>
          <w:szCs w:val="24"/>
        </w:rPr>
        <w:t xml:space="preserve"> garantizar la protección de los locales, bienes y archivos de las misiones. </w:t>
      </w:r>
    </w:p>
    <w:p w14:paraId="6CDE3035" w14:textId="0533EE61" w:rsidR="004B557A" w:rsidRDefault="006521DB" w:rsidP="00690885">
      <w:pPr>
        <w:spacing w:line="360" w:lineRule="auto"/>
        <w:ind w:firstLine="720"/>
        <w:jc w:val="both"/>
        <w:rPr>
          <w:rFonts w:ascii="Times New Roman" w:hAnsi="Times New Roman" w:cs="Times New Roman"/>
          <w:sz w:val="24"/>
          <w:szCs w:val="24"/>
        </w:rPr>
      </w:pPr>
      <w:bookmarkStart w:id="7" w:name="_Hlk51751503"/>
      <w:r>
        <w:rPr>
          <w:rFonts w:ascii="Times New Roman" w:hAnsi="Times New Roman" w:cs="Times New Roman"/>
          <w:sz w:val="24"/>
          <w:szCs w:val="24"/>
        </w:rPr>
        <w:t>Esta inviolabilidad significa que “</w:t>
      </w:r>
      <w:r w:rsidRPr="00CE6D84">
        <w:rPr>
          <w:rFonts w:ascii="Times New Roman" w:hAnsi="Times New Roman" w:cs="Times New Roman"/>
          <w:i/>
          <w:iCs/>
          <w:sz w:val="24"/>
          <w:szCs w:val="24"/>
        </w:rPr>
        <w:t xml:space="preserve">el Estado receptor no solo no podrá aplicar, a los beneficiarios del </w:t>
      </w:r>
      <w:proofErr w:type="gramStart"/>
      <w:r w:rsidRPr="00CE6D84">
        <w:rPr>
          <w:rFonts w:ascii="Times New Roman" w:hAnsi="Times New Roman" w:cs="Times New Roman"/>
          <w:i/>
          <w:iCs/>
          <w:sz w:val="24"/>
          <w:szCs w:val="24"/>
        </w:rPr>
        <w:t>status</w:t>
      </w:r>
      <w:proofErr w:type="gramEnd"/>
      <w:r w:rsidRPr="00CE6D84">
        <w:rPr>
          <w:rFonts w:ascii="Times New Roman" w:hAnsi="Times New Roman" w:cs="Times New Roman"/>
          <w:i/>
          <w:iCs/>
          <w:sz w:val="24"/>
          <w:szCs w:val="24"/>
        </w:rPr>
        <w:t xml:space="preserve"> normas compulsivas de su ordenamiento jurídico ni ejercer sobre ellos acciones </w:t>
      </w:r>
      <w:bookmarkEnd w:id="7"/>
      <w:r w:rsidRPr="00CE6D84">
        <w:rPr>
          <w:rFonts w:ascii="Times New Roman" w:hAnsi="Times New Roman" w:cs="Times New Roman"/>
          <w:i/>
          <w:iCs/>
          <w:sz w:val="24"/>
          <w:szCs w:val="24"/>
        </w:rPr>
        <w:t>de tal carácter, sino que, además, deberá establecer las disposiciones y llevar a cabo las actuaciones que garanticen su protección</w:t>
      </w:r>
      <w:r>
        <w:rPr>
          <w:rFonts w:ascii="Times New Roman" w:hAnsi="Times New Roman" w:cs="Times New Roman"/>
          <w:sz w:val="24"/>
          <w:szCs w:val="24"/>
        </w:rPr>
        <w:t>”</w:t>
      </w:r>
      <w:r w:rsidR="009F08FC">
        <w:rPr>
          <w:rStyle w:val="Refdenotaalpie"/>
          <w:rFonts w:ascii="Times New Roman" w:hAnsi="Times New Roman" w:cs="Times New Roman"/>
          <w:sz w:val="24"/>
          <w:szCs w:val="24"/>
        </w:rPr>
        <w:footnoteReference w:id="9"/>
      </w:r>
      <w:r>
        <w:rPr>
          <w:rFonts w:ascii="Times New Roman" w:hAnsi="Times New Roman" w:cs="Times New Roman"/>
          <w:sz w:val="24"/>
          <w:szCs w:val="24"/>
        </w:rPr>
        <w:t xml:space="preserve">. Así, este principio </w:t>
      </w:r>
      <w:r w:rsidR="002F70AB">
        <w:rPr>
          <w:rFonts w:ascii="Times New Roman" w:hAnsi="Times New Roman" w:cs="Times New Roman"/>
          <w:sz w:val="24"/>
          <w:szCs w:val="24"/>
        </w:rPr>
        <w:t xml:space="preserve">se concreta </w:t>
      </w:r>
      <w:r>
        <w:rPr>
          <w:rFonts w:ascii="Times New Roman" w:hAnsi="Times New Roman" w:cs="Times New Roman"/>
          <w:sz w:val="24"/>
          <w:szCs w:val="24"/>
        </w:rPr>
        <w:t xml:space="preserve">en </w:t>
      </w:r>
      <w:r w:rsidR="002A3AB1">
        <w:rPr>
          <w:rFonts w:ascii="Times New Roman" w:hAnsi="Times New Roman" w:cs="Times New Roman"/>
          <w:sz w:val="24"/>
          <w:szCs w:val="24"/>
        </w:rPr>
        <w:t>los</w:t>
      </w:r>
      <w:r>
        <w:rPr>
          <w:rFonts w:ascii="Times New Roman" w:hAnsi="Times New Roman" w:cs="Times New Roman"/>
          <w:sz w:val="24"/>
          <w:szCs w:val="24"/>
        </w:rPr>
        <w:t xml:space="preserve"> aspectos pasivo y activo</w:t>
      </w:r>
      <w:r w:rsidR="002A3AB1">
        <w:rPr>
          <w:rFonts w:ascii="Times New Roman" w:hAnsi="Times New Roman" w:cs="Times New Roman"/>
          <w:sz w:val="24"/>
          <w:szCs w:val="24"/>
        </w:rPr>
        <w:t>.</w:t>
      </w:r>
      <w:r>
        <w:rPr>
          <w:rFonts w:ascii="Times New Roman" w:hAnsi="Times New Roman" w:cs="Times New Roman"/>
          <w:sz w:val="24"/>
          <w:szCs w:val="24"/>
        </w:rPr>
        <w:t xml:space="preserve"> </w:t>
      </w:r>
      <w:r w:rsidR="002A3AB1">
        <w:rPr>
          <w:rFonts w:ascii="Times New Roman" w:hAnsi="Times New Roman" w:cs="Times New Roman"/>
          <w:sz w:val="24"/>
          <w:szCs w:val="24"/>
        </w:rPr>
        <w:t>P</w:t>
      </w:r>
      <w:r>
        <w:rPr>
          <w:rFonts w:ascii="Times New Roman" w:hAnsi="Times New Roman" w:cs="Times New Roman"/>
          <w:sz w:val="24"/>
          <w:szCs w:val="24"/>
        </w:rPr>
        <w:t>rimero, el Estado receptor tendrá una obligación de abstención</w:t>
      </w:r>
      <w:r w:rsidR="00CC467D">
        <w:rPr>
          <w:rFonts w:ascii="Times New Roman" w:hAnsi="Times New Roman" w:cs="Times New Roman"/>
          <w:sz w:val="24"/>
          <w:szCs w:val="24"/>
        </w:rPr>
        <w:t xml:space="preserve"> o comportamiento de omisión</w:t>
      </w:r>
      <w:r>
        <w:rPr>
          <w:rFonts w:ascii="Times New Roman" w:hAnsi="Times New Roman" w:cs="Times New Roman"/>
          <w:sz w:val="24"/>
          <w:szCs w:val="24"/>
        </w:rPr>
        <w:t xml:space="preserve"> de actuar contra la misión o sus miembros</w:t>
      </w:r>
      <w:r w:rsidR="002A3AB1">
        <w:rPr>
          <w:rFonts w:ascii="Times New Roman" w:hAnsi="Times New Roman" w:cs="Times New Roman"/>
          <w:sz w:val="24"/>
          <w:szCs w:val="24"/>
        </w:rPr>
        <w:t>.</w:t>
      </w:r>
      <w:r>
        <w:rPr>
          <w:rFonts w:ascii="Times New Roman" w:hAnsi="Times New Roman" w:cs="Times New Roman"/>
          <w:sz w:val="24"/>
          <w:szCs w:val="24"/>
        </w:rPr>
        <w:t xml:space="preserve"> </w:t>
      </w:r>
      <w:r w:rsidR="002A3AB1">
        <w:rPr>
          <w:rFonts w:ascii="Times New Roman" w:hAnsi="Times New Roman" w:cs="Times New Roman"/>
          <w:sz w:val="24"/>
          <w:szCs w:val="24"/>
        </w:rPr>
        <w:t>S</w:t>
      </w:r>
      <w:r>
        <w:rPr>
          <w:rFonts w:ascii="Times New Roman" w:hAnsi="Times New Roman" w:cs="Times New Roman"/>
          <w:sz w:val="24"/>
          <w:szCs w:val="24"/>
        </w:rPr>
        <w:t>egundo, este tendrá una obligación de protección</w:t>
      </w:r>
      <w:r w:rsidR="00CC467D">
        <w:rPr>
          <w:rFonts w:ascii="Times New Roman" w:hAnsi="Times New Roman" w:cs="Times New Roman"/>
          <w:sz w:val="24"/>
          <w:szCs w:val="24"/>
        </w:rPr>
        <w:t xml:space="preserve"> o de resultado</w:t>
      </w:r>
      <w:r>
        <w:rPr>
          <w:rFonts w:ascii="Times New Roman" w:hAnsi="Times New Roman" w:cs="Times New Roman"/>
          <w:sz w:val="24"/>
          <w:szCs w:val="24"/>
        </w:rPr>
        <w:t>, con sus fuerzas y cuerpos de seguridad, a la misión y a sus miembros de toda acción beligerante que pueda suponer una privación de su integridad. En consecuencia, en los siguientes apartados se centra</w:t>
      </w:r>
      <w:r w:rsidR="00F84E2F">
        <w:rPr>
          <w:rFonts w:ascii="Times New Roman" w:hAnsi="Times New Roman" w:cs="Times New Roman"/>
          <w:sz w:val="24"/>
          <w:szCs w:val="24"/>
        </w:rPr>
        <w:t>rá</w:t>
      </w:r>
      <w:r>
        <w:rPr>
          <w:rFonts w:ascii="Times New Roman" w:hAnsi="Times New Roman" w:cs="Times New Roman"/>
          <w:sz w:val="24"/>
          <w:szCs w:val="24"/>
        </w:rPr>
        <w:t xml:space="preserve"> la atención en el marco normativo actual </w:t>
      </w:r>
      <w:r w:rsidR="00CE6D84">
        <w:rPr>
          <w:rFonts w:ascii="Times New Roman" w:hAnsi="Times New Roman" w:cs="Times New Roman"/>
          <w:sz w:val="24"/>
          <w:szCs w:val="24"/>
        </w:rPr>
        <w:t>sobre</w:t>
      </w:r>
      <w:r>
        <w:rPr>
          <w:rFonts w:ascii="Times New Roman" w:hAnsi="Times New Roman" w:cs="Times New Roman"/>
          <w:sz w:val="24"/>
          <w:szCs w:val="24"/>
        </w:rPr>
        <w:t xml:space="preserve"> </w:t>
      </w:r>
      <w:r w:rsidR="00CE6D84">
        <w:rPr>
          <w:rFonts w:ascii="Times New Roman" w:hAnsi="Times New Roman" w:cs="Times New Roman"/>
          <w:sz w:val="24"/>
          <w:szCs w:val="24"/>
        </w:rPr>
        <w:t>la</w:t>
      </w:r>
      <w:r>
        <w:rPr>
          <w:rFonts w:ascii="Times New Roman" w:hAnsi="Times New Roman" w:cs="Times New Roman"/>
          <w:sz w:val="24"/>
          <w:szCs w:val="24"/>
        </w:rPr>
        <w:t xml:space="preserve"> inviolabili</w:t>
      </w:r>
      <w:r w:rsidR="005306D5">
        <w:rPr>
          <w:rFonts w:ascii="Times New Roman" w:hAnsi="Times New Roman" w:cs="Times New Roman"/>
          <w:sz w:val="24"/>
          <w:szCs w:val="24"/>
        </w:rPr>
        <w:t>dad de</w:t>
      </w:r>
      <w:r w:rsidR="00CE6D84">
        <w:rPr>
          <w:rFonts w:ascii="Times New Roman" w:hAnsi="Times New Roman" w:cs="Times New Roman"/>
          <w:sz w:val="24"/>
          <w:szCs w:val="24"/>
        </w:rPr>
        <w:t xml:space="preserve"> los locales de</w:t>
      </w:r>
      <w:r w:rsidR="005306D5">
        <w:rPr>
          <w:rFonts w:ascii="Times New Roman" w:hAnsi="Times New Roman" w:cs="Times New Roman"/>
          <w:sz w:val="24"/>
          <w:szCs w:val="24"/>
        </w:rPr>
        <w:t xml:space="preserve"> la misión diplomática y de la oficina consular</w:t>
      </w:r>
      <w:r w:rsidR="00F84E2F">
        <w:rPr>
          <w:rFonts w:ascii="Times New Roman" w:hAnsi="Times New Roman" w:cs="Times New Roman"/>
          <w:sz w:val="24"/>
          <w:szCs w:val="24"/>
        </w:rPr>
        <w:t xml:space="preserve">. </w:t>
      </w:r>
      <w:r w:rsidR="005306D5">
        <w:rPr>
          <w:rFonts w:ascii="Times New Roman" w:hAnsi="Times New Roman" w:cs="Times New Roman"/>
          <w:sz w:val="24"/>
          <w:szCs w:val="24"/>
        </w:rPr>
        <w:t xml:space="preserve"> </w:t>
      </w:r>
    </w:p>
    <w:p w14:paraId="21193B8F" w14:textId="27AA8139" w:rsidR="004B557A" w:rsidRPr="00862A4F" w:rsidRDefault="004B557A" w:rsidP="004B557A">
      <w:pPr>
        <w:pStyle w:val="Ttulo2"/>
        <w:numPr>
          <w:ilvl w:val="1"/>
          <w:numId w:val="1"/>
        </w:numPr>
        <w:spacing w:line="360" w:lineRule="auto"/>
        <w:jc w:val="both"/>
        <w:rPr>
          <w:rFonts w:ascii="Times New Roman" w:hAnsi="Times New Roman" w:cs="Times New Roman"/>
          <w:sz w:val="28"/>
          <w:szCs w:val="28"/>
        </w:rPr>
      </w:pPr>
      <w:bookmarkStart w:id="8" w:name="_Toc65498604"/>
      <w:r w:rsidRPr="00862A4F">
        <w:rPr>
          <w:rFonts w:ascii="Times New Roman" w:hAnsi="Times New Roman" w:cs="Times New Roman"/>
          <w:sz w:val="28"/>
          <w:szCs w:val="28"/>
        </w:rPr>
        <w:t>Marco normativo</w:t>
      </w:r>
      <w:bookmarkEnd w:id="8"/>
      <w:r w:rsidRPr="00862A4F">
        <w:rPr>
          <w:rFonts w:ascii="Times New Roman" w:hAnsi="Times New Roman" w:cs="Times New Roman"/>
          <w:sz w:val="28"/>
          <w:szCs w:val="28"/>
        </w:rPr>
        <w:t xml:space="preserve"> </w:t>
      </w:r>
    </w:p>
    <w:p w14:paraId="6DA49D15" w14:textId="1D15F49B" w:rsidR="00A933FA" w:rsidRPr="00200AC2" w:rsidRDefault="004B557A" w:rsidP="00A933FA">
      <w:pPr>
        <w:pStyle w:val="Ttulo3"/>
        <w:numPr>
          <w:ilvl w:val="2"/>
          <w:numId w:val="1"/>
        </w:numPr>
        <w:spacing w:line="360" w:lineRule="auto"/>
        <w:jc w:val="both"/>
        <w:rPr>
          <w:rFonts w:ascii="Times New Roman" w:hAnsi="Times New Roman" w:cs="Times New Roman"/>
          <w:sz w:val="28"/>
          <w:szCs w:val="28"/>
        </w:rPr>
      </w:pPr>
      <w:bookmarkStart w:id="9" w:name="_Toc65498605"/>
      <w:r w:rsidRPr="00200AC2">
        <w:rPr>
          <w:rFonts w:ascii="Times New Roman" w:hAnsi="Times New Roman" w:cs="Times New Roman"/>
          <w:sz w:val="28"/>
          <w:szCs w:val="28"/>
        </w:rPr>
        <w:t>Inviolabilidad de los locales de la misión diplomática</w:t>
      </w:r>
      <w:bookmarkEnd w:id="9"/>
      <w:r w:rsidRPr="00200AC2">
        <w:rPr>
          <w:rFonts w:ascii="Times New Roman" w:hAnsi="Times New Roman" w:cs="Times New Roman"/>
          <w:sz w:val="28"/>
          <w:szCs w:val="28"/>
        </w:rPr>
        <w:t xml:space="preserve"> </w:t>
      </w:r>
    </w:p>
    <w:p w14:paraId="0BC6C557" w14:textId="06DBB361" w:rsidR="00CC467D" w:rsidRDefault="001C3966" w:rsidP="00B661BF">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E</w:t>
      </w:r>
      <w:r w:rsidR="00CC467D">
        <w:rPr>
          <w:rFonts w:ascii="Times New Roman" w:hAnsi="Times New Roman" w:cs="Times New Roman"/>
          <w:sz w:val="24"/>
          <w:szCs w:val="24"/>
        </w:rPr>
        <w:t xml:space="preserve">l concepto de los locales de la misión </w:t>
      </w:r>
      <w:r w:rsidR="00FE5D34">
        <w:rPr>
          <w:rFonts w:ascii="Times New Roman" w:hAnsi="Times New Roman" w:cs="Times New Roman"/>
          <w:sz w:val="24"/>
          <w:szCs w:val="24"/>
        </w:rPr>
        <w:t xml:space="preserve">diplomática </w:t>
      </w:r>
      <w:r w:rsidR="00CC467D">
        <w:rPr>
          <w:rFonts w:ascii="Times New Roman" w:hAnsi="Times New Roman" w:cs="Times New Roman"/>
          <w:sz w:val="24"/>
          <w:szCs w:val="24"/>
        </w:rPr>
        <w:t>a los efectos del artículo 1</w:t>
      </w:r>
      <w:r w:rsidR="00C36AA3">
        <w:rPr>
          <w:rFonts w:ascii="Times New Roman" w:hAnsi="Times New Roman" w:cs="Times New Roman"/>
          <w:sz w:val="24"/>
          <w:szCs w:val="24"/>
        </w:rPr>
        <w:t>.</w:t>
      </w:r>
      <w:r w:rsidR="00CC467D">
        <w:rPr>
          <w:rFonts w:ascii="Times New Roman" w:hAnsi="Times New Roman" w:cs="Times New Roman"/>
          <w:sz w:val="24"/>
          <w:szCs w:val="24"/>
        </w:rPr>
        <w:t xml:space="preserve">i) de la Convención de Viena </w:t>
      </w:r>
      <w:r w:rsidR="00402169">
        <w:rPr>
          <w:rFonts w:ascii="Times New Roman" w:hAnsi="Times New Roman" w:cs="Times New Roman"/>
          <w:sz w:val="24"/>
          <w:szCs w:val="24"/>
        </w:rPr>
        <w:t xml:space="preserve">sobre Relaciones Diplomáticas </w:t>
      </w:r>
      <w:r w:rsidR="00CC467D">
        <w:rPr>
          <w:rFonts w:ascii="Times New Roman" w:hAnsi="Times New Roman" w:cs="Times New Roman"/>
          <w:sz w:val="24"/>
          <w:szCs w:val="24"/>
        </w:rPr>
        <w:t xml:space="preserve">de 1961 se </w:t>
      </w:r>
      <w:r w:rsidR="00C36AA3">
        <w:rPr>
          <w:rFonts w:ascii="Times New Roman" w:hAnsi="Times New Roman" w:cs="Times New Roman"/>
          <w:sz w:val="24"/>
          <w:szCs w:val="24"/>
        </w:rPr>
        <w:t>configura</w:t>
      </w:r>
      <w:r w:rsidR="00CC467D">
        <w:rPr>
          <w:rFonts w:ascii="Times New Roman" w:hAnsi="Times New Roman" w:cs="Times New Roman"/>
          <w:sz w:val="24"/>
          <w:szCs w:val="24"/>
        </w:rPr>
        <w:t xml:space="preserve"> de la siguiente forma:</w:t>
      </w:r>
    </w:p>
    <w:p w14:paraId="705F2748" w14:textId="319082E1" w:rsidR="00CC467D" w:rsidRDefault="00CC467D" w:rsidP="00F017CF">
      <w:pPr>
        <w:spacing w:line="276" w:lineRule="auto"/>
        <w:ind w:left="720"/>
        <w:jc w:val="both"/>
        <w:rPr>
          <w:rFonts w:ascii="Times New Roman" w:hAnsi="Times New Roman" w:cs="Times New Roman"/>
          <w:i/>
          <w:iCs/>
        </w:rPr>
      </w:pPr>
      <w:r w:rsidRPr="00C36AA3">
        <w:rPr>
          <w:rFonts w:ascii="Times New Roman" w:hAnsi="Times New Roman" w:cs="Times New Roman"/>
          <w:i/>
          <w:iCs/>
        </w:rPr>
        <w:t xml:space="preserve"> </w:t>
      </w:r>
      <w:r w:rsidR="00C36AA3">
        <w:rPr>
          <w:rFonts w:ascii="Times New Roman" w:hAnsi="Times New Roman" w:cs="Times New Roman"/>
          <w:i/>
          <w:iCs/>
        </w:rPr>
        <w:t>“P</w:t>
      </w:r>
      <w:r w:rsidRPr="00C36AA3">
        <w:rPr>
          <w:rFonts w:ascii="Times New Roman" w:hAnsi="Times New Roman" w:cs="Times New Roman"/>
          <w:i/>
          <w:iCs/>
        </w:rPr>
        <w:t>or “</w:t>
      </w:r>
      <w:r w:rsidR="00C36AA3" w:rsidRPr="00C36AA3">
        <w:rPr>
          <w:rFonts w:ascii="Times New Roman" w:hAnsi="Times New Roman" w:cs="Times New Roman"/>
          <w:i/>
          <w:iCs/>
        </w:rPr>
        <w:t xml:space="preserve">locales de la misión” se entiende </w:t>
      </w:r>
      <w:r w:rsidRPr="00C36AA3">
        <w:rPr>
          <w:rFonts w:ascii="Times New Roman" w:hAnsi="Times New Roman" w:cs="Times New Roman"/>
          <w:i/>
          <w:iCs/>
        </w:rPr>
        <w:t xml:space="preserve">los edificios o las partes de los edificios, sea cual fuera su propietario, utilizados para las finalidades de la misión, incluyendo la residencia del </w:t>
      </w:r>
      <w:r w:rsidR="00687FA6" w:rsidRPr="00C36AA3">
        <w:rPr>
          <w:rFonts w:ascii="Times New Roman" w:hAnsi="Times New Roman" w:cs="Times New Roman"/>
          <w:i/>
          <w:iCs/>
        </w:rPr>
        <w:t>jefe</w:t>
      </w:r>
      <w:r w:rsidRPr="00C36AA3">
        <w:rPr>
          <w:rFonts w:ascii="Times New Roman" w:hAnsi="Times New Roman" w:cs="Times New Roman"/>
          <w:i/>
          <w:iCs/>
        </w:rPr>
        <w:t xml:space="preserve"> de la misión, así como el terreno de destinado al servicio de esos edificios o parte de ellos”</w:t>
      </w:r>
      <w:r w:rsidR="00F1428C">
        <w:rPr>
          <w:rStyle w:val="Refdenotaalpie"/>
          <w:rFonts w:ascii="Times New Roman" w:hAnsi="Times New Roman" w:cs="Times New Roman"/>
          <w:i/>
          <w:iCs/>
        </w:rPr>
        <w:footnoteReference w:id="10"/>
      </w:r>
      <w:r w:rsidRPr="00C36AA3">
        <w:rPr>
          <w:rFonts w:ascii="Times New Roman" w:hAnsi="Times New Roman" w:cs="Times New Roman"/>
          <w:i/>
          <w:iCs/>
        </w:rPr>
        <w:t xml:space="preserve">. </w:t>
      </w:r>
    </w:p>
    <w:p w14:paraId="25F4A531" w14:textId="24FE25EC" w:rsidR="00C36AA3" w:rsidRDefault="00C36AA3" w:rsidP="00C36AA3">
      <w:pPr>
        <w:spacing w:line="360" w:lineRule="auto"/>
        <w:jc w:val="both"/>
        <w:rPr>
          <w:rFonts w:ascii="Times New Roman" w:hAnsi="Times New Roman" w:cs="Times New Roman"/>
          <w:sz w:val="24"/>
          <w:szCs w:val="24"/>
        </w:rPr>
      </w:pPr>
      <w:r>
        <w:rPr>
          <w:rFonts w:ascii="Times New Roman" w:hAnsi="Times New Roman" w:cs="Times New Roman"/>
          <w:sz w:val="24"/>
          <w:szCs w:val="24"/>
        </w:rPr>
        <w:tab/>
        <w:t>Por lo tanto, gozarán de la inviolabilidad todos los locales</w:t>
      </w:r>
      <w:r w:rsidR="00237D67">
        <w:rPr>
          <w:rFonts w:ascii="Times New Roman" w:hAnsi="Times New Roman" w:cs="Times New Roman"/>
          <w:sz w:val="24"/>
          <w:szCs w:val="24"/>
        </w:rPr>
        <w:t xml:space="preserve"> -con independencia del título por el que se ocupen-</w:t>
      </w:r>
      <w:r>
        <w:rPr>
          <w:rFonts w:ascii="Times New Roman" w:hAnsi="Times New Roman" w:cs="Times New Roman"/>
          <w:sz w:val="24"/>
          <w:szCs w:val="24"/>
        </w:rPr>
        <w:t xml:space="preserve"> adscritos a la misión donde se ejerzan las funciones diplomáticas y la propia residencia del </w:t>
      </w:r>
      <w:r w:rsidR="00687FA6">
        <w:rPr>
          <w:rFonts w:ascii="Times New Roman" w:hAnsi="Times New Roman" w:cs="Times New Roman"/>
          <w:sz w:val="24"/>
          <w:szCs w:val="24"/>
        </w:rPr>
        <w:t>jefe</w:t>
      </w:r>
      <w:r>
        <w:rPr>
          <w:rFonts w:ascii="Times New Roman" w:hAnsi="Times New Roman" w:cs="Times New Roman"/>
          <w:sz w:val="24"/>
          <w:szCs w:val="24"/>
        </w:rPr>
        <w:t xml:space="preserve"> de la misión, que tendrá carácter oficial a diferencia de la de los demás miembros de la misión diplomática. No obstante, la ausencia </w:t>
      </w:r>
      <w:r>
        <w:rPr>
          <w:rFonts w:ascii="Times New Roman" w:hAnsi="Times New Roman" w:cs="Times New Roman"/>
          <w:sz w:val="24"/>
          <w:szCs w:val="24"/>
        </w:rPr>
        <w:lastRenderedPageBreak/>
        <w:t>de ese carácter oficial</w:t>
      </w:r>
      <w:r w:rsidR="00237D67">
        <w:rPr>
          <w:rFonts w:ascii="Times New Roman" w:hAnsi="Times New Roman" w:cs="Times New Roman"/>
          <w:sz w:val="24"/>
          <w:szCs w:val="24"/>
        </w:rPr>
        <w:t>, que implica que sea parte de los locales de la misión</w:t>
      </w:r>
      <w:r w:rsidR="00687FA6">
        <w:rPr>
          <w:rFonts w:ascii="Times New Roman" w:hAnsi="Times New Roman" w:cs="Times New Roman"/>
          <w:sz w:val="24"/>
          <w:szCs w:val="24"/>
        </w:rPr>
        <w:t>,</w:t>
      </w:r>
      <w:r>
        <w:rPr>
          <w:rFonts w:ascii="Times New Roman" w:hAnsi="Times New Roman" w:cs="Times New Roman"/>
          <w:sz w:val="24"/>
          <w:szCs w:val="24"/>
        </w:rPr>
        <w:t xml:space="preserve"> no</w:t>
      </w:r>
      <w:r w:rsidR="00237D67">
        <w:rPr>
          <w:rFonts w:ascii="Times New Roman" w:hAnsi="Times New Roman" w:cs="Times New Roman"/>
          <w:sz w:val="24"/>
          <w:szCs w:val="24"/>
        </w:rPr>
        <w:t xml:space="preserve"> impide que </w:t>
      </w:r>
      <w:r w:rsidR="00687FA6">
        <w:rPr>
          <w:rFonts w:ascii="Times New Roman" w:hAnsi="Times New Roman" w:cs="Times New Roman"/>
          <w:sz w:val="24"/>
          <w:szCs w:val="24"/>
        </w:rPr>
        <w:t>las residencias particulares</w:t>
      </w:r>
      <w:r>
        <w:rPr>
          <w:rFonts w:ascii="Times New Roman" w:hAnsi="Times New Roman" w:cs="Times New Roman"/>
          <w:sz w:val="24"/>
          <w:szCs w:val="24"/>
        </w:rPr>
        <w:t xml:space="preserve"> </w:t>
      </w:r>
      <w:r w:rsidR="00237D67">
        <w:rPr>
          <w:rFonts w:ascii="Times New Roman" w:hAnsi="Times New Roman" w:cs="Times New Roman"/>
          <w:sz w:val="24"/>
          <w:szCs w:val="24"/>
        </w:rPr>
        <w:t>goce</w:t>
      </w:r>
      <w:r w:rsidR="00687FA6">
        <w:rPr>
          <w:rFonts w:ascii="Times New Roman" w:hAnsi="Times New Roman" w:cs="Times New Roman"/>
          <w:sz w:val="24"/>
          <w:szCs w:val="24"/>
        </w:rPr>
        <w:t>n</w:t>
      </w:r>
      <w:r w:rsidR="00237D67">
        <w:rPr>
          <w:rFonts w:ascii="Times New Roman" w:hAnsi="Times New Roman" w:cs="Times New Roman"/>
          <w:sz w:val="24"/>
          <w:szCs w:val="24"/>
        </w:rPr>
        <w:t xml:space="preserve"> </w:t>
      </w:r>
      <w:r>
        <w:rPr>
          <w:rFonts w:ascii="Times New Roman" w:hAnsi="Times New Roman" w:cs="Times New Roman"/>
          <w:sz w:val="24"/>
          <w:szCs w:val="24"/>
        </w:rPr>
        <w:t xml:space="preserve">de la misma inviolabilidad y protección según lo establecido en el artículo 30.1 de la Convención de 1961: </w:t>
      </w:r>
    </w:p>
    <w:p w14:paraId="1BBCED44" w14:textId="5310D899" w:rsidR="00C36AA3" w:rsidRDefault="00C36AA3" w:rsidP="00F017CF">
      <w:pPr>
        <w:spacing w:line="276" w:lineRule="auto"/>
        <w:ind w:left="720"/>
        <w:jc w:val="both"/>
        <w:rPr>
          <w:rFonts w:ascii="Times New Roman" w:hAnsi="Times New Roman" w:cs="Times New Roman"/>
          <w:i/>
          <w:iCs/>
        </w:rPr>
      </w:pPr>
      <w:r>
        <w:rPr>
          <w:rFonts w:ascii="Times New Roman" w:hAnsi="Times New Roman" w:cs="Times New Roman"/>
          <w:i/>
          <w:iCs/>
        </w:rPr>
        <w:t>“La residencia particular del Agente diplomátic</w:t>
      </w:r>
      <w:r w:rsidR="00FE5D34">
        <w:rPr>
          <w:rFonts w:ascii="Times New Roman" w:hAnsi="Times New Roman" w:cs="Times New Roman"/>
          <w:i/>
          <w:iCs/>
        </w:rPr>
        <w:t>o</w:t>
      </w:r>
      <w:r>
        <w:rPr>
          <w:rFonts w:ascii="Times New Roman" w:hAnsi="Times New Roman" w:cs="Times New Roman"/>
          <w:i/>
          <w:iCs/>
        </w:rPr>
        <w:t xml:space="preserve"> goza de la misma inviolabilidad y protección que los locales de la misión.”</w:t>
      </w:r>
      <w:r w:rsidR="00F1428C">
        <w:rPr>
          <w:rStyle w:val="Refdenotaalpie"/>
          <w:rFonts w:ascii="Times New Roman" w:hAnsi="Times New Roman" w:cs="Times New Roman"/>
          <w:i/>
          <w:iCs/>
        </w:rPr>
        <w:footnoteReference w:id="11"/>
      </w:r>
    </w:p>
    <w:p w14:paraId="617C1792" w14:textId="4271BBB8" w:rsidR="00C36AA3" w:rsidRDefault="0028545C" w:rsidP="00C36AA3">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C36AA3">
        <w:rPr>
          <w:rFonts w:ascii="Times New Roman" w:hAnsi="Times New Roman" w:cs="Times New Roman"/>
          <w:sz w:val="24"/>
          <w:szCs w:val="24"/>
        </w:rPr>
        <w:t>La inviolabilidad de los locales de la misión implica que las autoridades</w:t>
      </w:r>
      <w:r w:rsidR="00586133">
        <w:rPr>
          <w:rFonts w:ascii="Times New Roman" w:hAnsi="Times New Roman" w:cs="Times New Roman"/>
          <w:sz w:val="24"/>
          <w:szCs w:val="24"/>
        </w:rPr>
        <w:t xml:space="preserve"> del Estado receptor no podrán penetrar el local de la misión -la cancillería, locales adscritos y la residencia oficial del embajador -sin el consentimiento del </w:t>
      </w:r>
      <w:r w:rsidR="00687FA6">
        <w:rPr>
          <w:rFonts w:ascii="Times New Roman" w:hAnsi="Times New Roman" w:cs="Times New Roman"/>
          <w:sz w:val="24"/>
          <w:szCs w:val="24"/>
        </w:rPr>
        <w:t>jefe</w:t>
      </w:r>
      <w:r w:rsidR="00586133">
        <w:rPr>
          <w:rFonts w:ascii="Times New Roman" w:hAnsi="Times New Roman" w:cs="Times New Roman"/>
          <w:sz w:val="24"/>
          <w:szCs w:val="24"/>
        </w:rPr>
        <w:t xml:space="preserve"> de la Misión y deberá</w:t>
      </w:r>
      <w:r w:rsidR="00FE5D34">
        <w:rPr>
          <w:rFonts w:ascii="Times New Roman" w:hAnsi="Times New Roman" w:cs="Times New Roman"/>
          <w:sz w:val="24"/>
          <w:szCs w:val="24"/>
        </w:rPr>
        <w:t>n</w:t>
      </w:r>
      <w:r w:rsidR="00586133">
        <w:rPr>
          <w:rFonts w:ascii="Times New Roman" w:hAnsi="Times New Roman" w:cs="Times New Roman"/>
          <w:sz w:val="24"/>
          <w:szCs w:val="24"/>
        </w:rPr>
        <w:t xml:space="preserve"> tomar las medidas necesarias para protegerlos contra cualquier peligro externo que pueda suponer un menoscabo de su seguridad. El artículo 22 de la Convención de Viena determina:</w:t>
      </w:r>
    </w:p>
    <w:p w14:paraId="6196A44E" w14:textId="45F4EBFC" w:rsidR="00586133" w:rsidRDefault="00586133" w:rsidP="00F017CF">
      <w:pPr>
        <w:spacing w:line="276" w:lineRule="auto"/>
        <w:ind w:left="720"/>
        <w:jc w:val="both"/>
        <w:rPr>
          <w:rFonts w:ascii="Times New Roman" w:hAnsi="Times New Roman" w:cs="Times New Roman"/>
          <w:i/>
          <w:iCs/>
        </w:rPr>
      </w:pPr>
      <w:r>
        <w:rPr>
          <w:rFonts w:ascii="Times New Roman" w:hAnsi="Times New Roman" w:cs="Times New Roman"/>
          <w:i/>
          <w:iCs/>
        </w:rPr>
        <w:t xml:space="preserve">“1. Los locales de la misión son inviolables. Los agentes del Estado receptor no podrán penetrar en ellos sin consentimiento del jefe de la misión. </w:t>
      </w:r>
    </w:p>
    <w:p w14:paraId="74E8291E" w14:textId="77777777" w:rsidR="00994DA5" w:rsidRDefault="00586133" w:rsidP="00F017CF">
      <w:pPr>
        <w:spacing w:line="276" w:lineRule="auto"/>
        <w:ind w:left="720"/>
        <w:jc w:val="both"/>
        <w:rPr>
          <w:rFonts w:ascii="Times New Roman" w:hAnsi="Times New Roman" w:cs="Times New Roman"/>
          <w:i/>
          <w:iCs/>
        </w:rPr>
      </w:pPr>
      <w:r>
        <w:rPr>
          <w:rFonts w:ascii="Times New Roman" w:hAnsi="Times New Roman" w:cs="Times New Roman"/>
          <w:i/>
          <w:iCs/>
        </w:rPr>
        <w:t xml:space="preserve">2. El Estado receptor tiene la obligación especial de adoptar todas las medidas adecuadas para proteger los locales de la misión contra toda </w:t>
      </w:r>
      <w:bookmarkStart w:id="10" w:name="_Hlk51756165"/>
      <w:r>
        <w:rPr>
          <w:rFonts w:ascii="Times New Roman" w:hAnsi="Times New Roman" w:cs="Times New Roman"/>
          <w:i/>
          <w:iCs/>
        </w:rPr>
        <w:t>intrusión o daño y evitar que se turbe la tranquilidad de la misión o se atente contra su dignidad.</w:t>
      </w:r>
    </w:p>
    <w:p w14:paraId="600DF5CA" w14:textId="660CABD7" w:rsidR="00586133" w:rsidRDefault="00DE389A" w:rsidP="00F017CF">
      <w:pPr>
        <w:spacing w:line="276" w:lineRule="auto"/>
        <w:ind w:left="720"/>
        <w:jc w:val="both"/>
        <w:rPr>
          <w:rFonts w:ascii="Times New Roman" w:hAnsi="Times New Roman" w:cs="Times New Roman"/>
          <w:i/>
          <w:iCs/>
        </w:rPr>
      </w:pPr>
      <w:r w:rsidRPr="00DE389A">
        <w:rPr>
          <w:rFonts w:ascii="Times New Roman" w:hAnsi="Times New Roman" w:cs="Times New Roman"/>
          <w:i/>
          <w:iCs/>
        </w:rPr>
        <w:t>3. Los locales de la misión, su mobiliario y demás bienes situados en ellos, así como los medios de transporte de la misión, no podrán ser objeto de ningún registro, requisa, embargo o medida de ejecución.</w:t>
      </w:r>
      <w:r w:rsidR="00586133">
        <w:rPr>
          <w:rFonts w:ascii="Times New Roman" w:hAnsi="Times New Roman" w:cs="Times New Roman"/>
          <w:i/>
          <w:iCs/>
        </w:rPr>
        <w:t>”</w:t>
      </w:r>
      <w:r w:rsidR="00F1428C">
        <w:rPr>
          <w:rStyle w:val="Refdenotaalpie"/>
          <w:rFonts w:ascii="Times New Roman" w:hAnsi="Times New Roman" w:cs="Times New Roman"/>
          <w:i/>
          <w:iCs/>
        </w:rPr>
        <w:footnoteReference w:id="12"/>
      </w:r>
      <w:r w:rsidR="00586133">
        <w:rPr>
          <w:rFonts w:ascii="Times New Roman" w:hAnsi="Times New Roman" w:cs="Times New Roman"/>
          <w:i/>
          <w:iCs/>
        </w:rPr>
        <w:t xml:space="preserve"> </w:t>
      </w:r>
      <w:bookmarkEnd w:id="10"/>
    </w:p>
    <w:p w14:paraId="4139822C" w14:textId="2EC5B216" w:rsidR="001C3966" w:rsidRDefault="00586133" w:rsidP="00586133">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En consecuencia, </w:t>
      </w:r>
      <w:r w:rsidR="002F70AB">
        <w:rPr>
          <w:rFonts w:ascii="Times New Roman" w:hAnsi="Times New Roman" w:cs="Times New Roman"/>
          <w:sz w:val="24"/>
          <w:szCs w:val="24"/>
        </w:rPr>
        <w:t>la concreción de la inviolabilidad de los locales de la misión se diferenciará según los aspectos pasivo y activo</w:t>
      </w:r>
      <w:r w:rsidR="00237D67">
        <w:rPr>
          <w:rFonts w:ascii="Times New Roman" w:hAnsi="Times New Roman" w:cs="Times New Roman"/>
          <w:sz w:val="24"/>
          <w:szCs w:val="24"/>
        </w:rPr>
        <w:t>:</w:t>
      </w:r>
      <w:r w:rsidR="002F70AB">
        <w:rPr>
          <w:rFonts w:ascii="Times New Roman" w:hAnsi="Times New Roman" w:cs="Times New Roman"/>
          <w:sz w:val="24"/>
          <w:szCs w:val="24"/>
        </w:rPr>
        <w:t xml:space="preserve"> </w:t>
      </w:r>
    </w:p>
    <w:p w14:paraId="5F39A445" w14:textId="288D2973" w:rsidR="001C3966" w:rsidRDefault="001C3966" w:rsidP="00586133">
      <w:pPr>
        <w:spacing w:line="360" w:lineRule="auto"/>
        <w:jc w:val="both"/>
        <w:rPr>
          <w:rFonts w:ascii="Times New Roman" w:hAnsi="Times New Roman" w:cs="Times New Roman"/>
          <w:sz w:val="24"/>
          <w:szCs w:val="24"/>
        </w:rPr>
      </w:pPr>
      <w:r>
        <w:rPr>
          <w:rFonts w:ascii="Times New Roman" w:hAnsi="Times New Roman" w:cs="Times New Roman"/>
          <w:sz w:val="24"/>
          <w:szCs w:val="24"/>
        </w:rPr>
        <w:tab/>
        <w:t>Primero</w:t>
      </w:r>
      <w:r w:rsidR="002F70AB">
        <w:rPr>
          <w:rFonts w:ascii="Times New Roman" w:hAnsi="Times New Roman" w:cs="Times New Roman"/>
          <w:sz w:val="24"/>
          <w:szCs w:val="24"/>
        </w:rPr>
        <w:t xml:space="preserve">, en su aspecto pasivo, el Estado receptor tiene </w:t>
      </w:r>
      <w:r w:rsidR="008707BD">
        <w:rPr>
          <w:rFonts w:ascii="Times New Roman" w:hAnsi="Times New Roman" w:cs="Times New Roman"/>
          <w:sz w:val="24"/>
          <w:szCs w:val="24"/>
        </w:rPr>
        <w:t xml:space="preserve">la </w:t>
      </w:r>
      <w:r w:rsidR="002F70AB">
        <w:rPr>
          <w:rFonts w:ascii="Times New Roman" w:hAnsi="Times New Roman" w:cs="Times New Roman"/>
          <w:sz w:val="24"/>
          <w:szCs w:val="24"/>
        </w:rPr>
        <w:t>obligación de abstención</w:t>
      </w:r>
      <w:r w:rsidR="008707BD">
        <w:rPr>
          <w:rFonts w:ascii="Times New Roman" w:hAnsi="Times New Roman" w:cs="Times New Roman"/>
          <w:sz w:val="24"/>
          <w:szCs w:val="24"/>
        </w:rPr>
        <w:t xml:space="preserve"> o de comportamiento de omisión</w:t>
      </w:r>
      <w:r w:rsidR="002F70AB">
        <w:rPr>
          <w:rFonts w:ascii="Times New Roman" w:hAnsi="Times New Roman" w:cs="Times New Roman"/>
          <w:sz w:val="24"/>
          <w:szCs w:val="24"/>
        </w:rPr>
        <w:t xml:space="preserve"> que le prohíbe realizar cualquier acto de autoridad en estos locales, especialmente, su entrada sin el consentimiento del </w:t>
      </w:r>
      <w:r w:rsidR="00687FA6">
        <w:rPr>
          <w:rFonts w:ascii="Times New Roman" w:hAnsi="Times New Roman" w:cs="Times New Roman"/>
          <w:sz w:val="24"/>
          <w:szCs w:val="24"/>
        </w:rPr>
        <w:t>jefe</w:t>
      </w:r>
      <w:r w:rsidR="002F70AB">
        <w:rPr>
          <w:rFonts w:ascii="Times New Roman" w:hAnsi="Times New Roman" w:cs="Times New Roman"/>
          <w:sz w:val="24"/>
          <w:szCs w:val="24"/>
        </w:rPr>
        <w:t xml:space="preserve"> de la misión, y cualquier registro, requisa, embargo o medida de ejecución, ni siquiera por mandato judicial. Esta obligación será de carácter absoluto, ya que las autoridades del Estado receptor no podrán penetrar en estos locales bajo ningún concepto</w:t>
      </w:r>
      <w:r w:rsidR="00CA3EF1">
        <w:rPr>
          <w:rFonts w:ascii="Times New Roman" w:hAnsi="Times New Roman" w:cs="Times New Roman"/>
          <w:sz w:val="24"/>
          <w:szCs w:val="24"/>
        </w:rPr>
        <w:t>. Esta medi</w:t>
      </w:r>
      <w:r w:rsidR="00250A86">
        <w:rPr>
          <w:rFonts w:ascii="Times New Roman" w:hAnsi="Times New Roman" w:cs="Times New Roman"/>
          <w:sz w:val="24"/>
          <w:szCs w:val="24"/>
        </w:rPr>
        <w:t>da</w:t>
      </w:r>
      <w:r w:rsidR="00CA3EF1">
        <w:rPr>
          <w:rFonts w:ascii="Times New Roman" w:hAnsi="Times New Roman" w:cs="Times New Roman"/>
          <w:sz w:val="24"/>
          <w:szCs w:val="24"/>
        </w:rPr>
        <w:t xml:space="preserve"> fue criticada en su momento por autores como </w:t>
      </w:r>
      <w:proofErr w:type="spellStart"/>
      <w:r w:rsidR="00CA3EF1">
        <w:rPr>
          <w:rFonts w:ascii="Times New Roman" w:hAnsi="Times New Roman" w:cs="Times New Roman"/>
          <w:sz w:val="24"/>
          <w:szCs w:val="24"/>
        </w:rPr>
        <w:t>Cahier</w:t>
      </w:r>
      <w:proofErr w:type="spellEnd"/>
      <w:r w:rsidR="00CA3EF1">
        <w:rPr>
          <w:rFonts w:ascii="Times New Roman" w:hAnsi="Times New Roman" w:cs="Times New Roman"/>
          <w:sz w:val="24"/>
          <w:szCs w:val="24"/>
        </w:rPr>
        <w:t xml:space="preserve"> quien defendió un </w:t>
      </w:r>
      <w:r w:rsidR="00CA3EF1" w:rsidRPr="00830A24">
        <w:rPr>
          <w:rFonts w:ascii="Times New Roman" w:hAnsi="Times New Roman" w:cs="Times New Roman"/>
          <w:i/>
          <w:iCs/>
          <w:sz w:val="24"/>
          <w:szCs w:val="24"/>
        </w:rPr>
        <w:t xml:space="preserve">“derecho a intervenir en caso de grave amenaza contra la población local o contra la seguridad del Estado y de la misión, a condición de que exista urgencia y de que </w:t>
      </w:r>
      <w:r w:rsidR="00830A24">
        <w:rPr>
          <w:rFonts w:ascii="Times New Roman" w:hAnsi="Times New Roman" w:cs="Times New Roman"/>
          <w:i/>
          <w:iCs/>
          <w:sz w:val="24"/>
          <w:szCs w:val="24"/>
        </w:rPr>
        <w:t>la</w:t>
      </w:r>
      <w:r w:rsidR="00CA3EF1" w:rsidRPr="00830A24">
        <w:rPr>
          <w:rFonts w:ascii="Times New Roman" w:hAnsi="Times New Roman" w:cs="Times New Roman"/>
          <w:i/>
          <w:iCs/>
          <w:sz w:val="24"/>
          <w:szCs w:val="24"/>
        </w:rPr>
        <w:t xml:space="preserve"> decisión se adopte por el poder ejecutivo del Estado receptor</w:t>
      </w:r>
      <w:r w:rsidR="00830A24">
        <w:rPr>
          <w:rFonts w:ascii="Times New Roman" w:hAnsi="Times New Roman" w:cs="Times New Roman"/>
          <w:i/>
          <w:iCs/>
          <w:sz w:val="24"/>
          <w:szCs w:val="24"/>
        </w:rPr>
        <w:t>,</w:t>
      </w:r>
      <w:r w:rsidR="00CA3EF1" w:rsidRPr="00830A24">
        <w:rPr>
          <w:rFonts w:ascii="Times New Roman" w:hAnsi="Times New Roman" w:cs="Times New Roman"/>
          <w:i/>
          <w:iCs/>
          <w:sz w:val="24"/>
          <w:szCs w:val="24"/>
        </w:rPr>
        <w:t xml:space="preserve"> quien será responsable de todo abuso cometido”</w:t>
      </w:r>
      <w:r w:rsidR="00F1428C">
        <w:rPr>
          <w:rStyle w:val="Refdenotaalpie"/>
          <w:rFonts w:ascii="Times New Roman" w:hAnsi="Times New Roman" w:cs="Times New Roman"/>
          <w:i/>
          <w:iCs/>
          <w:sz w:val="24"/>
          <w:szCs w:val="24"/>
        </w:rPr>
        <w:footnoteReference w:id="13"/>
      </w:r>
      <w:r w:rsidR="00C0099B">
        <w:rPr>
          <w:rFonts w:ascii="Times New Roman" w:hAnsi="Times New Roman" w:cs="Times New Roman"/>
          <w:sz w:val="24"/>
          <w:szCs w:val="24"/>
        </w:rPr>
        <w:t>.</w:t>
      </w:r>
    </w:p>
    <w:p w14:paraId="202FDB99" w14:textId="021184C1" w:rsidR="00586133" w:rsidRDefault="001C3966" w:rsidP="00586133">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Segundo, </w:t>
      </w:r>
      <w:r w:rsidR="008707BD">
        <w:rPr>
          <w:rFonts w:ascii="Times New Roman" w:hAnsi="Times New Roman" w:cs="Times New Roman"/>
          <w:sz w:val="24"/>
          <w:szCs w:val="24"/>
        </w:rPr>
        <w:t xml:space="preserve">el aspecto activo se precisa en la obligación de protección del Estado </w:t>
      </w:r>
      <w:r w:rsidR="008707BD">
        <w:rPr>
          <w:rFonts w:ascii="Times New Roman" w:hAnsi="Times New Roman" w:cs="Times New Roman"/>
          <w:sz w:val="24"/>
          <w:szCs w:val="24"/>
        </w:rPr>
        <w:lastRenderedPageBreak/>
        <w:t>receptor de garantizar el trabajo de la misión en condiciones libertad, dignidad y tranquilidad</w:t>
      </w:r>
      <w:r w:rsidR="00C57938">
        <w:rPr>
          <w:rFonts w:ascii="Times New Roman" w:hAnsi="Times New Roman" w:cs="Times New Roman"/>
          <w:sz w:val="24"/>
          <w:szCs w:val="24"/>
        </w:rPr>
        <w:t xml:space="preserve">, y de </w:t>
      </w:r>
      <w:r w:rsidR="008707BD">
        <w:rPr>
          <w:rFonts w:ascii="Times New Roman" w:hAnsi="Times New Roman" w:cs="Times New Roman"/>
          <w:sz w:val="24"/>
          <w:szCs w:val="24"/>
        </w:rPr>
        <w:t>adoptar las medidas necesarias para</w:t>
      </w:r>
      <w:r w:rsidR="0062612D">
        <w:rPr>
          <w:rFonts w:ascii="Times New Roman" w:hAnsi="Times New Roman" w:cs="Times New Roman"/>
          <w:sz w:val="24"/>
          <w:szCs w:val="24"/>
        </w:rPr>
        <w:t xml:space="preserve"> impedir</w:t>
      </w:r>
      <w:r w:rsidR="008707BD">
        <w:rPr>
          <w:rFonts w:ascii="Times New Roman" w:hAnsi="Times New Roman" w:cs="Times New Roman"/>
          <w:sz w:val="24"/>
          <w:szCs w:val="24"/>
        </w:rPr>
        <w:t xml:space="preserve"> </w:t>
      </w:r>
      <w:r w:rsidR="0062612D">
        <w:rPr>
          <w:rFonts w:ascii="Times New Roman" w:hAnsi="Times New Roman" w:cs="Times New Roman"/>
          <w:sz w:val="24"/>
          <w:szCs w:val="24"/>
        </w:rPr>
        <w:t>“</w:t>
      </w:r>
      <w:r w:rsidR="0062612D">
        <w:rPr>
          <w:rFonts w:ascii="Times New Roman" w:hAnsi="Times New Roman" w:cs="Times New Roman"/>
          <w:i/>
          <w:iCs/>
          <w:sz w:val="24"/>
          <w:szCs w:val="24"/>
        </w:rPr>
        <w:t xml:space="preserve">toda </w:t>
      </w:r>
      <w:r w:rsidR="0062612D" w:rsidRPr="0062612D">
        <w:rPr>
          <w:rFonts w:ascii="Times New Roman" w:hAnsi="Times New Roman" w:cs="Times New Roman"/>
          <w:i/>
          <w:iCs/>
          <w:sz w:val="24"/>
          <w:szCs w:val="24"/>
        </w:rPr>
        <w:t>intrusión o daño y evitar que se turbe la tranquilidad de la misión o se atente contra su dignidad</w:t>
      </w:r>
      <w:r w:rsidR="00F1428C">
        <w:rPr>
          <w:rFonts w:ascii="Times New Roman" w:hAnsi="Times New Roman" w:cs="Times New Roman"/>
          <w:i/>
          <w:iCs/>
          <w:sz w:val="24"/>
          <w:szCs w:val="24"/>
        </w:rPr>
        <w:t>”</w:t>
      </w:r>
      <w:r w:rsidR="00F1428C">
        <w:rPr>
          <w:rStyle w:val="Refdenotaalpie"/>
          <w:rFonts w:ascii="Times New Roman" w:hAnsi="Times New Roman" w:cs="Times New Roman"/>
          <w:i/>
          <w:iCs/>
          <w:sz w:val="24"/>
          <w:szCs w:val="24"/>
        </w:rPr>
        <w:footnoteReference w:id="14"/>
      </w:r>
      <w:r w:rsidR="00C57938" w:rsidRPr="0062612D">
        <w:rPr>
          <w:rFonts w:ascii="Times New Roman" w:hAnsi="Times New Roman" w:cs="Times New Roman"/>
          <w:sz w:val="28"/>
          <w:szCs w:val="28"/>
        </w:rPr>
        <w:t xml:space="preserve">. </w:t>
      </w:r>
      <w:r w:rsidR="00C57938">
        <w:rPr>
          <w:rFonts w:ascii="Times New Roman" w:hAnsi="Times New Roman" w:cs="Times New Roman"/>
          <w:sz w:val="24"/>
          <w:szCs w:val="24"/>
        </w:rPr>
        <w:t>Sin perjuicio de que esta obligación de protección no solo impid</w:t>
      </w:r>
      <w:r w:rsidR="002A3AB1">
        <w:rPr>
          <w:rFonts w:ascii="Times New Roman" w:hAnsi="Times New Roman" w:cs="Times New Roman"/>
          <w:sz w:val="24"/>
          <w:szCs w:val="24"/>
        </w:rPr>
        <w:t>e</w:t>
      </w:r>
      <w:r w:rsidR="00C57938">
        <w:rPr>
          <w:rFonts w:ascii="Times New Roman" w:hAnsi="Times New Roman" w:cs="Times New Roman"/>
          <w:sz w:val="24"/>
          <w:szCs w:val="24"/>
        </w:rPr>
        <w:t xml:space="preserve"> cualquier </w:t>
      </w:r>
      <w:r w:rsidR="002A3AB1">
        <w:rPr>
          <w:rFonts w:ascii="Times New Roman" w:hAnsi="Times New Roman" w:cs="Times New Roman"/>
          <w:sz w:val="24"/>
          <w:szCs w:val="24"/>
        </w:rPr>
        <w:t xml:space="preserve">comportamiento que signifique un </w:t>
      </w:r>
      <w:r w:rsidR="00C57938">
        <w:rPr>
          <w:rFonts w:ascii="Times New Roman" w:hAnsi="Times New Roman" w:cs="Times New Roman"/>
          <w:sz w:val="24"/>
          <w:szCs w:val="24"/>
        </w:rPr>
        <w:t xml:space="preserve">menoscabo de la dignidad de la misión, sino que también comporta una obligación de resultado capaz de responsabilizar al Estado receptor del daño causado en la misión </w:t>
      </w:r>
      <w:r w:rsidR="0062612D">
        <w:rPr>
          <w:rFonts w:ascii="Times New Roman" w:hAnsi="Times New Roman" w:cs="Times New Roman"/>
          <w:sz w:val="24"/>
          <w:szCs w:val="24"/>
        </w:rPr>
        <w:t>tanto por no haber actuado con los medios pertinentes como aun habiendo dispuesto de todos los posibles</w:t>
      </w:r>
      <w:r w:rsidR="002A3AB1">
        <w:rPr>
          <w:rFonts w:ascii="Times New Roman" w:hAnsi="Times New Roman" w:cs="Times New Roman"/>
          <w:sz w:val="24"/>
          <w:szCs w:val="24"/>
        </w:rPr>
        <w:t>.</w:t>
      </w:r>
      <w:r w:rsidR="0062612D">
        <w:rPr>
          <w:rFonts w:ascii="Times New Roman" w:hAnsi="Times New Roman" w:cs="Times New Roman"/>
          <w:sz w:val="24"/>
          <w:szCs w:val="24"/>
        </w:rPr>
        <w:t xml:space="preserve"> </w:t>
      </w:r>
      <w:r w:rsidR="002A3AB1">
        <w:rPr>
          <w:rFonts w:ascii="Times New Roman" w:hAnsi="Times New Roman" w:cs="Times New Roman"/>
          <w:sz w:val="24"/>
          <w:szCs w:val="24"/>
        </w:rPr>
        <w:t>S</w:t>
      </w:r>
      <w:r w:rsidR="0062612D">
        <w:rPr>
          <w:rFonts w:ascii="Times New Roman" w:hAnsi="Times New Roman" w:cs="Times New Roman"/>
          <w:sz w:val="24"/>
          <w:szCs w:val="24"/>
        </w:rPr>
        <w:t>olo quedará exonerado de la obligación de protección y la consecuente responsabilidad en caso de considerarse incapaz</w:t>
      </w:r>
      <w:r w:rsidR="00620678">
        <w:rPr>
          <w:rFonts w:ascii="Times New Roman" w:hAnsi="Times New Roman" w:cs="Times New Roman"/>
          <w:sz w:val="24"/>
          <w:szCs w:val="24"/>
        </w:rPr>
        <w:t xml:space="preserve"> y</w:t>
      </w:r>
      <w:r w:rsidR="0062612D">
        <w:rPr>
          <w:rFonts w:ascii="Times New Roman" w:hAnsi="Times New Roman" w:cs="Times New Roman"/>
          <w:sz w:val="24"/>
          <w:szCs w:val="24"/>
        </w:rPr>
        <w:t xml:space="preserve"> así lo haya comunicado al Estado receptor</w:t>
      </w:r>
      <w:r w:rsidR="00620678">
        <w:rPr>
          <w:rFonts w:ascii="Times New Roman" w:hAnsi="Times New Roman" w:cs="Times New Roman"/>
          <w:sz w:val="24"/>
          <w:szCs w:val="24"/>
        </w:rPr>
        <w:t xml:space="preserve"> o no exista negligencia en su comportamiento</w:t>
      </w:r>
      <w:sdt>
        <w:sdtPr>
          <w:rPr>
            <w:rFonts w:ascii="Times New Roman" w:hAnsi="Times New Roman" w:cs="Times New Roman"/>
            <w:sz w:val="24"/>
            <w:szCs w:val="24"/>
          </w:rPr>
          <w:id w:val="359094808"/>
          <w:citation/>
        </w:sdtPr>
        <w:sdtContent>
          <w:r w:rsidR="0062612D">
            <w:rPr>
              <w:rFonts w:ascii="Times New Roman" w:hAnsi="Times New Roman" w:cs="Times New Roman"/>
              <w:sz w:val="24"/>
              <w:szCs w:val="24"/>
            </w:rPr>
            <w:fldChar w:fldCharType="begin"/>
          </w:r>
          <w:r w:rsidR="0062612D">
            <w:rPr>
              <w:rFonts w:ascii="Times New Roman" w:hAnsi="Times New Roman" w:cs="Times New Roman"/>
              <w:sz w:val="24"/>
              <w:szCs w:val="24"/>
            </w:rPr>
            <w:instrText xml:space="preserve">CITATION Vil18 \p 256-263 \l 3082 </w:instrText>
          </w:r>
          <w:r w:rsidR="0062612D">
            <w:rPr>
              <w:rFonts w:ascii="Times New Roman" w:hAnsi="Times New Roman" w:cs="Times New Roman"/>
              <w:sz w:val="24"/>
              <w:szCs w:val="24"/>
            </w:rPr>
            <w:fldChar w:fldCharType="separate"/>
          </w:r>
          <w:r w:rsidR="00246FA0">
            <w:rPr>
              <w:rFonts w:ascii="Times New Roman" w:hAnsi="Times New Roman" w:cs="Times New Roman"/>
              <w:noProof/>
              <w:sz w:val="24"/>
              <w:szCs w:val="24"/>
            </w:rPr>
            <w:t xml:space="preserve"> </w:t>
          </w:r>
          <w:r w:rsidR="00246FA0" w:rsidRPr="00246FA0">
            <w:rPr>
              <w:rFonts w:ascii="Times New Roman" w:hAnsi="Times New Roman" w:cs="Times New Roman"/>
              <w:noProof/>
              <w:sz w:val="24"/>
              <w:szCs w:val="24"/>
            </w:rPr>
            <w:t>(Vilariño Pintos, 2018, págs. 256-263)</w:t>
          </w:r>
          <w:r w:rsidR="0062612D">
            <w:rPr>
              <w:rFonts w:ascii="Times New Roman" w:hAnsi="Times New Roman" w:cs="Times New Roman"/>
              <w:sz w:val="24"/>
              <w:szCs w:val="24"/>
            </w:rPr>
            <w:fldChar w:fldCharType="end"/>
          </w:r>
        </w:sdtContent>
      </w:sdt>
      <w:r w:rsidR="0062612D">
        <w:rPr>
          <w:rFonts w:ascii="Times New Roman" w:hAnsi="Times New Roman" w:cs="Times New Roman"/>
          <w:sz w:val="24"/>
          <w:szCs w:val="24"/>
        </w:rPr>
        <w:t xml:space="preserve">.  </w:t>
      </w:r>
    </w:p>
    <w:p w14:paraId="43207FCC" w14:textId="344CAA2C" w:rsidR="00FE5D34" w:rsidRDefault="00CE4CE2" w:rsidP="00FE5D34">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En definitiva, el análisis de los casos de la </w:t>
      </w:r>
      <w:r w:rsidR="00830A24">
        <w:rPr>
          <w:rFonts w:ascii="Times New Roman" w:hAnsi="Times New Roman" w:cs="Times New Roman"/>
          <w:sz w:val="24"/>
          <w:szCs w:val="24"/>
        </w:rPr>
        <w:t>m</w:t>
      </w:r>
      <w:r>
        <w:rPr>
          <w:rFonts w:ascii="Times New Roman" w:hAnsi="Times New Roman" w:cs="Times New Roman"/>
          <w:sz w:val="24"/>
          <w:szCs w:val="24"/>
        </w:rPr>
        <w:t xml:space="preserve">asacre de la Embajada de España en Guatemala y de la </w:t>
      </w:r>
      <w:r w:rsidR="00830A24">
        <w:rPr>
          <w:rFonts w:ascii="Times New Roman" w:hAnsi="Times New Roman" w:cs="Times New Roman"/>
          <w:sz w:val="24"/>
          <w:szCs w:val="24"/>
        </w:rPr>
        <w:t>c</w:t>
      </w:r>
      <w:r>
        <w:rPr>
          <w:rFonts w:ascii="Times New Roman" w:hAnsi="Times New Roman" w:cs="Times New Roman"/>
          <w:sz w:val="24"/>
          <w:szCs w:val="24"/>
        </w:rPr>
        <w:t xml:space="preserve">risis de los </w:t>
      </w:r>
      <w:r w:rsidR="00830A24">
        <w:rPr>
          <w:rFonts w:ascii="Times New Roman" w:hAnsi="Times New Roman" w:cs="Times New Roman"/>
          <w:sz w:val="24"/>
          <w:szCs w:val="24"/>
        </w:rPr>
        <w:t>r</w:t>
      </w:r>
      <w:r>
        <w:rPr>
          <w:rFonts w:ascii="Times New Roman" w:hAnsi="Times New Roman" w:cs="Times New Roman"/>
          <w:sz w:val="24"/>
          <w:szCs w:val="24"/>
        </w:rPr>
        <w:t xml:space="preserve">ehenes de la Embajada de Estados Unidos en Irán atenderá a los supuestos de violación del principio de inviolabilidad de los locales de la misión conforme al marco teórico propuesto, por lo que será necesario determinar si los Estados receptores incumplieron su obligación absoluta de abstenerse de penetrar en los locales y su obligación </w:t>
      </w:r>
      <w:r w:rsidR="00FE5D34">
        <w:rPr>
          <w:rFonts w:ascii="Times New Roman" w:hAnsi="Times New Roman" w:cs="Times New Roman"/>
          <w:sz w:val="24"/>
          <w:szCs w:val="24"/>
        </w:rPr>
        <w:t xml:space="preserve">de </w:t>
      </w:r>
      <w:r>
        <w:rPr>
          <w:rFonts w:ascii="Times New Roman" w:hAnsi="Times New Roman" w:cs="Times New Roman"/>
          <w:sz w:val="24"/>
          <w:szCs w:val="24"/>
        </w:rPr>
        <w:t xml:space="preserve">evitar con todos los medios posible cualquier peligro que atentare contra la tranquilidad y </w:t>
      </w:r>
      <w:r w:rsidR="00FE5D34">
        <w:rPr>
          <w:rFonts w:ascii="Times New Roman" w:hAnsi="Times New Roman" w:cs="Times New Roman"/>
          <w:sz w:val="24"/>
          <w:szCs w:val="24"/>
        </w:rPr>
        <w:t>dignidad</w:t>
      </w:r>
      <w:r>
        <w:rPr>
          <w:rFonts w:ascii="Times New Roman" w:hAnsi="Times New Roman" w:cs="Times New Roman"/>
          <w:sz w:val="24"/>
          <w:szCs w:val="24"/>
        </w:rPr>
        <w:t xml:space="preserve"> de la misión. </w:t>
      </w:r>
    </w:p>
    <w:p w14:paraId="6450977B" w14:textId="3558B030" w:rsidR="00FE5D34" w:rsidRPr="00200AC2" w:rsidRDefault="00FE5D34" w:rsidP="00862A4F">
      <w:pPr>
        <w:pStyle w:val="Ttulo3"/>
        <w:numPr>
          <w:ilvl w:val="2"/>
          <w:numId w:val="1"/>
        </w:numPr>
        <w:spacing w:line="360" w:lineRule="auto"/>
        <w:jc w:val="both"/>
        <w:rPr>
          <w:rFonts w:ascii="Times New Roman" w:hAnsi="Times New Roman" w:cs="Times New Roman"/>
          <w:sz w:val="28"/>
          <w:szCs w:val="28"/>
        </w:rPr>
      </w:pPr>
      <w:bookmarkStart w:id="12" w:name="_Toc65498606"/>
      <w:r w:rsidRPr="00200AC2">
        <w:rPr>
          <w:rFonts w:ascii="Times New Roman" w:hAnsi="Times New Roman" w:cs="Times New Roman"/>
          <w:sz w:val="28"/>
          <w:szCs w:val="28"/>
        </w:rPr>
        <w:t>Inviolabilidad de los locales de la oficina consular</w:t>
      </w:r>
      <w:bookmarkEnd w:id="12"/>
    </w:p>
    <w:p w14:paraId="1BDE115A" w14:textId="07E48BFC" w:rsidR="00845EBF" w:rsidRDefault="00FE5D34" w:rsidP="00FE5D34">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845EBF" w:rsidRPr="00845EBF">
        <w:rPr>
          <w:rFonts w:ascii="Times New Roman" w:hAnsi="Times New Roman" w:cs="Times New Roman"/>
          <w:sz w:val="24"/>
          <w:szCs w:val="24"/>
        </w:rPr>
        <w:t xml:space="preserve">La regulación convencional diferencia el alcance de la inviolabilidad de las oficinas consulares según las clases </w:t>
      </w:r>
      <w:r w:rsidR="002A3AB1">
        <w:rPr>
          <w:rFonts w:ascii="Times New Roman" w:hAnsi="Times New Roman" w:cs="Times New Roman"/>
          <w:sz w:val="24"/>
          <w:szCs w:val="24"/>
        </w:rPr>
        <w:t xml:space="preserve">entre </w:t>
      </w:r>
      <w:r w:rsidR="00845EBF" w:rsidRPr="00845EBF">
        <w:rPr>
          <w:rFonts w:ascii="Times New Roman" w:hAnsi="Times New Roman" w:cs="Times New Roman"/>
          <w:sz w:val="24"/>
          <w:szCs w:val="24"/>
        </w:rPr>
        <w:t>oficinas de carreras u oficinas honorarias</w:t>
      </w:r>
      <w:r w:rsidR="002A3AB1">
        <w:rPr>
          <w:rFonts w:ascii="Times New Roman" w:hAnsi="Times New Roman" w:cs="Times New Roman"/>
          <w:sz w:val="24"/>
          <w:szCs w:val="24"/>
        </w:rPr>
        <w:t>.</w:t>
      </w:r>
      <w:r w:rsidR="00845EBF" w:rsidRPr="00845EBF">
        <w:rPr>
          <w:rFonts w:ascii="Times New Roman" w:hAnsi="Times New Roman" w:cs="Times New Roman"/>
          <w:sz w:val="24"/>
          <w:szCs w:val="24"/>
        </w:rPr>
        <w:t xml:space="preserve"> </w:t>
      </w:r>
      <w:r w:rsidR="002A3AB1">
        <w:rPr>
          <w:rFonts w:ascii="Times New Roman" w:hAnsi="Times New Roman" w:cs="Times New Roman"/>
          <w:sz w:val="24"/>
          <w:szCs w:val="24"/>
        </w:rPr>
        <w:t>L</w:t>
      </w:r>
      <w:r w:rsidR="00845EBF" w:rsidRPr="00845EBF">
        <w:rPr>
          <w:rFonts w:ascii="Times New Roman" w:hAnsi="Times New Roman" w:cs="Times New Roman"/>
          <w:sz w:val="24"/>
          <w:szCs w:val="24"/>
        </w:rPr>
        <w:t xml:space="preserve">as primeras </w:t>
      </w:r>
      <w:r w:rsidR="002A3AB1">
        <w:rPr>
          <w:rFonts w:ascii="Times New Roman" w:hAnsi="Times New Roman" w:cs="Times New Roman"/>
          <w:sz w:val="24"/>
          <w:szCs w:val="24"/>
        </w:rPr>
        <w:t xml:space="preserve">serán </w:t>
      </w:r>
      <w:r w:rsidR="00845EBF" w:rsidRPr="00845EBF">
        <w:rPr>
          <w:rFonts w:ascii="Times New Roman" w:hAnsi="Times New Roman" w:cs="Times New Roman"/>
          <w:sz w:val="24"/>
          <w:szCs w:val="24"/>
        </w:rPr>
        <w:t xml:space="preserve">el objeto de análisis de este trabajo y por ello se examinará a continuación </w:t>
      </w:r>
      <w:r w:rsidR="002A3AB1">
        <w:rPr>
          <w:rFonts w:ascii="Times New Roman" w:hAnsi="Times New Roman" w:cs="Times New Roman"/>
          <w:sz w:val="24"/>
          <w:szCs w:val="24"/>
        </w:rPr>
        <w:t>su</w:t>
      </w:r>
      <w:r w:rsidR="00845EBF" w:rsidRPr="00845EBF">
        <w:rPr>
          <w:rFonts w:ascii="Times New Roman" w:hAnsi="Times New Roman" w:cs="Times New Roman"/>
          <w:sz w:val="24"/>
          <w:szCs w:val="24"/>
        </w:rPr>
        <w:t xml:space="preserve"> marco normativo.</w:t>
      </w:r>
    </w:p>
    <w:p w14:paraId="266BFE93" w14:textId="34EB776A" w:rsidR="00FE5D34" w:rsidRDefault="00845EBF" w:rsidP="00FE5D34">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402169">
        <w:rPr>
          <w:rFonts w:ascii="Times New Roman" w:hAnsi="Times New Roman" w:cs="Times New Roman"/>
          <w:sz w:val="24"/>
          <w:szCs w:val="24"/>
        </w:rPr>
        <w:t xml:space="preserve">El concepto de los locales de la oficina consular </w:t>
      </w:r>
      <w:r w:rsidR="002A3AB1">
        <w:rPr>
          <w:rFonts w:ascii="Times New Roman" w:hAnsi="Times New Roman" w:cs="Times New Roman"/>
          <w:sz w:val="24"/>
          <w:szCs w:val="24"/>
        </w:rPr>
        <w:t>está recogido</w:t>
      </w:r>
      <w:r w:rsidR="00402169">
        <w:rPr>
          <w:rFonts w:ascii="Times New Roman" w:hAnsi="Times New Roman" w:cs="Times New Roman"/>
          <w:sz w:val="24"/>
          <w:szCs w:val="24"/>
        </w:rPr>
        <w:t xml:space="preserve"> en el artículo 1.k) de la Convención de Viena sobre Relaciones Consulares de 196</w:t>
      </w:r>
      <w:r w:rsidR="00F1428C">
        <w:rPr>
          <w:rFonts w:ascii="Times New Roman" w:hAnsi="Times New Roman" w:cs="Times New Roman"/>
          <w:sz w:val="24"/>
          <w:szCs w:val="24"/>
        </w:rPr>
        <w:t>3</w:t>
      </w:r>
      <w:r w:rsidR="00402169">
        <w:rPr>
          <w:rFonts w:ascii="Times New Roman" w:hAnsi="Times New Roman" w:cs="Times New Roman"/>
          <w:sz w:val="24"/>
          <w:szCs w:val="24"/>
        </w:rPr>
        <w:t xml:space="preserve">: </w:t>
      </w:r>
    </w:p>
    <w:p w14:paraId="33573586" w14:textId="038DBB6F" w:rsidR="00402169" w:rsidRPr="00845EBF" w:rsidRDefault="00402169" w:rsidP="00F017CF">
      <w:pPr>
        <w:spacing w:line="276" w:lineRule="auto"/>
        <w:ind w:left="720"/>
        <w:jc w:val="both"/>
        <w:rPr>
          <w:rFonts w:ascii="Times New Roman" w:hAnsi="Times New Roman" w:cs="Times New Roman"/>
          <w:i/>
          <w:iCs/>
        </w:rPr>
      </w:pPr>
      <w:r w:rsidRPr="00845EBF">
        <w:rPr>
          <w:rFonts w:ascii="Times New Roman" w:hAnsi="Times New Roman" w:cs="Times New Roman"/>
          <w:i/>
          <w:iCs/>
        </w:rPr>
        <w:t>“</w:t>
      </w:r>
      <w:r w:rsidR="00F1428C">
        <w:rPr>
          <w:rFonts w:ascii="Times New Roman" w:hAnsi="Times New Roman" w:cs="Times New Roman"/>
          <w:i/>
          <w:iCs/>
        </w:rPr>
        <w:t>T</w:t>
      </w:r>
      <w:r w:rsidRPr="00845EBF">
        <w:rPr>
          <w:rFonts w:ascii="Times New Roman" w:hAnsi="Times New Roman" w:cs="Times New Roman"/>
          <w:i/>
          <w:iCs/>
        </w:rPr>
        <w:t>odos los edificios o las partes de los edificios y el terreno contiguo que, cualquiera sea su propietario, se utilicen exclusivamente para las finalidades de la oficina consular”</w:t>
      </w:r>
      <w:r w:rsidR="00403D47">
        <w:rPr>
          <w:rStyle w:val="Refdenotaalpie"/>
          <w:rFonts w:ascii="Times New Roman" w:hAnsi="Times New Roman" w:cs="Times New Roman"/>
          <w:i/>
          <w:iCs/>
        </w:rPr>
        <w:footnoteReference w:id="15"/>
      </w:r>
    </w:p>
    <w:p w14:paraId="26C4AEA0" w14:textId="62F87ABB" w:rsidR="00E55977" w:rsidRDefault="00E55977" w:rsidP="00E55977">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845EBF">
        <w:rPr>
          <w:rFonts w:ascii="Times New Roman" w:hAnsi="Times New Roman" w:cs="Times New Roman"/>
          <w:sz w:val="24"/>
          <w:szCs w:val="24"/>
        </w:rPr>
        <w:t>L</w:t>
      </w:r>
      <w:r w:rsidR="00402169">
        <w:rPr>
          <w:rFonts w:ascii="Times New Roman" w:hAnsi="Times New Roman" w:cs="Times New Roman"/>
          <w:sz w:val="24"/>
          <w:szCs w:val="24"/>
        </w:rPr>
        <w:t>os locales consulares se circunscriben solamente a los inmuebles</w:t>
      </w:r>
      <w:r w:rsidR="00C0099B">
        <w:rPr>
          <w:rFonts w:ascii="Times New Roman" w:hAnsi="Times New Roman" w:cs="Times New Roman"/>
          <w:sz w:val="24"/>
          <w:szCs w:val="24"/>
        </w:rPr>
        <w:t xml:space="preserve"> </w:t>
      </w:r>
      <w:r w:rsidR="00237D67">
        <w:rPr>
          <w:rFonts w:ascii="Times New Roman" w:hAnsi="Times New Roman" w:cs="Times New Roman"/>
          <w:sz w:val="24"/>
          <w:szCs w:val="24"/>
        </w:rPr>
        <w:t>-con independencia de la titularidad de la propiedad-</w:t>
      </w:r>
      <w:r w:rsidR="00402169">
        <w:rPr>
          <w:rFonts w:ascii="Times New Roman" w:hAnsi="Times New Roman" w:cs="Times New Roman"/>
          <w:sz w:val="24"/>
          <w:szCs w:val="24"/>
        </w:rPr>
        <w:t xml:space="preserve"> cuyo uso sea destinado para el cumplimiento y desarrollo de las funciones consulares</w:t>
      </w:r>
      <w:r w:rsidR="00305E80">
        <w:rPr>
          <w:rFonts w:ascii="Times New Roman" w:hAnsi="Times New Roman" w:cs="Times New Roman"/>
          <w:sz w:val="24"/>
          <w:szCs w:val="24"/>
        </w:rPr>
        <w:t>, conforme al fundamento funcional de las inmunidades y privilegios de la oficina con</w:t>
      </w:r>
      <w:r w:rsidR="00B6162F">
        <w:rPr>
          <w:rFonts w:ascii="Times New Roman" w:hAnsi="Times New Roman" w:cs="Times New Roman"/>
          <w:sz w:val="24"/>
          <w:szCs w:val="24"/>
        </w:rPr>
        <w:t>su</w:t>
      </w:r>
      <w:r w:rsidR="00305E80">
        <w:rPr>
          <w:rFonts w:ascii="Times New Roman" w:hAnsi="Times New Roman" w:cs="Times New Roman"/>
          <w:sz w:val="24"/>
          <w:szCs w:val="24"/>
        </w:rPr>
        <w:t>lar expuestos anteriormente</w:t>
      </w:r>
      <w:r w:rsidR="00402169">
        <w:rPr>
          <w:rFonts w:ascii="Times New Roman" w:hAnsi="Times New Roman" w:cs="Times New Roman"/>
          <w:sz w:val="24"/>
          <w:szCs w:val="24"/>
        </w:rPr>
        <w:t xml:space="preserve">. A </w:t>
      </w:r>
      <w:r w:rsidR="00402169">
        <w:rPr>
          <w:rFonts w:ascii="Times New Roman" w:hAnsi="Times New Roman" w:cs="Times New Roman"/>
          <w:sz w:val="24"/>
          <w:szCs w:val="24"/>
        </w:rPr>
        <w:lastRenderedPageBreak/>
        <w:t>diferencia de la misión diplomática, la residencia de</w:t>
      </w:r>
      <w:r w:rsidR="00305E80">
        <w:rPr>
          <w:rFonts w:ascii="Times New Roman" w:hAnsi="Times New Roman" w:cs="Times New Roman"/>
          <w:sz w:val="24"/>
          <w:szCs w:val="24"/>
        </w:rPr>
        <w:t>l jefe de la oficina consular carece de carácter oficial, y</w:t>
      </w:r>
      <w:r w:rsidR="00B6162F">
        <w:rPr>
          <w:rFonts w:ascii="Times New Roman" w:hAnsi="Times New Roman" w:cs="Times New Roman"/>
          <w:sz w:val="24"/>
          <w:szCs w:val="24"/>
        </w:rPr>
        <w:t>,</w:t>
      </w:r>
      <w:r w:rsidR="00305E80">
        <w:rPr>
          <w:rFonts w:ascii="Times New Roman" w:hAnsi="Times New Roman" w:cs="Times New Roman"/>
          <w:sz w:val="24"/>
          <w:szCs w:val="24"/>
        </w:rPr>
        <w:t xml:space="preserve"> por tanto, no gozará de la inviolabilidad </w:t>
      </w:r>
      <w:r w:rsidR="00B6162F">
        <w:rPr>
          <w:rFonts w:ascii="Times New Roman" w:hAnsi="Times New Roman" w:cs="Times New Roman"/>
          <w:sz w:val="24"/>
          <w:szCs w:val="24"/>
        </w:rPr>
        <w:t xml:space="preserve">de los locales, al igual que las residencias particulares del personal consular. </w:t>
      </w:r>
    </w:p>
    <w:p w14:paraId="2F21015F" w14:textId="55EB3489" w:rsidR="00845EBF" w:rsidRDefault="00845EBF" w:rsidP="00E5597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 oficina consular </w:t>
      </w:r>
      <w:r w:rsidR="002A3AB1">
        <w:rPr>
          <w:rFonts w:ascii="Times New Roman" w:hAnsi="Times New Roman" w:cs="Times New Roman"/>
          <w:sz w:val="24"/>
          <w:szCs w:val="24"/>
        </w:rPr>
        <w:t xml:space="preserve">goza </w:t>
      </w:r>
      <w:r>
        <w:rPr>
          <w:rFonts w:ascii="Times New Roman" w:hAnsi="Times New Roman" w:cs="Times New Roman"/>
          <w:sz w:val="24"/>
          <w:szCs w:val="24"/>
        </w:rPr>
        <w:t xml:space="preserve">de las inviolabilidades de las sedes consulares en términos distintos a la misión diplomática, de acuerdo con el artículo 31 de la Convención de Viena de 1963: </w:t>
      </w:r>
    </w:p>
    <w:p w14:paraId="338D4168" w14:textId="11713936" w:rsidR="00845EBF" w:rsidRPr="00845EBF" w:rsidRDefault="00845EBF" w:rsidP="00F017CF">
      <w:pPr>
        <w:spacing w:line="276" w:lineRule="auto"/>
        <w:ind w:left="720"/>
        <w:jc w:val="both"/>
        <w:rPr>
          <w:rFonts w:ascii="Times New Roman" w:hAnsi="Times New Roman" w:cs="Times New Roman"/>
          <w:i/>
          <w:iCs/>
        </w:rPr>
      </w:pPr>
      <w:r w:rsidRPr="00845EBF">
        <w:rPr>
          <w:rFonts w:ascii="Times New Roman" w:hAnsi="Times New Roman" w:cs="Times New Roman"/>
          <w:i/>
          <w:iCs/>
        </w:rPr>
        <w:t xml:space="preserve">“1. Los locales consulares gozarán de la inviolabilidad que les concede este artículo. </w:t>
      </w:r>
    </w:p>
    <w:p w14:paraId="2645CDF4" w14:textId="77777777" w:rsidR="00845EBF" w:rsidRPr="00845EBF" w:rsidRDefault="00845EBF" w:rsidP="00F017CF">
      <w:pPr>
        <w:spacing w:line="276" w:lineRule="auto"/>
        <w:ind w:left="720"/>
        <w:jc w:val="both"/>
        <w:rPr>
          <w:rFonts w:ascii="Times New Roman" w:hAnsi="Times New Roman" w:cs="Times New Roman"/>
          <w:i/>
          <w:iCs/>
        </w:rPr>
      </w:pPr>
      <w:r w:rsidRPr="00845EBF">
        <w:rPr>
          <w:rFonts w:ascii="Times New Roman" w:hAnsi="Times New Roman" w:cs="Times New Roman"/>
          <w:i/>
          <w:iCs/>
        </w:rPr>
        <w:t xml:space="preserve">2. Las autoridades del Estado receptor no podrán penetrar en la parte de los locales consulares que se utilice exclusivamente para el trabajo de la oficina consular, salvo con el consentimiento del jefe de la oficina consular, o de una persona que él designe, o del jefe de la misión diplomática del Estado que envía. Sin embargo, el consentimiento del jefe de oficina consular se presumirá en caso de incendio, o de otra calamidad que requiera la adopción inmediata de medidas de protección. </w:t>
      </w:r>
    </w:p>
    <w:p w14:paraId="012097C8" w14:textId="6F3B41C5" w:rsidR="00FC41F3" w:rsidRDefault="00845EBF" w:rsidP="00F017CF">
      <w:pPr>
        <w:spacing w:line="276" w:lineRule="auto"/>
        <w:ind w:left="720"/>
        <w:jc w:val="both"/>
        <w:rPr>
          <w:rFonts w:ascii="Times New Roman" w:hAnsi="Times New Roman" w:cs="Times New Roman"/>
          <w:i/>
          <w:iCs/>
        </w:rPr>
      </w:pPr>
      <w:r w:rsidRPr="00845EBF">
        <w:rPr>
          <w:rFonts w:ascii="Times New Roman" w:hAnsi="Times New Roman" w:cs="Times New Roman"/>
          <w:i/>
          <w:iCs/>
        </w:rPr>
        <w:t>3. Con sujeción a las disposiciones del párrafo 2 de este artículo, el Estado receptor tendrá la obligación especial de adoptar todas las medidas apropiadas para proteger los locales consulares, con arreglo a las disposiciones de los párrafos anteriores, contra toda intrusión o daño y para evitar que se perturbe la tranquilidad de la oficina consular o se atente contra su dignidad.”</w:t>
      </w:r>
      <w:r w:rsidR="00403D47">
        <w:rPr>
          <w:rStyle w:val="Refdenotaalpie"/>
          <w:rFonts w:ascii="Times New Roman" w:hAnsi="Times New Roman" w:cs="Times New Roman"/>
          <w:i/>
          <w:iCs/>
        </w:rPr>
        <w:footnoteReference w:id="16"/>
      </w:r>
    </w:p>
    <w:p w14:paraId="7879D79A" w14:textId="261C4AEE" w:rsidR="00845EBF" w:rsidRDefault="00845EBF" w:rsidP="00F819A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Al igual que la inviolabilidad de los locales de la misión diplomática, la inmunidad de coerción de los locales consulares se concreta en </w:t>
      </w:r>
      <w:r w:rsidR="002A3AB1">
        <w:rPr>
          <w:rFonts w:ascii="Times New Roman" w:hAnsi="Times New Roman" w:cs="Times New Roman"/>
          <w:sz w:val="24"/>
          <w:szCs w:val="24"/>
        </w:rPr>
        <w:t>l</w:t>
      </w:r>
      <w:r>
        <w:rPr>
          <w:rFonts w:ascii="Times New Roman" w:hAnsi="Times New Roman" w:cs="Times New Roman"/>
          <w:sz w:val="24"/>
          <w:szCs w:val="24"/>
        </w:rPr>
        <w:t xml:space="preserve">os aspectos pasivo y </w:t>
      </w:r>
      <w:r w:rsidR="002A3AB1">
        <w:rPr>
          <w:rFonts w:ascii="Times New Roman" w:hAnsi="Times New Roman" w:cs="Times New Roman"/>
          <w:sz w:val="24"/>
          <w:szCs w:val="24"/>
        </w:rPr>
        <w:t>activo</w:t>
      </w:r>
      <w:r>
        <w:rPr>
          <w:rFonts w:ascii="Times New Roman" w:hAnsi="Times New Roman" w:cs="Times New Roman"/>
          <w:sz w:val="24"/>
          <w:szCs w:val="24"/>
        </w:rPr>
        <w:t xml:space="preserve">. </w:t>
      </w:r>
    </w:p>
    <w:p w14:paraId="5ACDBCAC" w14:textId="4BBDE0FE" w:rsidR="00CA3EF1" w:rsidRDefault="00845EBF" w:rsidP="00F819A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Primero, </w:t>
      </w:r>
      <w:r w:rsidR="006613D9">
        <w:rPr>
          <w:rFonts w:ascii="Times New Roman" w:hAnsi="Times New Roman" w:cs="Times New Roman"/>
          <w:sz w:val="24"/>
          <w:szCs w:val="24"/>
        </w:rPr>
        <w:t>como aspecto pasivo, el Estado receptor deberá cumplir su obligación de abstenerse y no podrá entrar en la parte de los locales consulares destinados al trabajo propio de la oficina, excepto si el jefe de la oficina consular, una persona que él designe o el jefe de la misión diplomática del Estado acreditante así lo autorice. La principal diferencia respecto a las sedes diplomáticas se encuentra en la presunción del consentimiento para penetrar en los locales consulares en caso de un riesgo inminente que requiera la adopción de medidas de protección por parte del Estado recepto</w:t>
      </w:r>
      <w:r w:rsidR="004227BE">
        <w:rPr>
          <w:rFonts w:ascii="Times New Roman" w:hAnsi="Times New Roman" w:cs="Times New Roman"/>
          <w:sz w:val="24"/>
          <w:szCs w:val="24"/>
        </w:rPr>
        <w:t>r</w:t>
      </w:r>
      <w:r w:rsidR="006613D9">
        <w:rPr>
          <w:rFonts w:ascii="Times New Roman" w:hAnsi="Times New Roman" w:cs="Times New Roman"/>
          <w:sz w:val="24"/>
          <w:szCs w:val="24"/>
        </w:rPr>
        <w:t>. De tal manera, que la inviolabilidad de las oficinas consulares no tendrá carácter absolut</w:t>
      </w:r>
      <w:r w:rsidR="004227BE">
        <w:rPr>
          <w:rFonts w:ascii="Times New Roman" w:hAnsi="Times New Roman" w:cs="Times New Roman"/>
          <w:sz w:val="24"/>
          <w:szCs w:val="24"/>
        </w:rPr>
        <w:t xml:space="preserve">o, pues la inclusión de la </w:t>
      </w:r>
      <w:r w:rsidR="004227BE" w:rsidRPr="002A3AB1">
        <w:rPr>
          <w:rFonts w:ascii="Times New Roman" w:hAnsi="Times New Roman" w:cs="Times New Roman"/>
          <w:i/>
          <w:iCs/>
          <w:sz w:val="24"/>
          <w:szCs w:val="24"/>
        </w:rPr>
        <w:t>“cláusula del fuego”</w:t>
      </w:r>
      <w:r w:rsidR="00CA3EF1">
        <w:rPr>
          <w:rFonts w:ascii="Times New Roman" w:hAnsi="Times New Roman" w:cs="Times New Roman"/>
          <w:sz w:val="24"/>
          <w:szCs w:val="24"/>
        </w:rPr>
        <w:t xml:space="preserve"> presumirá el consentimiento del jefe de la misión para penetrar en los locales en caso de incendio o cualquier otro peligro que requiera la adopción inmediata de medias de protección </w:t>
      </w:r>
      <w:sdt>
        <w:sdtPr>
          <w:rPr>
            <w:rFonts w:ascii="Times New Roman" w:hAnsi="Times New Roman" w:cs="Times New Roman"/>
            <w:sz w:val="24"/>
            <w:szCs w:val="24"/>
          </w:rPr>
          <w:id w:val="565466390"/>
          <w:citation/>
        </w:sdtPr>
        <w:sdtContent>
          <w:r w:rsidR="00CA3EF1">
            <w:rPr>
              <w:rFonts w:ascii="Times New Roman" w:hAnsi="Times New Roman" w:cs="Times New Roman"/>
              <w:sz w:val="24"/>
              <w:szCs w:val="24"/>
            </w:rPr>
            <w:fldChar w:fldCharType="begin"/>
          </w:r>
          <w:r w:rsidR="00CA3EF1">
            <w:rPr>
              <w:rFonts w:ascii="Times New Roman" w:hAnsi="Times New Roman" w:cs="Times New Roman"/>
              <w:sz w:val="24"/>
              <w:szCs w:val="24"/>
            </w:rPr>
            <w:instrText xml:space="preserve">CITATION Sáe81 \p 267 \l 3082 </w:instrText>
          </w:r>
          <w:r w:rsidR="00CA3EF1">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(Sáenz de Santa María , 1981, pág. 267)</w:t>
          </w:r>
          <w:r w:rsidR="00CA3EF1">
            <w:rPr>
              <w:rFonts w:ascii="Times New Roman" w:hAnsi="Times New Roman" w:cs="Times New Roman"/>
              <w:sz w:val="24"/>
              <w:szCs w:val="24"/>
            </w:rPr>
            <w:fldChar w:fldCharType="end"/>
          </w:r>
        </w:sdtContent>
      </w:sdt>
      <w:r w:rsidR="00CA3EF1">
        <w:rPr>
          <w:rFonts w:ascii="Times New Roman" w:hAnsi="Times New Roman" w:cs="Times New Roman"/>
          <w:sz w:val="24"/>
          <w:szCs w:val="24"/>
        </w:rPr>
        <w:t>.</w:t>
      </w:r>
    </w:p>
    <w:p w14:paraId="49C99010" w14:textId="4788407E" w:rsidR="00C7393A" w:rsidRDefault="00C7393A" w:rsidP="00F819A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Segundo, como aspecto activo, el Estado receptor tiene la obligación de </w:t>
      </w:r>
      <w:r w:rsidR="00BE0EE8">
        <w:rPr>
          <w:rFonts w:ascii="Times New Roman" w:hAnsi="Times New Roman" w:cs="Times New Roman"/>
          <w:sz w:val="24"/>
          <w:szCs w:val="24"/>
        </w:rPr>
        <w:t>protección</w:t>
      </w:r>
      <w:r>
        <w:rPr>
          <w:rFonts w:ascii="Times New Roman" w:hAnsi="Times New Roman" w:cs="Times New Roman"/>
          <w:sz w:val="24"/>
          <w:szCs w:val="24"/>
        </w:rPr>
        <w:t xml:space="preserve"> por la que deberá adoptar todas las medidas </w:t>
      </w:r>
      <w:r w:rsidR="00BE0EE8">
        <w:rPr>
          <w:rFonts w:ascii="Times New Roman" w:hAnsi="Times New Roman" w:cs="Times New Roman"/>
          <w:sz w:val="24"/>
          <w:szCs w:val="24"/>
        </w:rPr>
        <w:t xml:space="preserve">necesarias para asegurar los locales consulares contra cualquier intrusión que pueda causar daños o afectar a la tranquilidad y dignidad de esta. También existe una obligación de resultado, que al igual </w:t>
      </w:r>
      <w:r w:rsidR="00BE0EE8">
        <w:rPr>
          <w:rFonts w:ascii="Times New Roman" w:hAnsi="Times New Roman" w:cs="Times New Roman"/>
          <w:sz w:val="24"/>
          <w:szCs w:val="24"/>
        </w:rPr>
        <w:lastRenderedPageBreak/>
        <w:t>que en la misión diplomática, podría responsabilizar al Estado receptor por el daño causado a la oficina, pese a la adopción de medidas para proteger los locales</w:t>
      </w:r>
      <w:r w:rsidR="00CA3EF1" w:rsidRPr="00CA3EF1">
        <w:t xml:space="preserve"> </w:t>
      </w:r>
      <w:r w:rsidR="00CA3EF1" w:rsidRPr="00CA3EF1">
        <w:rPr>
          <w:rFonts w:ascii="Times New Roman" w:hAnsi="Times New Roman" w:cs="Times New Roman"/>
          <w:sz w:val="24"/>
          <w:szCs w:val="24"/>
        </w:rPr>
        <w:t>(</w:t>
      </w:r>
      <w:proofErr w:type="spellStart"/>
      <w:r w:rsidR="00CA3EF1" w:rsidRPr="00CA3EF1">
        <w:rPr>
          <w:rFonts w:ascii="Times New Roman" w:hAnsi="Times New Roman" w:cs="Times New Roman"/>
          <w:sz w:val="24"/>
          <w:szCs w:val="24"/>
        </w:rPr>
        <w:t>Yturriaga</w:t>
      </w:r>
      <w:proofErr w:type="spellEnd"/>
      <w:r w:rsidR="00CA3EF1" w:rsidRPr="00CA3EF1">
        <w:rPr>
          <w:rFonts w:ascii="Times New Roman" w:hAnsi="Times New Roman" w:cs="Times New Roman"/>
          <w:sz w:val="24"/>
          <w:szCs w:val="24"/>
        </w:rPr>
        <w:t xml:space="preserve"> Barberán, 2015, págs. 288-290)</w:t>
      </w:r>
      <w:r w:rsidR="00BE0EE8">
        <w:rPr>
          <w:rFonts w:ascii="Times New Roman" w:hAnsi="Times New Roman" w:cs="Times New Roman"/>
          <w:sz w:val="24"/>
          <w:szCs w:val="24"/>
        </w:rPr>
        <w:t xml:space="preserve">. </w:t>
      </w:r>
    </w:p>
    <w:p w14:paraId="3569499C" w14:textId="3C5FF008" w:rsidR="00D40BBD" w:rsidRDefault="00A06C01" w:rsidP="00F819A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D</w:t>
      </w:r>
      <w:r w:rsidR="00D40BBD">
        <w:rPr>
          <w:rFonts w:ascii="Times New Roman" w:hAnsi="Times New Roman" w:cs="Times New Roman"/>
          <w:sz w:val="24"/>
          <w:szCs w:val="24"/>
        </w:rPr>
        <w:t xml:space="preserve">e la misma manera que se hará el análisis del cumplimiento por parte del Estado receptor del principio de inviolabilidad de los locales de la misión diplomática, será necesario </w:t>
      </w:r>
      <w:r>
        <w:rPr>
          <w:rFonts w:ascii="Times New Roman" w:hAnsi="Times New Roman" w:cs="Times New Roman"/>
          <w:sz w:val="24"/>
          <w:szCs w:val="24"/>
        </w:rPr>
        <w:t>estudiar</w:t>
      </w:r>
      <w:r w:rsidR="00D40BBD">
        <w:rPr>
          <w:rFonts w:ascii="Times New Roman" w:hAnsi="Times New Roman" w:cs="Times New Roman"/>
          <w:sz w:val="24"/>
          <w:szCs w:val="24"/>
        </w:rPr>
        <w:t xml:space="preserve"> el grado del cumplimiento por parte de los países de Irán y Libia de la inviolabilidad de los locales consulares de acuerdo con la Convención de Viena de 1963 que establece la</w:t>
      </w:r>
      <w:r w:rsidR="00E9015B">
        <w:rPr>
          <w:rFonts w:ascii="Times New Roman" w:hAnsi="Times New Roman" w:cs="Times New Roman"/>
          <w:sz w:val="24"/>
          <w:szCs w:val="24"/>
        </w:rPr>
        <w:t>s</w:t>
      </w:r>
      <w:r w:rsidR="00D40BBD">
        <w:rPr>
          <w:rFonts w:ascii="Times New Roman" w:hAnsi="Times New Roman" w:cs="Times New Roman"/>
          <w:sz w:val="24"/>
          <w:szCs w:val="24"/>
        </w:rPr>
        <w:t xml:space="preserve"> obligaci</w:t>
      </w:r>
      <w:r w:rsidR="00E9015B">
        <w:rPr>
          <w:rFonts w:ascii="Times New Roman" w:hAnsi="Times New Roman" w:cs="Times New Roman"/>
          <w:sz w:val="24"/>
          <w:szCs w:val="24"/>
        </w:rPr>
        <w:t>ones</w:t>
      </w:r>
      <w:r w:rsidR="00D40BBD">
        <w:rPr>
          <w:rFonts w:ascii="Times New Roman" w:hAnsi="Times New Roman" w:cs="Times New Roman"/>
          <w:sz w:val="24"/>
          <w:szCs w:val="24"/>
        </w:rPr>
        <w:t xml:space="preserve"> del Estado receptor.</w:t>
      </w:r>
    </w:p>
    <w:p w14:paraId="2F3CA2AA" w14:textId="44390ECD" w:rsidR="006E47C2" w:rsidRDefault="006E47C2" w:rsidP="00845EBF">
      <w:pPr>
        <w:spacing w:line="360" w:lineRule="auto"/>
        <w:jc w:val="both"/>
        <w:rPr>
          <w:rFonts w:ascii="Times New Roman" w:hAnsi="Times New Roman" w:cs="Times New Roman"/>
          <w:sz w:val="24"/>
          <w:szCs w:val="24"/>
        </w:rPr>
      </w:pPr>
    </w:p>
    <w:p w14:paraId="5BF9B8E8" w14:textId="72E272A4" w:rsidR="006E47C2" w:rsidRPr="006E47C2" w:rsidRDefault="006E47C2" w:rsidP="006E47C2">
      <w:pPr>
        <w:pStyle w:val="Ttulo1"/>
        <w:numPr>
          <w:ilvl w:val="0"/>
          <w:numId w:val="1"/>
        </w:numPr>
        <w:spacing w:line="360" w:lineRule="auto"/>
        <w:rPr>
          <w:rFonts w:ascii="Times New Roman" w:hAnsi="Times New Roman" w:cs="Times New Roman"/>
        </w:rPr>
      </w:pPr>
      <w:bookmarkStart w:id="13" w:name="_Toc65498607"/>
      <w:r w:rsidRPr="006E47C2">
        <w:rPr>
          <w:rFonts w:ascii="Times New Roman" w:hAnsi="Times New Roman" w:cs="Times New Roman"/>
        </w:rPr>
        <w:t>Responsabilidad internacional por los hechos ilícitos de los Estados</w:t>
      </w:r>
      <w:bookmarkEnd w:id="13"/>
      <w:r w:rsidRPr="006E47C2">
        <w:rPr>
          <w:rFonts w:ascii="Times New Roman" w:hAnsi="Times New Roman" w:cs="Times New Roman"/>
        </w:rPr>
        <w:t xml:space="preserve"> </w:t>
      </w:r>
    </w:p>
    <w:p w14:paraId="74550066" w14:textId="7854AA46" w:rsidR="006E47C2" w:rsidRPr="00200AC2" w:rsidRDefault="00FE2E47" w:rsidP="006E47C2">
      <w:pPr>
        <w:pStyle w:val="Ttulo2"/>
        <w:numPr>
          <w:ilvl w:val="1"/>
          <w:numId w:val="1"/>
        </w:numPr>
        <w:spacing w:line="360" w:lineRule="auto"/>
        <w:rPr>
          <w:rFonts w:ascii="Times New Roman" w:hAnsi="Times New Roman" w:cs="Times New Roman"/>
          <w:sz w:val="28"/>
          <w:szCs w:val="28"/>
        </w:rPr>
      </w:pPr>
      <w:bookmarkStart w:id="14" w:name="_Toc65498608"/>
      <w:r w:rsidRPr="00200AC2">
        <w:rPr>
          <w:rFonts w:ascii="Times New Roman" w:hAnsi="Times New Roman" w:cs="Times New Roman"/>
          <w:sz w:val="28"/>
          <w:szCs w:val="28"/>
        </w:rPr>
        <w:t>Introducción a l</w:t>
      </w:r>
      <w:r w:rsidR="00862A4F" w:rsidRPr="00200AC2">
        <w:rPr>
          <w:rFonts w:ascii="Times New Roman" w:hAnsi="Times New Roman" w:cs="Times New Roman"/>
          <w:sz w:val="28"/>
          <w:szCs w:val="28"/>
        </w:rPr>
        <w:t>a</w:t>
      </w:r>
      <w:r w:rsidR="00EE573D" w:rsidRPr="00200AC2">
        <w:rPr>
          <w:rFonts w:ascii="Times New Roman" w:hAnsi="Times New Roman" w:cs="Times New Roman"/>
          <w:sz w:val="28"/>
          <w:szCs w:val="28"/>
        </w:rPr>
        <w:t xml:space="preserve"> </w:t>
      </w:r>
      <w:r w:rsidRPr="00200AC2">
        <w:rPr>
          <w:rFonts w:ascii="Times New Roman" w:hAnsi="Times New Roman" w:cs="Times New Roman"/>
          <w:sz w:val="28"/>
          <w:szCs w:val="28"/>
        </w:rPr>
        <w:t>r</w:t>
      </w:r>
      <w:r w:rsidR="00EE573D" w:rsidRPr="00200AC2">
        <w:rPr>
          <w:rFonts w:ascii="Times New Roman" w:hAnsi="Times New Roman" w:cs="Times New Roman"/>
          <w:sz w:val="28"/>
          <w:szCs w:val="28"/>
        </w:rPr>
        <w:t>esponsabilidad internacional</w:t>
      </w:r>
      <w:bookmarkEnd w:id="14"/>
    </w:p>
    <w:p w14:paraId="1E64B77C" w14:textId="5266C672" w:rsidR="00376232" w:rsidRDefault="006E47C2" w:rsidP="00F819A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 </w:t>
      </w:r>
      <w:r w:rsidR="0024512C">
        <w:rPr>
          <w:rFonts w:ascii="Times New Roman" w:hAnsi="Times New Roman" w:cs="Times New Roman"/>
          <w:sz w:val="24"/>
          <w:szCs w:val="24"/>
        </w:rPr>
        <w:t xml:space="preserve">responsabilidad internacional del Estado </w:t>
      </w:r>
      <w:r w:rsidR="00CE6713">
        <w:rPr>
          <w:rFonts w:ascii="Times New Roman" w:hAnsi="Times New Roman" w:cs="Times New Roman"/>
          <w:sz w:val="24"/>
          <w:szCs w:val="24"/>
        </w:rPr>
        <w:t xml:space="preserve">se ha convertido en un eje fundamental del Derecho Internacional Público, </w:t>
      </w:r>
      <w:r w:rsidR="001B55CB">
        <w:rPr>
          <w:rFonts w:ascii="Times New Roman" w:hAnsi="Times New Roman" w:cs="Times New Roman"/>
          <w:sz w:val="24"/>
          <w:szCs w:val="24"/>
        </w:rPr>
        <w:t xml:space="preserve">y es que, </w:t>
      </w:r>
      <w:r w:rsidR="00CE6713">
        <w:rPr>
          <w:rFonts w:ascii="Times New Roman" w:hAnsi="Times New Roman" w:cs="Times New Roman"/>
          <w:sz w:val="24"/>
          <w:szCs w:val="24"/>
        </w:rPr>
        <w:t>si no se admitiese la responsabilidad de</w:t>
      </w:r>
      <w:r w:rsidR="00C645C5">
        <w:rPr>
          <w:rFonts w:ascii="Times New Roman" w:hAnsi="Times New Roman" w:cs="Times New Roman"/>
          <w:sz w:val="24"/>
          <w:szCs w:val="24"/>
        </w:rPr>
        <w:t>l</w:t>
      </w:r>
      <w:r w:rsidR="00CE6713">
        <w:rPr>
          <w:rFonts w:ascii="Times New Roman" w:hAnsi="Times New Roman" w:cs="Times New Roman"/>
          <w:sz w:val="24"/>
          <w:szCs w:val="24"/>
        </w:rPr>
        <w:t xml:space="preserve"> Estado por la comisión de un hecho ilícito internacional, tampoco debería obligarse a los Estados a comportarse conforme al Derecho Internacional. Ello permitiría que las disputas internacionales se resolviesen mediante el uso de la fuerza u otros factores de poder de los Estados</w:t>
      </w:r>
      <w:r w:rsidR="004F47BB">
        <w:rPr>
          <w:rFonts w:ascii="Times New Roman" w:hAnsi="Times New Roman" w:cs="Times New Roman"/>
          <w:sz w:val="24"/>
          <w:szCs w:val="24"/>
        </w:rPr>
        <w:t xml:space="preserve">, en vez de que se solucionasen por vías jurídicas </w:t>
      </w:r>
      <w:sdt>
        <w:sdtPr>
          <w:rPr>
            <w:rFonts w:ascii="Times New Roman" w:hAnsi="Times New Roman" w:cs="Times New Roman"/>
            <w:sz w:val="24"/>
            <w:szCs w:val="24"/>
          </w:rPr>
          <w:id w:val="1534152411"/>
          <w:citation/>
        </w:sdtPr>
        <w:sdtContent>
          <w:r w:rsidR="004F47BB">
            <w:rPr>
              <w:rFonts w:ascii="Times New Roman" w:hAnsi="Times New Roman" w:cs="Times New Roman"/>
              <w:sz w:val="24"/>
              <w:szCs w:val="24"/>
            </w:rPr>
            <w:fldChar w:fldCharType="begin"/>
          </w:r>
          <w:r w:rsidR="004F47BB">
            <w:rPr>
              <w:rFonts w:ascii="Times New Roman" w:hAnsi="Times New Roman" w:cs="Times New Roman"/>
              <w:sz w:val="24"/>
              <w:szCs w:val="24"/>
            </w:rPr>
            <w:instrText xml:space="preserve"> CITATION Mol64 \l 3082 </w:instrText>
          </w:r>
          <w:r w:rsidR="004F47BB">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(Molteni, 1964)</w:t>
          </w:r>
          <w:r w:rsidR="004F47BB">
            <w:rPr>
              <w:rFonts w:ascii="Times New Roman" w:hAnsi="Times New Roman" w:cs="Times New Roman"/>
              <w:sz w:val="24"/>
              <w:szCs w:val="24"/>
            </w:rPr>
            <w:fldChar w:fldCharType="end"/>
          </w:r>
        </w:sdtContent>
      </w:sdt>
      <w:r w:rsidR="004F47BB">
        <w:rPr>
          <w:rFonts w:ascii="Times New Roman" w:hAnsi="Times New Roman" w:cs="Times New Roman"/>
          <w:sz w:val="24"/>
          <w:szCs w:val="24"/>
        </w:rPr>
        <w:t xml:space="preserve">. </w:t>
      </w:r>
    </w:p>
    <w:p w14:paraId="671377D4" w14:textId="6FFC36E0" w:rsidR="001B55CB" w:rsidRDefault="004F47BB" w:rsidP="00F819A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El origen de esta institución tiene carácter puramente consuetudinario y principalmente relacionado con el papel del Estado como único sujeto de Derecho Internacional, pues</w:t>
      </w:r>
      <w:r w:rsidR="00C645C5">
        <w:rPr>
          <w:rFonts w:ascii="Times New Roman" w:hAnsi="Times New Roman" w:cs="Times New Roman"/>
          <w:sz w:val="24"/>
          <w:szCs w:val="24"/>
        </w:rPr>
        <w:t xml:space="preserve"> inicialmente, se centraba en el daño causado a nacionales de un Estado en otro</w:t>
      </w:r>
      <w:r w:rsidR="00B757D3">
        <w:rPr>
          <w:rFonts w:ascii="Times New Roman" w:hAnsi="Times New Roman" w:cs="Times New Roman"/>
          <w:sz w:val="24"/>
          <w:szCs w:val="24"/>
        </w:rPr>
        <w:t>; m</w:t>
      </w:r>
      <w:r w:rsidR="00C645C5">
        <w:rPr>
          <w:rFonts w:ascii="Times New Roman" w:hAnsi="Times New Roman" w:cs="Times New Roman"/>
          <w:sz w:val="24"/>
          <w:szCs w:val="24"/>
        </w:rPr>
        <w:t>ás tarde, se aplicó a conflictos armados entre los Estados</w:t>
      </w:r>
      <w:r w:rsidR="00B757D3">
        <w:rPr>
          <w:rFonts w:ascii="Times New Roman" w:hAnsi="Times New Roman" w:cs="Times New Roman"/>
          <w:sz w:val="24"/>
          <w:szCs w:val="24"/>
        </w:rPr>
        <w:t>;</w:t>
      </w:r>
      <w:r w:rsidR="00C645C5">
        <w:rPr>
          <w:rFonts w:ascii="Times New Roman" w:hAnsi="Times New Roman" w:cs="Times New Roman"/>
          <w:sz w:val="24"/>
          <w:szCs w:val="24"/>
        </w:rPr>
        <w:t xml:space="preserve"> y finalmente, se ha extendido a los hechos ilícitos de un Estado</w:t>
      </w:r>
      <w:r w:rsidR="001B55CB">
        <w:rPr>
          <w:rFonts w:ascii="Times New Roman" w:hAnsi="Times New Roman" w:cs="Times New Roman"/>
          <w:sz w:val="24"/>
          <w:szCs w:val="24"/>
        </w:rPr>
        <w:t xml:space="preserve"> </w:t>
      </w:r>
      <w:sdt>
        <w:sdtPr>
          <w:rPr>
            <w:rFonts w:ascii="Times New Roman" w:hAnsi="Times New Roman" w:cs="Times New Roman"/>
            <w:sz w:val="24"/>
            <w:szCs w:val="24"/>
          </w:rPr>
          <w:id w:val="1342352561"/>
          <w:citation/>
        </w:sdtPr>
        <w:sdtContent>
          <w:r w:rsidR="00C645C5">
            <w:rPr>
              <w:rFonts w:ascii="Times New Roman" w:hAnsi="Times New Roman" w:cs="Times New Roman"/>
              <w:sz w:val="24"/>
              <w:szCs w:val="24"/>
            </w:rPr>
            <w:fldChar w:fldCharType="begin"/>
          </w:r>
          <w:r w:rsidR="00C645C5">
            <w:rPr>
              <w:rFonts w:ascii="Times New Roman" w:hAnsi="Times New Roman" w:cs="Times New Roman"/>
              <w:sz w:val="24"/>
              <w:szCs w:val="24"/>
            </w:rPr>
            <w:instrText xml:space="preserve"> CITATION Día08 \l 3082 </w:instrText>
          </w:r>
          <w:r w:rsidR="00C645C5">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(Díaz Cáceda, La responsabilidad internacional de los Estados: base para la defensa de los Derechos Humnos , 2008)</w:t>
          </w:r>
          <w:r w:rsidR="00C645C5">
            <w:rPr>
              <w:rFonts w:ascii="Times New Roman" w:hAnsi="Times New Roman" w:cs="Times New Roman"/>
              <w:sz w:val="24"/>
              <w:szCs w:val="24"/>
            </w:rPr>
            <w:fldChar w:fldCharType="end"/>
          </w:r>
        </w:sdtContent>
      </w:sdt>
      <w:r w:rsidR="00C645C5">
        <w:rPr>
          <w:rFonts w:ascii="Times New Roman" w:hAnsi="Times New Roman" w:cs="Times New Roman"/>
          <w:sz w:val="24"/>
          <w:szCs w:val="24"/>
        </w:rPr>
        <w:t xml:space="preserve">. </w:t>
      </w:r>
    </w:p>
    <w:p w14:paraId="35F7F650" w14:textId="36D795C5" w:rsidR="00376232" w:rsidRDefault="00376232" w:rsidP="0069088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 definición del concepto de la responsabilidad internacional es </w:t>
      </w:r>
      <w:r w:rsidR="00862A4F">
        <w:rPr>
          <w:rFonts w:ascii="Times New Roman" w:hAnsi="Times New Roman" w:cs="Times New Roman"/>
          <w:sz w:val="24"/>
          <w:szCs w:val="24"/>
        </w:rPr>
        <w:t>una</w:t>
      </w:r>
      <w:r>
        <w:rPr>
          <w:rFonts w:ascii="Times New Roman" w:hAnsi="Times New Roman" w:cs="Times New Roman"/>
          <w:sz w:val="24"/>
          <w:szCs w:val="24"/>
        </w:rPr>
        <w:t xml:space="preserve"> tarea de gran dificultad debido a la falta de consenso </w:t>
      </w:r>
      <w:r w:rsidR="00575E7C">
        <w:rPr>
          <w:rFonts w:ascii="Times New Roman" w:hAnsi="Times New Roman" w:cs="Times New Roman"/>
          <w:sz w:val="24"/>
          <w:szCs w:val="24"/>
        </w:rPr>
        <w:t xml:space="preserve">respecto a </w:t>
      </w:r>
      <w:r>
        <w:rPr>
          <w:rFonts w:ascii="Times New Roman" w:hAnsi="Times New Roman" w:cs="Times New Roman"/>
          <w:sz w:val="24"/>
          <w:szCs w:val="24"/>
        </w:rPr>
        <w:t>esta noción y al ingente número</w:t>
      </w:r>
      <w:r w:rsidR="00862A4F">
        <w:rPr>
          <w:rFonts w:ascii="Times New Roman" w:hAnsi="Times New Roman" w:cs="Times New Roman"/>
          <w:sz w:val="24"/>
          <w:szCs w:val="24"/>
        </w:rPr>
        <w:t xml:space="preserve"> de cuestiones que la rodean</w:t>
      </w:r>
      <w:r w:rsidR="00B757D3">
        <w:rPr>
          <w:rFonts w:ascii="Times New Roman" w:hAnsi="Times New Roman" w:cs="Times New Roman"/>
          <w:sz w:val="24"/>
          <w:szCs w:val="24"/>
        </w:rPr>
        <w:t>, p</w:t>
      </w:r>
      <w:r w:rsidR="007A12B5">
        <w:rPr>
          <w:rFonts w:ascii="Times New Roman" w:hAnsi="Times New Roman" w:cs="Times New Roman"/>
          <w:sz w:val="24"/>
          <w:szCs w:val="24"/>
        </w:rPr>
        <w:t xml:space="preserve">or lo tanto, </w:t>
      </w:r>
      <w:r w:rsidR="00862A4F">
        <w:rPr>
          <w:rFonts w:ascii="Times New Roman" w:hAnsi="Times New Roman" w:cs="Times New Roman"/>
          <w:sz w:val="24"/>
          <w:szCs w:val="24"/>
        </w:rPr>
        <w:t>será necesario atender previamente a</w:t>
      </w:r>
      <w:r w:rsidR="007A12B5">
        <w:rPr>
          <w:rFonts w:ascii="Times New Roman" w:hAnsi="Times New Roman" w:cs="Times New Roman"/>
          <w:sz w:val="24"/>
          <w:szCs w:val="24"/>
        </w:rPr>
        <w:t xml:space="preserve">l marco normativo que determinará </w:t>
      </w:r>
      <w:r w:rsidR="00575E7C">
        <w:rPr>
          <w:rFonts w:ascii="Times New Roman" w:hAnsi="Times New Roman" w:cs="Times New Roman"/>
          <w:sz w:val="24"/>
          <w:szCs w:val="24"/>
        </w:rPr>
        <w:t>el concepto</w:t>
      </w:r>
      <w:r w:rsidR="00862A4F">
        <w:rPr>
          <w:rFonts w:ascii="Times New Roman" w:hAnsi="Times New Roman" w:cs="Times New Roman"/>
          <w:sz w:val="24"/>
          <w:szCs w:val="24"/>
        </w:rPr>
        <w:t xml:space="preserve"> del hecho internacionalmente ilícito y</w:t>
      </w:r>
      <w:r w:rsidR="007A12B5">
        <w:rPr>
          <w:rFonts w:ascii="Times New Roman" w:hAnsi="Times New Roman" w:cs="Times New Roman"/>
          <w:sz w:val="24"/>
          <w:szCs w:val="24"/>
        </w:rPr>
        <w:t xml:space="preserve"> </w:t>
      </w:r>
      <w:r w:rsidR="00862A4F">
        <w:rPr>
          <w:rFonts w:ascii="Times New Roman" w:hAnsi="Times New Roman" w:cs="Times New Roman"/>
          <w:sz w:val="24"/>
          <w:szCs w:val="24"/>
        </w:rPr>
        <w:t>las causas de exclusión de la ilicitud.</w:t>
      </w:r>
    </w:p>
    <w:p w14:paraId="376EFD8D" w14:textId="2169FF92" w:rsidR="00376232" w:rsidRPr="00862A4F" w:rsidRDefault="00376232" w:rsidP="00376232">
      <w:pPr>
        <w:pStyle w:val="Ttulo2"/>
        <w:numPr>
          <w:ilvl w:val="1"/>
          <w:numId w:val="1"/>
        </w:numPr>
        <w:spacing w:line="360" w:lineRule="auto"/>
        <w:rPr>
          <w:rFonts w:ascii="Times New Roman" w:hAnsi="Times New Roman" w:cs="Times New Roman"/>
          <w:sz w:val="28"/>
          <w:szCs w:val="28"/>
        </w:rPr>
      </w:pPr>
      <w:bookmarkStart w:id="15" w:name="_Toc65498609"/>
      <w:r w:rsidRPr="00862A4F">
        <w:rPr>
          <w:rFonts w:ascii="Times New Roman" w:hAnsi="Times New Roman" w:cs="Times New Roman"/>
          <w:sz w:val="28"/>
          <w:szCs w:val="28"/>
        </w:rPr>
        <w:lastRenderedPageBreak/>
        <w:t>Marco normativo</w:t>
      </w:r>
      <w:r w:rsidR="006A5399">
        <w:rPr>
          <w:rFonts w:ascii="Times New Roman" w:hAnsi="Times New Roman" w:cs="Times New Roman"/>
          <w:sz w:val="28"/>
          <w:szCs w:val="28"/>
        </w:rPr>
        <w:t>: el hecho internacionalmente ilícito</w:t>
      </w:r>
      <w:bookmarkEnd w:id="15"/>
    </w:p>
    <w:p w14:paraId="46D83E93" w14:textId="73D06F13" w:rsidR="00E55977" w:rsidRDefault="00564CAD" w:rsidP="00F819A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El principal instrumento normativo en esta materia es el Proyecto sobre Responsabilidad del Estado por Hechos Internacionalmente </w:t>
      </w:r>
      <w:r w:rsidR="00B757D3">
        <w:rPr>
          <w:rFonts w:ascii="Times New Roman" w:hAnsi="Times New Roman" w:cs="Times New Roman"/>
          <w:sz w:val="24"/>
          <w:szCs w:val="24"/>
        </w:rPr>
        <w:t>I</w:t>
      </w:r>
      <w:r>
        <w:rPr>
          <w:rFonts w:ascii="Times New Roman" w:hAnsi="Times New Roman" w:cs="Times New Roman"/>
          <w:sz w:val="24"/>
          <w:szCs w:val="24"/>
        </w:rPr>
        <w:t>lícitos, aprobado por la Asamblea General de las Naciones Unidas mediante la resolución 56/83 del 12 de diciembre de 2001.</w:t>
      </w:r>
      <w:r w:rsidR="003E4258">
        <w:rPr>
          <w:rFonts w:ascii="Times New Roman" w:hAnsi="Times New Roman" w:cs="Times New Roman"/>
          <w:sz w:val="24"/>
          <w:szCs w:val="24"/>
        </w:rPr>
        <w:t xml:space="preserve"> Si bien es cierto que el</w:t>
      </w:r>
      <w:r>
        <w:rPr>
          <w:rFonts w:ascii="Times New Roman" w:hAnsi="Times New Roman" w:cs="Times New Roman"/>
          <w:sz w:val="24"/>
          <w:szCs w:val="24"/>
        </w:rPr>
        <w:t xml:space="preserve"> Proyecto no es un tratado internaci</w:t>
      </w:r>
      <w:r w:rsidR="003E4258">
        <w:rPr>
          <w:rFonts w:ascii="Times New Roman" w:hAnsi="Times New Roman" w:cs="Times New Roman"/>
          <w:sz w:val="24"/>
          <w:szCs w:val="24"/>
        </w:rPr>
        <w:t xml:space="preserve">onal, sí ha servido como base para la identificación de normas consuetudinarias por órganos jurisdiccionales y como material normativo para la fundamentación de sus decisiones, pues supone un verdadero reflejo de la práctica internacional que se viene gestando hace décadas </w:t>
      </w:r>
      <w:sdt>
        <w:sdtPr>
          <w:rPr>
            <w:rFonts w:ascii="Times New Roman" w:hAnsi="Times New Roman" w:cs="Times New Roman"/>
            <w:sz w:val="24"/>
            <w:szCs w:val="24"/>
          </w:rPr>
          <w:id w:val="1960838861"/>
          <w:citation/>
        </w:sdtPr>
        <w:sdtContent>
          <w:r w:rsidR="003E4258">
            <w:rPr>
              <w:rFonts w:ascii="Times New Roman" w:hAnsi="Times New Roman" w:cs="Times New Roman"/>
              <w:sz w:val="24"/>
              <w:szCs w:val="24"/>
            </w:rPr>
            <w:fldChar w:fldCharType="begin"/>
          </w:r>
          <w:r w:rsidR="003E4258">
            <w:rPr>
              <w:rFonts w:ascii="Times New Roman" w:hAnsi="Times New Roman" w:cs="Times New Roman"/>
              <w:sz w:val="24"/>
              <w:szCs w:val="24"/>
            </w:rPr>
            <w:instrText xml:space="preserve"> CITATION Sfe17 \l 3082 </w:instrText>
          </w:r>
          <w:r w:rsidR="003E4258">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(Sferraza Taibi, 2017)</w:t>
          </w:r>
          <w:r w:rsidR="003E4258">
            <w:rPr>
              <w:rFonts w:ascii="Times New Roman" w:hAnsi="Times New Roman" w:cs="Times New Roman"/>
              <w:sz w:val="24"/>
              <w:szCs w:val="24"/>
            </w:rPr>
            <w:fldChar w:fldCharType="end"/>
          </w:r>
        </w:sdtContent>
      </w:sdt>
      <w:r w:rsidR="003E4258">
        <w:rPr>
          <w:rFonts w:ascii="Times New Roman" w:hAnsi="Times New Roman" w:cs="Times New Roman"/>
          <w:sz w:val="24"/>
          <w:szCs w:val="24"/>
        </w:rPr>
        <w:t>. En consecuencia,</w:t>
      </w:r>
      <w:r w:rsidR="00484743">
        <w:rPr>
          <w:rFonts w:ascii="Times New Roman" w:hAnsi="Times New Roman" w:cs="Times New Roman"/>
          <w:sz w:val="24"/>
          <w:szCs w:val="24"/>
        </w:rPr>
        <w:t xml:space="preserve"> el marco normativo de la</w:t>
      </w:r>
      <w:r w:rsidR="003E4258">
        <w:rPr>
          <w:rFonts w:ascii="Times New Roman" w:hAnsi="Times New Roman" w:cs="Times New Roman"/>
          <w:sz w:val="24"/>
          <w:szCs w:val="24"/>
        </w:rPr>
        <w:t xml:space="preserve"> responsabilidad internacional se ceñirá </w:t>
      </w:r>
      <w:r w:rsidR="00484743">
        <w:rPr>
          <w:rFonts w:ascii="Times New Roman" w:hAnsi="Times New Roman" w:cs="Times New Roman"/>
          <w:sz w:val="24"/>
          <w:szCs w:val="24"/>
        </w:rPr>
        <w:t xml:space="preserve">al Proyecto de Artículos, para su posterior aplicación a los supuestos prácticos. </w:t>
      </w:r>
    </w:p>
    <w:p w14:paraId="0C0795DE" w14:textId="0648B56C" w:rsidR="008A44F2" w:rsidRDefault="008A44F2" w:rsidP="00F819A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El presupuesto fundamental para la responsabilidad internacional es el hecho internacionalmente ilícito</w:t>
      </w:r>
      <w:r w:rsidR="00575E7C">
        <w:rPr>
          <w:rFonts w:ascii="Times New Roman" w:hAnsi="Times New Roman" w:cs="Times New Roman"/>
          <w:sz w:val="24"/>
          <w:szCs w:val="24"/>
        </w:rPr>
        <w:t xml:space="preserve"> recogido </w:t>
      </w:r>
      <w:r>
        <w:rPr>
          <w:rFonts w:ascii="Times New Roman" w:hAnsi="Times New Roman" w:cs="Times New Roman"/>
          <w:sz w:val="24"/>
          <w:szCs w:val="24"/>
        </w:rPr>
        <w:t xml:space="preserve">en el artículo 1 del Proyecto de la Comisión de Derecho Internacional: </w:t>
      </w:r>
      <w:r>
        <w:rPr>
          <w:rFonts w:ascii="Times New Roman" w:hAnsi="Times New Roman" w:cs="Times New Roman"/>
          <w:i/>
          <w:iCs/>
        </w:rPr>
        <w:t>“Todo hecho internacionalmente ilícito del Estado genera su responsabilidad internacional”</w:t>
      </w:r>
      <w:r w:rsidR="009F08FC">
        <w:rPr>
          <w:rStyle w:val="Refdenotaalpie"/>
          <w:rFonts w:ascii="Times New Roman" w:hAnsi="Times New Roman" w:cs="Times New Roman"/>
          <w:i/>
          <w:iCs/>
        </w:rPr>
        <w:footnoteReference w:id="17"/>
      </w:r>
      <w:r>
        <w:rPr>
          <w:rFonts w:ascii="Times New Roman" w:hAnsi="Times New Roman" w:cs="Times New Roman"/>
          <w:i/>
          <w:iCs/>
        </w:rPr>
        <w:t>.</w:t>
      </w:r>
      <w:r w:rsidR="00B711EF">
        <w:rPr>
          <w:rFonts w:ascii="Times New Roman" w:hAnsi="Times New Roman" w:cs="Times New Roman"/>
          <w:i/>
          <w:iCs/>
        </w:rPr>
        <w:t xml:space="preserve"> </w:t>
      </w:r>
      <w:r>
        <w:rPr>
          <w:rFonts w:ascii="Times New Roman" w:hAnsi="Times New Roman" w:cs="Times New Roman"/>
          <w:sz w:val="24"/>
          <w:szCs w:val="24"/>
        </w:rPr>
        <w:t xml:space="preserve">El estudio de la responsabilidad internacional obliga a la concreción del concepto de </w:t>
      </w:r>
      <w:r w:rsidRPr="00B757D3">
        <w:rPr>
          <w:rFonts w:ascii="Times New Roman" w:hAnsi="Times New Roman" w:cs="Times New Roman"/>
          <w:i/>
          <w:iCs/>
          <w:sz w:val="24"/>
          <w:szCs w:val="24"/>
        </w:rPr>
        <w:t>“hecho internacionalmente ilícito”,</w:t>
      </w:r>
      <w:r>
        <w:rPr>
          <w:rFonts w:ascii="Times New Roman" w:hAnsi="Times New Roman" w:cs="Times New Roman"/>
          <w:sz w:val="24"/>
          <w:szCs w:val="24"/>
        </w:rPr>
        <w:t xml:space="preserve"> que según los elementos establecidos en el artículo 2 del Proyecto se entenderá de la siguiente forma: </w:t>
      </w:r>
    </w:p>
    <w:p w14:paraId="3B70861F" w14:textId="60BAB6D8" w:rsidR="00AC4523" w:rsidRPr="00AC4523" w:rsidRDefault="00AC4523" w:rsidP="00F017CF">
      <w:pPr>
        <w:pStyle w:val="NormalWeb"/>
        <w:shd w:val="clear" w:color="auto" w:fill="FFFFFF"/>
        <w:spacing w:before="0" w:beforeAutospacing="0" w:after="300" w:afterAutospacing="0" w:line="276" w:lineRule="auto"/>
        <w:ind w:left="720"/>
        <w:jc w:val="both"/>
        <w:rPr>
          <w:i/>
          <w:iCs/>
          <w:color w:val="333333"/>
          <w:sz w:val="22"/>
          <w:szCs w:val="22"/>
        </w:rPr>
      </w:pPr>
      <w:r w:rsidRPr="00AC4523">
        <w:rPr>
          <w:i/>
          <w:iCs/>
          <w:color w:val="333333"/>
          <w:sz w:val="22"/>
          <w:szCs w:val="22"/>
        </w:rPr>
        <w:t>“</w:t>
      </w:r>
      <w:r w:rsidR="009E67AF">
        <w:rPr>
          <w:i/>
          <w:iCs/>
          <w:color w:val="333333"/>
          <w:sz w:val="22"/>
          <w:szCs w:val="22"/>
        </w:rPr>
        <w:t xml:space="preserve">2. </w:t>
      </w:r>
      <w:r w:rsidRPr="00AC4523">
        <w:rPr>
          <w:i/>
          <w:iCs/>
          <w:color w:val="333333"/>
          <w:sz w:val="22"/>
          <w:szCs w:val="22"/>
        </w:rPr>
        <w:t>Hay hecho internacionalmente ilícito del Estado cuando un comportamiento consistente en una acción u omisión:</w:t>
      </w:r>
    </w:p>
    <w:p w14:paraId="66D628AE" w14:textId="77777777" w:rsidR="00AC4523" w:rsidRPr="00AC4523" w:rsidRDefault="00AC4523" w:rsidP="00F017CF">
      <w:pPr>
        <w:pStyle w:val="NormalWeb"/>
        <w:shd w:val="clear" w:color="auto" w:fill="FFFFFF"/>
        <w:spacing w:before="0" w:beforeAutospacing="0" w:after="300" w:afterAutospacing="0" w:line="276" w:lineRule="auto"/>
        <w:ind w:left="720"/>
        <w:jc w:val="both"/>
        <w:rPr>
          <w:i/>
          <w:iCs/>
          <w:color w:val="333333"/>
          <w:sz w:val="22"/>
          <w:szCs w:val="22"/>
        </w:rPr>
      </w:pPr>
      <w:r w:rsidRPr="00AC4523">
        <w:rPr>
          <w:i/>
          <w:iCs/>
          <w:color w:val="333333"/>
          <w:sz w:val="22"/>
          <w:szCs w:val="22"/>
        </w:rPr>
        <w:t>a) Es atribuible al Estado según el derecho internacional; y</w:t>
      </w:r>
    </w:p>
    <w:p w14:paraId="0F8F5751" w14:textId="2CF31939" w:rsidR="00AC4523" w:rsidRPr="00AC4523" w:rsidRDefault="00AC4523" w:rsidP="00F017CF">
      <w:pPr>
        <w:pStyle w:val="NormalWeb"/>
        <w:shd w:val="clear" w:color="auto" w:fill="FFFFFF"/>
        <w:spacing w:before="0" w:beforeAutospacing="0" w:after="300" w:afterAutospacing="0" w:line="276" w:lineRule="auto"/>
        <w:ind w:left="720"/>
        <w:jc w:val="both"/>
        <w:rPr>
          <w:i/>
          <w:iCs/>
          <w:color w:val="333333"/>
          <w:sz w:val="22"/>
          <w:szCs w:val="22"/>
        </w:rPr>
      </w:pPr>
      <w:r w:rsidRPr="00AC4523">
        <w:rPr>
          <w:i/>
          <w:iCs/>
          <w:color w:val="333333"/>
          <w:sz w:val="22"/>
          <w:szCs w:val="22"/>
        </w:rPr>
        <w:t>b) Constituye una violación de una obligación internacional del Estado.”</w:t>
      </w:r>
      <w:r w:rsidR="009F08FC">
        <w:rPr>
          <w:rStyle w:val="Refdenotaalpie"/>
          <w:i/>
          <w:iCs/>
          <w:color w:val="333333"/>
          <w:sz w:val="22"/>
          <w:szCs w:val="22"/>
        </w:rPr>
        <w:footnoteReference w:id="18"/>
      </w:r>
    </w:p>
    <w:p w14:paraId="321F32DC" w14:textId="11ADDB1C" w:rsidR="00F819A9" w:rsidRDefault="00AC4523" w:rsidP="00B757D3">
      <w:pPr>
        <w:pStyle w:val="NormalWeb"/>
        <w:shd w:val="clear" w:color="auto" w:fill="FFFFFF"/>
        <w:spacing w:before="0" w:beforeAutospacing="0" w:after="300" w:afterAutospacing="0" w:line="360" w:lineRule="auto"/>
        <w:ind w:firstLine="720"/>
        <w:jc w:val="both"/>
        <w:rPr>
          <w:color w:val="333333"/>
        </w:rPr>
      </w:pPr>
      <w:r>
        <w:rPr>
          <w:color w:val="333333"/>
        </w:rPr>
        <w:t xml:space="preserve">En consecuencia, el análisis de este concepto se divide </w:t>
      </w:r>
      <w:r w:rsidR="00B757D3">
        <w:rPr>
          <w:color w:val="333333"/>
        </w:rPr>
        <w:t xml:space="preserve">entre los elementos subjetivo y objetivo, que se refieren a las </w:t>
      </w:r>
      <w:r>
        <w:rPr>
          <w:color w:val="333333"/>
        </w:rPr>
        <w:t xml:space="preserve">condiciones de atribución al Estado de </w:t>
      </w:r>
      <w:r w:rsidR="00B757D3">
        <w:rPr>
          <w:color w:val="333333"/>
        </w:rPr>
        <w:t>un</w:t>
      </w:r>
      <w:r w:rsidR="009E67AF">
        <w:rPr>
          <w:color w:val="333333"/>
        </w:rPr>
        <w:t xml:space="preserve"> comportamiento</w:t>
      </w:r>
      <w:r w:rsidR="005368C5">
        <w:rPr>
          <w:color w:val="333333"/>
        </w:rPr>
        <w:t xml:space="preserve"> y </w:t>
      </w:r>
      <w:r w:rsidR="00B757D3">
        <w:rPr>
          <w:color w:val="333333"/>
        </w:rPr>
        <w:t xml:space="preserve">a que ese comportamiento suponga </w:t>
      </w:r>
      <w:r w:rsidR="005368C5">
        <w:rPr>
          <w:color w:val="333333"/>
        </w:rPr>
        <w:t>la</w:t>
      </w:r>
      <w:r w:rsidR="005368C5" w:rsidRPr="005368C5">
        <w:rPr>
          <w:color w:val="333333"/>
        </w:rPr>
        <w:t xml:space="preserve"> </w:t>
      </w:r>
      <w:r w:rsidR="005368C5">
        <w:rPr>
          <w:color w:val="333333"/>
        </w:rPr>
        <w:t>violación de una obligación internacional</w:t>
      </w:r>
      <w:r w:rsidR="009E67AF">
        <w:rPr>
          <w:color w:val="333333"/>
        </w:rPr>
        <w:t xml:space="preserve">. </w:t>
      </w:r>
    </w:p>
    <w:p w14:paraId="31B5019B" w14:textId="35F5D3E8" w:rsidR="00B12516" w:rsidRDefault="00B12516" w:rsidP="00B757D3">
      <w:pPr>
        <w:pStyle w:val="NormalWeb"/>
        <w:shd w:val="clear" w:color="auto" w:fill="FFFFFF"/>
        <w:spacing w:before="0" w:beforeAutospacing="0" w:after="300" w:afterAutospacing="0" w:line="360" w:lineRule="auto"/>
        <w:ind w:firstLine="720"/>
        <w:jc w:val="both"/>
        <w:rPr>
          <w:color w:val="333333"/>
        </w:rPr>
      </w:pPr>
      <w:r>
        <w:rPr>
          <w:color w:val="333333"/>
        </w:rPr>
        <w:t>En primer lugar, la atribución al Estado del comportamiento susceptible de ser ilícito tiene el fin de determinar si la conducta activa u omisiva tanto de una persona física o jurídica puede considerarse como un hecho del Estado, pues en principio se</w:t>
      </w:r>
      <w:r w:rsidR="00830A24">
        <w:rPr>
          <w:color w:val="333333"/>
        </w:rPr>
        <w:t xml:space="preserve"> le</w:t>
      </w:r>
      <w:r>
        <w:rPr>
          <w:color w:val="333333"/>
        </w:rPr>
        <w:t xml:space="preserve"> imputarán </w:t>
      </w:r>
      <w:r>
        <w:rPr>
          <w:color w:val="333333"/>
        </w:rPr>
        <w:lastRenderedPageBreak/>
        <w:t>los comportamiento</w:t>
      </w:r>
      <w:r w:rsidR="00674086">
        <w:rPr>
          <w:color w:val="333333"/>
        </w:rPr>
        <w:t>s</w:t>
      </w:r>
      <w:r>
        <w:rPr>
          <w:color w:val="333333"/>
        </w:rPr>
        <w:t xml:space="preserve"> de personas que actúan por cuenta de este</w:t>
      </w:r>
      <w:r w:rsidR="00674086">
        <w:rPr>
          <w:color w:val="333333"/>
        </w:rPr>
        <w:t xml:space="preserve">. La </w:t>
      </w:r>
      <w:r w:rsidR="00830A24">
        <w:rPr>
          <w:color w:val="333333"/>
        </w:rPr>
        <w:t xml:space="preserve">atribución </w:t>
      </w:r>
      <w:r w:rsidR="00674086">
        <w:rPr>
          <w:color w:val="333333"/>
        </w:rPr>
        <w:t xml:space="preserve">de la responsabilidad en el análisis de los casos prácticos se hará </w:t>
      </w:r>
      <w:r>
        <w:rPr>
          <w:color w:val="333333"/>
        </w:rPr>
        <w:t>a</w:t>
      </w:r>
      <w:r w:rsidR="00674086">
        <w:rPr>
          <w:color w:val="333333"/>
        </w:rPr>
        <w:t>corde a la</w:t>
      </w:r>
      <w:r>
        <w:rPr>
          <w:color w:val="333333"/>
        </w:rPr>
        <w:t xml:space="preserve"> siguiente clasificación </w:t>
      </w:r>
      <w:r w:rsidR="001B724B">
        <w:rPr>
          <w:color w:val="333333"/>
        </w:rPr>
        <w:t>de</w:t>
      </w:r>
      <w:r>
        <w:rPr>
          <w:color w:val="333333"/>
        </w:rPr>
        <w:t xml:space="preserve"> los artículos 4 a 11</w:t>
      </w:r>
      <w:r w:rsidR="00674086">
        <w:rPr>
          <w:color w:val="333333"/>
        </w:rPr>
        <w:t xml:space="preserve"> del Proyecto.  Por un lado, </w:t>
      </w:r>
      <w:r w:rsidR="00674086" w:rsidRPr="00674086">
        <w:rPr>
          <w:color w:val="333333"/>
        </w:rPr>
        <w:t xml:space="preserve">la </w:t>
      </w:r>
      <w:r w:rsidR="00B757D3" w:rsidRPr="00B757D3">
        <w:rPr>
          <w:i/>
          <w:iCs/>
          <w:color w:val="333333"/>
        </w:rPr>
        <w:t>“</w:t>
      </w:r>
      <w:r w:rsidR="00674086" w:rsidRPr="00B757D3">
        <w:rPr>
          <w:i/>
          <w:iCs/>
          <w:color w:val="333333"/>
        </w:rPr>
        <w:t>responsabilidad directa”</w:t>
      </w:r>
      <w:r w:rsidR="00674086" w:rsidRPr="00674086">
        <w:rPr>
          <w:color w:val="333333"/>
        </w:rPr>
        <w:t xml:space="preserve"> del Estado </w:t>
      </w:r>
      <w:r w:rsidR="001B2610">
        <w:rPr>
          <w:color w:val="333333"/>
        </w:rPr>
        <w:t xml:space="preserve">se </w:t>
      </w:r>
      <w:r w:rsidR="00674086" w:rsidRPr="00674086">
        <w:rPr>
          <w:color w:val="333333"/>
        </w:rPr>
        <w:t>deb</w:t>
      </w:r>
      <w:r w:rsidR="001B2610">
        <w:rPr>
          <w:color w:val="333333"/>
        </w:rPr>
        <w:t>e</w:t>
      </w:r>
      <w:r w:rsidR="00674086" w:rsidRPr="00674086">
        <w:rPr>
          <w:color w:val="333333"/>
        </w:rPr>
        <w:t xml:space="preserve"> al comportamiento de individuos investidos del carácter de órganos del Estado</w:t>
      </w:r>
      <w:r w:rsidR="001B2610">
        <w:rPr>
          <w:color w:val="333333"/>
        </w:rPr>
        <w:t xml:space="preserve"> entre los que se encuentran los siguientes</w:t>
      </w:r>
      <w:r w:rsidR="00674086">
        <w:rPr>
          <w:color w:val="333333"/>
        </w:rPr>
        <w:t xml:space="preserve">: </w:t>
      </w:r>
      <w:r>
        <w:rPr>
          <w:color w:val="333333"/>
        </w:rPr>
        <w:t>(1) órganos del Estado; (2) persona o entidad en</w:t>
      </w:r>
      <w:r w:rsidR="00C21351">
        <w:rPr>
          <w:color w:val="333333"/>
        </w:rPr>
        <w:t xml:space="preserve"> el ejercicio de sus funciones propias del poder público;</w:t>
      </w:r>
      <w:r w:rsidR="009F08FC">
        <w:rPr>
          <w:color w:val="333333"/>
        </w:rPr>
        <w:t xml:space="preserve"> </w:t>
      </w:r>
      <w:r w:rsidR="00674086">
        <w:rPr>
          <w:color w:val="333333"/>
        </w:rPr>
        <w:t>(</w:t>
      </w:r>
      <w:r w:rsidR="00C21351">
        <w:rPr>
          <w:color w:val="333333"/>
        </w:rPr>
        <w:t xml:space="preserve">3) órgano dispuesto a un Estado por otro Estado; (4) órganos suyos </w:t>
      </w:r>
      <w:r w:rsidR="00674086">
        <w:rPr>
          <w:color w:val="333333"/>
        </w:rPr>
        <w:t xml:space="preserve">que </w:t>
      </w:r>
      <w:r w:rsidR="00C21351">
        <w:rPr>
          <w:color w:val="333333"/>
        </w:rPr>
        <w:t xml:space="preserve">actúen más allá de sus funciones (actos ultra vives); </w:t>
      </w:r>
      <w:r w:rsidR="00674086">
        <w:rPr>
          <w:color w:val="333333"/>
        </w:rPr>
        <w:t>(</w:t>
      </w:r>
      <w:r w:rsidR="00C21351">
        <w:rPr>
          <w:color w:val="333333"/>
        </w:rPr>
        <w:t>5) personas físicas que actúen bajo la dirección del Estado</w:t>
      </w:r>
      <w:r w:rsidR="00830A24">
        <w:rPr>
          <w:color w:val="333333"/>
        </w:rPr>
        <w:t>.</w:t>
      </w:r>
      <w:r w:rsidR="00C21351">
        <w:rPr>
          <w:color w:val="333333"/>
        </w:rPr>
        <w:t xml:space="preserve"> </w:t>
      </w:r>
      <w:r w:rsidR="00674086">
        <w:rPr>
          <w:color w:val="333333"/>
        </w:rPr>
        <w:t xml:space="preserve">Por otro lado, la </w:t>
      </w:r>
      <w:r w:rsidR="00B757D3" w:rsidRPr="00B757D3">
        <w:rPr>
          <w:i/>
          <w:iCs/>
          <w:color w:val="333333"/>
        </w:rPr>
        <w:t>“</w:t>
      </w:r>
      <w:r w:rsidR="00674086" w:rsidRPr="00B757D3">
        <w:rPr>
          <w:i/>
          <w:iCs/>
          <w:color w:val="333333"/>
        </w:rPr>
        <w:t>responsabilidad indirecta”</w:t>
      </w:r>
      <w:r w:rsidR="00674086">
        <w:rPr>
          <w:color w:val="333333"/>
        </w:rPr>
        <w:t xml:space="preserve"> del Estado se origina cuando este asume la responsabilidad por un acto cometido por otro sujeto de Derecho Internacional. No coincidirá el sujeto de la obligación con el de la responsabilidad, </w:t>
      </w:r>
      <w:r w:rsidR="00B757D3">
        <w:rPr>
          <w:color w:val="333333"/>
        </w:rPr>
        <w:t>pero</w:t>
      </w:r>
      <w:r w:rsidR="00674086">
        <w:rPr>
          <w:color w:val="333333"/>
        </w:rPr>
        <w:t xml:space="preserve"> se imputará al Estado la violación </w:t>
      </w:r>
      <w:r w:rsidR="001B2610">
        <w:rPr>
          <w:color w:val="333333"/>
        </w:rPr>
        <w:t>no por la conducta del sujeto infractor, sino por su incumplimiento de una obligación internacional de “debida diligencia” que supone la omisión de sus órganos de tomar medidas de vigilancia, prevención y represión con el fin de garantizar la protección de otros Estados</w:t>
      </w:r>
      <w:sdt>
        <w:sdtPr>
          <w:rPr>
            <w:color w:val="333333"/>
          </w:rPr>
          <w:id w:val="1547723365"/>
          <w:citation/>
        </w:sdtPr>
        <w:sdtContent>
          <w:r w:rsidR="0043500D">
            <w:rPr>
              <w:color w:val="333333"/>
            </w:rPr>
            <w:fldChar w:fldCharType="begin"/>
          </w:r>
          <w:r w:rsidR="0043500D">
            <w:rPr>
              <w:color w:val="333333"/>
            </w:rPr>
            <w:instrText xml:space="preserve"> CITATION Mol64 \l 3082 </w:instrText>
          </w:r>
          <w:r w:rsidR="0043500D">
            <w:rPr>
              <w:color w:val="333333"/>
            </w:rPr>
            <w:fldChar w:fldCharType="separate"/>
          </w:r>
          <w:r w:rsidR="00246FA0">
            <w:rPr>
              <w:noProof/>
              <w:color w:val="333333"/>
            </w:rPr>
            <w:t xml:space="preserve"> </w:t>
          </w:r>
          <w:r w:rsidR="00246FA0" w:rsidRPr="00246FA0">
            <w:rPr>
              <w:noProof/>
              <w:color w:val="333333"/>
            </w:rPr>
            <w:t>(Molteni, 1964)</w:t>
          </w:r>
          <w:r w:rsidR="0043500D">
            <w:rPr>
              <w:color w:val="333333"/>
            </w:rPr>
            <w:fldChar w:fldCharType="end"/>
          </w:r>
        </w:sdtContent>
      </w:sdt>
      <w:r w:rsidR="001B2610">
        <w:rPr>
          <w:color w:val="333333"/>
        </w:rPr>
        <w:t>. En su caso:</w:t>
      </w:r>
      <w:r w:rsidR="00830A24">
        <w:rPr>
          <w:color w:val="333333"/>
        </w:rPr>
        <w:t xml:space="preserve"> </w:t>
      </w:r>
      <w:r w:rsidR="00C21351">
        <w:rPr>
          <w:color w:val="333333"/>
        </w:rPr>
        <w:t>(</w:t>
      </w:r>
      <w:r w:rsidR="00830A24">
        <w:rPr>
          <w:color w:val="333333"/>
        </w:rPr>
        <w:t>1</w:t>
      </w:r>
      <w:r w:rsidR="00C21351">
        <w:rPr>
          <w:color w:val="333333"/>
        </w:rPr>
        <w:t>) personas que no ejerzan atribuciones del Estado en ausencia o defecto de autoridades oficiales</w:t>
      </w:r>
      <w:r w:rsidR="001B2610">
        <w:rPr>
          <w:color w:val="333333"/>
        </w:rPr>
        <w:t xml:space="preserve">; </w:t>
      </w:r>
      <w:r w:rsidR="00C21351">
        <w:rPr>
          <w:color w:val="333333"/>
        </w:rPr>
        <w:t>(</w:t>
      </w:r>
      <w:r w:rsidR="00830A24">
        <w:rPr>
          <w:color w:val="333333"/>
        </w:rPr>
        <w:t>2</w:t>
      </w:r>
      <w:r w:rsidR="00C21351">
        <w:rPr>
          <w:color w:val="333333"/>
        </w:rPr>
        <w:t xml:space="preserve">) movimientos insurreccionales o de otra índole; </w:t>
      </w:r>
      <w:r w:rsidR="001B2610">
        <w:rPr>
          <w:color w:val="333333"/>
        </w:rPr>
        <w:t xml:space="preserve">y </w:t>
      </w:r>
      <w:r w:rsidR="00C21351">
        <w:rPr>
          <w:color w:val="333333"/>
        </w:rPr>
        <w:t>(</w:t>
      </w:r>
      <w:r w:rsidR="00830A24">
        <w:rPr>
          <w:color w:val="333333"/>
        </w:rPr>
        <w:t>3</w:t>
      </w:r>
      <w:r w:rsidR="00C21351">
        <w:rPr>
          <w:color w:val="333333"/>
        </w:rPr>
        <w:t xml:space="preserve">) todo comportamiento </w:t>
      </w:r>
      <w:r w:rsidR="001B2610">
        <w:rPr>
          <w:color w:val="333333"/>
        </w:rPr>
        <w:t xml:space="preserve">no atribuible al Estado, pero </w:t>
      </w:r>
      <w:r w:rsidR="00C21351">
        <w:rPr>
          <w:color w:val="333333"/>
        </w:rPr>
        <w:t xml:space="preserve">que </w:t>
      </w:r>
      <w:r w:rsidR="001B2610">
        <w:rPr>
          <w:color w:val="333333"/>
        </w:rPr>
        <w:t>este r</w:t>
      </w:r>
      <w:r w:rsidR="00C21351">
        <w:rPr>
          <w:color w:val="333333"/>
        </w:rPr>
        <w:t xml:space="preserve">econozca </w:t>
      </w:r>
      <w:r w:rsidR="001B2610">
        <w:rPr>
          <w:color w:val="333333"/>
        </w:rPr>
        <w:t xml:space="preserve">como </w:t>
      </w:r>
      <w:r w:rsidR="00C21351">
        <w:rPr>
          <w:color w:val="333333"/>
        </w:rPr>
        <w:t>propio</w:t>
      </w:r>
      <w:r w:rsidR="001B2610">
        <w:rPr>
          <w:color w:val="333333"/>
        </w:rPr>
        <w:t>.</w:t>
      </w:r>
      <w:r w:rsidR="00C21351">
        <w:rPr>
          <w:color w:val="333333"/>
        </w:rPr>
        <w:t xml:space="preserve"> </w:t>
      </w:r>
    </w:p>
    <w:p w14:paraId="09E25D7D" w14:textId="2370C631" w:rsidR="006A5399" w:rsidRDefault="009E67AF" w:rsidP="00F819A9">
      <w:pPr>
        <w:pStyle w:val="NormalWeb"/>
        <w:shd w:val="clear" w:color="auto" w:fill="FFFFFF"/>
        <w:spacing w:before="0" w:beforeAutospacing="0" w:after="300" w:afterAutospacing="0" w:line="360" w:lineRule="auto"/>
        <w:ind w:firstLine="720"/>
        <w:jc w:val="both"/>
        <w:rPr>
          <w:color w:val="333333"/>
        </w:rPr>
      </w:pPr>
      <w:r>
        <w:rPr>
          <w:color w:val="333333"/>
        </w:rPr>
        <w:t xml:space="preserve">En </w:t>
      </w:r>
      <w:r w:rsidR="005368C5">
        <w:rPr>
          <w:color w:val="333333"/>
        </w:rPr>
        <w:t xml:space="preserve">segundo </w:t>
      </w:r>
      <w:r>
        <w:rPr>
          <w:color w:val="333333"/>
        </w:rPr>
        <w:t>lugar, el elemento objetivo del hecho según lo dispuesto en el artículo 2.b) se precisa como la violación de una obligación internacional del Estado, por lo que la conducta del Estado deberá infringir un</w:t>
      </w:r>
      <w:r w:rsidR="007341C9">
        <w:rPr>
          <w:color w:val="333333"/>
        </w:rPr>
        <w:t>a</w:t>
      </w:r>
      <w:r>
        <w:rPr>
          <w:color w:val="333333"/>
        </w:rPr>
        <w:t xml:space="preserve"> norma de Derecho Internacional, pues el incumplimiento del Derecho interno de Estado no </w:t>
      </w:r>
      <w:r w:rsidR="00B757D3">
        <w:rPr>
          <w:color w:val="333333"/>
        </w:rPr>
        <w:t>supone el</w:t>
      </w:r>
      <w:r w:rsidR="007341C9">
        <w:rPr>
          <w:color w:val="333333"/>
        </w:rPr>
        <w:t xml:space="preserve"> incumplimiento del </w:t>
      </w:r>
      <w:r w:rsidR="00B757D3">
        <w:rPr>
          <w:color w:val="333333"/>
        </w:rPr>
        <w:t xml:space="preserve">Derecho </w:t>
      </w:r>
      <w:r w:rsidR="007341C9">
        <w:rPr>
          <w:color w:val="333333"/>
        </w:rPr>
        <w:t>internacional. En todo caso, la fuente de la obligación vulnerada</w:t>
      </w:r>
      <w:r w:rsidR="001A2A8C">
        <w:rPr>
          <w:color w:val="333333"/>
        </w:rPr>
        <w:t xml:space="preserve"> “sea cual fuere el origen o la naturaleza”</w:t>
      </w:r>
      <w:r w:rsidR="007341C9">
        <w:rPr>
          <w:color w:val="333333"/>
        </w:rPr>
        <w:t xml:space="preserve"> será irrelevante para la existencia de la ilicitud, de acuerdo con el artículo 12 del Proyecto, </w:t>
      </w:r>
      <w:r w:rsidR="001A2A8C">
        <w:rPr>
          <w:color w:val="333333"/>
        </w:rPr>
        <w:t>por lo que será igualmente ilícito infringir un norma consuetudinaria o convencional</w:t>
      </w:r>
      <w:r w:rsidR="005368C5">
        <w:rPr>
          <w:color w:val="333333"/>
        </w:rPr>
        <w:t xml:space="preserve">, un principio general del Derecho, un acto unilateral del Estado, una decisión unilateral de un tribunal internacional </w:t>
      </w:r>
      <w:sdt>
        <w:sdtPr>
          <w:rPr>
            <w:color w:val="333333"/>
          </w:rPr>
          <w:id w:val="-1067567076"/>
          <w:citation/>
        </w:sdtPr>
        <w:sdtContent>
          <w:r w:rsidR="005368C5">
            <w:rPr>
              <w:color w:val="333333"/>
            </w:rPr>
            <w:fldChar w:fldCharType="begin"/>
          </w:r>
          <w:r w:rsidR="005368C5">
            <w:rPr>
              <w:color w:val="333333"/>
            </w:rPr>
            <w:instrText xml:space="preserve">CITATION Pas15 \p 578-580 \l 3082 </w:instrText>
          </w:r>
          <w:r w:rsidR="005368C5">
            <w:rPr>
              <w:color w:val="333333"/>
            </w:rPr>
            <w:fldChar w:fldCharType="separate"/>
          </w:r>
          <w:r w:rsidR="00246FA0" w:rsidRPr="00246FA0">
            <w:rPr>
              <w:noProof/>
              <w:color w:val="333333"/>
            </w:rPr>
            <w:t>(Pastor Ridruejo, 2015, págs. 578-580)</w:t>
          </w:r>
          <w:r w:rsidR="005368C5">
            <w:rPr>
              <w:color w:val="333333"/>
            </w:rPr>
            <w:fldChar w:fldCharType="end"/>
          </w:r>
        </w:sdtContent>
      </w:sdt>
      <w:r w:rsidR="005368C5">
        <w:rPr>
          <w:color w:val="333333"/>
        </w:rPr>
        <w:t xml:space="preserve">. </w:t>
      </w:r>
      <w:r w:rsidR="001A2A8C">
        <w:rPr>
          <w:color w:val="333333"/>
        </w:rPr>
        <w:t xml:space="preserve">En relación con la temporalidad de </w:t>
      </w:r>
      <w:r w:rsidR="00BA4BFB">
        <w:rPr>
          <w:color w:val="333333"/>
        </w:rPr>
        <w:t>la vulneración</w:t>
      </w:r>
      <w:r w:rsidR="001A2A8C">
        <w:rPr>
          <w:color w:val="333333"/>
        </w:rPr>
        <w:t>, según los artículos 13 a 15</w:t>
      </w:r>
      <w:r w:rsidR="00BA4BFB">
        <w:rPr>
          <w:color w:val="333333"/>
        </w:rPr>
        <w:t xml:space="preserve">, </w:t>
      </w:r>
      <w:r w:rsidR="001A2A8C">
        <w:rPr>
          <w:color w:val="333333"/>
        </w:rPr>
        <w:t>es nece</w:t>
      </w:r>
      <w:r w:rsidR="00BA4BFB">
        <w:rPr>
          <w:color w:val="333333"/>
        </w:rPr>
        <w:t>sario para su determinación</w:t>
      </w:r>
      <w:r w:rsidR="001A2A8C">
        <w:rPr>
          <w:color w:val="333333"/>
        </w:rPr>
        <w:t>: (1) la vigencia de la obligación; (2) si no tiene carácter continuo</w:t>
      </w:r>
      <w:r w:rsidR="00BA4BFB">
        <w:rPr>
          <w:color w:val="333333"/>
        </w:rPr>
        <w:t xml:space="preserve"> </w:t>
      </w:r>
      <w:r w:rsidR="001A2A8C">
        <w:rPr>
          <w:color w:val="333333"/>
        </w:rPr>
        <w:t xml:space="preserve">será en el momento que se produce el hecho; (3) si tiene carácter continuo, se extenderá durante todo el período </w:t>
      </w:r>
      <w:r w:rsidR="00BA4BFB">
        <w:rPr>
          <w:color w:val="333333"/>
        </w:rPr>
        <w:t xml:space="preserve">de la conducta; (4) si la obligación es prevenir un acontecimiento, se extenderá durante todo el período en el que se tolere; y (5) si se tratan </w:t>
      </w:r>
      <w:r w:rsidR="00BA4BFB">
        <w:rPr>
          <w:color w:val="333333"/>
        </w:rPr>
        <w:lastRenderedPageBreak/>
        <w:t xml:space="preserve">de una serie de acciones u omisiones, se entenderá el momento inicial cuando se produzca el primer comportamiento susceptible ser ilícito y se mantendrá durante el tiempo en que se prolonguen. </w:t>
      </w:r>
    </w:p>
    <w:p w14:paraId="098B7D42" w14:textId="7FFD009B" w:rsidR="009F08FC" w:rsidRDefault="006A5399" w:rsidP="009F08FC">
      <w:pPr>
        <w:pStyle w:val="NormalWeb"/>
        <w:shd w:val="clear" w:color="auto" w:fill="FFFFFF"/>
        <w:spacing w:before="0" w:beforeAutospacing="0" w:after="300" w:afterAutospacing="0" w:line="360" w:lineRule="auto"/>
        <w:ind w:firstLine="720"/>
        <w:jc w:val="both"/>
        <w:rPr>
          <w:color w:val="333333"/>
        </w:rPr>
      </w:pPr>
      <w:r>
        <w:rPr>
          <w:color w:val="333333"/>
        </w:rPr>
        <w:t xml:space="preserve">Las causas que excluyen la ilicitud de un hecho internacionalmente ilícito </w:t>
      </w:r>
      <w:r w:rsidR="00E63A26">
        <w:rPr>
          <w:color w:val="333333"/>
        </w:rPr>
        <w:t>han sido recogidas en los artículos 20 a 27 del Proyecto de Artículos y son las siguientes: el consentimiento válido del Estado</w:t>
      </w:r>
      <w:r w:rsidR="00575E7C">
        <w:rPr>
          <w:color w:val="333333"/>
        </w:rPr>
        <w:t>;</w:t>
      </w:r>
      <w:r w:rsidR="00E63A26">
        <w:rPr>
          <w:color w:val="333333"/>
        </w:rPr>
        <w:t xml:space="preserve"> la legítima defensa ante un ataque armado conforme al artículo 51 de la Carta de las Naciones Unidades</w:t>
      </w:r>
      <w:r w:rsidR="00575E7C">
        <w:rPr>
          <w:color w:val="333333"/>
        </w:rPr>
        <w:t>;</w:t>
      </w:r>
      <w:r w:rsidR="00E63A26">
        <w:rPr>
          <w:color w:val="333333"/>
        </w:rPr>
        <w:t xml:space="preserve"> las contramedidas como respuesta a un acto ilícito de otro Estado</w:t>
      </w:r>
      <w:r w:rsidR="00B757D3">
        <w:rPr>
          <w:color w:val="333333"/>
        </w:rPr>
        <w:t xml:space="preserve"> </w:t>
      </w:r>
      <w:r w:rsidR="00E63A26">
        <w:rPr>
          <w:color w:val="333333"/>
        </w:rPr>
        <w:t>sin llegar al uso de la fuer</w:t>
      </w:r>
      <w:r w:rsidR="00B757D3">
        <w:rPr>
          <w:color w:val="333333"/>
        </w:rPr>
        <w:t>z</w:t>
      </w:r>
      <w:r w:rsidR="00E63A26">
        <w:rPr>
          <w:color w:val="333333"/>
        </w:rPr>
        <w:t>a; la fuerza mayor entendida como fuerza irresistible o acontecimiento imprevisto que impida el control por parte del Estado y haga imposible el cumplimiento de la obligación</w:t>
      </w:r>
      <w:r w:rsidR="00584AA8">
        <w:rPr>
          <w:color w:val="333333"/>
        </w:rPr>
        <w:t>; el</w:t>
      </w:r>
      <w:r w:rsidR="00E63A26">
        <w:rPr>
          <w:color w:val="333333"/>
        </w:rPr>
        <w:t xml:space="preserve"> peligro externo</w:t>
      </w:r>
      <w:r w:rsidR="00584AA8">
        <w:rPr>
          <w:color w:val="333333"/>
        </w:rPr>
        <w:t xml:space="preserve"> cuando la persona cuyos actos son atribuibles al Estado haya actuado para salvar su vida o la de otras personas;</w:t>
      </w:r>
      <w:r w:rsidR="00E63A26">
        <w:rPr>
          <w:color w:val="333333"/>
        </w:rPr>
        <w:t xml:space="preserve"> y</w:t>
      </w:r>
      <w:r w:rsidR="00584AA8">
        <w:rPr>
          <w:color w:val="333333"/>
        </w:rPr>
        <w:t xml:space="preserve"> el </w:t>
      </w:r>
      <w:r w:rsidR="00E63A26">
        <w:rPr>
          <w:color w:val="333333"/>
        </w:rPr>
        <w:t xml:space="preserve"> estado de necesidad</w:t>
      </w:r>
      <w:r w:rsidR="00584AA8">
        <w:rPr>
          <w:color w:val="333333"/>
        </w:rPr>
        <w:t xml:space="preserve"> como única forma de salvar la propia existencia del Estado o de la comunidad internacional </w:t>
      </w:r>
      <w:sdt>
        <w:sdtPr>
          <w:rPr>
            <w:color w:val="333333"/>
          </w:rPr>
          <w:id w:val="1261102759"/>
          <w:citation/>
        </w:sdtPr>
        <w:sdtContent>
          <w:r w:rsidR="00584AA8">
            <w:rPr>
              <w:color w:val="333333"/>
            </w:rPr>
            <w:fldChar w:fldCharType="begin"/>
          </w:r>
          <w:r w:rsidR="00B757D3">
            <w:rPr>
              <w:color w:val="333333"/>
            </w:rPr>
            <w:instrText xml:space="preserve">CITATION Día081 \p 262-266 \t  \l 3082 </w:instrText>
          </w:r>
          <w:r w:rsidR="00584AA8">
            <w:rPr>
              <w:color w:val="333333"/>
            </w:rPr>
            <w:fldChar w:fldCharType="separate"/>
          </w:r>
          <w:r w:rsidR="00B757D3" w:rsidRPr="00B757D3">
            <w:rPr>
              <w:noProof/>
              <w:color w:val="333333"/>
            </w:rPr>
            <w:t>(Díaz Cáceda, 2008, págs. 262-266)</w:t>
          </w:r>
          <w:r w:rsidR="00584AA8">
            <w:rPr>
              <w:color w:val="333333"/>
            </w:rPr>
            <w:fldChar w:fldCharType="end"/>
          </w:r>
        </w:sdtContent>
      </w:sdt>
      <w:r w:rsidR="00584AA8">
        <w:rPr>
          <w:color w:val="333333"/>
        </w:rPr>
        <w:t xml:space="preserve">. En cualquier caso, la invocación de una causa de exoneración, de acuerdo con el artículo 26, se entenderá sin perjuicio de la indemnización producto de cualquier pérdida efectiva por conceptos distintos al de la responsabilidad por el hecho internacionalmente ilícito.  </w:t>
      </w:r>
    </w:p>
    <w:p w14:paraId="67279E6E" w14:textId="09A2BED4" w:rsidR="001B2610" w:rsidRPr="00584AA8" w:rsidRDefault="0043500D" w:rsidP="009F08FC">
      <w:pPr>
        <w:pStyle w:val="NormalWeb"/>
        <w:shd w:val="clear" w:color="auto" w:fill="FFFFFF"/>
        <w:spacing w:before="0" w:beforeAutospacing="0" w:after="300" w:afterAutospacing="0" w:line="360" w:lineRule="auto"/>
        <w:ind w:firstLine="720"/>
        <w:jc w:val="both"/>
        <w:rPr>
          <w:color w:val="333333"/>
        </w:rPr>
      </w:pPr>
      <w:r>
        <w:t xml:space="preserve">Así, la concepción de la responsabilidad internacional del Estado por hechos internacionalmente ilícitos, según </w:t>
      </w:r>
      <w:r w:rsidR="009939AA">
        <w:t>sus</w:t>
      </w:r>
      <w:r>
        <w:t xml:space="preserve"> elementos se define como </w:t>
      </w:r>
      <w:r w:rsidR="00B757D3" w:rsidRPr="00575E7C">
        <w:rPr>
          <w:i/>
          <w:iCs/>
        </w:rPr>
        <w:t>“</w:t>
      </w:r>
      <w:r w:rsidR="006A5399" w:rsidRPr="00575E7C">
        <w:rPr>
          <w:i/>
          <w:iCs/>
        </w:rPr>
        <w:t xml:space="preserve">la </w:t>
      </w:r>
      <w:r w:rsidRPr="00575E7C">
        <w:rPr>
          <w:i/>
          <w:iCs/>
        </w:rPr>
        <w:t>conducta activa u omi</w:t>
      </w:r>
      <w:r w:rsidR="00687FA6" w:rsidRPr="00575E7C">
        <w:rPr>
          <w:i/>
          <w:iCs/>
        </w:rPr>
        <w:t>siva</w:t>
      </w:r>
      <w:r w:rsidRPr="00575E7C">
        <w:rPr>
          <w:i/>
          <w:iCs/>
        </w:rPr>
        <w:t xml:space="preserve"> que suponga un hecho ilícito internacional por ser imputable al Estado y como resultado </w:t>
      </w:r>
      <w:r w:rsidR="00047F1F" w:rsidRPr="00575E7C">
        <w:rPr>
          <w:i/>
          <w:iCs/>
        </w:rPr>
        <w:t xml:space="preserve">de la </w:t>
      </w:r>
      <w:r w:rsidRPr="00575E7C">
        <w:rPr>
          <w:i/>
          <w:iCs/>
        </w:rPr>
        <w:t>vulner</w:t>
      </w:r>
      <w:r w:rsidR="006A5399" w:rsidRPr="00575E7C">
        <w:rPr>
          <w:i/>
          <w:iCs/>
        </w:rPr>
        <w:t>ación de</w:t>
      </w:r>
      <w:r w:rsidRPr="00575E7C">
        <w:rPr>
          <w:i/>
          <w:iCs/>
        </w:rPr>
        <w:t xml:space="preserve"> una obligación de Derecho Internacional</w:t>
      </w:r>
      <w:r w:rsidR="00B757D3" w:rsidRPr="00575E7C">
        <w:rPr>
          <w:i/>
          <w:iCs/>
        </w:rPr>
        <w:t>”</w:t>
      </w:r>
      <w:r w:rsidRPr="00575E7C">
        <w:rPr>
          <w:i/>
          <w:iCs/>
        </w:rPr>
        <w:t>.</w:t>
      </w:r>
      <w:r>
        <w:t xml:space="preserve"> En el análisis de los casos prácticos será necesario determinar si el comportamiento del Estado </w:t>
      </w:r>
      <w:r w:rsidR="00047F1F">
        <w:t>supone</w:t>
      </w:r>
      <w:r>
        <w:t xml:space="preserve"> h</w:t>
      </w:r>
      <w:r w:rsidR="001B2610">
        <w:t>echo</w:t>
      </w:r>
      <w:r>
        <w:t xml:space="preserve"> internacionalmente</w:t>
      </w:r>
      <w:r w:rsidR="001B2610">
        <w:t xml:space="preserve"> ilícito</w:t>
      </w:r>
      <w:r>
        <w:t>, por lo que se seguirá la estructura de los dos elementes -subjetivo, atribución del comportamiento, y objetivo, la violación de la obligación de Derecho Internacional-</w:t>
      </w:r>
      <w:r w:rsidR="00584AA8">
        <w:t xml:space="preserve">, sin perjuicio de incurrir en alguna de las circunstancias de exoneración de la ilicitud. </w:t>
      </w:r>
    </w:p>
    <w:p w14:paraId="7CAFC254" w14:textId="1D02ECDD" w:rsidR="006A5399" w:rsidRDefault="009B5882" w:rsidP="009B5882">
      <w:pPr>
        <w:pStyle w:val="Ttulo2"/>
        <w:numPr>
          <w:ilvl w:val="1"/>
          <w:numId w:val="1"/>
        </w:numPr>
        <w:spacing w:line="360" w:lineRule="auto"/>
        <w:jc w:val="both"/>
        <w:rPr>
          <w:rFonts w:ascii="Times New Roman" w:hAnsi="Times New Roman" w:cs="Times New Roman"/>
          <w:sz w:val="28"/>
          <w:szCs w:val="28"/>
        </w:rPr>
      </w:pPr>
      <w:bookmarkStart w:id="18" w:name="_Toc65498610"/>
      <w:r w:rsidRPr="009B5882">
        <w:rPr>
          <w:rFonts w:ascii="Times New Roman" w:hAnsi="Times New Roman" w:cs="Times New Roman"/>
          <w:sz w:val="28"/>
          <w:szCs w:val="28"/>
        </w:rPr>
        <w:t>Consecuencias de la responsabilidad internacional del Estado</w:t>
      </w:r>
      <w:bookmarkEnd w:id="18"/>
      <w:r w:rsidRPr="009B5882">
        <w:rPr>
          <w:rFonts w:ascii="Times New Roman" w:hAnsi="Times New Roman" w:cs="Times New Roman"/>
          <w:sz w:val="28"/>
          <w:szCs w:val="28"/>
        </w:rPr>
        <w:t xml:space="preserve"> </w:t>
      </w:r>
    </w:p>
    <w:p w14:paraId="27C3AABD" w14:textId="733E4A39" w:rsidR="003B50EB" w:rsidRDefault="009B5882" w:rsidP="00F819A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Las </w:t>
      </w:r>
      <w:r w:rsidR="0089657C">
        <w:rPr>
          <w:rFonts w:ascii="Times New Roman" w:hAnsi="Times New Roman" w:cs="Times New Roman"/>
          <w:sz w:val="24"/>
          <w:szCs w:val="24"/>
        </w:rPr>
        <w:t>c</w:t>
      </w:r>
      <w:r>
        <w:rPr>
          <w:rFonts w:ascii="Times New Roman" w:hAnsi="Times New Roman" w:cs="Times New Roman"/>
          <w:sz w:val="24"/>
          <w:szCs w:val="24"/>
        </w:rPr>
        <w:t xml:space="preserve">onsecuencias inherentes a la responsabilidad internacional del Estado </w:t>
      </w:r>
      <w:r w:rsidR="0089657C">
        <w:rPr>
          <w:rFonts w:ascii="Times New Roman" w:hAnsi="Times New Roman" w:cs="Times New Roman"/>
          <w:sz w:val="24"/>
          <w:szCs w:val="24"/>
        </w:rPr>
        <w:t xml:space="preserve">tendrán una función reparatoria, entendida como </w:t>
      </w:r>
      <w:r w:rsidR="000F75C3">
        <w:rPr>
          <w:rFonts w:ascii="Times New Roman" w:hAnsi="Times New Roman" w:cs="Times New Roman"/>
          <w:sz w:val="24"/>
          <w:szCs w:val="24"/>
        </w:rPr>
        <w:t xml:space="preserve">un auténtico deber del Estado infractor de la obligación, pues según se estableció por el Tribunal de la Haya en el caso de la Fábrica de </w:t>
      </w:r>
      <w:proofErr w:type="spellStart"/>
      <w:r w:rsidR="000F75C3">
        <w:rPr>
          <w:rFonts w:ascii="Times New Roman" w:hAnsi="Times New Roman" w:cs="Times New Roman"/>
          <w:sz w:val="24"/>
          <w:szCs w:val="24"/>
        </w:rPr>
        <w:t>Chorzow</w:t>
      </w:r>
      <w:proofErr w:type="spellEnd"/>
      <w:r w:rsidR="000F75C3">
        <w:rPr>
          <w:rFonts w:ascii="Times New Roman" w:hAnsi="Times New Roman" w:cs="Times New Roman"/>
          <w:sz w:val="24"/>
          <w:szCs w:val="24"/>
        </w:rPr>
        <w:t xml:space="preserve"> “</w:t>
      </w:r>
      <w:r w:rsidR="000F75C3" w:rsidRPr="00D97657">
        <w:rPr>
          <w:rFonts w:ascii="Times New Roman" w:hAnsi="Times New Roman" w:cs="Times New Roman"/>
          <w:i/>
          <w:iCs/>
          <w:sz w:val="24"/>
          <w:szCs w:val="24"/>
        </w:rPr>
        <w:t xml:space="preserve">es un  principio de Derecho Internacional, e incluso una concepción general del Derecho que toda violación de un compromiso implica </w:t>
      </w:r>
      <w:r w:rsidR="000F75C3" w:rsidRPr="00D97657">
        <w:rPr>
          <w:rFonts w:ascii="Times New Roman" w:hAnsi="Times New Roman" w:cs="Times New Roman"/>
          <w:i/>
          <w:iCs/>
          <w:sz w:val="24"/>
          <w:szCs w:val="24"/>
        </w:rPr>
        <w:lastRenderedPageBreak/>
        <w:t>obligaciones de reparar</w:t>
      </w:r>
      <w:r w:rsidR="000F75C3">
        <w:rPr>
          <w:rFonts w:ascii="Times New Roman" w:hAnsi="Times New Roman" w:cs="Times New Roman"/>
          <w:sz w:val="24"/>
          <w:szCs w:val="24"/>
        </w:rPr>
        <w:t xml:space="preserve"> </w:t>
      </w:r>
      <w:r w:rsidR="00D97657" w:rsidRPr="00D97657">
        <w:rPr>
          <w:rFonts w:ascii="Times New Roman" w:hAnsi="Times New Roman" w:cs="Times New Roman"/>
          <w:i/>
          <w:iCs/>
          <w:sz w:val="24"/>
          <w:szCs w:val="24"/>
        </w:rPr>
        <w:t>y l</w:t>
      </w:r>
      <w:r w:rsidR="000F75C3" w:rsidRPr="00D97657">
        <w:rPr>
          <w:rFonts w:ascii="Times New Roman" w:hAnsi="Times New Roman" w:cs="Times New Roman"/>
          <w:i/>
          <w:iCs/>
          <w:sz w:val="24"/>
          <w:szCs w:val="24"/>
        </w:rPr>
        <w:t>a reparación debe, en tanto sea posible, borrar todas las consecuencias del acto ilícito y restablecer al estado que probablemente habría existido si los efectos del acto no se hubieran producido</w:t>
      </w:r>
      <w:r w:rsidR="000F75C3" w:rsidRPr="000F75C3">
        <w:rPr>
          <w:rFonts w:ascii="Times New Roman" w:hAnsi="Times New Roman" w:cs="Times New Roman"/>
          <w:sz w:val="24"/>
          <w:szCs w:val="24"/>
        </w:rPr>
        <w:t>”</w:t>
      </w:r>
      <w:r w:rsidR="00D97657">
        <w:rPr>
          <w:rStyle w:val="Refdenotaalpie"/>
          <w:rFonts w:ascii="Times New Roman" w:hAnsi="Times New Roman" w:cs="Times New Roman"/>
          <w:sz w:val="24"/>
          <w:szCs w:val="24"/>
        </w:rPr>
        <w:footnoteReference w:id="19"/>
      </w:r>
      <w:r w:rsidR="000F75C3">
        <w:rPr>
          <w:rFonts w:ascii="Times New Roman" w:hAnsi="Times New Roman" w:cs="Times New Roman"/>
          <w:sz w:val="24"/>
          <w:szCs w:val="24"/>
        </w:rPr>
        <w:t xml:space="preserve"> </w:t>
      </w:r>
      <w:sdt>
        <w:sdtPr>
          <w:rPr>
            <w:rFonts w:ascii="Times New Roman" w:hAnsi="Times New Roman" w:cs="Times New Roman"/>
            <w:sz w:val="24"/>
            <w:szCs w:val="24"/>
          </w:rPr>
          <w:id w:val="1174840533"/>
          <w:citation/>
        </w:sdtPr>
        <w:sdtContent>
          <w:r w:rsidR="000F75C3">
            <w:rPr>
              <w:rFonts w:ascii="Times New Roman" w:hAnsi="Times New Roman" w:cs="Times New Roman"/>
              <w:sz w:val="24"/>
              <w:szCs w:val="24"/>
            </w:rPr>
            <w:fldChar w:fldCharType="begin"/>
          </w:r>
          <w:r w:rsidR="000F75C3">
            <w:rPr>
              <w:rFonts w:ascii="Times New Roman" w:hAnsi="Times New Roman" w:cs="Times New Roman"/>
              <w:sz w:val="24"/>
              <w:szCs w:val="24"/>
            </w:rPr>
            <w:instrText xml:space="preserve"> CITATION Bec16 \l 3082 </w:instrText>
          </w:r>
          <w:r w:rsidR="000F75C3">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(Becerra Becerra, 2016)</w:t>
          </w:r>
          <w:r w:rsidR="000F75C3">
            <w:rPr>
              <w:rFonts w:ascii="Times New Roman" w:hAnsi="Times New Roman" w:cs="Times New Roman"/>
              <w:sz w:val="24"/>
              <w:szCs w:val="24"/>
            </w:rPr>
            <w:fldChar w:fldCharType="end"/>
          </w:r>
        </w:sdtContent>
      </w:sdt>
      <w:r w:rsidR="000F75C3">
        <w:rPr>
          <w:rFonts w:ascii="Times New Roman" w:hAnsi="Times New Roman" w:cs="Times New Roman"/>
          <w:sz w:val="24"/>
          <w:szCs w:val="24"/>
        </w:rPr>
        <w:t xml:space="preserve">. </w:t>
      </w:r>
      <w:r w:rsidR="0089657C">
        <w:rPr>
          <w:rFonts w:ascii="Times New Roman" w:hAnsi="Times New Roman" w:cs="Times New Roman"/>
          <w:sz w:val="24"/>
          <w:szCs w:val="24"/>
        </w:rPr>
        <w:t>El Proyecto dio cuenta de est</w:t>
      </w:r>
      <w:r w:rsidR="003B50EB">
        <w:rPr>
          <w:rFonts w:ascii="Times New Roman" w:hAnsi="Times New Roman" w:cs="Times New Roman"/>
          <w:sz w:val="24"/>
          <w:szCs w:val="24"/>
        </w:rPr>
        <w:t xml:space="preserve">e principio </w:t>
      </w:r>
      <w:r w:rsidR="0089657C">
        <w:rPr>
          <w:rFonts w:ascii="Times New Roman" w:hAnsi="Times New Roman" w:cs="Times New Roman"/>
          <w:sz w:val="24"/>
          <w:szCs w:val="24"/>
        </w:rPr>
        <w:t>en el artículo 31</w:t>
      </w:r>
      <w:r w:rsidR="003B50EB">
        <w:rPr>
          <w:rFonts w:ascii="Times New Roman" w:hAnsi="Times New Roman" w:cs="Times New Roman"/>
          <w:sz w:val="24"/>
          <w:szCs w:val="24"/>
        </w:rPr>
        <w:t xml:space="preserve">: </w:t>
      </w:r>
    </w:p>
    <w:p w14:paraId="07E04630" w14:textId="4D21F437" w:rsidR="003B50EB" w:rsidRPr="003B50EB" w:rsidRDefault="003B50EB" w:rsidP="00F017CF">
      <w:pPr>
        <w:spacing w:line="276" w:lineRule="auto"/>
        <w:ind w:left="720"/>
        <w:jc w:val="both"/>
        <w:rPr>
          <w:rFonts w:ascii="Times New Roman" w:hAnsi="Times New Roman" w:cs="Times New Roman"/>
          <w:i/>
          <w:iCs/>
        </w:rPr>
      </w:pPr>
      <w:r>
        <w:rPr>
          <w:rFonts w:ascii="Times New Roman" w:hAnsi="Times New Roman" w:cs="Times New Roman"/>
          <w:i/>
          <w:iCs/>
        </w:rPr>
        <w:t>“</w:t>
      </w:r>
      <w:r w:rsidRPr="003B50EB">
        <w:rPr>
          <w:rFonts w:ascii="Times New Roman" w:hAnsi="Times New Roman" w:cs="Times New Roman"/>
          <w:i/>
          <w:iCs/>
        </w:rPr>
        <w:t>1. El Estado responsable está obligado a reparar íntegramente el perjuicio causado por el hecho internacionalmente ilícito.</w:t>
      </w:r>
    </w:p>
    <w:p w14:paraId="1F0F7B89" w14:textId="4751150F" w:rsidR="0089657C" w:rsidRPr="003B50EB" w:rsidRDefault="003B50EB" w:rsidP="00F017CF">
      <w:pPr>
        <w:spacing w:line="276" w:lineRule="auto"/>
        <w:ind w:left="720"/>
        <w:jc w:val="both"/>
        <w:rPr>
          <w:rFonts w:ascii="Times New Roman" w:hAnsi="Times New Roman" w:cs="Times New Roman"/>
          <w:i/>
          <w:iCs/>
        </w:rPr>
      </w:pPr>
      <w:r w:rsidRPr="003B50EB">
        <w:rPr>
          <w:rFonts w:ascii="Times New Roman" w:hAnsi="Times New Roman" w:cs="Times New Roman"/>
          <w:i/>
          <w:iCs/>
        </w:rPr>
        <w:t>2. El perjuicio comprende todo daño, tanto material como moral, causado por el hecho internacionalmente ilícito del Estado.</w:t>
      </w:r>
      <w:r>
        <w:rPr>
          <w:rFonts w:ascii="Times New Roman" w:hAnsi="Times New Roman" w:cs="Times New Roman"/>
          <w:i/>
          <w:iCs/>
        </w:rPr>
        <w:t>”</w:t>
      </w:r>
      <w:r w:rsidR="009F08FC">
        <w:rPr>
          <w:rStyle w:val="Refdenotaalpie"/>
          <w:rFonts w:ascii="Times New Roman" w:hAnsi="Times New Roman" w:cs="Times New Roman"/>
          <w:i/>
          <w:iCs/>
        </w:rPr>
        <w:footnoteReference w:id="20"/>
      </w:r>
    </w:p>
    <w:p w14:paraId="647A8F88" w14:textId="36624365" w:rsidR="00CF770B" w:rsidRDefault="003B50EB" w:rsidP="0069088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No cabe duda de que el Estado infractor deberá reparar en su totalidad el perjuicio causado, con independencia de que se trate de un daño material</w:t>
      </w:r>
      <w:r w:rsidR="00575E7C">
        <w:rPr>
          <w:rFonts w:ascii="Times New Roman" w:hAnsi="Times New Roman" w:cs="Times New Roman"/>
          <w:sz w:val="24"/>
          <w:szCs w:val="24"/>
        </w:rPr>
        <w:t xml:space="preserve"> debido al</w:t>
      </w:r>
      <w:r>
        <w:rPr>
          <w:rFonts w:ascii="Times New Roman" w:hAnsi="Times New Roman" w:cs="Times New Roman"/>
          <w:sz w:val="24"/>
          <w:szCs w:val="24"/>
        </w:rPr>
        <w:t xml:space="preserve"> deterioro de los bienes u intereses del Estado </w:t>
      </w:r>
      <w:proofErr w:type="gramStart"/>
      <w:r>
        <w:rPr>
          <w:rFonts w:ascii="Times New Roman" w:hAnsi="Times New Roman" w:cs="Times New Roman"/>
          <w:sz w:val="24"/>
          <w:szCs w:val="24"/>
        </w:rPr>
        <w:t xml:space="preserve">y </w:t>
      </w:r>
      <w:r w:rsidR="00575E7C">
        <w:rPr>
          <w:rFonts w:ascii="Times New Roman" w:hAnsi="Times New Roman" w:cs="Times New Roman"/>
          <w:sz w:val="24"/>
          <w:szCs w:val="24"/>
        </w:rPr>
        <w:t xml:space="preserve"> de</w:t>
      </w:r>
      <w:proofErr w:type="gramEnd"/>
      <w:r w:rsidR="00575E7C">
        <w:rPr>
          <w:rFonts w:ascii="Times New Roman" w:hAnsi="Times New Roman" w:cs="Times New Roman"/>
          <w:sz w:val="24"/>
          <w:szCs w:val="24"/>
        </w:rPr>
        <w:t xml:space="preserve"> </w:t>
      </w:r>
      <w:r>
        <w:rPr>
          <w:rFonts w:ascii="Times New Roman" w:hAnsi="Times New Roman" w:cs="Times New Roman"/>
          <w:sz w:val="24"/>
          <w:szCs w:val="24"/>
        </w:rPr>
        <w:t xml:space="preserve">sus nacionales que pueda ser cuantificado en términos financieros, o un daño moral, </w:t>
      </w:r>
      <w:r w:rsidR="00047F1F">
        <w:rPr>
          <w:rFonts w:ascii="Times New Roman" w:hAnsi="Times New Roman" w:cs="Times New Roman"/>
          <w:sz w:val="24"/>
          <w:szCs w:val="24"/>
        </w:rPr>
        <w:t xml:space="preserve">entendido </w:t>
      </w:r>
      <w:r>
        <w:rPr>
          <w:rFonts w:ascii="Times New Roman" w:hAnsi="Times New Roman" w:cs="Times New Roman"/>
          <w:sz w:val="24"/>
          <w:szCs w:val="24"/>
        </w:rPr>
        <w:t>como el dolor, el sufrimiento individual, o la pérdida de nacionales del Estado lesionado</w:t>
      </w:r>
      <w:sdt>
        <w:sdtPr>
          <w:rPr>
            <w:rFonts w:ascii="Times New Roman" w:hAnsi="Times New Roman" w:cs="Times New Roman"/>
            <w:sz w:val="24"/>
            <w:szCs w:val="24"/>
          </w:rPr>
          <w:id w:val="1529986423"/>
          <w:citation/>
        </w:sdtPr>
        <w:sdtContent>
          <w:r w:rsidR="004715DC">
            <w:rPr>
              <w:rFonts w:ascii="Times New Roman" w:hAnsi="Times New Roman" w:cs="Times New Roman"/>
              <w:sz w:val="24"/>
              <w:szCs w:val="24"/>
            </w:rPr>
            <w:fldChar w:fldCharType="begin"/>
          </w:r>
          <w:r w:rsidR="00047F1F">
            <w:rPr>
              <w:rFonts w:ascii="Times New Roman" w:hAnsi="Times New Roman" w:cs="Times New Roman"/>
              <w:sz w:val="24"/>
              <w:szCs w:val="24"/>
            </w:rPr>
            <w:instrText xml:space="preserve">CITATION Día081 \p 68 \t  \l 3082 </w:instrText>
          </w:r>
          <w:r w:rsidR="004715DC">
            <w:rPr>
              <w:rFonts w:ascii="Times New Roman" w:hAnsi="Times New Roman" w:cs="Times New Roman"/>
              <w:sz w:val="24"/>
              <w:szCs w:val="24"/>
            </w:rPr>
            <w:fldChar w:fldCharType="separate"/>
          </w:r>
          <w:r w:rsidR="00047F1F">
            <w:rPr>
              <w:rFonts w:ascii="Times New Roman" w:hAnsi="Times New Roman" w:cs="Times New Roman"/>
              <w:noProof/>
              <w:sz w:val="24"/>
              <w:szCs w:val="24"/>
            </w:rPr>
            <w:t xml:space="preserve"> </w:t>
          </w:r>
          <w:r w:rsidR="00047F1F" w:rsidRPr="00047F1F">
            <w:rPr>
              <w:rFonts w:ascii="Times New Roman" w:hAnsi="Times New Roman" w:cs="Times New Roman"/>
              <w:noProof/>
              <w:sz w:val="24"/>
              <w:szCs w:val="24"/>
            </w:rPr>
            <w:t>(Díaz Cáceda, 2008, pág. 68)</w:t>
          </w:r>
          <w:r w:rsidR="004715DC">
            <w:rPr>
              <w:rFonts w:ascii="Times New Roman" w:hAnsi="Times New Roman" w:cs="Times New Roman"/>
              <w:sz w:val="24"/>
              <w:szCs w:val="24"/>
            </w:rPr>
            <w:fldChar w:fldCharType="end"/>
          </w:r>
        </w:sdtContent>
      </w:sdt>
      <w:r>
        <w:rPr>
          <w:rFonts w:ascii="Times New Roman" w:hAnsi="Times New Roman" w:cs="Times New Roman"/>
          <w:sz w:val="24"/>
          <w:szCs w:val="24"/>
        </w:rPr>
        <w:t xml:space="preserve">. En todo caso, </w:t>
      </w:r>
      <w:r w:rsidR="000F75C3">
        <w:rPr>
          <w:rFonts w:ascii="Times New Roman" w:hAnsi="Times New Roman" w:cs="Times New Roman"/>
          <w:sz w:val="24"/>
          <w:szCs w:val="24"/>
        </w:rPr>
        <w:t>las tres modalidad</w:t>
      </w:r>
      <w:r>
        <w:rPr>
          <w:rFonts w:ascii="Times New Roman" w:hAnsi="Times New Roman" w:cs="Times New Roman"/>
          <w:sz w:val="24"/>
          <w:szCs w:val="24"/>
        </w:rPr>
        <w:t>es</w:t>
      </w:r>
      <w:r w:rsidR="000F75C3">
        <w:rPr>
          <w:rFonts w:ascii="Times New Roman" w:hAnsi="Times New Roman" w:cs="Times New Roman"/>
          <w:sz w:val="24"/>
          <w:szCs w:val="24"/>
        </w:rPr>
        <w:t xml:space="preserve"> de reparación se </w:t>
      </w:r>
      <w:r w:rsidR="0089657C">
        <w:rPr>
          <w:rFonts w:ascii="Times New Roman" w:hAnsi="Times New Roman" w:cs="Times New Roman"/>
          <w:sz w:val="24"/>
          <w:szCs w:val="24"/>
        </w:rPr>
        <w:t>distinguen según la naturalez</w:t>
      </w:r>
      <w:r>
        <w:rPr>
          <w:rFonts w:ascii="Times New Roman" w:hAnsi="Times New Roman" w:cs="Times New Roman"/>
          <w:sz w:val="24"/>
          <w:szCs w:val="24"/>
        </w:rPr>
        <w:t>a</w:t>
      </w:r>
      <w:r w:rsidR="0089657C">
        <w:rPr>
          <w:rFonts w:ascii="Times New Roman" w:hAnsi="Times New Roman" w:cs="Times New Roman"/>
          <w:sz w:val="24"/>
          <w:szCs w:val="24"/>
        </w:rPr>
        <w:t xml:space="preserve"> del daño, primero, se deberá reponer las cosas a su estado inicial  </w:t>
      </w:r>
      <w:r w:rsidR="009F08FC">
        <w:rPr>
          <w:rFonts w:ascii="Times New Roman" w:hAnsi="Times New Roman" w:cs="Times New Roman"/>
          <w:sz w:val="24"/>
          <w:szCs w:val="24"/>
        </w:rPr>
        <w:t>“</w:t>
      </w:r>
      <w:proofErr w:type="spellStart"/>
      <w:r w:rsidR="0089657C" w:rsidRPr="00D97657">
        <w:rPr>
          <w:rFonts w:ascii="Times New Roman" w:hAnsi="Times New Roman" w:cs="Times New Roman"/>
          <w:i/>
          <w:iCs/>
          <w:sz w:val="24"/>
          <w:szCs w:val="24"/>
        </w:rPr>
        <w:t>restitutio</w:t>
      </w:r>
      <w:proofErr w:type="spellEnd"/>
      <w:r w:rsidR="0089657C" w:rsidRPr="00D97657">
        <w:rPr>
          <w:rFonts w:ascii="Times New Roman" w:hAnsi="Times New Roman" w:cs="Times New Roman"/>
          <w:i/>
          <w:iCs/>
          <w:sz w:val="24"/>
          <w:szCs w:val="24"/>
        </w:rPr>
        <w:t xml:space="preserve"> in </w:t>
      </w:r>
      <w:proofErr w:type="spellStart"/>
      <w:r w:rsidR="0089657C" w:rsidRPr="00D97657">
        <w:rPr>
          <w:rFonts w:ascii="Times New Roman" w:hAnsi="Times New Roman" w:cs="Times New Roman"/>
          <w:i/>
          <w:iCs/>
          <w:sz w:val="24"/>
          <w:szCs w:val="24"/>
        </w:rPr>
        <w:t>integrum</w:t>
      </w:r>
      <w:proofErr w:type="spellEnd"/>
      <w:r w:rsidR="009F08FC">
        <w:rPr>
          <w:rFonts w:ascii="Times New Roman" w:hAnsi="Times New Roman" w:cs="Times New Roman"/>
          <w:sz w:val="24"/>
          <w:szCs w:val="24"/>
        </w:rPr>
        <w:t>”</w:t>
      </w:r>
      <w:r w:rsidR="0089657C">
        <w:rPr>
          <w:rFonts w:ascii="Times New Roman" w:hAnsi="Times New Roman" w:cs="Times New Roman"/>
          <w:sz w:val="24"/>
          <w:szCs w:val="24"/>
        </w:rPr>
        <w:t>, si el daño es susceptible de una valoración material; segundo, si no fuese posible la restitución al estado anterior a la comisión del ilícito, se dará una reparación equivalente en dinero en proporción al daño sufrido; y finalmente, si el daño tampoco fuese susceptible de una valoración patrimonial</w:t>
      </w:r>
      <w:r>
        <w:rPr>
          <w:rFonts w:ascii="Times New Roman" w:hAnsi="Times New Roman" w:cs="Times New Roman"/>
          <w:sz w:val="24"/>
          <w:szCs w:val="24"/>
        </w:rPr>
        <w:t xml:space="preserve"> por ser de carácter moral</w:t>
      </w:r>
      <w:r w:rsidR="0089657C">
        <w:rPr>
          <w:rFonts w:ascii="Times New Roman" w:hAnsi="Times New Roman" w:cs="Times New Roman"/>
          <w:sz w:val="24"/>
          <w:szCs w:val="24"/>
        </w:rPr>
        <w:t xml:space="preserve">, la forma adecuada sería mediante la satisfacción, </w:t>
      </w:r>
      <w:r>
        <w:rPr>
          <w:rFonts w:ascii="Times New Roman" w:hAnsi="Times New Roman" w:cs="Times New Roman"/>
          <w:sz w:val="24"/>
          <w:szCs w:val="24"/>
        </w:rPr>
        <w:t xml:space="preserve">que podría articularse mediante la </w:t>
      </w:r>
      <w:r w:rsidR="0089657C">
        <w:rPr>
          <w:rFonts w:ascii="Times New Roman" w:hAnsi="Times New Roman" w:cs="Times New Roman"/>
          <w:sz w:val="24"/>
          <w:szCs w:val="24"/>
        </w:rPr>
        <w:t>presentación de excusas oficiales o el reconocimiento de la comisión del hecho ilícito internacional</w:t>
      </w:r>
      <w:r w:rsidR="004715DC">
        <w:rPr>
          <w:rFonts w:ascii="Times New Roman" w:hAnsi="Times New Roman" w:cs="Times New Roman"/>
          <w:sz w:val="24"/>
          <w:szCs w:val="24"/>
        </w:rPr>
        <w:t xml:space="preserve"> </w:t>
      </w:r>
      <w:sdt>
        <w:sdtPr>
          <w:rPr>
            <w:rFonts w:ascii="Times New Roman" w:hAnsi="Times New Roman" w:cs="Times New Roman"/>
            <w:sz w:val="24"/>
            <w:szCs w:val="24"/>
          </w:rPr>
          <w:id w:val="1977794444"/>
          <w:citation/>
        </w:sdtPr>
        <w:sdtContent>
          <w:r w:rsidR="004715DC">
            <w:rPr>
              <w:rFonts w:ascii="Times New Roman" w:hAnsi="Times New Roman" w:cs="Times New Roman"/>
              <w:sz w:val="24"/>
              <w:szCs w:val="24"/>
            </w:rPr>
            <w:fldChar w:fldCharType="begin"/>
          </w:r>
          <w:r w:rsidR="004715DC">
            <w:rPr>
              <w:rFonts w:ascii="Times New Roman" w:hAnsi="Times New Roman" w:cs="Times New Roman"/>
              <w:sz w:val="24"/>
              <w:szCs w:val="24"/>
            </w:rPr>
            <w:instrText xml:space="preserve"> CITATION Pas15 \l 3082 </w:instrText>
          </w:r>
          <w:r w:rsidR="004715DC">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(Pastor Ridruejo, 2015)</w:t>
          </w:r>
          <w:r w:rsidR="004715DC">
            <w:rPr>
              <w:rFonts w:ascii="Times New Roman" w:hAnsi="Times New Roman" w:cs="Times New Roman"/>
              <w:sz w:val="24"/>
              <w:szCs w:val="24"/>
            </w:rPr>
            <w:fldChar w:fldCharType="end"/>
          </w:r>
        </w:sdtContent>
      </w:sdt>
      <w:r w:rsidR="0089657C">
        <w:rPr>
          <w:rFonts w:ascii="Times New Roman" w:hAnsi="Times New Roman" w:cs="Times New Roman"/>
          <w:sz w:val="24"/>
          <w:szCs w:val="24"/>
        </w:rPr>
        <w:t xml:space="preserve">. </w:t>
      </w:r>
    </w:p>
    <w:p w14:paraId="72C04032" w14:textId="77777777" w:rsidR="00093BDD" w:rsidRDefault="00093BDD" w:rsidP="00690885">
      <w:pPr>
        <w:spacing w:line="360" w:lineRule="auto"/>
        <w:ind w:firstLine="720"/>
        <w:jc w:val="both"/>
        <w:rPr>
          <w:rFonts w:ascii="Times New Roman" w:hAnsi="Times New Roman" w:cs="Times New Roman"/>
          <w:sz w:val="24"/>
          <w:szCs w:val="24"/>
        </w:rPr>
      </w:pPr>
    </w:p>
    <w:p w14:paraId="12DFE687" w14:textId="2F300AB0" w:rsidR="00AA5171" w:rsidRPr="001843AF" w:rsidRDefault="00CB2A38" w:rsidP="00250A86">
      <w:pPr>
        <w:pStyle w:val="Ttulo1"/>
        <w:numPr>
          <w:ilvl w:val="0"/>
          <w:numId w:val="1"/>
        </w:numPr>
        <w:spacing w:line="360" w:lineRule="auto"/>
        <w:rPr>
          <w:rFonts w:ascii="Times New Roman" w:hAnsi="Times New Roman" w:cs="Times New Roman"/>
        </w:rPr>
      </w:pPr>
      <w:bookmarkStart w:id="19" w:name="_Toc65498611"/>
      <w:r w:rsidRPr="001843AF">
        <w:rPr>
          <w:rFonts w:ascii="Times New Roman" w:hAnsi="Times New Roman" w:cs="Times New Roman"/>
        </w:rPr>
        <w:t>Casos prácticos</w:t>
      </w:r>
      <w:bookmarkEnd w:id="19"/>
    </w:p>
    <w:p w14:paraId="791651C2" w14:textId="3EEA78D0" w:rsidR="00CF770B" w:rsidRDefault="00CB2A38" w:rsidP="00E55977">
      <w:pPr>
        <w:pStyle w:val="Ttulo2"/>
        <w:numPr>
          <w:ilvl w:val="1"/>
          <w:numId w:val="1"/>
        </w:numPr>
        <w:spacing w:line="360" w:lineRule="auto"/>
        <w:rPr>
          <w:rFonts w:ascii="Times New Roman" w:hAnsi="Times New Roman" w:cs="Times New Roman"/>
          <w:sz w:val="28"/>
          <w:szCs w:val="28"/>
        </w:rPr>
      </w:pPr>
      <w:r w:rsidRPr="001843AF">
        <w:rPr>
          <w:rFonts w:ascii="Times New Roman" w:hAnsi="Times New Roman" w:cs="Times New Roman"/>
        </w:rPr>
        <w:t xml:space="preserve"> </w:t>
      </w:r>
      <w:bookmarkStart w:id="20" w:name="_Toc65498612"/>
      <w:r w:rsidRPr="001843AF">
        <w:rPr>
          <w:rFonts w:ascii="Times New Roman" w:hAnsi="Times New Roman" w:cs="Times New Roman"/>
          <w:sz w:val="28"/>
          <w:szCs w:val="28"/>
        </w:rPr>
        <w:t>Quema y Asalto de la Embajada de España en Guatemala</w:t>
      </w:r>
      <w:bookmarkEnd w:id="20"/>
      <w:r w:rsidRPr="001843AF">
        <w:rPr>
          <w:rFonts w:ascii="Times New Roman" w:hAnsi="Times New Roman" w:cs="Times New Roman"/>
          <w:sz w:val="28"/>
          <w:szCs w:val="28"/>
        </w:rPr>
        <w:t xml:space="preserve"> </w:t>
      </w:r>
    </w:p>
    <w:p w14:paraId="44299CF4" w14:textId="315EF38D" w:rsidR="000A005D" w:rsidRPr="00200AC2" w:rsidRDefault="00473AEB" w:rsidP="0088747D">
      <w:pPr>
        <w:pStyle w:val="Ttulo3"/>
        <w:numPr>
          <w:ilvl w:val="2"/>
          <w:numId w:val="1"/>
        </w:numPr>
        <w:spacing w:line="360" w:lineRule="auto"/>
        <w:rPr>
          <w:rFonts w:ascii="Times New Roman" w:hAnsi="Times New Roman" w:cs="Times New Roman"/>
          <w:sz w:val="28"/>
          <w:szCs w:val="28"/>
        </w:rPr>
      </w:pPr>
      <w:bookmarkStart w:id="21" w:name="_Toc65498613"/>
      <w:r w:rsidRPr="00200AC2">
        <w:rPr>
          <w:rFonts w:ascii="Times New Roman" w:hAnsi="Times New Roman" w:cs="Times New Roman"/>
          <w:sz w:val="28"/>
          <w:szCs w:val="28"/>
        </w:rPr>
        <w:t xml:space="preserve">Contexto </w:t>
      </w:r>
      <w:r w:rsidR="00C32C4B" w:rsidRPr="00200AC2">
        <w:rPr>
          <w:rFonts w:ascii="Times New Roman" w:hAnsi="Times New Roman" w:cs="Times New Roman"/>
          <w:sz w:val="28"/>
          <w:szCs w:val="28"/>
        </w:rPr>
        <w:t>histórico</w:t>
      </w:r>
      <w:bookmarkEnd w:id="21"/>
    </w:p>
    <w:p w14:paraId="1BF10AD1" w14:textId="019240EE" w:rsidR="00547A16" w:rsidRDefault="0088747D" w:rsidP="00F819A9">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Los acontecimientos del 31 de enero de 1980 han sido objeto de diferentes interpretaciones debido a una serie de intereses enfrentados sobre esta cuestión</w:t>
      </w:r>
      <w:r w:rsidR="00047F1F">
        <w:rPr>
          <w:rFonts w:ascii="Times New Roman" w:hAnsi="Times New Roman" w:cs="Times New Roman"/>
          <w:sz w:val="24"/>
          <w:szCs w:val="24"/>
        </w:rPr>
        <w:t>. S</w:t>
      </w:r>
      <w:r>
        <w:rPr>
          <w:rFonts w:ascii="Times New Roman" w:hAnsi="Times New Roman" w:cs="Times New Roman"/>
          <w:sz w:val="24"/>
          <w:szCs w:val="24"/>
        </w:rPr>
        <w:t xml:space="preserve">in embargo, la historiografía y las múltiples investigaciones han apoyado la veracidad de las informaciones ofrecidas por el Embajador Máximo Cajal -testimonio del único </w:t>
      </w:r>
      <w:r>
        <w:rPr>
          <w:rFonts w:ascii="Times New Roman" w:hAnsi="Times New Roman" w:cs="Times New Roman"/>
          <w:sz w:val="24"/>
          <w:szCs w:val="24"/>
        </w:rPr>
        <w:lastRenderedPageBreak/>
        <w:t xml:space="preserve">superviviente- y de otros testigos cercanos </w:t>
      </w:r>
      <w:sdt>
        <w:sdtPr>
          <w:rPr>
            <w:rFonts w:ascii="Times New Roman" w:hAnsi="Times New Roman" w:cs="Times New Roman"/>
            <w:sz w:val="24"/>
            <w:szCs w:val="24"/>
          </w:rPr>
          <w:id w:val="-1726128383"/>
          <w:citation/>
        </w:sdtPr>
        <w:sdtContent>
          <w:r>
            <w:rPr>
              <w:rFonts w:ascii="Times New Roman" w:hAnsi="Times New Roman" w:cs="Times New Roman"/>
              <w:sz w:val="24"/>
              <w:szCs w:val="24"/>
            </w:rPr>
            <w:fldChar w:fldCharType="begin"/>
          </w:r>
          <w:r w:rsidR="00547A16">
            <w:rPr>
              <w:rFonts w:ascii="Times New Roman" w:hAnsi="Times New Roman" w:cs="Times New Roman"/>
              <w:sz w:val="24"/>
              <w:szCs w:val="24"/>
            </w:rPr>
            <w:instrText xml:space="preserve">CITATION Cab11 \p 2 \l 3082 </w:instrText>
          </w:r>
          <w:r>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(Caballero-Mariscal, 2011, pág. 2)</w:t>
          </w:r>
          <w:r>
            <w:rPr>
              <w:rFonts w:ascii="Times New Roman" w:hAnsi="Times New Roman" w:cs="Times New Roman"/>
              <w:sz w:val="24"/>
              <w:szCs w:val="24"/>
            </w:rPr>
            <w:fldChar w:fldCharType="end"/>
          </w:r>
        </w:sdtContent>
      </w:sdt>
      <w:r w:rsidR="00547A16">
        <w:rPr>
          <w:rFonts w:ascii="Times New Roman" w:hAnsi="Times New Roman" w:cs="Times New Roman"/>
          <w:sz w:val="24"/>
          <w:szCs w:val="24"/>
        </w:rPr>
        <w:t>. En este apartado, se llevará a cabo un breve relato de los hechos</w:t>
      </w:r>
      <w:r w:rsidR="00FB019F">
        <w:rPr>
          <w:rFonts w:ascii="Times New Roman" w:hAnsi="Times New Roman" w:cs="Times New Roman"/>
          <w:sz w:val="24"/>
          <w:szCs w:val="24"/>
        </w:rPr>
        <w:t xml:space="preserve"> más importantes para nuestro estudio -la ocupación por los campesinos y el asalto por parte de la policía-</w:t>
      </w:r>
      <w:r w:rsidR="00547A16">
        <w:rPr>
          <w:rFonts w:ascii="Times New Roman" w:hAnsi="Times New Roman" w:cs="Times New Roman"/>
          <w:sz w:val="24"/>
          <w:szCs w:val="24"/>
        </w:rPr>
        <w:t xml:space="preserve"> conforme a su versión, considerada como la más fiable y respalda por la Comisión para el Esclarecimiento Histórico (CEH) y la Sentencia del Tribunal B de Mayor Riesgo de Guatemala de 2015. </w:t>
      </w:r>
    </w:p>
    <w:p w14:paraId="30380873" w14:textId="159CCEE9" w:rsidR="0027604A" w:rsidRDefault="00E30B99" w:rsidP="00690885">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El período entre 1978 y 1983, denominado como el “Quinquenio Negro”, supuso el momento de mayor violencia en Guatemala, puesto que, según las averiguaciones de la C</w:t>
      </w:r>
      <w:r w:rsidR="00B557C6">
        <w:rPr>
          <w:rFonts w:ascii="Times New Roman" w:hAnsi="Times New Roman" w:cs="Times New Roman"/>
          <w:sz w:val="24"/>
          <w:szCs w:val="24"/>
        </w:rPr>
        <w:t>omisión para el Esclarecimiento Histórico</w:t>
      </w:r>
      <w:r>
        <w:rPr>
          <w:rFonts w:ascii="Times New Roman" w:hAnsi="Times New Roman" w:cs="Times New Roman"/>
          <w:sz w:val="24"/>
          <w:szCs w:val="24"/>
        </w:rPr>
        <w:t xml:space="preserve">, el 90% de las masacres tuvieron lugar en ese período de tiempo. El </w:t>
      </w:r>
      <w:r w:rsidR="00687FA6">
        <w:rPr>
          <w:rFonts w:ascii="Times New Roman" w:hAnsi="Times New Roman" w:cs="Times New Roman"/>
          <w:sz w:val="24"/>
          <w:szCs w:val="24"/>
        </w:rPr>
        <w:t>presidente</w:t>
      </w:r>
      <w:r>
        <w:rPr>
          <w:rFonts w:ascii="Times New Roman" w:hAnsi="Times New Roman" w:cs="Times New Roman"/>
          <w:sz w:val="24"/>
          <w:szCs w:val="24"/>
        </w:rPr>
        <w:t xml:space="preserve"> de Guatemala era el General Fernando Romeo Lucas García </w:t>
      </w:r>
      <w:r w:rsidR="00473AEB">
        <w:rPr>
          <w:rFonts w:ascii="Times New Roman" w:hAnsi="Times New Roman" w:cs="Times New Roman"/>
          <w:sz w:val="24"/>
          <w:szCs w:val="24"/>
        </w:rPr>
        <w:t>estableció una dictadura militar con apariencia de democracia electoral gobernada por la ultraderecha y amparada por una impunidad jurídica que le permitía asesinar a plena luz del día en “operativos militares” a diferentes grupos poblacionales</w:t>
      </w:r>
      <w:r w:rsidR="001D3257">
        <w:rPr>
          <w:rFonts w:ascii="Times New Roman" w:hAnsi="Times New Roman" w:cs="Times New Roman"/>
          <w:sz w:val="24"/>
          <w:szCs w:val="24"/>
        </w:rPr>
        <w:t xml:space="preserve">. </w:t>
      </w:r>
      <w:r w:rsidR="00473AEB">
        <w:rPr>
          <w:rFonts w:ascii="Times New Roman" w:hAnsi="Times New Roman" w:cs="Times New Roman"/>
          <w:sz w:val="24"/>
          <w:szCs w:val="24"/>
        </w:rPr>
        <w:t xml:space="preserve"> </w:t>
      </w:r>
      <w:sdt>
        <w:sdtPr>
          <w:rPr>
            <w:rFonts w:ascii="Times New Roman" w:hAnsi="Times New Roman" w:cs="Times New Roman"/>
            <w:sz w:val="24"/>
            <w:szCs w:val="24"/>
          </w:rPr>
          <w:id w:val="11194442"/>
          <w:citation/>
        </w:sdtPr>
        <w:sdtContent>
          <w:r w:rsidR="00473AEB">
            <w:rPr>
              <w:rFonts w:ascii="Times New Roman" w:hAnsi="Times New Roman" w:cs="Times New Roman"/>
              <w:sz w:val="24"/>
              <w:szCs w:val="24"/>
            </w:rPr>
            <w:fldChar w:fldCharType="begin"/>
          </w:r>
          <w:r w:rsidR="00473AEB">
            <w:rPr>
              <w:rFonts w:ascii="Times New Roman" w:hAnsi="Times New Roman" w:cs="Times New Roman"/>
              <w:sz w:val="24"/>
              <w:szCs w:val="24"/>
            </w:rPr>
            <w:instrText xml:space="preserve"> CITATION Pic15 \l 3082 </w:instrText>
          </w:r>
          <w:r w:rsidR="00473AEB">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(Pico de Coaña de Valicourt &amp; Casaús Arzú, 2015)</w:t>
          </w:r>
          <w:r w:rsidR="00473AEB">
            <w:rPr>
              <w:rFonts w:ascii="Times New Roman" w:hAnsi="Times New Roman" w:cs="Times New Roman"/>
              <w:sz w:val="24"/>
              <w:szCs w:val="24"/>
            </w:rPr>
            <w:fldChar w:fldCharType="end"/>
          </w:r>
        </w:sdtContent>
      </w:sdt>
      <w:r w:rsidR="00473AEB">
        <w:rPr>
          <w:rFonts w:ascii="Times New Roman" w:hAnsi="Times New Roman" w:cs="Times New Roman"/>
          <w:sz w:val="24"/>
          <w:szCs w:val="24"/>
        </w:rPr>
        <w:t>. Es</w:t>
      </w:r>
      <w:r w:rsidR="001E1313">
        <w:rPr>
          <w:rFonts w:ascii="Times New Roman" w:hAnsi="Times New Roman" w:cs="Times New Roman"/>
          <w:sz w:val="24"/>
          <w:szCs w:val="24"/>
        </w:rPr>
        <w:t xml:space="preserve"> </w:t>
      </w:r>
      <w:r w:rsidR="00473AEB">
        <w:rPr>
          <w:rFonts w:ascii="Times New Roman" w:hAnsi="Times New Roman" w:cs="Times New Roman"/>
          <w:sz w:val="24"/>
          <w:szCs w:val="24"/>
        </w:rPr>
        <w:t xml:space="preserve">en este contexto de extrema represión política y social </w:t>
      </w:r>
      <w:r w:rsidR="00143898">
        <w:rPr>
          <w:rFonts w:ascii="Times New Roman" w:hAnsi="Times New Roman" w:cs="Times New Roman"/>
          <w:sz w:val="24"/>
          <w:szCs w:val="24"/>
        </w:rPr>
        <w:t xml:space="preserve">se </w:t>
      </w:r>
      <w:r w:rsidR="00473AEB">
        <w:rPr>
          <w:rFonts w:ascii="Times New Roman" w:hAnsi="Times New Roman" w:cs="Times New Roman"/>
          <w:sz w:val="24"/>
          <w:szCs w:val="24"/>
        </w:rPr>
        <w:t>enmarca</w:t>
      </w:r>
      <w:r w:rsidR="00035703">
        <w:rPr>
          <w:rFonts w:ascii="Times New Roman" w:hAnsi="Times New Roman" w:cs="Times New Roman"/>
          <w:sz w:val="24"/>
          <w:szCs w:val="24"/>
        </w:rPr>
        <w:t>n los sucesos acontecidos en la misión diplomática española en Guatemala.</w:t>
      </w:r>
    </w:p>
    <w:p w14:paraId="2C552936" w14:textId="65BE079C" w:rsidR="0027604A" w:rsidRPr="00200AC2" w:rsidRDefault="0027604A" w:rsidP="0027604A">
      <w:pPr>
        <w:pStyle w:val="Ttulo3"/>
        <w:numPr>
          <w:ilvl w:val="2"/>
          <w:numId w:val="1"/>
        </w:numPr>
        <w:spacing w:line="360" w:lineRule="auto"/>
        <w:rPr>
          <w:rFonts w:ascii="Times New Roman" w:hAnsi="Times New Roman" w:cs="Times New Roman"/>
          <w:sz w:val="28"/>
          <w:szCs w:val="28"/>
        </w:rPr>
      </w:pPr>
      <w:bookmarkStart w:id="22" w:name="_Toc65498614"/>
      <w:r w:rsidRPr="00200AC2">
        <w:rPr>
          <w:rFonts w:ascii="Times New Roman" w:hAnsi="Times New Roman" w:cs="Times New Roman"/>
          <w:sz w:val="28"/>
          <w:szCs w:val="28"/>
        </w:rPr>
        <w:t>Antecedentes de hecho</w:t>
      </w:r>
      <w:r w:rsidR="00200AC2">
        <w:rPr>
          <w:rFonts w:ascii="Times New Roman" w:hAnsi="Times New Roman" w:cs="Times New Roman"/>
          <w:sz w:val="28"/>
          <w:szCs w:val="28"/>
        </w:rPr>
        <w:t>s</w:t>
      </w:r>
      <w:bookmarkEnd w:id="22"/>
    </w:p>
    <w:p w14:paraId="515265F4" w14:textId="4678AF0C" w:rsidR="00473AEB" w:rsidRDefault="00473AEB" w:rsidP="00F819A9">
      <w:pPr>
        <w:spacing w:line="360" w:lineRule="auto"/>
        <w:ind w:firstLine="709"/>
        <w:jc w:val="both"/>
        <w:rPr>
          <w:rFonts w:ascii="Times New Roman" w:hAnsi="Times New Roman" w:cs="Times New Roman"/>
          <w:sz w:val="24"/>
          <w:szCs w:val="24"/>
        </w:rPr>
      </w:pPr>
      <w:r w:rsidRPr="0027604A">
        <w:rPr>
          <w:rFonts w:ascii="Times New Roman" w:hAnsi="Times New Roman" w:cs="Times New Roman"/>
          <w:sz w:val="24"/>
          <w:szCs w:val="24"/>
        </w:rPr>
        <w:t>E</w:t>
      </w:r>
      <w:r w:rsidR="00035703" w:rsidRPr="0027604A">
        <w:rPr>
          <w:rFonts w:ascii="Times New Roman" w:hAnsi="Times New Roman" w:cs="Times New Roman"/>
          <w:sz w:val="24"/>
          <w:szCs w:val="24"/>
        </w:rPr>
        <w:t>l</w:t>
      </w:r>
      <w:r w:rsidRPr="0027604A">
        <w:rPr>
          <w:rFonts w:ascii="Times New Roman" w:hAnsi="Times New Roman" w:cs="Times New Roman"/>
          <w:sz w:val="24"/>
          <w:szCs w:val="24"/>
        </w:rPr>
        <w:t xml:space="preserve"> 31 de enero </w:t>
      </w:r>
      <w:r w:rsidR="00575E7C">
        <w:rPr>
          <w:rFonts w:ascii="Times New Roman" w:hAnsi="Times New Roman" w:cs="Times New Roman"/>
          <w:sz w:val="24"/>
          <w:szCs w:val="24"/>
        </w:rPr>
        <w:t xml:space="preserve">de 1980 </w:t>
      </w:r>
      <w:r w:rsidRPr="0027604A">
        <w:rPr>
          <w:rFonts w:ascii="Times New Roman" w:hAnsi="Times New Roman" w:cs="Times New Roman"/>
          <w:sz w:val="24"/>
          <w:szCs w:val="24"/>
        </w:rPr>
        <w:t xml:space="preserve">un grupo de campesinos procedentes </w:t>
      </w:r>
      <w:r w:rsidR="00E32794" w:rsidRPr="0027604A">
        <w:rPr>
          <w:rFonts w:ascii="Times New Roman" w:hAnsi="Times New Roman" w:cs="Times New Roman"/>
          <w:sz w:val="24"/>
          <w:szCs w:val="24"/>
        </w:rPr>
        <w:t xml:space="preserve">de la zona del Quiché ocuparon la </w:t>
      </w:r>
      <w:r w:rsidRPr="0027604A">
        <w:rPr>
          <w:rFonts w:ascii="Times New Roman" w:hAnsi="Times New Roman" w:cs="Times New Roman"/>
          <w:sz w:val="24"/>
          <w:szCs w:val="24"/>
        </w:rPr>
        <w:t>Embajada de España</w:t>
      </w:r>
      <w:r w:rsidRPr="00473AEB">
        <w:rPr>
          <w:rFonts w:ascii="Times New Roman" w:hAnsi="Times New Roman" w:cs="Times New Roman"/>
          <w:sz w:val="24"/>
          <w:szCs w:val="24"/>
        </w:rPr>
        <w:t xml:space="preserve"> en Guatemala</w:t>
      </w:r>
      <w:r w:rsidR="00E32794">
        <w:rPr>
          <w:rFonts w:ascii="Times New Roman" w:hAnsi="Times New Roman" w:cs="Times New Roman"/>
          <w:sz w:val="24"/>
          <w:szCs w:val="24"/>
        </w:rPr>
        <w:t xml:space="preserve"> con la intención solicitar la creación de una comisión que investigase la represión militar en su territorio tras varios días de inútiles intentos de ser recibidos en la capital por algunos congresistas y militares. </w:t>
      </w:r>
      <w:r w:rsidR="009A44AD">
        <w:rPr>
          <w:rFonts w:ascii="Times New Roman" w:hAnsi="Times New Roman" w:cs="Times New Roman"/>
          <w:sz w:val="24"/>
          <w:szCs w:val="24"/>
        </w:rPr>
        <w:t>E</w:t>
      </w:r>
      <w:r w:rsidR="00E32794">
        <w:rPr>
          <w:rFonts w:ascii="Times New Roman" w:hAnsi="Times New Roman" w:cs="Times New Roman"/>
          <w:sz w:val="24"/>
          <w:szCs w:val="24"/>
        </w:rPr>
        <w:t>l embajador de España se encontraba en una reunión</w:t>
      </w:r>
      <w:r w:rsidR="009A44AD">
        <w:rPr>
          <w:rFonts w:ascii="Times New Roman" w:hAnsi="Times New Roman" w:cs="Times New Roman"/>
          <w:sz w:val="24"/>
          <w:szCs w:val="24"/>
        </w:rPr>
        <w:t>, que se vio obligado a interrumpir,</w:t>
      </w:r>
      <w:r w:rsidR="00E32794">
        <w:rPr>
          <w:rFonts w:ascii="Times New Roman" w:hAnsi="Times New Roman" w:cs="Times New Roman"/>
          <w:sz w:val="24"/>
          <w:szCs w:val="24"/>
        </w:rPr>
        <w:t xml:space="preserve"> sobre un Congreso Internacional de Derecho Procesal en la sede diplomática con </w:t>
      </w:r>
      <w:r w:rsidR="009A44AD">
        <w:rPr>
          <w:rFonts w:ascii="Times New Roman" w:hAnsi="Times New Roman" w:cs="Times New Roman"/>
          <w:sz w:val="24"/>
          <w:szCs w:val="24"/>
        </w:rPr>
        <w:t xml:space="preserve">Eduardo Cáceres </w:t>
      </w:r>
      <w:proofErr w:type="spellStart"/>
      <w:r w:rsidR="009A44AD">
        <w:rPr>
          <w:rFonts w:ascii="Times New Roman" w:hAnsi="Times New Roman" w:cs="Times New Roman"/>
          <w:sz w:val="24"/>
          <w:szCs w:val="24"/>
        </w:rPr>
        <w:t>Lehnhoff</w:t>
      </w:r>
      <w:proofErr w:type="spellEnd"/>
      <w:r w:rsidR="009A44AD">
        <w:rPr>
          <w:rFonts w:ascii="Times New Roman" w:hAnsi="Times New Roman" w:cs="Times New Roman"/>
          <w:sz w:val="24"/>
          <w:szCs w:val="24"/>
        </w:rPr>
        <w:t xml:space="preserve">, exvicepresidente de Guatemala; Alfonso Molina Orantes, exministro de asuntos exteriores de Guatemala y Mario Aguirre Godoy, jurista de reconocido prestigio. </w:t>
      </w:r>
    </w:p>
    <w:p w14:paraId="7FCC2754" w14:textId="29DC0674" w:rsidR="005E5AC7" w:rsidRDefault="009A44AD" w:rsidP="00F819A9">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Más tarde, efectivos policiales de los cuerpos y fuerzas del Estado guatemalteco rodearon la cancillería y se dirigieron a los ocupantes para encomendarles a que abandonaran pacíficamente el edificio. </w:t>
      </w:r>
      <w:r w:rsidR="00603183">
        <w:rPr>
          <w:rFonts w:ascii="Times New Roman" w:hAnsi="Times New Roman" w:cs="Times New Roman"/>
          <w:sz w:val="24"/>
          <w:szCs w:val="24"/>
        </w:rPr>
        <w:t xml:space="preserve">En ese momento, el embajador informó de la situación al Ministro de Asuntos Exteriores español, quien encomendó a su homólogo guatemalteco la no intervención de sus fuerzas de seguridad en la misión diplomática. Cajal trató de comunicarse con los ministros de Gobernación y Relaciones Exteriores con el mismo fin de solicitar la retirada de la </w:t>
      </w:r>
      <w:r w:rsidR="00673C94">
        <w:rPr>
          <w:rFonts w:ascii="Times New Roman" w:hAnsi="Times New Roman" w:cs="Times New Roman"/>
          <w:sz w:val="24"/>
          <w:szCs w:val="24"/>
        </w:rPr>
        <w:t xml:space="preserve">policía y su abstención de intervenir en todo </w:t>
      </w:r>
      <w:r w:rsidR="00673C94">
        <w:rPr>
          <w:rFonts w:ascii="Times New Roman" w:hAnsi="Times New Roman" w:cs="Times New Roman"/>
          <w:sz w:val="24"/>
          <w:szCs w:val="24"/>
        </w:rPr>
        <w:lastRenderedPageBreak/>
        <w:t>momento,</w:t>
      </w:r>
      <w:r w:rsidR="00603183">
        <w:rPr>
          <w:rFonts w:ascii="Times New Roman" w:hAnsi="Times New Roman" w:cs="Times New Roman"/>
          <w:sz w:val="24"/>
          <w:szCs w:val="24"/>
        </w:rPr>
        <w:t xml:space="preserve"> pe</w:t>
      </w:r>
      <w:r w:rsidR="00673C94">
        <w:rPr>
          <w:rFonts w:ascii="Times New Roman" w:hAnsi="Times New Roman" w:cs="Times New Roman"/>
          <w:sz w:val="24"/>
          <w:szCs w:val="24"/>
        </w:rPr>
        <w:t>ro no recibió respuesta alguna. Debido a la pasividad de los gobernantes, el jefe de la misión</w:t>
      </w:r>
      <w:r w:rsidR="005E5AC7">
        <w:rPr>
          <w:rFonts w:ascii="Times New Roman" w:hAnsi="Times New Roman" w:cs="Times New Roman"/>
          <w:sz w:val="24"/>
          <w:szCs w:val="24"/>
        </w:rPr>
        <w:t>, el exvicepresidente y el exministro de relaciones exteriores</w:t>
      </w:r>
      <w:r w:rsidR="00673C94">
        <w:rPr>
          <w:rFonts w:ascii="Times New Roman" w:hAnsi="Times New Roman" w:cs="Times New Roman"/>
          <w:sz w:val="24"/>
          <w:szCs w:val="24"/>
        </w:rPr>
        <w:t xml:space="preserve"> se </w:t>
      </w:r>
      <w:r w:rsidR="005E5AC7">
        <w:rPr>
          <w:rFonts w:ascii="Times New Roman" w:hAnsi="Times New Roman" w:cs="Times New Roman"/>
          <w:sz w:val="24"/>
          <w:szCs w:val="24"/>
        </w:rPr>
        <w:t>dirigieron directamente a la jefatura de los efectivos policiales allí presentes para</w:t>
      </w:r>
      <w:r w:rsidR="006F5BF2">
        <w:rPr>
          <w:rFonts w:ascii="Times New Roman" w:hAnsi="Times New Roman" w:cs="Times New Roman"/>
          <w:sz w:val="24"/>
          <w:szCs w:val="24"/>
        </w:rPr>
        <w:t xml:space="preserve"> instarles</w:t>
      </w:r>
      <w:r w:rsidR="005E5AC7">
        <w:rPr>
          <w:rFonts w:ascii="Times New Roman" w:hAnsi="Times New Roman" w:cs="Times New Roman"/>
          <w:sz w:val="24"/>
          <w:szCs w:val="24"/>
        </w:rPr>
        <w:t xml:space="preserve"> la retirada de las fuerzas de seguridad de las inmediaciones del local y que en ningún momento penetrasen</w:t>
      </w:r>
      <w:r w:rsidR="006F5BF2">
        <w:rPr>
          <w:rFonts w:ascii="Times New Roman" w:hAnsi="Times New Roman" w:cs="Times New Roman"/>
          <w:sz w:val="24"/>
          <w:szCs w:val="24"/>
        </w:rPr>
        <w:t xml:space="preserve"> en</w:t>
      </w:r>
      <w:r w:rsidR="005E5AC7">
        <w:rPr>
          <w:rFonts w:ascii="Times New Roman" w:hAnsi="Times New Roman" w:cs="Times New Roman"/>
          <w:sz w:val="24"/>
          <w:szCs w:val="24"/>
        </w:rPr>
        <w:t xml:space="preserve"> el mismo. </w:t>
      </w:r>
    </w:p>
    <w:p w14:paraId="4589B5DF" w14:textId="0794E7FE" w:rsidR="0015024F" w:rsidRDefault="00B41268" w:rsidP="00F819A9">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Finalmente, l</w:t>
      </w:r>
      <w:r w:rsidR="006F5BF2">
        <w:rPr>
          <w:rFonts w:ascii="Times New Roman" w:hAnsi="Times New Roman" w:cs="Times New Roman"/>
          <w:sz w:val="24"/>
          <w:szCs w:val="24"/>
        </w:rPr>
        <w:t>os policías entraron en la cancillería pese a l</w:t>
      </w:r>
      <w:r w:rsidR="00071C81">
        <w:rPr>
          <w:rFonts w:ascii="Times New Roman" w:hAnsi="Times New Roman" w:cs="Times New Roman"/>
          <w:sz w:val="24"/>
          <w:szCs w:val="24"/>
        </w:rPr>
        <w:t xml:space="preserve">as indicaciones </w:t>
      </w:r>
      <w:r w:rsidR="006F5BF2">
        <w:rPr>
          <w:rFonts w:ascii="Times New Roman" w:hAnsi="Times New Roman" w:cs="Times New Roman"/>
          <w:sz w:val="24"/>
          <w:szCs w:val="24"/>
        </w:rPr>
        <w:t>del embajador</w:t>
      </w:r>
      <w:r w:rsidR="00071C81">
        <w:rPr>
          <w:rFonts w:ascii="Times New Roman" w:hAnsi="Times New Roman" w:cs="Times New Roman"/>
          <w:sz w:val="24"/>
          <w:szCs w:val="24"/>
        </w:rPr>
        <w:t xml:space="preserve">, y los ocupantes, visitantes y miembros del personal diplomático se refugiaron en el despacho del jefe de la misión, quien trató de contactar con el exterior, pero se vio impedido a ello una vez </w:t>
      </w:r>
      <w:r w:rsidR="00B557C6">
        <w:rPr>
          <w:rFonts w:ascii="Times New Roman" w:hAnsi="Times New Roman" w:cs="Times New Roman"/>
          <w:sz w:val="24"/>
          <w:szCs w:val="24"/>
        </w:rPr>
        <w:t xml:space="preserve">que </w:t>
      </w:r>
      <w:r w:rsidR="00071C81">
        <w:rPr>
          <w:rFonts w:ascii="Times New Roman" w:hAnsi="Times New Roman" w:cs="Times New Roman"/>
          <w:sz w:val="24"/>
          <w:szCs w:val="24"/>
        </w:rPr>
        <w:t xml:space="preserve">la policía cortó </w:t>
      </w:r>
      <w:r>
        <w:rPr>
          <w:rFonts w:ascii="Times New Roman" w:hAnsi="Times New Roman" w:cs="Times New Roman"/>
          <w:sz w:val="24"/>
          <w:szCs w:val="24"/>
        </w:rPr>
        <w:t xml:space="preserve">las comunicaciones </w:t>
      </w:r>
      <w:r w:rsidR="00071C81">
        <w:rPr>
          <w:rFonts w:ascii="Times New Roman" w:hAnsi="Times New Roman" w:cs="Times New Roman"/>
          <w:sz w:val="24"/>
          <w:szCs w:val="24"/>
        </w:rPr>
        <w:t xml:space="preserve">de la Embajada. </w:t>
      </w:r>
      <w:r w:rsidR="00FB019F">
        <w:rPr>
          <w:rFonts w:ascii="Times New Roman" w:hAnsi="Times New Roman" w:cs="Times New Roman"/>
          <w:sz w:val="24"/>
          <w:szCs w:val="24"/>
        </w:rPr>
        <w:t>Cuando llegaron las fuerzas del orden a la puerta del despacho</w:t>
      </w:r>
      <w:r w:rsidR="0015024F">
        <w:rPr>
          <w:rFonts w:ascii="Times New Roman" w:hAnsi="Times New Roman" w:cs="Times New Roman"/>
          <w:sz w:val="24"/>
          <w:szCs w:val="24"/>
        </w:rPr>
        <w:t>, uno de los ocupantes lanzó un cóctel Molotov que no llegó a explotar, pero más tarde otro tiró una segunda bomba de gasolina que sí explosionó, prendió fuego en la habitación y comenzaron a sonar disparos por parte los policías, quien</w:t>
      </w:r>
      <w:r w:rsidR="00035703">
        <w:rPr>
          <w:rFonts w:ascii="Times New Roman" w:hAnsi="Times New Roman" w:cs="Times New Roman"/>
          <w:sz w:val="24"/>
          <w:szCs w:val="24"/>
        </w:rPr>
        <w:t>es</w:t>
      </w:r>
      <w:r w:rsidR="0015024F">
        <w:rPr>
          <w:rFonts w:ascii="Times New Roman" w:hAnsi="Times New Roman" w:cs="Times New Roman"/>
          <w:sz w:val="24"/>
          <w:szCs w:val="24"/>
        </w:rPr>
        <w:t xml:space="preserve"> también portaban unos lanzallamas. El embajador y Gregorio </w:t>
      </w:r>
      <w:proofErr w:type="spellStart"/>
      <w:r w:rsidR="0015024F">
        <w:rPr>
          <w:rFonts w:ascii="Times New Roman" w:hAnsi="Times New Roman" w:cs="Times New Roman"/>
          <w:sz w:val="24"/>
          <w:szCs w:val="24"/>
        </w:rPr>
        <w:t>Yu</w:t>
      </w:r>
      <w:r>
        <w:rPr>
          <w:rFonts w:ascii="Times New Roman" w:hAnsi="Times New Roman" w:cs="Times New Roman"/>
          <w:sz w:val="24"/>
          <w:szCs w:val="24"/>
        </w:rPr>
        <w:t>j</w:t>
      </w:r>
      <w:r w:rsidR="0015024F">
        <w:rPr>
          <w:rFonts w:ascii="Times New Roman" w:hAnsi="Times New Roman" w:cs="Times New Roman"/>
          <w:sz w:val="24"/>
          <w:szCs w:val="24"/>
        </w:rPr>
        <w:t>á</w:t>
      </w:r>
      <w:proofErr w:type="spellEnd"/>
      <w:r w:rsidR="0015024F">
        <w:rPr>
          <w:rFonts w:ascii="Times New Roman" w:hAnsi="Times New Roman" w:cs="Times New Roman"/>
          <w:sz w:val="24"/>
          <w:szCs w:val="24"/>
        </w:rPr>
        <w:t>, uno de los campesinos</w:t>
      </w:r>
      <w:r w:rsidR="00096342">
        <w:rPr>
          <w:rFonts w:ascii="Times New Roman" w:hAnsi="Times New Roman" w:cs="Times New Roman"/>
          <w:sz w:val="24"/>
          <w:szCs w:val="24"/>
        </w:rPr>
        <w:t>, que más tarde sería secuestrado para ser asesinado</w:t>
      </w:r>
      <w:r w:rsidR="00B557C6">
        <w:rPr>
          <w:rFonts w:ascii="Times New Roman" w:hAnsi="Times New Roman" w:cs="Times New Roman"/>
          <w:sz w:val="24"/>
          <w:szCs w:val="24"/>
        </w:rPr>
        <w:t>,</w:t>
      </w:r>
      <w:r w:rsidR="0015024F">
        <w:rPr>
          <w:rFonts w:ascii="Times New Roman" w:hAnsi="Times New Roman" w:cs="Times New Roman"/>
          <w:sz w:val="24"/>
          <w:szCs w:val="24"/>
        </w:rPr>
        <w:t xml:space="preserve"> lograron salvar sus vidas milagrosamente, sin embargo, las treinta y siete personas</w:t>
      </w:r>
      <w:r w:rsidR="00035703">
        <w:rPr>
          <w:rFonts w:ascii="Times New Roman" w:hAnsi="Times New Roman" w:cs="Times New Roman"/>
          <w:sz w:val="24"/>
          <w:szCs w:val="24"/>
        </w:rPr>
        <w:t xml:space="preserve"> restantes</w:t>
      </w:r>
      <w:r w:rsidR="0015024F">
        <w:rPr>
          <w:rFonts w:ascii="Times New Roman" w:hAnsi="Times New Roman" w:cs="Times New Roman"/>
          <w:sz w:val="24"/>
          <w:szCs w:val="24"/>
        </w:rPr>
        <w:t xml:space="preserve"> que se encontraban en la misión diplomática perecieron en su intento.  </w:t>
      </w:r>
    </w:p>
    <w:p w14:paraId="270FA12B" w14:textId="0003C096" w:rsidR="001D3257" w:rsidRDefault="005659D0" w:rsidP="00690885">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L</w:t>
      </w:r>
      <w:r w:rsidR="00096342">
        <w:rPr>
          <w:rFonts w:ascii="Times New Roman" w:hAnsi="Times New Roman" w:cs="Times New Roman"/>
          <w:sz w:val="24"/>
          <w:szCs w:val="24"/>
        </w:rPr>
        <w:t xml:space="preserve">os sucesos ocurridos en la Embajada de España en Guatemala el 31 de enero de 1980 </w:t>
      </w:r>
      <w:r w:rsidR="00575E7C">
        <w:rPr>
          <w:rFonts w:ascii="Times New Roman" w:hAnsi="Times New Roman" w:cs="Times New Roman"/>
          <w:sz w:val="24"/>
          <w:szCs w:val="24"/>
        </w:rPr>
        <w:t>relevantes</w:t>
      </w:r>
      <w:r w:rsidR="00D874A7">
        <w:rPr>
          <w:rFonts w:ascii="Times New Roman" w:hAnsi="Times New Roman" w:cs="Times New Roman"/>
          <w:sz w:val="24"/>
          <w:szCs w:val="24"/>
        </w:rPr>
        <w:t xml:space="preserve"> para el análisis de la inviolabilidad</w:t>
      </w:r>
      <w:r w:rsidR="00096342">
        <w:rPr>
          <w:rFonts w:ascii="Times New Roman" w:hAnsi="Times New Roman" w:cs="Times New Roman"/>
          <w:sz w:val="24"/>
          <w:szCs w:val="24"/>
        </w:rPr>
        <w:t xml:space="preserve"> </w:t>
      </w:r>
      <w:r w:rsidR="005E3F2C">
        <w:rPr>
          <w:rFonts w:ascii="Times New Roman" w:hAnsi="Times New Roman" w:cs="Times New Roman"/>
          <w:sz w:val="24"/>
          <w:szCs w:val="24"/>
        </w:rPr>
        <w:t xml:space="preserve">son la ocupación de la cancillería por parte de un grupo de campesinos de la zona de Quiché, la irrupción violenta de la policía guatemalteca, el incendio y la muerte de todos los ocupantes, salvo el embajador Máximo Cajal y el Campesino Gregorio </w:t>
      </w:r>
      <w:proofErr w:type="spellStart"/>
      <w:r w:rsidR="005E3F2C">
        <w:rPr>
          <w:rFonts w:ascii="Times New Roman" w:hAnsi="Times New Roman" w:cs="Times New Roman"/>
          <w:sz w:val="24"/>
          <w:szCs w:val="24"/>
        </w:rPr>
        <w:t>Yu</w:t>
      </w:r>
      <w:r w:rsidR="00B41268">
        <w:rPr>
          <w:rFonts w:ascii="Times New Roman" w:hAnsi="Times New Roman" w:cs="Times New Roman"/>
          <w:sz w:val="24"/>
          <w:szCs w:val="24"/>
        </w:rPr>
        <w:t>j</w:t>
      </w:r>
      <w:r w:rsidR="005E3F2C">
        <w:rPr>
          <w:rFonts w:ascii="Times New Roman" w:hAnsi="Times New Roman" w:cs="Times New Roman"/>
          <w:sz w:val="24"/>
          <w:szCs w:val="24"/>
        </w:rPr>
        <w:t>á</w:t>
      </w:r>
      <w:proofErr w:type="spellEnd"/>
      <w:r w:rsidR="005E3F2C">
        <w:rPr>
          <w:rFonts w:ascii="Times New Roman" w:hAnsi="Times New Roman" w:cs="Times New Roman"/>
          <w:sz w:val="24"/>
          <w:szCs w:val="24"/>
        </w:rPr>
        <w:t xml:space="preserve">. </w:t>
      </w:r>
    </w:p>
    <w:p w14:paraId="0C943AB6" w14:textId="4A1B2DD4" w:rsidR="009A44AD" w:rsidRPr="00200AC2" w:rsidRDefault="001D3257" w:rsidP="001D3257">
      <w:pPr>
        <w:pStyle w:val="Ttulo3"/>
        <w:numPr>
          <w:ilvl w:val="2"/>
          <w:numId w:val="1"/>
        </w:numPr>
        <w:spacing w:line="360" w:lineRule="auto"/>
        <w:jc w:val="both"/>
        <w:rPr>
          <w:rFonts w:ascii="Times New Roman" w:hAnsi="Times New Roman" w:cs="Times New Roman"/>
          <w:sz w:val="28"/>
          <w:szCs w:val="28"/>
        </w:rPr>
      </w:pPr>
      <w:bookmarkStart w:id="23" w:name="_Toc65498615"/>
      <w:r w:rsidRPr="00200AC2">
        <w:rPr>
          <w:rFonts w:ascii="Times New Roman" w:hAnsi="Times New Roman" w:cs="Times New Roman"/>
          <w:sz w:val="28"/>
          <w:szCs w:val="28"/>
        </w:rPr>
        <w:t xml:space="preserve">Inviolabilidad de los locales de la misión diplomática española </w:t>
      </w:r>
      <w:r w:rsidR="00200AC2">
        <w:rPr>
          <w:rFonts w:ascii="Times New Roman" w:hAnsi="Times New Roman" w:cs="Times New Roman"/>
          <w:sz w:val="28"/>
          <w:szCs w:val="28"/>
        </w:rPr>
        <w:t xml:space="preserve">   </w:t>
      </w:r>
      <w:r w:rsidRPr="00200AC2">
        <w:rPr>
          <w:rFonts w:ascii="Times New Roman" w:hAnsi="Times New Roman" w:cs="Times New Roman"/>
          <w:sz w:val="28"/>
          <w:szCs w:val="28"/>
        </w:rPr>
        <w:t>en Guatemala</w:t>
      </w:r>
      <w:bookmarkEnd w:id="23"/>
      <w:r w:rsidRPr="00200AC2">
        <w:rPr>
          <w:rFonts w:ascii="Times New Roman" w:hAnsi="Times New Roman" w:cs="Times New Roman"/>
          <w:sz w:val="28"/>
          <w:szCs w:val="28"/>
        </w:rPr>
        <w:t xml:space="preserve"> </w:t>
      </w:r>
    </w:p>
    <w:p w14:paraId="24CFFB7C" w14:textId="5DC401BF" w:rsidR="009D6008" w:rsidRDefault="00096342" w:rsidP="00096342">
      <w:pPr>
        <w:spacing w:line="360" w:lineRule="auto"/>
        <w:jc w:val="both"/>
        <w:rPr>
          <w:rFonts w:ascii="Times New Roman" w:hAnsi="Times New Roman" w:cs="Times New Roman"/>
          <w:sz w:val="24"/>
          <w:szCs w:val="24"/>
        </w:rPr>
      </w:pPr>
      <w:r>
        <w:rPr>
          <w:rFonts w:ascii="Times New Roman" w:hAnsi="Times New Roman" w:cs="Times New Roman"/>
          <w:sz w:val="24"/>
          <w:szCs w:val="24"/>
        </w:rPr>
        <w:tab/>
        <w:t>L</w:t>
      </w:r>
      <w:r w:rsidRPr="00096342">
        <w:rPr>
          <w:rFonts w:ascii="Times New Roman" w:hAnsi="Times New Roman" w:cs="Times New Roman"/>
          <w:sz w:val="24"/>
          <w:szCs w:val="24"/>
        </w:rPr>
        <w:t xml:space="preserve">os hechos que nos </w:t>
      </w:r>
      <w:r w:rsidR="00B557C6">
        <w:rPr>
          <w:rFonts w:ascii="Times New Roman" w:hAnsi="Times New Roman" w:cs="Times New Roman"/>
          <w:sz w:val="24"/>
          <w:szCs w:val="24"/>
        </w:rPr>
        <w:t xml:space="preserve">ocupan </w:t>
      </w:r>
      <w:r w:rsidRPr="00096342">
        <w:rPr>
          <w:rFonts w:ascii="Times New Roman" w:hAnsi="Times New Roman" w:cs="Times New Roman"/>
          <w:sz w:val="24"/>
          <w:szCs w:val="24"/>
        </w:rPr>
        <w:t>según el relato expuesto ser</w:t>
      </w:r>
      <w:r w:rsidR="009D6008">
        <w:rPr>
          <w:rFonts w:ascii="Times New Roman" w:hAnsi="Times New Roman" w:cs="Times New Roman"/>
          <w:sz w:val="24"/>
          <w:szCs w:val="24"/>
        </w:rPr>
        <w:t>án</w:t>
      </w:r>
      <w:r w:rsidRPr="00096342">
        <w:rPr>
          <w:rFonts w:ascii="Times New Roman" w:hAnsi="Times New Roman" w:cs="Times New Roman"/>
          <w:sz w:val="24"/>
          <w:szCs w:val="24"/>
        </w:rPr>
        <w:t xml:space="preserve"> analizados separadamente en </w:t>
      </w:r>
      <w:r w:rsidR="000B17CB">
        <w:rPr>
          <w:rFonts w:ascii="Times New Roman" w:hAnsi="Times New Roman" w:cs="Times New Roman"/>
          <w:sz w:val="24"/>
          <w:szCs w:val="24"/>
        </w:rPr>
        <w:t>dos</w:t>
      </w:r>
      <w:r w:rsidRPr="00096342">
        <w:rPr>
          <w:rFonts w:ascii="Times New Roman" w:hAnsi="Times New Roman" w:cs="Times New Roman"/>
          <w:sz w:val="24"/>
          <w:szCs w:val="24"/>
        </w:rPr>
        <w:t xml:space="preserve"> fases: en un primero lugar, será necesario atender a la ocupación por parte de los campesinos de la zona del quiché</w:t>
      </w:r>
      <w:r w:rsidR="009D6008">
        <w:rPr>
          <w:rFonts w:ascii="Times New Roman" w:hAnsi="Times New Roman" w:cs="Times New Roman"/>
          <w:sz w:val="24"/>
          <w:szCs w:val="24"/>
        </w:rPr>
        <w:t>;</w:t>
      </w:r>
      <w:r w:rsidRPr="00096342">
        <w:rPr>
          <w:rFonts w:ascii="Times New Roman" w:hAnsi="Times New Roman" w:cs="Times New Roman"/>
          <w:sz w:val="24"/>
          <w:szCs w:val="24"/>
        </w:rPr>
        <w:t xml:space="preserve"> </w:t>
      </w:r>
      <w:r w:rsidR="000B17CB">
        <w:rPr>
          <w:rFonts w:ascii="Times New Roman" w:hAnsi="Times New Roman" w:cs="Times New Roman"/>
          <w:sz w:val="24"/>
          <w:szCs w:val="24"/>
        </w:rPr>
        <w:t xml:space="preserve">y </w:t>
      </w:r>
      <w:r w:rsidRPr="00096342">
        <w:rPr>
          <w:rFonts w:ascii="Times New Roman" w:hAnsi="Times New Roman" w:cs="Times New Roman"/>
          <w:sz w:val="24"/>
          <w:szCs w:val="24"/>
        </w:rPr>
        <w:t xml:space="preserve">en segundo lugar, se analizará la entrada de los policías en las dependencias diplomáticas. </w:t>
      </w:r>
      <w:r w:rsidR="00B337C5">
        <w:rPr>
          <w:rFonts w:ascii="Times New Roman" w:hAnsi="Times New Roman" w:cs="Times New Roman"/>
          <w:sz w:val="24"/>
          <w:szCs w:val="24"/>
        </w:rPr>
        <w:t>E</w:t>
      </w:r>
      <w:r w:rsidR="009D6008">
        <w:rPr>
          <w:rFonts w:ascii="Times New Roman" w:hAnsi="Times New Roman" w:cs="Times New Roman"/>
          <w:sz w:val="24"/>
          <w:szCs w:val="24"/>
        </w:rPr>
        <w:t>s necesario destacar que la norma aplicable a esta cuestión según se ha ex</w:t>
      </w:r>
      <w:r w:rsidR="00B337C5">
        <w:rPr>
          <w:rFonts w:ascii="Times New Roman" w:hAnsi="Times New Roman" w:cs="Times New Roman"/>
          <w:sz w:val="24"/>
          <w:szCs w:val="24"/>
        </w:rPr>
        <w:t>plicado</w:t>
      </w:r>
      <w:r w:rsidR="009D6008">
        <w:rPr>
          <w:rFonts w:ascii="Times New Roman" w:hAnsi="Times New Roman" w:cs="Times New Roman"/>
          <w:sz w:val="24"/>
          <w:szCs w:val="24"/>
        </w:rPr>
        <w:t xml:space="preserve"> anteriormente es la Convención de Viena sobre Relaciones Diplomáticas de 1961, que fue ratificada por Guatemala el 1 de octubre de 1963 y por España el 21 de noviembre de 1967, por lo que ambos Estado se han obligado voluntariamente a su cumplimiento</w:t>
      </w:r>
      <w:r w:rsidR="00B337C5">
        <w:rPr>
          <w:rFonts w:ascii="Times New Roman" w:hAnsi="Times New Roman" w:cs="Times New Roman"/>
          <w:sz w:val="24"/>
          <w:szCs w:val="24"/>
        </w:rPr>
        <w:t xml:space="preserve">, concretamente, al respeto a </w:t>
      </w:r>
      <w:r w:rsidR="00687FA6">
        <w:rPr>
          <w:rFonts w:ascii="Times New Roman" w:hAnsi="Times New Roman" w:cs="Times New Roman"/>
          <w:sz w:val="24"/>
          <w:szCs w:val="24"/>
        </w:rPr>
        <w:t>la</w:t>
      </w:r>
      <w:r w:rsidR="00B337C5">
        <w:rPr>
          <w:rFonts w:ascii="Times New Roman" w:hAnsi="Times New Roman" w:cs="Times New Roman"/>
          <w:sz w:val="24"/>
          <w:szCs w:val="24"/>
        </w:rPr>
        <w:t xml:space="preserve"> inviolabilidad o inmunidad de coerción de la misión diplomática de España en Guatemala </w:t>
      </w:r>
      <w:r w:rsidR="00B337C5">
        <w:rPr>
          <w:rFonts w:ascii="Times New Roman" w:hAnsi="Times New Roman" w:cs="Times New Roman"/>
          <w:sz w:val="24"/>
          <w:szCs w:val="24"/>
        </w:rPr>
        <w:lastRenderedPageBreak/>
        <w:t xml:space="preserve">según los términos de su artículo 22. </w:t>
      </w:r>
    </w:p>
    <w:p w14:paraId="725EA2F7" w14:textId="2925EF2D" w:rsidR="009C4318" w:rsidRDefault="009D6008" w:rsidP="00096342">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AC77CD">
        <w:rPr>
          <w:rFonts w:ascii="Times New Roman" w:hAnsi="Times New Roman" w:cs="Times New Roman"/>
          <w:sz w:val="24"/>
          <w:szCs w:val="24"/>
        </w:rPr>
        <w:t>PRIMERO</w:t>
      </w:r>
      <w:r w:rsidR="00BF78D4">
        <w:rPr>
          <w:rFonts w:ascii="Times New Roman" w:hAnsi="Times New Roman" w:cs="Times New Roman"/>
          <w:sz w:val="24"/>
          <w:szCs w:val="24"/>
        </w:rPr>
        <w:t xml:space="preserve">, </w:t>
      </w:r>
      <w:r w:rsidR="00B337C5">
        <w:rPr>
          <w:rFonts w:ascii="Times New Roman" w:hAnsi="Times New Roman" w:cs="Times New Roman"/>
          <w:sz w:val="24"/>
          <w:szCs w:val="24"/>
        </w:rPr>
        <w:t xml:space="preserve">el Estado receptor, en este caso Guatemala, deberá proteger de forma especial los locales de la misión por lo que tomará las </w:t>
      </w:r>
      <w:r w:rsidR="00B337C5" w:rsidRPr="007E0DF4">
        <w:rPr>
          <w:rFonts w:ascii="Times New Roman" w:hAnsi="Times New Roman" w:cs="Times New Roman"/>
          <w:i/>
          <w:iCs/>
          <w:sz w:val="24"/>
          <w:szCs w:val="24"/>
        </w:rPr>
        <w:t>“medidas adecuadas contra toda intrusión o daño y evitar que se turbe la tranquilidad de la misión o se atente contra su dignidad”</w:t>
      </w:r>
      <w:r w:rsidR="007E0DF4">
        <w:rPr>
          <w:rFonts w:ascii="Times New Roman" w:hAnsi="Times New Roman" w:cs="Times New Roman"/>
          <w:i/>
          <w:iCs/>
          <w:sz w:val="24"/>
          <w:szCs w:val="24"/>
        </w:rPr>
        <w:t>,</w:t>
      </w:r>
      <w:r w:rsidR="00B337C5">
        <w:rPr>
          <w:rFonts w:ascii="Times New Roman" w:hAnsi="Times New Roman" w:cs="Times New Roman"/>
          <w:sz w:val="24"/>
          <w:szCs w:val="24"/>
        </w:rPr>
        <w:t xml:space="preserve"> según lo estipulado en el artículo 22.2 de la Convención. La ocupación de la Embajada por parte de los campesinos de la zona de</w:t>
      </w:r>
      <w:r w:rsidR="00BD67C0">
        <w:rPr>
          <w:rFonts w:ascii="Times New Roman" w:hAnsi="Times New Roman" w:cs="Times New Roman"/>
          <w:sz w:val="24"/>
          <w:szCs w:val="24"/>
        </w:rPr>
        <w:t xml:space="preserve"> El</w:t>
      </w:r>
      <w:r w:rsidR="00B337C5">
        <w:rPr>
          <w:rFonts w:ascii="Times New Roman" w:hAnsi="Times New Roman" w:cs="Times New Roman"/>
          <w:sz w:val="24"/>
          <w:szCs w:val="24"/>
        </w:rPr>
        <w:t xml:space="preserve"> Quiché es una </w:t>
      </w:r>
      <w:r w:rsidR="00AE23AD">
        <w:rPr>
          <w:rFonts w:ascii="Times New Roman" w:hAnsi="Times New Roman" w:cs="Times New Roman"/>
          <w:sz w:val="24"/>
          <w:szCs w:val="24"/>
        </w:rPr>
        <w:t>verdadera irrupción en la tranquilidad de la embajada que impide el desempeño eficaz de las funciones diplomáticas con total libertad, pues el jefe de la misión se vio obligado a interrumpir su reunión y centrarse en los acontecimientos que estaban ocurriendo en el propio edificio de la misión. Si</w:t>
      </w:r>
      <w:r w:rsidR="00620678">
        <w:rPr>
          <w:rFonts w:ascii="Times New Roman" w:hAnsi="Times New Roman" w:cs="Times New Roman"/>
          <w:sz w:val="24"/>
          <w:szCs w:val="24"/>
        </w:rPr>
        <w:t xml:space="preserve"> bien es cierto que </w:t>
      </w:r>
      <w:r w:rsidR="003E664D">
        <w:rPr>
          <w:rFonts w:ascii="Times New Roman" w:hAnsi="Times New Roman" w:cs="Times New Roman"/>
          <w:sz w:val="24"/>
          <w:szCs w:val="24"/>
        </w:rPr>
        <w:t xml:space="preserve">el Estado receptor tiene la </w:t>
      </w:r>
      <w:r w:rsidR="00620678">
        <w:rPr>
          <w:rFonts w:ascii="Times New Roman" w:hAnsi="Times New Roman" w:cs="Times New Roman"/>
          <w:sz w:val="24"/>
          <w:szCs w:val="24"/>
        </w:rPr>
        <w:t xml:space="preserve">obligación </w:t>
      </w:r>
      <w:r w:rsidR="003E664D">
        <w:rPr>
          <w:rFonts w:ascii="Times New Roman" w:hAnsi="Times New Roman" w:cs="Times New Roman"/>
          <w:sz w:val="24"/>
          <w:szCs w:val="24"/>
        </w:rPr>
        <w:t xml:space="preserve">de </w:t>
      </w:r>
      <w:r w:rsidR="00620678">
        <w:rPr>
          <w:rFonts w:ascii="Times New Roman" w:hAnsi="Times New Roman" w:cs="Times New Roman"/>
          <w:sz w:val="24"/>
          <w:szCs w:val="24"/>
        </w:rPr>
        <w:t>tomar las medidas adecuadas</w:t>
      </w:r>
      <w:r w:rsidR="003E664D">
        <w:rPr>
          <w:rFonts w:ascii="Times New Roman" w:hAnsi="Times New Roman" w:cs="Times New Roman"/>
          <w:sz w:val="24"/>
          <w:szCs w:val="24"/>
        </w:rPr>
        <w:t xml:space="preserve"> para impedir hechos de este tipo</w:t>
      </w:r>
      <w:r w:rsidR="00620678">
        <w:rPr>
          <w:rFonts w:ascii="Times New Roman" w:hAnsi="Times New Roman" w:cs="Times New Roman"/>
          <w:sz w:val="24"/>
          <w:szCs w:val="24"/>
        </w:rPr>
        <w:t>, no cabe responsabilizar al mismo por la ocupación, ya que no existen circunstancias especiales que hiciesen previsible un atentado o irrupción en la misión diplomática</w:t>
      </w:r>
      <w:r w:rsidR="003E664D">
        <w:rPr>
          <w:rFonts w:ascii="Times New Roman" w:hAnsi="Times New Roman" w:cs="Times New Roman"/>
          <w:sz w:val="24"/>
          <w:szCs w:val="24"/>
        </w:rPr>
        <w:t xml:space="preserve"> española</w:t>
      </w:r>
      <w:sdt>
        <w:sdtPr>
          <w:rPr>
            <w:rFonts w:ascii="Times New Roman" w:hAnsi="Times New Roman" w:cs="Times New Roman"/>
            <w:sz w:val="24"/>
            <w:szCs w:val="24"/>
          </w:rPr>
          <w:id w:val="-747884292"/>
          <w:citation/>
        </w:sdtPr>
        <w:sdtContent>
          <w:r w:rsidR="00620678">
            <w:rPr>
              <w:rFonts w:ascii="Times New Roman" w:hAnsi="Times New Roman" w:cs="Times New Roman"/>
              <w:sz w:val="24"/>
              <w:szCs w:val="24"/>
            </w:rPr>
            <w:fldChar w:fldCharType="begin"/>
          </w:r>
          <w:r w:rsidR="00620678">
            <w:rPr>
              <w:rFonts w:ascii="Times New Roman" w:hAnsi="Times New Roman" w:cs="Times New Roman"/>
              <w:sz w:val="24"/>
              <w:szCs w:val="24"/>
            </w:rPr>
            <w:instrText xml:space="preserve"> CITATION Bur80 \l 3082 </w:instrText>
          </w:r>
          <w:r w:rsidR="00620678">
            <w:rPr>
              <w:rFonts w:ascii="Times New Roman" w:hAnsi="Times New Roman" w:cs="Times New Roman"/>
              <w:sz w:val="24"/>
              <w:szCs w:val="24"/>
            </w:rPr>
            <w:fldChar w:fldCharType="separate"/>
          </w:r>
          <w:r w:rsidR="00246FA0">
            <w:rPr>
              <w:rFonts w:ascii="Times New Roman" w:hAnsi="Times New Roman" w:cs="Times New Roman"/>
              <w:noProof/>
              <w:sz w:val="24"/>
              <w:szCs w:val="24"/>
            </w:rPr>
            <w:t xml:space="preserve"> </w:t>
          </w:r>
          <w:r w:rsidR="00246FA0" w:rsidRPr="00246FA0">
            <w:rPr>
              <w:rFonts w:ascii="Times New Roman" w:hAnsi="Times New Roman" w:cs="Times New Roman"/>
              <w:noProof/>
              <w:sz w:val="24"/>
              <w:szCs w:val="24"/>
            </w:rPr>
            <w:t>(Burgos, 1980)</w:t>
          </w:r>
          <w:r w:rsidR="00620678">
            <w:rPr>
              <w:rFonts w:ascii="Times New Roman" w:hAnsi="Times New Roman" w:cs="Times New Roman"/>
              <w:sz w:val="24"/>
              <w:szCs w:val="24"/>
            </w:rPr>
            <w:fldChar w:fldCharType="end"/>
          </w:r>
        </w:sdtContent>
      </w:sdt>
      <w:r w:rsidR="00620678">
        <w:rPr>
          <w:rFonts w:ascii="Times New Roman" w:hAnsi="Times New Roman" w:cs="Times New Roman"/>
          <w:sz w:val="24"/>
          <w:szCs w:val="24"/>
        </w:rPr>
        <w:t xml:space="preserve">. </w:t>
      </w:r>
    </w:p>
    <w:p w14:paraId="1654EA43" w14:textId="4B34F373" w:rsidR="009D6008" w:rsidRDefault="009C4318" w:rsidP="00096342">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021E8C">
        <w:rPr>
          <w:rFonts w:ascii="Times New Roman" w:hAnsi="Times New Roman" w:cs="Times New Roman"/>
          <w:sz w:val="24"/>
          <w:szCs w:val="24"/>
        </w:rPr>
        <w:t>L</w:t>
      </w:r>
      <w:r w:rsidR="003E664D">
        <w:rPr>
          <w:rFonts w:ascii="Times New Roman" w:hAnsi="Times New Roman" w:cs="Times New Roman"/>
          <w:sz w:val="24"/>
          <w:szCs w:val="24"/>
        </w:rPr>
        <w:t xml:space="preserve">a única forma de evitar el acontecimiento de este hecho hubiese sido mediante el estacionamiento de un contingente de </w:t>
      </w:r>
      <w:r w:rsidR="007E0DF4">
        <w:rPr>
          <w:rFonts w:ascii="Times New Roman" w:hAnsi="Times New Roman" w:cs="Times New Roman"/>
          <w:sz w:val="24"/>
          <w:szCs w:val="24"/>
        </w:rPr>
        <w:t xml:space="preserve">efectivos policiales </w:t>
      </w:r>
      <w:r w:rsidR="003E664D">
        <w:rPr>
          <w:rFonts w:ascii="Times New Roman" w:hAnsi="Times New Roman" w:cs="Times New Roman"/>
          <w:sz w:val="24"/>
          <w:szCs w:val="24"/>
        </w:rPr>
        <w:t xml:space="preserve">alrededor de la cancillería, lo cual no era necesario en esos tiempos, pues </w:t>
      </w:r>
      <w:r w:rsidR="005E15CB">
        <w:rPr>
          <w:rFonts w:ascii="Times New Roman" w:hAnsi="Times New Roman" w:cs="Times New Roman"/>
          <w:sz w:val="24"/>
          <w:szCs w:val="24"/>
        </w:rPr>
        <w:t>no</w:t>
      </w:r>
      <w:r w:rsidR="00A915B9">
        <w:rPr>
          <w:rFonts w:ascii="Times New Roman" w:hAnsi="Times New Roman" w:cs="Times New Roman"/>
          <w:sz w:val="24"/>
          <w:szCs w:val="24"/>
        </w:rPr>
        <w:t xml:space="preserve"> existía el riesgo de un acontecimiento de esta categoría</w:t>
      </w:r>
      <w:r w:rsidR="00BD67C0">
        <w:rPr>
          <w:rFonts w:ascii="Times New Roman" w:hAnsi="Times New Roman" w:cs="Times New Roman"/>
          <w:sz w:val="24"/>
          <w:szCs w:val="24"/>
        </w:rPr>
        <w:t xml:space="preserve">. </w:t>
      </w:r>
      <w:r>
        <w:rPr>
          <w:rFonts w:ascii="Times New Roman" w:hAnsi="Times New Roman" w:cs="Times New Roman"/>
          <w:sz w:val="24"/>
          <w:szCs w:val="24"/>
        </w:rPr>
        <w:t>Y es que, l</w:t>
      </w:r>
      <w:r w:rsidR="00BD67C0">
        <w:rPr>
          <w:rFonts w:ascii="Times New Roman" w:hAnsi="Times New Roman" w:cs="Times New Roman"/>
          <w:sz w:val="24"/>
          <w:szCs w:val="24"/>
        </w:rPr>
        <w:t xml:space="preserve">a protección de la policía debe ceñirse a una </w:t>
      </w:r>
      <w:r w:rsidR="009F08FC" w:rsidRPr="009F08FC">
        <w:rPr>
          <w:rFonts w:ascii="Times New Roman" w:hAnsi="Times New Roman" w:cs="Times New Roman"/>
          <w:i/>
          <w:iCs/>
          <w:sz w:val="24"/>
          <w:szCs w:val="24"/>
        </w:rPr>
        <w:t>“</w:t>
      </w:r>
      <w:r w:rsidR="00BD67C0" w:rsidRPr="009F08FC">
        <w:rPr>
          <w:rFonts w:ascii="Times New Roman" w:hAnsi="Times New Roman" w:cs="Times New Roman"/>
          <w:i/>
          <w:iCs/>
          <w:sz w:val="24"/>
          <w:szCs w:val="24"/>
        </w:rPr>
        <w:t>cierta vigilancia de los locales de la misión dentro de unos límites razonables y ante una situación hostil esta deberá reforzarse para evitar cualquier daño en las dependencias diplomáticas para no incurrir en responsabilidad internacional</w:t>
      </w:r>
      <w:r w:rsidR="009F08FC" w:rsidRPr="009F08FC">
        <w:rPr>
          <w:rFonts w:ascii="Times New Roman" w:hAnsi="Times New Roman" w:cs="Times New Roman"/>
          <w:i/>
          <w:iCs/>
          <w:sz w:val="24"/>
          <w:szCs w:val="24"/>
        </w:rPr>
        <w:t>”</w:t>
      </w:r>
      <w:r w:rsidR="009F08FC">
        <w:rPr>
          <w:rStyle w:val="Refdenotaalpie"/>
          <w:rFonts w:ascii="Times New Roman" w:hAnsi="Times New Roman" w:cs="Times New Roman"/>
          <w:i/>
          <w:iCs/>
          <w:sz w:val="24"/>
          <w:szCs w:val="24"/>
        </w:rPr>
        <w:footnoteReference w:id="21"/>
      </w:r>
      <w:r w:rsidR="00BD67C0">
        <w:rPr>
          <w:rFonts w:ascii="Times New Roman" w:hAnsi="Times New Roman" w:cs="Times New Roman"/>
          <w:sz w:val="24"/>
          <w:szCs w:val="24"/>
        </w:rPr>
        <w:t xml:space="preserve">. Es por ello </w:t>
      </w:r>
      <w:r w:rsidR="00687FA6">
        <w:rPr>
          <w:rFonts w:ascii="Times New Roman" w:hAnsi="Times New Roman" w:cs="Times New Roman"/>
          <w:sz w:val="24"/>
          <w:szCs w:val="24"/>
        </w:rPr>
        <w:t>por lo que</w:t>
      </w:r>
      <w:r w:rsidR="00BD67C0">
        <w:rPr>
          <w:rFonts w:ascii="Times New Roman" w:hAnsi="Times New Roman" w:cs="Times New Roman"/>
          <w:sz w:val="24"/>
          <w:szCs w:val="24"/>
        </w:rPr>
        <w:t xml:space="preserve"> la actuación inicial de los efectivos policiales </w:t>
      </w:r>
      <w:r>
        <w:rPr>
          <w:rFonts w:ascii="Times New Roman" w:hAnsi="Times New Roman" w:cs="Times New Roman"/>
          <w:sz w:val="24"/>
          <w:szCs w:val="24"/>
        </w:rPr>
        <w:t xml:space="preserve">acudiendo a la cancillería ante la ocupación por parte del grupo de campesinos se </w:t>
      </w:r>
      <w:r w:rsidR="00687FA6">
        <w:rPr>
          <w:rFonts w:ascii="Times New Roman" w:hAnsi="Times New Roman" w:cs="Times New Roman"/>
          <w:sz w:val="24"/>
          <w:szCs w:val="24"/>
        </w:rPr>
        <w:t>ajustó</w:t>
      </w:r>
      <w:r>
        <w:rPr>
          <w:rFonts w:ascii="Times New Roman" w:hAnsi="Times New Roman" w:cs="Times New Roman"/>
          <w:sz w:val="24"/>
          <w:szCs w:val="24"/>
        </w:rPr>
        <w:t xml:space="preserve"> a estos principios, sin embargo, como se analizará a continuación, las acciones polic</w:t>
      </w:r>
      <w:r w:rsidR="00575E7C">
        <w:rPr>
          <w:rFonts w:ascii="Times New Roman" w:hAnsi="Times New Roman" w:cs="Times New Roman"/>
          <w:sz w:val="24"/>
          <w:szCs w:val="24"/>
        </w:rPr>
        <w:t>iales</w:t>
      </w:r>
      <w:r>
        <w:rPr>
          <w:rFonts w:ascii="Times New Roman" w:hAnsi="Times New Roman" w:cs="Times New Roman"/>
          <w:sz w:val="24"/>
          <w:szCs w:val="24"/>
        </w:rPr>
        <w:t xml:space="preserve"> posteriores no siguieron la normativa establecida en la Convención de Viena. </w:t>
      </w:r>
    </w:p>
    <w:p w14:paraId="685C09C8" w14:textId="13CBB0AD" w:rsidR="007E0DF4" w:rsidRDefault="000E1501" w:rsidP="00096342">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AC77CD">
        <w:rPr>
          <w:rFonts w:ascii="Times New Roman" w:hAnsi="Times New Roman" w:cs="Times New Roman"/>
          <w:sz w:val="24"/>
          <w:szCs w:val="24"/>
        </w:rPr>
        <w:t>SEGUNDO</w:t>
      </w:r>
      <w:r>
        <w:rPr>
          <w:rFonts w:ascii="Times New Roman" w:hAnsi="Times New Roman" w:cs="Times New Roman"/>
          <w:sz w:val="24"/>
          <w:szCs w:val="24"/>
        </w:rPr>
        <w:t xml:space="preserve">, </w:t>
      </w:r>
      <w:r w:rsidR="00B41268">
        <w:rPr>
          <w:rFonts w:ascii="Times New Roman" w:hAnsi="Times New Roman" w:cs="Times New Roman"/>
          <w:sz w:val="24"/>
          <w:szCs w:val="24"/>
        </w:rPr>
        <w:t>los agentes</w:t>
      </w:r>
      <w:r w:rsidR="00575E7C">
        <w:rPr>
          <w:rFonts w:ascii="Times New Roman" w:hAnsi="Times New Roman" w:cs="Times New Roman"/>
          <w:sz w:val="24"/>
          <w:szCs w:val="24"/>
        </w:rPr>
        <w:t xml:space="preserve"> de</w:t>
      </w:r>
      <w:r w:rsidR="00B41268">
        <w:rPr>
          <w:rFonts w:ascii="Times New Roman" w:hAnsi="Times New Roman" w:cs="Times New Roman"/>
          <w:sz w:val="24"/>
          <w:szCs w:val="24"/>
        </w:rPr>
        <w:t xml:space="preserve"> polic</w:t>
      </w:r>
      <w:r w:rsidR="00575E7C">
        <w:rPr>
          <w:rFonts w:ascii="Times New Roman" w:hAnsi="Times New Roman" w:cs="Times New Roman"/>
          <w:sz w:val="24"/>
          <w:szCs w:val="24"/>
        </w:rPr>
        <w:t>ía</w:t>
      </w:r>
      <w:r w:rsidR="00B41268">
        <w:rPr>
          <w:rFonts w:ascii="Times New Roman" w:hAnsi="Times New Roman" w:cs="Times New Roman"/>
          <w:sz w:val="24"/>
          <w:szCs w:val="24"/>
        </w:rPr>
        <w:t xml:space="preserve"> sin atender a los llamamientos del embajador y de los antiguos dirigentes guatemaltecos penetraron en el local de la misión diplomática </w:t>
      </w:r>
      <w:r w:rsidR="00575E7C">
        <w:rPr>
          <w:rFonts w:ascii="Times New Roman" w:hAnsi="Times New Roman" w:cs="Times New Roman"/>
          <w:sz w:val="24"/>
          <w:szCs w:val="24"/>
        </w:rPr>
        <w:t>vulnerando</w:t>
      </w:r>
      <w:r w:rsidR="00B41268">
        <w:rPr>
          <w:rFonts w:ascii="Times New Roman" w:hAnsi="Times New Roman" w:cs="Times New Roman"/>
          <w:sz w:val="24"/>
          <w:szCs w:val="24"/>
        </w:rPr>
        <w:t xml:space="preserve"> el artículo 22 de la Convención que </w:t>
      </w:r>
      <w:r w:rsidR="00263065">
        <w:rPr>
          <w:rFonts w:ascii="Times New Roman" w:hAnsi="Times New Roman" w:cs="Times New Roman"/>
          <w:sz w:val="24"/>
          <w:szCs w:val="24"/>
        </w:rPr>
        <w:t xml:space="preserve">establece la inviolabilidad absoluta de los locales y la prohibición de entrar en ellos sin el consentimiento del </w:t>
      </w:r>
      <w:r w:rsidR="00687FA6">
        <w:rPr>
          <w:rFonts w:ascii="Times New Roman" w:hAnsi="Times New Roman" w:cs="Times New Roman"/>
          <w:sz w:val="24"/>
          <w:szCs w:val="24"/>
        </w:rPr>
        <w:t>jefe</w:t>
      </w:r>
      <w:r w:rsidR="00263065">
        <w:rPr>
          <w:rFonts w:ascii="Times New Roman" w:hAnsi="Times New Roman" w:cs="Times New Roman"/>
          <w:sz w:val="24"/>
          <w:szCs w:val="24"/>
        </w:rPr>
        <w:t xml:space="preserve"> de la Misión. </w:t>
      </w:r>
      <w:r w:rsidR="00575E7C">
        <w:rPr>
          <w:rFonts w:ascii="Times New Roman" w:hAnsi="Times New Roman" w:cs="Times New Roman"/>
          <w:sz w:val="24"/>
          <w:szCs w:val="24"/>
        </w:rPr>
        <w:t>L</w:t>
      </w:r>
      <w:r w:rsidR="00263065">
        <w:rPr>
          <w:rFonts w:ascii="Times New Roman" w:hAnsi="Times New Roman" w:cs="Times New Roman"/>
          <w:sz w:val="24"/>
          <w:szCs w:val="24"/>
        </w:rPr>
        <w:t xml:space="preserve">a actuación contra la embajada </w:t>
      </w:r>
      <w:r w:rsidR="00687FA6">
        <w:rPr>
          <w:rFonts w:ascii="Times New Roman" w:hAnsi="Times New Roman" w:cs="Times New Roman"/>
          <w:sz w:val="24"/>
          <w:szCs w:val="24"/>
        </w:rPr>
        <w:t>está</w:t>
      </w:r>
      <w:r w:rsidR="002148EE">
        <w:rPr>
          <w:rFonts w:ascii="Times New Roman" w:hAnsi="Times New Roman" w:cs="Times New Roman"/>
          <w:sz w:val="24"/>
          <w:szCs w:val="24"/>
        </w:rPr>
        <w:t xml:space="preserve"> totalmente injustificada </w:t>
      </w:r>
      <w:r w:rsidR="00263065">
        <w:rPr>
          <w:rFonts w:ascii="Times New Roman" w:hAnsi="Times New Roman" w:cs="Times New Roman"/>
          <w:sz w:val="24"/>
          <w:szCs w:val="24"/>
        </w:rPr>
        <w:t xml:space="preserve">y supone un verdadero atentado por parte de las autoridades guatemaltecas que no debería quedar impune </w:t>
      </w:r>
      <w:sdt>
        <w:sdtPr>
          <w:rPr>
            <w:rFonts w:ascii="Times New Roman" w:hAnsi="Times New Roman" w:cs="Times New Roman"/>
            <w:sz w:val="24"/>
            <w:szCs w:val="24"/>
          </w:rPr>
          <w:id w:val="-1546434649"/>
          <w:citation/>
        </w:sdtPr>
        <w:sdtContent>
          <w:r w:rsidR="00263065">
            <w:rPr>
              <w:rFonts w:ascii="Times New Roman" w:hAnsi="Times New Roman" w:cs="Times New Roman"/>
              <w:sz w:val="24"/>
              <w:szCs w:val="24"/>
            </w:rPr>
            <w:fldChar w:fldCharType="begin"/>
          </w:r>
          <w:r w:rsidR="00263065">
            <w:rPr>
              <w:rFonts w:ascii="Times New Roman" w:hAnsi="Times New Roman" w:cs="Times New Roman"/>
              <w:sz w:val="24"/>
              <w:szCs w:val="24"/>
            </w:rPr>
            <w:instrText xml:space="preserve">CITATION Cab11 \p 12 \l 3082 </w:instrText>
          </w:r>
          <w:r w:rsidR="00263065">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(Caballero-Mariscal, 2011, pág. 12)</w:t>
          </w:r>
          <w:r w:rsidR="00263065">
            <w:rPr>
              <w:rFonts w:ascii="Times New Roman" w:hAnsi="Times New Roman" w:cs="Times New Roman"/>
              <w:sz w:val="24"/>
              <w:szCs w:val="24"/>
            </w:rPr>
            <w:fldChar w:fldCharType="end"/>
          </w:r>
        </w:sdtContent>
      </w:sdt>
      <w:r w:rsidR="00263065">
        <w:rPr>
          <w:rFonts w:ascii="Times New Roman" w:hAnsi="Times New Roman" w:cs="Times New Roman"/>
          <w:sz w:val="24"/>
          <w:szCs w:val="24"/>
        </w:rPr>
        <w:t xml:space="preserve">. </w:t>
      </w:r>
      <w:r w:rsidR="00021E8C">
        <w:rPr>
          <w:rFonts w:ascii="Times New Roman" w:hAnsi="Times New Roman" w:cs="Times New Roman"/>
          <w:sz w:val="24"/>
          <w:szCs w:val="24"/>
        </w:rPr>
        <w:t xml:space="preserve">No existe una circunstancia atenuante de las actuaciones </w:t>
      </w:r>
      <w:r w:rsidR="00021E8C">
        <w:rPr>
          <w:rFonts w:ascii="Times New Roman" w:hAnsi="Times New Roman" w:cs="Times New Roman"/>
          <w:sz w:val="24"/>
          <w:szCs w:val="24"/>
        </w:rPr>
        <w:lastRenderedPageBreak/>
        <w:t>policiales, porque</w:t>
      </w:r>
      <w:r w:rsidR="00575E7C">
        <w:rPr>
          <w:rFonts w:ascii="Times New Roman" w:hAnsi="Times New Roman" w:cs="Times New Roman"/>
          <w:sz w:val="24"/>
          <w:szCs w:val="24"/>
        </w:rPr>
        <w:t xml:space="preserve"> </w:t>
      </w:r>
      <w:r w:rsidR="00021E8C">
        <w:rPr>
          <w:rFonts w:ascii="Times New Roman" w:hAnsi="Times New Roman" w:cs="Times New Roman"/>
          <w:sz w:val="24"/>
          <w:szCs w:val="24"/>
        </w:rPr>
        <w:t>la inviolabilidad de los locales de la misión es de carácter absoluto</w:t>
      </w:r>
      <w:r w:rsidR="002D277B">
        <w:rPr>
          <w:rFonts w:ascii="Times New Roman" w:hAnsi="Times New Roman" w:cs="Times New Roman"/>
          <w:sz w:val="24"/>
          <w:szCs w:val="24"/>
        </w:rPr>
        <w:t xml:space="preserve"> y solo podrá incumplir</w:t>
      </w:r>
      <w:r w:rsidR="00575E7C">
        <w:rPr>
          <w:rFonts w:ascii="Times New Roman" w:hAnsi="Times New Roman" w:cs="Times New Roman"/>
          <w:sz w:val="24"/>
          <w:szCs w:val="24"/>
        </w:rPr>
        <w:t>se</w:t>
      </w:r>
      <w:r w:rsidR="007E0DF4">
        <w:rPr>
          <w:rFonts w:ascii="Times New Roman" w:hAnsi="Times New Roman" w:cs="Times New Roman"/>
          <w:sz w:val="24"/>
          <w:szCs w:val="24"/>
        </w:rPr>
        <w:t xml:space="preserve"> la</w:t>
      </w:r>
      <w:r w:rsidR="002D277B">
        <w:rPr>
          <w:rFonts w:ascii="Times New Roman" w:hAnsi="Times New Roman" w:cs="Times New Roman"/>
          <w:sz w:val="24"/>
          <w:szCs w:val="24"/>
        </w:rPr>
        <w:t xml:space="preserve"> obligación de abstenerse de penetrar en la sede diplomática si se obtiene la autorización del propio jefe de la misión diplomática, quien en este caso, no solo no prest</w:t>
      </w:r>
      <w:r w:rsidR="002148EE">
        <w:rPr>
          <w:rFonts w:ascii="Times New Roman" w:hAnsi="Times New Roman" w:cs="Times New Roman"/>
          <w:sz w:val="24"/>
          <w:szCs w:val="24"/>
        </w:rPr>
        <w:t>ó</w:t>
      </w:r>
      <w:r w:rsidR="002D277B">
        <w:rPr>
          <w:rFonts w:ascii="Times New Roman" w:hAnsi="Times New Roman" w:cs="Times New Roman"/>
          <w:sz w:val="24"/>
          <w:szCs w:val="24"/>
        </w:rPr>
        <w:t xml:space="preserve"> su consentimiento, sino que expresamente solicit</w:t>
      </w:r>
      <w:r w:rsidR="002148EE">
        <w:rPr>
          <w:rFonts w:ascii="Times New Roman" w:hAnsi="Times New Roman" w:cs="Times New Roman"/>
          <w:sz w:val="24"/>
          <w:szCs w:val="24"/>
        </w:rPr>
        <w:t>ó</w:t>
      </w:r>
      <w:r w:rsidR="002D277B">
        <w:rPr>
          <w:rFonts w:ascii="Times New Roman" w:hAnsi="Times New Roman" w:cs="Times New Roman"/>
          <w:sz w:val="24"/>
          <w:szCs w:val="24"/>
        </w:rPr>
        <w:t xml:space="preserve"> la retirada de los efectivos y la no intervención en la misión.</w:t>
      </w:r>
      <w:r w:rsidR="0072703E">
        <w:rPr>
          <w:rFonts w:ascii="Times New Roman" w:hAnsi="Times New Roman" w:cs="Times New Roman"/>
          <w:sz w:val="24"/>
          <w:szCs w:val="24"/>
        </w:rPr>
        <w:t xml:space="preserve"> Precisamente el carácter absoluto de la inviolabilidad de la misión diplomática impide la entrada de los policías guatemaltecos en la misión, pues a diferencia de las oficinas consulares no existe la </w:t>
      </w:r>
      <w:r w:rsidR="0072703E" w:rsidRPr="00B81263">
        <w:rPr>
          <w:rFonts w:ascii="Times New Roman" w:hAnsi="Times New Roman" w:cs="Times New Roman"/>
          <w:i/>
          <w:iCs/>
          <w:sz w:val="24"/>
          <w:szCs w:val="24"/>
        </w:rPr>
        <w:t>“cláusula de incendio”</w:t>
      </w:r>
      <w:r w:rsidR="007E0DF4" w:rsidRPr="00B81263">
        <w:rPr>
          <w:rFonts w:ascii="Times New Roman" w:hAnsi="Times New Roman" w:cs="Times New Roman"/>
          <w:i/>
          <w:iCs/>
          <w:sz w:val="24"/>
          <w:szCs w:val="24"/>
        </w:rPr>
        <w:t>,</w:t>
      </w:r>
      <w:r w:rsidR="007E0DF4">
        <w:rPr>
          <w:rFonts w:ascii="Times New Roman" w:hAnsi="Times New Roman" w:cs="Times New Roman"/>
          <w:sz w:val="24"/>
          <w:szCs w:val="24"/>
        </w:rPr>
        <w:t xml:space="preserve"> </w:t>
      </w:r>
      <w:r w:rsidR="0072703E">
        <w:rPr>
          <w:rFonts w:ascii="Times New Roman" w:hAnsi="Times New Roman" w:cs="Times New Roman"/>
          <w:sz w:val="24"/>
          <w:szCs w:val="24"/>
        </w:rPr>
        <w:t>que s</w:t>
      </w:r>
      <w:r w:rsidR="007E0DF4">
        <w:rPr>
          <w:rFonts w:ascii="Times New Roman" w:hAnsi="Times New Roman" w:cs="Times New Roman"/>
          <w:sz w:val="24"/>
          <w:szCs w:val="24"/>
        </w:rPr>
        <w:t>í</w:t>
      </w:r>
      <w:r w:rsidR="0072703E">
        <w:rPr>
          <w:rFonts w:ascii="Times New Roman" w:hAnsi="Times New Roman" w:cs="Times New Roman"/>
          <w:sz w:val="24"/>
          <w:szCs w:val="24"/>
        </w:rPr>
        <w:t xml:space="preserve"> le hubiese permitido entrar en </w:t>
      </w:r>
      <w:r w:rsidR="007E0DF4">
        <w:rPr>
          <w:rFonts w:ascii="Times New Roman" w:hAnsi="Times New Roman" w:cs="Times New Roman"/>
          <w:sz w:val="24"/>
          <w:szCs w:val="24"/>
        </w:rPr>
        <w:t>la cancillería</w:t>
      </w:r>
      <w:r w:rsidR="0072703E">
        <w:rPr>
          <w:rFonts w:ascii="Times New Roman" w:hAnsi="Times New Roman" w:cs="Times New Roman"/>
          <w:sz w:val="24"/>
          <w:szCs w:val="24"/>
        </w:rPr>
        <w:t xml:space="preserve">, sin perjuicio de que sus actuaciones tendrían que estar destinadas a evitar que se turbe la tranquilidad de la misión. </w:t>
      </w:r>
      <w:r w:rsidR="002D277B">
        <w:rPr>
          <w:rFonts w:ascii="Times New Roman" w:hAnsi="Times New Roman" w:cs="Times New Roman"/>
          <w:sz w:val="24"/>
          <w:szCs w:val="24"/>
        </w:rPr>
        <w:t xml:space="preserve"> </w:t>
      </w:r>
    </w:p>
    <w:p w14:paraId="49526ACC" w14:textId="7E1F9236" w:rsidR="000E1501" w:rsidRDefault="007E0DF4" w:rsidP="00EB38B4">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2D277B">
        <w:rPr>
          <w:rFonts w:ascii="Times New Roman" w:hAnsi="Times New Roman" w:cs="Times New Roman"/>
          <w:sz w:val="24"/>
          <w:szCs w:val="24"/>
        </w:rPr>
        <w:t xml:space="preserve">En relación con la segunda obligación especial de protección, no hay duda de que las medidas adoptadas para </w:t>
      </w:r>
      <w:r w:rsidR="00B81263">
        <w:rPr>
          <w:rFonts w:ascii="Times New Roman" w:hAnsi="Times New Roman" w:cs="Times New Roman"/>
          <w:sz w:val="24"/>
          <w:szCs w:val="24"/>
        </w:rPr>
        <w:t xml:space="preserve">poner fin a </w:t>
      </w:r>
      <w:r w:rsidR="002D277B">
        <w:rPr>
          <w:rFonts w:ascii="Times New Roman" w:hAnsi="Times New Roman" w:cs="Times New Roman"/>
          <w:sz w:val="24"/>
          <w:szCs w:val="24"/>
        </w:rPr>
        <w:t xml:space="preserve">la ocupación -entrar en la cancillería sin el consentimiento del embajador, incendiar el local y causar la muerte de </w:t>
      </w:r>
      <w:r w:rsidR="00EB38B4">
        <w:rPr>
          <w:rFonts w:ascii="Times New Roman" w:hAnsi="Times New Roman" w:cs="Times New Roman"/>
          <w:sz w:val="24"/>
          <w:szCs w:val="24"/>
        </w:rPr>
        <w:t xml:space="preserve">todos </w:t>
      </w:r>
      <w:r w:rsidR="002D277B">
        <w:rPr>
          <w:rFonts w:ascii="Times New Roman" w:hAnsi="Times New Roman" w:cs="Times New Roman"/>
          <w:sz w:val="24"/>
          <w:szCs w:val="24"/>
        </w:rPr>
        <w:t>los allí presentes, excepto el jefe de la misión y un campesino- empeoraron gravemente la situación</w:t>
      </w:r>
      <w:r w:rsidR="00B81263">
        <w:rPr>
          <w:rFonts w:ascii="Times New Roman" w:hAnsi="Times New Roman" w:cs="Times New Roman"/>
          <w:sz w:val="24"/>
          <w:szCs w:val="24"/>
        </w:rPr>
        <w:t>. L</w:t>
      </w:r>
      <w:r w:rsidR="00246FA0">
        <w:rPr>
          <w:rFonts w:ascii="Times New Roman" w:hAnsi="Times New Roman" w:cs="Times New Roman"/>
          <w:sz w:val="24"/>
          <w:szCs w:val="24"/>
        </w:rPr>
        <w:t>a sentencia condenatoria a Pedro García Arredondo</w:t>
      </w:r>
      <w:r w:rsidR="00B81263">
        <w:rPr>
          <w:rFonts w:ascii="Times New Roman" w:hAnsi="Times New Roman" w:cs="Times New Roman"/>
          <w:sz w:val="24"/>
          <w:szCs w:val="24"/>
        </w:rPr>
        <w:t xml:space="preserve"> confirmaría estas cuestiones, pues</w:t>
      </w:r>
      <w:r w:rsidR="00EB38B4">
        <w:rPr>
          <w:rFonts w:ascii="Times New Roman" w:hAnsi="Times New Roman" w:cs="Times New Roman"/>
          <w:sz w:val="24"/>
          <w:szCs w:val="24"/>
        </w:rPr>
        <w:t xml:space="preserve"> </w:t>
      </w:r>
      <w:r w:rsidR="00EB38B4" w:rsidRPr="002148EE">
        <w:rPr>
          <w:rFonts w:ascii="Times New Roman" w:hAnsi="Times New Roman" w:cs="Times New Roman"/>
          <w:i/>
          <w:iCs/>
          <w:sz w:val="24"/>
          <w:szCs w:val="24"/>
        </w:rPr>
        <w:t>“la policía impidió que la gente saliera, si no hay algo más, porque se encontraron manchas de sangre en el suelo y en la pared que hace suponer que a algunos de ellos les dispararon”</w:t>
      </w:r>
      <w:r w:rsidR="00246FA0">
        <w:rPr>
          <w:rStyle w:val="Refdenotaalpie"/>
          <w:rFonts w:ascii="Times New Roman" w:hAnsi="Times New Roman" w:cs="Times New Roman"/>
          <w:i/>
          <w:iCs/>
          <w:sz w:val="24"/>
          <w:szCs w:val="24"/>
        </w:rPr>
        <w:footnoteReference w:id="22"/>
      </w:r>
      <w:r w:rsidR="00EB38B4" w:rsidRPr="002148EE">
        <w:rPr>
          <w:rFonts w:ascii="Times New Roman" w:hAnsi="Times New Roman" w:cs="Times New Roman"/>
          <w:i/>
          <w:iCs/>
          <w:sz w:val="24"/>
          <w:szCs w:val="24"/>
        </w:rPr>
        <w:t>.</w:t>
      </w:r>
      <w:r w:rsidR="00EB38B4">
        <w:rPr>
          <w:rFonts w:ascii="Times New Roman" w:hAnsi="Times New Roman" w:cs="Times New Roman"/>
          <w:sz w:val="24"/>
          <w:szCs w:val="24"/>
        </w:rPr>
        <w:t xml:space="preserve"> Así, no </w:t>
      </w:r>
      <w:r w:rsidR="002D277B">
        <w:rPr>
          <w:rFonts w:ascii="Times New Roman" w:hAnsi="Times New Roman" w:cs="Times New Roman"/>
          <w:sz w:val="24"/>
          <w:szCs w:val="24"/>
        </w:rPr>
        <w:t xml:space="preserve">es sostenible que el grupo de campesinos hubiese entrado en la misión con el fin de incendiar el edificio y acabar con la vida de todos los allí presentes. </w:t>
      </w:r>
      <w:r w:rsidR="00263065">
        <w:rPr>
          <w:rFonts w:ascii="Times New Roman" w:hAnsi="Times New Roman" w:cs="Times New Roman"/>
          <w:sz w:val="24"/>
          <w:szCs w:val="24"/>
        </w:rPr>
        <w:t>Además, los actos del Estado receptor no solo s</w:t>
      </w:r>
      <w:r w:rsidR="00021E8C">
        <w:rPr>
          <w:rFonts w:ascii="Times New Roman" w:hAnsi="Times New Roman" w:cs="Times New Roman"/>
          <w:sz w:val="24"/>
          <w:szCs w:val="24"/>
        </w:rPr>
        <w:t>on</w:t>
      </w:r>
      <w:r w:rsidR="00263065">
        <w:rPr>
          <w:rFonts w:ascii="Times New Roman" w:hAnsi="Times New Roman" w:cs="Times New Roman"/>
          <w:sz w:val="24"/>
          <w:szCs w:val="24"/>
        </w:rPr>
        <w:t xml:space="preserve"> un claro incumplimiento de las normas internacionales de Derecho Diplomático respecto a la inviolabilidad de los locales de la misión diplomática, sino que también </w:t>
      </w:r>
      <w:r w:rsidR="00021E8C">
        <w:rPr>
          <w:rFonts w:ascii="Times New Roman" w:hAnsi="Times New Roman" w:cs="Times New Roman"/>
          <w:sz w:val="24"/>
          <w:szCs w:val="24"/>
        </w:rPr>
        <w:t>incluyen las</w:t>
      </w:r>
      <w:r w:rsidR="00263065">
        <w:rPr>
          <w:rFonts w:ascii="Times New Roman" w:hAnsi="Times New Roman" w:cs="Times New Roman"/>
          <w:sz w:val="24"/>
          <w:szCs w:val="24"/>
        </w:rPr>
        <w:t xml:space="preserve"> violaci</w:t>
      </w:r>
      <w:r w:rsidR="00021E8C">
        <w:rPr>
          <w:rFonts w:ascii="Times New Roman" w:hAnsi="Times New Roman" w:cs="Times New Roman"/>
          <w:sz w:val="24"/>
          <w:szCs w:val="24"/>
        </w:rPr>
        <w:t>ones</w:t>
      </w:r>
      <w:r w:rsidR="00263065">
        <w:rPr>
          <w:rFonts w:ascii="Times New Roman" w:hAnsi="Times New Roman" w:cs="Times New Roman"/>
          <w:sz w:val="24"/>
          <w:szCs w:val="24"/>
        </w:rPr>
        <w:t xml:space="preserve"> de la libre comunicación de la misión de acuerdo con el artículo 27 de la Convención</w:t>
      </w:r>
      <w:r w:rsidR="00021E8C">
        <w:rPr>
          <w:rFonts w:ascii="Times New Roman" w:hAnsi="Times New Roman" w:cs="Times New Roman"/>
          <w:sz w:val="24"/>
          <w:szCs w:val="24"/>
        </w:rPr>
        <w:t>, ya que la policía cortó el teléfono una vez había entrado en la cancillería;</w:t>
      </w:r>
      <w:r w:rsidR="00263065">
        <w:rPr>
          <w:rFonts w:ascii="Times New Roman" w:hAnsi="Times New Roman" w:cs="Times New Roman"/>
          <w:sz w:val="24"/>
          <w:szCs w:val="24"/>
        </w:rPr>
        <w:t xml:space="preserve"> </w:t>
      </w:r>
      <w:r w:rsidR="00021E8C">
        <w:rPr>
          <w:rFonts w:ascii="Times New Roman" w:hAnsi="Times New Roman" w:cs="Times New Roman"/>
          <w:sz w:val="24"/>
          <w:szCs w:val="24"/>
        </w:rPr>
        <w:t xml:space="preserve">y de las inmunidades y privilegios del personal diplomático según se recogen en el artículo 29, puesto que los agentes policiales no adoptaron ninguna medida para impedir cualquier atentado contra su persona, </w:t>
      </w:r>
      <w:r w:rsidR="00B81263">
        <w:rPr>
          <w:rFonts w:ascii="Times New Roman" w:hAnsi="Times New Roman" w:cs="Times New Roman"/>
          <w:sz w:val="24"/>
          <w:szCs w:val="24"/>
        </w:rPr>
        <w:t>l</w:t>
      </w:r>
      <w:r w:rsidR="00021E8C">
        <w:rPr>
          <w:rFonts w:ascii="Times New Roman" w:hAnsi="Times New Roman" w:cs="Times New Roman"/>
          <w:sz w:val="24"/>
          <w:szCs w:val="24"/>
        </w:rPr>
        <w:t xml:space="preserve">ibertad o dignidad, sino que ellos mismos con sus actuaciones reprimieron violentamente contra ellos, causando serias lesiones al embajador y la muerte del cónsul español Jaime Ruíz del Árbol. </w:t>
      </w:r>
    </w:p>
    <w:p w14:paraId="790A191B" w14:textId="3E2580AA" w:rsidR="003B2B0D" w:rsidRDefault="00107A1E" w:rsidP="00096342">
      <w:pPr>
        <w:spacing w:line="360" w:lineRule="auto"/>
        <w:jc w:val="both"/>
        <w:rPr>
          <w:rFonts w:ascii="Times New Roman" w:hAnsi="Times New Roman" w:cs="Times New Roman"/>
          <w:sz w:val="24"/>
          <w:szCs w:val="24"/>
        </w:rPr>
      </w:pPr>
      <w:r>
        <w:rPr>
          <w:rFonts w:ascii="Times New Roman" w:hAnsi="Times New Roman" w:cs="Times New Roman"/>
          <w:sz w:val="24"/>
          <w:szCs w:val="24"/>
        </w:rPr>
        <w:tab/>
        <w:t>Así las cosas, el Estado receptor ha violado flagrantemente las obligaciones establecidas en l</w:t>
      </w:r>
      <w:r w:rsidR="004935C0">
        <w:rPr>
          <w:rFonts w:ascii="Times New Roman" w:hAnsi="Times New Roman" w:cs="Times New Roman"/>
          <w:sz w:val="24"/>
          <w:szCs w:val="24"/>
        </w:rPr>
        <w:t xml:space="preserve">a Convención de Viena sobre Relaciones Diplomáticas de 1961 respecto </w:t>
      </w:r>
      <w:r w:rsidR="004935C0">
        <w:rPr>
          <w:rFonts w:ascii="Times New Roman" w:hAnsi="Times New Roman" w:cs="Times New Roman"/>
          <w:sz w:val="24"/>
          <w:szCs w:val="24"/>
        </w:rPr>
        <w:lastRenderedPageBreak/>
        <w:t>a la inviolabilidad de los locales diplomáticos establecida en artículo 22 al penetrar en la misión sin el consentimiento del Embajador Máximo Cajal</w:t>
      </w:r>
      <w:r w:rsidR="00B81263">
        <w:rPr>
          <w:rFonts w:ascii="Times New Roman" w:hAnsi="Times New Roman" w:cs="Times New Roman"/>
          <w:sz w:val="24"/>
          <w:szCs w:val="24"/>
        </w:rPr>
        <w:t>. U</w:t>
      </w:r>
      <w:r w:rsidR="004935C0">
        <w:rPr>
          <w:rFonts w:ascii="Times New Roman" w:hAnsi="Times New Roman" w:cs="Times New Roman"/>
          <w:sz w:val="24"/>
          <w:szCs w:val="24"/>
        </w:rPr>
        <w:t xml:space="preserve">na vez los efectivos entraron en la cancillería, su comportamiento no evitó que se perturbase la tranquilidad y dignidad de la misión diplomática, sino que empeoraron gravemente la situación en </w:t>
      </w:r>
      <w:r w:rsidR="00B81263">
        <w:rPr>
          <w:rFonts w:ascii="Times New Roman" w:hAnsi="Times New Roman" w:cs="Times New Roman"/>
          <w:sz w:val="24"/>
          <w:szCs w:val="24"/>
        </w:rPr>
        <w:t>su</w:t>
      </w:r>
      <w:r w:rsidR="004935C0">
        <w:rPr>
          <w:rFonts w:ascii="Times New Roman" w:hAnsi="Times New Roman" w:cs="Times New Roman"/>
          <w:sz w:val="24"/>
          <w:szCs w:val="24"/>
        </w:rPr>
        <w:t xml:space="preserve"> interior. </w:t>
      </w:r>
      <w:r w:rsidR="00B81263">
        <w:rPr>
          <w:rFonts w:ascii="Times New Roman" w:hAnsi="Times New Roman" w:cs="Times New Roman"/>
          <w:sz w:val="24"/>
          <w:szCs w:val="24"/>
        </w:rPr>
        <w:t>N</w:t>
      </w:r>
      <w:r w:rsidR="004935C0">
        <w:rPr>
          <w:rFonts w:ascii="Times New Roman" w:hAnsi="Times New Roman" w:cs="Times New Roman"/>
          <w:sz w:val="24"/>
          <w:szCs w:val="24"/>
        </w:rPr>
        <w:t xml:space="preserve">o es el objeto de este trabajo, </w:t>
      </w:r>
      <w:r w:rsidR="00B81263">
        <w:rPr>
          <w:rFonts w:ascii="Times New Roman" w:hAnsi="Times New Roman" w:cs="Times New Roman"/>
          <w:sz w:val="24"/>
          <w:szCs w:val="24"/>
        </w:rPr>
        <w:t>pero</w:t>
      </w:r>
      <w:r w:rsidR="004935C0">
        <w:rPr>
          <w:rFonts w:ascii="Times New Roman" w:hAnsi="Times New Roman" w:cs="Times New Roman"/>
          <w:sz w:val="24"/>
          <w:szCs w:val="24"/>
        </w:rPr>
        <w:t xml:space="preserve"> ha quedado claro que la violación de la inviolabilidad de los locales conllev</w:t>
      </w:r>
      <w:r w:rsidR="00B81263">
        <w:rPr>
          <w:rFonts w:ascii="Times New Roman" w:hAnsi="Times New Roman" w:cs="Times New Roman"/>
          <w:sz w:val="24"/>
          <w:szCs w:val="24"/>
        </w:rPr>
        <w:t>ó</w:t>
      </w:r>
      <w:r w:rsidR="004935C0">
        <w:rPr>
          <w:rFonts w:ascii="Times New Roman" w:hAnsi="Times New Roman" w:cs="Times New Roman"/>
          <w:sz w:val="24"/>
          <w:szCs w:val="24"/>
        </w:rPr>
        <w:t xml:space="preserve"> la violación del resto de inmunidades y privilegios establecidos en los artículos 27 y 29 respectivamente de la libertad de comunicación de la misión y la inmunidad de coerción del personal diplomático. </w:t>
      </w:r>
    </w:p>
    <w:p w14:paraId="1D801538" w14:textId="4D517E81" w:rsidR="003B2B0D" w:rsidRPr="00200AC2" w:rsidRDefault="00BD67C0" w:rsidP="00BD67C0">
      <w:pPr>
        <w:pStyle w:val="Ttulo3"/>
        <w:numPr>
          <w:ilvl w:val="2"/>
          <w:numId w:val="1"/>
        </w:numPr>
        <w:spacing w:line="360" w:lineRule="auto"/>
        <w:jc w:val="both"/>
        <w:rPr>
          <w:rFonts w:ascii="Times New Roman" w:hAnsi="Times New Roman" w:cs="Times New Roman"/>
          <w:sz w:val="28"/>
          <w:szCs w:val="28"/>
        </w:rPr>
      </w:pPr>
      <w:bookmarkStart w:id="24" w:name="_Toc65498616"/>
      <w:r w:rsidRPr="00200AC2">
        <w:rPr>
          <w:rFonts w:ascii="Times New Roman" w:hAnsi="Times New Roman" w:cs="Times New Roman"/>
          <w:sz w:val="28"/>
          <w:szCs w:val="28"/>
        </w:rPr>
        <w:t xml:space="preserve">Responsabilidad </w:t>
      </w:r>
      <w:r w:rsidR="00FB5B5B" w:rsidRPr="00200AC2">
        <w:rPr>
          <w:rFonts w:ascii="Times New Roman" w:hAnsi="Times New Roman" w:cs="Times New Roman"/>
          <w:sz w:val="28"/>
          <w:szCs w:val="28"/>
        </w:rPr>
        <w:t>I</w:t>
      </w:r>
      <w:r w:rsidRPr="00200AC2">
        <w:rPr>
          <w:rFonts w:ascii="Times New Roman" w:hAnsi="Times New Roman" w:cs="Times New Roman"/>
          <w:sz w:val="28"/>
          <w:szCs w:val="28"/>
        </w:rPr>
        <w:t xml:space="preserve">nternacional de </w:t>
      </w:r>
      <w:r w:rsidR="00FB5B5B" w:rsidRPr="00200AC2">
        <w:rPr>
          <w:rFonts w:ascii="Times New Roman" w:hAnsi="Times New Roman" w:cs="Times New Roman"/>
          <w:sz w:val="28"/>
          <w:szCs w:val="28"/>
        </w:rPr>
        <w:t xml:space="preserve">la República de </w:t>
      </w:r>
      <w:r w:rsidRPr="00200AC2">
        <w:rPr>
          <w:rFonts w:ascii="Times New Roman" w:hAnsi="Times New Roman" w:cs="Times New Roman"/>
          <w:sz w:val="28"/>
          <w:szCs w:val="28"/>
        </w:rPr>
        <w:t>Guatemala</w:t>
      </w:r>
      <w:bookmarkEnd w:id="24"/>
      <w:r w:rsidRPr="00200AC2">
        <w:rPr>
          <w:rFonts w:ascii="Times New Roman" w:hAnsi="Times New Roman" w:cs="Times New Roman"/>
          <w:sz w:val="28"/>
          <w:szCs w:val="28"/>
        </w:rPr>
        <w:t xml:space="preserve"> </w:t>
      </w:r>
    </w:p>
    <w:p w14:paraId="1D3D64EF" w14:textId="4E6E212A" w:rsidR="00461FE3" w:rsidRDefault="00D40335" w:rsidP="00BD67C0">
      <w:pPr>
        <w:spacing w:line="360" w:lineRule="auto"/>
        <w:jc w:val="both"/>
        <w:rPr>
          <w:rFonts w:ascii="Times New Roman" w:hAnsi="Times New Roman" w:cs="Times New Roman"/>
          <w:sz w:val="24"/>
          <w:szCs w:val="24"/>
        </w:rPr>
      </w:pPr>
      <w:r>
        <w:rPr>
          <w:rFonts w:ascii="Times New Roman" w:hAnsi="Times New Roman" w:cs="Times New Roman"/>
          <w:sz w:val="24"/>
          <w:szCs w:val="24"/>
        </w:rPr>
        <w:tab/>
        <w:t>El presupuesto fundamental para la responsabilidad internacional es el hecho internacionalmente ilícito que será el resultado de un comportamiento atribuible al Estado guatemalteco que constituya una violación de una obligación internacional del Estado.</w:t>
      </w:r>
    </w:p>
    <w:p w14:paraId="71FB1D4C" w14:textId="71D4A0DF" w:rsidR="00180AA3" w:rsidRDefault="00180AA3" w:rsidP="00BD67C0">
      <w:pPr>
        <w:spacing w:line="360" w:lineRule="auto"/>
        <w:jc w:val="both"/>
        <w:rPr>
          <w:rFonts w:ascii="Times New Roman" w:hAnsi="Times New Roman" w:cs="Times New Roman"/>
          <w:sz w:val="24"/>
          <w:szCs w:val="24"/>
        </w:rPr>
      </w:pPr>
      <w:r>
        <w:rPr>
          <w:rFonts w:ascii="Times New Roman" w:hAnsi="Times New Roman" w:cs="Times New Roman"/>
          <w:sz w:val="24"/>
          <w:szCs w:val="24"/>
        </w:rPr>
        <w:tab/>
        <w:t>P</w:t>
      </w:r>
      <w:r w:rsidR="00AC77CD">
        <w:rPr>
          <w:rFonts w:ascii="Times New Roman" w:hAnsi="Times New Roman" w:cs="Times New Roman"/>
          <w:sz w:val="24"/>
          <w:szCs w:val="24"/>
        </w:rPr>
        <w:t>RIMERO</w:t>
      </w:r>
      <w:r>
        <w:rPr>
          <w:rFonts w:ascii="Times New Roman" w:hAnsi="Times New Roman" w:cs="Times New Roman"/>
          <w:sz w:val="24"/>
          <w:szCs w:val="24"/>
        </w:rPr>
        <w:t xml:space="preserve">, </w:t>
      </w:r>
      <w:r w:rsidR="00187F7F">
        <w:rPr>
          <w:rFonts w:ascii="Times New Roman" w:hAnsi="Times New Roman" w:cs="Times New Roman"/>
          <w:sz w:val="24"/>
          <w:szCs w:val="24"/>
        </w:rPr>
        <w:t xml:space="preserve">en su momento Burgos concluyó, que el derecho consuetudinario </w:t>
      </w:r>
      <w:r w:rsidR="00592C48">
        <w:rPr>
          <w:rFonts w:ascii="Times New Roman" w:hAnsi="Times New Roman" w:cs="Times New Roman"/>
          <w:sz w:val="24"/>
          <w:szCs w:val="24"/>
        </w:rPr>
        <w:t xml:space="preserve">determinaba que </w:t>
      </w:r>
      <w:r w:rsidR="00187F7F" w:rsidRPr="00246FA0">
        <w:rPr>
          <w:rFonts w:ascii="Times New Roman" w:hAnsi="Times New Roman" w:cs="Times New Roman"/>
          <w:i/>
          <w:iCs/>
          <w:sz w:val="24"/>
          <w:szCs w:val="24"/>
        </w:rPr>
        <w:t>“todo Estado es responsable internacionalmente por los actos de sus funcionarios cuando estos actúan en el ejercicio de sus funciones. Por esta razón, el gobierno de Guatemala estaba obligado a presentar excusas al Gobierno español y deplorar los hechos ocurridos</w:t>
      </w:r>
      <w:r w:rsidR="00246FA0">
        <w:rPr>
          <w:rStyle w:val="Refdenotaalpie"/>
          <w:rFonts w:ascii="Times New Roman" w:hAnsi="Times New Roman" w:cs="Times New Roman"/>
          <w:i/>
          <w:iCs/>
          <w:sz w:val="24"/>
          <w:szCs w:val="24"/>
        </w:rPr>
        <w:footnoteReference w:id="23"/>
      </w:r>
      <w:r w:rsidR="00187F7F">
        <w:rPr>
          <w:rFonts w:ascii="Times New Roman" w:hAnsi="Times New Roman" w:cs="Times New Roman"/>
          <w:sz w:val="24"/>
          <w:szCs w:val="24"/>
        </w:rPr>
        <w:t xml:space="preserve">. Esta aproximación de la imputabilidad al Estado por los actos de sus funcionarios se vio plasmada en el Proyecto de las Naciones Unidas sobre Responsabilidad Internacional en el artículo </w:t>
      </w:r>
      <w:r w:rsidR="00CE6D2F">
        <w:rPr>
          <w:rFonts w:ascii="Times New Roman" w:hAnsi="Times New Roman" w:cs="Times New Roman"/>
          <w:sz w:val="24"/>
          <w:szCs w:val="24"/>
        </w:rPr>
        <w:t>4</w:t>
      </w:r>
      <w:r w:rsidR="00187F7F">
        <w:rPr>
          <w:rFonts w:ascii="Times New Roman" w:hAnsi="Times New Roman" w:cs="Times New Roman"/>
          <w:sz w:val="24"/>
          <w:szCs w:val="24"/>
        </w:rPr>
        <w:t xml:space="preserve"> que considera hecho del Estado todo comportamiento de una </w:t>
      </w:r>
      <w:r w:rsidR="00187F7F" w:rsidRPr="00CE6D2F">
        <w:rPr>
          <w:rFonts w:ascii="Times New Roman" w:hAnsi="Times New Roman" w:cs="Times New Roman"/>
          <w:i/>
          <w:iCs/>
          <w:sz w:val="24"/>
          <w:szCs w:val="24"/>
        </w:rPr>
        <w:t>“</w:t>
      </w:r>
      <w:r w:rsidR="00CE6D2F" w:rsidRPr="00CE6D2F">
        <w:rPr>
          <w:rFonts w:ascii="Times New Roman" w:hAnsi="Times New Roman" w:cs="Times New Roman"/>
          <w:i/>
          <w:iCs/>
          <w:color w:val="333333"/>
          <w:sz w:val="24"/>
          <w:szCs w:val="24"/>
          <w:shd w:val="clear" w:color="auto" w:fill="FFFFFF"/>
        </w:rPr>
        <w:t>comportamiento de todo órgano del Estado, ya sea que ejerza funciones legislativas, ejecutivas, judiciales o de otra índole</w:t>
      </w:r>
      <w:r w:rsidR="00592C48" w:rsidRPr="00CE6D2F">
        <w:rPr>
          <w:rFonts w:ascii="Times New Roman" w:hAnsi="Times New Roman" w:cs="Times New Roman"/>
          <w:i/>
          <w:iCs/>
          <w:sz w:val="24"/>
          <w:szCs w:val="24"/>
        </w:rPr>
        <w:t>”</w:t>
      </w:r>
      <w:r w:rsidR="00246FA0">
        <w:rPr>
          <w:rStyle w:val="Refdenotaalpie"/>
          <w:rFonts w:ascii="Times New Roman" w:hAnsi="Times New Roman" w:cs="Times New Roman"/>
          <w:i/>
          <w:iCs/>
          <w:sz w:val="24"/>
          <w:szCs w:val="24"/>
        </w:rPr>
        <w:footnoteReference w:id="24"/>
      </w:r>
      <w:r w:rsidR="00592C48" w:rsidRPr="00CE6D2F">
        <w:rPr>
          <w:rFonts w:ascii="Times New Roman" w:hAnsi="Times New Roman" w:cs="Times New Roman"/>
          <w:i/>
          <w:iCs/>
          <w:sz w:val="24"/>
          <w:szCs w:val="24"/>
        </w:rPr>
        <w:t>.</w:t>
      </w:r>
      <w:r w:rsidR="00592C48">
        <w:rPr>
          <w:rFonts w:ascii="Times New Roman" w:hAnsi="Times New Roman" w:cs="Times New Roman"/>
          <w:sz w:val="24"/>
          <w:szCs w:val="24"/>
        </w:rPr>
        <w:t xml:space="preserve"> </w:t>
      </w:r>
      <w:r w:rsidR="00AE1171">
        <w:rPr>
          <w:rFonts w:ascii="Times New Roman" w:hAnsi="Times New Roman" w:cs="Times New Roman"/>
          <w:sz w:val="24"/>
          <w:szCs w:val="24"/>
        </w:rPr>
        <w:t>N</w:t>
      </w:r>
      <w:r w:rsidR="00592C48">
        <w:rPr>
          <w:rFonts w:ascii="Times New Roman" w:hAnsi="Times New Roman" w:cs="Times New Roman"/>
          <w:sz w:val="24"/>
          <w:szCs w:val="24"/>
        </w:rPr>
        <w:t>o hay duda de que el comportamiento de los efectivos policiales es imputable al Estado guatemalteco</w:t>
      </w:r>
      <w:r w:rsidR="00CE6D2F">
        <w:rPr>
          <w:rFonts w:ascii="Times New Roman" w:hAnsi="Times New Roman" w:cs="Times New Roman"/>
          <w:sz w:val="24"/>
          <w:szCs w:val="24"/>
        </w:rPr>
        <w:t xml:space="preserve">, ya que se demostró que las actuaciones policiales fueron ordenadas directamente por las autoridades gubernamentales. </w:t>
      </w:r>
    </w:p>
    <w:p w14:paraId="1F0FE94B" w14:textId="0B1030FC" w:rsidR="00BD67C0" w:rsidRDefault="00592C48" w:rsidP="00592C4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S</w:t>
      </w:r>
      <w:r w:rsidR="00AC77CD">
        <w:rPr>
          <w:rFonts w:ascii="Times New Roman" w:hAnsi="Times New Roman" w:cs="Times New Roman"/>
          <w:sz w:val="24"/>
          <w:szCs w:val="24"/>
        </w:rPr>
        <w:t>EGUNDO</w:t>
      </w:r>
      <w:r>
        <w:rPr>
          <w:rFonts w:ascii="Times New Roman" w:hAnsi="Times New Roman" w:cs="Times New Roman"/>
          <w:sz w:val="24"/>
          <w:szCs w:val="24"/>
        </w:rPr>
        <w:t>, la conducta de</w:t>
      </w:r>
      <w:r w:rsidR="00461FE3">
        <w:rPr>
          <w:rFonts w:ascii="Times New Roman" w:hAnsi="Times New Roman" w:cs="Times New Roman"/>
          <w:sz w:val="24"/>
          <w:szCs w:val="24"/>
        </w:rPr>
        <w:t xml:space="preserve"> las fuerzas de seguridad guatemaltecas contravino las obligaciones de abstenerse de penetrar la cancillería y proteger los locales de la misión diplomática para evitar cualquier daño que atente contra la tranquilidad y dignidad de </w:t>
      </w:r>
      <w:r w:rsidR="00687FA6">
        <w:rPr>
          <w:rFonts w:ascii="Times New Roman" w:hAnsi="Times New Roman" w:cs="Times New Roman"/>
          <w:sz w:val="24"/>
          <w:szCs w:val="24"/>
        </w:rPr>
        <w:t>esta</w:t>
      </w:r>
      <w:r w:rsidR="00461FE3">
        <w:rPr>
          <w:rFonts w:ascii="Times New Roman" w:hAnsi="Times New Roman" w:cs="Times New Roman"/>
          <w:sz w:val="24"/>
          <w:szCs w:val="24"/>
        </w:rPr>
        <w:t xml:space="preserve">, acorde con el artículo 22 de la Convención de Viena. Además, </w:t>
      </w:r>
      <w:r w:rsidR="00AF4955">
        <w:rPr>
          <w:rFonts w:ascii="Times New Roman" w:hAnsi="Times New Roman" w:cs="Times New Roman"/>
          <w:sz w:val="24"/>
          <w:szCs w:val="24"/>
        </w:rPr>
        <w:t xml:space="preserve">como se ha expuesto, la conducta de los policías fue también contraría a la inviolabilidad de los archivos y </w:t>
      </w:r>
      <w:r w:rsidR="00AF4955">
        <w:rPr>
          <w:rFonts w:ascii="Times New Roman" w:hAnsi="Times New Roman" w:cs="Times New Roman"/>
          <w:sz w:val="24"/>
          <w:szCs w:val="24"/>
        </w:rPr>
        <w:lastRenderedPageBreak/>
        <w:t>documentos de la misión (art. 24), la libertad de comunicación para los fines oficiales (art. 27) y la inviolabilidad de los agentes diplomáticos (art. 29). Por consiguiente, el comportamiento de los efectivos policiales del día 31 de enero de 1980 en la Embajada fue con total seguridad contrario a los principios y obligaciones del Derecho Internacional, si</w:t>
      </w:r>
      <w:r w:rsidR="00376CBE">
        <w:rPr>
          <w:rFonts w:ascii="Times New Roman" w:hAnsi="Times New Roman" w:cs="Times New Roman"/>
          <w:sz w:val="24"/>
          <w:szCs w:val="24"/>
        </w:rPr>
        <w:t xml:space="preserve">n posibilidad de ser eximido por la “cláusula de incendio” </w:t>
      </w:r>
      <w:r w:rsidR="00AF4955">
        <w:rPr>
          <w:rFonts w:ascii="Times New Roman" w:hAnsi="Times New Roman" w:cs="Times New Roman"/>
          <w:sz w:val="24"/>
          <w:szCs w:val="24"/>
        </w:rPr>
        <w:t>dado el carácter absoluto de la inviolabilidad de los locales de la misión</w:t>
      </w:r>
      <w:r w:rsidR="00C31568">
        <w:rPr>
          <w:rFonts w:ascii="Times New Roman" w:hAnsi="Times New Roman" w:cs="Times New Roman"/>
          <w:sz w:val="24"/>
          <w:szCs w:val="24"/>
        </w:rPr>
        <w:t xml:space="preserve">. </w:t>
      </w:r>
    </w:p>
    <w:p w14:paraId="12325157" w14:textId="242DDD3F" w:rsidR="00C31568" w:rsidRDefault="00C31568" w:rsidP="00BD67C0">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C8176B">
        <w:rPr>
          <w:rFonts w:ascii="Times New Roman" w:hAnsi="Times New Roman" w:cs="Times New Roman"/>
          <w:sz w:val="24"/>
          <w:szCs w:val="24"/>
        </w:rPr>
        <w:t xml:space="preserve">Algunas versiones de los hechos acontecidos en la Embajada de España justifican el comportamiento de los policías, pues alegan que la intervención en la misión diplomática fue producto de un peligro mayor que podría atenerse a las causas excluyentes del Proyecto de Artículos, concretamente, el estado de necesidad como única forma para salvar las vidas de las personas que se encontraban en el interior de las dependencias, puesto que el grupo de campesinos habría ocupado la misión con el fin de </w:t>
      </w:r>
      <w:r w:rsidR="00687FA6">
        <w:rPr>
          <w:rFonts w:ascii="Times New Roman" w:hAnsi="Times New Roman" w:cs="Times New Roman"/>
          <w:sz w:val="24"/>
          <w:szCs w:val="24"/>
        </w:rPr>
        <w:t>auto inmolarse</w:t>
      </w:r>
      <w:sdt>
        <w:sdtPr>
          <w:rPr>
            <w:rFonts w:ascii="Times New Roman" w:hAnsi="Times New Roman" w:cs="Times New Roman"/>
            <w:sz w:val="24"/>
            <w:szCs w:val="24"/>
          </w:rPr>
          <w:id w:val="781299220"/>
          <w:citation/>
        </w:sdtPr>
        <w:sdtContent>
          <w:r w:rsidR="00C83685">
            <w:rPr>
              <w:rFonts w:ascii="Times New Roman" w:hAnsi="Times New Roman" w:cs="Times New Roman"/>
              <w:sz w:val="24"/>
              <w:szCs w:val="24"/>
            </w:rPr>
            <w:fldChar w:fldCharType="begin"/>
          </w:r>
          <w:r w:rsidR="00C83685">
            <w:rPr>
              <w:rFonts w:ascii="Times New Roman" w:hAnsi="Times New Roman" w:cs="Times New Roman"/>
              <w:sz w:val="24"/>
              <w:szCs w:val="24"/>
            </w:rPr>
            <w:instrText xml:space="preserve">CITATION Pic15 \p 39 \l 3082 </w:instrText>
          </w:r>
          <w:r w:rsidR="00C83685">
            <w:rPr>
              <w:rFonts w:ascii="Times New Roman" w:hAnsi="Times New Roman" w:cs="Times New Roman"/>
              <w:sz w:val="24"/>
              <w:szCs w:val="24"/>
            </w:rPr>
            <w:fldChar w:fldCharType="separate"/>
          </w:r>
          <w:r w:rsidR="00246FA0">
            <w:rPr>
              <w:rFonts w:ascii="Times New Roman" w:hAnsi="Times New Roman" w:cs="Times New Roman"/>
              <w:noProof/>
              <w:sz w:val="24"/>
              <w:szCs w:val="24"/>
            </w:rPr>
            <w:t xml:space="preserve"> </w:t>
          </w:r>
          <w:r w:rsidR="00246FA0" w:rsidRPr="00246FA0">
            <w:rPr>
              <w:rFonts w:ascii="Times New Roman" w:hAnsi="Times New Roman" w:cs="Times New Roman"/>
              <w:noProof/>
              <w:sz w:val="24"/>
              <w:szCs w:val="24"/>
            </w:rPr>
            <w:t>(Pico de Coaña de Valicourt &amp; Casaús Arzú, 2015, pág. 39)</w:t>
          </w:r>
          <w:r w:rsidR="00C83685">
            <w:rPr>
              <w:rFonts w:ascii="Times New Roman" w:hAnsi="Times New Roman" w:cs="Times New Roman"/>
              <w:sz w:val="24"/>
              <w:szCs w:val="24"/>
            </w:rPr>
            <w:fldChar w:fldCharType="end"/>
          </w:r>
        </w:sdtContent>
      </w:sdt>
      <w:r w:rsidR="00C8176B">
        <w:rPr>
          <w:rFonts w:ascii="Times New Roman" w:hAnsi="Times New Roman" w:cs="Times New Roman"/>
          <w:sz w:val="24"/>
          <w:szCs w:val="24"/>
        </w:rPr>
        <w:t xml:space="preserve">. Sin embargo, la Comisión de la Verdad o Comisión para el Esclarecimiento Histórico </w:t>
      </w:r>
      <w:r w:rsidR="00C83685">
        <w:rPr>
          <w:rFonts w:ascii="Times New Roman" w:hAnsi="Times New Roman" w:cs="Times New Roman"/>
          <w:sz w:val="24"/>
          <w:szCs w:val="24"/>
        </w:rPr>
        <w:t xml:space="preserve">(CEH), </w:t>
      </w:r>
      <w:r w:rsidR="00C8176B">
        <w:rPr>
          <w:rFonts w:ascii="Times New Roman" w:hAnsi="Times New Roman" w:cs="Times New Roman"/>
          <w:sz w:val="24"/>
          <w:szCs w:val="24"/>
        </w:rPr>
        <w:t>impulsada por las Naciones Unidas con el fin de llevar a cabo investigaciones imparciales y realizar informes técnicos sobre la situación el país latinoamericano</w:t>
      </w:r>
      <w:r w:rsidR="00C83685">
        <w:rPr>
          <w:rFonts w:ascii="Times New Roman" w:hAnsi="Times New Roman" w:cs="Times New Roman"/>
          <w:sz w:val="24"/>
          <w:szCs w:val="24"/>
        </w:rPr>
        <w:t>,</w:t>
      </w:r>
      <w:r w:rsidR="00C8176B">
        <w:rPr>
          <w:rFonts w:ascii="Times New Roman" w:hAnsi="Times New Roman" w:cs="Times New Roman"/>
          <w:sz w:val="24"/>
          <w:szCs w:val="24"/>
        </w:rPr>
        <w:t xml:space="preserve"> elaboró un informe exhaustivo en febrero de 1999 </w:t>
      </w:r>
      <w:r w:rsidR="00C83685">
        <w:rPr>
          <w:rFonts w:ascii="Times New Roman" w:hAnsi="Times New Roman" w:cs="Times New Roman"/>
          <w:sz w:val="24"/>
          <w:szCs w:val="24"/>
        </w:rPr>
        <w:t xml:space="preserve">denominado “Guatemala, Memorias del Silencio”, que condenó las actuaciones de las autoridades y desestimó la tesis de la autoinmolación: </w:t>
      </w:r>
    </w:p>
    <w:p w14:paraId="7A959C53" w14:textId="4AF899E5" w:rsidR="003B2B0D" w:rsidRPr="00246FA0" w:rsidRDefault="00C83685" w:rsidP="00F017CF">
      <w:pPr>
        <w:spacing w:line="276" w:lineRule="auto"/>
        <w:ind w:left="720"/>
        <w:jc w:val="both"/>
        <w:rPr>
          <w:rFonts w:ascii="Times New Roman" w:hAnsi="Times New Roman" w:cs="Times New Roman"/>
          <w:i/>
          <w:iCs/>
        </w:rPr>
      </w:pPr>
      <w:r w:rsidRPr="00246FA0">
        <w:rPr>
          <w:rFonts w:ascii="Times New Roman" w:hAnsi="Times New Roman" w:cs="Times New Roman"/>
          <w:i/>
          <w:iCs/>
        </w:rPr>
        <w:t xml:space="preserve">“La CEH considera que carece de toda base la hipótesis de que las víctimas se auto inmolaron. La CEH estima que la reacción del Estado fue injustificable, ya que su operativo y despliegue ofensivo fueron totalmente desproporcionados en relación con la amenaza que representaban los ocupantes, quienes se encontraban, prácticamente, en estado de indefensión (…) los ocupantes tenían como única intención la denuncia pública y pacífica de las graves violaciones a los derechos humanos que sufría la población maya en zonas rurales. No haber sido escuchados por autoridad alguna ni por la Prensa </w:t>
      </w:r>
      <w:r w:rsidR="00250A86" w:rsidRPr="00246FA0">
        <w:rPr>
          <w:rFonts w:ascii="Times New Roman" w:hAnsi="Times New Roman" w:cs="Times New Roman"/>
          <w:i/>
          <w:iCs/>
        </w:rPr>
        <w:t>los</w:t>
      </w:r>
      <w:r w:rsidRPr="00246FA0">
        <w:rPr>
          <w:rFonts w:ascii="Times New Roman" w:hAnsi="Times New Roman" w:cs="Times New Roman"/>
          <w:i/>
          <w:iCs/>
        </w:rPr>
        <w:t xml:space="preserve"> llevó al extremo de ocupar la Embajada de España”</w:t>
      </w:r>
      <w:r w:rsidR="00246FA0">
        <w:rPr>
          <w:rStyle w:val="Refdenotaalpie"/>
          <w:rFonts w:ascii="Times New Roman" w:hAnsi="Times New Roman" w:cs="Times New Roman"/>
          <w:i/>
          <w:iCs/>
        </w:rPr>
        <w:footnoteReference w:id="25"/>
      </w:r>
      <w:r w:rsidR="00EB138E" w:rsidRPr="00246FA0">
        <w:rPr>
          <w:rFonts w:ascii="Times New Roman" w:hAnsi="Times New Roman" w:cs="Times New Roman"/>
          <w:i/>
          <w:iCs/>
        </w:rPr>
        <w:t>.</w:t>
      </w:r>
    </w:p>
    <w:p w14:paraId="5FBAF55C" w14:textId="72F52911" w:rsidR="008532B4" w:rsidRPr="00EB138E" w:rsidRDefault="00EB138E" w:rsidP="00EB138E">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Por consiguiente, el comportamiento de los efectivos policiales al penetrar los locales de la misión diplomática e impedir que los ocupantes saliesen de la Embajada para salvar sus vidas es un hecho internacionalmente ilícito que será atribuible al Estado guatemalteco, pues se imputan las actuaciones de los funcionarios que actúen en el ejercicio de sus atribuciones de poder público y sigan las directrices de sus superiores jerárquicamente; y la conducta no solo contravino la inviolabilidad de los locales de la misión del artículo 22 de la Convenio de Viena, sino que también fue contraria a las </w:t>
      </w:r>
      <w:r>
        <w:rPr>
          <w:rFonts w:ascii="Times New Roman" w:hAnsi="Times New Roman" w:cs="Times New Roman"/>
          <w:sz w:val="24"/>
          <w:szCs w:val="24"/>
        </w:rPr>
        <w:lastRenderedPageBreak/>
        <w:t xml:space="preserve">obligaciones de los artículos 24, 27 y 29 de la Convención. </w:t>
      </w:r>
      <w:r w:rsidR="00B81263">
        <w:rPr>
          <w:rFonts w:ascii="Times New Roman" w:hAnsi="Times New Roman" w:cs="Times New Roman"/>
          <w:sz w:val="24"/>
          <w:szCs w:val="24"/>
        </w:rPr>
        <w:t>.P</w:t>
      </w:r>
      <w:r>
        <w:rPr>
          <w:rFonts w:ascii="Times New Roman" w:hAnsi="Times New Roman" w:cs="Times New Roman"/>
          <w:sz w:val="24"/>
          <w:szCs w:val="24"/>
        </w:rPr>
        <w:t xml:space="preserve">or </w:t>
      </w:r>
      <w:r w:rsidR="00B81263">
        <w:rPr>
          <w:rFonts w:ascii="Times New Roman" w:hAnsi="Times New Roman" w:cs="Times New Roman"/>
          <w:sz w:val="24"/>
          <w:szCs w:val="24"/>
        </w:rPr>
        <w:t>lo tanto,</w:t>
      </w:r>
      <w:r>
        <w:rPr>
          <w:rFonts w:ascii="Times New Roman" w:hAnsi="Times New Roman" w:cs="Times New Roman"/>
          <w:sz w:val="24"/>
          <w:szCs w:val="24"/>
        </w:rPr>
        <w:t xml:space="preserve"> Guatemala </w:t>
      </w:r>
      <w:r w:rsidR="00B81263">
        <w:rPr>
          <w:rFonts w:ascii="Times New Roman" w:hAnsi="Times New Roman" w:cs="Times New Roman"/>
          <w:sz w:val="24"/>
          <w:szCs w:val="24"/>
        </w:rPr>
        <w:t xml:space="preserve">deberá </w:t>
      </w:r>
      <w:r>
        <w:rPr>
          <w:rFonts w:ascii="Times New Roman" w:hAnsi="Times New Roman" w:cs="Times New Roman"/>
          <w:sz w:val="24"/>
          <w:szCs w:val="24"/>
        </w:rPr>
        <w:t xml:space="preserve">indemnizar los daños materiales y morales sufridos tanto en los locales de la embajada como en el personal diplomático. </w:t>
      </w:r>
    </w:p>
    <w:p w14:paraId="500C12B5" w14:textId="1B4A29A6" w:rsidR="003B2B0D" w:rsidRPr="00200AC2" w:rsidRDefault="008532B4" w:rsidP="008532B4">
      <w:pPr>
        <w:pStyle w:val="Ttulo3"/>
        <w:numPr>
          <w:ilvl w:val="2"/>
          <w:numId w:val="1"/>
        </w:numPr>
        <w:spacing w:line="360" w:lineRule="auto"/>
        <w:jc w:val="both"/>
        <w:rPr>
          <w:rFonts w:ascii="Times New Roman" w:hAnsi="Times New Roman" w:cs="Times New Roman"/>
          <w:sz w:val="28"/>
          <w:szCs w:val="28"/>
        </w:rPr>
      </w:pPr>
      <w:bookmarkStart w:id="25" w:name="_Toc65498617"/>
      <w:r w:rsidRPr="00200AC2">
        <w:rPr>
          <w:rFonts w:ascii="Times New Roman" w:hAnsi="Times New Roman" w:cs="Times New Roman"/>
          <w:sz w:val="28"/>
          <w:szCs w:val="28"/>
        </w:rPr>
        <w:t>Consecuencias polític</w:t>
      </w:r>
      <w:r w:rsidR="00FA1B1E" w:rsidRPr="00200AC2">
        <w:rPr>
          <w:rFonts w:ascii="Times New Roman" w:hAnsi="Times New Roman" w:cs="Times New Roman"/>
          <w:sz w:val="28"/>
          <w:szCs w:val="28"/>
        </w:rPr>
        <w:t>o-</w:t>
      </w:r>
      <w:r w:rsidRPr="00200AC2">
        <w:rPr>
          <w:rFonts w:ascii="Times New Roman" w:hAnsi="Times New Roman" w:cs="Times New Roman"/>
          <w:sz w:val="28"/>
          <w:szCs w:val="28"/>
        </w:rPr>
        <w:t>jurídicas</w:t>
      </w:r>
      <w:bookmarkEnd w:id="25"/>
      <w:r w:rsidRPr="00200AC2">
        <w:rPr>
          <w:rFonts w:ascii="Times New Roman" w:hAnsi="Times New Roman" w:cs="Times New Roman"/>
          <w:sz w:val="28"/>
          <w:szCs w:val="28"/>
        </w:rPr>
        <w:t xml:space="preserve"> </w:t>
      </w:r>
    </w:p>
    <w:p w14:paraId="17ED5532" w14:textId="7549907A" w:rsidR="003B2B0D" w:rsidRDefault="008532B4" w:rsidP="008532B4">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Las consecuencias que se derivan de la ocupación por parte de los campesinos, el asalto de las fuerzas de seguridad de Guatemala y la quema de la Embajada de España que deriv</w:t>
      </w:r>
      <w:r w:rsidR="00303CCE">
        <w:rPr>
          <w:rFonts w:ascii="Times New Roman" w:hAnsi="Times New Roman" w:cs="Times New Roman"/>
          <w:sz w:val="24"/>
          <w:szCs w:val="24"/>
        </w:rPr>
        <w:t>ó</w:t>
      </w:r>
      <w:r>
        <w:rPr>
          <w:rFonts w:ascii="Times New Roman" w:hAnsi="Times New Roman" w:cs="Times New Roman"/>
          <w:sz w:val="24"/>
          <w:szCs w:val="24"/>
        </w:rPr>
        <w:t xml:space="preserve"> en la muerte de todas las personas allí presentes, salvo el jefe de la misión Máximo Cajal y el campesino Gregorio </w:t>
      </w:r>
      <w:proofErr w:type="spellStart"/>
      <w:r>
        <w:rPr>
          <w:rFonts w:ascii="Times New Roman" w:hAnsi="Times New Roman" w:cs="Times New Roman"/>
          <w:sz w:val="24"/>
          <w:szCs w:val="24"/>
        </w:rPr>
        <w:t>Yujá</w:t>
      </w:r>
      <w:proofErr w:type="spellEnd"/>
      <w:r>
        <w:rPr>
          <w:rFonts w:ascii="Times New Roman" w:hAnsi="Times New Roman" w:cs="Times New Roman"/>
          <w:sz w:val="24"/>
          <w:szCs w:val="24"/>
        </w:rPr>
        <w:t xml:space="preserve"> que más tarde</w:t>
      </w:r>
      <w:r w:rsidR="00B81263">
        <w:rPr>
          <w:rFonts w:ascii="Times New Roman" w:hAnsi="Times New Roman" w:cs="Times New Roman"/>
          <w:sz w:val="24"/>
          <w:szCs w:val="24"/>
        </w:rPr>
        <w:t xml:space="preserve"> fue</w:t>
      </w:r>
      <w:r>
        <w:rPr>
          <w:rFonts w:ascii="Times New Roman" w:hAnsi="Times New Roman" w:cs="Times New Roman"/>
          <w:sz w:val="24"/>
          <w:szCs w:val="24"/>
        </w:rPr>
        <w:t xml:space="preserve"> secuestrado y asesinado</w:t>
      </w:r>
      <w:r w:rsidR="002148EE">
        <w:rPr>
          <w:rFonts w:ascii="Times New Roman" w:hAnsi="Times New Roman" w:cs="Times New Roman"/>
          <w:sz w:val="24"/>
          <w:szCs w:val="24"/>
        </w:rPr>
        <w:t>,</w:t>
      </w:r>
      <w:r>
        <w:rPr>
          <w:rFonts w:ascii="Times New Roman" w:hAnsi="Times New Roman" w:cs="Times New Roman"/>
          <w:sz w:val="24"/>
          <w:szCs w:val="24"/>
        </w:rPr>
        <w:t xml:space="preserve"> deben </w:t>
      </w:r>
      <w:r w:rsidR="002148EE">
        <w:rPr>
          <w:rFonts w:ascii="Times New Roman" w:hAnsi="Times New Roman" w:cs="Times New Roman"/>
          <w:sz w:val="24"/>
          <w:szCs w:val="24"/>
        </w:rPr>
        <w:t>analizarse</w:t>
      </w:r>
      <w:r>
        <w:rPr>
          <w:rFonts w:ascii="Times New Roman" w:hAnsi="Times New Roman" w:cs="Times New Roman"/>
          <w:sz w:val="24"/>
          <w:szCs w:val="24"/>
        </w:rPr>
        <w:t xml:space="preserve"> desde los puntos de vista político y jurídico. </w:t>
      </w:r>
    </w:p>
    <w:p w14:paraId="103EF815" w14:textId="4235567B" w:rsidR="00380C3A" w:rsidRDefault="006A230C" w:rsidP="00A73BC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P</w:t>
      </w:r>
      <w:r w:rsidR="00AC77CD">
        <w:rPr>
          <w:rFonts w:ascii="Times New Roman" w:hAnsi="Times New Roman" w:cs="Times New Roman"/>
          <w:sz w:val="24"/>
          <w:szCs w:val="24"/>
        </w:rPr>
        <w:t>RIMERO</w:t>
      </w:r>
      <w:r>
        <w:rPr>
          <w:rFonts w:ascii="Times New Roman" w:hAnsi="Times New Roman" w:cs="Times New Roman"/>
          <w:sz w:val="24"/>
          <w:szCs w:val="24"/>
        </w:rPr>
        <w:t>, la consecuencia política de los acontecimientos del 31 de enero de 1980 en la Embajada de España en Guatemala fue la ruptura de las relaciones diplomáticas acordada por el Gobierno español de Adolfo Suárez</w:t>
      </w:r>
      <w:r w:rsidR="00380C3A">
        <w:rPr>
          <w:rFonts w:ascii="Times New Roman" w:hAnsi="Times New Roman" w:cs="Times New Roman"/>
          <w:sz w:val="24"/>
          <w:szCs w:val="24"/>
        </w:rPr>
        <w:t xml:space="preserve"> que no sería restablecidas hasta 1984 bajo el Gobierno de Felipe González</w:t>
      </w:r>
      <w:r>
        <w:rPr>
          <w:rFonts w:ascii="Times New Roman" w:hAnsi="Times New Roman" w:cs="Times New Roman"/>
          <w:sz w:val="24"/>
          <w:szCs w:val="24"/>
        </w:rPr>
        <w:t>. Esta medida sería declarada el día siguiente a los hechos ante la falta de explicaciones satisfactorias del Gobierno de Guatemala, que en los dos comunicados emitidos el mismo día present</w:t>
      </w:r>
      <w:r w:rsidR="002148EE">
        <w:rPr>
          <w:rFonts w:ascii="Times New Roman" w:hAnsi="Times New Roman" w:cs="Times New Roman"/>
          <w:sz w:val="24"/>
          <w:szCs w:val="24"/>
        </w:rPr>
        <w:t>ó</w:t>
      </w:r>
      <w:r>
        <w:rPr>
          <w:rFonts w:ascii="Times New Roman" w:hAnsi="Times New Roman" w:cs="Times New Roman"/>
          <w:sz w:val="24"/>
          <w:szCs w:val="24"/>
        </w:rPr>
        <w:t xml:space="preserve"> una versión falsa de los hechos, no condeno las actuaciones ilícitas de los efectivos policiales y tampoco present</w:t>
      </w:r>
      <w:r w:rsidR="002148EE">
        <w:rPr>
          <w:rFonts w:ascii="Times New Roman" w:hAnsi="Times New Roman" w:cs="Times New Roman"/>
          <w:sz w:val="24"/>
          <w:szCs w:val="24"/>
        </w:rPr>
        <w:t>ó</w:t>
      </w:r>
      <w:r>
        <w:rPr>
          <w:rFonts w:ascii="Times New Roman" w:hAnsi="Times New Roman" w:cs="Times New Roman"/>
          <w:sz w:val="24"/>
          <w:szCs w:val="24"/>
        </w:rPr>
        <w:t xml:space="preserve"> excusas al Gobierno de España. </w:t>
      </w:r>
      <w:r w:rsidR="00A73BCF">
        <w:rPr>
          <w:rFonts w:ascii="Times New Roman" w:hAnsi="Times New Roman" w:cs="Times New Roman"/>
          <w:sz w:val="24"/>
          <w:szCs w:val="24"/>
        </w:rPr>
        <w:t>El comunicado del Ejecutivo español expresó</w:t>
      </w:r>
      <w:r w:rsidR="00380C3A">
        <w:rPr>
          <w:rFonts w:ascii="Times New Roman" w:hAnsi="Times New Roman" w:cs="Times New Roman"/>
          <w:sz w:val="24"/>
          <w:szCs w:val="24"/>
        </w:rPr>
        <w:t>:</w:t>
      </w:r>
    </w:p>
    <w:p w14:paraId="14152201" w14:textId="14C3364E" w:rsidR="00380C3A" w:rsidRPr="00380C3A" w:rsidRDefault="00A73BCF" w:rsidP="00F017CF">
      <w:pPr>
        <w:spacing w:line="276" w:lineRule="auto"/>
        <w:ind w:left="720" w:firstLine="720"/>
        <w:jc w:val="both"/>
        <w:rPr>
          <w:rFonts w:ascii="Times New Roman" w:hAnsi="Times New Roman" w:cs="Times New Roman"/>
        </w:rPr>
      </w:pPr>
      <w:r w:rsidRPr="00200AC2">
        <w:rPr>
          <w:rFonts w:ascii="Times New Roman" w:hAnsi="Times New Roman" w:cs="Times New Roman"/>
          <w:i/>
          <w:iCs/>
        </w:rPr>
        <w:t>“</w:t>
      </w:r>
      <w:r w:rsidR="00200AC2">
        <w:rPr>
          <w:rFonts w:ascii="Times New Roman" w:hAnsi="Times New Roman" w:cs="Times New Roman"/>
          <w:i/>
          <w:iCs/>
        </w:rPr>
        <w:t>L</w:t>
      </w:r>
      <w:r w:rsidR="00380C3A" w:rsidRPr="00200AC2">
        <w:rPr>
          <w:rFonts w:ascii="Times New Roman" w:hAnsi="Times New Roman" w:cs="Times New Roman"/>
          <w:i/>
          <w:iCs/>
        </w:rPr>
        <w:t xml:space="preserve">a </w:t>
      </w:r>
      <w:r w:rsidRPr="00200AC2">
        <w:rPr>
          <w:rFonts w:ascii="Times New Roman" w:hAnsi="Times New Roman" w:cs="Times New Roman"/>
          <w:i/>
          <w:iCs/>
        </w:rPr>
        <w:t>más firme condena por la conducta seguida por las autoridades de Guatemala, que en violación de las más elementales normas del Derecho internacional y del deber de todo Estado de garantizar la inmunidad e inviolabilidad de las representaciones diplomáticas extranjeras y de su personal permitieron que fuerzas de seguridad bajo su mando asaltaran brutalmente la sede diplomática española</w:t>
      </w:r>
      <w:r w:rsidRPr="00380C3A">
        <w:rPr>
          <w:rFonts w:ascii="Times New Roman" w:hAnsi="Times New Roman" w:cs="Times New Roman"/>
        </w:rPr>
        <w:t>”</w:t>
      </w:r>
      <w:r w:rsidR="00246FA0">
        <w:rPr>
          <w:rStyle w:val="Refdenotaalpie"/>
          <w:rFonts w:ascii="Times New Roman" w:hAnsi="Times New Roman" w:cs="Times New Roman"/>
        </w:rPr>
        <w:footnoteReference w:id="26"/>
      </w:r>
      <w:r w:rsidRPr="00380C3A">
        <w:rPr>
          <w:rFonts w:ascii="Times New Roman" w:hAnsi="Times New Roman" w:cs="Times New Roman"/>
        </w:rPr>
        <w:t xml:space="preserve">. </w:t>
      </w:r>
    </w:p>
    <w:p w14:paraId="7EB301C2" w14:textId="73F4D36B" w:rsidR="003B2B0D" w:rsidRDefault="00CE6D2F" w:rsidP="00C1132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L</w:t>
      </w:r>
      <w:r w:rsidR="00E4372A">
        <w:rPr>
          <w:rFonts w:ascii="Times New Roman" w:hAnsi="Times New Roman" w:cs="Times New Roman"/>
          <w:sz w:val="24"/>
          <w:szCs w:val="24"/>
        </w:rPr>
        <w:t>a ruptura de las relaciones con Guatemala estaba plenamente justificada, pues la república centroamericana no condenó la conducta de sus autoridades considerada como un auténtico hecho internacionalmente ilícito que debía haber sido condenado por los dirigentes del país, que tampoco present</w:t>
      </w:r>
      <w:r w:rsidR="002148EE">
        <w:rPr>
          <w:rFonts w:ascii="Times New Roman" w:hAnsi="Times New Roman" w:cs="Times New Roman"/>
          <w:sz w:val="24"/>
          <w:szCs w:val="24"/>
        </w:rPr>
        <w:t xml:space="preserve">ó </w:t>
      </w:r>
      <w:r w:rsidR="00E4372A">
        <w:rPr>
          <w:rFonts w:ascii="Times New Roman" w:hAnsi="Times New Roman" w:cs="Times New Roman"/>
          <w:sz w:val="24"/>
          <w:szCs w:val="24"/>
        </w:rPr>
        <w:t xml:space="preserve">excusas al Gobierno español. </w:t>
      </w:r>
    </w:p>
    <w:p w14:paraId="2B0EF2D5" w14:textId="2E3EE8D2" w:rsidR="00C11322" w:rsidRDefault="00AC77CD" w:rsidP="00DB6E4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SEGUNDO</w:t>
      </w:r>
      <w:r w:rsidR="00BE4DC8">
        <w:rPr>
          <w:rFonts w:ascii="Times New Roman" w:hAnsi="Times New Roman" w:cs="Times New Roman"/>
          <w:sz w:val="24"/>
          <w:szCs w:val="24"/>
        </w:rPr>
        <w:t xml:space="preserve">, </w:t>
      </w:r>
      <w:r w:rsidR="00075754">
        <w:rPr>
          <w:rFonts w:ascii="Times New Roman" w:hAnsi="Times New Roman" w:cs="Times New Roman"/>
          <w:sz w:val="24"/>
          <w:szCs w:val="24"/>
        </w:rPr>
        <w:t xml:space="preserve">tras 35 años de impunidad y falseamiento de la realidad por las élites políticas y los medios de comunicación tanto guatemaltecos como españoles, la sentencia </w:t>
      </w:r>
      <w:r w:rsidR="00FA1B1E">
        <w:rPr>
          <w:rFonts w:ascii="Times New Roman" w:hAnsi="Times New Roman" w:cs="Times New Roman"/>
          <w:sz w:val="24"/>
          <w:szCs w:val="24"/>
        </w:rPr>
        <w:t xml:space="preserve">del Tribunal B de Mayor Riesgo </w:t>
      </w:r>
      <w:r w:rsidR="0079739F">
        <w:rPr>
          <w:rFonts w:ascii="Times New Roman" w:hAnsi="Times New Roman" w:cs="Times New Roman"/>
          <w:sz w:val="24"/>
          <w:szCs w:val="24"/>
        </w:rPr>
        <w:t>condenó</w:t>
      </w:r>
      <w:r w:rsidR="00FA1B1E">
        <w:rPr>
          <w:rFonts w:ascii="Times New Roman" w:hAnsi="Times New Roman" w:cs="Times New Roman"/>
          <w:sz w:val="24"/>
          <w:szCs w:val="24"/>
        </w:rPr>
        <w:t xml:space="preserve"> </w:t>
      </w:r>
      <w:r w:rsidR="0079739F">
        <w:rPr>
          <w:rFonts w:ascii="Times New Roman" w:hAnsi="Times New Roman" w:cs="Times New Roman"/>
          <w:sz w:val="24"/>
          <w:szCs w:val="24"/>
        </w:rPr>
        <w:t xml:space="preserve">a </w:t>
      </w:r>
      <w:r w:rsidR="00075754">
        <w:rPr>
          <w:rFonts w:ascii="Times New Roman" w:hAnsi="Times New Roman" w:cs="Times New Roman"/>
          <w:sz w:val="24"/>
          <w:szCs w:val="24"/>
        </w:rPr>
        <w:t>Pedro García Arredondo, Jefe del Comando 6 de la Policía Nacional</w:t>
      </w:r>
      <w:r w:rsidR="0079739F">
        <w:rPr>
          <w:rFonts w:ascii="Times New Roman" w:hAnsi="Times New Roman" w:cs="Times New Roman"/>
          <w:sz w:val="24"/>
          <w:szCs w:val="24"/>
        </w:rPr>
        <w:t xml:space="preserve">, a 90 </w:t>
      </w:r>
      <w:r w:rsidR="002148EE">
        <w:rPr>
          <w:rFonts w:ascii="Times New Roman" w:hAnsi="Times New Roman" w:cs="Times New Roman"/>
          <w:sz w:val="24"/>
          <w:szCs w:val="24"/>
        </w:rPr>
        <w:t xml:space="preserve">años </w:t>
      </w:r>
      <w:r w:rsidR="0079739F">
        <w:rPr>
          <w:rFonts w:ascii="Times New Roman" w:hAnsi="Times New Roman" w:cs="Times New Roman"/>
          <w:sz w:val="24"/>
          <w:szCs w:val="24"/>
        </w:rPr>
        <w:t xml:space="preserve">de prisión por </w:t>
      </w:r>
      <w:r w:rsidR="0079739F" w:rsidRPr="00F9229C">
        <w:rPr>
          <w:rFonts w:ascii="Times New Roman" w:hAnsi="Times New Roman" w:cs="Times New Roman"/>
          <w:i/>
          <w:iCs/>
          <w:sz w:val="24"/>
          <w:szCs w:val="24"/>
        </w:rPr>
        <w:t xml:space="preserve">“delitos contra los deberes de humanidad y por el asesinato de 37 personas civiles y no combatientes, por actos inhumanos contra población civil desarmada, por haber impedido y obstaculizado </w:t>
      </w:r>
      <w:r w:rsidR="0079739F" w:rsidRPr="00F9229C">
        <w:rPr>
          <w:rFonts w:ascii="Times New Roman" w:hAnsi="Times New Roman" w:cs="Times New Roman"/>
          <w:i/>
          <w:iCs/>
          <w:sz w:val="24"/>
          <w:szCs w:val="24"/>
        </w:rPr>
        <w:lastRenderedPageBreak/>
        <w:t>cualquier comunicación, mediación o negociación pacífica y por haber ordenado el ingreso por la fuerza de las fuerzas policiales en la sede de la Embajada</w:t>
      </w:r>
      <w:r w:rsidR="00F9229C" w:rsidRPr="00F9229C">
        <w:rPr>
          <w:rFonts w:ascii="Times New Roman" w:hAnsi="Times New Roman" w:cs="Times New Roman"/>
          <w:i/>
          <w:iCs/>
          <w:sz w:val="24"/>
          <w:szCs w:val="24"/>
        </w:rPr>
        <w:t>”</w:t>
      </w:r>
      <w:r w:rsidR="00F9229C">
        <w:rPr>
          <w:rStyle w:val="Refdenotaalpie"/>
          <w:rFonts w:ascii="Times New Roman" w:hAnsi="Times New Roman" w:cs="Times New Roman"/>
          <w:i/>
          <w:iCs/>
          <w:sz w:val="24"/>
          <w:szCs w:val="24"/>
        </w:rPr>
        <w:footnoteReference w:id="27"/>
      </w:r>
      <w:r w:rsidR="0079739F">
        <w:rPr>
          <w:rFonts w:ascii="Times New Roman" w:hAnsi="Times New Roman" w:cs="Times New Roman"/>
          <w:sz w:val="24"/>
          <w:szCs w:val="24"/>
        </w:rPr>
        <w:t xml:space="preserve">. </w:t>
      </w:r>
      <w:r w:rsidR="00DB6E4D">
        <w:rPr>
          <w:rFonts w:ascii="Times New Roman" w:hAnsi="Times New Roman" w:cs="Times New Roman"/>
          <w:sz w:val="24"/>
          <w:szCs w:val="24"/>
        </w:rPr>
        <w:t xml:space="preserve">La </w:t>
      </w:r>
      <w:r w:rsidR="00A41C10">
        <w:rPr>
          <w:rFonts w:ascii="Times New Roman" w:hAnsi="Times New Roman" w:cs="Times New Roman"/>
          <w:sz w:val="24"/>
          <w:szCs w:val="24"/>
        </w:rPr>
        <w:t xml:space="preserve">sentencia condenatoria </w:t>
      </w:r>
      <w:r w:rsidR="0079739F">
        <w:rPr>
          <w:rFonts w:ascii="Times New Roman" w:hAnsi="Times New Roman" w:cs="Times New Roman"/>
          <w:sz w:val="24"/>
          <w:szCs w:val="24"/>
        </w:rPr>
        <w:t>determinó</w:t>
      </w:r>
      <w:r w:rsidR="00DB6E4D">
        <w:rPr>
          <w:rFonts w:ascii="Times New Roman" w:hAnsi="Times New Roman" w:cs="Times New Roman"/>
          <w:sz w:val="24"/>
          <w:szCs w:val="24"/>
        </w:rPr>
        <w:t xml:space="preserve">: primero, </w:t>
      </w:r>
      <w:r w:rsidR="0079739F">
        <w:rPr>
          <w:rFonts w:ascii="Times New Roman" w:hAnsi="Times New Roman" w:cs="Times New Roman"/>
          <w:sz w:val="24"/>
          <w:szCs w:val="24"/>
        </w:rPr>
        <w:t xml:space="preserve">la ocupación por parte de los campesinos de El Quiché </w:t>
      </w:r>
      <w:r w:rsidR="00A41C10">
        <w:rPr>
          <w:rFonts w:ascii="Times New Roman" w:hAnsi="Times New Roman" w:cs="Times New Roman"/>
          <w:sz w:val="24"/>
          <w:szCs w:val="24"/>
        </w:rPr>
        <w:t xml:space="preserve">era de carácter pacífico con el fin de </w:t>
      </w:r>
      <w:r w:rsidR="0079739F">
        <w:rPr>
          <w:rFonts w:ascii="Times New Roman" w:hAnsi="Times New Roman" w:cs="Times New Roman"/>
          <w:sz w:val="24"/>
          <w:szCs w:val="24"/>
        </w:rPr>
        <w:t>reivindicar</w:t>
      </w:r>
      <w:r w:rsidR="00A41C10">
        <w:rPr>
          <w:rFonts w:ascii="Times New Roman" w:hAnsi="Times New Roman" w:cs="Times New Roman"/>
          <w:sz w:val="24"/>
          <w:szCs w:val="24"/>
        </w:rPr>
        <w:t xml:space="preserve"> sus protestas contra la represión militar; </w:t>
      </w:r>
      <w:r w:rsidR="00DB6E4D">
        <w:rPr>
          <w:rFonts w:ascii="Times New Roman" w:hAnsi="Times New Roman" w:cs="Times New Roman"/>
          <w:sz w:val="24"/>
          <w:szCs w:val="24"/>
        </w:rPr>
        <w:t xml:space="preserve">segundo, </w:t>
      </w:r>
      <w:r w:rsidR="00A41C10">
        <w:rPr>
          <w:rFonts w:ascii="Times New Roman" w:hAnsi="Times New Roman" w:cs="Times New Roman"/>
          <w:sz w:val="24"/>
          <w:szCs w:val="24"/>
        </w:rPr>
        <w:t>la policía penetró los locales de la misión diplomátic</w:t>
      </w:r>
      <w:r w:rsidR="00C05E53">
        <w:rPr>
          <w:rFonts w:ascii="Times New Roman" w:hAnsi="Times New Roman" w:cs="Times New Roman"/>
          <w:sz w:val="24"/>
          <w:szCs w:val="24"/>
        </w:rPr>
        <w:t>a sin el consentimiento del Jefe de la Misión y</w:t>
      </w:r>
      <w:r w:rsidR="00A41C10">
        <w:rPr>
          <w:rFonts w:ascii="Times New Roman" w:hAnsi="Times New Roman" w:cs="Times New Roman"/>
          <w:sz w:val="24"/>
          <w:szCs w:val="24"/>
        </w:rPr>
        <w:t xml:space="preserve"> bajo las órdenes de García Arredondo, quien respondía a las instrucciones de sus superiores -el entonces presidente Romeo Lucas García y </w:t>
      </w:r>
      <w:r w:rsidR="00B81263">
        <w:rPr>
          <w:rFonts w:ascii="Times New Roman" w:hAnsi="Times New Roman" w:cs="Times New Roman"/>
          <w:sz w:val="24"/>
          <w:szCs w:val="24"/>
        </w:rPr>
        <w:t xml:space="preserve">el </w:t>
      </w:r>
      <w:r w:rsidR="00A41C10">
        <w:rPr>
          <w:rFonts w:ascii="Times New Roman" w:hAnsi="Times New Roman" w:cs="Times New Roman"/>
          <w:sz w:val="24"/>
          <w:szCs w:val="24"/>
        </w:rPr>
        <w:t xml:space="preserve">exministro de Gobernación, Donaldo </w:t>
      </w:r>
      <w:r w:rsidR="00250A86">
        <w:rPr>
          <w:rFonts w:ascii="Times New Roman" w:hAnsi="Times New Roman" w:cs="Times New Roman"/>
          <w:sz w:val="24"/>
          <w:szCs w:val="24"/>
        </w:rPr>
        <w:t>Álvarez</w:t>
      </w:r>
      <w:r w:rsidR="00A41C10">
        <w:rPr>
          <w:rFonts w:ascii="Times New Roman" w:hAnsi="Times New Roman" w:cs="Times New Roman"/>
          <w:sz w:val="24"/>
          <w:szCs w:val="24"/>
        </w:rPr>
        <w:t>-</w:t>
      </w:r>
      <w:r w:rsidR="00DB6E4D">
        <w:rPr>
          <w:rFonts w:ascii="Times New Roman" w:hAnsi="Times New Roman" w:cs="Times New Roman"/>
          <w:sz w:val="24"/>
          <w:szCs w:val="24"/>
        </w:rPr>
        <w:t>;</w:t>
      </w:r>
      <w:r w:rsidR="00A41C10" w:rsidRPr="00A41C10">
        <w:t xml:space="preserve"> </w:t>
      </w:r>
      <w:r w:rsidR="00A41C10">
        <w:t xml:space="preserve"> </w:t>
      </w:r>
      <w:r w:rsidR="00DB6E4D">
        <w:rPr>
          <w:rFonts w:ascii="Times New Roman" w:hAnsi="Times New Roman" w:cs="Times New Roman"/>
          <w:sz w:val="24"/>
          <w:szCs w:val="24"/>
        </w:rPr>
        <w:t xml:space="preserve">y tercero, </w:t>
      </w:r>
      <w:r w:rsidR="00A41C10" w:rsidRPr="00A41C10">
        <w:rPr>
          <w:rFonts w:ascii="Times New Roman" w:hAnsi="Times New Roman" w:cs="Times New Roman"/>
          <w:sz w:val="24"/>
          <w:szCs w:val="24"/>
        </w:rPr>
        <w:t>la tesis de la inmolación</w:t>
      </w:r>
      <w:r w:rsidR="00DB6E4D">
        <w:rPr>
          <w:rFonts w:ascii="Times New Roman" w:hAnsi="Times New Roman" w:cs="Times New Roman"/>
          <w:sz w:val="24"/>
          <w:szCs w:val="24"/>
        </w:rPr>
        <w:t xml:space="preserve"> fue descartada por completo, pues e</w:t>
      </w:r>
      <w:r w:rsidR="00A41C10">
        <w:rPr>
          <w:rFonts w:ascii="Times New Roman" w:hAnsi="Times New Roman" w:cs="Times New Roman"/>
          <w:sz w:val="24"/>
          <w:szCs w:val="24"/>
        </w:rPr>
        <w:t xml:space="preserve">l origen de las llamas en el interior fue por un cilindro de gas </w:t>
      </w:r>
      <w:r w:rsidR="00DB6E4D">
        <w:rPr>
          <w:rFonts w:ascii="Times New Roman" w:hAnsi="Times New Roman" w:cs="Times New Roman"/>
          <w:sz w:val="24"/>
          <w:szCs w:val="24"/>
        </w:rPr>
        <w:t>de</w:t>
      </w:r>
      <w:r w:rsidR="00A41C10">
        <w:rPr>
          <w:rFonts w:ascii="Times New Roman" w:hAnsi="Times New Roman" w:cs="Times New Roman"/>
          <w:sz w:val="24"/>
          <w:szCs w:val="24"/>
        </w:rPr>
        <w:t xml:space="preserve"> un agente policial, y no como alegó la defensa</w:t>
      </w:r>
      <w:r w:rsidR="00DB6E4D">
        <w:rPr>
          <w:rFonts w:ascii="Times New Roman" w:hAnsi="Times New Roman" w:cs="Times New Roman"/>
          <w:sz w:val="24"/>
          <w:szCs w:val="24"/>
        </w:rPr>
        <w:t xml:space="preserve">, por cócteles molotov que portaban los campesinos. </w:t>
      </w:r>
    </w:p>
    <w:p w14:paraId="19E87203" w14:textId="4AF9D9CB" w:rsidR="003B2B0D" w:rsidRDefault="00C11322" w:rsidP="003E3DA4">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 </w:t>
      </w:r>
      <w:r w:rsidR="00DB6E4D">
        <w:rPr>
          <w:rFonts w:ascii="Times New Roman" w:hAnsi="Times New Roman" w:cs="Times New Roman"/>
          <w:sz w:val="24"/>
          <w:szCs w:val="24"/>
        </w:rPr>
        <w:t>sentencia es todo un</w:t>
      </w:r>
      <w:r w:rsidR="00FA1B1E">
        <w:rPr>
          <w:rFonts w:ascii="Times New Roman" w:hAnsi="Times New Roman" w:cs="Times New Roman"/>
          <w:sz w:val="24"/>
          <w:szCs w:val="24"/>
        </w:rPr>
        <w:t xml:space="preserve"> </w:t>
      </w:r>
      <w:r w:rsidRPr="0017702E">
        <w:rPr>
          <w:rFonts w:ascii="Times New Roman" w:hAnsi="Times New Roman" w:cs="Times New Roman"/>
          <w:i/>
          <w:iCs/>
          <w:sz w:val="24"/>
          <w:szCs w:val="24"/>
        </w:rPr>
        <w:t>“</w:t>
      </w:r>
      <w:r w:rsidR="00FA1B1E" w:rsidRPr="0017702E">
        <w:rPr>
          <w:rFonts w:ascii="Times New Roman" w:hAnsi="Times New Roman" w:cs="Times New Roman"/>
          <w:i/>
          <w:iCs/>
          <w:sz w:val="24"/>
          <w:szCs w:val="24"/>
        </w:rPr>
        <w:t>hito en la historia de la justicia internacional</w:t>
      </w:r>
      <w:r w:rsidRPr="0017702E">
        <w:rPr>
          <w:rFonts w:ascii="Times New Roman" w:hAnsi="Times New Roman" w:cs="Times New Roman"/>
          <w:i/>
          <w:iCs/>
          <w:sz w:val="24"/>
          <w:szCs w:val="24"/>
        </w:rPr>
        <w:t>”</w:t>
      </w:r>
      <w:r w:rsidR="00FA1B1E">
        <w:rPr>
          <w:rFonts w:ascii="Times New Roman" w:hAnsi="Times New Roman" w:cs="Times New Roman"/>
          <w:sz w:val="24"/>
          <w:szCs w:val="24"/>
        </w:rPr>
        <w:t>, ya que condena individualmente a uno de los autores por el incumplimiento por parte de los órganos del Estado de obligaciones reconocidas internacionalmente</w:t>
      </w:r>
      <w:sdt>
        <w:sdtPr>
          <w:rPr>
            <w:rFonts w:ascii="Times New Roman" w:hAnsi="Times New Roman" w:cs="Times New Roman"/>
            <w:sz w:val="24"/>
            <w:szCs w:val="24"/>
          </w:rPr>
          <w:id w:val="-70424387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Pic15 \p 46 \l 3082 </w:instrText>
          </w:r>
          <w:r>
            <w:rPr>
              <w:rFonts w:ascii="Times New Roman" w:hAnsi="Times New Roman" w:cs="Times New Roman"/>
              <w:sz w:val="24"/>
              <w:szCs w:val="24"/>
            </w:rPr>
            <w:fldChar w:fldCharType="separate"/>
          </w:r>
          <w:r w:rsidR="00246FA0">
            <w:rPr>
              <w:rFonts w:ascii="Times New Roman" w:hAnsi="Times New Roman" w:cs="Times New Roman"/>
              <w:noProof/>
              <w:sz w:val="24"/>
              <w:szCs w:val="24"/>
            </w:rPr>
            <w:t xml:space="preserve"> </w:t>
          </w:r>
          <w:r w:rsidR="00246FA0" w:rsidRPr="00246FA0">
            <w:rPr>
              <w:rFonts w:ascii="Times New Roman" w:hAnsi="Times New Roman" w:cs="Times New Roman"/>
              <w:noProof/>
              <w:sz w:val="24"/>
              <w:szCs w:val="24"/>
            </w:rPr>
            <w:t>(Pico de Coaña de Valicourt &amp; Casaús Arzú, 2015, pág. 46)</w:t>
          </w:r>
          <w:r>
            <w:rPr>
              <w:rFonts w:ascii="Times New Roman" w:hAnsi="Times New Roman" w:cs="Times New Roman"/>
              <w:sz w:val="24"/>
              <w:szCs w:val="24"/>
            </w:rPr>
            <w:fldChar w:fldCharType="end"/>
          </w:r>
        </w:sdtContent>
      </w:sdt>
      <w:r w:rsidR="00DB6E4D">
        <w:rPr>
          <w:rFonts w:ascii="Times New Roman" w:hAnsi="Times New Roman" w:cs="Times New Roman"/>
          <w:sz w:val="24"/>
          <w:szCs w:val="24"/>
        </w:rPr>
        <w:t xml:space="preserve">. Si bien es cierto que la sentencia no </w:t>
      </w:r>
      <w:r>
        <w:rPr>
          <w:rFonts w:ascii="Times New Roman" w:hAnsi="Times New Roman" w:cs="Times New Roman"/>
          <w:sz w:val="24"/>
          <w:szCs w:val="24"/>
        </w:rPr>
        <w:t>culpa</w:t>
      </w:r>
      <w:r w:rsidR="00DB6E4D">
        <w:rPr>
          <w:rFonts w:ascii="Times New Roman" w:hAnsi="Times New Roman" w:cs="Times New Roman"/>
          <w:sz w:val="24"/>
          <w:szCs w:val="24"/>
        </w:rPr>
        <w:t xml:space="preserve"> al gobierno de Romeo Lucas o </w:t>
      </w:r>
      <w:r>
        <w:rPr>
          <w:rFonts w:ascii="Times New Roman" w:hAnsi="Times New Roman" w:cs="Times New Roman"/>
          <w:sz w:val="24"/>
          <w:szCs w:val="24"/>
        </w:rPr>
        <w:t>responsabiliza al</w:t>
      </w:r>
      <w:r w:rsidR="00DB6E4D">
        <w:rPr>
          <w:rFonts w:ascii="Times New Roman" w:hAnsi="Times New Roman" w:cs="Times New Roman"/>
          <w:sz w:val="24"/>
          <w:szCs w:val="24"/>
        </w:rPr>
        <w:t xml:space="preserve"> Estado, la condena individual a Arredondo sirve como cauce para lucha contra la impunidad y </w:t>
      </w:r>
      <w:r>
        <w:rPr>
          <w:rFonts w:ascii="Times New Roman" w:hAnsi="Times New Roman" w:cs="Times New Roman"/>
          <w:sz w:val="24"/>
          <w:szCs w:val="24"/>
        </w:rPr>
        <w:t>el cumplimiento de la justicia interna e internacional, pues es una forma de castigar a un dirigente por</w:t>
      </w:r>
      <w:r w:rsidR="00DB6E4D">
        <w:rPr>
          <w:rFonts w:ascii="Times New Roman" w:hAnsi="Times New Roman" w:cs="Times New Roman"/>
          <w:sz w:val="24"/>
          <w:szCs w:val="24"/>
        </w:rPr>
        <w:t xml:space="preserve"> la responsabilidad internacional del Estado por hechos internacionalmente ilícitos</w:t>
      </w:r>
      <w:r>
        <w:rPr>
          <w:rFonts w:ascii="Times New Roman" w:hAnsi="Times New Roman" w:cs="Times New Roman"/>
          <w:sz w:val="24"/>
          <w:szCs w:val="24"/>
        </w:rPr>
        <w:t xml:space="preserve">. </w:t>
      </w:r>
      <w:r w:rsidR="00303CCE">
        <w:rPr>
          <w:rFonts w:ascii="Times New Roman" w:hAnsi="Times New Roman" w:cs="Times New Roman"/>
          <w:sz w:val="24"/>
          <w:szCs w:val="24"/>
        </w:rPr>
        <w:t>Se configura de esta manera un procedimiento judicial</w:t>
      </w:r>
      <w:r w:rsidR="000A55C9">
        <w:rPr>
          <w:rFonts w:ascii="Times New Roman" w:hAnsi="Times New Roman" w:cs="Times New Roman"/>
          <w:sz w:val="24"/>
          <w:szCs w:val="24"/>
        </w:rPr>
        <w:t xml:space="preserve"> </w:t>
      </w:r>
      <w:r w:rsidR="00303CCE">
        <w:rPr>
          <w:rFonts w:ascii="Times New Roman" w:hAnsi="Times New Roman" w:cs="Times New Roman"/>
          <w:sz w:val="24"/>
          <w:szCs w:val="24"/>
        </w:rPr>
        <w:t xml:space="preserve">de especial interés </w:t>
      </w:r>
      <w:r w:rsidR="000A55C9">
        <w:rPr>
          <w:rFonts w:ascii="Times New Roman" w:hAnsi="Times New Roman" w:cs="Times New Roman"/>
          <w:sz w:val="24"/>
          <w:szCs w:val="24"/>
        </w:rPr>
        <w:t xml:space="preserve">a través de la responsabilidad penal individual de las personas físicas por crímenes de Estado establecidos en las normas internacionales. Esta vía ha permitido </w:t>
      </w:r>
      <w:r w:rsidR="003E3DA4">
        <w:rPr>
          <w:rFonts w:ascii="Times New Roman" w:hAnsi="Times New Roman" w:cs="Times New Roman"/>
          <w:sz w:val="24"/>
          <w:szCs w:val="24"/>
        </w:rPr>
        <w:t xml:space="preserve">-tras más de 40 años de impunidad- </w:t>
      </w:r>
      <w:r w:rsidR="000A55C9">
        <w:rPr>
          <w:rFonts w:ascii="Times New Roman" w:hAnsi="Times New Roman" w:cs="Times New Roman"/>
          <w:sz w:val="24"/>
          <w:szCs w:val="24"/>
        </w:rPr>
        <w:t>a la Audiencia Nacional</w:t>
      </w:r>
      <w:r w:rsidR="003E3DA4">
        <w:rPr>
          <w:rFonts w:ascii="Times New Roman" w:hAnsi="Times New Roman" w:cs="Times New Roman"/>
          <w:sz w:val="24"/>
          <w:szCs w:val="24"/>
        </w:rPr>
        <w:t>,</w:t>
      </w:r>
      <w:r w:rsidR="000A55C9">
        <w:rPr>
          <w:rFonts w:ascii="Times New Roman" w:hAnsi="Times New Roman" w:cs="Times New Roman"/>
          <w:sz w:val="24"/>
          <w:szCs w:val="24"/>
        </w:rPr>
        <w:t xml:space="preserve"> y en última instancia al Tribunal Supremo</w:t>
      </w:r>
      <w:r w:rsidR="003E3DA4">
        <w:rPr>
          <w:rFonts w:ascii="Times New Roman" w:hAnsi="Times New Roman" w:cs="Times New Roman"/>
          <w:sz w:val="24"/>
          <w:szCs w:val="24"/>
        </w:rPr>
        <w:t xml:space="preserve"> el pasado 4 de enero, a</w:t>
      </w:r>
      <w:r w:rsidR="000A55C9">
        <w:rPr>
          <w:rFonts w:ascii="Times New Roman" w:hAnsi="Times New Roman" w:cs="Times New Roman"/>
          <w:sz w:val="24"/>
          <w:szCs w:val="24"/>
        </w:rPr>
        <w:t xml:space="preserve">l enjuiciamiento y condena al ex viceministro </w:t>
      </w:r>
      <w:r w:rsidR="003E3DA4">
        <w:rPr>
          <w:rFonts w:ascii="Times New Roman" w:hAnsi="Times New Roman" w:cs="Times New Roman"/>
          <w:sz w:val="24"/>
          <w:szCs w:val="24"/>
        </w:rPr>
        <w:t xml:space="preserve">de El Salvado </w:t>
      </w:r>
      <w:r w:rsidR="000A55C9">
        <w:rPr>
          <w:rFonts w:ascii="Times New Roman" w:hAnsi="Times New Roman" w:cs="Times New Roman"/>
          <w:sz w:val="24"/>
          <w:szCs w:val="24"/>
        </w:rPr>
        <w:t>Orlando Montano como autor intelectual de la matanza</w:t>
      </w:r>
      <w:r w:rsidR="003E3DA4">
        <w:rPr>
          <w:rFonts w:ascii="Times New Roman" w:hAnsi="Times New Roman" w:cs="Times New Roman"/>
          <w:sz w:val="24"/>
          <w:szCs w:val="24"/>
        </w:rPr>
        <w:t xml:space="preserve"> perpetrada por el ejército salvadoreño</w:t>
      </w:r>
      <w:r w:rsidR="000A55C9">
        <w:rPr>
          <w:rFonts w:ascii="Times New Roman" w:hAnsi="Times New Roman" w:cs="Times New Roman"/>
          <w:sz w:val="24"/>
          <w:szCs w:val="24"/>
        </w:rPr>
        <w:t xml:space="preserve"> de cinco jesuitas españoles, entre ellos Ignacio Ellacuría</w:t>
      </w:r>
      <w:r w:rsidR="003E3DA4">
        <w:rPr>
          <w:rFonts w:ascii="Times New Roman" w:hAnsi="Times New Roman" w:cs="Times New Roman"/>
          <w:sz w:val="24"/>
          <w:szCs w:val="24"/>
        </w:rPr>
        <w:t xml:space="preserve">, el 16 de noviembre de 1989. </w:t>
      </w:r>
    </w:p>
    <w:p w14:paraId="65892D37" w14:textId="7B8E908C" w:rsidR="003B2B0D" w:rsidRDefault="00C11322" w:rsidP="00096342">
      <w:pPr>
        <w:spacing w:line="360" w:lineRule="auto"/>
        <w:jc w:val="both"/>
        <w:rPr>
          <w:rFonts w:ascii="Times New Roman" w:hAnsi="Times New Roman" w:cs="Times New Roman"/>
          <w:sz w:val="24"/>
          <w:szCs w:val="24"/>
        </w:rPr>
      </w:pPr>
      <w:r>
        <w:rPr>
          <w:rFonts w:ascii="Times New Roman" w:hAnsi="Times New Roman" w:cs="Times New Roman"/>
          <w:sz w:val="24"/>
          <w:szCs w:val="24"/>
        </w:rPr>
        <w:tab/>
      </w:r>
    </w:p>
    <w:p w14:paraId="2796FE28" w14:textId="66A11A3F" w:rsidR="003B2B0D" w:rsidRDefault="003B2B0D" w:rsidP="00FB5B5B">
      <w:pPr>
        <w:spacing w:line="276" w:lineRule="auto"/>
        <w:jc w:val="both"/>
        <w:rPr>
          <w:rFonts w:ascii="Times New Roman" w:hAnsi="Times New Roman" w:cs="Times New Roman"/>
          <w:sz w:val="24"/>
          <w:szCs w:val="24"/>
        </w:rPr>
      </w:pPr>
    </w:p>
    <w:p w14:paraId="1045B6FC" w14:textId="5A52079C" w:rsidR="00FB5B5B" w:rsidRPr="00200AC2" w:rsidRDefault="00FB5B5B" w:rsidP="00FB5B5B">
      <w:pPr>
        <w:pStyle w:val="Ttulo2"/>
        <w:numPr>
          <w:ilvl w:val="1"/>
          <w:numId w:val="1"/>
        </w:numPr>
        <w:spacing w:line="360" w:lineRule="auto"/>
        <w:jc w:val="both"/>
        <w:rPr>
          <w:rFonts w:ascii="Times New Roman" w:hAnsi="Times New Roman" w:cs="Times New Roman"/>
          <w:color w:val="243F60" w:themeColor="accent1" w:themeShade="7F"/>
          <w:sz w:val="28"/>
          <w:szCs w:val="28"/>
        </w:rPr>
      </w:pPr>
      <w:bookmarkStart w:id="26" w:name="_Toc65498618"/>
      <w:r w:rsidRPr="00200AC2">
        <w:rPr>
          <w:rFonts w:ascii="Times New Roman" w:hAnsi="Times New Roman" w:cs="Times New Roman"/>
          <w:sz w:val="28"/>
          <w:szCs w:val="28"/>
        </w:rPr>
        <w:lastRenderedPageBreak/>
        <w:t>Caso relativo al personal diplomático y consular de la Embajada de Estados Unidos en Teherán</w:t>
      </w:r>
      <w:bookmarkEnd w:id="26"/>
    </w:p>
    <w:p w14:paraId="7DF4D04D" w14:textId="5D430393" w:rsidR="003B2B0D" w:rsidRPr="00200AC2" w:rsidRDefault="004E2296" w:rsidP="00FB5B5B">
      <w:pPr>
        <w:pStyle w:val="Ttulo3"/>
        <w:numPr>
          <w:ilvl w:val="2"/>
          <w:numId w:val="1"/>
        </w:numPr>
        <w:spacing w:line="360" w:lineRule="auto"/>
        <w:jc w:val="both"/>
        <w:rPr>
          <w:rFonts w:ascii="Times New Roman" w:hAnsi="Times New Roman" w:cs="Times New Roman"/>
          <w:sz w:val="28"/>
          <w:szCs w:val="28"/>
        </w:rPr>
      </w:pPr>
      <w:bookmarkStart w:id="27" w:name="_Toc65498619"/>
      <w:r w:rsidRPr="00200AC2">
        <w:rPr>
          <w:rFonts w:ascii="Times New Roman" w:hAnsi="Times New Roman" w:cs="Times New Roman"/>
          <w:sz w:val="28"/>
          <w:szCs w:val="28"/>
        </w:rPr>
        <w:t xml:space="preserve">Contexto </w:t>
      </w:r>
      <w:r w:rsidR="00E74DB9" w:rsidRPr="00200AC2">
        <w:rPr>
          <w:rFonts w:ascii="Times New Roman" w:hAnsi="Times New Roman" w:cs="Times New Roman"/>
          <w:sz w:val="28"/>
          <w:szCs w:val="28"/>
        </w:rPr>
        <w:t>histórico</w:t>
      </w:r>
      <w:bookmarkEnd w:id="27"/>
      <w:r w:rsidRPr="00200AC2">
        <w:rPr>
          <w:rFonts w:ascii="Times New Roman" w:hAnsi="Times New Roman" w:cs="Times New Roman"/>
          <w:sz w:val="28"/>
          <w:szCs w:val="28"/>
        </w:rPr>
        <w:t xml:space="preserve"> </w:t>
      </w:r>
    </w:p>
    <w:p w14:paraId="27EE3B00" w14:textId="1E9A8DD8" w:rsidR="009D4917" w:rsidRDefault="00725348" w:rsidP="00FB5B5B">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FA0E32">
        <w:rPr>
          <w:rFonts w:ascii="Times New Roman" w:hAnsi="Times New Roman" w:cs="Times New Roman"/>
          <w:sz w:val="24"/>
          <w:szCs w:val="24"/>
        </w:rPr>
        <w:t xml:space="preserve">El régimen autoritario del </w:t>
      </w:r>
      <w:proofErr w:type="spellStart"/>
      <w:r w:rsidR="00FA0E32">
        <w:rPr>
          <w:rFonts w:ascii="Times New Roman" w:hAnsi="Times New Roman" w:cs="Times New Roman"/>
          <w:sz w:val="24"/>
          <w:szCs w:val="24"/>
        </w:rPr>
        <w:t>Sha</w:t>
      </w:r>
      <w:proofErr w:type="spellEnd"/>
      <w:r w:rsidR="00FA0E32">
        <w:rPr>
          <w:rFonts w:ascii="Times New Roman" w:hAnsi="Times New Roman" w:cs="Times New Roman"/>
          <w:sz w:val="24"/>
          <w:szCs w:val="24"/>
        </w:rPr>
        <w:t xml:space="preserve"> Mohammed Reza </w:t>
      </w:r>
      <w:r w:rsidR="00687FA6">
        <w:rPr>
          <w:rFonts w:ascii="Times New Roman" w:hAnsi="Times New Roman" w:cs="Times New Roman"/>
          <w:sz w:val="24"/>
          <w:szCs w:val="24"/>
        </w:rPr>
        <w:t>Pahlavi</w:t>
      </w:r>
      <w:r w:rsidR="00FA0E32">
        <w:rPr>
          <w:rFonts w:ascii="Times New Roman" w:hAnsi="Times New Roman" w:cs="Times New Roman"/>
          <w:sz w:val="24"/>
          <w:szCs w:val="24"/>
        </w:rPr>
        <w:t xml:space="preserve"> en Irán duró más de treinta y siete años hasta su derrocamiento en 1979, como resultado de las protestas revolucionarias islámicas lideradas por el </w:t>
      </w:r>
      <w:r w:rsidR="00687FA6">
        <w:rPr>
          <w:rFonts w:ascii="Times New Roman" w:hAnsi="Times New Roman" w:cs="Times New Roman"/>
          <w:sz w:val="24"/>
          <w:szCs w:val="24"/>
        </w:rPr>
        <w:t>Ayatolá</w:t>
      </w:r>
      <w:r w:rsidR="00FA0E32">
        <w:rPr>
          <w:rFonts w:ascii="Times New Roman" w:hAnsi="Times New Roman" w:cs="Times New Roman"/>
          <w:sz w:val="24"/>
          <w:szCs w:val="24"/>
        </w:rPr>
        <w:t xml:space="preserve"> </w:t>
      </w:r>
      <w:r w:rsidR="00687FA6">
        <w:rPr>
          <w:rFonts w:ascii="Times New Roman" w:hAnsi="Times New Roman" w:cs="Times New Roman"/>
          <w:sz w:val="24"/>
          <w:szCs w:val="24"/>
        </w:rPr>
        <w:t>J</w:t>
      </w:r>
      <w:r w:rsidR="00FA0E32">
        <w:rPr>
          <w:rFonts w:ascii="Times New Roman" w:hAnsi="Times New Roman" w:cs="Times New Roman"/>
          <w:sz w:val="24"/>
          <w:szCs w:val="24"/>
        </w:rPr>
        <w:t xml:space="preserve">omeini, quien regresaría al país en febrero de ese mismo año con el fin de proclamar la República Islámica de Irán. </w:t>
      </w:r>
      <w:r w:rsidR="005403F8">
        <w:rPr>
          <w:rFonts w:ascii="Times New Roman" w:hAnsi="Times New Roman" w:cs="Times New Roman"/>
          <w:sz w:val="24"/>
          <w:szCs w:val="24"/>
        </w:rPr>
        <w:t xml:space="preserve">Previamente, el </w:t>
      </w:r>
      <w:proofErr w:type="spellStart"/>
      <w:r w:rsidR="005403F8">
        <w:rPr>
          <w:rFonts w:ascii="Times New Roman" w:hAnsi="Times New Roman" w:cs="Times New Roman"/>
          <w:sz w:val="24"/>
          <w:szCs w:val="24"/>
        </w:rPr>
        <w:t>Sha</w:t>
      </w:r>
      <w:proofErr w:type="spellEnd"/>
      <w:r w:rsidR="005403F8">
        <w:rPr>
          <w:rFonts w:ascii="Times New Roman" w:hAnsi="Times New Roman" w:cs="Times New Roman"/>
          <w:sz w:val="24"/>
          <w:szCs w:val="24"/>
        </w:rPr>
        <w:t xml:space="preserve"> y su esposa se vieron obligados a abandonar el país el 16 de enero de 1979</w:t>
      </w:r>
      <w:r w:rsidR="003A616E">
        <w:rPr>
          <w:rFonts w:ascii="Times New Roman" w:hAnsi="Times New Roman" w:cs="Times New Roman"/>
          <w:sz w:val="24"/>
          <w:szCs w:val="24"/>
        </w:rPr>
        <w:t xml:space="preserve"> </w:t>
      </w:r>
      <w:r w:rsidR="005403F8">
        <w:rPr>
          <w:rFonts w:ascii="Times New Roman" w:hAnsi="Times New Roman" w:cs="Times New Roman"/>
          <w:sz w:val="24"/>
          <w:szCs w:val="24"/>
        </w:rPr>
        <w:t>para evitar la</w:t>
      </w:r>
      <w:r w:rsidR="003A616E">
        <w:rPr>
          <w:rFonts w:ascii="Times New Roman" w:hAnsi="Times New Roman" w:cs="Times New Roman"/>
          <w:sz w:val="24"/>
          <w:szCs w:val="24"/>
        </w:rPr>
        <w:t xml:space="preserve"> inminente</w:t>
      </w:r>
      <w:r w:rsidR="005403F8">
        <w:rPr>
          <w:rFonts w:ascii="Times New Roman" w:hAnsi="Times New Roman" w:cs="Times New Roman"/>
          <w:sz w:val="24"/>
          <w:szCs w:val="24"/>
        </w:rPr>
        <w:t xml:space="preserve"> revolución</w:t>
      </w:r>
      <w:r w:rsidR="00A54FA5">
        <w:rPr>
          <w:rFonts w:ascii="Times New Roman" w:hAnsi="Times New Roman" w:cs="Times New Roman"/>
          <w:sz w:val="24"/>
          <w:szCs w:val="24"/>
        </w:rPr>
        <w:t>,</w:t>
      </w:r>
      <w:r w:rsidR="005403F8">
        <w:rPr>
          <w:rFonts w:ascii="Times New Roman" w:hAnsi="Times New Roman" w:cs="Times New Roman"/>
          <w:sz w:val="24"/>
          <w:szCs w:val="24"/>
        </w:rPr>
        <w:t xml:space="preserve"> pese a var</w:t>
      </w:r>
      <w:r w:rsidR="002148EE">
        <w:rPr>
          <w:rFonts w:ascii="Times New Roman" w:hAnsi="Times New Roman" w:cs="Times New Roman"/>
          <w:sz w:val="24"/>
          <w:szCs w:val="24"/>
        </w:rPr>
        <w:t>ios</w:t>
      </w:r>
      <w:r w:rsidR="005403F8">
        <w:rPr>
          <w:rFonts w:ascii="Times New Roman" w:hAnsi="Times New Roman" w:cs="Times New Roman"/>
          <w:sz w:val="24"/>
          <w:szCs w:val="24"/>
        </w:rPr>
        <w:t xml:space="preserve"> intentos de impulsar reformas democratizadoras</w:t>
      </w:r>
      <w:r w:rsidR="00A54FA5">
        <w:rPr>
          <w:rFonts w:ascii="Times New Roman" w:hAnsi="Times New Roman" w:cs="Times New Roman"/>
          <w:sz w:val="24"/>
          <w:szCs w:val="24"/>
        </w:rPr>
        <w:t xml:space="preserve"> que respetasen los derechos humanos, </w:t>
      </w:r>
      <w:r w:rsidR="00B81263">
        <w:rPr>
          <w:rFonts w:ascii="Times New Roman" w:hAnsi="Times New Roman" w:cs="Times New Roman"/>
          <w:sz w:val="24"/>
          <w:szCs w:val="24"/>
        </w:rPr>
        <w:t>conforme a</w:t>
      </w:r>
      <w:r w:rsidR="00A54FA5">
        <w:rPr>
          <w:rFonts w:ascii="Times New Roman" w:hAnsi="Times New Roman" w:cs="Times New Roman"/>
          <w:sz w:val="24"/>
          <w:szCs w:val="24"/>
        </w:rPr>
        <w:t xml:space="preserve"> la política internacional promovida por el Gobierno de</w:t>
      </w:r>
      <w:r w:rsidR="002148EE">
        <w:rPr>
          <w:rFonts w:ascii="Times New Roman" w:hAnsi="Times New Roman" w:cs="Times New Roman"/>
          <w:sz w:val="24"/>
          <w:szCs w:val="24"/>
        </w:rPr>
        <w:t>l presidente</w:t>
      </w:r>
      <w:r w:rsidR="00A54FA5">
        <w:rPr>
          <w:rFonts w:ascii="Times New Roman" w:hAnsi="Times New Roman" w:cs="Times New Roman"/>
          <w:sz w:val="24"/>
          <w:szCs w:val="24"/>
        </w:rPr>
        <w:t xml:space="preserve"> Carter. Sin embargo, la “liberalización” de Irán propuesta por el </w:t>
      </w:r>
      <w:proofErr w:type="spellStart"/>
      <w:r w:rsidR="00A54FA5">
        <w:rPr>
          <w:rFonts w:ascii="Times New Roman" w:hAnsi="Times New Roman" w:cs="Times New Roman"/>
          <w:sz w:val="24"/>
          <w:szCs w:val="24"/>
        </w:rPr>
        <w:t>Sha</w:t>
      </w:r>
      <w:proofErr w:type="spellEnd"/>
      <w:r w:rsidR="00A54FA5">
        <w:rPr>
          <w:rFonts w:ascii="Times New Roman" w:hAnsi="Times New Roman" w:cs="Times New Roman"/>
          <w:sz w:val="24"/>
          <w:szCs w:val="24"/>
        </w:rPr>
        <w:t xml:space="preserve"> aumentó el descontento social y estimuló a los movimientos opositores que serían brutalmente reprimidos, creando así un patrón de concesiones seguidas por represiones </w:t>
      </w:r>
      <w:r w:rsidR="003A616E">
        <w:rPr>
          <w:rFonts w:ascii="Times New Roman" w:hAnsi="Times New Roman" w:cs="Times New Roman"/>
          <w:sz w:val="24"/>
          <w:szCs w:val="24"/>
        </w:rPr>
        <w:t xml:space="preserve">por parte del Gobierno del </w:t>
      </w:r>
      <w:proofErr w:type="spellStart"/>
      <w:r w:rsidR="003A616E">
        <w:rPr>
          <w:rFonts w:ascii="Times New Roman" w:hAnsi="Times New Roman" w:cs="Times New Roman"/>
          <w:sz w:val="24"/>
          <w:szCs w:val="24"/>
        </w:rPr>
        <w:t>Sha</w:t>
      </w:r>
      <w:proofErr w:type="spellEnd"/>
      <w:r w:rsidR="003A616E">
        <w:rPr>
          <w:rFonts w:ascii="Times New Roman" w:hAnsi="Times New Roman" w:cs="Times New Roman"/>
          <w:sz w:val="24"/>
          <w:szCs w:val="24"/>
        </w:rPr>
        <w:t xml:space="preserve"> </w:t>
      </w:r>
      <w:sdt>
        <w:sdtPr>
          <w:rPr>
            <w:rFonts w:ascii="Times New Roman" w:hAnsi="Times New Roman" w:cs="Times New Roman"/>
            <w:sz w:val="24"/>
            <w:szCs w:val="24"/>
          </w:rPr>
          <w:id w:val="381523337"/>
          <w:citation/>
        </w:sdtPr>
        <w:sdtContent>
          <w:r w:rsidR="00A54FA5">
            <w:rPr>
              <w:rFonts w:ascii="Times New Roman" w:hAnsi="Times New Roman" w:cs="Times New Roman"/>
              <w:sz w:val="24"/>
              <w:szCs w:val="24"/>
            </w:rPr>
            <w:fldChar w:fldCharType="begin"/>
          </w:r>
          <w:r w:rsidR="00A54FA5">
            <w:rPr>
              <w:rFonts w:ascii="Times New Roman" w:hAnsi="Times New Roman" w:cs="Times New Roman"/>
              <w:sz w:val="24"/>
              <w:szCs w:val="24"/>
            </w:rPr>
            <w:instrText xml:space="preserve">CITATION Cot80 \p 130 \l 3082 </w:instrText>
          </w:r>
          <w:r w:rsidR="00A54FA5">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(Cottam, 1980, pág. 130)</w:t>
          </w:r>
          <w:r w:rsidR="00A54FA5">
            <w:rPr>
              <w:rFonts w:ascii="Times New Roman" w:hAnsi="Times New Roman" w:cs="Times New Roman"/>
              <w:sz w:val="24"/>
              <w:szCs w:val="24"/>
            </w:rPr>
            <w:fldChar w:fldCharType="end"/>
          </w:r>
        </w:sdtContent>
      </w:sdt>
      <w:r w:rsidR="00A54FA5">
        <w:rPr>
          <w:rFonts w:ascii="Times New Roman" w:hAnsi="Times New Roman" w:cs="Times New Roman"/>
          <w:sz w:val="24"/>
          <w:szCs w:val="24"/>
        </w:rPr>
        <w:t xml:space="preserve">. </w:t>
      </w:r>
    </w:p>
    <w:p w14:paraId="011D5C7F" w14:textId="60ED47DE" w:rsidR="00D66A47" w:rsidRDefault="003A616E" w:rsidP="00FB5B5B">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Este descontento social no solo se proyectó sobre la figura del </w:t>
      </w:r>
      <w:proofErr w:type="spellStart"/>
      <w:r>
        <w:rPr>
          <w:rFonts w:ascii="Times New Roman" w:hAnsi="Times New Roman" w:cs="Times New Roman"/>
          <w:sz w:val="24"/>
          <w:szCs w:val="24"/>
        </w:rPr>
        <w:t>Sha</w:t>
      </w:r>
      <w:proofErr w:type="spellEnd"/>
      <w:r>
        <w:rPr>
          <w:rFonts w:ascii="Times New Roman" w:hAnsi="Times New Roman" w:cs="Times New Roman"/>
          <w:sz w:val="24"/>
          <w:szCs w:val="24"/>
        </w:rPr>
        <w:t xml:space="preserve"> Reza </w:t>
      </w:r>
      <w:proofErr w:type="spellStart"/>
      <w:r>
        <w:rPr>
          <w:rFonts w:ascii="Times New Roman" w:hAnsi="Times New Roman" w:cs="Times New Roman"/>
          <w:sz w:val="24"/>
          <w:szCs w:val="24"/>
        </w:rPr>
        <w:t>Pahlaví</w:t>
      </w:r>
      <w:proofErr w:type="spellEnd"/>
      <w:r w:rsidR="00D66A47">
        <w:rPr>
          <w:rFonts w:ascii="Times New Roman" w:hAnsi="Times New Roman" w:cs="Times New Roman"/>
          <w:sz w:val="24"/>
          <w:szCs w:val="24"/>
        </w:rPr>
        <w:t xml:space="preserve">, sino que también implicó a los ciudadanos estadounidenses que vivían en el país, puesto que el gobierno iraní instaurado tras la proclamación de la República Islámica llevó a cabo una serie de medidas contra los contratos concluidos por empresas y nacionales americanos. </w:t>
      </w:r>
      <w:r w:rsidR="004D38B4">
        <w:rPr>
          <w:rFonts w:ascii="Times New Roman" w:hAnsi="Times New Roman" w:cs="Times New Roman"/>
          <w:sz w:val="24"/>
          <w:szCs w:val="24"/>
        </w:rPr>
        <w:t>Las tensiones sociales contra Estados Unidos se verían reflejadas el 14 de febrero de 1979 con la</w:t>
      </w:r>
      <w:r w:rsidR="00800540">
        <w:rPr>
          <w:rFonts w:ascii="Times New Roman" w:hAnsi="Times New Roman" w:cs="Times New Roman"/>
          <w:sz w:val="24"/>
          <w:szCs w:val="24"/>
        </w:rPr>
        <w:t>s</w:t>
      </w:r>
      <w:r w:rsidR="004D38B4">
        <w:rPr>
          <w:rFonts w:ascii="Times New Roman" w:hAnsi="Times New Roman" w:cs="Times New Roman"/>
          <w:sz w:val="24"/>
          <w:szCs w:val="24"/>
        </w:rPr>
        <w:t xml:space="preserve"> toma</w:t>
      </w:r>
      <w:r w:rsidR="00800540">
        <w:rPr>
          <w:rFonts w:ascii="Times New Roman" w:hAnsi="Times New Roman" w:cs="Times New Roman"/>
          <w:sz w:val="24"/>
          <w:szCs w:val="24"/>
        </w:rPr>
        <w:t>s</w:t>
      </w:r>
      <w:r w:rsidR="004D38B4">
        <w:rPr>
          <w:rFonts w:ascii="Times New Roman" w:hAnsi="Times New Roman" w:cs="Times New Roman"/>
          <w:sz w:val="24"/>
          <w:szCs w:val="24"/>
        </w:rPr>
        <w:t xml:space="preserve"> de la Embajada americana en </w:t>
      </w:r>
      <w:r w:rsidR="00800540">
        <w:rPr>
          <w:rFonts w:ascii="Times New Roman" w:hAnsi="Times New Roman" w:cs="Times New Roman"/>
          <w:sz w:val="24"/>
          <w:szCs w:val="24"/>
        </w:rPr>
        <w:t xml:space="preserve">Teherán y </w:t>
      </w:r>
      <w:r w:rsidR="00B81263">
        <w:rPr>
          <w:rFonts w:ascii="Times New Roman" w:hAnsi="Times New Roman" w:cs="Times New Roman"/>
          <w:sz w:val="24"/>
          <w:szCs w:val="24"/>
        </w:rPr>
        <w:t xml:space="preserve">de </w:t>
      </w:r>
      <w:r w:rsidR="00800540">
        <w:rPr>
          <w:rFonts w:ascii="Times New Roman" w:hAnsi="Times New Roman" w:cs="Times New Roman"/>
          <w:sz w:val="24"/>
          <w:szCs w:val="24"/>
        </w:rPr>
        <w:t>los consulados en Tabriz y Shiraz</w:t>
      </w:r>
      <w:r w:rsidR="004D38B4">
        <w:rPr>
          <w:rFonts w:ascii="Times New Roman" w:hAnsi="Times New Roman" w:cs="Times New Roman"/>
          <w:sz w:val="24"/>
          <w:szCs w:val="24"/>
        </w:rPr>
        <w:t xml:space="preserve"> por grupo</w:t>
      </w:r>
      <w:r w:rsidR="00800540">
        <w:rPr>
          <w:rFonts w:ascii="Times New Roman" w:hAnsi="Times New Roman" w:cs="Times New Roman"/>
          <w:sz w:val="24"/>
          <w:szCs w:val="24"/>
        </w:rPr>
        <w:t>s</w:t>
      </w:r>
      <w:r w:rsidR="004D38B4">
        <w:rPr>
          <w:rFonts w:ascii="Times New Roman" w:hAnsi="Times New Roman" w:cs="Times New Roman"/>
          <w:sz w:val="24"/>
          <w:szCs w:val="24"/>
        </w:rPr>
        <w:t xml:space="preserve"> armad</w:t>
      </w:r>
      <w:r w:rsidR="00800540">
        <w:rPr>
          <w:rFonts w:ascii="Times New Roman" w:hAnsi="Times New Roman" w:cs="Times New Roman"/>
          <w:sz w:val="24"/>
          <w:szCs w:val="24"/>
        </w:rPr>
        <w:t>os</w:t>
      </w:r>
      <w:r w:rsidR="004D38B4">
        <w:rPr>
          <w:rFonts w:ascii="Times New Roman" w:hAnsi="Times New Roman" w:cs="Times New Roman"/>
          <w:sz w:val="24"/>
          <w:szCs w:val="24"/>
        </w:rPr>
        <w:t xml:space="preserve">. No obstante, las autoridades iraníes respondieron inmediatamente a las llamadas de auxilio por parte del Embajador e impidieron así la escalada de la incursión. Es más, el Primer Ministro del país oriental se dirigió en una carta al </w:t>
      </w:r>
      <w:r w:rsidR="00687FA6">
        <w:rPr>
          <w:rFonts w:ascii="Times New Roman" w:hAnsi="Times New Roman" w:cs="Times New Roman"/>
          <w:sz w:val="24"/>
          <w:szCs w:val="24"/>
        </w:rPr>
        <w:t>jefe</w:t>
      </w:r>
      <w:r w:rsidR="004D38B4">
        <w:rPr>
          <w:rFonts w:ascii="Times New Roman" w:hAnsi="Times New Roman" w:cs="Times New Roman"/>
          <w:sz w:val="24"/>
          <w:szCs w:val="24"/>
        </w:rPr>
        <w:t xml:space="preserve"> de la Misión con el fin de expresar sus excusas por el ataque, la toma de medidas para evitar la recreación de situaciones similares y su </w:t>
      </w:r>
      <w:r w:rsidR="00800540">
        <w:rPr>
          <w:rFonts w:ascii="Times New Roman" w:hAnsi="Times New Roman" w:cs="Times New Roman"/>
          <w:sz w:val="24"/>
          <w:szCs w:val="24"/>
        </w:rPr>
        <w:t xml:space="preserve">disposición a reparar cualquier daño causado </w:t>
      </w:r>
      <w:sdt>
        <w:sdtPr>
          <w:rPr>
            <w:rFonts w:ascii="Times New Roman" w:hAnsi="Times New Roman" w:cs="Times New Roman"/>
            <w:sz w:val="24"/>
            <w:szCs w:val="24"/>
          </w:rPr>
          <w:id w:val="992303394"/>
          <w:citation/>
        </w:sdtPr>
        <w:sdtContent>
          <w:r w:rsidR="00800540">
            <w:rPr>
              <w:rFonts w:ascii="Times New Roman" w:hAnsi="Times New Roman" w:cs="Times New Roman"/>
              <w:sz w:val="24"/>
              <w:szCs w:val="24"/>
            </w:rPr>
            <w:fldChar w:fldCharType="begin"/>
          </w:r>
          <w:r w:rsidR="00800540">
            <w:rPr>
              <w:rFonts w:ascii="Times New Roman" w:hAnsi="Times New Roman" w:cs="Times New Roman"/>
              <w:sz w:val="24"/>
              <w:szCs w:val="24"/>
            </w:rPr>
            <w:instrText xml:space="preserve">CITATION Neg02 \p 163-164 \l 3082 </w:instrText>
          </w:r>
          <w:r w:rsidR="00800540">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(Negro Alvarado , 2002, págs. 163-164)</w:t>
          </w:r>
          <w:r w:rsidR="00800540">
            <w:rPr>
              <w:rFonts w:ascii="Times New Roman" w:hAnsi="Times New Roman" w:cs="Times New Roman"/>
              <w:sz w:val="24"/>
              <w:szCs w:val="24"/>
            </w:rPr>
            <w:fldChar w:fldCharType="end"/>
          </w:r>
        </w:sdtContent>
      </w:sdt>
      <w:r w:rsidR="00800540">
        <w:rPr>
          <w:rFonts w:ascii="Times New Roman" w:hAnsi="Times New Roman" w:cs="Times New Roman"/>
          <w:sz w:val="24"/>
          <w:szCs w:val="24"/>
        </w:rPr>
        <w:t xml:space="preserve">. </w:t>
      </w:r>
    </w:p>
    <w:p w14:paraId="2EEE069D" w14:textId="42B87F8B" w:rsidR="0027604A" w:rsidRDefault="00800540" w:rsidP="0069088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En el mes de octubre de 1979, las relaciones entre Estados Unidos e Irán se verían gravemente deterioradas por la aceptación por parte del gobierno americano </w:t>
      </w:r>
      <w:r w:rsidR="002148EE">
        <w:rPr>
          <w:rFonts w:ascii="Times New Roman" w:hAnsi="Times New Roman" w:cs="Times New Roman"/>
          <w:sz w:val="24"/>
          <w:szCs w:val="24"/>
        </w:rPr>
        <w:t>de</w:t>
      </w:r>
      <w:r>
        <w:rPr>
          <w:rFonts w:ascii="Times New Roman" w:hAnsi="Times New Roman" w:cs="Times New Roman"/>
          <w:sz w:val="24"/>
          <w:szCs w:val="24"/>
        </w:rPr>
        <w:t xml:space="preserve">l pedido de exilio por parte del </w:t>
      </w:r>
      <w:proofErr w:type="spellStart"/>
      <w:r>
        <w:rPr>
          <w:rFonts w:ascii="Times New Roman" w:hAnsi="Times New Roman" w:cs="Times New Roman"/>
          <w:sz w:val="24"/>
          <w:szCs w:val="24"/>
        </w:rPr>
        <w:t>Sha</w:t>
      </w:r>
      <w:proofErr w:type="spellEnd"/>
      <w:r w:rsidR="00CF070D">
        <w:rPr>
          <w:rFonts w:ascii="Times New Roman" w:hAnsi="Times New Roman" w:cs="Times New Roman"/>
          <w:sz w:val="24"/>
          <w:szCs w:val="24"/>
        </w:rPr>
        <w:t xml:space="preserve"> con el pretexto </w:t>
      </w:r>
      <w:r>
        <w:rPr>
          <w:rFonts w:ascii="Times New Roman" w:hAnsi="Times New Roman" w:cs="Times New Roman"/>
          <w:sz w:val="24"/>
          <w:szCs w:val="24"/>
        </w:rPr>
        <w:t>de ser tratado de un cáncer en el país norteamericano</w:t>
      </w:r>
      <w:r w:rsidR="009D4917">
        <w:rPr>
          <w:rFonts w:ascii="Times New Roman" w:hAnsi="Times New Roman" w:cs="Times New Roman"/>
          <w:sz w:val="24"/>
          <w:szCs w:val="24"/>
        </w:rPr>
        <w:t xml:space="preserve">. </w:t>
      </w:r>
      <w:r w:rsidR="00CF070D">
        <w:rPr>
          <w:rFonts w:ascii="Times New Roman" w:hAnsi="Times New Roman" w:cs="Times New Roman"/>
          <w:sz w:val="24"/>
          <w:szCs w:val="24"/>
        </w:rPr>
        <w:t xml:space="preserve">El Ministro de Asuntos Exteriores, </w:t>
      </w:r>
      <w:proofErr w:type="spellStart"/>
      <w:r w:rsidR="00CF070D">
        <w:rPr>
          <w:rFonts w:ascii="Times New Roman" w:hAnsi="Times New Roman" w:cs="Times New Roman"/>
          <w:sz w:val="24"/>
          <w:szCs w:val="24"/>
        </w:rPr>
        <w:t>Yazdi</w:t>
      </w:r>
      <w:proofErr w:type="spellEnd"/>
      <w:r w:rsidR="00CF070D">
        <w:rPr>
          <w:rFonts w:ascii="Times New Roman" w:hAnsi="Times New Roman" w:cs="Times New Roman"/>
          <w:sz w:val="24"/>
          <w:szCs w:val="24"/>
        </w:rPr>
        <w:t xml:space="preserve">, había expresado su oposición ante la posibilidad de que el antiguo líder iraní fuese admitido en Estados Unidos, </w:t>
      </w:r>
      <w:r w:rsidR="001E1313">
        <w:rPr>
          <w:rFonts w:ascii="Times New Roman" w:hAnsi="Times New Roman" w:cs="Times New Roman"/>
          <w:sz w:val="24"/>
          <w:szCs w:val="24"/>
        </w:rPr>
        <w:t xml:space="preserve">pero </w:t>
      </w:r>
      <w:r w:rsidR="001E1313">
        <w:rPr>
          <w:rFonts w:ascii="Times New Roman" w:hAnsi="Times New Roman" w:cs="Times New Roman"/>
          <w:sz w:val="24"/>
          <w:szCs w:val="24"/>
        </w:rPr>
        <w:lastRenderedPageBreak/>
        <w:t xml:space="preserve">ello no impidió su ingreso, pese a las iniciales reticencias del Embajador estadounidense y del </w:t>
      </w:r>
      <w:r w:rsidR="00687FA6">
        <w:rPr>
          <w:rFonts w:ascii="Times New Roman" w:hAnsi="Times New Roman" w:cs="Times New Roman"/>
          <w:sz w:val="24"/>
          <w:szCs w:val="24"/>
        </w:rPr>
        <w:t>presidente</w:t>
      </w:r>
      <w:r w:rsidR="001E1313">
        <w:rPr>
          <w:rFonts w:ascii="Times New Roman" w:hAnsi="Times New Roman" w:cs="Times New Roman"/>
          <w:sz w:val="24"/>
          <w:szCs w:val="24"/>
        </w:rPr>
        <w:t xml:space="preserve"> Carter </w:t>
      </w:r>
      <w:sdt>
        <w:sdtPr>
          <w:rPr>
            <w:rFonts w:ascii="Times New Roman" w:hAnsi="Times New Roman" w:cs="Times New Roman"/>
            <w:sz w:val="24"/>
            <w:szCs w:val="24"/>
          </w:rPr>
          <w:id w:val="-1025165959"/>
          <w:citation/>
        </w:sdtPr>
        <w:sdtContent>
          <w:r w:rsidR="001E1313">
            <w:rPr>
              <w:rFonts w:ascii="Times New Roman" w:hAnsi="Times New Roman" w:cs="Times New Roman"/>
              <w:sz w:val="24"/>
              <w:szCs w:val="24"/>
            </w:rPr>
            <w:fldChar w:fldCharType="begin"/>
          </w:r>
          <w:r w:rsidR="001E1313">
            <w:rPr>
              <w:rFonts w:ascii="Times New Roman" w:hAnsi="Times New Roman" w:cs="Times New Roman"/>
              <w:sz w:val="24"/>
              <w:szCs w:val="24"/>
            </w:rPr>
            <w:instrText xml:space="preserve"> CITATION Dau03 \l 3082 </w:instrText>
          </w:r>
          <w:r w:rsidR="001E1313">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(Daugherty, 2003)</w:t>
          </w:r>
          <w:r w:rsidR="001E1313">
            <w:rPr>
              <w:rFonts w:ascii="Times New Roman" w:hAnsi="Times New Roman" w:cs="Times New Roman"/>
              <w:sz w:val="24"/>
              <w:szCs w:val="24"/>
            </w:rPr>
            <w:fldChar w:fldCharType="end"/>
          </w:r>
        </w:sdtContent>
      </w:sdt>
      <w:r w:rsidR="001E1313">
        <w:rPr>
          <w:rFonts w:ascii="Times New Roman" w:hAnsi="Times New Roman" w:cs="Times New Roman"/>
          <w:sz w:val="24"/>
          <w:szCs w:val="24"/>
        </w:rPr>
        <w:t xml:space="preserve">. En consecuencia, esta disputa daría lugar a un incremento de las tensiones entre la población y el gobierno iraní respecto a los Estados Unidos y a sus nacionales, que culminaría con la crisis de los rehenes estadounidenses en </w:t>
      </w:r>
      <w:r w:rsidR="00D66367">
        <w:rPr>
          <w:rFonts w:ascii="Times New Roman" w:hAnsi="Times New Roman" w:cs="Times New Roman"/>
          <w:sz w:val="24"/>
          <w:szCs w:val="24"/>
        </w:rPr>
        <w:t>la</w:t>
      </w:r>
      <w:r w:rsidR="001E1313">
        <w:rPr>
          <w:rFonts w:ascii="Times New Roman" w:hAnsi="Times New Roman" w:cs="Times New Roman"/>
          <w:sz w:val="24"/>
          <w:szCs w:val="24"/>
        </w:rPr>
        <w:t xml:space="preserve"> Embajada de Teherán, que será objeto de estudio en este apartado con especial atención a la inviolabilidad de los locales de la misión diplomática y a la responsabilidad del país oriental.  </w:t>
      </w:r>
    </w:p>
    <w:p w14:paraId="17352F15" w14:textId="142AF470" w:rsidR="0027604A" w:rsidRPr="00200AC2" w:rsidRDefault="0027604A" w:rsidP="0027604A">
      <w:pPr>
        <w:pStyle w:val="Ttulo3"/>
        <w:numPr>
          <w:ilvl w:val="2"/>
          <w:numId w:val="1"/>
        </w:numPr>
        <w:spacing w:line="360" w:lineRule="auto"/>
        <w:rPr>
          <w:rFonts w:ascii="Times New Roman" w:hAnsi="Times New Roman" w:cs="Times New Roman"/>
          <w:sz w:val="28"/>
          <w:szCs w:val="28"/>
        </w:rPr>
      </w:pPr>
      <w:bookmarkStart w:id="28" w:name="_Toc65498620"/>
      <w:r w:rsidRPr="00200AC2">
        <w:rPr>
          <w:rFonts w:ascii="Times New Roman" w:hAnsi="Times New Roman" w:cs="Times New Roman"/>
          <w:sz w:val="28"/>
          <w:szCs w:val="28"/>
        </w:rPr>
        <w:t>Antecedentes de hechos</w:t>
      </w:r>
      <w:bookmarkEnd w:id="28"/>
    </w:p>
    <w:p w14:paraId="72F66093" w14:textId="3574E59F" w:rsidR="00D66367" w:rsidRDefault="00606017" w:rsidP="00D66A4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En este contexto de la Revolución Islámica, las manifestaciones sucedían prácticamente a diario como fue el caso del día 1 de noviembre de 1979 cuando un grupo de integrantes marchó frente a la Embajada de Estados Unidos en Teherán</w:t>
      </w:r>
      <w:r w:rsidR="002B69E8">
        <w:rPr>
          <w:rFonts w:ascii="Times New Roman" w:hAnsi="Times New Roman" w:cs="Times New Roman"/>
          <w:sz w:val="24"/>
          <w:szCs w:val="24"/>
        </w:rPr>
        <w:t xml:space="preserve">, pues el </w:t>
      </w:r>
      <w:r w:rsidR="00687FA6">
        <w:rPr>
          <w:rFonts w:ascii="Times New Roman" w:hAnsi="Times New Roman" w:cs="Times New Roman"/>
          <w:sz w:val="24"/>
          <w:szCs w:val="24"/>
        </w:rPr>
        <w:t>Ayatolá</w:t>
      </w:r>
      <w:r w:rsidR="002B69E8">
        <w:rPr>
          <w:rFonts w:ascii="Times New Roman" w:hAnsi="Times New Roman" w:cs="Times New Roman"/>
          <w:sz w:val="24"/>
          <w:szCs w:val="24"/>
        </w:rPr>
        <w:t xml:space="preserve"> en unas declaraciones señaló que los estudiantes debían presionar a </w:t>
      </w:r>
      <w:r w:rsidR="001E790B">
        <w:rPr>
          <w:rFonts w:ascii="Times New Roman" w:hAnsi="Times New Roman" w:cs="Times New Roman"/>
          <w:sz w:val="24"/>
          <w:szCs w:val="24"/>
        </w:rPr>
        <w:t>EE. UU.</w:t>
      </w:r>
      <w:r w:rsidR="00687FA6">
        <w:rPr>
          <w:rFonts w:ascii="Times New Roman" w:hAnsi="Times New Roman" w:cs="Times New Roman"/>
          <w:sz w:val="24"/>
          <w:szCs w:val="24"/>
        </w:rPr>
        <w:t xml:space="preserve"> para</w:t>
      </w:r>
      <w:r w:rsidR="002B69E8">
        <w:rPr>
          <w:rFonts w:ascii="Times New Roman" w:hAnsi="Times New Roman" w:cs="Times New Roman"/>
          <w:sz w:val="24"/>
          <w:szCs w:val="24"/>
        </w:rPr>
        <w:t xml:space="preserve"> que devuelvan al </w:t>
      </w:r>
      <w:proofErr w:type="spellStart"/>
      <w:r w:rsidR="002B69E8">
        <w:rPr>
          <w:rFonts w:ascii="Times New Roman" w:hAnsi="Times New Roman" w:cs="Times New Roman"/>
          <w:sz w:val="24"/>
          <w:szCs w:val="24"/>
        </w:rPr>
        <w:t>Sha</w:t>
      </w:r>
      <w:proofErr w:type="spellEnd"/>
      <w:r w:rsidR="002B69E8">
        <w:rPr>
          <w:rFonts w:ascii="Times New Roman" w:hAnsi="Times New Roman" w:cs="Times New Roman"/>
          <w:sz w:val="24"/>
          <w:szCs w:val="24"/>
        </w:rPr>
        <w:t xml:space="preserve">. A pesar de ello, </w:t>
      </w:r>
      <w:r>
        <w:rPr>
          <w:rFonts w:ascii="Times New Roman" w:hAnsi="Times New Roman" w:cs="Times New Roman"/>
          <w:sz w:val="24"/>
          <w:szCs w:val="24"/>
        </w:rPr>
        <w:t xml:space="preserve">las autoridades iraníes decidieron reforzar la protección de la misión diplomática con el envío de personal adicional </w:t>
      </w:r>
      <w:r w:rsidR="002B69E8">
        <w:rPr>
          <w:rFonts w:ascii="Times New Roman" w:hAnsi="Times New Roman" w:cs="Times New Roman"/>
          <w:sz w:val="24"/>
          <w:szCs w:val="24"/>
        </w:rPr>
        <w:t>con el objeto de</w:t>
      </w:r>
      <w:r>
        <w:rPr>
          <w:rFonts w:ascii="Times New Roman" w:hAnsi="Times New Roman" w:cs="Times New Roman"/>
          <w:sz w:val="24"/>
          <w:szCs w:val="24"/>
        </w:rPr>
        <w:t xml:space="preserve"> asegura</w:t>
      </w:r>
      <w:r w:rsidR="002B69E8">
        <w:rPr>
          <w:rFonts w:ascii="Times New Roman" w:hAnsi="Times New Roman" w:cs="Times New Roman"/>
          <w:sz w:val="24"/>
          <w:szCs w:val="24"/>
        </w:rPr>
        <w:t>r</w:t>
      </w:r>
      <w:r>
        <w:rPr>
          <w:rFonts w:ascii="Times New Roman" w:hAnsi="Times New Roman" w:cs="Times New Roman"/>
          <w:sz w:val="24"/>
          <w:szCs w:val="24"/>
        </w:rPr>
        <w:t xml:space="preserve"> la tranquilidad de los locales. La manifestación transcurrió con total normalidad y las dependencias diplomáticas estadounidenses no sufrieron ningún menoscabo. Sin embargo, tres días después en el </w:t>
      </w:r>
      <w:r w:rsidR="00A8349F">
        <w:rPr>
          <w:rFonts w:ascii="Times New Roman" w:hAnsi="Times New Roman" w:cs="Times New Roman"/>
          <w:sz w:val="24"/>
          <w:szCs w:val="24"/>
        </w:rPr>
        <w:t>transcurso de una demostración</w:t>
      </w:r>
      <w:r>
        <w:rPr>
          <w:rFonts w:ascii="Times New Roman" w:hAnsi="Times New Roman" w:cs="Times New Roman"/>
          <w:sz w:val="24"/>
          <w:szCs w:val="24"/>
        </w:rPr>
        <w:t xml:space="preserve">, un grupo armado de militantes de la revolución </w:t>
      </w:r>
      <w:r w:rsidR="00A8349F">
        <w:rPr>
          <w:rFonts w:ascii="Times New Roman" w:hAnsi="Times New Roman" w:cs="Times New Roman"/>
          <w:sz w:val="24"/>
          <w:szCs w:val="24"/>
        </w:rPr>
        <w:t xml:space="preserve">islámica </w:t>
      </w:r>
      <w:r>
        <w:rPr>
          <w:rFonts w:ascii="Times New Roman" w:hAnsi="Times New Roman" w:cs="Times New Roman"/>
          <w:sz w:val="24"/>
          <w:szCs w:val="24"/>
        </w:rPr>
        <w:t>-</w:t>
      </w:r>
      <w:r w:rsidRPr="00B81263">
        <w:rPr>
          <w:rFonts w:ascii="Times New Roman" w:hAnsi="Times New Roman" w:cs="Times New Roman"/>
          <w:i/>
          <w:iCs/>
          <w:sz w:val="24"/>
          <w:szCs w:val="24"/>
        </w:rPr>
        <w:t>“Muslim Student Followers of the Im</w:t>
      </w:r>
      <w:r w:rsidR="00687FA6" w:rsidRPr="00B81263">
        <w:rPr>
          <w:rFonts w:ascii="Times New Roman" w:hAnsi="Times New Roman" w:cs="Times New Roman"/>
          <w:i/>
          <w:iCs/>
          <w:sz w:val="24"/>
          <w:szCs w:val="24"/>
        </w:rPr>
        <w:t>a</w:t>
      </w:r>
      <w:r w:rsidRPr="00B81263">
        <w:rPr>
          <w:rFonts w:ascii="Times New Roman" w:hAnsi="Times New Roman" w:cs="Times New Roman"/>
          <w:i/>
          <w:iCs/>
          <w:sz w:val="24"/>
          <w:szCs w:val="24"/>
        </w:rPr>
        <w:t xml:space="preserve">n’s </w:t>
      </w:r>
      <w:proofErr w:type="spellStart"/>
      <w:r w:rsidRPr="00B81263">
        <w:rPr>
          <w:rFonts w:ascii="Times New Roman" w:hAnsi="Times New Roman" w:cs="Times New Roman"/>
          <w:i/>
          <w:iCs/>
          <w:sz w:val="24"/>
          <w:szCs w:val="24"/>
        </w:rPr>
        <w:t>Policy</w:t>
      </w:r>
      <w:proofErr w:type="spellEnd"/>
      <w:r w:rsidRPr="00B81263">
        <w:rPr>
          <w:rFonts w:ascii="Times New Roman" w:hAnsi="Times New Roman" w:cs="Times New Roman"/>
          <w:i/>
          <w:iCs/>
          <w:sz w:val="24"/>
          <w:szCs w:val="24"/>
        </w:rPr>
        <w:t>”</w:t>
      </w:r>
      <w:r>
        <w:rPr>
          <w:rFonts w:ascii="Times New Roman" w:hAnsi="Times New Roman" w:cs="Times New Roman"/>
          <w:sz w:val="24"/>
          <w:szCs w:val="24"/>
        </w:rPr>
        <w:t xml:space="preserve">- </w:t>
      </w:r>
      <w:r w:rsidR="00A8349F">
        <w:rPr>
          <w:rFonts w:ascii="Times New Roman" w:hAnsi="Times New Roman" w:cs="Times New Roman"/>
          <w:sz w:val="24"/>
          <w:szCs w:val="24"/>
        </w:rPr>
        <w:t>penetr</w:t>
      </w:r>
      <w:r w:rsidR="00EC069B">
        <w:rPr>
          <w:rFonts w:ascii="Times New Roman" w:hAnsi="Times New Roman" w:cs="Times New Roman"/>
          <w:sz w:val="24"/>
          <w:szCs w:val="24"/>
        </w:rPr>
        <w:t>ó</w:t>
      </w:r>
      <w:r w:rsidR="00A8349F">
        <w:rPr>
          <w:rFonts w:ascii="Times New Roman" w:hAnsi="Times New Roman" w:cs="Times New Roman"/>
          <w:sz w:val="24"/>
          <w:szCs w:val="24"/>
        </w:rPr>
        <w:t xml:space="preserve"> en los locales de la misión diplomática y tom</w:t>
      </w:r>
      <w:r w:rsidR="00EC069B">
        <w:rPr>
          <w:rFonts w:ascii="Times New Roman" w:hAnsi="Times New Roman" w:cs="Times New Roman"/>
          <w:sz w:val="24"/>
          <w:szCs w:val="24"/>
        </w:rPr>
        <w:t>ó</w:t>
      </w:r>
      <w:r w:rsidR="00A8349F">
        <w:rPr>
          <w:rFonts w:ascii="Times New Roman" w:hAnsi="Times New Roman" w:cs="Times New Roman"/>
          <w:sz w:val="24"/>
          <w:szCs w:val="24"/>
        </w:rPr>
        <w:t xml:space="preserve"> la cancillería y todos los edificios anexos entre los que se incluían la residencia oficial del </w:t>
      </w:r>
      <w:r w:rsidR="00EC069B">
        <w:rPr>
          <w:rFonts w:ascii="Times New Roman" w:hAnsi="Times New Roman" w:cs="Times New Roman"/>
          <w:sz w:val="24"/>
          <w:szCs w:val="24"/>
        </w:rPr>
        <w:t>E</w:t>
      </w:r>
      <w:r w:rsidR="00A8349F">
        <w:rPr>
          <w:rFonts w:ascii="Times New Roman" w:hAnsi="Times New Roman" w:cs="Times New Roman"/>
          <w:sz w:val="24"/>
          <w:szCs w:val="24"/>
        </w:rPr>
        <w:t>mbajador y las residencias particulares del personal diplomátic</w:t>
      </w:r>
      <w:r w:rsidR="00EC069B">
        <w:rPr>
          <w:rFonts w:ascii="Times New Roman" w:hAnsi="Times New Roman" w:cs="Times New Roman"/>
          <w:sz w:val="24"/>
          <w:szCs w:val="24"/>
        </w:rPr>
        <w:t>o</w:t>
      </w:r>
      <w:r w:rsidR="00A8349F">
        <w:rPr>
          <w:rFonts w:ascii="Times New Roman" w:hAnsi="Times New Roman" w:cs="Times New Roman"/>
          <w:sz w:val="24"/>
          <w:szCs w:val="24"/>
        </w:rPr>
        <w:t xml:space="preserve">. </w:t>
      </w:r>
      <w:r w:rsidR="00EC069B">
        <w:rPr>
          <w:rFonts w:ascii="Times New Roman" w:hAnsi="Times New Roman" w:cs="Times New Roman"/>
          <w:sz w:val="24"/>
          <w:szCs w:val="24"/>
        </w:rPr>
        <w:t xml:space="preserve">Todos los miembros de la misión diplomática y el personal </w:t>
      </w:r>
      <w:r w:rsidR="002148EE">
        <w:rPr>
          <w:rFonts w:ascii="Times New Roman" w:hAnsi="Times New Roman" w:cs="Times New Roman"/>
          <w:sz w:val="24"/>
          <w:szCs w:val="24"/>
        </w:rPr>
        <w:t>ads</w:t>
      </w:r>
      <w:r w:rsidR="00EC069B">
        <w:rPr>
          <w:rFonts w:ascii="Times New Roman" w:hAnsi="Times New Roman" w:cs="Times New Roman"/>
          <w:sz w:val="24"/>
          <w:szCs w:val="24"/>
        </w:rPr>
        <w:t xml:space="preserve">crito allí presentes fueron tomados como rehenes y detenidos en la sede norteamericana. </w:t>
      </w:r>
      <w:r w:rsidR="007A371F">
        <w:rPr>
          <w:rFonts w:ascii="Times New Roman" w:hAnsi="Times New Roman" w:cs="Times New Roman"/>
          <w:sz w:val="24"/>
          <w:szCs w:val="24"/>
        </w:rPr>
        <w:t>L</w:t>
      </w:r>
      <w:r w:rsidR="00EC069B">
        <w:rPr>
          <w:rFonts w:ascii="Times New Roman" w:hAnsi="Times New Roman" w:cs="Times New Roman"/>
          <w:sz w:val="24"/>
          <w:szCs w:val="24"/>
        </w:rPr>
        <w:t xml:space="preserve">os consulados estadounidenses en Tabriz y Shiraz fueron </w:t>
      </w:r>
      <w:r w:rsidR="00B81263">
        <w:rPr>
          <w:rFonts w:ascii="Times New Roman" w:hAnsi="Times New Roman" w:cs="Times New Roman"/>
          <w:sz w:val="24"/>
          <w:szCs w:val="24"/>
        </w:rPr>
        <w:t>ocupados</w:t>
      </w:r>
      <w:r w:rsidR="00EC069B">
        <w:rPr>
          <w:rFonts w:ascii="Times New Roman" w:hAnsi="Times New Roman" w:cs="Times New Roman"/>
          <w:sz w:val="24"/>
          <w:szCs w:val="24"/>
        </w:rPr>
        <w:t xml:space="preserve"> al día siguiente por otros grupos revolucionarios, pero en este caso no hubo que lamentar el secuestro del personal consular, ya que estos </w:t>
      </w:r>
      <w:r w:rsidR="002148EE">
        <w:rPr>
          <w:rFonts w:ascii="Times New Roman" w:hAnsi="Times New Roman" w:cs="Times New Roman"/>
          <w:sz w:val="24"/>
          <w:szCs w:val="24"/>
        </w:rPr>
        <w:t>habían suspendido</w:t>
      </w:r>
      <w:r w:rsidR="00EC069B">
        <w:rPr>
          <w:rFonts w:ascii="Times New Roman" w:hAnsi="Times New Roman" w:cs="Times New Roman"/>
          <w:sz w:val="24"/>
          <w:szCs w:val="24"/>
        </w:rPr>
        <w:t xml:space="preserve"> sus actividades como resultado de los ataques del pasado mes de febrero. </w:t>
      </w:r>
    </w:p>
    <w:p w14:paraId="0E672D56" w14:textId="6099DED3" w:rsidR="007C0B2A" w:rsidRDefault="007A371F" w:rsidP="00FC6E04">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El 7 de noviembre llegaría la respuesta a estos acontecimientos por parte del Líder Supremo </w:t>
      </w:r>
      <w:r w:rsidR="0020383F">
        <w:rPr>
          <w:rFonts w:ascii="Times New Roman" w:hAnsi="Times New Roman" w:cs="Times New Roman"/>
          <w:sz w:val="24"/>
          <w:szCs w:val="24"/>
        </w:rPr>
        <w:t>J</w:t>
      </w:r>
      <w:r>
        <w:rPr>
          <w:rFonts w:ascii="Times New Roman" w:hAnsi="Times New Roman" w:cs="Times New Roman"/>
          <w:sz w:val="24"/>
          <w:szCs w:val="24"/>
        </w:rPr>
        <w:t xml:space="preserve">omeini con la prohibición a los miembros del Consejo Revolucionario y a todos los oficiales responsables a dialogar con los representantes estadounidenses mientras el </w:t>
      </w:r>
      <w:proofErr w:type="spellStart"/>
      <w:r>
        <w:rPr>
          <w:rFonts w:ascii="Times New Roman" w:hAnsi="Times New Roman" w:cs="Times New Roman"/>
          <w:sz w:val="24"/>
          <w:szCs w:val="24"/>
        </w:rPr>
        <w:t>Sha</w:t>
      </w:r>
      <w:proofErr w:type="spellEnd"/>
      <w:r>
        <w:rPr>
          <w:rFonts w:ascii="Times New Roman" w:hAnsi="Times New Roman" w:cs="Times New Roman"/>
          <w:sz w:val="24"/>
          <w:szCs w:val="24"/>
        </w:rPr>
        <w:t xml:space="preserve"> no fuera devuelto al país y se garantizara el cese del espionaje contra el movimiento revolucionario </w:t>
      </w:r>
      <w:sdt>
        <w:sdtPr>
          <w:rPr>
            <w:rFonts w:ascii="Times New Roman" w:hAnsi="Times New Roman" w:cs="Times New Roman"/>
            <w:sz w:val="24"/>
            <w:szCs w:val="24"/>
          </w:rPr>
          <w:id w:val="129910527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Neg02 \p 165 \l 3082 </w:instrText>
          </w:r>
          <w:r>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(Negro Alvarado , 2002, pág. 165)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Asimismo, </w:t>
      </w:r>
      <w:r w:rsidR="004174BD">
        <w:rPr>
          <w:rFonts w:ascii="Times New Roman" w:hAnsi="Times New Roman" w:cs="Times New Roman"/>
          <w:sz w:val="24"/>
          <w:szCs w:val="24"/>
        </w:rPr>
        <w:t xml:space="preserve">diferentes </w:t>
      </w:r>
      <w:r>
        <w:rPr>
          <w:rFonts w:ascii="Times New Roman" w:hAnsi="Times New Roman" w:cs="Times New Roman"/>
          <w:sz w:val="24"/>
          <w:szCs w:val="24"/>
        </w:rPr>
        <w:t xml:space="preserve">autoridades iraníes expresaron en </w:t>
      </w:r>
      <w:r w:rsidR="004174BD">
        <w:rPr>
          <w:rFonts w:ascii="Times New Roman" w:hAnsi="Times New Roman" w:cs="Times New Roman"/>
          <w:sz w:val="24"/>
          <w:szCs w:val="24"/>
        </w:rPr>
        <w:t>una serie de</w:t>
      </w:r>
      <w:r>
        <w:rPr>
          <w:rFonts w:ascii="Times New Roman" w:hAnsi="Times New Roman" w:cs="Times New Roman"/>
          <w:sz w:val="24"/>
          <w:szCs w:val="24"/>
        </w:rPr>
        <w:t xml:space="preserve"> comunicados su aprobación a la toma de la Misión Diplomática y el secuestro del personal</w:t>
      </w:r>
      <w:r w:rsidR="004174BD">
        <w:rPr>
          <w:rFonts w:ascii="Times New Roman" w:hAnsi="Times New Roman" w:cs="Times New Roman"/>
          <w:sz w:val="24"/>
          <w:szCs w:val="24"/>
        </w:rPr>
        <w:t xml:space="preserve"> hasta que no se cumpliese con las peticiones del </w:t>
      </w:r>
      <w:r w:rsidR="00687FA6">
        <w:rPr>
          <w:rFonts w:ascii="Times New Roman" w:hAnsi="Times New Roman" w:cs="Times New Roman"/>
          <w:sz w:val="24"/>
          <w:szCs w:val="24"/>
        </w:rPr>
        <w:lastRenderedPageBreak/>
        <w:t>Ayatolá</w:t>
      </w:r>
      <w:r w:rsidR="004174BD">
        <w:rPr>
          <w:rFonts w:ascii="Times New Roman" w:hAnsi="Times New Roman" w:cs="Times New Roman"/>
          <w:sz w:val="24"/>
          <w:szCs w:val="24"/>
        </w:rPr>
        <w:t xml:space="preserve">. Tras dos semanas de secuestro, el 20 de noviembre, el Jefe de Estado iraní mediante un decreto decidió liberar a trece rehenes que fuesen de raza negra o mujeres y acreditasen que no eran espías norteamericanos. En consecuencia, el número de rehenes descendió a cincuenta personas, entre las que se encontraban 24 miembros de la misión diplomática, 4 miembros la sección consular, 20 integrantes del personal técnico y administrativo y 2 ciudadanos estadounidenses. </w:t>
      </w:r>
    </w:p>
    <w:p w14:paraId="0DA80D2C" w14:textId="5E0F0C39" w:rsidR="00226D13" w:rsidRDefault="00FC6E04" w:rsidP="0069088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Finalmente, el 28 de noviembre, Estados Unidos de</w:t>
      </w:r>
      <w:r w:rsidR="006261AB">
        <w:rPr>
          <w:rFonts w:ascii="Times New Roman" w:hAnsi="Times New Roman" w:cs="Times New Roman"/>
          <w:sz w:val="24"/>
          <w:szCs w:val="24"/>
        </w:rPr>
        <w:t>nunci</w:t>
      </w:r>
      <w:r>
        <w:rPr>
          <w:rFonts w:ascii="Times New Roman" w:hAnsi="Times New Roman" w:cs="Times New Roman"/>
          <w:sz w:val="24"/>
          <w:szCs w:val="24"/>
        </w:rPr>
        <w:t xml:space="preserve">ó a Irán ante el Tribunal Internacional de Justicia y solicitó la adopción de medidas provisionales con el </w:t>
      </w:r>
      <w:r w:rsidR="00B81263">
        <w:rPr>
          <w:rFonts w:ascii="Times New Roman" w:hAnsi="Times New Roman" w:cs="Times New Roman"/>
          <w:sz w:val="24"/>
          <w:szCs w:val="24"/>
        </w:rPr>
        <w:t>propósito</w:t>
      </w:r>
      <w:r>
        <w:rPr>
          <w:rFonts w:ascii="Times New Roman" w:hAnsi="Times New Roman" w:cs="Times New Roman"/>
          <w:sz w:val="24"/>
          <w:szCs w:val="24"/>
        </w:rPr>
        <w:t xml:space="preserve"> de solucionar la crisis en la misión diplomática estadounidense de Irán. Estas medidas fueron aprobadas por unanimidad por el Tribunal que emitió sentencia el 24 de mayo de 1980. A continuación, se analizará este pronunciamiento en conexión con la inviolabilidad de los locales de misión diplomática y con el fin de esclarecer la posibilidad de que la República Islámica haya incurrido en responsabilidad internacional por su</w:t>
      </w:r>
      <w:r w:rsidR="002D5825">
        <w:rPr>
          <w:rFonts w:ascii="Times New Roman" w:hAnsi="Times New Roman" w:cs="Times New Roman"/>
          <w:sz w:val="24"/>
          <w:szCs w:val="24"/>
        </w:rPr>
        <w:t>s</w:t>
      </w:r>
      <w:r>
        <w:rPr>
          <w:rFonts w:ascii="Times New Roman" w:hAnsi="Times New Roman" w:cs="Times New Roman"/>
          <w:sz w:val="24"/>
          <w:szCs w:val="24"/>
        </w:rPr>
        <w:t xml:space="preserve"> hechos</w:t>
      </w:r>
      <w:r w:rsidR="002D5825">
        <w:rPr>
          <w:rFonts w:ascii="Times New Roman" w:hAnsi="Times New Roman" w:cs="Times New Roman"/>
          <w:sz w:val="24"/>
          <w:szCs w:val="24"/>
        </w:rPr>
        <w:t xml:space="preserve"> según el esquema propuesto</w:t>
      </w:r>
      <w:r>
        <w:rPr>
          <w:rFonts w:ascii="Times New Roman" w:hAnsi="Times New Roman" w:cs="Times New Roman"/>
          <w:sz w:val="24"/>
          <w:szCs w:val="24"/>
        </w:rPr>
        <w:t xml:space="preserve">. </w:t>
      </w:r>
    </w:p>
    <w:p w14:paraId="6A6ADE74" w14:textId="496396DE" w:rsidR="00C1249D" w:rsidRPr="00200AC2" w:rsidRDefault="00C1249D" w:rsidP="00C1249D">
      <w:pPr>
        <w:pStyle w:val="Ttulo3"/>
        <w:numPr>
          <w:ilvl w:val="2"/>
          <w:numId w:val="1"/>
        </w:numPr>
        <w:spacing w:line="360" w:lineRule="auto"/>
        <w:jc w:val="both"/>
        <w:rPr>
          <w:rFonts w:ascii="Times New Roman" w:hAnsi="Times New Roman" w:cs="Times New Roman"/>
          <w:sz w:val="28"/>
          <w:szCs w:val="28"/>
        </w:rPr>
      </w:pPr>
      <w:bookmarkStart w:id="29" w:name="_Toc65498621"/>
      <w:r w:rsidRPr="00200AC2">
        <w:rPr>
          <w:rFonts w:ascii="Times New Roman" w:hAnsi="Times New Roman" w:cs="Times New Roman"/>
          <w:sz w:val="28"/>
          <w:szCs w:val="28"/>
        </w:rPr>
        <w:t xml:space="preserve">Inviolabilidad de los locales de la misión diplomática en Teherán </w:t>
      </w:r>
      <w:r w:rsidR="00756873" w:rsidRPr="00200AC2">
        <w:rPr>
          <w:rFonts w:ascii="Times New Roman" w:hAnsi="Times New Roman" w:cs="Times New Roman"/>
          <w:sz w:val="28"/>
          <w:szCs w:val="28"/>
        </w:rPr>
        <w:t>y las oficinas consulares en Tabriz y Shiraz</w:t>
      </w:r>
      <w:bookmarkEnd w:id="29"/>
    </w:p>
    <w:p w14:paraId="4AE7FEE2" w14:textId="7A2C3D56" w:rsidR="00226D13" w:rsidRPr="006D1F04" w:rsidRDefault="00C1249D" w:rsidP="00C1249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En este supuesto nos guiaremos por la separación de los hechos que estableció la Sentencia del Tribunal Internacional de Justicia de 24 mayo de 1980 sobre el </w:t>
      </w:r>
      <w:bookmarkStart w:id="30" w:name="_Hlk52883368"/>
      <w:r w:rsidR="006D1F04">
        <w:rPr>
          <w:rFonts w:ascii="Times New Roman" w:hAnsi="Times New Roman" w:cs="Times New Roman"/>
          <w:i/>
          <w:iCs/>
          <w:sz w:val="24"/>
          <w:szCs w:val="24"/>
        </w:rPr>
        <w:t>caso relativo al personal diplomático y consular de la Embajada de Estados Unidos en Teherán</w:t>
      </w:r>
      <w:bookmarkEnd w:id="30"/>
      <w:r w:rsidR="006D1F04">
        <w:rPr>
          <w:rFonts w:ascii="Times New Roman" w:hAnsi="Times New Roman" w:cs="Times New Roman"/>
          <w:i/>
          <w:iCs/>
          <w:sz w:val="24"/>
          <w:szCs w:val="24"/>
        </w:rPr>
        <w:t xml:space="preserve">. </w:t>
      </w:r>
      <w:r w:rsidR="006D1F04">
        <w:rPr>
          <w:rFonts w:ascii="Times New Roman" w:hAnsi="Times New Roman" w:cs="Times New Roman"/>
          <w:sz w:val="24"/>
          <w:szCs w:val="24"/>
        </w:rPr>
        <w:t xml:space="preserve">Los acontecimientos deberán por ello dividirse entre </w:t>
      </w:r>
      <w:r w:rsidR="00071AA0">
        <w:rPr>
          <w:rFonts w:ascii="Times New Roman" w:hAnsi="Times New Roman" w:cs="Times New Roman"/>
          <w:sz w:val="24"/>
          <w:szCs w:val="24"/>
        </w:rPr>
        <w:t>los</w:t>
      </w:r>
      <w:r w:rsidR="006D1F04">
        <w:rPr>
          <w:rFonts w:ascii="Times New Roman" w:hAnsi="Times New Roman" w:cs="Times New Roman"/>
          <w:sz w:val="24"/>
          <w:szCs w:val="24"/>
        </w:rPr>
        <w:t xml:space="preserve"> asalto</w:t>
      </w:r>
      <w:r w:rsidR="00071AA0">
        <w:rPr>
          <w:rFonts w:ascii="Times New Roman" w:hAnsi="Times New Roman" w:cs="Times New Roman"/>
          <w:sz w:val="24"/>
          <w:szCs w:val="24"/>
        </w:rPr>
        <w:t>s</w:t>
      </w:r>
      <w:r w:rsidR="006D1F04">
        <w:rPr>
          <w:rFonts w:ascii="Times New Roman" w:hAnsi="Times New Roman" w:cs="Times New Roman"/>
          <w:sz w:val="24"/>
          <w:szCs w:val="24"/>
        </w:rPr>
        <w:t xml:space="preserve"> a la misión diplomática del 4 de noviembre de 1979</w:t>
      </w:r>
      <w:r w:rsidR="00071AA0">
        <w:rPr>
          <w:rFonts w:ascii="Times New Roman" w:hAnsi="Times New Roman" w:cs="Times New Roman"/>
          <w:sz w:val="24"/>
          <w:szCs w:val="24"/>
        </w:rPr>
        <w:t xml:space="preserve"> y a los consulados de Tabriz y Shiraz; </w:t>
      </w:r>
      <w:r w:rsidR="006D1F04">
        <w:rPr>
          <w:rFonts w:ascii="Times New Roman" w:hAnsi="Times New Roman" w:cs="Times New Roman"/>
          <w:sz w:val="24"/>
          <w:szCs w:val="24"/>
        </w:rPr>
        <w:t xml:space="preserve"> y los sucesos posteriores a esta fecha. </w:t>
      </w:r>
      <w:r w:rsidR="00651578">
        <w:rPr>
          <w:rFonts w:ascii="Times New Roman" w:hAnsi="Times New Roman" w:cs="Times New Roman"/>
          <w:sz w:val="24"/>
          <w:szCs w:val="24"/>
        </w:rPr>
        <w:t xml:space="preserve">Es pertinente señalar que la propia Corte </w:t>
      </w:r>
      <w:r w:rsidR="009F4009">
        <w:rPr>
          <w:rFonts w:ascii="Times New Roman" w:hAnsi="Times New Roman" w:cs="Times New Roman"/>
          <w:sz w:val="24"/>
          <w:szCs w:val="24"/>
        </w:rPr>
        <w:t>determinó su competencia para conocer la demanda interpuesta por Estados Unidos con base en las</w:t>
      </w:r>
      <w:r w:rsidR="009A15FB">
        <w:rPr>
          <w:rFonts w:ascii="Times New Roman" w:hAnsi="Times New Roman" w:cs="Times New Roman"/>
          <w:sz w:val="24"/>
          <w:szCs w:val="24"/>
        </w:rPr>
        <w:t xml:space="preserve"> siguientes normas ratificadas por ambos países: </w:t>
      </w:r>
      <w:r w:rsidR="009F4009">
        <w:rPr>
          <w:rFonts w:ascii="Times New Roman" w:hAnsi="Times New Roman" w:cs="Times New Roman"/>
          <w:sz w:val="24"/>
          <w:szCs w:val="24"/>
        </w:rPr>
        <w:t xml:space="preserve"> </w:t>
      </w:r>
      <w:r w:rsidR="009A15FB">
        <w:rPr>
          <w:rFonts w:ascii="Times New Roman" w:hAnsi="Times New Roman" w:cs="Times New Roman"/>
          <w:sz w:val="24"/>
          <w:szCs w:val="24"/>
        </w:rPr>
        <w:t xml:space="preserve">las </w:t>
      </w:r>
      <w:r w:rsidR="009F4009">
        <w:rPr>
          <w:rFonts w:ascii="Times New Roman" w:hAnsi="Times New Roman" w:cs="Times New Roman"/>
          <w:sz w:val="24"/>
          <w:szCs w:val="24"/>
        </w:rPr>
        <w:t>Convenciones de Viena de 1961 y 1963,</w:t>
      </w:r>
      <w:r w:rsidR="009A15FB">
        <w:rPr>
          <w:rFonts w:ascii="Times New Roman" w:hAnsi="Times New Roman" w:cs="Times New Roman"/>
          <w:sz w:val="24"/>
          <w:szCs w:val="24"/>
        </w:rPr>
        <w:t xml:space="preserve"> y </w:t>
      </w:r>
      <w:r w:rsidR="009F4009">
        <w:rPr>
          <w:rFonts w:ascii="Times New Roman" w:hAnsi="Times New Roman" w:cs="Times New Roman"/>
          <w:sz w:val="24"/>
          <w:szCs w:val="24"/>
        </w:rPr>
        <w:t xml:space="preserve">el Tratado de Amistad, Relaciones Económicas y Derechos Consulares </w:t>
      </w:r>
      <w:r w:rsidR="009A15FB">
        <w:rPr>
          <w:rFonts w:ascii="Times New Roman" w:hAnsi="Times New Roman" w:cs="Times New Roman"/>
          <w:sz w:val="24"/>
          <w:szCs w:val="24"/>
        </w:rPr>
        <w:t xml:space="preserve">de 1955 entre </w:t>
      </w:r>
      <w:r w:rsidR="001E790B">
        <w:rPr>
          <w:rFonts w:ascii="Times New Roman" w:hAnsi="Times New Roman" w:cs="Times New Roman"/>
          <w:sz w:val="24"/>
          <w:szCs w:val="24"/>
        </w:rPr>
        <w:t>EE. UU.</w:t>
      </w:r>
      <w:r w:rsidR="009A15FB">
        <w:rPr>
          <w:rFonts w:ascii="Times New Roman" w:hAnsi="Times New Roman" w:cs="Times New Roman"/>
          <w:sz w:val="24"/>
          <w:szCs w:val="24"/>
        </w:rPr>
        <w:t xml:space="preserve"> e Irán. </w:t>
      </w:r>
    </w:p>
    <w:p w14:paraId="6FC34042" w14:textId="022E3358" w:rsidR="00B430E0" w:rsidRDefault="00AC77CD" w:rsidP="001A6784">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PRIMERO</w:t>
      </w:r>
      <w:r w:rsidR="002B69E8">
        <w:rPr>
          <w:rFonts w:ascii="Times New Roman" w:hAnsi="Times New Roman" w:cs="Times New Roman"/>
          <w:sz w:val="24"/>
          <w:szCs w:val="24"/>
        </w:rPr>
        <w:t xml:space="preserve">, los acontecimientos del 4 </w:t>
      </w:r>
      <w:r w:rsidR="00071AA0">
        <w:rPr>
          <w:rFonts w:ascii="Times New Roman" w:hAnsi="Times New Roman" w:cs="Times New Roman"/>
          <w:sz w:val="24"/>
          <w:szCs w:val="24"/>
        </w:rPr>
        <w:t xml:space="preserve">y 5 </w:t>
      </w:r>
      <w:r w:rsidR="002B69E8">
        <w:rPr>
          <w:rFonts w:ascii="Times New Roman" w:hAnsi="Times New Roman" w:cs="Times New Roman"/>
          <w:sz w:val="24"/>
          <w:szCs w:val="24"/>
        </w:rPr>
        <w:t xml:space="preserve">de noviembre de 1979 se refieren fundamentalmente </w:t>
      </w:r>
      <w:r w:rsidR="00071AA0">
        <w:rPr>
          <w:rFonts w:ascii="Times New Roman" w:hAnsi="Times New Roman" w:cs="Times New Roman"/>
          <w:sz w:val="24"/>
          <w:szCs w:val="24"/>
        </w:rPr>
        <w:t>a</w:t>
      </w:r>
      <w:r w:rsidR="002B69E8">
        <w:rPr>
          <w:rFonts w:ascii="Times New Roman" w:hAnsi="Times New Roman" w:cs="Times New Roman"/>
          <w:sz w:val="24"/>
          <w:szCs w:val="24"/>
        </w:rPr>
        <w:t>l ataque armado y ocupación de la Embajada americana y las residencias anexas, el secuestro de los ocupantes allí presentes, y la apropiación de los bienes y archivos</w:t>
      </w:r>
      <w:r w:rsidR="00071AA0">
        <w:rPr>
          <w:rFonts w:ascii="Times New Roman" w:hAnsi="Times New Roman" w:cs="Times New Roman"/>
          <w:sz w:val="24"/>
          <w:szCs w:val="24"/>
        </w:rPr>
        <w:t>, así como la ocupación de los consulados en Tabriz y Shiraz</w:t>
      </w:r>
      <w:r w:rsidR="002B69E8">
        <w:rPr>
          <w:rFonts w:ascii="Times New Roman" w:hAnsi="Times New Roman" w:cs="Times New Roman"/>
          <w:sz w:val="24"/>
          <w:szCs w:val="24"/>
        </w:rPr>
        <w:t xml:space="preserve">. </w:t>
      </w:r>
      <w:r w:rsidR="001A6784">
        <w:rPr>
          <w:rFonts w:ascii="Times New Roman" w:hAnsi="Times New Roman" w:cs="Times New Roman"/>
          <w:sz w:val="24"/>
          <w:szCs w:val="24"/>
        </w:rPr>
        <w:t>Si bien es cierto que el líder religioso apoyó las demostraciones estudiantiles en contra de Estados Unidos el 1 de noviembre en unas declaraciones públicas</w:t>
      </w:r>
      <w:r w:rsidR="00B430E0">
        <w:rPr>
          <w:rFonts w:ascii="Times New Roman" w:hAnsi="Times New Roman" w:cs="Times New Roman"/>
          <w:sz w:val="24"/>
          <w:szCs w:val="24"/>
        </w:rPr>
        <w:t>, no parece atribuible l</w:t>
      </w:r>
      <w:r w:rsidR="001A6784">
        <w:rPr>
          <w:rFonts w:ascii="Times New Roman" w:hAnsi="Times New Roman" w:cs="Times New Roman"/>
          <w:sz w:val="24"/>
          <w:szCs w:val="24"/>
        </w:rPr>
        <w:t xml:space="preserve">os </w:t>
      </w:r>
      <w:r w:rsidR="001A6784">
        <w:rPr>
          <w:rFonts w:ascii="Times New Roman" w:hAnsi="Times New Roman" w:cs="Times New Roman"/>
          <w:sz w:val="24"/>
          <w:szCs w:val="24"/>
        </w:rPr>
        <w:lastRenderedPageBreak/>
        <w:t>acontecimientos</w:t>
      </w:r>
      <w:r w:rsidR="00B430E0">
        <w:rPr>
          <w:rFonts w:ascii="Times New Roman" w:hAnsi="Times New Roman" w:cs="Times New Roman"/>
          <w:sz w:val="24"/>
          <w:szCs w:val="24"/>
        </w:rPr>
        <w:t xml:space="preserve"> al Gobierno iraní, ya que </w:t>
      </w:r>
      <w:r w:rsidR="00071AA0">
        <w:rPr>
          <w:rFonts w:ascii="Times New Roman" w:hAnsi="Times New Roman" w:cs="Times New Roman"/>
          <w:sz w:val="24"/>
          <w:szCs w:val="24"/>
        </w:rPr>
        <w:t xml:space="preserve">las ocupaciones fueron encabezados por </w:t>
      </w:r>
      <w:r w:rsidR="00B430E0">
        <w:rPr>
          <w:rFonts w:ascii="Times New Roman" w:hAnsi="Times New Roman" w:cs="Times New Roman"/>
          <w:sz w:val="24"/>
          <w:szCs w:val="24"/>
        </w:rPr>
        <w:t>grupo</w:t>
      </w:r>
      <w:r w:rsidR="00071AA0">
        <w:rPr>
          <w:rFonts w:ascii="Times New Roman" w:hAnsi="Times New Roman" w:cs="Times New Roman"/>
          <w:sz w:val="24"/>
          <w:szCs w:val="24"/>
        </w:rPr>
        <w:t xml:space="preserve">s </w:t>
      </w:r>
      <w:r w:rsidR="00B430E0">
        <w:rPr>
          <w:rFonts w:ascii="Times New Roman" w:hAnsi="Times New Roman" w:cs="Times New Roman"/>
          <w:sz w:val="24"/>
          <w:szCs w:val="24"/>
        </w:rPr>
        <w:t xml:space="preserve">de </w:t>
      </w:r>
      <w:r w:rsidR="00071AA0">
        <w:rPr>
          <w:rFonts w:ascii="Times New Roman" w:hAnsi="Times New Roman" w:cs="Times New Roman"/>
          <w:sz w:val="24"/>
          <w:szCs w:val="24"/>
        </w:rPr>
        <w:t>estudiantes que</w:t>
      </w:r>
      <w:r w:rsidR="00B430E0">
        <w:rPr>
          <w:rFonts w:ascii="Times New Roman" w:hAnsi="Times New Roman" w:cs="Times New Roman"/>
          <w:sz w:val="24"/>
          <w:szCs w:val="24"/>
        </w:rPr>
        <w:t xml:space="preserve"> no act</w:t>
      </w:r>
      <w:r w:rsidR="00071AA0">
        <w:rPr>
          <w:rFonts w:ascii="Times New Roman" w:hAnsi="Times New Roman" w:cs="Times New Roman"/>
          <w:sz w:val="24"/>
          <w:szCs w:val="24"/>
        </w:rPr>
        <w:t>uaron</w:t>
      </w:r>
      <w:r w:rsidR="00B430E0">
        <w:rPr>
          <w:rFonts w:ascii="Times New Roman" w:hAnsi="Times New Roman" w:cs="Times New Roman"/>
          <w:sz w:val="24"/>
          <w:szCs w:val="24"/>
        </w:rPr>
        <w:t xml:space="preserve"> por cuenta del Estado</w:t>
      </w:r>
      <w:r w:rsidR="00700850">
        <w:rPr>
          <w:rFonts w:ascii="Times New Roman" w:hAnsi="Times New Roman" w:cs="Times New Roman"/>
          <w:sz w:val="24"/>
          <w:szCs w:val="24"/>
        </w:rPr>
        <w:t>, ni sigu</w:t>
      </w:r>
      <w:r w:rsidR="00071AA0">
        <w:rPr>
          <w:rFonts w:ascii="Times New Roman" w:hAnsi="Times New Roman" w:cs="Times New Roman"/>
          <w:sz w:val="24"/>
          <w:szCs w:val="24"/>
        </w:rPr>
        <w:t>ieron</w:t>
      </w:r>
      <w:r w:rsidR="00700850">
        <w:rPr>
          <w:rFonts w:ascii="Times New Roman" w:hAnsi="Times New Roman" w:cs="Times New Roman"/>
          <w:sz w:val="24"/>
          <w:szCs w:val="24"/>
        </w:rPr>
        <w:t xml:space="preserve"> órdenes </w:t>
      </w:r>
      <w:r w:rsidR="00071AA0">
        <w:rPr>
          <w:rFonts w:ascii="Times New Roman" w:hAnsi="Times New Roman" w:cs="Times New Roman"/>
          <w:sz w:val="24"/>
          <w:szCs w:val="24"/>
        </w:rPr>
        <w:t xml:space="preserve">directas </w:t>
      </w:r>
      <w:r w:rsidR="00700850">
        <w:rPr>
          <w:rFonts w:ascii="Times New Roman" w:hAnsi="Times New Roman" w:cs="Times New Roman"/>
          <w:sz w:val="24"/>
          <w:szCs w:val="24"/>
        </w:rPr>
        <w:t>del mismo</w:t>
      </w:r>
      <w:r w:rsidR="003E3DA4">
        <w:rPr>
          <w:rFonts w:ascii="Times New Roman" w:hAnsi="Times New Roman" w:cs="Times New Roman"/>
          <w:sz w:val="24"/>
          <w:szCs w:val="24"/>
        </w:rPr>
        <w:t>:</w:t>
      </w:r>
    </w:p>
    <w:p w14:paraId="61A9B7C0" w14:textId="14D3BD81" w:rsidR="002B69E8" w:rsidRPr="00AA2985" w:rsidRDefault="00B430E0" w:rsidP="001A6784">
      <w:pPr>
        <w:spacing w:line="360" w:lineRule="auto"/>
        <w:ind w:left="720" w:firstLine="720"/>
        <w:jc w:val="both"/>
        <w:rPr>
          <w:rFonts w:ascii="Times New Roman" w:hAnsi="Times New Roman" w:cs="Times New Roman"/>
          <w:i/>
          <w:iCs/>
          <w:sz w:val="24"/>
          <w:szCs w:val="24"/>
          <w:lang w:val="en-GB"/>
        </w:rPr>
      </w:pPr>
      <w:r w:rsidRPr="00AA2985">
        <w:rPr>
          <w:rFonts w:ascii="Times New Roman" w:hAnsi="Times New Roman" w:cs="Times New Roman"/>
          <w:i/>
          <w:iCs/>
          <w:sz w:val="24"/>
          <w:szCs w:val="24"/>
          <w:lang w:val="en-GB"/>
        </w:rPr>
        <w:t xml:space="preserve">“Their conduct might be considered as itself directly imputable to the Iranian State only if it were established that, in fact. on the occasion in question the militants acted on behalf </w:t>
      </w:r>
      <w:proofErr w:type="spellStart"/>
      <w:r w:rsidRPr="00AA2985">
        <w:rPr>
          <w:rFonts w:ascii="Times New Roman" w:hAnsi="Times New Roman" w:cs="Times New Roman"/>
          <w:i/>
          <w:iCs/>
          <w:sz w:val="24"/>
          <w:szCs w:val="24"/>
          <w:lang w:val="en-GB"/>
        </w:rPr>
        <w:t>on</w:t>
      </w:r>
      <w:proofErr w:type="spellEnd"/>
      <w:r w:rsidRPr="00AA2985">
        <w:rPr>
          <w:rFonts w:ascii="Times New Roman" w:hAnsi="Times New Roman" w:cs="Times New Roman"/>
          <w:i/>
          <w:iCs/>
          <w:sz w:val="24"/>
          <w:szCs w:val="24"/>
          <w:lang w:val="en-GB"/>
        </w:rPr>
        <w:t xml:space="preserve"> the State, having been charged by some competent organ of the Iranian State to carry out a specific operation”</w:t>
      </w:r>
      <w:r w:rsidR="009111EF">
        <w:rPr>
          <w:rStyle w:val="Refdenotaalpie"/>
          <w:rFonts w:ascii="Times New Roman" w:hAnsi="Times New Roman" w:cs="Times New Roman"/>
          <w:i/>
          <w:iCs/>
          <w:sz w:val="24"/>
          <w:szCs w:val="24"/>
        </w:rPr>
        <w:footnoteReference w:id="28"/>
      </w:r>
      <w:r w:rsidR="00700850" w:rsidRPr="00AA2985">
        <w:rPr>
          <w:rFonts w:ascii="Times New Roman" w:hAnsi="Times New Roman" w:cs="Times New Roman"/>
          <w:i/>
          <w:iCs/>
          <w:sz w:val="24"/>
          <w:szCs w:val="24"/>
          <w:lang w:val="en-GB"/>
        </w:rPr>
        <w:t xml:space="preserve">. </w:t>
      </w:r>
    </w:p>
    <w:p w14:paraId="3226EBDC" w14:textId="77777777" w:rsidR="00687FA6" w:rsidRDefault="00785C4E" w:rsidP="00785C4E">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Por consiguiente, n</w:t>
      </w:r>
      <w:r w:rsidR="001A6784">
        <w:rPr>
          <w:rFonts w:ascii="Times New Roman" w:hAnsi="Times New Roman" w:cs="Times New Roman"/>
          <w:sz w:val="24"/>
          <w:szCs w:val="24"/>
        </w:rPr>
        <w:t xml:space="preserve">o hay duda de que los agentes del Estado receptor no penetraron los locales diplomáticos </w:t>
      </w:r>
      <w:r w:rsidR="00071AA0">
        <w:rPr>
          <w:rFonts w:ascii="Times New Roman" w:hAnsi="Times New Roman" w:cs="Times New Roman"/>
          <w:sz w:val="24"/>
          <w:szCs w:val="24"/>
        </w:rPr>
        <w:t xml:space="preserve">y consulares, </w:t>
      </w:r>
      <w:r w:rsidR="001A6784">
        <w:rPr>
          <w:rFonts w:ascii="Times New Roman" w:hAnsi="Times New Roman" w:cs="Times New Roman"/>
          <w:sz w:val="24"/>
          <w:szCs w:val="24"/>
        </w:rPr>
        <w:t xml:space="preserve">y por ello el Gobierno iraní cumplió, en un principio, con su obligación de abstenerse de entrar en las dependencias americanas sin el consentimiento del jefe de la misión, </w:t>
      </w:r>
      <w:r w:rsidR="001A6784" w:rsidRPr="001A6784">
        <w:rPr>
          <w:rFonts w:ascii="Times New Roman" w:hAnsi="Times New Roman" w:cs="Times New Roman"/>
          <w:sz w:val="24"/>
          <w:szCs w:val="24"/>
        </w:rPr>
        <w:t>conforme al artículo 22.1 de la Convención de 1961</w:t>
      </w:r>
      <w:r w:rsidR="00071AA0">
        <w:rPr>
          <w:rFonts w:ascii="Times New Roman" w:hAnsi="Times New Roman" w:cs="Times New Roman"/>
          <w:sz w:val="24"/>
          <w:szCs w:val="24"/>
        </w:rPr>
        <w:t xml:space="preserve"> y el artículo 31.2 de la Convención de 1963</w:t>
      </w:r>
      <w:r w:rsidR="001A6784">
        <w:rPr>
          <w:rFonts w:ascii="Times New Roman" w:hAnsi="Times New Roman" w:cs="Times New Roman"/>
          <w:sz w:val="24"/>
          <w:szCs w:val="24"/>
        </w:rPr>
        <w:t xml:space="preserve">. </w:t>
      </w:r>
    </w:p>
    <w:p w14:paraId="3062B3C4" w14:textId="6AD738A9" w:rsidR="00700850" w:rsidRDefault="00785C4E" w:rsidP="00687FA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En relación con la </w:t>
      </w:r>
      <w:r w:rsidR="001A6784">
        <w:rPr>
          <w:rFonts w:ascii="Times New Roman" w:hAnsi="Times New Roman" w:cs="Times New Roman"/>
          <w:sz w:val="24"/>
          <w:szCs w:val="24"/>
        </w:rPr>
        <w:t>otra obligación especial de protección de los locales</w:t>
      </w:r>
      <w:r w:rsidR="00071AA0">
        <w:rPr>
          <w:rFonts w:ascii="Times New Roman" w:hAnsi="Times New Roman" w:cs="Times New Roman"/>
          <w:sz w:val="24"/>
          <w:szCs w:val="24"/>
        </w:rPr>
        <w:t xml:space="preserve"> diplomáticos y consulares</w:t>
      </w:r>
      <w:r>
        <w:rPr>
          <w:rFonts w:ascii="Times New Roman" w:hAnsi="Times New Roman" w:cs="Times New Roman"/>
          <w:sz w:val="24"/>
          <w:szCs w:val="24"/>
        </w:rPr>
        <w:t xml:space="preserve"> (</w:t>
      </w:r>
      <w:r w:rsidR="001A6784">
        <w:rPr>
          <w:rFonts w:ascii="Times New Roman" w:hAnsi="Times New Roman" w:cs="Times New Roman"/>
          <w:sz w:val="24"/>
          <w:szCs w:val="24"/>
        </w:rPr>
        <w:t>art</w:t>
      </w:r>
      <w:r>
        <w:rPr>
          <w:rFonts w:ascii="Times New Roman" w:hAnsi="Times New Roman" w:cs="Times New Roman"/>
          <w:sz w:val="24"/>
          <w:szCs w:val="24"/>
        </w:rPr>
        <w:t>.</w:t>
      </w:r>
      <w:r w:rsidR="001A6784">
        <w:rPr>
          <w:rFonts w:ascii="Times New Roman" w:hAnsi="Times New Roman" w:cs="Times New Roman"/>
          <w:sz w:val="24"/>
          <w:szCs w:val="24"/>
        </w:rPr>
        <w:t xml:space="preserve"> 22.2 de la Convención</w:t>
      </w:r>
      <w:r w:rsidR="00071AA0">
        <w:rPr>
          <w:rFonts w:ascii="Times New Roman" w:hAnsi="Times New Roman" w:cs="Times New Roman"/>
          <w:sz w:val="24"/>
          <w:szCs w:val="24"/>
        </w:rPr>
        <w:t xml:space="preserve"> de 1961 y </w:t>
      </w:r>
      <w:r>
        <w:rPr>
          <w:rFonts w:ascii="Times New Roman" w:hAnsi="Times New Roman" w:cs="Times New Roman"/>
          <w:sz w:val="24"/>
          <w:szCs w:val="24"/>
        </w:rPr>
        <w:t>art.</w:t>
      </w:r>
      <w:r w:rsidR="00071AA0">
        <w:rPr>
          <w:rFonts w:ascii="Times New Roman" w:hAnsi="Times New Roman" w:cs="Times New Roman"/>
          <w:sz w:val="24"/>
          <w:szCs w:val="24"/>
        </w:rPr>
        <w:t xml:space="preserve"> 31.3 de la Convención de 1963</w:t>
      </w:r>
      <w:r>
        <w:rPr>
          <w:rFonts w:ascii="Times New Roman" w:hAnsi="Times New Roman" w:cs="Times New Roman"/>
          <w:sz w:val="24"/>
          <w:szCs w:val="24"/>
        </w:rPr>
        <w:t xml:space="preserve">) Irán incumplió con sus deberes de prevenir y proteger las dependencias en todo momento. </w:t>
      </w:r>
      <w:r w:rsidR="001A6784">
        <w:rPr>
          <w:rFonts w:ascii="Times New Roman" w:hAnsi="Times New Roman" w:cs="Times New Roman"/>
          <w:sz w:val="24"/>
          <w:szCs w:val="24"/>
        </w:rPr>
        <w:t xml:space="preserve">En </w:t>
      </w:r>
      <w:r>
        <w:rPr>
          <w:rFonts w:ascii="Times New Roman" w:hAnsi="Times New Roman" w:cs="Times New Roman"/>
          <w:sz w:val="24"/>
          <w:szCs w:val="24"/>
        </w:rPr>
        <w:t>casos</w:t>
      </w:r>
      <w:r w:rsidR="00071AA0">
        <w:rPr>
          <w:rFonts w:ascii="Times New Roman" w:hAnsi="Times New Roman" w:cs="Times New Roman"/>
          <w:sz w:val="24"/>
          <w:szCs w:val="24"/>
        </w:rPr>
        <w:t xml:space="preserve"> anteriores, el 14 febrero y el 1 de noviembre, el Estado receptor tomó </w:t>
      </w:r>
      <w:r>
        <w:rPr>
          <w:rFonts w:ascii="Times New Roman" w:hAnsi="Times New Roman" w:cs="Times New Roman"/>
          <w:sz w:val="24"/>
          <w:szCs w:val="24"/>
        </w:rPr>
        <w:t xml:space="preserve">una serie de </w:t>
      </w:r>
      <w:r w:rsidR="00071AA0">
        <w:rPr>
          <w:rFonts w:ascii="Times New Roman" w:hAnsi="Times New Roman" w:cs="Times New Roman"/>
          <w:sz w:val="24"/>
          <w:szCs w:val="24"/>
        </w:rPr>
        <w:t xml:space="preserve">medidas </w:t>
      </w:r>
      <w:r w:rsidR="00B81263">
        <w:rPr>
          <w:rFonts w:ascii="Times New Roman" w:hAnsi="Times New Roman" w:cs="Times New Roman"/>
          <w:sz w:val="24"/>
          <w:szCs w:val="24"/>
        </w:rPr>
        <w:t>para</w:t>
      </w:r>
      <w:r>
        <w:rPr>
          <w:rFonts w:ascii="Times New Roman" w:hAnsi="Times New Roman" w:cs="Times New Roman"/>
          <w:sz w:val="24"/>
          <w:szCs w:val="24"/>
        </w:rPr>
        <w:t xml:space="preserve"> asegurar la tranquilidad de las dependencias</w:t>
      </w:r>
      <w:r w:rsidR="00B81263">
        <w:rPr>
          <w:rFonts w:ascii="Times New Roman" w:hAnsi="Times New Roman" w:cs="Times New Roman"/>
          <w:sz w:val="24"/>
          <w:szCs w:val="24"/>
        </w:rPr>
        <w:t>. E</w:t>
      </w:r>
      <w:r>
        <w:rPr>
          <w:rFonts w:ascii="Times New Roman" w:hAnsi="Times New Roman" w:cs="Times New Roman"/>
          <w:sz w:val="24"/>
          <w:szCs w:val="24"/>
        </w:rPr>
        <w:t xml:space="preserve">n esta ocasión, Irán se abstuvo de tomar cualquier medida para </w:t>
      </w:r>
      <w:r w:rsidR="00071AA0">
        <w:rPr>
          <w:rFonts w:ascii="Times New Roman" w:hAnsi="Times New Roman" w:cs="Times New Roman"/>
          <w:sz w:val="24"/>
          <w:szCs w:val="24"/>
        </w:rPr>
        <w:t>evitar las ocupaciones de las sedes y las detenciones del persona</w:t>
      </w:r>
      <w:r w:rsidR="002148EE">
        <w:rPr>
          <w:rFonts w:ascii="Times New Roman" w:hAnsi="Times New Roman" w:cs="Times New Roman"/>
          <w:sz w:val="24"/>
          <w:szCs w:val="24"/>
        </w:rPr>
        <w:t>l</w:t>
      </w:r>
      <w:r w:rsidR="00071AA0">
        <w:rPr>
          <w:rFonts w:ascii="Times New Roman" w:hAnsi="Times New Roman" w:cs="Times New Roman"/>
          <w:sz w:val="24"/>
          <w:szCs w:val="24"/>
        </w:rPr>
        <w:t xml:space="preserve"> diplom</w:t>
      </w:r>
      <w:r w:rsidR="00732856">
        <w:rPr>
          <w:rFonts w:ascii="Times New Roman" w:hAnsi="Times New Roman" w:cs="Times New Roman"/>
          <w:sz w:val="24"/>
          <w:szCs w:val="24"/>
        </w:rPr>
        <w:t>á</w:t>
      </w:r>
      <w:r w:rsidR="00071AA0">
        <w:rPr>
          <w:rFonts w:ascii="Times New Roman" w:hAnsi="Times New Roman" w:cs="Times New Roman"/>
          <w:sz w:val="24"/>
          <w:szCs w:val="24"/>
        </w:rPr>
        <w:t>tic</w:t>
      </w:r>
      <w:r w:rsidR="00732856">
        <w:rPr>
          <w:rFonts w:ascii="Times New Roman" w:hAnsi="Times New Roman" w:cs="Times New Roman"/>
          <w:sz w:val="24"/>
          <w:szCs w:val="24"/>
        </w:rPr>
        <w:t>o</w:t>
      </w:r>
      <w:r w:rsidR="00071AA0">
        <w:rPr>
          <w:rFonts w:ascii="Times New Roman" w:hAnsi="Times New Roman" w:cs="Times New Roman"/>
          <w:sz w:val="24"/>
          <w:szCs w:val="24"/>
        </w:rPr>
        <w:t xml:space="preserve"> y consular en Teherán</w:t>
      </w:r>
      <w:sdt>
        <w:sdtPr>
          <w:rPr>
            <w:rFonts w:ascii="Times New Roman" w:hAnsi="Times New Roman" w:cs="Times New Roman"/>
            <w:sz w:val="24"/>
            <w:szCs w:val="24"/>
          </w:rPr>
          <w:id w:val="1279922155"/>
          <w:citation/>
        </w:sdtPr>
        <w:sdtContent>
          <w:r w:rsidR="00687FA6">
            <w:rPr>
              <w:rFonts w:ascii="Times New Roman" w:hAnsi="Times New Roman" w:cs="Times New Roman"/>
              <w:sz w:val="24"/>
              <w:szCs w:val="24"/>
            </w:rPr>
            <w:fldChar w:fldCharType="begin"/>
          </w:r>
          <w:r w:rsidR="00687FA6">
            <w:rPr>
              <w:rFonts w:ascii="Times New Roman" w:hAnsi="Times New Roman" w:cs="Times New Roman"/>
              <w:sz w:val="24"/>
              <w:szCs w:val="24"/>
            </w:rPr>
            <w:instrText xml:space="preserve">CITATION Neg02 \p 172 \l 3082 </w:instrText>
          </w:r>
          <w:r w:rsidR="00687FA6">
            <w:rPr>
              <w:rFonts w:ascii="Times New Roman" w:hAnsi="Times New Roman" w:cs="Times New Roman"/>
              <w:sz w:val="24"/>
              <w:szCs w:val="24"/>
            </w:rPr>
            <w:fldChar w:fldCharType="separate"/>
          </w:r>
          <w:r w:rsidR="00246FA0">
            <w:rPr>
              <w:rFonts w:ascii="Times New Roman" w:hAnsi="Times New Roman" w:cs="Times New Roman"/>
              <w:noProof/>
              <w:sz w:val="24"/>
              <w:szCs w:val="24"/>
            </w:rPr>
            <w:t xml:space="preserve"> </w:t>
          </w:r>
          <w:r w:rsidR="00246FA0" w:rsidRPr="00246FA0">
            <w:rPr>
              <w:rFonts w:ascii="Times New Roman" w:hAnsi="Times New Roman" w:cs="Times New Roman"/>
              <w:noProof/>
              <w:sz w:val="24"/>
              <w:szCs w:val="24"/>
            </w:rPr>
            <w:t>(Negro Alvarado , 2002, pág. 172)</w:t>
          </w:r>
          <w:r w:rsidR="00687FA6">
            <w:rPr>
              <w:rFonts w:ascii="Times New Roman" w:hAnsi="Times New Roman" w:cs="Times New Roman"/>
              <w:sz w:val="24"/>
              <w:szCs w:val="24"/>
            </w:rPr>
            <w:fldChar w:fldCharType="end"/>
          </w:r>
        </w:sdtContent>
      </w:sdt>
      <w:r>
        <w:rPr>
          <w:rFonts w:ascii="Times New Roman" w:hAnsi="Times New Roman" w:cs="Times New Roman"/>
          <w:sz w:val="24"/>
          <w:szCs w:val="24"/>
        </w:rPr>
        <w:t>. En el supuesto anterior de la Embajada de España en Guatemala se demostró que el Estado receptor no pudo impedir la ocupación por parte de los campesinos, ya que no era previsible que ocurriese una situación de esa categoría. En cambio, el contexto social y político iraní hac</w:t>
      </w:r>
      <w:r w:rsidR="002148EE">
        <w:rPr>
          <w:rFonts w:ascii="Times New Roman" w:hAnsi="Times New Roman" w:cs="Times New Roman"/>
          <w:sz w:val="24"/>
          <w:szCs w:val="24"/>
        </w:rPr>
        <w:t>ía</w:t>
      </w:r>
      <w:r>
        <w:rPr>
          <w:rFonts w:ascii="Times New Roman" w:hAnsi="Times New Roman" w:cs="Times New Roman"/>
          <w:sz w:val="24"/>
          <w:szCs w:val="24"/>
        </w:rPr>
        <w:t xml:space="preserve"> previsible que se diese una circunstancia similar a las </w:t>
      </w:r>
      <w:r w:rsidR="00687FA6">
        <w:rPr>
          <w:rFonts w:ascii="Times New Roman" w:hAnsi="Times New Roman" w:cs="Times New Roman"/>
          <w:sz w:val="24"/>
          <w:szCs w:val="24"/>
        </w:rPr>
        <w:t>ocurrid</w:t>
      </w:r>
      <w:r w:rsidR="00A46166">
        <w:rPr>
          <w:rFonts w:ascii="Times New Roman" w:hAnsi="Times New Roman" w:cs="Times New Roman"/>
          <w:sz w:val="24"/>
          <w:szCs w:val="24"/>
        </w:rPr>
        <w:t>a</w:t>
      </w:r>
      <w:r w:rsidR="00687FA6">
        <w:rPr>
          <w:rFonts w:ascii="Times New Roman" w:hAnsi="Times New Roman" w:cs="Times New Roman"/>
          <w:sz w:val="24"/>
          <w:szCs w:val="24"/>
        </w:rPr>
        <w:t>s anteriormente respecto</w:t>
      </w:r>
      <w:r w:rsidR="004138EF">
        <w:rPr>
          <w:rFonts w:ascii="Times New Roman" w:hAnsi="Times New Roman" w:cs="Times New Roman"/>
          <w:sz w:val="24"/>
          <w:szCs w:val="24"/>
        </w:rPr>
        <w:t xml:space="preserve"> </w:t>
      </w:r>
      <w:r>
        <w:rPr>
          <w:rFonts w:ascii="Times New Roman" w:hAnsi="Times New Roman" w:cs="Times New Roman"/>
          <w:sz w:val="24"/>
          <w:szCs w:val="24"/>
        </w:rPr>
        <w:t>a los locales diplomáticos y consulares</w:t>
      </w:r>
      <w:r w:rsidR="00B81263">
        <w:rPr>
          <w:rFonts w:ascii="Times New Roman" w:hAnsi="Times New Roman" w:cs="Times New Roman"/>
          <w:sz w:val="24"/>
          <w:szCs w:val="24"/>
        </w:rPr>
        <w:t>. E</w:t>
      </w:r>
      <w:r w:rsidR="00942EF8">
        <w:rPr>
          <w:rFonts w:ascii="Times New Roman" w:hAnsi="Times New Roman" w:cs="Times New Roman"/>
          <w:sz w:val="24"/>
          <w:szCs w:val="24"/>
        </w:rPr>
        <w:t xml:space="preserve">l Estado receptor tenía que haber reforzado la seguridad de las dependencias ante un inminente ataque por parte de la población: </w:t>
      </w:r>
    </w:p>
    <w:p w14:paraId="65B719BD" w14:textId="1E25EF95" w:rsidR="00942EF8" w:rsidRPr="00AA2985" w:rsidRDefault="00942EF8" w:rsidP="00F017CF">
      <w:pPr>
        <w:spacing w:line="276" w:lineRule="auto"/>
        <w:ind w:left="720" w:firstLine="720"/>
        <w:jc w:val="both"/>
        <w:rPr>
          <w:rFonts w:ascii="Times New Roman" w:hAnsi="Times New Roman" w:cs="Times New Roman"/>
          <w:i/>
          <w:iCs/>
          <w:lang w:val="en-GB"/>
        </w:rPr>
      </w:pPr>
      <w:r w:rsidRPr="00AA2985">
        <w:rPr>
          <w:rFonts w:ascii="Times New Roman" w:hAnsi="Times New Roman" w:cs="Times New Roman"/>
          <w:i/>
          <w:iCs/>
          <w:lang w:val="en-GB"/>
        </w:rPr>
        <w:t>“the Iranian Government failed altogether to take any "appropriate steps" to protect the premises, staff and archives of the United States' mission against attack by the militants, and to take any steps either to prevent this attack or to stop it before it reached its completion. They also show that on 5 November 1979 the Iranian Government similarly failed to take appropriate steps for the protection of the United States Consulates at Tabriz and Shiraz”</w:t>
      </w:r>
      <w:r w:rsidR="009111EF">
        <w:rPr>
          <w:rStyle w:val="Refdenotaalpie"/>
          <w:rFonts w:ascii="Times New Roman" w:hAnsi="Times New Roman" w:cs="Times New Roman"/>
          <w:i/>
          <w:iCs/>
        </w:rPr>
        <w:footnoteReference w:id="29"/>
      </w:r>
      <w:r w:rsidRPr="00AA2985">
        <w:rPr>
          <w:rFonts w:ascii="Times New Roman" w:hAnsi="Times New Roman" w:cs="Times New Roman"/>
          <w:i/>
          <w:iCs/>
          <w:lang w:val="en-GB"/>
        </w:rPr>
        <w:t xml:space="preserve">. </w:t>
      </w:r>
    </w:p>
    <w:p w14:paraId="1931BECF" w14:textId="373E3CD7" w:rsidR="00226D13" w:rsidRDefault="00942EF8" w:rsidP="00913C2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En consecuencia, los ataques y ocupación de los locales diplomátic</w:t>
      </w:r>
      <w:r w:rsidR="002148EE">
        <w:rPr>
          <w:rFonts w:ascii="Times New Roman" w:hAnsi="Times New Roman" w:cs="Times New Roman"/>
          <w:sz w:val="24"/>
          <w:szCs w:val="24"/>
        </w:rPr>
        <w:t>o</w:t>
      </w:r>
      <w:r>
        <w:rPr>
          <w:rFonts w:ascii="Times New Roman" w:hAnsi="Times New Roman" w:cs="Times New Roman"/>
          <w:sz w:val="24"/>
          <w:szCs w:val="24"/>
        </w:rPr>
        <w:t xml:space="preserve">s y consulares no parecen imputables directamente al Estado receptor, ya que las acciones se llevaron a cabo por grupos estudiantiles que no actuaron por cuenta del Gobierno iraní. </w:t>
      </w:r>
      <w:r w:rsidR="00710DBE">
        <w:rPr>
          <w:rFonts w:ascii="Times New Roman" w:hAnsi="Times New Roman" w:cs="Times New Roman"/>
          <w:sz w:val="24"/>
          <w:szCs w:val="24"/>
        </w:rPr>
        <w:t>Por el contrario</w:t>
      </w:r>
      <w:r>
        <w:rPr>
          <w:rFonts w:ascii="Times New Roman" w:hAnsi="Times New Roman" w:cs="Times New Roman"/>
          <w:sz w:val="24"/>
          <w:szCs w:val="24"/>
        </w:rPr>
        <w:t xml:space="preserve">, Irán incumplió flagrantemente su segunda obligación de protección, puesto que no tomó ninguna medida para evitar </w:t>
      </w:r>
      <w:r w:rsidR="00503B87">
        <w:rPr>
          <w:rFonts w:ascii="Times New Roman" w:hAnsi="Times New Roman" w:cs="Times New Roman"/>
          <w:sz w:val="24"/>
          <w:szCs w:val="24"/>
        </w:rPr>
        <w:t xml:space="preserve">los ataques y ocupaciones de la Embajada y </w:t>
      </w:r>
      <w:r w:rsidR="002148EE">
        <w:rPr>
          <w:rFonts w:ascii="Times New Roman" w:hAnsi="Times New Roman" w:cs="Times New Roman"/>
          <w:sz w:val="24"/>
          <w:szCs w:val="24"/>
        </w:rPr>
        <w:t>c</w:t>
      </w:r>
      <w:r w:rsidR="00503B87">
        <w:rPr>
          <w:rFonts w:ascii="Times New Roman" w:hAnsi="Times New Roman" w:cs="Times New Roman"/>
          <w:sz w:val="24"/>
          <w:szCs w:val="24"/>
        </w:rPr>
        <w:t xml:space="preserve">onsulados americanos, así como de prevenir las detenciones del personal o solicitar su liberación. </w:t>
      </w:r>
    </w:p>
    <w:p w14:paraId="26CE4146" w14:textId="3EF1103E" w:rsidR="009F4BAC" w:rsidRDefault="00AC77CD" w:rsidP="009F4BA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SEGUNDO</w:t>
      </w:r>
      <w:r w:rsidR="00913C27">
        <w:rPr>
          <w:rFonts w:ascii="Times New Roman" w:hAnsi="Times New Roman" w:cs="Times New Roman"/>
          <w:sz w:val="24"/>
          <w:szCs w:val="24"/>
        </w:rPr>
        <w:t xml:space="preserve">, tras la ocupación de la misión diplomática en Teherán y las oficinas consulares en Tabriz y Shiraz, el </w:t>
      </w:r>
      <w:r w:rsidR="00710DBE">
        <w:rPr>
          <w:rFonts w:ascii="Times New Roman" w:hAnsi="Times New Roman" w:cs="Times New Roman"/>
          <w:sz w:val="24"/>
          <w:szCs w:val="24"/>
        </w:rPr>
        <w:t>Estado receptor</w:t>
      </w:r>
      <w:r w:rsidR="00913C27">
        <w:rPr>
          <w:rFonts w:ascii="Times New Roman" w:hAnsi="Times New Roman" w:cs="Times New Roman"/>
          <w:sz w:val="24"/>
          <w:szCs w:val="24"/>
        </w:rPr>
        <w:t xml:space="preserve"> </w:t>
      </w:r>
      <w:r w:rsidR="00710DBE">
        <w:rPr>
          <w:rFonts w:ascii="Times New Roman" w:hAnsi="Times New Roman" w:cs="Times New Roman"/>
          <w:sz w:val="24"/>
          <w:szCs w:val="24"/>
        </w:rPr>
        <w:t>permanecía obligado a adoptar todas las medidas necesarias para terminar la toma de los locales y del personal, así como a ofrecer una indemnización como resultado de su incumplimiento de la obligación especial de protección</w:t>
      </w:r>
      <w:sdt>
        <w:sdtPr>
          <w:rPr>
            <w:rFonts w:ascii="Times New Roman" w:hAnsi="Times New Roman" w:cs="Times New Roman"/>
            <w:sz w:val="24"/>
            <w:szCs w:val="24"/>
          </w:rPr>
          <w:id w:val="381062251"/>
          <w:citation/>
        </w:sdtPr>
        <w:sdtContent>
          <w:r w:rsidR="00FB5B5B">
            <w:rPr>
              <w:rFonts w:ascii="Times New Roman" w:hAnsi="Times New Roman" w:cs="Times New Roman"/>
              <w:sz w:val="24"/>
              <w:szCs w:val="24"/>
            </w:rPr>
            <w:fldChar w:fldCharType="begin"/>
          </w:r>
          <w:r w:rsidR="00FB5B5B">
            <w:rPr>
              <w:rFonts w:ascii="Times New Roman" w:hAnsi="Times New Roman" w:cs="Times New Roman"/>
              <w:sz w:val="24"/>
              <w:szCs w:val="24"/>
            </w:rPr>
            <w:instrText xml:space="preserve">CITATION Neg02 \p 174-175 \l 3082 </w:instrText>
          </w:r>
          <w:r w:rsidR="00FB5B5B">
            <w:rPr>
              <w:rFonts w:ascii="Times New Roman" w:hAnsi="Times New Roman" w:cs="Times New Roman"/>
              <w:sz w:val="24"/>
              <w:szCs w:val="24"/>
            </w:rPr>
            <w:fldChar w:fldCharType="separate"/>
          </w:r>
          <w:r w:rsidR="00246FA0">
            <w:rPr>
              <w:rFonts w:ascii="Times New Roman" w:hAnsi="Times New Roman" w:cs="Times New Roman"/>
              <w:noProof/>
              <w:sz w:val="24"/>
              <w:szCs w:val="24"/>
            </w:rPr>
            <w:t xml:space="preserve"> </w:t>
          </w:r>
          <w:r w:rsidR="00246FA0" w:rsidRPr="00246FA0">
            <w:rPr>
              <w:rFonts w:ascii="Times New Roman" w:hAnsi="Times New Roman" w:cs="Times New Roman"/>
              <w:noProof/>
              <w:sz w:val="24"/>
              <w:szCs w:val="24"/>
            </w:rPr>
            <w:t>(Negro Alvarado , 2002, págs. 174-175)</w:t>
          </w:r>
          <w:r w:rsidR="00FB5B5B">
            <w:rPr>
              <w:rFonts w:ascii="Times New Roman" w:hAnsi="Times New Roman" w:cs="Times New Roman"/>
              <w:sz w:val="24"/>
              <w:szCs w:val="24"/>
            </w:rPr>
            <w:fldChar w:fldCharType="end"/>
          </w:r>
        </w:sdtContent>
      </w:sdt>
      <w:r w:rsidR="00710DBE">
        <w:rPr>
          <w:rFonts w:ascii="Times New Roman" w:hAnsi="Times New Roman" w:cs="Times New Roman"/>
          <w:sz w:val="24"/>
          <w:szCs w:val="24"/>
        </w:rPr>
        <w:t xml:space="preserve">. </w:t>
      </w:r>
      <w:r w:rsidR="00F84B81">
        <w:rPr>
          <w:rFonts w:ascii="Times New Roman" w:hAnsi="Times New Roman" w:cs="Times New Roman"/>
          <w:sz w:val="24"/>
          <w:szCs w:val="24"/>
        </w:rPr>
        <w:t>Las</w:t>
      </w:r>
      <w:r w:rsidR="00710DBE">
        <w:rPr>
          <w:rFonts w:ascii="Times New Roman" w:hAnsi="Times New Roman" w:cs="Times New Roman"/>
          <w:sz w:val="24"/>
          <w:szCs w:val="24"/>
        </w:rPr>
        <w:t xml:space="preserve"> actuaciones del Gobierno iraní no </w:t>
      </w:r>
      <w:r w:rsidR="00A46166">
        <w:rPr>
          <w:rFonts w:ascii="Times New Roman" w:hAnsi="Times New Roman" w:cs="Times New Roman"/>
          <w:sz w:val="24"/>
          <w:szCs w:val="24"/>
        </w:rPr>
        <w:t>trataron de</w:t>
      </w:r>
      <w:r w:rsidR="00710DBE">
        <w:rPr>
          <w:rFonts w:ascii="Times New Roman" w:hAnsi="Times New Roman" w:cs="Times New Roman"/>
          <w:sz w:val="24"/>
          <w:szCs w:val="24"/>
        </w:rPr>
        <w:t xml:space="preserve"> poner fin a la inobservancia de l</w:t>
      </w:r>
      <w:r w:rsidR="00A46166">
        <w:rPr>
          <w:rFonts w:ascii="Times New Roman" w:hAnsi="Times New Roman" w:cs="Times New Roman"/>
          <w:sz w:val="24"/>
          <w:szCs w:val="24"/>
        </w:rPr>
        <w:t>as inmunidades</w:t>
      </w:r>
      <w:r w:rsidR="00710DBE">
        <w:rPr>
          <w:rFonts w:ascii="Times New Roman" w:hAnsi="Times New Roman" w:cs="Times New Roman"/>
          <w:sz w:val="24"/>
          <w:szCs w:val="24"/>
        </w:rPr>
        <w:t xml:space="preserve"> locales diplomático y consulares </w:t>
      </w:r>
      <w:r w:rsidR="00F84B81">
        <w:rPr>
          <w:rFonts w:ascii="Times New Roman" w:hAnsi="Times New Roman" w:cs="Times New Roman"/>
          <w:sz w:val="24"/>
          <w:szCs w:val="24"/>
        </w:rPr>
        <w:t xml:space="preserve">por parte de los ocupantes y las autoridades iraníes que no impidieron los ataques, sino que reconocieron expresamente en público su aprobación. En el decreto del 17 de noviembre, el Ayatolá Jomeini defendió que la Embajada </w:t>
      </w:r>
      <w:r w:rsidR="009F4BAC">
        <w:rPr>
          <w:rFonts w:ascii="Times New Roman" w:hAnsi="Times New Roman" w:cs="Times New Roman"/>
          <w:sz w:val="24"/>
          <w:szCs w:val="24"/>
        </w:rPr>
        <w:t>era un</w:t>
      </w:r>
      <w:r w:rsidR="00F84B81">
        <w:rPr>
          <w:rFonts w:ascii="Times New Roman" w:hAnsi="Times New Roman" w:cs="Times New Roman"/>
          <w:sz w:val="24"/>
          <w:szCs w:val="24"/>
        </w:rPr>
        <w:t xml:space="preserve"> </w:t>
      </w:r>
      <w:r w:rsidR="00F84B81" w:rsidRPr="00A46166">
        <w:rPr>
          <w:rFonts w:ascii="Times New Roman" w:hAnsi="Times New Roman" w:cs="Times New Roman"/>
          <w:i/>
          <w:iCs/>
          <w:sz w:val="24"/>
          <w:szCs w:val="24"/>
        </w:rPr>
        <w:t>“centro de espionaje y conspiración”</w:t>
      </w:r>
      <w:r w:rsidR="00F84B81">
        <w:rPr>
          <w:rFonts w:ascii="Times New Roman" w:hAnsi="Times New Roman" w:cs="Times New Roman"/>
          <w:sz w:val="24"/>
          <w:szCs w:val="24"/>
        </w:rPr>
        <w:t xml:space="preserve"> y </w:t>
      </w:r>
      <w:r w:rsidR="009F4BAC">
        <w:rPr>
          <w:rFonts w:ascii="Times New Roman" w:hAnsi="Times New Roman" w:cs="Times New Roman"/>
          <w:sz w:val="24"/>
          <w:szCs w:val="24"/>
        </w:rPr>
        <w:t xml:space="preserve">que </w:t>
      </w:r>
      <w:r w:rsidR="00F84B81">
        <w:rPr>
          <w:rFonts w:ascii="Times New Roman" w:hAnsi="Times New Roman" w:cs="Times New Roman"/>
          <w:sz w:val="24"/>
          <w:szCs w:val="24"/>
        </w:rPr>
        <w:t>el personal al no gozaba</w:t>
      </w:r>
      <w:r w:rsidR="009F4BAC">
        <w:rPr>
          <w:rFonts w:ascii="Times New Roman" w:hAnsi="Times New Roman" w:cs="Times New Roman"/>
          <w:sz w:val="24"/>
          <w:szCs w:val="24"/>
        </w:rPr>
        <w:t xml:space="preserve"> </w:t>
      </w:r>
      <w:r w:rsidR="00F84B81">
        <w:rPr>
          <w:rFonts w:ascii="Times New Roman" w:hAnsi="Times New Roman" w:cs="Times New Roman"/>
          <w:sz w:val="24"/>
          <w:szCs w:val="24"/>
        </w:rPr>
        <w:t xml:space="preserve">del </w:t>
      </w:r>
      <w:r w:rsidR="00F84B81" w:rsidRPr="00A46166">
        <w:rPr>
          <w:rFonts w:ascii="Times New Roman" w:hAnsi="Times New Roman" w:cs="Times New Roman"/>
          <w:i/>
          <w:iCs/>
          <w:sz w:val="24"/>
          <w:szCs w:val="24"/>
        </w:rPr>
        <w:t>“respeto internacional diplomático”</w:t>
      </w:r>
      <w:r w:rsidR="009F4BAC">
        <w:rPr>
          <w:rFonts w:ascii="Times New Roman" w:hAnsi="Times New Roman" w:cs="Times New Roman"/>
          <w:sz w:val="24"/>
          <w:szCs w:val="24"/>
        </w:rPr>
        <w:t xml:space="preserve"> por haber tramado complots contra el movimiento islámico, por lo que </w:t>
      </w:r>
      <w:r w:rsidR="00F84B81">
        <w:rPr>
          <w:rFonts w:ascii="Times New Roman" w:hAnsi="Times New Roman" w:cs="Times New Roman"/>
          <w:sz w:val="24"/>
          <w:szCs w:val="24"/>
        </w:rPr>
        <w:t xml:space="preserve">los rehenes americanos permanecerían </w:t>
      </w:r>
      <w:r w:rsidR="00F84B81" w:rsidRPr="00A46166">
        <w:rPr>
          <w:rFonts w:ascii="Times New Roman" w:hAnsi="Times New Roman" w:cs="Times New Roman"/>
          <w:i/>
          <w:iCs/>
          <w:sz w:val="24"/>
          <w:szCs w:val="24"/>
        </w:rPr>
        <w:t>“arrestados”</w:t>
      </w:r>
      <w:r w:rsidR="00F84B81">
        <w:rPr>
          <w:rFonts w:ascii="Times New Roman" w:hAnsi="Times New Roman" w:cs="Times New Roman"/>
          <w:sz w:val="24"/>
          <w:szCs w:val="24"/>
        </w:rPr>
        <w:t xml:space="preserve"> </w:t>
      </w:r>
      <w:r w:rsidR="009F4BAC">
        <w:rPr>
          <w:rFonts w:ascii="Times New Roman" w:hAnsi="Times New Roman" w:cs="Times New Roman"/>
          <w:sz w:val="24"/>
          <w:szCs w:val="24"/>
        </w:rPr>
        <w:t xml:space="preserve">y prohibió cualquier negociación con Estados Unidos </w:t>
      </w:r>
      <w:r w:rsidR="00F84B81">
        <w:rPr>
          <w:rFonts w:ascii="Times New Roman" w:hAnsi="Times New Roman" w:cs="Times New Roman"/>
          <w:sz w:val="24"/>
          <w:szCs w:val="24"/>
        </w:rPr>
        <w:t>mientras</w:t>
      </w:r>
      <w:r w:rsidR="009F4BAC">
        <w:rPr>
          <w:rFonts w:ascii="Times New Roman" w:hAnsi="Times New Roman" w:cs="Times New Roman"/>
          <w:sz w:val="24"/>
          <w:szCs w:val="24"/>
        </w:rPr>
        <w:t xml:space="preserve"> este no</w:t>
      </w:r>
      <w:r w:rsidR="00F84B81">
        <w:rPr>
          <w:rFonts w:ascii="Times New Roman" w:hAnsi="Times New Roman" w:cs="Times New Roman"/>
          <w:sz w:val="24"/>
          <w:szCs w:val="24"/>
        </w:rPr>
        <w:t xml:space="preserve"> devolviese al </w:t>
      </w:r>
      <w:proofErr w:type="spellStart"/>
      <w:r w:rsidR="00F84B81">
        <w:rPr>
          <w:rFonts w:ascii="Times New Roman" w:hAnsi="Times New Roman" w:cs="Times New Roman"/>
          <w:sz w:val="24"/>
          <w:szCs w:val="24"/>
        </w:rPr>
        <w:t>Sha</w:t>
      </w:r>
      <w:proofErr w:type="spellEnd"/>
      <w:r w:rsidR="009F4BAC">
        <w:rPr>
          <w:rFonts w:ascii="Times New Roman" w:hAnsi="Times New Roman" w:cs="Times New Roman"/>
          <w:sz w:val="24"/>
          <w:szCs w:val="24"/>
        </w:rPr>
        <w:t xml:space="preserve"> </w:t>
      </w:r>
      <w:r w:rsidR="00F84B81">
        <w:rPr>
          <w:rFonts w:ascii="Times New Roman" w:hAnsi="Times New Roman" w:cs="Times New Roman"/>
          <w:sz w:val="24"/>
          <w:szCs w:val="24"/>
        </w:rPr>
        <w:t xml:space="preserve"> </w:t>
      </w:r>
      <w:sdt>
        <w:sdtPr>
          <w:rPr>
            <w:rFonts w:ascii="Times New Roman" w:hAnsi="Times New Roman" w:cs="Times New Roman"/>
            <w:sz w:val="24"/>
            <w:szCs w:val="24"/>
          </w:rPr>
          <w:id w:val="-209659569"/>
          <w:citation/>
        </w:sdtPr>
        <w:sdtContent>
          <w:r w:rsidR="009F4BAC">
            <w:rPr>
              <w:rFonts w:ascii="Times New Roman" w:hAnsi="Times New Roman" w:cs="Times New Roman"/>
              <w:sz w:val="24"/>
              <w:szCs w:val="24"/>
            </w:rPr>
            <w:fldChar w:fldCharType="begin"/>
          </w:r>
          <w:r w:rsidR="009F4BAC">
            <w:rPr>
              <w:rFonts w:ascii="Times New Roman" w:hAnsi="Times New Roman" w:cs="Times New Roman"/>
              <w:sz w:val="24"/>
              <w:szCs w:val="24"/>
            </w:rPr>
            <w:instrText xml:space="preserve"> CITATION New79 \l 3082 </w:instrText>
          </w:r>
          <w:r w:rsidR="009F4BAC">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(New York Times, 1979)</w:t>
          </w:r>
          <w:r w:rsidR="009F4BAC">
            <w:rPr>
              <w:rFonts w:ascii="Times New Roman" w:hAnsi="Times New Roman" w:cs="Times New Roman"/>
              <w:sz w:val="24"/>
              <w:szCs w:val="24"/>
            </w:rPr>
            <w:fldChar w:fldCharType="end"/>
          </w:r>
        </w:sdtContent>
      </w:sdt>
      <w:r w:rsidR="009F4BAC">
        <w:rPr>
          <w:rFonts w:ascii="Times New Roman" w:hAnsi="Times New Roman" w:cs="Times New Roman"/>
          <w:sz w:val="24"/>
          <w:szCs w:val="24"/>
        </w:rPr>
        <w:t xml:space="preserve">. Como resultado de estas declaraciones, el Tribunal determinó que los actos de los grupos de estudiantes pasaban a ser considerados como actos del Estado iraní y los estudiantes se convertían en agentes del Estado al actuar por cuenta de este: </w:t>
      </w:r>
    </w:p>
    <w:p w14:paraId="67DD7439" w14:textId="654DBFEA" w:rsidR="009F4BAC" w:rsidRPr="00AA2985" w:rsidRDefault="009F4BAC" w:rsidP="00F017CF">
      <w:pPr>
        <w:spacing w:line="276" w:lineRule="auto"/>
        <w:ind w:left="720" w:firstLine="720"/>
        <w:jc w:val="both"/>
        <w:rPr>
          <w:rFonts w:ascii="Times New Roman" w:hAnsi="Times New Roman" w:cs="Times New Roman"/>
          <w:i/>
          <w:iCs/>
          <w:lang w:val="en-GB"/>
        </w:rPr>
      </w:pPr>
      <w:r w:rsidRPr="00AA2985">
        <w:rPr>
          <w:rFonts w:ascii="Times New Roman" w:hAnsi="Times New Roman" w:cs="Times New Roman"/>
          <w:lang w:val="en-GB"/>
        </w:rPr>
        <w:t>“</w:t>
      </w:r>
      <w:r w:rsidRPr="00AA2985">
        <w:rPr>
          <w:rFonts w:ascii="Times New Roman" w:hAnsi="Times New Roman" w:cs="Times New Roman"/>
          <w:i/>
          <w:iCs/>
          <w:lang w:val="en-GB"/>
        </w:rPr>
        <w:t>The result of that policy was fundamentally to transform the legal nature of the situation created by the occupation of the Embassy and the detention of its diplomatic and consular staff as hostages. The approval given to these facts by the Ayatollah Khomeini and other organs of the Iranian State, and the decision to perpetuate them, translated continuing occupation of the Embassy and detention of the hostages into acts of that State. The militants, authors of the invasion and jailers of the hostages, had now become agents of the Iranian State”</w:t>
      </w:r>
      <w:r w:rsidR="009111EF">
        <w:rPr>
          <w:rStyle w:val="Refdenotaalpie"/>
          <w:rFonts w:ascii="Times New Roman" w:hAnsi="Times New Roman" w:cs="Times New Roman"/>
          <w:i/>
          <w:iCs/>
          <w:lang w:val="de-DE"/>
        </w:rPr>
        <w:footnoteReference w:id="30"/>
      </w:r>
      <w:r w:rsidR="00756873" w:rsidRPr="00AA2985">
        <w:rPr>
          <w:rFonts w:ascii="Times New Roman" w:hAnsi="Times New Roman" w:cs="Times New Roman"/>
          <w:i/>
          <w:iCs/>
          <w:lang w:val="en-GB"/>
        </w:rPr>
        <w:t xml:space="preserve"> </w:t>
      </w:r>
    </w:p>
    <w:p w14:paraId="3B0D4139" w14:textId="4FDCC102" w:rsidR="00FB5B5B" w:rsidRDefault="003A3C5E" w:rsidP="0069088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Es decir, el Gobierno iraní con su aprobación expresa de los ataques y ocupaciones de la Embajada en Teherán y los consulados en Tabriz y Shiraz se convirt</w:t>
      </w:r>
      <w:r w:rsidR="002148EE">
        <w:rPr>
          <w:rFonts w:ascii="Times New Roman" w:hAnsi="Times New Roman" w:cs="Times New Roman"/>
          <w:sz w:val="24"/>
          <w:szCs w:val="24"/>
        </w:rPr>
        <w:t>ió</w:t>
      </w:r>
      <w:r>
        <w:rPr>
          <w:rFonts w:ascii="Times New Roman" w:hAnsi="Times New Roman" w:cs="Times New Roman"/>
          <w:sz w:val="24"/>
          <w:szCs w:val="24"/>
        </w:rPr>
        <w:t xml:space="preserve"> en autor directo del incumplimiento de la inviolabilidad los locales de la misión diplomática y de </w:t>
      </w:r>
      <w:r>
        <w:rPr>
          <w:rFonts w:ascii="Times New Roman" w:hAnsi="Times New Roman" w:cs="Times New Roman"/>
          <w:sz w:val="24"/>
          <w:szCs w:val="24"/>
        </w:rPr>
        <w:lastRenderedPageBreak/>
        <w:t xml:space="preserve">las oficinas consulares, así como del resto de las violaciones de las obligaciones del Estado receptor establecidas en los Convenios de Viena de 1961 y 1963 en relación con la inviolabilidad del personal diplomático y consular, los archivos, documentos y bienes, y la libertad de comunicación de los mismo. </w:t>
      </w:r>
    </w:p>
    <w:p w14:paraId="757B49FE" w14:textId="60C491E5" w:rsidR="00FB5B5B" w:rsidRPr="00200AC2" w:rsidRDefault="00FB5B5B" w:rsidP="00D61B73">
      <w:pPr>
        <w:pStyle w:val="Ttulo3"/>
        <w:numPr>
          <w:ilvl w:val="2"/>
          <w:numId w:val="1"/>
        </w:numPr>
        <w:spacing w:line="360" w:lineRule="auto"/>
        <w:jc w:val="both"/>
        <w:rPr>
          <w:rFonts w:ascii="Times New Roman" w:hAnsi="Times New Roman" w:cs="Times New Roman"/>
          <w:sz w:val="28"/>
          <w:szCs w:val="28"/>
        </w:rPr>
      </w:pPr>
      <w:bookmarkStart w:id="31" w:name="_Toc65498622"/>
      <w:r w:rsidRPr="00200AC2">
        <w:rPr>
          <w:rFonts w:ascii="Times New Roman" w:hAnsi="Times New Roman" w:cs="Times New Roman"/>
          <w:sz w:val="28"/>
          <w:szCs w:val="28"/>
        </w:rPr>
        <w:t>Responsabilidad Internacional de la República Islámica de Irán</w:t>
      </w:r>
      <w:bookmarkEnd w:id="31"/>
    </w:p>
    <w:p w14:paraId="701DD960" w14:textId="380F9A60" w:rsidR="00FB5B5B" w:rsidRDefault="00D61B73" w:rsidP="00D61B73">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La República Islámica de Irán será responsable de los acontecimientos en la Embajada de Teherán y en los Consulados de Tabriz y Shiraz, si estos son considerados como hechos internacionalmente ilícitos. </w:t>
      </w:r>
    </w:p>
    <w:p w14:paraId="49A22127" w14:textId="37E8D63C" w:rsidR="00D61B73" w:rsidRPr="001D7272" w:rsidRDefault="00D61B73" w:rsidP="001309B0">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P</w:t>
      </w:r>
      <w:r w:rsidR="00AC77CD">
        <w:rPr>
          <w:rFonts w:ascii="Times New Roman" w:hAnsi="Times New Roman" w:cs="Times New Roman"/>
          <w:sz w:val="24"/>
          <w:szCs w:val="24"/>
        </w:rPr>
        <w:t>RIMERO</w:t>
      </w:r>
      <w:r>
        <w:rPr>
          <w:rFonts w:ascii="Times New Roman" w:hAnsi="Times New Roman" w:cs="Times New Roman"/>
          <w:sz w:val="24"/>
          <w:szCs w:val="24"/>
        </w:rPr>
        <w:t xml:space="preserve">, los sucesos en Irán se han estudiado en dos fases distintas por lo que será necesario seguir este orden en relación con la imputación al Estados receptor de esos acontecimientos. En un principio, las ocupaciones de la Embajada y de los Consulados, la toma de rehenes y la posesión de sus bienes y archivos </w:t>
      </w:r>
      <w:r w:rsidR="001309B0">
        <w:rPr>
          <w:rFonts w:ascii="Times New Roman" w:hAnsi="Times New Roman" w:cs="Times New Roman"/>
          <w:sz w:val="24"/>
          <w:szCs w:val="24"/>
        </w:rPr>
        <w:t xml:space="preserve">por parte de los grupos de estudiantes </w:t>
      </w:r>
      <w:r>
        <w:rPr>
          <w:rFonts w:ascii="Times New Roman" w:hAnsi="Times New Roman" w:cs="Times New Roman"/>
          <w:sz w:val="24"/>
          <w:szCs w:val="24"/>
        </w:rPr>
        <w:t>no es imputable a la República de Irán</w:t>
      </w:r>
      <w:r w:rsidR="001309B0">
        <w:rPr>
          <w:rFonts w:ascii="Times New Roman" w:hAnsi="Times New Roman" w:cs="Times New Roman"/>
          <w:sz w:val="24"/>
          <w:szCs w:val="24"/>
        </w:rPr>
        <w:t>, ya que estos actuaron por cuenta propia y sin obedecer órdenes específicas del Gobierno. Ahora bien, las autoridades iraníes no tomaron las medidas adecuadas para evitar que se menoscabe la tranquilidad de la misión y de las oficinas, por lo que esta omisión de su deber de protección si será imputable al Estado receptor, pues era el sujeto responsable de evitar este tipo de acontecimientos</w:t>
      </w:r>
      <w:r w:rsidR="00AE1171">
        <w:rPr>
          <w:rFonts w:ascii="Times New Roman" w:hAnsi="Times New Roman" w:cs="Times New Roman"/>
          <w:sz w:val="24"/>
          <w:szCs w:val="24"/>
        </w:rPr>
        <w:t xml:space="preserve"> </w:t>
      </w:r>
      <w:sdt>
        <w:sdtPr>
          <w:rPr>
            <w:rFonts w:ascii="Times New Roman" w:hAnsi="Times New Roman" w:cs="Times New Roman"/>
            <w:sz w:val="24"/>
            <w:szCs w:val="24"/>
          </w:rPr>
          <w:id w:val="450594716"/>
          <w:citation/>
        </w:sdtPr>
        <w:sdtContent>
          <w:r w:rsidR="00AE1171">
            <w:rPr>
              <w:rFonts w:ascii="Times New Roman" w:hAnsi="Times New Roman" w:cs="Times New Roman"/>
              <w:sz w:val="24"/>
              <w:szCs w:val="24"/>
            </w:rPr>
            <w:fldChar w:fldCharType="begin"/>
          </w:r>
          <w:r w:rsidR="00AE1171">
            <w:rPr>
              <w:rFonts w:ascii="Times New Roman" w:hAnsi="Times New Roman" w:cs="Times New Roman"/>
              <w:sz w:val="24"/>
              <w:szCs w:val="24"/>
            </w:rPr>
            <w:instrText xml:space="preserve">CITATION Pas15 \p 592 \l 3082 </w:instrText>
          </w:r>
          <w:r w:rsidR="00AE1171">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(Pastor Ridruejo, 2015, pág. 592)</w:t>
          </w:r>
          <w:r w:rsidR="00AE1171">
            <w:rPr>
              <w:rFonts w:ascii="Times New Roman" w:hAnsi="Times New Roman" w:cs="Times New Roman"/>
              <w:sz w:val="24"/>
              <w:szCs w:val="24"/>
            </w:rPr>
            <w:fldChar w:fldCharType="end"/>
          </w:r>
        </w:sdtContent>
      </w:sdt>
      <w:r w:rsidR="001309B0">
        <w:rPr>
          <w:rFonts w:ascii="Times New Roman" w:hAnsi="Times New Roman" w:cs="Times New Roman"/>
          <w:sz w:val="24"/>
          <w:szCs w:val="24"/>
        </w:rPr>
        <w:t xml:space="preserve">. En una segunda fase, el consentimiento por parte del líder iraní </w:t>
      </w:r>
      <w:r w:rsidR="00A46166">
        <w:rPr>
          <w:rFonts w:ascii="Times New Roman" w:hAnsi="Times New Roman" w:cs="Times New Roman"/>
          <w:sz w:val="24"/>
          <w:szCs w:val="24"/>
        </w:rPr>
        <w:t>transformó</w:t>
      </w:r>
      <w:r w:rsidR="001309B0">
        <w:rPr>
          <w:rFonts w:ascii="Times New Roman" w:hAnsi="Times New Roman" w:cs="Times New Roman"/>
          <w:sz w:val="24"/>
          <w:szCs w:val="24"/>
        </w:rPr>
        <w:t xml:space="preserve"> la naturaleza jurídica de las ocupaciones de la Embajada y de los Consulados, y la detención de todo el personal -diplomático, consular y técnico y administrativo- en hechos imputables al Estado</w:t>
      </w:r>
      <w:sdt>
        <w:sdtPr>
          <w:rPr>
            <w:rFonts w:ascii="Times New Roman" w:hAnsi="Times New Roman" w:cs="Times New Roman"/>
            <w:sz w:val="24"/>
            <w:szCs w:val="24"/>
          </w:rPr>
          <w:id w:val="982121840"/>
          <w:citation/>
        </w:sdtPr>
        <w:sdtContent>
          <w:r w:rsidR="001309B0">
            <w:rPr>
              <w:rFonts w:ascii="Times New Roman" w:hAnsi="Times New Roman" w:cs="Times New Roman"/>
              <w:sz w:val="24"/>
              <w:szCs w:val="24"/>
            </w:rPr>
            <w:fldChar w:fldCharType="begin"/>
          </w:r>
          <w:r w:rsidR="001309B0">
            <w:rPr>
              <w:rFonts w:ascii="Times New Roman" w:hAnsi="Times New Roman" w:cs="Times New Roman"/>
              <w:sz w:val="24"/>
              <w:szCs w:val="24"/>
            </w:rPr>
            <w:instrText xml:space="preserve">CITATION Sáe81 \p 280 \l 3082 </w:instrText>
          </w:r>
          <w:r w:rsidR="001309B0">
            <w:rPr>
              <w:rFonts w:ascii="Times New Roman" w:hAnsi="Times New Roman" w:cs="Times New Roman"/>
              <w:sz w:val="24"/>
              <w:szCs w:val="24"/>
            </w:rPr>
            <w:fldChar w:fldCharType="separate"/>
          </w:r>
          <w:r w:rsidR="00246FA0">
            <w:rPr>
              <w:rFonts w:ascii="Times New Roman" w:hAnsi="Times New Roman" w:cs="Times New Roman"/>
              <w:noProof/>
              <w:sz w:val="24"/>
              <w:szCs w:val="24"/>
            </w:rPr>
            <w:t xml:space="preserve"> </w:t>
          </w:r>
          <w:r w:rsidR="00246FA0" w:rsidRPr="00246FA0">
            <w:rPr>
              <w:rFonts w:ascii="Times New Roman" w:hAnsi="Times New Roman" w:cs="Times New Roman"/>
              <w:noProof/>
              <w:sz w:val="24"/>
              <w:szCs w:val="24"/>
            </w:rPr>
            <w:t>(Sáenz de Santa María , 1981, pág. 280)</w:t>
          </w:r>
          <w:r w:rsidR="001309B0">
            <w:rPr>
              <w:rFonts w:ascii="Times New Roman" w:hAnsi="Times New Roman" w:cs="Times New Roman"/>
              <w:sz w:val="24"/>
              <w:szCs w:val="24"/>
            </w:rPr>
            <w:fldChar w:fldCharType="end"/>
          </w:r>
        </w:sdtContent>
      </w:sdt>
      <w:r w:rsidR="001309B0">
        <w:rPr>
          <w:rFonts w:ascii="Times New Roman" w:hAnsi="Times New Roman" w:cs="Times New Roman"/>
          <w:sz w:val="24"/>
          <w:szCs w:val="24"/>
        </w:rPr>
        <w:t>.</w:t>
      </w:r>
      <w:r w:rsidR="00CE6D2F">
        <w:rPr>
          <w:rFonts w:ascii="Times New Roman" w:hAnsi="Times New Roman" w:cs="Times New Roman"/>
          <w:sz w:val="24"/>
          <w:szCs w:val="24"/>
        </w:rPr>
        <w:t xml:space="preserve"> Las actuaciones del grupo de militantes se circunscribe</w:t>
      </w:r>
      <w:r w:rsidR="001D7272">
        <w:rPr>
          <w:rFonts w:ascii="Times New Roman" w:hAnsi="Times New Roman" w:cs="Times New Roman"/>
          <w:sz w:val="24"/>
          <w:szCs w:val="24"/>
        </w:rPr>
        <w:t>n</w:t>
      </w:r>
      <w:r w:rsidR="00CE6D2F">
        <w:rPr>
          <w:rFonts w:ascii="Times New Roman" w:hAnsi="Times New Roman" w:cs="Times New Roman"/>
          <w:sz w:val="24"/>
          <w:szCs w:val="24"/>
        </w:rPr>
        <w:t xml:space="preserve"> al artículo </w:t>
      </w:r>
      <w:r w:rsidR="001D7272">
        <w:rPr>
          <w:rFonts w:ascii="Times New Roman" w:hAnsi="Times New Roman" w:cs="Times New Roman"/>
          <w:sz w:val="24"/>
          <w:szCs w:val="24"/>
        </w:rPr>
        <w:t>8</w:t>
      </w:r>
      <w:r w:rsidR="00CE6D2F">
        <w:rPr>
          <w:rFonts w:ascii="Times New Roman" w:hAnsi="Times New Roman" w:cs="Times New Roman"/>
          <w:sz w:val="24"/>
          <w:szCs w:val="24"/>
        </w:rPr>
        <w:t xml:space="preserve"> del Proyecto que considera hecho del </w:t>
      </w:r>
      <w:r w:rsidR="001D7272">
        <w:rPr>
          <w:rFonts w:ascii="Times New Roman" w:hAnsi="Times New Roman" w:cs="Times New Roman"/>
          <w:sz w:val="24"/>
          <w:szCs w:val="24"/>
        </w:rPr>
        <w:t>Estado “</w:t>
      </w:r>
      <w:r w:rsidR="001D7272" w:rsidRPr="002148EE">
        <w:rPr>
          <w:rFonts w:ascii="Times New Roman" w:hAnsi="Times New Roman" w:cs="Times New Roman"/>
          <w:i/>
          <w:iCs/>
          <w:sz w:val="24"/>
          <w:szCs w:val="24"/>
        </w:rPr>
        <w:t>e</w:t>
      </w:r>
      <w:r w:rsidR="001D7272" w:rsidRPr="002148EE">
        <w:rPr>
          <w:rFonts w:ascii="Times New Roman" w:hAnsi="Times New Roman" w:cs="Times New Roman"/>
          <w:i/>
          <w:iCs/>
          <w:sz w:val="24"/>
          <w:szCs w:val="24"/>
          <w:shd w:val="clear" w:color="auto" w:fill="FFFFFF"/>
        </w:rPr>
        <w:t>l comportamiento de una persona o de un grupo de personas si esa persona o ese grupo de personas actúa de hecho por instrucciones o bajo la dirección o el control de ese Estado”</w:t>
      </w:r>
      <w:r w:rsidR="009111EF">
        <w:rPr>
          <w:rStyle w:val="Refdenotaalpie"/>
          <w:rFonts w:ascii="Times New Roman" w:hAnsi="Times New Roman" w:cs="Times New Roman"/>
          <w:i/>
          <w:iCs/>
          <w:sz w:val="24"/>
          <w:szCs w:val="24"/>
          <w:shd w:val="clear" w:color="auto" w:fill="FFFFFF"/>
        </w:rPr>
        <w:footnoteReference w:id="31"/>
      </w:r>
      <w:r w:rsidR="001D7272" w:rsidRPr="002148EE">
        <w:rPr>
          <w:rFonts w:ascii="Times New Roman" w:hAnsi="Times New Roman" w:cs="Times New Roman"/>
          <w:i/>
          <w:iCs/>
          <w:sz w:val="24"/>
          <w:szCs w:val="24"/>
          <w:shd w:val="clear" w:color="auto" w:fill="FFFFFF"/>
        </w:rPr>
        <w:t>.</w:t>
      </w:r>
      <w:r w:rsidR="001D7272" w:rsidRPr="002148EE">
        <w:rPr>
          <w:rFonts w:ascii="Times New Roman" w:hAnsi="Times New Roman" w:cs="Times New Roman"/>
          <w:sz w:val="24"/>
          <w:szCs w:val="24"/>
          <w:shd w:val="clear" w:color="auto" w:fill="FFFFFF"/>
        </w:rPr>
        <w:t xml:space="preserve"> </w:t>
      </w:r>
    </w:p>
    <w:p w14:paraId="0B83592C" w14:textId="3731A286" w:rsidR="00D61B73" w:rsidRDefault="00D61B73" w:rsidP="00D61B73">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S</w:t>
      </w:r>
      <w:r w:rsidR="00AC77CD">
        <w:rPr>
          <w:rFonts w:ascii="Times New Roman" w:hAnsi="Times New Roman" w:cs="Times New Roman"/>
          <w:sz w:val="24"/>
          <w:szCs w:val="24"/>
        </w:rPr>
        <w:t>EGUNDO</w:t>
      </w:r>
      <w:r>
        <w:rPr>
          <w:rFonts w:ascii="Times New Roman" w:hAnsi="Times New Roman" w:cs="Times New Roman"/>
          <w:sz w:val="24"/>
          <w:szCs w:val="24"/>
        </w:rPr>
        <w:t>, el elemento objetivo se refiere al incumplimiento de una</w:t>
      </w:r>
      <w:r w:rsidR="001309B0">
        <w:rPr>
          <w:rFonts w:ascii="Times New Roman" w:hAnsi="Times New Roman" w:cs="Times New Roman"/>
          <w:sz w:val="24"/>
          <w:szCs w:val="24"/>
        </w:rPr>
        <w:t xml:space="preserve"> o</w:t>
      </w:r>
      <w:r>
        <w:rPr>
          <w:rFonts w:ascii="Times New Roman" w:hAnsi="Times New Roman" w:cs="Times New Roman"/>
          <w:sz w:val="24"/>
          <w:szCs w:val="24"/>
        </w:rPr>
        <w:t>bligación internacionalmente reconocida</w:t>
      </w:r>
      <w:r w:rsidR="001309B0">
        <w:rPr>
          <w:rFonts w:ascii="Times New Roman" w:hAnsi="Times New Roman" w:cs="Times New Roman"/>
          <w:sz w:val="24"/>
          <w:szCs w:val="24"/>
        </w:rPr>
        <w:t>, en este caso relativ</w:t>
      </w:r>
      <w:r w:rsidR="00233006">
        <w:rPr>
          <w:rFonts w:ascii="Times New Roman" w:hAnsi="Times New Roman" w:cs="Times New Roman"/>
          <w:sz w:val="24"/>
          <w:szCs w:val="24"/>
        </w:rPr>
        <w:t>a</w:t>
      </w:r>
      <w:r w:rsidR="001309B0">
        <w:rPr>
          <w:rFonts w:ascii="Times New Roman" w:hAnsi="Times New Roman" w:cs="Times New Roman"/>
          <w:sz w:val="24"/>
          <w:szCs w:val="24"/>
        </w:rPr>
        <w:t xml:space="preserve"> a las </w:t>
      </w:r>
      <w:r w:rsidR="00233006">
        <w:rPr>
          <w:rFonts w:ascii="Times New Roman" w:hAnsi="Times New Roman" w:cs="Times New Roman"/>
          <w:sz w:val="24"/>
          <w:szCs w:val="24"/>
        </w:rPr>
        <w:t>Convenciones de Viena de 1961 y 1963. En un origen, el Estado receptor no violó su obligación de abstenerse de penetrar los locales diplomático y consulares (art. 22.1 CV 1961 y Art. 3</w:t>
      </w:r>
      <w:r w:rsidR="00CD1BC5">
        <w:rPr>
          <w:rFonts w:ascii="Times New Roman" w:hAnsi="Times New Roman" w:cs="Times New Roman"/>
          <w:sz w:val="24"/>
          <w:szCs w:val="24"/>
        </w:rPr>
        <w:t>1</w:t>
      </w:r>
      <w:r w:rsidR="00233006">
        <w:rPr>
          <w:rFonts w:ascii="Times New Roman" w:hAnsi="Times New Roman" w:cs="Times New Roman"/>
          <w:sz w:val="24"/>
          <w:szCs w:val="24"/>
        </w:rPr>
        <w:t xml:space="preserve">.2 CV 1963), ya que esas actuaciones no son imputables al Estado iraní, pero ello no ha impedido que se le atribuya su omisión al deber de proteger estas dependencias mediante la toma de medidas, según </w:t>
      </w:r>
      <w:r w:rsidR="00233006">
        <w:rPr>
          <w:rFonts w:ascii="Times New Roman" w:hAnsi="Times New Roman" w:cs="Times New Roman"/>
          <w:sz w:val="24"/>
          <w:szCs w:val="24"/>
        </w:rPr>
        <w:lastRenderedPageBreak/>
        <w:t>el artículo 22.2 de la Convención de Viena de 1961 y el artículo 3</w:t>
      </w:r>
      <w:r w:rsidR="00CD1BC5">
        <w:rPr>
          <w:rFonts w:ascii="Times New Roman" w:hAnsi="Times New Roman" w:cs="Times New Roman"/>
          <w:sz w:val="24"/>
          <w:szCs w:val="24"/>
        </w:rPr>
        <w:t>1</w:t>
      </w:r>
      <w:r w:rsidR="00233006">
        <w:rPr>
          <w:rFonts w:ascii="Times New Roman" w:hAnsi="Times New Roman" w:cs="Times New Roman"/>
          <w:sz w:val="24"/>
          <w:szCs w:val="24"/>
        </w:rPr>
        <w:t xml:space="preserve">.3 de la Convención de Viena de 1963. </w:t>
      </w:r>
      <w:r w:rsidR="00A34B20">
        <w:rPr>
          <w:rFonts w:ascii="Times New Roman" w:hAnsi="Times New Roman" w:cs="Times New Roman"/>
          <w:sz w:val="24"/>
          <w:szCs w:val="24"/>
        </w:rPr>
        <w:t xml:space="preserve">Sin embargo, la aprobación oficial de las autoridades iraníes de la conducta de los grupos de estudiantes </w:t>
      </w:r>
      <w:r w:rsidR="00CD1BC5">
        <w:rPr>
          <w:rFonts w:ascii="Times New Roman" w:hAnsi="Times New Roman" w:cs="Times New Roman"/>
          <w:sz w:val="24"/>
          <w:szCs w:val="24"/>
        </w:rPr>
        <w:t xml:space="preserve">para que continuasen con las ocupaciones y las detenciones del personal conllevo el incontestable incumplimiento no solo de la inviolabilidad de los locales diplomáticos y consulares (art. 22 CV 1961 y art. 31 CV 1963), sino también de la inmunidad de coerción de los miembros del personal diplomático y consular (art. 29 CV 1961 y art. 41 CV 1963), la inviolabilidad de los documentos y archivos diplomáticos y consulares (art. 24 CV 1961 y art. 33 CV 1963), así como de la libertad de comunicación (art. 27 CV 1961 y art. 35 CV 1963). </w:t>
      </w:r>
    </w:p>
    <w:p w14:paraId="4BB19C17" w14:textId="419CDDDE" w:rsidR="008376DE" w:rsidRDefault="00ED5BD6" w:rsidP="008376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En relación con las causas de exclusión de la ilicitud, la República Islámica </w:t>
      </w:r>
      <w:r w:rsidR="00B00D5B">
        <w:rPr>
          <w:rFonts w:ascii="Times New Roman" w:hAnsi="Times New Roman" w:cs="Times New Roman"/>
          <w:sz w:val="24"/>
          <w:szCs w:val="24"/>
        </w:rPr>
        <w:t xml:space="preserve">en sus dos cartas al Tribunal </w:t>
      </w:r>
      <w:r>
        <w:rPr>
          <w:rFonts w:ascii="Times New Roman" w:hAnsi="Times New Roman" w:cs="Times New Roman"/>
          <w:sz w:val="24"/>
          <w:szCs w:val="24"/>
        </w:rPr>
        <w:t>justificó su conducta con base en las actuaciones delictivas que Estados Unidos hab</w:t>
      </w:r>
      <w:r w:rsidR="00B00D5B">
        <w:rPr>
          <w:rFonts w:ascii="Times New Roman" w:hAnsi="Times New Roman" w:cs="Times New Roman"/>
          <w:sz w:val="24"/>
          <w:szCs w:val="24"/>
        </w:rPr>
        <w:t>rí</w:t>
      </w:r>
      <w:r>
        <w:rPr>
          <w:rFonts w:ascii="Times New Roman" w:hAnsi="Times New Roman" w:cs="Times New Roman"/>
          <w:sz w:val="24"/>
          <w:szCs w:val="24"/>
        </w:rPr>
        <w:t>a desempeñado en su país</w:t>
      </w:r>
      <w:r w:rsidR="00B00D5B">
        <w:rPr>
          <w:rFonts w:ascii="Times New Roman" w:hAnsi="Times New Roman" w:cs="Times New Roman"/>
          <w:sz w:val="24"/>
          <w:szCs w:val="24"/>
        </w:rPr>
        <w:t xml:space="preserve">, por lo que estos acontecimientos son un </w:t>
      </w:r>
      <w:r w:rsidR="00B00D5B" w:rsidRPr="00A46166">
        <w:rPr>
          <w:rFonts w:ascii="Times New Roman" w:hAnsi="Times New Roman" w:cs="Times New Roman"/>
          <w:i/>
          <w:iCs/>
          <w:sz w:val="24"/>
          <w:szCs w:val="24"/>
        </w:rPr>
        <w:t>“aspecto marginal y secundario de un problema general que incluye más de 25 años de continuas interferencias de Estados Unidos en los asuntos internos de Irán”</w:t>
      </w:r>
      <w:r w:rsidR="00A46166">
        <w:rPr>
          <w:rStyle w:val="Refdenotaalpie"/>
          <w:rFonts w:ascii="Times New Roman" w:hAnsi="Times New Roman" w:cs="Times New Roman"/>
          <w:i/>
          <w:iCs/>
          <w:sz w:val="24"/>
          <w:szCs w:val="24"/>
        </w:rPr>
        <w:footnoteReference w:id="32"/>
      </w:r>
      <w:r w:rsidR="00B00D5B">
        <w:rPr>
          <w:rFonts w:ascii="Times New Roman" w:hAnsi="Times New Roman" w:cs="Times New Roman"/>
          <w:sz w:val="24"/>
          <w:szCs w:val="24"/>
        </w:rPr>
        <w:t>.</w:t>
      </w:r>
      <w:r>
        <w:rPr>
          <w:rFonts w:ascii="Times New Roman" w:hAnsi="Times New Roman" w:cs="Times New Roman"/>
          <w:sz w:val="24"/>
          <w:szCs w:val="24"/>
        </w:rPr>
        <w:t xml:space="preserve"> El Tribunal </w:t>
      </w:r>
      <w:r w:rsidR="008376DE">
        <w:rPr>
          <w:rFonts w:ascii="Times New Roman" w:hAnsi="Times New Roman" w:cs="Times New Roman"/>
          <w:sz w:val="24"/>
          <w:szCs w:val="24"/>
        </w:rPr>
        <w:t xml:space="preserve">desestimó esta cuestión, ya que consideró que el Derecho Diplomático y Consular propone una serie de medidas para evitar o castigar las actividades ilícitas por parte de los miembros del personal diplomático y consular, como las declaraciones de persona non grata, o incluso, la ruptura de las relaciones diplomáticas o consulares: </w:t>
      </w:r>
    </w:p>
    <w:p w14:paraId="237D5347" w14:textId="18BC11A0" w:rsidR="003E3DA4" w:rsidRPr="00AA2985" w:rsidRDefault="00AE1171" w:rsidP="00F017CF">
      <w:pPr>
        <w:spacing w:line="276" w:lineRule="auto"/>
        <w:ind w:left="709" w:firstLine="709"/>
        <w:jc w:val="both"/>
        <w:rPr>
          <w:rFonts w:ascii="Times New Roman" w:hAnsi="Times New Roman" w:cs="Times New Roman"/>
          <w:i/>
          <w:iCs/>
          <w:lang w:val="en-GB"/>
        </w:rPr>
      </w:pPr>
      <w:r w:rsidRPr="00AA2985">
        <w:rPr>
          <w:rFonts w:ascii="Times New Roman" w:hAnsi="Times New Roman" w:cs="Times New Roman"/>
          <w:i/>
          <w:iCs/>
          <w:lang w:val="en-GB"/>
        </w:rPr>
        <w:t>“I</w:t>
      </w:r>
      <w:r w:rsidR="008376DE" w:rsidRPr="00AA2985">
        <w:rPr>
          <w:rFonts w:ascii="Times New Roman" w:hAnsi="Times New Roman" w:cs="Times New Roman"/>
          <w:i/>
          <w:iCs/>
          <w:lang w:val="en-GB"/>
        </w:rPr>
        <w:t>f the alleged criminal activities of the United States in Iran could be considered as having been established, the question would remain whether they could be regarded by the Court as constituting a justification of Iran's conduct and thus a defence to the United States' claims in the present case. The Court, however, is unable to accept that they can be so regarded. This is because diplomatic law itself provides the necessary means of defence against, and sanction for, illicit activities by members of diplomatic or consular missions</w:t>
      </w:r>
      <w:r w:rsidRPr="00AA2985">
        <w:rPr>
          <w:rFonts w:ascii="Times New Roman" w:hAnsi="Times New Roman" w:cs="Times New Roman"/>
          <w:i/>
          <w:iCs/>
          <w:lang w:val="en-GB"/>
        </w:rPr>
        <w:t>”</w:t>
      </w:r>
      <w:r w:rsidR="009111EF">
        <w:rPr>
          <w:rStyle w:val="Refdenotaalpie"/>
          <w:rFonts w:ascii="Times New Roman" w:hAnsi="Times New Roman" w:cs="Times New Roman"/>
          <w:i/>
          <w:iCs/>
        </w:rPr>
        <w:footnoteReference w:id="33"/>
      </w:r>
    </w:p>
    <w:p w14:paraId="5B35E4CF" w14:textId="17C7CE33" w:rsidR="003E3DA4" w:rsidRDefault="003E3DA4" w:rsidP="00AE1171">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As</w:t>
      </w:r>
      <w:r w:rsidR="001A7F0E">
        <w:rPr>
          <w:rFonts w:ascii="Times New Roman" w:hAnsi="Times New Roman" w:cs="Times New Roman"/>
          <w:sz w:val="24"/>
          <w:szCs w:val="24"/>
        </w:rPr>
        <w:t>imismo, merece ser objeto de estudio la operación armada “</w:t>
      </w:r>
      <w:r w:rsidR="001A7F0E" w:rsidRPr="00A46166">
        <w:rPr>
          <w:rFonts w:ascii="Times New Roman" w:hAnsi="Times New Roman" w:cs="Times New Roman"/>
          <w:i/>
          <w:iCs/>
          <w:sz w:val="24"/>
          <w:szCs w:val="24"/>
        </w:rPr>
        <w:t xml:space="preserve">Eagle </w:t>
      </w:r>
      <w:proofErr w:type="spellStart"/>
      <w:r w:rsidR="001A7F0E" w:rsidRPr="00A46166">
        <w:rPr>
          <w:rFonts w:ascii="Times New Roman" w:hAnsi="Times New Roman" w:cs="Times New Roman"/>
          <w:i/>
          <w:iCs/>
          <w:sz w:val="24"/>
          <w:szCs w:val="24"/>
        </w:rPr>
        <w:t>Claw</w:t>
      </w:r>
      <w:proofErr w:type="spellEnd"/>
      <w:r w:rsidR="001A7F0E">
        <w:rPr>
          <w:rFonts w:ascii="Times New Roman" w:hAnsi="Times New Roman" w:cs="Times New Roman"/>
          <w:sz w:val="24"/>
          <w:szCs w:val="24"/>
        </w:rPr>
        <w:t>” realizada por los Estados Unidos en Irán los días 24 y 25 de abril</w:t>
      </w:r>
      <w:r w:rsidR="00A03AA8">
        <w:rPr>
          <w:rFonts w:ascii="Times New Roman" w:hAnsi="Times New Roman" w:cs="Times New Roman"/>
          <w:sz w:val="24"/>
          <w:szCs w:val="24"/>
        </w:rPr>
        <w:t xml:space="preserve"> de 1980 </w:t>
      </w:r>
      <w:r w:rsidR="001A7F0E">
        <w:rPr>
          <w:rFonts w:ascii="Times New Roman" w:hAnsi="Times New Roman" w:cs="Times New Roman"/>
          <w:sz w:val="24"/>
          <w:szCs w:val="24"/>
        </w:rPr>
        <w:t>con el fin de rescatar a los rehenes. Estos hechos son de verdadera importancia, ya que</w:t>
      </w:r>
      <w:r w:rsidR="00A03AA8">
        <w:rPr>
          <w:rFonts w:ascii="Times New Roman" w:hAnsi="Times New Roman" w:cs="Times New Roman"/>
          <w:sz w:val="24"/>
          <w:szCs w:val="24"/>
        </w:rPr>
        <w:t xml:space="preserve"> son susceptibles de entrañar un ilícito internacional por parte del Gobierno estadounidense que implicaría una</w:t>
      </w:r>
      <w:r w:rsidR="001A7F0E">
        <w:rPr>
          <w:rFonts w:ascii="Times New Roman" w:hAnsi="Times New Roman" w:cs="Times New Roman"/>
          <w:sz w:val="24"/>
          <w:szCs w:val="24"/>
        </w:rPr>
        <w:t xml:space="preserve"> auténtica violación a la soberanía del Estado iraní. Sin embargo, la Corte </w:t>
      </w:r>
      <w:r w:rsidR="00A03AA8">
        <w:rPr>
          <w:rFonts w:ascii="Times New Roman" w:hAnsi="Times New Roman" w:cs="Times New Roman"/>
          <w:sz w:val="24"/>
          <w:szCs w:val="24"/>
        </w:rPr>
        <w:t xml:space="preserve">pese a expresar su preocupación por este acontecimiento </w:t>
      </w:r>
      <w:r w:rsidR="00A46166">
        <w:rPr>
          <w:rFonts w:ascii="Times New Roman" w:hAnsi="Times New Roman" w:cs="Times New Roman"/>
          <w:sz w:val="24"/>
          <w:szCs w:val="24"/>
        </w:rPr>
        <w:t xml:space="preserve">dado que se </w:t>
      </w:r>
      <w:r w:rsidR="00A03AA8">
        <w:rPr>
          <w:rFonts w:ascii="Times New Roman" w:hAnsi="Times New Roman" w:cs="Times New Roman"/>
          <w:sz w:val="24"/>
          <w:szCs w:val="24"/>
        </w:rPr>
        <w:t>desarroll</w:t>
      </w:r>
      <w:r w:rsidR="003C3692">
        <w:rPr>
          <w:rFonts w:ascii="Times New Roman" w:hAnsi="Times New Roman" w:cs="Times New Roman"/>
          <w:sz w:val="24"/>
          <w:szCs w:val="24"/>
        </w:rPr>
        <w:t>ó</w:t>
      </w:r>
      <w:r w:rsidR="00A03AA8">
        <w:rPr>
          <w:rFonts w:ascii="Times New Roman" w:hAnsi="Times New Roman" w:cs="Times New Roman"/>
          <w:sz w:val="24"/>
          <w:szCs w:val="24"/>
        </w:rPr>
        <w:t xml:space="preserve"> en el marco del procedimiento judicial en curso y en contra de las medidas provisionales; consider</w:t>
      </w:r>
      <w:r w:rsidR="003C3692">
        <w:rPr>
          <w:rFonts w:ascii="Times New Roman" w:hAnsi="Times New Roman" w:cs="Times New Roman"/>
          <w:sz w:val="24"/>
          <w:szCs w:val="24"/>
        </w:rPr>
        <w:t>ó</w:t>
      </w:r>
      <w:r w:rsidR="00A03AA8">
        <w:rPr>
          <w:rFonts w:ascii="Times New Roman" w:hAnsi="Times New Roman" w:cs="Times New Roman"/>
          <w:sz w:val="24"/>
          <w:szCs w:val="24"/>
        </w:rPr>
        <w:t xml:space="preserve"> que </w:t>
      </w:r>
      <w:r w:rsidR="00A03AA8">
        <w:rPr>
          <w:rFonts w:ascii="Times New Roman" w:hAnsi="Times New Roman" w:cs="Times New Roman"/>
          <w:sz w:val="24"/>
          <w:szCs w:val="24"/>
        </w:rPr>
        <w:lastRenderedPageBreak/>
        <w:t xml:space="preserve">estos hechos no eran materia del proceso y no debían influir en la evaluación de los eventos del 4 de noviembre de 1979. </w:t>
      </w:r>
      <w:r w:rsidR="003C3692">
        <w:rPr>
          <w:rFonts w:ascii="Times New Roman" w:hAnsi="Times New Roman" w:cs="Times New Roman"/>
          <w:sz w:val="24"/>
          <w:szCs w:val="24"/>
        </w:rPr>
        <w:t>E</w:t>
      </w:r>
      <w:r w:rsidR="00A03AA8">
        <w:rPr>
          <w:rFonts w:ascii="Times New Roman" w:hAnsi="Times New Roman" w:cs="Times New Roman"/>
          <w:sz w:val="24"/>
          <w:szCs w:val="24"/>
        </w:rPr>
        <w:t>s cierto que estos acontecimientos no son el objeto de enjuiciamiento del Tribunal, ya que</w:t>
      </w:r>
      <w:r w:rsidR="003C3692">
        <w:rPr>
          <w:rFonts w:ascii="Times New Roman" w:hAnsi="Times New Roman" w:cs="Times New Roman"/>
          <w:sz w:val="24"/>
          <w:szCs w:val="24"/>
        </w:rPr>
        <w:t xml:space="preserve"> </w:t>
      </w:r>
      <w:r w:rsidR="00A03AA8">
        <w:rPr>
          <w:rFonts w:ascii="Times New Roman" w:hAnsi="Times New Roman" w:cs="Times New Roman"/>
          <w:sz w:val="24"/>
          <w:szCs w:val="24"/>
        </w:rPr>
        <w:t>se tratan de otros sucesos que</w:t>
      </w:r>
      <w:r w:rsidR="003C3692">
        <w:rPr>
          <w:rFonts w:ascii="Times New Roman" w:hAnsi="Times New Roman" w:cs="Times New Roman"/>
          <w:sz w:val="24"/>
          <w:szCs w:val="24"/>
        </w:rPr>
        <w:t xml:space="preserve"> se</w:t>
      </w:r>
      <w:r w:rsidR="00A03AA8">
        <w:rPr>
          <w:rFonts w:ascii="Times New Roman" w:hAnsi="Times New Roman" w:cs="Times New Roman"/>
          <w:sz w:val="24"/>
          <w:szCs w:val="24"/>
        </w:rPr>
        <w:t xml:space="preserve"> </w:t>
      </w:r>
      <w:r w:rsidR="003C3692">
        <w:rPr>
          <w:rFonts w:ascii="Times New Roman" w:hAnsi="Times New Roman" w:cs="Times New Roman"/>
          <w:sz w:val="24"/>
          <w:szCs w:val="24"/>
        </w:rPr>
        <w:t xml:space="preserve">enmarcan en el contexto de la crisis de los rehenes. No obstante, es lógico preguntarse hasta </w:t>
      </w:r>
      <w:proofErr w:type="spellStart"/>
      <w:r w:rsidR="003C3692">
        <w:rPr>
          <w:rFonts w:ascii="Times New Roman" w:hAnsi="Times New Roman" w:cs="Times New Roman"/>
          <w:sz w:val="24"/>
          <w:szCs w:val="24"/>
        </w:rPr>
        <w:t>que</w:t>
      </w:r>
      <w:proofErr w:type="spellEnd"/>
      <w:r w:rsidR="003C3692">
        <w:rPr>
          <w:rFonts w:ascii="Times New Roman" w:hAnsi="Times New Roman" w:cs="Times New Roman"/>
          <w:sz w:val="24"/>
          <w:szCs w:val="24"/>
        </w:rPr>
        <w:t xml:space="preserve"> punto actúa adecuadamente el Tribunal al tolerar estas actuaciones, y es que, no hay duda de que también podrían significar un ilícito internacional por parte del Estado americano que igualmente no debe quedar impune. </w:t>
      </w:r>
    </w:p>
    <w:p w14:paraId="58B62C6C" w14:textId="01FCD2F6" w:rsidR="00AE1171" w:rsidRDefault="003E3DA4" w:rsidP="00AE1171">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Resulta innegable</w:t>
      </w:r>
      <w:r w:rsidR="00AE1171">
        <w:rPr>
          <w:rFonts w:ascii="Times New Roman" w:hAnsi="Times New Roman" w:cs="Times New Roman"/>
          <w:sz w:val="24"/>
          <w:szCs w:val="24"/>
        </w:rPr>
        <w:t xml:space="preserve"> que el Estado receptor ha incurrido en responsabilidad internacional por hechos internacionalmente ilícitos como consecuencia de los acontecimientos en la crisis de los rehenes estadounidenses en Irán. Por un lado, la conducta de los grupos de estudiantes es imputable directamente al Estado, pues este aprobó expresamente en declaraciones públicas su conformidad con las actuaciones</w:t>
      </w:r>
      <w:r w:rsidR="00C74504">
        <w:rPr>
          <w:rFonts w:ascii="Times New Roman" w:hAnsi="Times New Roman" w:cs="Times New Roman"/>
          <w:sz w:val="24"/>
          <w:szCs w:val="24"/>
        </w:rPr>
        <w:t xml:space="preserve"> transformando así la naturaleza jurídica de los militantes en agentes del Estado</w:t>
      </w:r>
      <w:r w:rsidR="00AE1171">
        <w:rPr>
          <w:rFonts w:ascii="Times New Roman" w:hAnsi="Times New Roman" w:cs="Times New Roman"/>
          <w:sz w:val="24"/>
          <w:szCs w:val="24"/>
        </w:rPr>
        <w:t>. Por otro lado, las acciones de l</w:t>
      </w:r>
      <w:r w:rsidR="00C74504">
        <w:rPr>
          <w:rFonts w:ascii="Times New Roman" w:hAnsi="Times New Roman" w:cs="Times New Roman"/>
          <w:sz w:val="24"/>
          <w:szCs w:val="24"/>
        </w:rPr>
        <w:t xml:space="preserve">os estudiantes suponen indiscutiblemente la violación de las Convenciones de Viena de 1961 y 1963, en concreto, los aspectos relativos a la inviolabilidad de los locales, de los miembros del personal, y de los bienes, archivos y documentos diplomáticos y consulares. En todo caso, la responsabilidad internacional del Estado receptor le obliga a indemnizar a los Estados Unidos por los daños materiales y morales causados: </w:t>
      </w:r>
    </w:p>
    <w:p w14:paraId="768A2E1F" w14:textId="62E54CA1" w:rsidR="00A36FC6" w:rsidRPr="00AA2985" w:rsidRDefault="00C74504" w:rsidP="00F017CF">
      <w:pPr>
        <w:spacing w:line="276" w:lineRule="auto"/>
        <w:ind w:left="720" w:firstLine="720"/>
        <w:jc w:val="both"/>
        <w:rPr>
          <w:rFonts w:ascii="Times New Roman" w:hAnsi="Times New Roman" w:cs="Times New Roman"/>
          <w:i/>
          <w:iCs/>
          <w:lang w:val="en-GB"/>
        </w:rPr>
      </w:pPr>
      <w:r w:rsidRPr="00AA2985">
        <w:rPr>
          <w:rFonts w:ascii="Times New Roman" w:hAnsi="Times New Roman" w:cs="Times New Roman"/>
          <w:i/>
          <w:iCs/>
          <w:lang w:val="en-GB"/>
        </w:rPr>
        <w:t>“The Court finds that Iran, by committing successive and continuing breaches of the obligations laid upon it by the Vienna Conventions of 1961 and 1963 on Diplomatic and Consular Relations</w:t>
      </w:r>
      <w:proofErr w:type="gramStart"/>
      <w:r w:rsidRPr="00AA2985">
        <w:rPr>
          <w:rFonts w:ascii="Times New Roman" w:hAnsi="Times New Roman" w:cs="Times New Roman"/>
          <w:i/>
          <w:iCs/>
          <w:lang w:val="en-GB"/>
        </w:rPr>
        <w:t>, ,</w:t>
      </w:r>
      <w:proofErr w:type="gramEnd"/>
      <w:r w:rsidRPr="00AA2985">
        <w:rPr>
          <w:rFonts w:ascii="Times New Roman" w:hAnsi="Times New Roman" w:cs="Times New Roman"/>
          <w:i/>
          <w:iCs/>
          <w:lang w:val="en-GB"/>
        </w:rPr>
        <w:t xml:space="preserve"> (…), has incurred responsibility towards the United States. As to the consequences of this finding, it clearly entails an obligation on the part of the Iranian State to make reparation for the injury thereby caused to the United States</w:t>
      </w:r>
      <w:r w:rsidR="009111EF" w:rsidRPr="00AA2985">
        <w:rPr>
          <w:rFonts w:ascii="Times New Roman" w:hAnsi="Times New Roman" w:cs="Times New Roman"/>
          <w:i/>
          <w:iCs/>
          <w:lang w:val="en-GB"/>
        </w:rPr>
        <w:t>”</w:t>
      </w:r>
      <w:r w:rsidR="009111EF">
        <w:rPr>
          <w:rStyle w:val="Refdenotaalpie"/>
          <w:rFonts w:ascii="Times New Roman" w:hAnsi="Times New Roman" w:cs="Times New Roman"/>
          <w:i/>
          <w:iCs/>
        </w:rPr>
        <w:footnoteReference w:id="34"/>
      </w:r>
    </w:p>
    <w:p w14:paraId="775FD737" w14:textId="6C9CE44C" w:rsidR="00A36FC6" w:rsidRPr="00200AC2" w:rsidRDefault="00A36FC6" w:rsidP="0093125F">
      <w:pPr>
        <w:pStyle w:val="Ttulo3"/>
        <w:numPr>
          <w:ilvl w:val="2"/>
          <w:numId w:val="1"/>
        </w:numPr>
        <w:spacing w:line="360" w:lineRule="auto"/>
        <w:jc w:val="both"/>
        <w:rPr>
          <w:rFonts w:ascii="Times New Roman" w:hAnsi="Times New Roman" w:cs="Times New Roman"/>
          <w:sz w:val="28"/>
          <w:szCs w:val="28"/>
        </w:rPr>
      </w:pPr>
      <w:bookmarkStart w:id="32" w:name="_Toc65498623"/>
      <w:r w:rsidRPr="00200AC2">
        <w:rPr>
          <w:rFonts w:ascii="Times New Roman" w:hAnsi="Times New Roman" w:cs="Times New Roman"/>
          <w:sz w:val="28"/>
          <w:szCs w:val="28"/>
        </w:rPr>
        <w:t>Consecuencias políticas y jurídicas</w:t>
      </w:r>
      <w:bookmarkEnd w:id="32"/>
    </w:p>
    <w:p w14:paraId="6E0B9CFE" w14:textId="6B3D9AE1" w:rsidR="00295929" w:rsidRDefault="006F6910" w:rsidP="006F6910">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Los sucesos acaecidos en Irán durante la crisis de los rehenes estadounidenses en la Embajada de Teherán y las ocupaciones de los Consulados de Tabriz y Shiraz deriva</w:t>
      </w:r>
      <w:r w:rsidR="00575F50">
        <w:rPr>
          <w:rFonts w:ascii="Times New Roman" w:hAnsi="Times New Roman" w:cs="Times New Roman"/>
          <w:sz w:val="24"/>
          <w:szCs w:val="24"/>
        </w:rPr>
        <w:t xml:space="preserve">ron </w:t>
      </w:r>
      <w:r>
        <w:rPr>
          <w:rFonts w:ascii="Times New Roman" w:hAnsi="Times New Roman" w:cs="Times New Roman"/>
          <w:sz w:val="24"/>
          <w:szCs w:val="24"/>
        </w:rPr>
        <w:t xml:space="preserve">en una serie de consecuencias a nivel internacional de carácter político y jurídico. </w:t>
      </w:r>
      <w:r w:rsidR="00295929">
        <w:rPr>
          <w:rFonts w:ascii="Times New Roman" w:hAnsi="Times New Roman" w:cs="Times New Roman"/>
          <w:sz w:val="24"/>
          <w:szCs w:val="24"/>
        </w:rPr>
        <w:t xml:space="preserve">Este caso es de especial importancia, ya que </w:t>
      </w:r>
      <w:r w:rsidR="002148EE">
        <w:rPr>
          <w:rFonts w:ascii="Times New Roman" w:hAnsi="Times New Roman" w:cs="Times New Roman"/>
          <w:sz w:val="24"/>
          <w:szCs w:val="24"/>
        </w:rPr>
        <w:t xml:space="preserve">es una verdadera </w:t>
      </w:r>
      <w:r w:rsidR="00295929">
        <w:rPr>
          <w:rFonts w:ascii="Times New Roman" w:hAnsi="Times New Roman" w:cs="Times New Roman"/>
          <w:sz w:val="24"/>
          <w:szCs w:val="24"/>
        </w:rPr>
        <w:t xml:space="preserve">oportunidad para examinar las relaciones entre el Derecho y la política en la sociedad internacional, concretamente, en la cuestión sobre la resolución de disputas políticas mediante el uso de medios jurídicos internacionalmente reconocidos como es el Tribunal Internacional de Justicia </w:t>
      </w:r>
      <w:sdt>
        <w:sdtPr>
          <w:rPr>
            <w:rFonts w:ascii="Times New Roman" w:hAnsi="Times New Roman" w:cs="Times New Roman"/>
            <w:sz w:val="24"/>
            <w:szCs w:val="24"/>
          </w:rPr>
          <w:id w:val="-512608984"/>
          <w:citation/>
        </w:sdtPr>
        <w:sdtContent>
          <w:r w:rsidR="00295929">
            <w:rPr>
              <w:rFonts w:ascii="Times New Roman" w:hAnsi="Times New Roman" w:cs="Times New Roman"/>
              <w:sz w:val="24"/>
              <w:szCs w:val="24"/>
            </w:rPr>
            <w:fldChar w:fldCharType="begin"/>
          </w:r>
          <w:r w:rsidR="00295929">
            <w:rPr>
              <w:rFonts w:ascii="Times New Roman" w:hAnsi="Times New Roman" w:cs="Times New Roman"/>
              <w:sz w:val="24"/>
              <w:szCs w:val="24"/>
            </w:rPr>
            <w:instrText xml:space="preserve">CITATION Raf81 \p 461-462 \l 3082 </w:instrText>
          </w:r>
          <w:r w:rsidR="00295929">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 xml:space="preserve">(Rafat, </w:t>
          </w:r>
          <w:r w:rsidR="00246FA0" w:rsidRPr="00246FA0">
            <w:rPr>
              <w:rFonts w:ascii="Times New Roman" w:hAnsi="Times New Roman" w:cs="Times New Roman"/>
              <w:noProof/>
              <w:sz w:val="24"/>
              <w:szCs w:val="24"/>
            </w:rPr>
            <w:lastRenderedPageBreak/>
            <w:t>1981, págs. 461-462)</w:t>
          </w:r>
          <w:r w:rsidR="00295929">
            <w:rPr>
              <w:rFonts w:ascii="Times New Roman" w:hAnsi="Times New Roman" w:cs="Times New Roman"/>
              <w:sz w:val="24"/>
              <w:szCs w:val="24"/>
            </w:rPr>
            <w:fldChar w:fldCharType="end"/>
          </w:r>
        </w:sdtContent>
      </w:sdt>
    </w:p>
    <w:p w14:paraId="43001435" w14:textId="711978FE" w:rsidR="003B4FE9" w:rsidRDefault="006F6910" w:rsidP="006F6910">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AC77CD">
        <w:rPr>
          <w:rFonts w:ascii="Times New Roman" w:hAnsi="Times New Roman" w:cs="Times New Roman"/>
          <w:sz w:val="24"/>
          <w:szCs w:val="24"/>
        </w:rPr>
        <w:t>PRIMERO, d</w:t>
      </w:r>
      <w:r>
        <w:rPr>
          <w:rFonts w:ascii="Times New Roman" w:hAnsi="Times New Roman" w:cs="Times New Roman"/>
          <w:sz w:val="24"/>
          <w:szCs w:val="24"/>
        </w:rPr>
        <w:t xml:space="preserve">esde un punto de vista político, </w:t>
      </w:r>
      <w:r w:rsidR="00295929">
        <w:rPr>
          <w:rFonts w:ascii="Times New Roman" w:hAnsi="Times New Roman" w:cs="Times New Roman"/>
          <w:sz w:val="24"/>
          <w:szCs w:val="24"/>
        </w:rPr>
        <w:t xml:space="preserve">la consecuencia más relevante </w:t>
      </w:r>
      <w:r w:rsidR="00575F50">
        <w:rPr>
          <w:rFonts w:ascii="Times New Roman" w:hAnsi="Times New Roman" w:cs="Times New Roman"/>
          <w:sz w:val="24"/>
          <w:szCs w:val="24"/>
        </w:rPr>
        <w:t>fue</w:t>
      </w:r>
      <w:r>
        <w:rPr>
          <w:rFonts w:ascii="Times New Roman" w:hAnsi="Times New Roman" w:cs="Times New Roman"/>
          <w:sz w:val="24"/>
          <w:szCs w:val="24"/>
        </w:rPr>
        <w:t xml:space="preserve"> la ruptura de las relaciones diplomáticas entre Estados Unidos y la República Islámica de Irán por iniciativa del Gobierno norteamericano </w:t>
      </w:r>
      <w:r w:rsidR="00575F50">
        <w:rPr>
          <w:rFonts w:ascii="Times New Roman" w:hAnsi="Times New Roman" w:cs="Times New Roman"/>
          <w:sz w:val="24"/>
          <w:szCs w:val="24"/>
        </w:rPr>
        <w:t xml:space="preserve">el 7 de abril de 1980. </w:t>
      </w:r>
      <w:r w:rsidR="00295929">
        <w:rPr>
          <w:rFonts w:ascii="Times New Roman" w:hAnsi="Times New Roman" w:cs="Times New Roman"/>
          <w:sz w:val="24"/>
          <w:szCs w:val="24"/>
        </w:rPr>
        <w:t xml:space="preserve">Esta crisis a nivel interno en Estados Unidos se </w:t>
      </w:r>
      <w:r w:rsidR="001D1259">
        <w:rPr>
          <w:rFonts w:ascii="Times New Roman" w:hAnsi="Times New Roman" w:cs="Times New Roman"/>
          <w:sz w:val="24"/>
          <w:szCs w:val="24"/>
        </w:rPr>
        <w:t xml:space="preserve">convirtió en una cuestión de vital importancia en las elecciones presidenciales de 1980 que terminaron con la derrota del </w:t>
      </w:r>
      <w:r w:rsidR="00B661BF">
        <w:rPr>
          <w:rFonts w:ascii="Times New Roman" w:hAnsi="Times New Roman" w:cs="Times New Roman"/>
          <w:sz w:val="24"/>
          <w:szCs w:val="24"/>
        </w:rPr>
        <w:t>p</w:t>
      </w:r>
      <w:r w:rsidR="001D1259">
        <w:rPr>
          <w:rFonts w:ascii="Times New Roman" w:hAnsi="Times New Roman" w:cs="Times New Roman"/>
          <w:sz w:val="24"/>
          <w:szCs w:val="24"/>
        </w:rPr>
        <w:t xml:space="preserve">residente Carter como castigo por su incapacidad para terminar con la detención de los rehenes estadounidenses en la Embajada de Irán que duró 444 días desde el 4 de noviembre de 1979 hasta el 20 de enero de 1981, fecha de la investidura de Ronald Reagan como Presidente de </w:t>
      </w:r>
      <w:r w:rsidR="00A46166">
        <w:rPr>
          <w:rFonts w:ascii="Times New Roman" w:hAnsi="Times New Roman" w:cs="Times New Roman"/>
          <w:sz w:val="24"/>
          <w:szCs w:val="24"/>
        </w:rPr>
        <w:t xml:space="preserve">los </w:t>
      </w:r>
      <w:r w:rsidR="001D1259">
        <w:rPr>
          <w:rFonts w:ascii="Times New Roman" w:hAnsi="Times New Roman" w:cs="Times New Roman"/>
          <w:sz w:val="24"/>
          <w:szCs w:val="24"/>
        </w:rPr>
        <w:t xml:space="preserve">Estados Unidos. </w:t>
      </w:r>
      <w:r w:rsidR="00A46166">
        <w:rPr>
          <w:rFonts w:ascii="Times New Roman" w:hAnsi="Times New Roman" w:cs="Times New Roman"/>
          <w:sz w:val="24"/>
          <w:szCs w:val="24"/>
        </w:rPr>
        <w:t>Estos</w:t>
      </w:r>
      <w:r w:rsidR="001D1259">
        <w:rPr>
          <w:rFonts w:ascii="Times New Roman" w:hAnsi="Times New Roman" w:cs="Times New Roman"/>
          <w:sz w:val="24"/>
          <w:szCs w:val="24"/>
        </w:rPr>
        <w:t xml:space="preserve"> acontecimientos han supuesto un precedente en las relaciones entre ambos Estados, ya que desde entonces la población iraní comenzó a reconocer a Estados Unidos como el </w:t>
      </w:r>
      <w:r w:rsidR="001D1259" w:rsidRPr="00A46166">
        <w:rPr>
          <w:rFonts w:ascii="Times New Roman" w:hAnsi="Times New Roman" w:cs="Times New Roman"/>
          <w:i/>
          <w:iCs/>
          <w:sz w:val="24"/>
          <w:szCs w:val="24"/>
        </w:rPr>
        <w:t>“Gran Satán”</w:t>
      </w:r>
      <w:r w:rsidR="001D1259">
        <w:rPr>
          <w:rFonts w:ascii="Times New Roman" w:hAnsi="Times New Roman" w:cs="Times New Roman"/>
          <w:sz w:val="24"/>
          <w:szCs w:val="24"/>
        </w:rPr>
        <w:t xml:space="preserve"> </w:t>
      </w:r>
      <w:sdt>
        <w:sdtPr>
          <w:rPr>
            <w:rFonts w:ascii="Times New Roman" w:hAnsi="Times New Roman" w:cs="Times New Roman"/>
            <w:sz w:val="24"/>
            <w:szCs w:val="24"/>
          </w:rPr>
          <w:id w:val="878744399"/>
          <w:citation/>
        </w:sdtPr>
        <w:sdtContent>
          <w:r w:rsidR="003B4FE9">
            <w:rPr>
              <w:rFonts w:ascii="Times New Roman" w:hAnsi="Times New Roman" w:cs="Times New Roman"/>
              <w:sz w:val="24"/>
              <w:szCs w:val="24"/>
            </w:rPr>
            <w:fldChar w:fldCharType="begin"/>
          </w:r>
          <w:r w:rsidR="003B4FE9">
            <w:rPr>
              <w:rFonts w:ascii="Times New Roman" w:hAnsi="Times New Roman" w:cs="Times New Roman"/>
              <w:sz w:val="24"/>
              <w:szCs w:val="24"/>
            </w:rPr>
            <w:instrText xml:space="preserve"> CITATION Nak13 \l 3082 </w:instrText>
          </w:r>
          <w:r w:rsidR="003B4FE9">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(Nakhavali, 2013)</w:t>
          </w:r>
          <w:r w:rsidR="003B4FE9">
            <w:rPr>
              <w:rFonts w:ascii="Times New Roman" w:hAnsi="Times New Roman" w:cs="Times New Roman"/>
              <w:sz w:val="24"/>
              <w:szCs w:val="24"/>
            </w:rPr>
            <w:fldChar w:fldCharType="end"/>
          </w:r>
        </w:sdtContent>
      </w:sdt>
      <w:r w:rsidR="003B4FE9">
        <w:rPr>
          <w:rFonts w:ascii="Times New Roman" w:hAnsi="Times New Roman" w:cs="Times New Roman"/>
          <w:sz w:val="24"/>
          <w:szCs w:val="24"/>
        </w:rPr>
        <w:t xml:space="preserve">. A su vez, esta situación supuso una verdadera humillación a nivel internacional para el país norteamericano que actualmente sigue latente en una parte de su sociedad como se ha visto en los últimos años por las acciones del presidente Trump respecto al Acuerdo Nuclear de Irán. </w:t>
      </w:r>
    </w:p>
    <w:p w14:paraId="6E95E575" w14:textId="17E907E4" w:rsidR="004004E7" w:rsidRDefault="003B4FE9" w:rsidP="006F6910">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AC77CD">
        <w:rPr>
          <w:rFonts w:ascii="Times New Roman" w:hAnsi="Times New Roman" w:cs="Times New Roman"/>
          <w:sz w:val="24"/>
          <w:szCs w:val="24"/>
        </w:rPr>
        <w:t>SEGUNDO, e</w:t>
      </w:r>
      <w:r>
        <w:rPr>
          <w:rFonts w:ascii="Times New Roman" w:hAnsi="Times New Roman" w:cs="Times New Roman"/>
          <w:sz w:val="24"/>
          <w:szCs w:val="24"/>
        </w:rPr>
        <w:t xml:space="preserve">l aspecto jurídico más significativo </w:t>
      </w:r>
      <w:r w:rsidR="00EC6381">
        <w:rPr>
          <w:rFonts w:ascii="Times New Roman" w:hAnsi="Times New Roman" w:cs="Times New Roman"/>
          <w:sz w:val="24"/>
          <w:szCs w:val="24"/>
        </w:rPr>
        <w:t>fue la sentencia del Tribunal Internacional de Justicia de 24 de mayo de 1980 que estimó la demanda de Estados Unidos y en su fallo determin</w:t>
      </w:r>
      <w:r w:rsidR="009D00DE">
        <w:rPr>
          <w:rFonts w:ascii="Times New Roman" w:hAnsi="Times New Roman" w:cs="Times New Roman"/>
          <w:sz w:val="24"/>
          <w:szCs w:val="24"/>
        </w:rPr>
        <w:t>ó</w:t>
      </w:r>
      <w:r w:rsidR="00EC6381">
        <w:rPr>
          <w:rFonts w:ascii="Times New Roman" w:hAnsi="Times New Roman" w:cs="Times New Roman"/>
          <w:sz w:val="24"/>
          <w:szCs w:val="24"/>
        </w:rPr>
        <w:t xml:space="preserve"> que Irán había violado sus obligaciones estab</w:t>
      </w:r>
      <w:r w:rsidR="009D00DE">
        <w:rPr>
          <w:rFonts w:ascii="Times New Roman" w:hAnsi="Times New Roman" w:cs="Times New Roman"/>
          <w:sz w:val="24"/>
          <w:szCs w:val="24"/>
        </w:rPr>
        <w:t xml:space="preserve">lecidas en las Convenciones de Viena, su responsabilidad internacional por los acontecimientos, su deber de tomar todas las medidas para volver a la situación anterior a los ataques y su obligación de reparar los perjuicios causados </w:t>
      </w:r>
      <w:sdt>
        <w:sdtPr>
          <w:rPr>
            <w:rFonts w:ascii="Times New Roman" w:hAnsi="Times New Roman" w:cs="Times New Roman"/>
            <w:sz w:val="24"/>
            <w:szCs w:val="24"/>
          </w:rPr>
          <w:id w:val="-268616501"/>
          <w:citation/>
        </w:sdtPr>
        <w:sdtContent>
          <w:r w:rsidR="009D00DE">
            <w:rPr>
              <w:rFonts w:ascii="Times New Roman" w:hAnsi="Times New Roman" w:cs="Times New Roman"/>
              <w:sz w:val="24"/>
              <w:szCs w:val="24"/>
            </w:rPr>
            <w:fldChar w:fldCharType="begin"/>
          </w:r>
          <w:r w:rsidR="009D00DE">
            <w:rPr>
              <w:rFonts w:ascii="Times New Roman" w:hAnsi="Times New Roman" w:cs="Times New Roman"/>
              <w:sz w:val="24"/>
              <w:szCs w:val="24"/>
            </w:rPr>
            <w:instrText xml:space="preserve">CITATION Neg02 \p 176-177 \l 3082 </w:instrText>
          </w:r>
          <w:r w:rsidR="009D00DE">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(Negro Alvarado , 2002, págs. 176-177)</w:t>
          </w:r>
          <w:r w:rsidR="009D00DE">
            <w:rPr>
              <w:rFonts w:ascii="Times New Roman" w:hAnsi="Times New Roman" w:cs="Times New Roman"/>
              <w:sz w:val="24"/>
              <w:szCs w:val="24"/>
            </w:rPr>
            <w:fldChar w:fldCharType="end"/>
          </w:r>
        </w:sdtContent>
      </w:sdt>
      <w:r w:rsidR="009D00DE">
        <w:rPr>
          <w:rFonts w:ascii="Times New Roman" w:hAnsi="Times New Roman" w:cs="Times New Roman"/>
          <w:sz w:val="24"/>
          <w:szCs w:val="24"/>
        </w:rPr>
        <w:t>. Ahora bien, estas decisiones desde un punto de vista práctico no tuvieron ningún efecto sobre la crisis de los rehenes, ya que se prolongó hasta enero del año siguiente, por lo que es lógico preguntarse cuál es la verdadera validez</w:t>
      </w:r>
      <w:r w:rsidR="002148EE">
        <w:rPr>
          <w:rFonts w:ascii="Times New Roman" w:hAnsi="Times New Roman" w:cs="Times New Roman"/>
          <w:sz w:val="24"/>
          <w:szCs w:val="24"/>
        </w:rPr>
        <w:t xml:space="preserve"> y eficacia </w:t>
      </w:r>
      <w:r w:rsidR="009D00DE">
        <w:rPr>
          <w:rFonts w:ascii="Times New Roman" w:hAnsi="Times New Roman" w:cs="Times New Roman"/>
          <w:sz w:val="24"/>
          <w:szCs w:val="24"/>
        </w:rPr>
        <w:t>del Tribunal.</w:t>
      </w:r>
      <w:r w:rsidR="00745103">
        <w:rPr>
          <w:rFonts w:ascii="Times New Roman" w:hAnsi="Times New Roman" w:cs="Times New Roman"/>
          <w:sz w:val="24"/>
          <w:szCs w:val="24"/>
        </w:rPr>
        <w:t xml:space="preserve"> El</w:t>
      </w:r>
      <w:r w:rsidR="009D00DE">
        <w:rPr>
          <w:rFonts w:ascii="Times New Roman" w:hAnsi="Times New Roman" w:cs="Times New Roman"/>
          <w:sz w:val="24"/>
          <w:szCs w:val="24"/>
        </w:rPr>
        <w:t xml:space="preserve"> </w:t>
      </w:r>
      <w:r w:rsidR="00745103">
        <w:rPr>
          <w:rFonts w:ascii="Times New Roman" w:hAnsi="Times New Roman" w:cs="Times New Roman"/>
          <w:sz w:val="24"/>
          <w:szCs w:val="24"/>
        </w:rPr>
        <w:t>objetivo</w:t>
      </w:r>
      <w:r w:rsidR="009D00DE">
        <w:rPr>
          <w:rFonts w:ascii="Times New Roman" w:hAnsi="Times New Roman" w:cs="Times New Roman"/>
          <w:sz w:val="24"/>
          <w:szCs w:val="24"/>
        </w:rPr>
        <w:t xml:space="preserve"> principal de poner fin a la crisis no fue satisfactorio, pero evidentemente </w:t>
      </w:r>
      <w:r w:rsidR="00745103">
        <w:rPr>
          <w:rFonts w:ascii="Times New Roman" w:hAnsi="Times New Roman" w:cs="Times New Roman"/>
          <w:sz w:val="24"/>
          <w:szCs w:val="24"/>
        </w:rPr>
        <w:t xml:space="preserve">no era de esperar que </w:t>
      </w:r>
      <w:r w:rsidR="009D00DE">
        <w:rPr>
          <w:rFonts w:ascii="Times New Roman" w:hAnsi="Times New Roman" w:cs="Times New Roman"/>
          <w:sz w:val="24"/>
          <w:szCs w:val="24"/>
        </w:rPr>
        <w:t>Ir</w:t>
      </w:r>
      <w:r w:rsidR="00745103">
        <w:rPr>
          <w:rFonts w:ascii="Times New Roman" w:hAnsi="Times New Roman" w:cs="Times New Roman"/>
          <w:sz w:val="24"/>
          <w:szCs w:val="24"/>
        </w:rPr>
        <w:t>á</w:t>
      </w:r>
      <w:r w:rsidR="009D00DE">
        <w:rPr>
          <w:rFonts w:ascii="Times New Roman" w:hAnsi="Times New Roman" w:cs="Times New Roman"/>
          <w:sz w:val="24"/>
          <w:szCs w:val="24"/>
        </w:rPr>
        <w:t xml:space="preserve">n </w:t>
      </w:r>
      <w:r w:rsidR="00745103">
        <w:rPr>
          <w:rFonts w:ascii="Times New Roman" w:hAnsi="Times New Roman" w:cs="Times New Roman"/>
          <w:sz w:val="24"/>
          <w:szCs w:val="24"/>
        </w:rPr>
        <w:t xml:space="preserve">terminase con esta situación en contra de sus intereses nacionales. </w:t>
      </w:r>
      <w:r w:rsidR="000343CB">
        <w:rPr>
          <w:rFonts w:ascii="Times New Roman" w:hAnsi="Times New Roman" w:cs="Times New Roman"/>
          <w:sz w:val="24"/>
          <w:szCs w:val="24"/>
        </w:rPr>
        <w:t xml:space="preserve">El papel del Tribunal en este caso no ha </w:t>
      </w:r>
      <w:r w:rsidR="00A46166">
        <w:rPr>
          <w:rFonts w:ascii="Times New Roman" w:hAnsi="Times New Roman" w:cs="Times New Roman"/>
          <w:sz w:val="24"/>
          <w:szCs w:val="24"/>
        </w:rPr>
        <w:t xml:space="preserve">sido </w:t>
      </w:r>
      <w:r w:rsidR="000343CB">
        <w:rPr>
          <w:rFonts w:ascii="Times New Roman" w:hAnsi="Times New Roman" w:cs="Times New Roman"/>
          <w:sz w:val="24"/>
          <w:szCs w:val="24"/>
        </w:rPr>
        <w:t xml:space="preserve">irrelevante, pues </w:t>
      </w:r>
      <w:r w:rsidR="00A46166">
        <w:rPr>
          <w:rFonts w:ascii="Times New Roman" w:hAnsi="Times New Roman" w:cs="Times New Roman"/>
          <w:sz w:val="24"/>
          <w:szCs w:val="24"/>
        </w:rPr>
        <w:t>ha servido</w:t>
      </w:r>
      <w:r w:rsidR="004004E7">
        <w:rPr>
          <w:rFonts w:ascii="Times New Roman" w:hAnsi="Times New Roman" w:cs="Times New Roman"/>
          <w:sz w:val="24"/>
          <w:szCs w:val="24"/>
        </w:rPr>
        <w:t xml:space="preserve"> como</w:t>
      </w:r>
      <w:r w:rsidR="000343CB">
        <w:rPr>
          <w:rFonts w:ascii="Times New Roman" w:hAnsi="Times New Roman" w:cs="Times New Roman"/>
          <w:sz w:val="24"/>
          <w:szCs w:val="24"/>
        </w:rPr>
        <w:t xml:space="preserve"> mecanismo de presión parte de Estados Unidos para llegar al acuerdo </w:t>
      </w:r>
      <w:r w:rsidR="004004E7">
        <w:rPr>
          <w:rFonts w:ascii="Times New Roman" w:hAnsi="Times New Roman" w:cs="Times New Roman"/>
          <w:sz w:val="24"/>
          <w:szCs w:val="24"/>
        </w:rPr>
        <w:t>en enero de 1981 con la mediación de Argelia que liberaría a los rehenes</w:t>
      </w:r>
      <w:sdt>
        <w:sdtPr>
          <w:rPr>
            <w:rFonts w:ascii="Times New Roman" w:hAnsi="Times New Roman" w:cs="Times New Roman"/>
            <w:sz w:val="24"/>
            <w:szCs w:val="24"/>
          </w:rPr>
          <w:id w:val="-1506673988"/>
          <w:citation/>
        </w:sdtPr>
        <w:sdtContent>
          <w:r w:rsidR="004004E7">
            <w:rPr>
              <w:rFonts w:ascii="Times New Roman" w:hAnsi="Times New Roman" w:cs="Times New Roman"/>
              <w:sz w:val="24"/>
              <w:szCs w:val="24"/>
            </w:rPr>
            <w:fldChar w:fldCharType="begin"/>
          </w:r>
          <w:r w:rsidR="004004E7">
            <w:rPr>
              <w:rFonts w:ascii="Times New Roman" w:hAnsi="Times New Roman" w:cs="Times New Roman"/>
              <w:sz w:val="24"/>
              <w:szCs w:val="24"/>
            </w:rPr>
            <w:instrText xml:space="preserve">CITATION Jan81 \p 280 \l 3082 </w:instrText>
          </w:r>
          <w:r w:rsidR="004004E7">
            <w:rPr>
              <w:rFonts w:ascii="Times New Roman" w:hAnsi="Times New Roman" w:cs="Times New Roman"/>
              <w:sz w:val="24"/>
              <w:szCs w:val="24"/>
            </w:rPr>
            <w:fldChar w:fldCharType="separate"/>
          </w:r>
          <w:r w:rsidR="00246FA0">
            <w:rPr>
              <w:rFonts w:ascii="Times New Roman" w:hAnsi="Times New Roman" w:cs="Times New Roman"/>
              <w:noProof/>
              <w:sz w:val="24"/>
              <w:szCs w:val="24"/>
            </w:rPr>
            <w:t xml:space="preserve"> </w:t>
          </w:r>
          <w:r w:rsidR="00246FA0" w:rsidRPr="00246FA0">
            <w:rPr>
              <w:rFonts w:ascii="Times New Roman" w:hAnsi="Times New Roman" w:cs="Times New Roman"/>
              <w:noProof/>
              <w:sz w:val="24"/>
              <w:szCs w:val="24"/>
            </w:rPr>
            <w:t>(Janis, 1981, pág. 280)</w:t>
          </w:r>
          <w:r w:rsidR="004004E7">
            <w:rPr>
              <w:rFonts w:ascii="Times New Roman" w:hAnsi="Times New Roman" w:cs="Times New Roman"/>
              <w:sz w:val="24"/>
              <w:szCs w:val="24"/>
            </w:rPr>
            <w:fldChar w:fldCharType="end"/>
          </w:r>
        </w:sdtContent>
      </w:sdt>
      <w:r w:rsidR="004004E7">
        <w:rPr>
          <w:rFonts w:ascii="Times New Roman" w:hAnsi="Times New Roman" w:cs="Times New Roman"/>
          <w:sz w:val="24"/>
          <w:szCs w:val="24"/>
        </w:rPr>
        <w:t xml:space="preserve">. </w:t>
      </w:r>
    </w:p>
    <w:p w14:paraId="31305E0A" w14:textId="36D4A86B" w:rsidR="00250A86" w:rsidRDefault="003E3DA4" w:rsidP="004138E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En definitiva</w:t>
      </w:r>
      <w:r w:rsidR="004004E7">
        <w:rPr>
          <w:rFonts w:ascii="Times New Roman" w:hAnsi="Times New Roman" w:cs="Times New Roman"/>
          <w:sz w:val="24"/>
          <w:szCs w:val="24"/>
        </w:rPr>
        <w:t xml:space="preserve">, la crisis de los rehenes estadounidenses fue en su momento y sigue siendo </w:t>
      </w:r>
      <w:r w:rsidR="00E81506">
        <w:rPr>
          <w:rFonts w:ascii="Times New Roman" w:hAnsi="Times New Roman" w:cs="Times New Roman"/>
          <w:sz w:val="24"/>
          <w:szCs w:val="24"/>
        </w:rPr>
        <w:t>hoy en día</w:t>
      </w:r>
      <w:r w:rsidR="004004E7">
        <w:rPr>
          <w:rFonts w:ascii="Times New Roman" w:hAnsi="Times New Roman" w:cs="Times New Roman"/>
          <w:sz w:val="24"/>
          <w:szCs w:val="24"/>
        </w:rPr>
        <w:t xml:space="preserve"> una cuestión de gran relevancia para las abruptas relaciones entre ambos Estados. Desde un punto de vista jurídico, la sentencia del Tribunal fue inicialmente </w:t>
      </w:r>
      <w:r w:rsidR="004004E7">
        <w:rPr>
          <w:rFonts w:ascii="Times New Roman" w:hAnsi="Times New Roman" w:cs="Times New Roman"/>
          <w:sz w:val="24"/>
          <w:szCs w:val="24"/>
        </w:rPr>
        <w:lastRenderedPageBreak/>
        <w:t xml:space="preserve">ineficaz, pero ello no impidió su utilización para llegar a un acuerdo que pusiese fin a la detención del personal diplomático y consular en la Embajada de Teherán. Además, el hecho de que el Tribunal se haya manifestado sobre esta cuestión es de una especial importancia, puesto que materializó </w:t>
      </w:r>
      <w:r w:rsidR="00745103">
        <w:rPr>
          <w:rFonts w:ascii="Times New Roman" w:hAnsi="Times New Roman" w:cs="Times New Roman"/>
          <w:sz w:val="24"/>
          <w:szCs w:val="24"/>
        </w:rPr>
        <w:t xml:space="preserve">la necesidad de tener un árbitro independiente capaz de expresar su opinión con base en el Derecho Internacional y que trate de resolver las disputas </w:t>
      </w:r>
      <w:r w:rsidR="004004E7">
        <w:rPr>
          <w:rFonts w:ascii="Times New Roman" w:hAnsi="Times New Roman" w:cs="Times New Roman"/>
          <w:sz w:val="24"/>
          <w:szCs w:val="24"/>
        </w:rPr>
        <w:t xml:space="preserve">políticas </w:t>
      </w:r>
      <w:r w:rsidR="00745103">
        <w:rPr>
          <w:rFonts w:ascii="Times New Roman" w:hAnsi="Times New Roman" w:cs="Times New Roman"/>
          <w:sz w:val="24"/>
          <w:szCs w:val="24"/>
        </w:rPr>
        <w:t>entre Estados de una forma pacífica</w:t>
      </w:r>
      <w:r w:rsidR="005E127F">
        <w:rPr>
          <w:rFonts w:ascii="Times New Roman" w:hAnsi="Times New Roman" w:cs="Times New Roman"/>
          <w:sz w:val="24"/>
          <w:szCs w:val="24"/>
        </w:rPr>
        <w:t xml:space="preserve"> y acorde a derecho</w:t>
      </w:r>
      <w:r w:rsidR="00745103">
        <w:rPr>
          <w:rFonts w:ascii="Times New Roman" w:hAnsi="Times New Roman" w:cs="Times New Roman"/>
          <w:sz w:val="24"/>
          <w:szCs w:val="24"/>
        </w:rPr>
        <w:t xml:space="preserve">.   </w:t>
      </w:r>
    </w:p>
    <w:p w14:paraId="174DD968" w14:textId="77777777" w:rsidR="004138EF" w:rsidRDefault="004138EF" w:rsidP="004138EF">
      <w:pPr>
        <w:spacing w:line="360" w:lineRule="auto"/>
        <w:ind w:firstLine="720"/>
        <w:jc w:val="both"/>
        <w:rPr>
          <w:rFonts w:ascii="Times New Roman" w:hAnsi="Times New Roman" w:cs="Times New Roman"/>
          <w:sz w:val="24"/>
          <w:szCs w:val="24"/>
        </w:rPr>
      </w:pPr>
    </w:p>
    <w:p w14:paraId="7BBAC093" w14:textId="29EFC0B1" w:rsidR="00250A86" w:rsidRPr="00250A86" w:rsidRDefault="00250A86" w:rsidP="001E14DE">
      <w:pPr>
        <w:pStyle w:val="Ttulo2"/>
        <w:numPr>
          <w:ilvl w:val="1"/>
          <w:numId w:val="1"/>
        </w:numPr>
        <w:spacing w:line="360" w:lineRule="auto"/>
        <w:jc w:val="both"/>
        <w:rPr>
          <w:rFonts w:ascii="Times New Roman" w:hAnsi="Times New Roman" w:cs="Times New Roman"/>
          <w:sz w:val="28"/>
          <w:szCs w:val="28"/>
        </w:rPr>
      </w:pPr>
      <w:bookmarkStart w:id="33" w:name="_Toc65498624"/>
      <w:r w:rsidRPr="00250A86">
        <w:rPr>
          <w:rFonts w:ascii="Times New Roman" w:hAnsi="Times New Roman" w:cs="Times New Roman"/>
          <w:sz w:val="28"/>
          <w:szCs w:val="28"/>
        </w:rPr>
        <w:t>Ataque terrorista en el Consulado de Estados Unidos en Bengasí</w:t>
      </w:r>
      <w:bookmarkEnd w:id="33"/>
    </w:p>
    <w:p w14:paraId="6EE3BB81" w14:textId="063E230F" w:rsidR="00250A86" w:rsidRPr="00200AC2" w:rsidRDefault="001E14DE" w:rsidP="001E14DE">
      <w:pPr>
        <w:pStyle w:val="Ttulo3"/>
        <w:numPr>
          <w:ilvl w:val="2"/>
          <w:numId w:val="1"/>
        </w:numPr>
        <w:spacing w:line="360" w:lineRule="auto"/>
        <w:jc w:val="both"/>
        <w:rPr>
          <w:rFonts w:ascii="Times New Roman" w:hAnsi="Times New Roman" w:cs="Times New Roman"/>
          <w:sz w:val="28"/>
          <w:szCs w:val="28"/>
        </w:rPr>
      </w:pPr>
      <w:bookmarkStart w:id="34" w:name="_Toc65498625"/>
      <w:r w:rsidRPr="00200AC2">
        <w:rPr>
          <w:rFonts w:ascii="Times New Roman" w:hAnsi="Times New Roman" w:cs="Times New Roman"/>
          <w:sz w:val="28"/>
          <w:szCs w:val="28"/>
        </w:rPr>
        <w:t xml:space="preserve">Contexto </w:t>
      </w:r>
      <w:r w:rsidR="00C32C4B" w:rsidRPr="00200AC2">
        <w:rPr>
          <w:rFonts w:ascii="Times New Roman" w:hAnsi="Times New Roman" w:cs="Times New Roman"/>
          <w:sz w:val="28"/>
          <w:szCs w:val="28"/>
        </w:rPr>
        <w:t>histórico</w:t>
      </w:r>
      <w:bookmarkEnd w:id="34"/>
      <w:r w:rsidRPr="00200AC2">
        <w:rPr>
          <w:rFonts w:ascii="Times New Roman" w:hAnsi="Times New Roman" w:cs="Times New Roman"/>
          <w:sz w:val="28"/>
          <w:szCs w:val="28"/>
        </w:rPr>
        <w:t xml:space="preserve"> </w:t>
      </w:r>
    </w:p>
    <w:p w14:paraId="77D642AD" w14:textId="25E6450E" w:rsidR="00250A86" w:rsidRDefault="001E14DE" w:rsidP="001E14DE">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 </w:t>
      </w:r>
      <w:r w:rsidR="00C32C4B">
        <w:rPr>
          <w:rFonts w:ascii="Times New Roman" w:hAnsi="Times New Roman" w:cs="Times New Roman"/>
          <w:sz w:val="24"/>
          <w:szCs w:val="24"/>
        </w:rPr>
        <w:t xml:space="preserve">“Primavera Árabe” se refiere a las movilizaciones revolucionarias en el norte de África que comenzaron a finales de 2010 con el objetivo de derrocar los regímenes autoritarios de la región y expresar su inconformidad con la situación económica en esos países. El </w:t>
      </w:r>
      <w:r w:rsidR="003A768A">
        <w:rPr>
          <w:rFonts w:ascii="Times New Roman" w:hAnsi="Times New Roman" w:cs="Times New Roman"/>
          <w:sz w:val="24"/>
          <w:szCs w:val="24"/>
        </w:rPr>
        <w:t>desencadenante</w:t>
      </w:r>
      <w:r w:rsidR="00C32C4B">
        <w:rPr>
          <w:rFonts w:ascii="Times New Roman" w:hAnsi="Times New Roman" w:cs="Times New Roman"/>
          <w:sz w:val="24"/>
          <w:szCs w:val="24"/>
        </w:rPr>
        <w:t xml:space="preserve"> de estas </w:t>
      </w:r>
      <w:r w:rsidR="001923F5">
        <w:rPr>
          <w:rFonts w:ascii="Times New Roman" w:hAnsi="Times New Roman" w:cs="Times New Roman"/>
          <w:sz w:val="24"/>
          <w:szCs w:val="24"/>
        </w:rPr>
        <w:t>protestas</w:t>
      </w:r>
      <w:r w:rsidR="00C32C4B">
        <w:rPr>
          <w:rFonts w:ascii="Times New Roman" w:hAnsi="Times New Roman" w:cs="Times New Roman"/>
          <w:sz w:val="24"/>
          <w:szCs w:val="24"/>
        </w:rPr>
        <w:t xml:space="preserve"> </w:t>
      </w:r>
      <w:r w:rsidR="00A46166">
        <w:rPr>
          <w:rFonts w:ascii="Times New Roman" w:hAnsi="Times New Roman" w:cs="Times New Roman"/>
          <w:sz w:val="24"/>
          <w:szCs w:val="24"/>
        </w:rPr>
        <w:t>ocurrió</w:t>
      </w:r>
      <w:r w:rsidR="00C32C4B">
        <w:rPr>
          <w:rFonts w:ascii="Times New Roman" w:hAnsi="Times New Roman" w:cs="Times New Roman"/>
          <w:sz w:val="24"/>
          <w:szCs w:val="24"/>
        </w:rPr>
        <w:t xml:space="preserve"> el 17 de diciembre de 2010 cuando el joven Mohamed </w:t>
      </w:r>
      <w:proofErr w:type="spellStart"/>
      <w:r w:rsidR="00C32C4B">
        <w:rPr>
          <w:rFonts w:ascii="Times New Roman" w:hAnsi="Times New Roman" w:cs="Times New Roman"/>
          <w:sz w:val="24"/>
          <w:szCs w:val="24"/>
        </w:rPr>
        <w:t>Bouazizi</w:t>
      </w:r>
      <w:proofErr w:type="spellEnd"/>
      <w:r w:rsidR="00C32C4B">
        <w:rPr>
          <w:rFonts w:ascii="Times New Roman" w:hAnsi="Times New Roman" w:cs="Times New Roman"/>
          <w:sz w:val="24"/>
          <w:szCs w:val="24"/>
        </w:rPr>
        <w:t xml:space="preserve"> se quemaba frente </w:t>
      </w:r>
      <w:r w:rsidR="001923F5">
        <w:rPr>
          <w:rFonts w:ascii="Times New Roman" w:hAnsi="Times New Roman" w:cs="Times New Roman"/>
          <w:sz w:val="24"/>
          <w:szCs w:val="24"/>
        </w:rPr>
        <w:t xml:space="preserve">a un ayuntamiento tunecino como forma de queja contra el gobierno por haberle confiscado sus mercancías y cuentas de ahorros. El resultado de esta acción fue el inicio de las protestas con el régimen tunecino, que </w:t>
      </w:r>
      <w:r w:rsidR="00A46166">
        <w:rPr>
          <w:rFonts w:ascii="Times New Roman" w:hAnsi="Times New Roman" w:cs="Times New Roman"/>
          <w:sz w:val="24"/>
          <w:szCs w:val="24"/>
        </w:rPr>
        <w:t xml:space="preserve">produjo </w:t>
      </w:r>
      <w:r w:rsidR="001923F5">
        <w:rPr>
          <w:rFonts w:ascii="Times New Roman" w:hAnsi="Times New Roman" w:cs="Times New Roman"/>
          <w:sz w:val="24"/>
          <w:szCs w:val="24"/>
        </w:rPr>
        <w:t xml:space="preserve">un “efecto dominó” sobre el resto </w:t>
      </w:r>
      <w:r w:rsidR="00A46166">
        <w:rPr>
          <w:rFonts w:ascii="Times New Roman" w:hAnsi="Times New Roman" w:cs="Times New Roman"/>
          <w:sz w:val="24"/>
          <w:szCs w:val="24"/>
        </w:rPr>
        <w:t xml:space="preserve">regímenes autoritarios </w:t>
      </w:r>
      <w:r w:rsidR="001923F5">
        <w:rPr>
          <w:rFonts w:ascii="Times New Roman" w:hAnsi="Times New Roman" w:cs="Times New Roman"/>
          <w:sz w:val="24"/>
          <w:szCs w:val="24"/>
        </w:rPr>
        <w:t>en el norte África y Medio Oriente</w:t>
      </w:r>
      <w:sdt>
        <w:sdtPr>
          <w:rPr>
            <w:rFonts w:ascii="Times New Roman" w:hAnsi="Times New Roman" w:cs="Times New Roman"/>
            <w:sz w:val="24"/>
            <w:szCs w:val="24"/>
          </w:rPr>
          <w:id w:val="-708648723"/>
          <w:citation/>
        </w:sdtPr>
        <w:sdtContent>
          <w:r w:rsidR="001923F5">
            <w:rPr>
              <w:rFonts w:ascii="Times New Roman" w:hAnsi="Times New Roman" w:cs="Times New Roman"/>
              <w:sz w:val="24"/>
              <w:szCs w:val="24"/>
            </w:rPr>
            <w:fldChar w:fldCharType="begin"/>
          </w:r>
          <w:r w:rsidR="001923F5">
            <w:rPr>
              <w:rFonts w:ascii="Times New Roman" w:hAnsi="Times New Roman" w:cs="Times New Roman"/>
              <w:sz w:val="24"/>
              <w:szCs w:val="24"/>
            </w:rPr>
            <w:instrText xml:space="preserve"> CITATION Len13 \l 3082 </w:instrText>
          </w:r>
          <w:r w:rsidR="001923F5">
            <w:rPr>
              <w:rFonts w:ascii="Times New Roman" w:hAnsi="Times New Roman" w:cs="Times New Roman"/>
              <w:sz w:val="24"/>
              <w:szCs w:val="24"/>
            </w:rPr>
            <w:fldChar w:fldCharType="separate"/>
          </w:r>
          <w:r w:rsidR="00246FA0">
            <w:rPr>
              <w:rFonts w:ascii="Times New Roman" w:hAnsi="Times New Roman" w:cs="Times New Roman"/>
              <w:noProof/>
              <w:sz w:val="24"/>
              <w:szCs w:val="24"/>
            </w:rPr>
            <w:t xml:space="preserve"> </w:t>
          </w:r>
          <w:r w:rsidR="00246FA0" w:rsidRPr="00246FA0">
            <w:rPr>
              <w:rFonts w:ascii="Times New Roman" w:hAnsi="Times New Roman" w:cs="Times New Roman"/>
              <w:noProof/>
              <w:sz w:val="24"/>
              <w:szCs w:val="24"/>
            </w:rPr>
            <w:t>(Lenchini de Álvarez &amp; Rabbia, 2013)</w:t>
          </w:r>
          <w:r w:rsidR="001923F5">
            <w:rPr>
              <w:rFonts w:ascii="Times New Roman" w:hAnsi="Times New Roman" w:cs="Times New Roman"/>
              <w:sz w:val="24"/>
              <w:szCs w:val="24"/>
            </w:rPr>
            <w:fldChar w:fldCharType="end"/>
          </w:r>
        </w:sdtContent>
      </w:sdt>
      <w:r w:rsidR="001923F5">
        <w:rPr>
          <w:rFonts w:ascii="Times New Roman" w:hAnsi="Times New Roman" w:cs="Times New Roman"/>
          <w:sz w:val="24"/>
          <w:szCs w:val="24"/>
        </w:rPr>
        <w:t xml:space="preserve">. </w:t>
      </w:r>
    </w:p>
    <w:p w14:paraId="4D08D04D" w14:textId="4DF9C6E4" w:rsidR="007E5271" w:rsidRDefault="006049FE" w:rsidP="0027604A">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En nuestro caso particular, las protestas llegaron a Libia en febrero de 2011 contra su presidente Muamar el Gadafi con el fin de denunciar las violaciones a los derechos humanos y la persecución a los opositores políticos.</w:t>
      </w:r>
      <w:r w:rsidR="0097343F">
        <w:rPr>
          <w:rFonts w:ascii="Times New Roman" w:hAnsi="Times New Roman" w:cs="Times New Roman"/>
          <w:sz w:val="24"/>
          <w:szCs w:val="24"/>
        </w:rPr>
        <w:t xml:space="preserve"> La respuesta del gobierno fue la represión contra las manifestaciones que </w:t>
      </w:r>
      <w:r w:rsidR="00A46166">
        <w:rPr>
          <w:rFonts w:ascii="Times New Roman" w:hAnsi="Times New Roman" w:cs="Times New Roman"/>
          <w:sz w:val="24"/>
          <w:szCs w:val="24"/>
        </w:rPr>
        <w:t>causó</w:t>
      </w:r>
      <w:r w:rsidR="0097343F">
        <w:rPr>
          <w:rFonts w:ascii="Times New Roman" w:hAnsi="Times New Roman" w:cs="Times New Roman"/>
          <w:sz w:val="24"/>
          <w:szCs w:val="24"/>
        </w:rPr>
        <w:t xml:space="preserve"> una guerra civil entre las autoridades libias y los grupos rebeldes contrarios al régimen. </w:t>
      </w:r>
      <w:r w:rsidR="00B661BF">
        <w:rPr>
          <w:rFonts w:ascii="Times New Roman" w:hAnsi="Times New Roman" w:cs="Times New Roman"/>
          <w:sz w:val="24"/>
          <w:szCs w:val="24"/>
        </w:rPr>
        <w:t>La revolución terminó e</w:t>
      </w:r>
      <w:r w:rsidR="0097343F">
        <w:rPr>
          <w:rFonts w:ascii="Times New Roman" w:hAnsi="Times New Roman" w:cs="Times New Roman"/>
          <w:sz w:val="24"/>
          <w:szCs w:val="24"/>
        </w:rPr>
        <w:t>n octubre</w:t>
      </w:r>
      <w:r w:rsidR="00B661BF">
        <w:rPr>
          <w:rFonts w:ascii="Times New Roman" w:hAnsi="Times New Roman" w:cs="Times New Roman"/>
          <w:sz w:val="24"/>
          <w:szCs w:val="24"/>
        </w:rPr>
        <w:t xml:space="preserve"> como resultado del asesinato del presidente Gadafi por parte de las fuerzas opositoras. </w:t>
      </w:r>
      <w:r w:rsidR="00532875">
        <w:rPr>
          <w:rFonts w:ascii="Times New Roman" w:hAnsi="Times New Roman" w:cs="Times New Roman"/>
          <w:sz w:val="24"/>
          <w:szCs w:val="24"/>
        </w:rPr>
        <w:t>El Consejo Nacional de Transición (CNT) tomaría el poder, tras la violenta muerte del exdirigente, con el objetivo de mejorar la seguridad de la población e iniciar el proceso de reconstrucción nacional que culminaría con las elecciones parlamentarias en julio de 2012. Sin embargo, la consolidación de un sistema democrático</w:t>
      </w:r>
      <w:r w:rsidR="00A46166">
        <w:rPr>
          <w:rFonts w:ascii="Times New Roman" w:hAnsi="Times New Roman" w:cs="Times New Roman"/>
          <w:sz w:val="24"/>
          <w:szCs w:val="24"/>
        </w:rPr>
        <w:t xml:space="preserve"> </w:t>
      </w:r>
      <w:r w:rsidR="002F3F37">
        <w:rPr>
          <w:rFonts w:ascii="Times New Roman" w:hAnsi="Times New Roman" w:cs="Times New Roman"/>
          <w:sz w:val="24"/>
          <w:szCs w:val="24"/>
        </w:rPr>
        <w:t>y restablecer el</w:t>
      </w:r>
      <w:r w:rsidR="007E5271">
        <w:rPr>
          <w:rFonts w:ascii="Times New Roman" w:hAnsi="Times New Roman" w:cs="Times New Roman"/>
          <w:sz w:val="24"/>
          <w:szCs w:val="24"/>
        </w:rPr>
        <w:t xml:space="preserve"> </w:t>
      </w:r>
      <w:r w:rsidR="002F3F37">
        <w:rPr>
          <w:rFonts w:ascii="Times New Roman" w:hAnsi="Times New Roman" w:cs="Times New Roman"/>
          <w:sz w:val="24"/>
          <w:szCs w:val="24"/>
        </w:rPr>
        <w:t>orden civil estaban amenazados por las diferentes facciones y milicias que componían las fuerzas oposit</w:t>
      </w:r>
      <w:r w:rsidR="002148EE">
        <w:rPr>
          <w:rFonts w:ascii="Times New Roman" w:hAnsi="Times New Roman" w:cs="Times New Roman"/>
          <w:sz w:val="24"/>
          <w:szCs w:val="24"/>
        </w:rPr>
        <w:t>o</w:t>
      </w:r>
      <w:r w:rsidR="002F3F37">
        <w:rPr>
          <w:rFonts w:ascii="Times New Roman" w:hAnsi="Times New Roman" w:cs="Times New Roman"/>
          <w:sz w:val="24"/>
          <w:szCs w:val="24"/>
        </w:rPr>
        <w:t xml:space="preserve">ras, ya que lo </w:t>
      </w:r>
      <w:r w:rsidR="002F3F37" w:rsidRPr="007E5271">
        <w:rPr>
          <w:rFonts w:ascii="Times New Roman" w:hAnsi="Times New Roman" w:cs="Times New Roman"/>
          <w:i/>
          <w:iCs/>
          <w:sz w:val="24"/>
          <w:szCs w:val="24"/>
        </w:rPr>
        <w:t>“único que unía a la heterogénea oposición libia era la necesidad de desalojar del poder al sátrapa”</w:t>
      </w:r>
      <w:r w:rsidR="009111EF">
        <w:rPr>
          <w:rStyle w:val="Refdenotaalpie"/>
          <w:rFonts w:ascii="Times New Roman" w:hAnsi="Times New Roman" w:cs="Times New Roman"/>
          <w:i/>
          <w:iCs/>
          <w:sz w:val="24"/>
          <w:szCs w:val="24"/>
        </w:rPr>
        <w:footnoteReference w:id="35"/>
      </w:r>
      <w:r w:rsidR="002F3F37">
        <w:rPr>
          <w:rFonts w:ascii="Times New Roman" w:hAnsi="Times New Roman" w:cs="Times New Roman"/>
          <w:sz w:val="24"/>
          <w:szCs w:val="24"/>
        </w:rPr>
        <w:t xml:space="preserve">. </w:t>
      </w:r>
    </w:p>
    <w:p w14:paraId="05D48EAD" w14:textId="11B9B3B4" w:rsidR="00920568" w:rsidRPr="00790AF0" w:rsidRDefault="007E5271" w:rsidP="0069088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L</w:t>
      </w:r>
      <w:r w:rsidR="002F3F37">
        <w:rPr>
          <w:rFonts w:ascii="Times New Roman" w:hAnsi="Times New Roman" w:cs="Times New Roman"/>
          <w:sz w:val="24"/>
          <w:szCs w:val="24"/>
        </w:rPr>
        <w:t xml:space="preserve">os intentos democratizadores en el país han </w:t>
      </w:r>
      <w:r w:rsidR="0027604A">
        <w:rPr>
          <w:rFonts w:ascii="Times New Roman" w:hAnsi="Times New Roman" w:cs="Times New Roman"/>
          <w:sz w:val="24"/>
          <w:szCs w:val="24"/>
        </w:rPr>
        <w:t>f</w:t>
      </w:r>
      <w:r>
        <w:rPr>
          <w:rFonts w:ascii="Times New Roman" w:hAnsi="Times New Roman" w:cs="Times New Roman"/>
          <w:sz w:val="24"/>
          <w:szCs w:val="24"/>
        </w:rPr>
        <w:t xml:space="preserve">racasado </w:t>
      </w:r>
      <w:r w:rsidR="0027604A">
        <w:rPr>
          <w:rFonts w:ascii="Times New Roman" w:hAnsi="Times New Roman" w:cs="Times New Roman"/>
          <w:sz w:val="24"/>
          <w:szCs w:val="24"/>
        </w:rPr>
        <w:t>de una forma incontestablemente</w:t>
      </w:r>
      <w:r w:rsidR="002148EE">
        <w:rPr>
          <w:rFonts w:ascii="Times New Roman" w:hAnsi="Times New Roman" w:cs="Times New Roman"/>
          <w:sz w:val="24"/>
          <w:szCs w:val="24"/>
        </w:rPr>
        <w:t>,</w:t>
      </w:r>
      <w:r w:rsidR="0027604A">
        <w:rPr>
          <w:rFonts w:ascii="Times New Roman" w:hAnsi="Times New Roman" w:cs="Times New Roman"/>
          <w:sz w:val="24"/>
          <w:szCs w:val="24"/>
        </w:rPr>
        <w:t xml:space="preserve"> </w:t>
      </w:r>
      <w:r w:rsidR="002148EE">
        <w:rPr>
          <w:rFonts w:ascii="Times New Roman" w:hAnsi="Times New Roman" w:cs="Times New Roman"/>
          <w:sz w:val="24"/>
          <w:szCs w:val="24"/>
        </w:rPr>
        <w:t xml:space="preserve">lo </w:t>
      </w:r>
      <w:r w:rsidR="0027604A">
        <w:rPr>
          <w:rFonts w:ascii="Times New Roman" w:hAnsi="Times New Roman" w:cs="Times New Roman"/>
          <w:sz w:val="24"/>
          <w:szCs w:val="24"/>
        </w:rPr>
        <w:t>que ha</w:t>
      </w:r>
      <w:r>
        <w:rPr>
          <w:rFonts w:ascii="Times New Roman" w:hAnsi="Times New Roman" w:cs="Times New Roman"/>
          <w:sz w:val="24"/>
          <w:szCs w:val="24"/>
        </w:rPr>
        <w:t xml:space="preserve"> con</w:t>
      </w:r>
      <w:r w:rsidR="0027604A">
        <w:rPr>
          <w:rFonts w:ascii="Times New Roman" w:hAnsi="Times New Roman" w:cs="Times New Roman"/>
          <w:sz w:val="24"/>
          <w:szCs w:val="24"/>
        </w:rPr>
        <w:t>llevado</w:t>
      </w:r>
      <w:r>
        <w:rPr>
          <w:rFonts w:ascii="Times New Roman" w:hAnsi="Times New Roman" w:cs="Times New Roman"/>
          <w:sz w:val="24"/>
          <w:szCs w:val="24"/>
        </w:rPr>
        <w:t xml:space="preserve"> a la desestabilización total del país hasta ser considerado como un Estado fallido o débil, </w:t>
      </w:r>
      <w:r w:rsidRPr="007E5271">
        <w:rPr>
          <w:rFonts w:ascii="Times New Roman" w:hAnsi="Times New Roman" w:cs="Times New Roman"/>
          <w:sz w:val="24"/>
          <w:szCs w:val="24"/>
        </w:rPr>
        <w:t xml:space="preserve"> </w:t>
      </w:r>
      <w:r>
        <w:rPr>
          <w:rFonts w:ascii="Times New Roman" w:hAnsi="Times New Roman" w:cs="Times New Roman"/>
          <w:sz w:val="24"/>
          <w:szCs w:val="24"/>
        </w:rPr>
        <w:t>“</w:t>
      </w:r>
      <w:r w:rsidRPr="007E5271">
        <w:rPr>
          <w:rFonts w:ascii="Times New Roman" w:hAnsi="Times New Roman" w:cs="Times New Roman"/>
          <w:i/>
          <w:iCs/>
          <w:sz w:val="24"/>
          <w:szCs w:val="24"/>
        </w:rPr>
        <w:t>pues el país ha devenido en un mosaico de intereses y facciones enfrentadas con intereses muy divergentes y con una ausencia de capacidad efectiva de gobierno; por lo que, además de las consecuencias que la situación de conflicto ha generado en la población que reside en Libia, el vacío de autoridad permitió la creación en su suelo de bases terroristas</w:t>
      </w:r>
      <w:r>
        <w:rPr>
          <w:rFonts w:ascii="Times New Roman" w:hAnsi="Times New Roman" w:cs="Times New Roman"/>
          <w:sz w:val="24"/>
          <w:szCs w:val="24"/>
        </w:rPr>
        <w:t>”</w:t>
      </w:r>
      <w:r w:rsidR="009111EF">
        <w:rPr>
          <w:rStyle w:val="Refdenotaalpie"/>
          <w:rFonts w:ascii="Times New Roman" w:hAnsi="Times New Roman" w:cs="Times New Roman"/>
          <w:sz w:val="24"/>
          <w:szCs w:val="24"/>
        </w:rPr>
        <w:footnoteReference w:id="36"/>
      </w:r>
      <w:r>
        <w:rPr>
          <w:rFonts w:ascii="Times New Roman" w:hAnsi="Times New Roman" w:cs="Times New Roman"/>
          <w:sz w:val="24"/>
          <w:szCs w:val="24"/>
        </w:rPr>
        <w:t>.</w:t>
      </w:r>
    </w:p>
    <w:p w14:paraId="69687906" w14:textId="23330504" w:rsidR="0027604A" w:rsidRPr="00200AC2" w:rsidRDefault="0027604A" w:rsidP="0027604A">
      <w:pPr>
        <w:pStyle w:val="Ttulo3"/>
        <w:numPr>
          <w:ilvl w:val="2"/>
          <w:numId w:val="1"/>
        </w:numPr>
        <w:spacing w:line="360" w:lineRule="auto"/>
        <w:rPr>
          <w:rFonts w:ascii="Times New Roman" w:hAnsi="Times New Roman" w:cs="Times New Roman"/>
          <w:sz w:val="28"/>
          <w:szCs w:val="28"/>
        </w:rPr>
      </w:pPr>
      <w:bookmarkStart w:id="35" w:name="_Toc65498626"/>
      <w:r w:rsidRPr="00200AC2">
        <w:rPr>
          <w:rFonts w:ascii="Times New Roman" w:hAnsi="Times New Roman" w:cs="Times New Roman"/>
          <w:sz w:val="28"/>
          <w:szCs w:val="28"/>
        </w:rPr>
        <w:t>Antecedentes de hechos</w:t>
      </w:r>
      <w:bookmarkEnd w:id="35"/>
    </w:p>
    <w:p w14:paraId="01EA0BBE" w14:textId="7C216E29" w:rsidR="0027604A" w:rsidRDefault="00200AC2" w:rsidP="00BF4616">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En esta situación de inestabilidad e inseguridad se enmarc</w:t>
      </w:r>
      <w:r w:rsidR="00AA3424">
        <w:rPr>
          <w:rFonts w:ascii="Times New Roman" w:hAnsi="Times New Roman" w:cs="Times New Roman"/>
          <w:sz w:val="24"/>
          <w:szCs w:val="24"/>
        </w:rPr>
        <w:t>aron los</w:t>
      </w:r>
      <w:r>
        <w:rPr>
          <w:rFonts w:ascii="Times New Roman" w:hAnsi="Times New Roman" w:cs="Times New Roman"/>
          <w:sz w:val="24"/>
          <w:szCs w:val="24"/>
        </w:rPr>
        <w:t xml:space="preserve"> ataque</w:t>
      </w:r>
      <w:r w:rsidR="00AA3424">
        <w:rPr>
          <w:rFonts w:ascii="Times New Roman" w:hAnsi="Times New Roman" w:cs="Times New Roman"/>
          <w:sz w:val="24"/>
          <w:szCs w:val="24"/>
        </w:rPr>
        <w:t>s</w:t>
      </w:r>
      <w:r>
        <w:rPr>
          <w:rFonts w:ascii="Times New Roman" w:hAnsi="Times New Roman" w:cs="Times New Roman"/>
          <w:sz w:val="24"/>
          <w:szCs w:val="24"/>
        </w:rPr>
        <w:t xml:space="preserve"> terrorista</w:t>
      </w:r>
      <w:r w:rsidR="00AA3424">
        <w:rPr>
          <w:rFonts w:ascii="Times New Roman" w:hAnsi="Times New Roman" w:cs="Times New Roman"/>
          <w:sz w:val="24"/>
          <w:szCs w:val="24"/>
        </w:rPr>
        <w:t>s</w:t>
      </w:r>
      <w:r>
        <w:rPr>
          <w:rFonts w:ascii="Times New Roman" w:hAnsi="Times New Roman" w:cs="Times New Roman"/>
          <w:sz w:val="24"/>
          <w:szCs w:val="24"/>
        </w:rPr>
        <w:t xml:space="preserve"> </w:t>
      </w:r>
      <w:r w:rsidR="00692415">
        <w:rPr>
          <w:rFonts w:ascii="Times New Roman" w:hAnsi="Times New Roman" w:cs="Times New Roman"/>
          <w:sz w:val="24"/>
          <w:szCs w:val="24"/>
        </w:rPr>
        <w:t xml:space="preserve">por el grupo armado </w:t>
      </w:r>
      <w:proofErr w:type="spellStart"/>
      <w:r w:rsidR="00692415">
        <w:rPr>
          <w:rFonts w:ascii="Times New Roman" w:hAnsi="Times New Roman" w:cs="Times New Roman"/>
          <w:sz w:val="24"/>
          <w:szCs w:val="24"/>
        </w:rPr>
        <w:t>Ansar</w:t>
      </w:r>
      <w:proofErr w:type="spellEnd"/>
      <w:r w:rsidR="00692415">
        <w:rPr>
          <w:rFonts w:ascii="Times New Roman" w:hAnsi="Times New Roman" w:cs="Times New Roman"/>
          <w:sz w:val="24"/>
          <w:szCs w:val="24"/>
        </w:rPr>
        <w:t xml:space="preserve"> al-</w:t>
      </w:r>
      <w:proofErr w:type="spellStart"/>
      <w:proofErr w:type="gramStart"/>
      <w:r w:rsidR="00692415">
        <w:rPr>
          <w:rFonts w:ascii="Times New Roman" w:hAnsi="Times New Roman" w:cs="Times New Roman"/>
          <w:sz w:val="24"/>
          <w:szCs w:val="24"/>
        </w:rPr>
        <w:t>Sharia</w:t>
      </w:r>
      <w:proofErr w:type="spellEnd"/>
      <w:proofErr w:type="gramEnd"/>
      <w:r w:rsidR="00692415">
        <w:rPr>
          <w:rFonts w:ascii="Times New Roman" w:hAnsi="Times New Roman" w:cs="Times New Roman"/>
          <w:sz w:val="24"/>
          <w:szCs w:val="24"/>
        </w:rPr>
        <w:t xml:space="preserve"> </w:t>
      </w:r>
      <w:r>
        <w:rPr>
          <w:rFonts w:ascii="Times New Roman" w:hAnsi="Times New Roman" w:cs="Times New Roman"/>
          <w:sz w:val="24"/>
          <w:szCs w:val="24"/>
        </w:rPr>
        <w:t xml:space="preserve">al Consulado de Estados Unidos </w:t>
      </w:r>
      <w:r w:rsidR="00AA3424">
        <w:rPr>
          <w:rFonts w:ascii="Times New Roman" w:hAnsi="Times New Roman" w:cs="Times New Roman"/>
          <w:sz w:val="24"/>
          <w:szCs w:val="24"/>
        </w:rPr>
        <w:t xml:space="preserve">y al anexo de la CIA </w:t>
      </w:r>
      <w:r>
        <w:rPr>
          <w:rFonts w:ascii="Times New Roman" w:hAnsi="Times New Roman" w:cs="Times New Roman"/>
          <w:sz w:val="24"/>
          <w:szCs w:val="24"/>
        </w:rPr>
        <w:t xml:space="preserve">en Bengasí entre los días 11 y 12 de septiembre de 2012. </w:t>
      </w:r>
      <w:r w:rsidR="00A46166">
        <w:rPr>
          <w:rFonts w:ascii="Times New Roman" w:hAnsi="Times New Roman" w:cs="Times New Roman"/>
          <w:sz w:val="24"/>
          <w:szCs w:val="24"/>
        </w:rPr>
        <w:t>En un principio, s</w:t>
      </w:r>
      <w:r w:rsidR="00BF4616">
        <w:rPr>
          <w:rFonts w:ascii="Times New Roman" w:hAnsi="Times New Roman" w:cs="Times New Roman"/>
          <w:sz w:val="24"/>
          <w:szCs w:val="24"/>
        </w:rPr>
        <w:t xml:space="preserve">e originaron una serie de protestas en las inmediaciones de la sede consular </w:t>
      </w:r>
      <w:r w:rsidR="00AA3424">
        <w:rPr>
          <w:rFonts w:ascii="Times New Roman" w:hAnsi="Times New Roman" w:cs="Times New Roman"/>
          <w:sz w:val="24"/>
          <w:szCs w:val="24"/>
        </w:rPr>
        <w:t>como resultado del estreno de la película “La Inocencia de los Musulmanes” producida en Estados Unidos</w:t>
      </w:r>
      <w:r w:rsidR="00BF4616">
        <w:rPr>
          <w:rFonts w:ascii="Times New Roman" w:hAnsi="Times New Roman" w:cs="Times New Roman"/>
          <w:sz w:val="24"/>
          <w:szCs w:val="24"/>
        </w:rPr>
        <w:t xml:space="preserve"> y </w:t>
      </w:r>
      <w:r w:rsidR="00AA3424">
        <w:rPr>
          <w:rFonts w:ascii="Times New Roman" w:hAnsi="Times New Roman" w:cs="Times New Roman"/>
          <w:sz w:val="24"/>
          <w:szCs w:val="24"/>
        </w:rPr>
        <w:t>que ridiculizaba la figura del Profeta Mahoma</w:t>
      </w:r>
      <w:r w:rsidR="00BF4616">
        <w:rPr>
          <w:rFonts w:ascii="Times New Roman" w:hAnsi="Times New Roman" w:cs="Times New Roman"/>
          <w:sz w:val="24"/>
          <w:szCs w:val="24"/>
        </w:rPr>
        <w:t xml:space="preserve">. En medio de ese tumulto se produjeron los dos ataques a las dependencias consulares que causaron la muerte del Embajador estadounidense en Libia Christopher Steve, el Agente de Información Sean Smith y los agentes de seguridad Glen </w:t>
      </w:r>
      <w:proofErr w:type="spellStart"/>
      <w:r w:rsidR="00BF4616">
        <w:rPr>
          <w:rFonts w:ascii="Times New Roman" w:hAnsi="Times New Roman" w:cs="Times New Roman"/>
          <w:sz w:val="24"/>
          <w:szCs w:val="24"/>
        </w:rPr>
        <w:t>Doherty</w:t>
      </w:r>
      <w:proofErr w:type="spellEnd"/>
      <w:r w:rsidR="00BF4616">
        <w:rPr>
          <w:rFonts w:ascii="Times New Roman" w:hAnsi="Times New Roman" w:cs="Times New Roman"/>
          <w:sz w:val="24"/>
          <w:szCs w:val="24"/>
        </w:rPr>
        <w:t xml:space="preserve"> y Tyrone Woods. </w:t>
      </w:r>
    </w:p>
    <w:p w14:paraId="32AA27BE" w14:textId="4FF161F1" w:rsidR="00BF4616" w:rsidRDefault="00BF4616" w:rsidP="00BF4616">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El primer ataque comenzó a las 21:40 </w:t>
      </w:r>
      <w:r w:rsidR="00BC445D">
        <w:rPr>
          <w:rFonts w:ascii="Times New Roman" w:hAnsi="Times New Roman" w:cs="Times New Roman"/>
          <w:sz w:val="24"/>
          <w:szCs w:val="24"/>
        </w:rPr>
        <w:t xml:space="preserve">contra la oficina consular, donde se encontraban el jefe de la misión diplomática y el especialista en tecnologías, que </w:t>
      </w:r>
      <w:r w:rsidR="00A46166">
        <w:rPr>
          <w:rFonts w:ascii="Times New Roman" w:hAnsi="Times New Roman" w:cs="Times New Roman"/>
          <w:sz w:val="24"/>
          <w:szCs w:val="24"/>
        </w:rPr>
        <w:t>se refugiaron en</w:t>
      </w:r>
      <w:r w:rsidR="00BC445D">
        <w:rPr>
          <w:rFonts w:ascii="Times New Roman" w:hAnsi="Times New Roman" w:cs="Times New Roman"/>
          <w:sz w:val="24"/>
          <w:szCs w:val="24"/>
        </w:rPr>
        <w:t xml:space="preserve"> una habitación segura de las dependencias.  El consulado estaba protegido por 4 miembros de seguridad libios y 5 agentes de Seguridad Diplomática estadounidense, </w:t>
      </w:r>
      <w:r w:rsidR="002A4910">
        <w:rPr>
          <w:rFonts w:ascii="Times New Roman" w:hAnsi="Times New Roman" w:cs="Times New Roman"/>
          <w:sz w:val="24"/>
          <w:szCs w:val="24"/>
        </w:rPr>
        <w:t>que</w:t>
      </w:r>
      <w:r w:rsidR="00BC445D">
        <w:rPr>
          <w:rFonts w:ascii="Times New Roman" w:hAnsi="Times New Roman" w:cs="Times New Roman"/>
          <w:sz w:val="24"/>
          <w:szCs w:val="24"/>
        </w:rPr>
        <w:t xml:space="preserve"> fueron incapaces de evitar el asalto y el incendio provocado tras haber rociado el edific</w:t>
      </w:r>
      <w:r w:rsidR="002A4910">
        <w:rPr>
          <w:rFonts w:ascii="Times New Roman" w:hAnsi="Times New Roman" w:cs="Times New Roman"/>
          <w:sz w:val="24"/>
          <w:szCs w:val="24"/>
        </w:rPr>
        <w:t>i</w:t>
      </w:r>
      <w:r w:rsidR="00BC445D">
        <w:rPr>
          <w:rFonts w:ascii="Times New Roman" w:hAnsi="Times New Roman" w:cs="Times New Roman"/>
          <w:sz w:val="24"/>
          <w:szCs w:val="24"/>
        </w:rPr>
        <w:t>o con gasoli</w:t>
      </w:r>
      <w:r w:rsidR="002A4910">
        <w:rPr>
          <w:rFonts w:ascii="Times New Roman" w:hAnsi="Times New Roman" w:cs="Times New Roman"/>
          <w:sz w:val="24"/>
          <w:szCs w:val="24"/>
        </w:rPr>
        <w:t xml:space="preserve">na. Agentes de la CIA acudieron a la oficina para tratar de salvar </w:t>
      </w:r>
      <w:r w:rsidR="001E790B">
        <w:rPr>
          <w:rFonts w:ascii="Times New Roman" w:hAnsi="Times New Roman" w:cs="Times New Roman"/>
          <w:sz w:val="24"/>
          <w:szCs w:val="24"/>
        </w:rPr>
        <w:t>las vidas</w:t>
      </w:r>
      <w:r w:rsidR="002A4910">
        <w:rPr>
          <w:rFonts w:ascii="Times New Roman" w:hAnsi="Times New Roman" w:cs="Times New Roman"/>
          <w:sz w:val="24"/>
          <w:szCs w:val="24"/>
        </w:rPr>
        <w:t xml:space="preserve"> de Stevens y Smiths, pero solo pudieron rescatar al segundo</w:t>
      </w:r>
      <w:r w:rsidR="00DE0339">
        <w:rPr>
          <w:rFonts w:ascii="Times New Roman" w:hAnsi="Times New Roman" w:cs="Times New Roman"/>
          <w:sz w:val="24"/>
          <w:szCs w:val="24"/>
        </w:rPr>
        <w:t>, quien fue alcanzado por disparos de los asaltantes y falleció en el camino al anexo. El Embajador americano falleció horas más tarde en un hospital por asfixia debido a la inhalación de hum</w:t>
      </w:r>
      <w:r w:rsidR="00174511">
        <w:rPr>
          <w:rFonts w:ascii="Times New Roman" w:hAnsi="Times New Roman" w:cs="Times New Roman"/>
          <w:sz w:val="24"/>
          <w:szCs w:val="24"/>
        </w:rPr>
        <w:t>o</w:t>
      </w:r>
      <w:r w:rsidR="00DE0339">
        <w:rPr>
          <w:rFonts w:ascii="Times New Roman" w:hAnsi="Times New Roman" w:cs="Times New Roman"/>
          <w:sz w:val="24"/>
          <w:szCs w:val="24"/>
        </w:rPr>
        <w:t xml:space="preserve"> tras haber sido trasladado por un grupo de civiles. </w:t>
      </w:r>
    </w:p>
    <w:p w14:paraId="3E01F9D2" w14:textId="5374A152" w:rsidR="00DE0339" w:rsidRDefault="00DE0339" w:rsidP="00BF4616">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El segundo ataque se produjo a las 5:15 contra el edificio anexo de la CIA, donde se refugiaba el personal consular y los agentes de inteligencia estadounidense. El asalto </w:t>
      </w:r>
      <w:r>
        <w:rPr>
          <w:rFonts w:ascii="Times New Roman" w:hAnsi="Times New Roman" w:cs="Times New Roman"/>
          <w:sz w:val="24"/>
          <w:szCs w:val="24"/>
        </w:rPr>
        <w:lastRenderedPageBreak/>
        <w:t xml:space="preserve">duró aproximadamente quince minutos y terminó con la vida de los miembros de seguridad Tyrone Woods y Glen </w:t>
      </w:r>
      <w:proofErr w:type="spellStart"/>
      <w:r>
        <w:rPr>
          <w:rFonts w:ascii="Times New Roman" w:hAnsi="Times New Roman" w:cs="Times New Roman"/>
          <w:sz w:val="24"/>
          <w:szCs w:val="24"/>
        </w:rPr>
        <w:t>Doherty</w:t>
      </w:r>
      <w:proofErr w:type="spellEnd"/>
      <w:r>
        <w:rPr>
          <w:rFonts w:ascii="Times New Roman" w:hAnsi="Times New Roman" w:cs="Times New Roman"/>
          <w:sz w:val="24"/>
          <w:szCs w:val="24"/>
        </w:rPr>
        <w:t xml:space="preserve">. </w:t>
      </w:r>
      <w:r w:rsidR="00FB0E73">
        <w:rPr>
          <w:rFonts w:ascii="Times New Roman" w:hAnsi="Times New Roman" w:cs="Times New Roman"/>
          <w:sz w:val="24"/>
          <w:szCs w:val="24"/>
        </w:rPr>
        <w:t xml:space="preserve">Tras el ataque, el personal estadounidense fue evacuado del edificio, trasladado al aeropuerto por fuerzas del ejército libio y abandonando así la ciudad de Bengasí con destino a la capital libia. </w:t>
      </w:r>
    </w:p>
    <w:p w14:paraId="3319C77C" w14:textId="1C2FB37F" w:rsidR="0027604A" w:rsidRPr="00690885" w:rsidRDefault="00FB0E73" w:rsidP="00690885">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El presidente Obama condenó los ataques terroristas contra la sede consular,</w:t>
      </w:r>
      <w:r w:rsidR="008A0225">
        <w:rPr>
          <w:rFonts w:ascii="Times New Roman" w:hAnsi="Times New Roman" w:cs="Times New Roman"/>
          <w:sz w:val="24"/>
          <w:szCs w:val="24"/>
        </w:rPr>
        <w:t xml:space="preserve"> y</w:t>
      </w:r>
      <w:r>
        <w:rPr>
          <w:rFonts w:ascii="Times New Roman" w:hAnsi="Times New Roman" w:cs="Times New Roman"/>
          <w:sz w:val="24"/>
          <w:szCs w:val="24"/>
        </w:rPr>
        <w:t xml:space="preserve"> expresó </w:t>
      </w:r>
      <w:r w:rsidR="008A0225">
        <w:rPr>
          <w:rFonts w:ascii="Times New Roman" w:hAnsi="Times New Roman" w:cs="Times New Roman"/>
          <w:sz w:val="24"/>
          <w:szCs w:val="24"/>
        </w:rPr>
        <w:t>su intención de seguir colaborando</w:t>
      </w:r>
      <w:r>
        <w:rPr>
          <w:rFonts w:ascii="Times New Roman" w:hAnsi="Times New Roman" w:cs="Times New Roman"/>
          <w:sz w:val="24"/>
          <w:szCs w:val="24"/>
        </w:rPr>
        <w:t xml:space="preserve"> con el Gobierno libio para asegurar las vidas de los miembros del personal diplomático y consular que permanecía en el país</w:t>
      </w:r>
      <w:r w:rsidR="008A0225">
        <w:rPr>
          <w:rFonts w:ascii="Times New Roman" w:hAnsi="Times New Roman" w:cs="Times New Roman"/>
          <w:sz w:val="24"/>
          <w:szCs w:val="24"/>
        </w:rPr>
        <w:t>. Por su parte, las autoridades libias manifesta</w:t>
      </w:r>
      <w:r w:rsidR="00086F3A">
        <w:rPr>
          <w:rFonts w:ascii="Times New Roman" w:hAnsi="Times New Roman" w:cs="Times New Roman"/>
          <w:sz w:val="24"/>
          <w:szCs w:val="24"/>
        </w:rPr>
        <w:t xml:space="preserve">ron </w:t>
      </w:r>
      <w:r w:rsidR="008A0225">
        <w:rPr>
          <w:rFonts w:ascii="Times New Roman" w:hAnsi="Times New Roman" w:cs="Times New Roman"/>
          <w:sz w:val="24"/>
          <w:szCs w:val="24"/>
        </w:rPr>
        <w:t xml:space="preserve">su condena </w:t>
      </w:r>
      <w:r w:rsidR="00086F3A">
        <w:rPr>
          <w:rFonts w:ascii="Times New Roman" w:hAnsi="Times New Roman" w:cs="Times New Roman"/>
          <w:sz w:val="24"/>
          <w:szCs w:val="24"/>
        </w:rPr>
        <w:t xml:space="preserve">y disculpas por los sucesos en el consulado estadounidense, y destacaron la necesidad de mantener las relaciones entre ambos Estados. </w:t>
      </w:r>
    </w:p>
    <w:p w14:paraId="70E37688" w14:textId="7C356508" w:rsidR="0027604A" w:rsidRDefault="0027604A" w:rsidP="0027604A">
      <w:pPr>
        <w:pStyle w:val="Ttulo3"/>
        <w:numPr>
          <w:ilvl w:val="2"/>
          <w:numId w:val="1"/>
        </w:numPr>
        <w:spacing w:line="360" w:lineRule="auto"/>
        <w:rPr>
          <w:rFonts w:ascii="Times New Roman" w:hAnsi="Times New Roman" w:cs="Times New Roman"/>
          <w:sz w:val="28"/>
          <w:szCs w:val="28"/>
        </w:rPr>
      </w:pPr>
      <w:bookmarkStart w:id="36" w:name="_Toc65498627"/>
      <w:r w:rsidRPr="00200AC2">
        <w:rPr>
          <w:rFonts w:ascii="Times New Roman" w:hAnsi="Times New Roman" w:cs="Times New Roman"/>
          <w:sz w:val="28"/>
          <w:szCs w:val="28"/>
        </w:rPr>
        <w:t>Inviolabilidad de los locales de la Oficina Consular en Bengasi</w:t>
      </w:r>
      <w:bookmarkEnd w:id="36"/>
      <w:r w:rsidRPr="00200AC2">
        <w:rPr>
          <w:rFonts w:ascii="Times New Roman" w:hAnsi="Times New Roman" w:cs="Times New Roman"/>
          <w:sz w:val="28"/>
          <w:szCs w:val="28"/>
        </w:rPr>
        <w:t xml:space="preserve"> </w:t>
      </w:r>
    </w:p>
    <w:p w14:paraId="20B22FB5" w14:textId="7BAD009A" w:rsidR="00692415" w:rsidRDefault="00201333" w:rsidP="00201333">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La inviolabilidad de los locales de las oficinas consulares </w:t>
      </w:r>
      <w:proofErr w:type="spellStart"/>
      <w:r>
        <w:rPr>
          <w:rFonts w:ascii="Times New Roman" w:hAnsi="Times New Roman" w:cs="Times New Roman"/>
          <w:sz w:val="24"/>
          <w:szCs w:val="24"/>
        </w:rPr>
        <w:t>esta</w:t>
      </w:r>
      <w:proofErr w:type="spellEnd"/>
      <w:r>
        <w:rPr>
          <w:rFonts w:ascii="Times New Roman" w:hAnsi="Times New Roman" w:cs="Times New Roman"/>
          <w:sz w:val="24"/>
          <w:szCs w:val="24"/>
        </w:rPr>
        <w:t xml:space="preserve"> recogida en el artículo 31 de la Convención de Viena sobre Relaciones Consulares de 1963, por lo que Libia tenía la obligación de abstenerse de penetrar los locales sin el consentimiento del jefe de la oficina consular, salvo en caso de incendio u otra calamidad que requiera la adopción de medidas inmediatas. También tenía la obligación especial de adoptar todas las medidas necesarias para evitar cualquier daño que perturbe la tranquilidad y dignidad de la oficina consular. </w:t>
      </w:r>
    </w:p>
    <w:p w14:paraId="3BB198F1" w14:textId="7BA1D3FE" w:rsidR="00D85DD3" w:rsidRDefault="00A61AF8" w:rsidP="00BB02EC">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PRIMERO, el ataque armado fue perpetrado por el grupo terrorista </w:t>
      </w:r>
      <w:proofErr w:type="spellStart"/>
      <w:r>
        <w:rPr>
          <w:rFonts w:ascii="Times New Roman" w:hAnsi="Times New Roman" w:cs="Times New Roman"/>
          <w:sz w:val="24"/>
          <w:szCs w:val="24"/>
        </w:rPr>
        <w:t>Ansar</w:t>
      </w:r>
      <w:proofErr w:type="spellEnd"/>
      <w:r>
        <w:rPr>
          <w:rFonts w:ascii="Times New Roman" w:hAnsi="Times New Roman" w:cs="Times New Roman"/>
          <w:sz w:val="24"/>
          <w:szCs w:val="24"/>
        </w:rPr>
        <w:t xml:space="preserve"> al-</w:t>
      </w:r>
      <w:proofErr w:type="spellStart"/>
      <w:proofErr w:type="gramStart"/>
      <w:r>
        <w:rPr>
          <w:rFonts w:ascii="Times New Roman" w:hAnsi="Times New Roman" w:cs="Times New Roman"/>
          <w:sz w:val="24"/>
          <w:szCs w:val="24"/>
        </w:rPr>
        <w:t>Sharia</w:t>
      </w:r>
      <w:proofErr w:type="spellEnd"/>
      <w:proofErr w:type="gramEnd"/>
      <w:r>
        <w:rPr>
          <w:rFonts w:ascii="Times New Roman" w:hAnsi="Times New Roman" w:cs="Times New Roman"/>
          <w:sz w:val="24"/>
          <w:szCs w:val="24"/>
        </w:rPr>
        <w:t xml:space="preserve">, que actúo libremente y con total independencia de las autoridades del Estado Receptor, por lo que en ningún momento se podría alegar que el Estado receptor haya incumplido su obligación de abstenerse de penetrar los locales consulares. Sin embargo, </w:t>
      </w:r>
      <w:r w:rsidRPr="00A61AF8">
        <w:rPr>
          <w:rFonts w:ascii="Times New Roman" w:hAnsi="Times New Roman" w:cs="Times New Roman"/>
          <w:sz w:val="24"/>
          <w:szCs w:val="24"/>
        </w:rPr>
        <w:t xml:space="preserve">recordemos que la inviolabilidad de las oficinas consulares no tiene carácter absoluto, ya que en </w:t>
      </w:r>
      <w:r w:rsidR="00174511">
        <w:rPr>
          <w:rFonts w:ascii="Times New Roman" w:hAnsi="Times New Roman" w:cs="Times New Roman"/>
          <w:sz w:val="24"/>
          <w:szCs w:val="24"/>
        </w:rPr>
        <w:t>la</w:t>
      </w:r>
      <w:r w:rsidRPr="00A61AF8">
        <w:rPr>
          <w:rFonts w:ascii="Times New Roman" w:hAnsi="Times New Roman" w:cs="Times New Roman"/>
          <w:sz w:val="24"/>
          <w:szCs w:val="24"/>
        </w:rPr>
        <w:t xml:space="preserve"> Convención de 1963 se adoptó la “cláusula de incendio”, a diferencia de las misi</w:t>
      </w:r>
      <w:r>
        <w:rPr>
          <w:rFonts w:ascii="Times New Roman" w:hAnsi="Times New Roman" w:cs="Times New Roman"/>
          <w:sz w:val="24"/>
          <w:szCs w:val="24"/>
        </w:rPr>
        <w:t xml:space="preserve">ones </w:t>
      </w:r>
      <w:r w:rsidRPr="00A61AF8">
        <w:rPr>
          <w:rFonts w:ascii="Times New Roman" w:hAnsi="Times New Roman" w:cs="Times New Roman"/>
          <w:sz w:val="24"/>
          <w:szCs w:val="24"/>
        </w:rPr>
        <w:t>diplomáticas según la Convención de 1961.</w:t>
      </w:r>
      <w:r w:rsidR="0088436B">
        <w:rPr>
          <w:rFonts w:ascii="Times New Roman" w:hAnsi="Times New Roman" w:cs="Times New Roman"/>
          <w:sz w:val="24"/>
          <w:szCs w:val="24"/>
        </w:rPr>
        <w:t xml:space="preserve"> E</w:t>
      </w:r>
      <w:r>
        <w:rPr>
          <w:rFonts w:ascii="Times New Roman" w:hAnsi="Times New Roman" w:cs="Times New Roman"/>
          <w:sz w:val="24"/>
          <w:szCs w:val="24"/>
        </w:rPr>
        <w:t xml:space="preserve">l Estado podría haber entrado inmediatamente en los locales con </w:t>
      </w:r>
      <w:r w:rsidR="002571DA">
        <w:rPr>
          <w:rFonts w:ascii="Times New Roman" w:hAnsi="Times New Roman" w:cs="Times New Roman"/>
          <w:sz w:val="24"/>
          <w:szCs w:val="24"/>
        </w:rPr>
        <w:t>el objetivo</w:t>
      </w:r>
      <w:r>
        <w:rPr>
          <w:rFonts w:ascii="Times New Roman" w:hAnsi="Times New Roman" w:cs="Times New Roman"/>
          <w:sz w:val="24"/>
          <w:szCs w:val="24"/>
        </w:rPr>
        <w:t xml:space="preserve"> de terminar </w:t>
      </w:r>
      <w:r w:rsidR="002571DA">
        <w:rPr>
          <w:rFonts w:ascii="Times New Roman" w:hAnsi="Times New Roman" w:cs="Times New Roman"/>
          <w:sz w:val="24"/>
          <w:szCs w:val="24"/>
        </w:rPr>
        <w:t xml:space="preserve">con </w:t>
      </w:r>
      <w:r>
        <w:rPr>
          <w:rFonts w:ascii="Times New Roman" w:hAnsi="Times New Roman" w:cs="Times New Roman"/>
          <w:sz w:val="24"/>
          <w:szCs w:val="24"/>
        </w:rPr>
        <w:t xml:space="preserve">el asalto terrorista, pues no hay duda de que estaría sujeto a la presunción del consentimiento del jefe de la oficina consular en caso de una calamidad como fueron los acontecimientos del día 11 de septiembre.  </w:t>
      </w:r>
      <w:r w:rsidR="00F77DCA">
        <w:rPr>
          <w:rFonts w:ascii="Times New Roman" w:hAnsi="Times New Roman" w:cs="Times New Roman"/>
          <w:sz w:val="24"/>
          <w:szCs w:val="24"/>
        </w:rPr>
        <w:t xml:space="preserve">Ahora bien, el Gobierno libio era incapaz de actuar en una situación de estas características, pues ni siquiera podía proveer con fuerzas de seguridad del ejercito o evacuar al </w:t>
      </w:r>
      <w:r w:rsidR="008F67D6">
        <w:rPr>
          <w:rFonts w:ascii="Times New Roman" w:hAnsi="Times New Roman" w:cs="Times New Roman"/>
          <w:sz w:val="24"/>
          <w:szCs w:val="24"/>
        </w:rPr>
        <w:t xml:space="preserve">personal consular. </w:t>
      </w:r>
      <w:r w:rsidR="00C55382">
        <w:rPr>
          <w:rFonts w:ascii="Times New Roman" w:hAnsi="Times New Roman" w:cs="Times New Roman"/>
          <w:sz w:val="24"/>
          <w:szCs w:val="24"/>
        </w:rPr>
        <w:t xml:space="preserve">Esta insuficiencia logística ya fue anticipada en febrero del mismo año, según manifestó el oficial de seguridad regional estadounidense Eric Nordstrom, la situación política </w:t>
      </w:r>
      <w:proofErr w:type="spellStart"/>
      <w:proofErr w:type="gramStart"/>
      <w:r w:rsidR="00C55382">
        <w:rPr>
          <w:rFonts w:ascii="Times New Roman" w:hAnsi="Times New Roman" w:cs="Times New Roman"/>
          <w:sz w:val="24"/>
          <w:szCs w:val="24"/>
        </w:rPr>
        <w:t>post-revolucionaria</w:t>
      </w:r>
      <w:proofErr w:type="spellEnd"/>
      <w:proofErr w:type="gramEnd"/>
      <w:r w:rsidR="00C55382">
        <w:rPr>
          <w:rFonts w:ascii="Times New Roman" w:hAnsi="Times New Roman" w:cs="Times New Roman"/>
          <w:sz w:val="24"/>
          <w:szCs w:val="24"/>
        </w:rPr>
        <w:t xml:space="preserve"> en Libia era frágil y las instituciones </w:t>
      </w:r>
      <w:r w:rsidR="00C55382">
        <w:rPr>
          <w:rFonts w:ascii="Times New Roman" w:hAnsi="Times New Roman" w:cs="Times New Roman"/>
          <w:sz w:val="24"/>
          <w:szCs w:val="24"/>
        </w:rPr>
        <w:lastRenderedPageBreak/>
        <w:t>estatales</w:t>
      </w:r>
      <w:r w:rsidR="00BB02EC">
        <w:rPr>
          <w:rFonts w:ascii="Times New Roman" w:hAnsi="Times New Roman" w:cs="Times New Roman"/>
          <w:sz w:val="24"/>
          <w:szCs w:val="24"/>
        </w:rPr>
        <w:t xml:space="preserve"> y los servicios de emergencia no estaban completamente operativos </w:t>
      </w:r>
      <w:sdt>
        <w:sdtPr>
          <w:rPr>
            <w:rFonts w:ascii="Times New Roman" w:hAnsi="Times New Roman" w:cs="Times New Roman"/>
            <w:sz w:val="24"/>
            <w:szCs w:val="24"/>
          </w:rPr>
          <w:id w:val="1621964485"/>
          <w:citation/>
        </w:sdtPr>
        <w:sdtContent>
          <w:r w:rsidR="00BB02EC">
            <w:rPr>
              <w:rFonts w:ascii="Times New Roman" w:hAnsi="Times New Roman" w:cs="Times New Roman"/>
              <w:sz w:val="24"/>
              <w:szCs w:val="24"/>
            </w:rPr>
            <w:fldChar w:fldCharType="begin"/>
          </w:r>
          <w:r w:rsidR="00BB02EC">
            <w:rPr>
              <w:rFonts w:ascii="Times New Roman" w:hAnsi="Times New Roman" w:cs="Times New Roman"/>
              <w:sz w:val="24"/>
              <w:szCs w:val="24"/>
            </w:rPr>
            <w:instrText xml:space="preserve"> CITATION Lie12 \l 3082 </w:instrText>
          </w:r>
          <w:r w:rsidR="00BB02EC">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(Lieberman &amp; Collins, 2012)</w:t>
          </w:r>
          <w:r w:rsidR="00BB02EC">
            <w:rPr>
              <w:rFonts w:ascii="Times New Roman" w:hAnsi="Times New Roman" w:cs="Times New Roman"/>
              <w:sz w:val="24"/>
              <w:szCs w:val="24"/>
            </w:rPr>
            <w:fldChar w:fldCharType="end"/>
          </w:r>
        </w:sdtContent>
      </w:sdt>
      <w:r w:rsidR="00BB02EC">
        <w:rPr>
          <w:rFonts w:ascii="Times New Roman" w:hAnsi="Times New Roman" w:cs="Times New Roman"/>
          <w:sz w:val="24"/>
          <w:szCs w:val="24"/>
        </w:rPr>
        <w:t xml:space="preserve">. </w:t>
      </w:r>
    </w:p>
    <w:p w14:paraId="01A3A6AD" w14:textId="7FFC2D7A" w:rsidR="00F77DCA" w:rsidRDefault="0088436B" w:rsidP="00201333">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SEGUNDO, el Estado receptor tenía la obligación especial de adoptar todas las medidas necesarias para proteger las dependencias consulares contra toda intrusión o daño que perturbe su tranquilidad. En los meses anteriores, Estados Unidos había reforzado la seguridad del Consulado en Bengasi con muros más altos</w:t>
      </w:r>
      <w:r w:rsidR="00176493">
        <w:rPr>
          <w:rFonts w:ascii="Times New Roman" w:hAnsi="Times New Roman" w:cs="Times New Roman"/>
          <w:sz w:val="24"/>
          <w:szCs w:val="24"/>
        </w:rPr>
        <w:t>, sacos de arena y</w:t>
      </w:r>
      <w:r>
        <w:rPr>
          <w:rFonts w:ascii="Times New Roman" w:hAnsi="Times New Roman" w:cs="Times New Roman"/>
          <w:sz w:val="24"/>
          <w:szCs w:val="24"/>
        </w:rPr>
        <w:t xml:space="preserve"> </w:t>
      </w:r>
      <w:r w:rsidR="003D0DCB">
        <w:rPr>
          <w:rFonts w:ascii="Times New Roman" w:hAnsi="Times New Roman" w:cs="Times New Roman"/>
          <w:sz w:val="24"/>
          <w:szCs w:val="24"/>
        </w:rPr>
        <w:t>mejor iluminación</w:t>
      </w:r>
      <w:r w:rsidR="00176493">
        <w:rPr>
          <w:rFonts w:ascii="Times New Roman" w:hAnsi="Times New Roman" w:cs="Times New Roman"/>
          <w:sz w:val="24"/>
          <w:szCs w:val="24"/>
        </w:rPr>
        <w:t>. El Gobierno libio había manifestado su incapacidad para asegurar los locales consulares</w:t>
      </w:r>
      <w:r w:rsidR="004333CF">
        <w:rPr>
          <w:rFonts w:ascii="Times New Roman" w:hAnsi="Times New Roman" w:cs="Times New Roman"/>
          <w:sz w:val="24"/>
          <w:szCs w:val="24"/>
        </w:rPr>
        <w:t>,</w:t>
      </w:r>
      <w:r w:rsidR="00176493">
        <w:rPr>
          <w:rFonts w:ascii="Times New Roman" w:hAnsi="Times New Roman" w:cs="Times New Roman"/>
          <w:sz w:val="24"/>
          <w:szCs w:val="24"/>
        </w:rPr>
        <w:t xml:space="preserve"> de acuerdo con las Convención de Viena, por lo que había destinado en su lugar a miembros armados de la Brigada del 17 de febrero -una milicia local que participó en las revuelas contra el régimen de Gadafi y fue entrenada por oficiales americanos- </w:t>
      </w:r>
      <w:sdt>
        <w:sdtPr>
          <w:rPr>
            <w:rFonts w:ascii="Times New Roman" w:hAnsi="Times New Roman" w:cs="Times New Roman"/>
            <w:sz w:val="24"/>
            <w:szCs w:val="24"/>
          </w:rPr>
          <w:id w:val="2078168481"/>
          <w:citation/>
        </w:sdtPr>
        <w:sdtContent>
          <w:r w:rsidR="00176493">
            <w:rPr>
              <w:rFonts w:ascii="Times New Roman" w:hAnsi="Times New Roman" w:cs="Times New Roman"/>
              <w:sz w:val="24"/>
              <w:szCs w:val="24"/>
            </w:rPr>
            <w:fldChar w:fldCharType="begin"/>
          </w:r>
          <w:r w:rsidR="00176493">
            <w:rPr>
              <w:rFonts w:ascii="Times New Roman" w:hAnsi="Times New Roman" w:cs="Times New Roman"/>
              <w:sz w:val="24"/>
              <w:szCs w:val="24"/>
            </w:rPr>
            <w:instrText xml:space="preserve"> CITATION Tie12 \l 3082 </w:instrText>
          </w:r>
          <w:r w:rsidR="00176493">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(Tiersky &amp; Epstein, 2012)</w:t>
          </w:r>
          <w:r w:rsidR="00176493">
            <w:rPr>
              <w:rFonts w:ascii="Times New Roman" w:hAnsi="Times New Roman" w:cs="Times New Roman"/>
              <w:sz w:val="24"/>
              <w:szCs w:val="24"/>
            </w:rPr>
            <w:fldChar w:fldCharType="end"/>
          </w:r>
        </w:sdtContent>
      </w:sdt>
      <w:r w:rsidR="00176493">
        <w:rPr>
          <w:rFonts w:ascii="Times New Roman" w:hAnsi="Times New Roman" w:cs="Times New Roman"/>
          <w:sz w:val="24"/>
          <w:szCs w:val="24"/>
        </w:rPr>
        <w:t xml:space="preserve">. </w:t>
      </w:r>
      <w:r w:rsidR="00A46166">
        <w:rPr>
          <w:rFonts w:ascii="Times New Roman" w:hAnsi="Times New Roman" w:cs="Times New Roman"/>
          <w:sz w:val="24"/>
          <w:szCs w:val="24"/>
        </w:rPr>
        <w:t>L</w:t>
      </w:r>
      <w:r w:rsidR="004333CF">
        <w:rPr>
          <w:rFonts w:ascii="Times New Roman" w:hAnsi="Times New Roman" w:cs="Times New Roman"/>
          <w:sz w:val="24"/>
          <w:szCs w:val="24"/>
        </w:rPr>
        <w:t>a obligación de protección no conoce límites y el Estado receptor será siempre responsable de los actos lesivos, aun habiendo dispuesto de todos los medios adecuados</w:t>
      </w:r>
      <w:r w:rsidR="00A46166">
        <w:rPr>
          <w:rFonts w:ascii="Times New Roman" w:hAnsi="Times New Roman" w:cs="Times New Roman"/>
          <w:sz w:val="24"/>
          <w:szCs w:val="24"/>
        </w:rPr>
        <w:t xml:space="preserve">. No obstante, </w:t>
      </w:r>
      <w:r w:rsidR="004333CF">
        <w:rPr>
          <w:rFonts w:ascii="Times New Roman" w:hAnsi="Times New Roman" w:cs="Times New Roman"/>
          <w:sz w:val="24"/>
          <w:szCs w:val="24"/>
        </w:rPr>
        <w:t>en este caso</w:t>
      </w:r>
      <w:r w:rsidR="00A46166">
        <w:rPr>
          <w:rFonts w:ascii="Times New Roman" w:hAnsi="Times New Roman" w:cs="Times New Roman"/>
          <w:sz w:val="24"/>
          <w:szCs w:val="24"/>
        </w:rPr>
        <w:t xml:space="preserve"> </w:t>
      </w:r>
      <w:r w:rsidR="004333CF">
        <w:rPr>
          <w:rFonts w:ascii="Times New Roman" w:hAnsi="Times New Roman" w:cs="Times New Roman"/>
          <w:sz w:val="24"/>
          <w:szCs w:val="24"/>
        </w:rPr>
        <w:t>Libia esta</w:t>
      </w:r>
      <w:r w:rsidR="00F77DCA">
        <w:rPr>
          <w:rFonts w:ascii="Times New Roman" w:hAnsi="Times New Roman" w:cs="Times New Roman"/>
          <w:sz w:val="24"/>
          <w:szCs w:val="24"/>
        </w:rPr>
        <w:t xml:space="preserve">ba </w:t>
      </w:r>
      <w:r w:rsidR="004333CF">
        <w:rPr>
          <w:rFonts w:ascii="Times New Roman" w:hAnsi="Times New Roman" w:cs="Times New Roman"/>
          <w:sz w:val="24"/>
          <w:szCs w:val="24"/>
        </w:rPr>
        <w:t>exonerada de esta obligación y de la consiguiente responsabilidad,</w:t>
      </w:r>
      <w:r w:rsidR="00A46166">
        <w:rPr>
          <w:rFonts w:ascii="Times New Roman" w:hAnsi="Times New Roman" w:cs="Times New Roman"/>
          <w:sz w:val="24"/>
          <w:szCs w:val="24"/>
        </w:rPr>
        <w:t xml:space="preserve"> porque</w:t>
      </w:r>
      <w:r w:rsidR="004333CF">
        <w:rPr>
          <w:rFonts w:ascii="Times New Roman" w:hAnsi="Times New Roman" w:cs="Times New Roman"/>
          <w:sz w:val="24"/>
          <w:szCs w:val="24"/>
        </w:rPr>
        <w:t xml:space="preserve"> había </w:t>
      </w:r>
      <w:r w:rsidR="00F77DCA">
        <w:rPr>
          <w:rFonts w:ascii="Times New Roman" w:hAnsi="Times New Roman" w:cs="Times New Roman"/>
          <w:sz w:val="24"/>
          <w:szCs w:val="24"/>
        </w:rPr>
        <w:t xml:space="preserve">expresado su incapacidad para asegurar los locales consulares. Por lo tanto, el Estado libio estaba exento de esta obligación, por lo que no existía la posibilidad de su incumplimiento. </w:t>
      </w:r>
      <w:r w:rsidR="00343D32">
        <w:rPr>
          <w:rFonts w:ascii="Times New Roman" w:hAnsi="Times New Roman" w:cs="Times New Roman"/>
          <w:sz w:val="24"/>
          <w:szCs w:val="24"/>
        </w:rPr>
        <w:t>En todo caso, es importante destacar que las inmunidades y privilegios de la misión diplomática y la oficina consular se otorgan frente al Estado, y no frente a grupos no estatales que atenten contra la seguridad de las dependencias diplomáticas y consulares.</w:t>
      </w:r>
    </w:p>
    <w:p w14:paraId="2BEB95DC" w14:textId="5B0AF1F5" w:rsidR="006B60C2" w:rsidRDefault="006B60C2" w:rsidP="00201333">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El ataque terrorista en el Consulado de Bengasi se caracteriza por darse una situación</w:t>
      </w:r>
      <w:r w:rsidR="004936B1">
        <w:rPr>
          <w:rFonts w:ascii="Times New Roman" w:hAnsi="Times New Roman" w:cs="Times New Roman"/>
          <w:sz w:val="24"/>
          <w:szCs w:val="24"/>
        </w:rPr>
        <w:t xml:space="preserve"> muy singular</w:t>
      </w:r>
      <w:r>
        <w:rPr>
          <w:rFonts w:ascii="Times New Roman" w:hAnsi="Times New Roman" w:cs="Times New Roman"/>
          <w:sz w:val="24"/>
          <w:szCs w:val="24"/>
        </w:rPr>
        <w:t xml:space="preserve">, ya que </w:t>
      </w:r>
      <w:r w:rsidR="00BC7437">
        <w:rPr>
          <w:rFonts w:ascii="Times New Roman" w:hAnsi="Times New Roman" w:cs="Times New Roman"/>
          <w:sz w:val="24"/>
          <w:szCs w:val="24"/>
        </w:rPr>
        <w:t xml:space="preserve">se dieron </w:t>
      </w:r>
      <w:r>
        <w:rPr>
          <w:rFonts w:ascii="Times New Roman" w:hAnsi="Times New Roman" w:cs="Times New Roman"/>
          <w:sz w:val="24"/>
          <w:szCs w:val="24"/>
        </w:rPr>
        <w:t xml:space="preserve">dos circunstancias de especial interés para el Derecho Diplomático y Consular. Por un lado, el asalto al consulado de Bengasí demuestra la incapacidad del Estado receptor para asegurar las oficinas consulares y evitar así cualquier agravio a la inviolabilidad de los locales consulares de acuerdo con el artículo 31 de la Convención de 1963. </w:t>
      </w:r>
      <w:r w:rsidR="0054647C">
        <w:rPr>
          <w:rFonts w:ascii="Times New Roman" w:hAnsi="Times New Roman" w:cs="Times New Roman"/>
          <w:sz w:val="24"/>
          <w:szCs w:val="24"/>
        </w:rPr>
        <w:t xml:space="preserve">Por otro lado, los sucesos de los días 11 y 12 de septiembre conllevaron la muerte del </w:t>
      </w:r>
      <w:r w:rsidR="00174511">
        <w:rPr>
          <w:rFonts w:ascii="Times New Roman" w:hAnsi="Times New Roman" w:cs="Times New Roman"/>
          <w:sz w:val="24"/>
          <w:szCs w:val="24"/>
        </w:rPr>
        <w:t>j</w:t>
      </w:r>
      <w:r w:rsidR="0054647C">
        <w:rPr>
          <w:rFonts w:ascii="Times New Roman" w:hAnsi="Times New Roman" w:cs="Times New Roman"/>
          <w:sz w:val="24"/>
          <w:szCs w:val="24"/>
        </w:rPr>
        <w:t xml:space="preserve">efe de la misión diplomática estadounidense en Libia por asfixia como resultado de la inhalación de humo durante el incendio en el Consulado de Bengasí. Esta última circunstancia evoca la incapacidad del Estado receptor no solo para proteger los locales consulares, sino también para evitar cualquier atentado contra la vida del personal diplomático, acorde con la inviolabilidad establecida en el artículo 29 de la Convención de Viena de 1961. </w:t>
      </w:r>
    </w:p>
    <w:p w14:paraId="33AA7FF4" w14:textId="6D05BDF7" w:rsidR="00692415" w:rsidRPr="00690885" w:rsidRDefault="0054647C" w:rsidP="00690885">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Las condiciones políticas de Estado receptor le hacían incapaz de cumplir con las obligaciones internacionales de las Convenciones de Viena de 1961 y 1963, en relación </w:t>
      </w:r>
      <w:r>
        <w:rPr>
          <w:rFonts w:ascii="Times New Roman" w:hAnsi="Times New Roman" w:cs="Times New Roman"/>
          <w:sz w:val="24"/>
          <w:szCs w:val="24"/>
        </w:rPr>
        <w:lastRenderedPageBreak/>
        <w:t>con la inviolabilidad del personal diplomátic</w:t>
      </w:r>
      <w:r w:rsidR="00174511">
        <w:rPr>
          <w:rFonts w:ascii="Times New Roman" w:hAnsi="Times New Roman" w:cs="Times New Roman"/>
          <w:sz w:val="24"/>
          <w:szCs w:val="24"/>
        </w:rPr>
        <w:t>o</w:t>
      </w:r>
      <w:r>
        <w:rPr>
          <w:rFonts w:ascii="Times New Roman" w:hAnsi="Times New Roman" w:cs="Times New Roman"/>
          <w:sz w:val="24"/>
          <w:szCs w:val="24"/>
        </w:rPr>
        <w:t xml:space="preserve"> y de los locales de las oficinas consulares. Esta incapacidad manifiesta obligaba a </w:t>
      </w:r>
      <w:r w:rsidR="00F77DCA">
        <w:rPr>
          <w:rFonts w:ascii="Times New Roman" w:hAnsi="Times New Roman" w:cs="Times New Roman"/>
          <w:sz w:val="24"/>
          <w:szCs w:val="24"/>
        </w:rPr>
        <w:t xml:space="preserve">Estados Unidos </w:t>
      </w:r>
      <w:r>
        <w:rPr>
          <w:rFonts w:ascii="Times New Roman" w:hAnsi="Times New Roman" w:cs="Times New Roman"/>
          <w:sz w:val="24"/>
          <w:szCs w:val="24"/>
        </w:rPr>
        <w:t>a</w:t>
      </w:r>
      <w:r w:rsidR="00F77DCA">
        <w:rPr>
          <w:rFonts w:ascii="Times New Roman" w:hAnsi="Times New Roman" w:cs="Times New Roman"/>
          <w:sz w:val="24"/>
          <w:szCs w:val="24"/>
        </w:rPr>
        <w:t xml:space="preserve"> ser consciente del riesgo que suponía no solo el establecimiento de la oficina consular en Bengas</w:t>
      </w:r>
      <w:r w:rsidR="00174511">
        <w:rPr>
          <w:rFonts w:ascii="Times New Roman" w:hAnsi="Times New Roman" w:cs="Times New Roman"/>
          <w:sz w:val="24"/>
          <w:szCs w:val="24"/>
        </w:rPr>
        <w:t>i</w:t>
      </w:r>
      <w:r w:rsidR="00F77DCA">
        <w:rPr>
          <w:rFonts w:ascii="Times New Roman" w:hAnsi="Times New Roman" w:cs="Times New Roman"/>
          <w:sz w:val="24"/>
          <w:szCs w:val="24"/>
        </w:rPr>
        <w:t>, sino también de la misión diplomática en Trípoli</w:t>
      </w:r>
      <w:r>
        <w:rPr>
          <w:rFonts w:ascii="Times New Roman" w:hAnsi="Times New Roman" w:cs="Times New Roman"/>
          <w:sz w:val="24"/>
          <w:szCs w:val="24"/>
        </w:rPr>
        <w:t>; así como de asegurar las vidas de su personal diplomático y consular</w:t>
      </w:r>
      <w:r w:rsidR="00F77DCA">
        <w:rPr>
          <w:rFonts w:ascii="Times New Roman" w:hAnsi="Times New Roman" w:cs="Times New Roman"/>
          <w:sz w:val="24"/>
          <w:szCs w:val="24"/>
        </w:rPr>
        <w:t xml:space="preserve">. En situaciones de inestabilidad política e inseguridad </w:t>
      </w:r>
      <w:r w:rsidR="00BB02EC">
        <w:rPr>
          <w:rFonts w:ascii="Times New Roman" w:hAnsi="Times New Roman" w:cs="Times New Roman"/>
          <w:sz w:val="24"/>
          <w:szCs w:val="24"/>
        </w:rPr>
        <w:t xml:space="preserve">del Estado receptor, </w:t>
      </w:r>
      <w:r w:rsidR="00F77DCA">
        <w:rPr>
          <w:rFonts w:ascii="Times New Roman" w:hAnsi="Times New Roman" w:cs="Times New Roman"/>
          <w:sz w:val="24"/>
          <w:szCs w:val="24"/>
        </w:rPr>
        <w:t>como era el caso de Libia</w:t>
      </w:r>
      <w:r w:rsidR="002364F4">
        <w:rPr>
          <w:rFonts w:ascii="Times New Roman" w:hAnsi="Times New Roman" w:cs="Times New Roman"/>
          <w:sz w:val="24"/>
          <w:szCs w:val="24"/>
        </w:rPr>
        <w:t xml:space="preserve">, </w:t>
      </w:r>
      <w:r w:rsidR="00BB02EC">
        <w:rPr>
          <w:rFonts w:ascii="Times New Roman" w:hAnsi="Times New Roman" w:cs="Times New Roman"/>
          <w:sz w:val="24"/>
          <w:szCs w:val="24"/>
        </w:rPr>
        <w:t xml:space="preserve">será el Estado acreditante quien deberá decir sobre el mantenimiento de la misión o la oficina, sin perjuicio de que tendrá que correr los peligros que ello supone y establecer las medidas necesarias para su protección. </w:t>
      </w:r>
    </w:p>
    <w:p w14:paraId="6C881F19" w14:textId="1AD3E2F9" w:rsidR="0027604A" w:rsidRDefault="0027604A" w:rsidP="004936B1">
      <w:pPr>
        <w:pStyle w:val="Ttulo3"/>
        <w:numPr>
          <w:ilvl w:val="2"/>
          <w:numId w:val="1"/>
        </w:numPr>
        <w:spacing w:line="360" w:lineRule="auto"/>
        <w:jc w:val="both"/>
        <w:rPr>
          <w:rFonts w:ascii="Times New Roman" w:hAnsi="Times New Roman" w:cs="Times New Roman"/>
          <w:sz w:val="28"/>
          <w:szCs w:val="28"/>
        </w:rPr>
      </w:pPr>
      <w:bookmarkStart w:id="37" w:name="_Toc65498628"/>
      <w:r w:rsidRPr="00200AC2">
        <w:rPr>
          <w:rFonts w:ascii="Times New Roman" w:hAnsi="Times New Roman" w:cs="Times New Roman"/>
          <w:sz w:val="28"/>
          <w:szCs w:val="28"/>
        </w:rPr>
        <w:t>Responsabilidad Internacional de Libia</w:t>
      </w:r>
      <w:bookmarkEnd w:id="37"/>
    </w:p>
    <w:p w14:paraId="1D34963F" w14:textId="4E0E411C" w:rsidR="004936B1" w:rsidRDefault="004936B1" w:rsidP="004936B1">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No será necesario analiza la cuestión de la responsabilidad internacional del Estado receptor por hechos internacionalmente ilícitos según el esquema realizado en los casos anteriores, ya que como se ha expresados el Estado libio manifestó su incapacidad para cumplir las obligaciones de protección de los locales consulares por lo que el Estado acreditante debería decir sobre el mantenimiento de la oficina con especial atención a los riesgos que ello suponía. </w:t>
      </w:r>
    </w:p>
    <w:p w14:paraId="6845A2AE" w14:textId="5C78909C" w:rsidR="003B1367" w:rsidRDefault="00DD3C68" w:rsidP="004936B1">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Sin embargo</w:t>
      </w:r>
      <w:r w:rsidR="004936B1">
        <w:rPr>
          <w:rFonts w:ascii="Times New Roman" w:hAnsi="Times New Roman" w:cs="Times New Roman"/>
          <w:sz w:val="24"/>
          <w:szCs w:val="24"/>
        </w:rPr>
        <w:t xml:space="preserve">, </w:t>
      </w:r>
      <w:r w:rsidR="00A42C18">
        <w:rPr>
          <w:rFonts w:ascii="Times New Roman" w:hAnsi="Times New Roman" w:cs="Times New Roman"/>
          <w:sz w:val="24"/>
          <w:szCs w:val="24"/>
        </w:rPr>
        <w:t xml:space="preserve">este aspecto merece ser tratado desde el punto de vista de la responsabilidad internacional de un Estado “fallido” o “débil”, cuya principal característica es la ausencia de una capacidad efectiva del gobierno. </w:t>
      </w:r>
      <w:r>
        <w:rPr>
          <w:rFonts w:ascii="Times New Roman" w:hAnsi="Times New Roman" w:cs="Times New Roman"/>
          <w:sz w:val="24"/>
          <w:szCs w:val="24"/>
        </w:rPr>
        <w:t>E</w:t>
      </w:r>
      <w:r w:rsidR="00A42C18">
        <w:rPr>
          <w:rFonts w:ascii="Times New Roman" w:hAnsi="Times New Roman" w:cs="Times New Roman"/>
          <w:sz w:val="24"/>
          <w:szCs w:val="24"/>
        </w:rPr>
        <w:t xml:space="preserve">l Estado no tendrá el monopolio sobre el uso legítimo de la </w:t>
      </w:r>
      <w:r w:rsidR="00174511">
        <w:rPr>
          <w:rFonts w:ascii="Times New Roman" w:hAnsi="Times New Roman" w:cs="Times New Roman"/>
          <w:sz w:val="24"/>
          <w:szCs w:val="24"/>
        </w:rPr>
        <w:t xml:space="preserve">fuerza </w:t>
      </w:r>
      <w:r w:rsidR="00A42C18">
        <w:rPr>
          <w:rFonts w:ascii="Times New Roman" w:hAnsi="Times New Roman" w:cs="Times New Roman"/>
          <w:sz w:val="24"/>
          <w:szCs w:val="24"/>
        </w:rPr>
        <w:t>dentro de sus límites territoriales</w:t>
      </w:r>
      <w:r>
        <w:rPr>
          <w:rFonts w:ascii="Times New Roman" w:hAnsi="Times New Roman" w:cs="Times New Roman"/>
          <w:sz w:val="24"/>
          <w:szCs w:val="24"/>
        </w:rPr>
        <w:t>, por lo que no será competente para salvaguardar la coexistencia pacífica debido a que tampoco es capaz de conseguir la obediencia e imponer su voluntad dentro de un grupo</w:t>
      </w:r>
      <w:sdt>
        <w:sdtPr>
          <w:rPr>
            <w:rFonts w:ascii="Times New Roman" w:hAnsi="Times New Roman" w:cs="Times New Roman"/>
            <w:sz w:val="24"/>
            <w:szCs w:val="24"/>
          </w:rPr>
          <w:id w:val="-1704705116"/>
          <w:citation/>
        </w:sdtPr>
        <w:sdtContent>
          <w:r w:rsidR="008D5ECF">
            <w:rPr>
              <w:rFonts w:ascii="Times New Roman" w:hAnsi="Times New Roman" w:cs="Times New Roman"/>
              <w:sz w:val="24"/>
              <w:szCs w:val="24"/>
            </w:rPr>
            <w:fldChar w:fldCharType="begin"/>
          </w:r>
          <w:r w:rsidR="00AD5915">
            <w:rPr>
              <w:rFonts w:ascii="Times New Roman" w:hAnsi="Times New Roman" w:cs="Times New Roman"/>
              <w:sz w:val="24"/>
              <w:szCs w:val="24"/>
            </w:rPr>
            <w:instrText xml:space="preserve">CITATION Alo03 \p 201-203 \l 3082 </w:instrText>
          </w:r>
          <w:r w:rsidR="008D5ECF">
            <w:rPr>
              <w:rFonts w:ascii="Times New Roman" w:hAnsi="Times New Roman" w:cs="Times New Roman"/>
              <w:sz w:val="24"/>
              <w:szCs w:val="24"/>
            </w:rPr>
            <w:fldChar w:fldCharType="separate"/>
          </w:r>
          <w:r w:rsidR="00246FA0">
            <w:rPr>
              <w:rFonts w:ascii="Times New Roman" w:hAnsi="Times New Roman" w:cs="Times New Roman"/>
              <w:noProof/>
              <w:sz w:val="24"/>
              <w:szCs w:val="24"/>
            </w:rPr>
            <w:t xml:space="preserve"> </w:t>
          </w:r>
          <w:r w:rsidR="00246FA0" w:rsidRPr="00246FA0">
            <w:rPr>
              <w:rFonts w:ascii="Times New Roman" w:hAnsi="Times New Roman" w:cs="Times New Roman"/>
              <w:noProof/>
              <w:sz w:val="24"/>
              <w:szCs w:val="24"/>
            </w:rPr>
            <w:t>(Alonso Berrio, 2003, págs. 201-203)</w:t>
          </w:r>
          <w:r w:rsidR="008D5ECF">
            <w:rPr>
              <w:rFonts w:ascii="Times New Roman" w:hAnsi="Times New Roman" w:cs="Times New Roman"/>
              <w:sz w:val="24"/>
              <w:szCs w:val="24"/>
            </w:rPr>
            <w:fldChar w:fldCharType="end"/>
          </w:r>
        </w:sdtContent>
      </w:sdt>
      <w:r>
        <w:rPr>
          <w:rFonts w:ascii="Times New Roman" w:hAnsi="Times New Roman" w:cs="Times New Roman"/>
          <w:sz w:val="24"/>
          <w:szCs w:val="24"/>
        </w:rPr>
        <w:t xml:space="preserve">. El Estado libio carecía </w:t>
      </w:r>
      <w:r w:rsidR="003B1367">
        <w:rPr>
          <w:rFonts w:ascii="Times New Roman" w:hAnsi="Times New Roman" w:cs="Times New Roman"/>
          <w:sz w:val="24"/>
          <w:szCs w:val="24"/>
        </w:rPr>
        <w:t xml:space="preserve">de capacidad efectiva de gobierno, pues no podía garantizar la protección de los locales consulares, ni estaba capacitado para controlar las diferentes facciones y milicias que componían las fuerzas opositoras al régimen de Gadafi. </w:t>
      </w:r>
    </w:p>
    <w:p w14:paraId="13E4B96C" w14:textId="4BB12527" w:rsidR="004936B1" w:rsidRDefault="003B1367" w:rsidP="004936B1">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Esta falta de un gobierno efectivo que se distingue por su ausencia de control sobre la población -especialmente los grupos armados-</w:t>
      </w:r>
      <w:r w:rsidR="008F6B60">
        <w:rPr>
          <w:rFonts w:ascii="Times New Roman" w:hAnsi="Times New Roman" w:cs="Times New Roman"/>
          <w:sz w:val="24"/>
          <w:szCs w:val="24"/>
        </w:rPr>
        <w:t xml:space="preserve"> excluye </w:t>
      </w:r>
      <w:r w:rsidR="00BC7437">
        <w:rPr>
          <w:rFonts w:ascii="Times New Roman" w:hAnsi="Times New Roman" w:cs="Times New Roman"/>
          <w:sz w:val="24"/>
          <w:szCs w:val="24"/>
        </w:rPr>
        <w:t>la</w:t>
      </w:r>
      <w:r w:rsidR="008F6B60">
        <w:rPr>
          <w:rFonts w:ascii="Times New Roman" w:hAnsi="Times New Roman" w:cs="Times New Roman"/>
          <w:sz w:val="24"/>
          <w:szCs w:val="24"/>
        </w:rPr>
        <w:t xml:space="preserve"> atribución de cualquier responsabilidad, pues será de aplicación la causa de exclusión de ilicitud del artículo 23 del Proyecto de Artículos: </w:t>
      </w:r>
    </w:p>
    <w:p w14:paraId="76D9B684" w14:textId="46722E4E" w:rsidR="008F6B60" w:rsidRDefault="008F6B60" w:rsidP="000F3056">
      <w:pPr>
        <w:spacing w:line="276" w:lineRule="auto"/>
        <w:ind w:left="709" w:firstLine="709"/>
        <w:jc w:val="both"/>
        <w:rPr>
          <w:rFonts w:ascii="Times New Roman" w:hAnsi="Times New Roman" w:cs="Times New Roman"/>
          <w:i/>
          <w:iCs/>
        </w:rPr>
      </w:pPr>
      <w:r>
        <w:rPr>
          <w:rFonts w:ascii="Times New Roman" w:hAnsi="Times New Roman" w:cs="Times New Roman"/>
          <w:i/>
          <w:iCs/>
        </w:rPr>
        <w:t xml:space="preserve">“1. </w:t>
      </w:r>
      <w:r w:rsidRPr="008F6B60">
        <w:rPr>
          <w:rFonts w:ascii="Times New Roman" w:hAnsi="Times New Roman" w:cs="Times New Roman"/>
          <w:i/>
          <w:iCs/>
        </w:rPr>
        <w:t xml:space="preserve">La ilicitud del hecho de un Estado que no esté en conformidad con una obligación internacional de ese Estado queda excluida si ese hecho se debe a una fuerza mayor, es decir, a una fuerza irresistible o un acontecimiento imprevisto, ajenos al control del Estado, que hacen materialmente imposible en las circunstancias del caso, </w:t>
      </w:r>
      <w:r w:rsidRPr="008F6B60">
        <w:rPr>
          <w:rFonts w:ascii="Times New Roman" w:hAnsi="Times New Roman" w:cs="Times New Roman"/>
          <w:i/>
          <w:iCs/>
        </w:rPr>
        <w:lastRenderedPageBreak/>
        <w:t>cumplir la obligación</w:t>
      </w:r>
      <w:r>
        <w:rPr>
          <w:rFonts w:ascii="Times New Roman" w:hAnsi="Times New Roman" w:cs="Times New Roman"/>
          <w:i/>
          <w:iCs/>
        </w:rPr>
        <w:t>.”</w:t>
      </w:r>
      <w:r w:rsidR="00920568">
        <w:rPr>
          <w:rStyle w:val="Refdenotaalpie"/>
          <w:rFonts w:ascii="Times New Roman" w:hAnsi="Times New Roman" w:cs="Times New Roman"/>
          <w:i/>
          <w:iCs/>
        </w:rPr>
        <w:footnoteReference w:id="37"/>
      </w:r>
    </w:p>
    <w:p w14:paraId="06286A6B" w14:textId="6E404418" w:rsidR="00477FA9" w:rsidRPr="002C12BD" w:rsidRDefault="00233B7D" w:rsidP="00690885">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L</w:t>
      </w:r>
      <w:r w:rsidR="008F6B60">
        <w:rPr>
          <w:rFonts w:ascii="Times New Roman" w:hAnsi="Times New Roman" w:cs="Times New Roman"/>
          <w:sz w:val="24"/>
          <w:szCs w:val="24"/>
        </w:rPr>
        <w:t xml:space="preserve">a imposibilidad material del Estado para cumplir con sus obligaciones internacionales, en este caso su obligación especial de protección de los locales consulares; le excluye de cualquier responsabilidad, ya que el Estado “fallido” pese a seguir siendo un Estado deja de actuar plenamente en la comunidad internacional </w:t>
      </w:r>
      <w:sdt>
        <w:sdtPr>
          <w:rPr>
            <w:rFonts w:ascii="Times New Roman" w:hAnsi="Times New Roman" w:cs="Times New Roman"/>
            <w:sz w:val="24"/>
            <w:szCs w:val="24"/>
          </w:rPr>
          <w:id w:val="-1720667446"/>
          <w:citation/>
        </w:sdtPr>
        <w:sdtContent>
          <w:r w:rsidR="008F6B60">
            <w:rPr>
              <w:rFonts w:ascii="Times New Roman" w:hAnsi="Times New Roman" w:cs="Times New Roman"/>
              <w:sz w:val="24"/>
              <w:szCs w:val="24"/>
            </w:rPr>
            <w:fldChar w:fldCharType="begin"/>
          </w:r>
          <w:r w:rsidR="008F6B60">
            <w:rPr>
              <w:rFonts w:ascii="Times New Roman" w:hAnsi="Times New Roman" w:cs="Times New Roman"/>
              <w:sz w:val="24"/>
              <w:szCs w:val="24"/>
            </w:rPr>
            <w:instrText xml:space="preserve"> CITATION Lóp11 \l 3082 </w:instrText>
          </w:r>
          <w:r w:rsidR="008F6B60">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(López Martín, 2011)</w:t>
          </w:r>
          <w:r w:rsidR="008F6B60">
            <w:rPr>
              <w:rFonts w:ascii="Times New Roman" w:hAnsi="Times New Roman" w:cs="Times New Roman"/>
              <w:sz w:val="24"/>
              <w:szCs w:val="24"/>
            </w:rPr>
            <w:fldChar w:fldCharType="end"/>
          </w:r>
        </w:sdtContent>
      </w:sdt>
      <w:r>
        <w:rPr>
          <w:rFonts w:ascii="Times New Roman" w:hAnsi="Times New Roman" w:cs="Times New Roman"/>
          <w:sz w:val="24"/>
          <w:szCs w:val="24"/>
        </w:rPr>
        <w:t xml:space="preserve">. Por consiguiente, si Libia no hubiese expresado su incapacidad para cumplir con las obligaciones de las Convenciones de Viena de 1961 y 1963 sobre la inviolabilidad de los locales de la misiones diplomáticas y de las oficinas consulares, seguiría exento de la responsabilidad internacional por incumplimiento de su obligación especial de protección, puesto que los ataques terroristas representaron un acontecimiento imprevisto ajeno al control del Estado, que era incapaz de ejercer el monopolio de la </w:t>
      </w:r>
      <w:r w:rsidR="00174511">
        <w:rPr>
          <w:rFonts w:ascii="Times New Roman" w:hAnsi="Times New Roman" w:cs="Times New Roman"/>
          <w:sz w:val="24"/>
          <w:szCs w:val="24"/>
        </w:rPr>
        <w:t>fuerza</w:t>
      </w:r>
      <w:r>
        <w:rPr>
          <w:rFonts w:ascii="Times New Roman" w:hAnsi="Times New Roman" w:cs="Times New Roman"/>
          <w:sz w:val="24"/>
          <w:szCs w:val="24"/>
        </w:rPr>
        <w:t xml:space="preserve"> sobre su población con el fin de salvaguardar la convivencia pacífica. </w:t>
      </w:r>
    </w:p>
    <w:p w14:paraId="7A1E6AB6" w14:textId="32887A97" w:rsidR="0027604A" w:rsidRDefault="0027604A" w:rsidP="0027604A">
      <w:pPr>
        <w:pStyle w:val="Ttulo3"/>
        <w:numPr>
          <w:ilvl w:val="2"/>
          <w:numId w:val="1"/>
        </w:numPr>
        <w:spacing w:line="360" w:lineRule="auto"/>
        <w:rPr>
          <w:rFonts w:ascii="Times New Roman" w:hAnsi="Times New Roman" w:cs="Times New Roman"/>
          <w:sz w:val="28"/>
          <w:szCs w:val="28"/>
        </w:rPr>
      </w:pPr>
      <w:bookmarkStart w:id="38" w:name="_Toc65498629"/>
      <w:r w:rsidRPr="00200AC2">
        <w:rPr>
          <w:rFonts w:ascii="Times New Roman" w:hAnsi="Times New Roman" w:cs="Times New Roman"/>
          <w:sz w:val="28"/>
          <w:szCs w:val="28"/>
        </w:rPr>
        <w:t>Consecuencias políticas y jurídicas</w:t>
      </w:r>
      <w:bookmarkEnd w:id="38"/>
    </w:p>
    <w:p w14:paraId="38D3CFC4" w14:textId="7A8FEB35" w:rsidR="00233B7D" w:rsidRDefault="002C12BD" w:rsidP="002C12B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El ataque terrorista al Consulado estadounidense ha sido especialmente significativo para </w:t>
      </w:r>
      <w:r w:rsidR="00BC7437">
        <w:rPr>
          <w:rFonts w:ascii="Times New Roman" w:hAnsi="Times New Roman" w:cs="Times New Roman"/>
          <w:sz w:val="24"/>
          <w:szCs w:val="24"/>
        </w:rPr>
        <w:t xml:space="preserve">las </w:t>
      </w:r>
      <w:r>
        <w:rPr>
          <w:rFonts w:ascii="Times New Roman" w:hAnsi="Times New Roman" w:cs="Times New Roman"/>
          <w:sz w:val="24"/>
          <w:szCs w:val="24"/>
        </w:rPr>
        <w:t xml:space="preserve">relaciones diplomáticas y consulares del país norteamericano, ya que supuso en verdadero revés en la política internacional de la Administración Obama posterior a la primavera árabe. </w:t>
      </w:r>
    </w:p>
    <w:p w14:paraId="06B9E13D" w14:textId="7AA44E3B" w:rsidR="002C12BD" w:rsidRDefault="002C12BD" w:rsidP="004169A9">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PRIMERO, </w:t>
      </w:r>
      <w:r w:rsidR="004169A9">
        <w:rPr>
          <w:rFonts w:ascii="Times New Roman" w:hAnsi="Times New Roman" w:cs="Times New Roman"/>
          <w:sz w:val="24"/>
          <w:szCs w:val="24"/>
        </w:rPr>
        <w:t>Estados Unidos había restablecido su misión diplomática en Trípoli y su oficina consular en Bengasi en julio de 2011, tras haber evacuado su personal y confiar sus intereses a la delegación de Hungría en febrero del mismo año. El objetivo principal era expresar su apoyo al Consejo Nacional de la Transición como gobierno legítimo de Libia para democratizar y restablecer las instituciones del país. El ataque terrorista en el Consulado, que resultó especialmente doloroso debido a la muerte del Embajador Stevens</w:t>
      </w:r>
      <w:r w:rsidR="00BC7437">
        <w:rPr>
          <w:rFonts w:ascii="Times New Roman" w:hAnsi="Times New Roman" w:cs="Times New Roman"/>
          <w:sz w:val="24"/>
          <w:szCs w:val="24"/>
        </w:rPr>
        <w:t xml:space="preserve"> y del resto del personal</w:t>
      </w:r>
      <w:r w:rsidR="004169A9">
        <w:rPr>
          <w:rFonts w:ascii="Times New Roman" w:hAnsi="Times New Roman" w:cs="Times New Roman"/>
          <w:sz w:val="24"/>
          <w:szCs w:val="24"/>
        </w:rPr>
        <w:t>; hizo latente el contexto de inestabilidad política e inseguridad pese a los esfuerzos estadounidenses para reconducir la situación en el país. Asimismo, el caso de Bengas</w:t>
      </w:r>
      <w:r w:rsidR="00174511">
        <w:rPr>
          <w:rFonts w:ascii="Times New Roman" w:hAnsi="Times New Roman" w:cs="Times New Roman"/>
          <w:sz w:val="24"/>
          <w:szCs w:val="24"/>
        </w:rPr>
        <w:t>i</w:t>
      </w:r>
      <w:r w:rsidR="004169A9">
        <w:rPr>
          <w:rFonts w:ascii="Times New Roman" w:hAnsi="Times New Roman" w:cs="Times New Roman"/>
          <w:sz w:val="24"/>
          <w:szCs w:val="24"/>
        </w:rPr>
        <w:t xml:space="preserve"> trascendió en la política americana, ya que sucedió en plena campaña electoral de las elecciones presidenciales de 2012 y se convirtió en una cuestión de gran relevancia en las elecciones de 2016, dado que Hillary Clinton había sido </w:t>
      </w:r>
      <w:r w:rsidR="00070A43">
        <w:rPr>
          <w:rFonts w:ascii="Times New Roman" w:hAnsi="Times New Roman" w:cs="Times New Roman"/>
          <w:sz w:val="24"/>
          <w:szCs w:val="24"/>
        </w:rPr>
        <w:t xml:space="preserve">la Secretaria de Estado en ese momento, aunque las investigaciones por parte del Congreso no responsabilizaron a la candidata demócrata por los sucesos en Bengasi </w:t>
      </w:r>
      <w:sdt>
        <w:sdtPr>
          <w:rPr>
            <w:rFonts w:ascii="Times New Roman" w:hAnsi="Times New Roman" w:cs="Times New Roman"/>
            <w:sz w:val="24"/>
            <w:szCs w:val="24"/>
          </w:rPr>
          <w:id w:val="-1939056560"/>
          <w:citation/>
        </w:sdtPr>
        <w:sdtContent>
          <w:r w:rsidR="00070A43">
            <w:rPr>
              <w:rFonts w:ascii="Times New Roman" w:hAnsi="Times New Roman" w:cs="Times New Roman"/>
              <w:sz w:val="24"/>
              <w:szCs w:val="24"/>
            </w:rPr>
            <w:fldChar w:fldCharType="begin"/>
          </w:r>
          <w:r w:rsidR="00070A43">
            <w:rPr>
              <w:rFonts w:ascii="Times New Roman" w:hAnsi="Times New Roman" w:cs="Times New Roman"/>
              <w:sz w:val="24"/>
              <w:szCs w:val="24"/>
            </w:rPr>
            <w:instrText xml:space="preserve"> CITATION Her16 \l 3082 </w:instrText>
          </w:r>
          <w:r w:rsidR="00070A43">
            <w:rPr>
              <w:rFonts w:ascii="Times New Roman" w:hAnsi="Times New Roman" w:cs="Times New Roman"/>
              <w:sz w:val="24"/>
              <w:szCs w:val="24"/>
            </w:rPr>
            <w:fldChar w:fldCharType="separate"/>
          </w:r>
          <w:r w:rsidR="00246FA0" w:rsidRPr="00246FA0">
            <w:rPr>
              <w:rFonts w:ascii="Times New Roman" w:hAnsi="Times New Roman" w:cs="Times New Roman"/>
              <w:noProof/>
              <w:sz w:val="24"/>
              <w:szCs w:val="24"/>
            </w:rPr>
            <w:t>(Herszenhorn, 2016)</w:t>
          </w:r>
          <w:r w:rsidR="00070A43">
            <w:rPr>
              <w:rFonts w:ascii="Times New Roman" w:hAnsi="Times New Roman" w:cs="Times New Roman"/>
              <w:sz w:val="24"/>
              <w:szCs w:val="24"/>
            </w:rPr>
            <w:fldChar w:fldCharType="end"/>
          </w:r>
        </w:sdtContent>
      </w:sdt>
      <w:r w:rsidR="00070A43">
        <w:rPr>
          <w:rFonts w:ascii="Times New Roman" w:hAnsi="Times New Roman" w:cs="Times New Roman"/>
          <w:sz w:val="24"/>
          <w:szCs w:val="24"/>
        </w:rPr>
        <w:t>.</w:t>
      </w:r>
    </w:p>
    <w:p w14:paraId="206D7011" w14:textId="53D18774" w:rsidR="00070A43" w:rsidRDefault="00B91BF0" w:rsidP="00BC7437">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SEGUNDO</w:t>
      </w:r>
      <w:r w:rsidR="00070A43">
        <w:rPr>
          <w:rFonts w:ascii="Times New Roman" w:hAnsi="Times New Roman" w:cs="Times New Roman"/>
          <w:sz w:val="24"/>
          <w:szCs w:val="24"/>
        </w:rPr>
        <w:t xml:space="preserve">, </w:t>
      </w:r>
      <w:r w:rsidR="006C2531">
        <w:rPr>
          <w:rFonts w:ascii="Times New Roman" w:hAnsi="Times New Roman" w:cs="Times New Roman"/>
          <w:sz w:val="24"/>
          <w:szCs w:val="24"/>
        </w:rPr>
        <w:t>los autores del ataque terrorista en Bengasi siguen impunes por sus acciones, pues resulta especialmente difícil llevar a cabo una investigación en un país de estas características</w:t>
      </w:r>
      <w:r w:rsidR="00BC7437">
        <w:rPr>
          <w:rFonts w:ascii="Times New Roman" w:hAnsi="Times New Roman" w:cs="Times New Roman"/>
          <w:sz w:val="24"/>
          <w:szCs w:val="24"/>
        </w:rPr>
        <w:t xml:space="preserve"> sin </w:t>
      </w:r>
      <w:r w:rsidR="006C2531">
        <w:rPr>
          <w:rFonts w:ascii="Times New Roman" w:hAnsi="Times New Roman" w:cs="Times New Roman"/>
          <w:sz w:val="24"/>
          <w:szCs w:val="24"/>
        </w:rPr>
        <w:t xml:space="preserve">instituciones </w:t>
      </w:r>
      <w:r w:rsidR="009F30F4">
        <w:rPr>
          <w:rFonts w:ascii="Times New Roman" w:hAnsi="Times New Roman" w:cs="Times New Roman"/>
          <w:sz w:val="24"/>
          <w:szCs w:val="24"/>
        </w:rPr>
        <w:t>capacitadas para depurar responsabilidades</w:t>
      </w:r>
      <w:r w:rsidR="006C2531">
        <w:rPr>
          <w:rFonts w:ascii="Times New Roman" w:hAnsi="Times New Roman" w:cs="Times New Roman"/>
          <w:sz w:val="24"/>
          <w:szCs w:val="24"/>
        </w:rPr>
        <w:t xml:space="preserve"> </w:t>
      </w:r>
      <w:r w:rsidR="009F30F4">
        <w:rPr>
          <w:rFonts w:ascii="Times New Roman" w:hAnsi="Times New Roman" w:cs="Times New Roman"/>
          <w:sz w:val="24"/>
          <w:szCs w:val="24"/>
        </w:rPr>
        <w:t xml:space="preserve">por este tipo de acontecimientos. La única salvedad a la impunidad de los perpetradores del atentado terrorista fue el juicio a Ahmed Abu </w:t>
      </w:r>
      <w:proofErr w:type="spellStart"/>
      <w:r w:rsidR="009F30F4">
        <w:rPr>
          <w:rFonts w:ascii="Times New Roman" w:hAnsi="Times New Roman" w:cs="Times New Roman"/>
          <w:sz w:val="24"/>
          <w:szCs w:val="24"/>
        </w:rPr>
        <w:t>Khat</w:t>
      </w:r>
      <w:r w:rsidR="00303937">
        <w:rPr>
          <w:rFonts w:ascii="Times New Roman" w:hAnsi="Times New Roman" w:cs="Times New Roman"/>
          <w:sz w:val="24"/>
          <w:szCs w:val="24"/>
        </w:rPr>
        <w:t>t</w:t>
      </w:r>
      <w:r w:rsidR="009F30F4">
        <w:rPr>
          <w:rFonts w:ascii="Times New Roman" w:hAnsi="Times New Roman" w:cs="Times New Roman"/>
          <w:sz w:val="24"/>
          <w:szCs w:val="24"/>
        </w:rPr>
        <w:t>ala</w:t>
      </w:r>
      <w:proofErr w:type="spellEnd"/>
      <w:r w:rsidR="009F30F4">
        <w:rPr>
          <w:rFonts w:ascii="Times New Roman" w:hAnsi="Times New Roman" w:cs="Times New Roman"/>
          <w:sz w:val="24"/>
          <w:szCs w:val="24"/>
        </w:rPr>
        <w:t xml:space="preserve">, un </w:t>
      </w:r>
      <w:r w:rsidR="00303937">
        <w:rPr>
          <w:rFonts w:ascii="Times New Roman" w:hAnsi="Times New Roman" w:cs="Times New Roman"/>
          <w:sz w:val="24"/>
          <w:szCs w:val="24"/>
        </w:rPr>
        <w:t>extremista islámico que fue identificado por varios testigos en la zona; que fue condenado a 22 años de cárcel en Washington D.C. por conspiración y tráfico de armas</w:t>
      </w:r>
      <w:r w:rsidR="00BC7437">
        <w:rPr>
          <w:rFonts w:ascii="Times New Roman" w:hAnsi="Times New Roman" w:cs="Times New Roman"/>
          <w:sz w:val="24"/>
          <w:szCs w:val="24"/>
        </w:rPr>
        <w:t>. Este</w:t>
      </w:r>
      <w:r w:rsidR="00303937">
        <w:rPr>
          <w:rFonts w:ascii="Times New Roman" w:hAnsi="Times New Roman" w:cs="Times New Roman"/>
          <w:sz w:val="24"/>
          <w:szCs w:val="24"/>
        </w:rPr>
        <w:t xml:space="preserve"> fue absuelto de los cargos de asesinato de los cuatro estadounidenses que fallecieron en el ataque al consulado</w:t>
      </w:r>
      <w:sdt>
        <w:sdtPr>
          <w:rPr>
            <w:rFonts w:ascii="Times New Roman" w:hAnsi="Times New Roman" w:cs="Times New Roman"/>
            <w:sz w:val="24"/>
            <w:szCs w:val="24"/>
          </w:rPr>
          <w:id w:val="88845633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Hsu18 \l 3082 </w:instrText>
          </w:r>
          <w:r>
            <w:rPr>
              <w:rFonts w:ascii="Times New Roman" w:hAnsi="Times New Roman" w:cs="Times New Roman"/>
              <w:sz w:val="24"/>
              <w:szCs w:val="24"/>
            </w:rPr>
            <w:fldChar w:fldCharType="separate"/>
          </w:r>
          <w:r w:rsidR="00246FA0">
            <w:rPr>
              <w:rFonts w:ascii="Times New Roman" w:hAnsi="Times New Roman" w:cs="Times New Roman"/>
              <w:noProof/>
              <w:sz w:val="24"/>
              <w:szCs w:val="24"/>
            </w:rPr>
            <w:t xml:space="preserve"> </w:t>
          </w:r>
          <w:r w:rsidR="00246FA0" w:rsidRPr="00246FA0">
            <w:rPr>
              <w:rFonts w:ascii="Times New Roman" w:hAnsi="Times New Roman" w:cs="Times New Roman"/>
              <w:noProof/>
              <w:sz w:val="24"/>
              <w:szCs w:val="24"/>
            </w:rPr>
            <w:t>(Hsu, 2018)</w:t>
          </w:r>
          <w:r>
            <w:rPr>
              <w:rFonts w:ascii="Times New Roman" w:hAnsi="Times New Roman" w:cs="Times New Roman"/>
              <w:sz w:val="24"/>
              <w:szCs w:val="24"/>
            </w:rPr>
            <w:fldChar w:fldCharType="end"/>
          </w:r>
        </w:sdtContent>
      </w:sdt>
      <w:r w:rsidR="00303937">
        <w:rPr>
          <w:rFonts w:ascii="Times New Roman" w:hAnsi="Times New Roman" w:cs="Times New Roman"/>
          <w:sz w:val="24"/>
          <w:szCs w:val="24"/>
        </w:rPr>
        <w:t xml:space="preserve">. </w:t>
      </w:r>
      <w:r w:rsidR="00BC7437">
        <w:rPr>
          <w:rFonts w:ascii="Times New Roman" w:hAnsi="Times New Roman" w:cs="Times New Roman"/>
          <w:sz w:val="24"/>
          <w:szCs w:val="24"/>
        </w:rPr>
        <w:t xml:space="preserve">No </w:t>
      </w:r>
      <w:r>
        <w:rPr>
          <w:rFonts w:ascii="Times New Roman" w:hAnsi="Times New Roman" w:cs="Times New Roman"/>
          <w:sz w:val="24"/>
          <w:szCs w:val="24"/>
        </w:rPr>
        <w:t>ha sido posible juzgar a los autores del ataque terrorista</w:t>
      </w:r>
      <w:r w:rsidR="00BC7437">
        <w:rPr>
          <w:rFonts w:ascii="Times New Roman" w:hAnsi="Times New Roman" w:cs="Times New Roman"/>
          <w:sz w:val="24"/>
          <w:szCs w:val="24"/>
        </w:rPr>
        <w:t xml:space="preserve">, por lo que sus </w:t>
      </w:r>
      <w:r>
        <w:rPr>
          <w:rFonts w:ascii="Times New Roman" w:hAnsi="Times New Roman" w:cs="Times New Roman"/>
          <w:sz w:val="24"/>
          <w:szCs w:val="24"/>
        </w:rPr>
        <w:t>actos han quedado impunes.</w:t>
      </w:r>
    </w:p>
    <w:p w14:paraId="17813AB9" w14:textId="77777777" w:rsidR="00F017CF" w:rsidRDefault="00B91BF0" w:rsidP="008D714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En definitiva, el caso del ataque terrorista al consulado de Bengasi es otro ejemplo de la importancia que supone el mantenimiento de la inviolabilidad de los locales consulares para el ejercicio de sus funciones. Su vulneración, al igual que en los casos anteriores, ha repercutido en la política interna del Estado acreditante y los autores del ataque han quedado impunes hasta la fecha, con la salvedad del juicio a un colaborador.</w:t>
      </w:r>
    </w:p>
    <w:p w14:paraId="3E14941B" w14:textId="548899CD" w:rsidR="00343D32" w:rsidRPr="00B91BF0" w:rsidRDefault="00B91BF0" w:rsidP="008D714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p>
    <w:p w14:paraId="73F9F8B4" w14:textId="0138ACE2" w:rsidR="0027604A" w:rsidRPr="0027604A" w:rsidRDefault="0027604A" w:rsidP="0027604A">
      <w:pPr>
        <w:pStyle w:val="Ttulo1"/>
        <w:numPr>
          <w:ilvl w:val="0"/>
          <w:numId w:val="1"/>
        </w:numPr>
        <w:spacing w:line="360" w:lineRule="auto"/>
        <w:rPr>
          <w:rFonts w:ascii="Times New Roman" w:hAnsi="Times New Roman" w:cs="Times New Roman"/>
        </w:rPr>
      </w:pPr>
      <w:bookmarkStart w:id="39" w:name="_Toc65498630"/>
      <w:r w:rsidRPr="0027604A">
        <w:rPr>
          <w:rFonts w:ascii="Times New Roman" w:hAnsi="Times New Roman" w:cs="Times New Roman"/>
        </w:rPr>
        <w:t>Conclusiones</w:t>
      </w:r>
      <w:bookmarkEnd w:id="39"/>
    </w:p>
    <w:p w14:paraId="2315A3B2" w14:textId="6E090C74" w:rsidR="00D010E1" w:rsidRPr="005A69A8" w:rsidRDefault="005A69A8" w:rsidP="00D010E1">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PRIMERO, en todos los </w:t>
      </w:r>
      <w:r w:rsidR="0020383F">
        <w:rPr>
          <w:rFonts w:ascii="Times New Roman" w:hAnsi="Times New Roman" w:cs="Times New Roman"/>
          <w:sz w:val="24"/>
          <w:szCs w:val="24"/>
        </w:rPr>
        <w:t>casos</w:t>
      </w:r>
      <w:r>
        <w:rPr>
          <w:rFonts w:ascii="Times New Roman" w:hAnsi="Times New Roman" w:cs="Times New Roman"/>
          <w:sz w:val="24"/>
          <w:szCs w:val="24"/>
        </w:rPr>
        <w:t xml:space="preserve"> los acontecimientos se han enmarcado en contextos de total inseguridad como son el “Quinquenio negro” en Guatemala, la Revolución Islámica en Irán y la situación </w:t>
      </w:r>
      <w:proofErr w:type="spellStart"/>
      <w:r>
        <w:rPr>
          <w:rFonts w:ascii="Times New Roman" w:hAnsi="Times New Roman" w:cs="Times New Roman"/>
          <w:sz w:val="24"/>
          <w:szCs w:val="24"/>
        </w:rPr>
        <w:t>post-revolucionara</w:t>
      </w:r>
      <w:proofErr w:type="spellEnd"/>
      <w:r>
        <w:rPr>
          <w:rFonts w:ascii="Times New Roman" w:hAnsi="Times New Roman" w:cs="Times New Roman"/>
          <w:sz w:val="24"/>
          <w:szCs w:val="24"/>
        </w:rPr>
        <w:t xml:space="preserve"> de Libia. Los Estados receptores no han sido en ningún caso capaces de asegurar la protección de los locales diplomáticos y consulares, pues no impidieron la ocupación pacífica de los campesinos de la Zona de El Quiché, los asaltos a la Embajada de Teherán y los Consulados de Tabriz y Shiraz, y el ataque terrorista en el consulado de Irán. El sistema político en los dos primeros países es de carácter autoritario como fue la dictadura militar de Romeo Lucas García </w:t>
      </w:r>
      <w:r w:rsidR="00881972">
        <w:rPr>
          <w:rFonts w:ascii="Times New Roman" w:hAnsi="Times New Roman" w:cs="Times New Roman"/>
          <w:sz w:val="24"/>
          <w:szCs w:val="24"/>
        </w:rPr>
        <w:t xml:space="preserve">donde la represión militar y las masacres contra los campesinos era algo normal; y en la República Islámica de Irán liderada por el Ayatolá </w:t>
      </w:r>
      <w:r w:rsidR="0020383F">
        <w:rPr>
          <w:rFonts w:ascii="Times New Roman" w:hAnsi="Times New Roman" w:cs="Times New Roman"/>
          <w:sz w:val="24"/>
          <w:szCs w:val="24"/>
        </w:rPr>
        <w:t>J</w:t>
      </w:r>
      <w:r w:rsidR="00881972">
        <w:rPr>
          <w:rFonts w:ascii="Times New Roman" w:hAnsi="Times New Roman" w:cs="Times New Roman"/>
          <w:sz w:val="24"/>
          <w:szCs w:val="24"/>
        </w:rPr>
        <w:t>omeini que también se distingue por las represalias a todos los grupos que no apoyasen la revolución. Mientras</w:t>
      </w:r>
      <w:r w:rsidR="0020383F">
        <w:rPr>
          <w:rFonts w:ascii="Times New Roman" w:hAnsi="Times New Roman" w:cs="Times New Roman"/>
          <w:sz w:val="24"/>
          <w:szCs w:val="24"/>
        </w:rPr>
        <w:t xml:space="preserve"> que </w:t>
      </w:r>
      <w:r w:rsidR="00881972">
        <w:rPr>
          <w:rFonts w:ascii="Times New Roman" w:hAnsi="Times New Roman" w:cs="Times New Roman"/>
          <w:sz w:val="24"/>
          <w:szCs w:val="24"/>
        </w:rPr>
        <w:t>la situación política en Libia era completamente inestable, hasta tal punto que se podría definir como un Estado “fallido”, pues el Gobierno no t</w:t>
      </w:r>
      <w:r w:rsidR="0020383F">
        <w:rPr>
          <w:rFonts w:ascii="Times New Roman" w:hAnsi="Times New Roman" w:cs="Times New Roman"/>
          <w:sz w:val="24"/>
          <w:szCs w:val="24"/>
        </w:rPr>
        <w:t>enía</w:t>
      </w:r>
      <w:r w:rsidR="00881972">
        <w:rPr>
          <w:rFonts w:ascii="Times New Roman" w:hAnsi="Times New Roman" w:cs="Times New Roman"/>
          <w:sz w:val="24"/>
          <w:szCs w:val="24"/>
        </w:rPr>
        <w:t xml:space="preserve"> capacidad efectiva de control sobre los facciones y milicias que habían resultado de la “primavera árabe” en el país. </w:t>
      </w:r>
      <w:r w:rsidR="00B46698">
        <w:rPr>
          <w:rFonts w:ascii="Times New Roman" w:hAnsi="Times New Roman" w:cs="Times New Roman"/>
          <w:sz w:val="24"/>
          <w:szCs w:val="24"/>
        </w:rPr>
        <w:t>L</w:t>
      </w:r>
      <w:r w:rsidR="00881972">
        <w:rPr>
          <w:rFonts w:ascii="Times New Roman" w:hAnsi="Times New Roman" w:cs="Times New Roman"/>
          <w:sz w:val="24"/>
          <w:szCs w:val="24"/>
        </w:rPr>
        <w:t xml:space="preserve">os dos primeros Estados receptores han sido responsables del incumplimiento de la </w:t>
      </w:r>
      <w:r w:rsidR="00881972">
        <w:rPr>
          <w:rFonts w:ascii="Times New Roman" w:hAnsi="Times New Roman" w:cs="Times New Roman"/>
          <w:sz w:val="24"/>
          <w:szCs w:val="24"/>
        </w:rPr>
        <w:lastRenderedPageBreak/>
        <w:t>inviolabilidad de los locales diplomátic</w:t>
      </w:r>
      <w:r w:rsidR="00BC7437">
        <w:rPr>
          <w:rFonts w:ascii="Times New Roman" w:hAnsi="Times New Roman" w:cs="Times New Roman"/>
          <w:sz w:val="24"/>
          <w:szCs w:val="24"/>
        </w:rPr>
        <w:t>o</w:t>
      </w:r>
      <w:r w:rsidR="00881972">
        <w:rPr>
          <w:rFonts w:ascii="Times New Roman" w:hAnsi="Times New Roman" w:cs="Times New Roman"/>
          <w:sz w:val="24"/>
          <w:szCs w:val="24"/>
        </w:rPr>
        <w:t>s y consulares, por lo que queda claro que los sistemas auto</w:t>
      </w:r>
      <w:r w:rsidR="00BC7437">
        <w:rPr>
          <w:rFonts w:ascii="Times New Roman" w:hAnsi="Times New Roman" w:cs="Times New Roman"/>
          <w:sz w:val="24"/>
          <w:szCs w:val="24"/>
        </w:rPr>
        <w:t>ritarios</w:t>
      </w:r>
      <w:r w:rsidR="00881972">
        <w:rPr>
          <w:rFonts w:ascii="Times New Roman" w:hAnsi="Times New Roman" w:cs="Times New Roman"/>
          <w:sz w:val="24"/>
          <w:szCs w:val="24"/>
        </w:rPr>
        <w:t xml:space="preserve"> son más propensos a las vulneraciones de sus obligaciones internacionales. En todo caso, los acontecimientos de estas car</w:t>
      </w:r>
      <w:r w:rsidR="00B46698">
        <w:rPr>
          <w:rFonts w:ascii="Times New Roman" w:hAnsi="Times New Roman" w:cs="Times New Roman"/>
          <w:sz w:val="24"/>
          <w:szCs w:val="24"/>
        </w:rPr>
        <w:t xml:space="preserve">acterísticas siempre se han situado en contextos políticos no democráticos o inestables, y en </w:t>
      </w:r>
      <w:r w:rsidR="005C4F1E">
        <w:rPr>
          <w:rFonts w:ascii="Times New Roman" w:hAnsi="Times New Roman" w:cs="Times New Roman"/>
          <w:sz w:val="24"/>
          <w:szCs w:val="24"/>
        </w:rPr>
        <w:t>escenarios</w:t>
      </w:r>
      <w:r w:rsidR="00B46698">
        <w:rPr>
          <w:rFonts w:ascii="Times New Roman" w:hAnsi="Times New Roman" w:cs="Times New Roman"/>
          <w:sz w:val="24"/>
          <w:szCs w:val="24"/>
        </w:rPr>
        <w:t xml:space="preserve"> de insegurida</w:t>
      </w:r>
      <w:r w:rsidR="009939AA">
        <w:rPr>
          <w:rFonts w:ascii="Times New Roman" w:hAnsi="Times New Roman" w:cs="Times New Roman"/>
          <w:sz w:val="24"/>
          <w:szCs w:val="24"/>
        </w:rPr>
        <w:t xml:space="preserve">d, por </w:t>
      </w:r>
      <w:r w:rsidR="00343D32">
        <w:rPr>
          <w:rFonts w:ascii="Times New Roman" w:hAnsi="Times New Roman" w:cs="Times New Roman"/>
          <w:sz w:val="24"/>
          <w:szCs w:val="24"/>
        </w:rPr>
        <w:t>ello,</w:t>
      </w:r>
      <w:r w:rsidR="009939AA">
        <w:rPr>
          <w:rFonts w:ascii="Times New Roman" w:hAnsi="Times New Roman" w:cs="Times New Roman"/>
          <w:sz w:val="24"/>
          <w:szCs w:val="24"/>
        </w:rPr>
        <w:t xml:space="preserve"> la vulneración de la inviolabilidad de los locales es consecuencia directa de una crisis anterior en un ambiente precario del Estado receptor. </w:t>
      </w:r>
    </w:p>
    <w:p w14:paraId="1B638D28" w14:textId="10678DCE" w:rsidR="00250A86" w:rsidRDefault="00D010E1" w:rsidP="009D3E5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SEGUNDO</w:t>
      </w:r>
      <w:r w:rsidR="000B5713">
        <w:rPr>
          <w:rFonts w:ascii="Times New Roman" w:hAnsi="Times New Roman" w:cs="Times New Roman"/>
          <w:sz w:val="24"/>
          <w:szCs w:val="24"/>
        </w:rPr>
        <w:t xml:space="preserve">, la inviolabilidad de los locales de la misión diplomática y de la oficina consular se configura como un principio esencial para el ejercicio de sus funciones y el mantenimiento de las relaciones diplomáticas y consulares. En los tres casos su incumplimiento ha </w:t>
      </w:r>
      <w:r w:rsidR="00174511">
        <w:rPr>
          <w:rFonts w:ascii="Times New Roman" w:hAnsi="Times New Roman" w:cs="Times New Roman"/>
          <w:sz w:val="24"/>
          <w:szCs w:val="24"/>
        </w:rPr>
        <w:t>dado lugar al</w:t>
      </w:r>
      <w:r w:rsidR="009D3E56">
        <w:rPr>
          <w:rFonts w:ascii="Times New Roman" w:hAnsi="Times New Roman" w:cs="Times New Roman"/>
          <w:sz w:val="24"/>
          <w:szCs w:val="24"/>
        </w:rPr>
        <w:t xml:space="preserve"> cierre </w:t>
      </w:r>
      <w:r w:rsidR="000B5713">
        <w:rPr>
          <w:rFonts w:ascii="Times New Roman" w:hAnsi="Times New Roman" w:cs="Times New Roman"/>
          <w:sz w:val="24"/>
          <w:szCs w:val="24"/>
        </w:rPr>
        <w:t>de las dependencias, ya que los</w:t>
      </w:r>
      <w:r w:rsidR="0020383F">
        <w:rPr>
          <w:rFonts w:ascii="Times New Roman" w:hAnsi="Times New Roman" w:cs="Times New Roman"/>
          <w:sz w:val="24"/>
          <w:szCs w:val="24"/>
        </w:rPr>
        <w:t xml:space="preserve"> graves</w:t>
      </w:r>
      <w:r w:rsidR="000B5713">
        <w:rPr>
          <w:rFonts w:ascii="Times New Roman" w:hAnsi="Times New Roman" w:cs="Times New Roman"/>
          <w:sz w:val="24"/>
          <w:szCs w:val="24"/>
        </w:rPr>
        <w:t xml:space="preserve"> sucesos ha</w:t>
      </w:r>
      <w:r w:rsidR="0020383F">
        <w:rPr>
          <w:rFonts w:ascii="Times New Roman" w:hAnsi="Times New Roman" w:cs="Times New Roman"/>
          <w:sz w:val="24"/>
          <w:szCs w:val="24"/>
        </w:rPr>
        <w:t>n</w:t>
      </w:r>
      <w:r w:rsidR="000B5713">
        <w:rPr>
          <w:rFonts w:ascii="Times New Roman" w:hAnsi="Times New Roman" w:cs="Times New Roman"/>
          <w:sz w:val="24"/>
          <w:szCs w:val="24"/>
        </w:rPr>
        <w:t xml:space="preserve"> impedido el ejercicio de las funciones </w:t>
      </w:r>
      <w:r w:rsidR="0020383F">
        <w:rPr>
          <w:rFonts w:ascii="Times New Roman" w:hAnsi="Times New Roman" w:cs="Times New Roman"/>
          <w:sz w:val="24"/>
          <w:szCs w:val="24"/>
        </w:rPr>
        <w:t xml:space="preserve">diplomáticas </w:t>
      </w:r>
      <w:r w:rsidR="000B5713">
        <w:rPr>
          <w:rFonts w:ascii="Times New Roman" w:hAnsi="Times New Roman" w:cs="Times New Roman"/>
          <w:sz w:val="24"/>
          <w:szCs w:val="24"/>
        </w:rPr>
        <w:t xml:space="preserve">como resultado de los daños causados debido a los incendios de la Embajada española y del Consulado estadounidense en libia, así como de las ocupaciones de las sedes diplomáticas y consulares en Irán. La </w:t>
      </w:r>
      <w:r w:rsidR="009D3E56">
        <w:rPr>
          <w:rFonts w:ascii="Times New Roman" w:hAnsi="Times New Roman" w:cs="Times New Roman"/>
          <w:sz w:val="24"/>
          <w:szCs w:val="24"/>
        </w:rPr>
        <w:t>v</w:t>
      </w:r>
      <w:r w:rsidR="00BC7437">
        <w:rPr>
          <w:rFonts w:ascii="Times New Roman" w:hAnsi="Times New Roman" w:cs="Times New Roman"/>
          <w:sz w:val="24"/>
          <w:szCs w:val="24"/>
        </w:rPr>
        <w:t>iolación</w:t>
      </w:r>
      <w:r w:rsidR="009D3E56">
        <w:rPr>
          <w:rFonts w:ascii="Times New Roman" w:hAnsi="Times New Roman" w:cs="Times New Roman"/>
          <w:sz w:val="24"/>
          <w:szCs w:val="24"/>
        </w:rPr>
        <w:t xml:space="preserve"> de la inviolabilidad de los locales ha conllevado en todos los supuestos </w:t>
      </w:r>
      <w:r w:rsidR="00174511">
        <w:rPr>
          <w:rFonts w:ascii="Times New Roman" w:hAnsi="Times New Roman" w:cs="Times New Roman"/>
          <w:sz w:val="24"/>
          <w:szCs w:val="24"/>
        </w:rPr>
        <w:t>l</w:t>
      </w:r>
      <w:r w:rsidR="009D3E56">
        <w:rPr>
          <w:rFonts w:ascii="Times New Roman" w:hAnsi="Times New Roman" w:cs="Times New Roman"/>
          <w:sz w:val="24"/>
          <w:szCs w:val="24"/>
        </w:rPr>
        <w:t>a</w:t>
      </w:r>
      <w:r w:rsidR="00174511">
        <w:rPr>
          <w:rFonts w:ascii="Times New Roman" w:hAnsi="Times New Roman" w:cs="Times New Roman"/>
          <w:sz w:val="24"/>
          <w:szCs w:val="24"/>
        </w:rPr>
        <w:t>s</w:t>
      </w:r>
      <w:r w:rsidR="009D3E56">
        <w:rPr>
          <w:rFonts w:ascii="Times New Roman" w:hAnsi="Times New Roman" w:cs="Times New Roman"/>
          <w:sz w:val="24"/>
          <w:szCs w:val="24"/>
        </w:rPr>
        <w:t xml:space="preserve"> v</w:t>
      </w:r>
      <w:r w:rsidR="00BC7437">
        <w:rPr>
          <w:rFonts w:ascii="Times New Roman" w:hAnsi="Times New Roman" w:cs="Times New Roman"/>
          <w:sz w:val="24"/>
          <w:szCs w:val="24"/>
        </w:rPr>
        <w:t>ulneraciones</w:t>
      </w:r>
      <w:r w:rsidR="009D3E56">
        <w:rPr>
          <w:rFonts w:ascii="Times New Roman" w:hAnsi="Times New Roman" w:cs="Times New Roman"/>
          <w:sz w:val="24"/>
          <w:szCs w:val="24"/>
        </w:rPr>
        <w:t xml:space="preserve"> de otras obligaciones internacionales como las inviolabilidades de los bienes, archivos y documentos, y del personal diplomático y consular, así como de la libertad de comunicación</w:t>
      </w:r>
      <w:r w:rsidR="00174511">
        <w:rPr>
          <w:rFonts w:ascii="Times New Roman" w:hAnsi="Times New Roman" w:cs="Times New Roman"/>
          <w:sz w:val="24"/>
          <w:szCs w:val="24"/>
        </w:rPr>
        <w:t>, por lo que n</w:t>
      </w:r>
      <w:r w:rsidR="009D3E56">
        <w:rPr>
          <w:rFonts w:ascii="Times New Roman" w:hAnsi="Times New Roman" w:cs="Times New Roman"/>
          <w:sz w:val="24"/>
          <w:szCs w:val="24"/>
        </w:rPr>
        <w:t xml:space="preserve">o hay duda de </w:t>
      </w:r>
      <w:r w:rsidR="00BC7437">
        <w:rPr>
          <w:rFonts w:ascii="Times New Roman" w:hAnsi="Times New Roman" w:cs="Times New Roman"/>
          <w:sz w:val="24"/>
          <w:szCs w:val="24"/>
        </w:rPr>
        <w:t xml:space="preserve">que </w:t>
      </w:r>
      <w:r w:rsidR="009D3E56">
        <w:rPr>
          <w:rFonts w:ascii="Times New Roman" w:hAnsi="Times New Roman" w:cs="Times New Roman"/>
          <w:sz w:val="24"/>
          <w:szCs w:val="24"/>
        </w:rPr>
        <w:t xml:space="preserve">el incumplimiento de la inviolabilidad de los locales siempre devendrá en posteriores quebrantamientos del Derecho Diplomático y Consular. Es más, en los supuestos de Guatemala </w:t>
      </w:r>
      <w:r w:rsidR="0020383F">
        <w:rPr>
          <w:rFonts w:ascii="Times New Roman" w:hAnsi="Times New Roman" w:cs="Times New Roman"/>
          <w:sz w:val="24"/>
          <w:szCs w:val="24"/>
        </w:rPr>
        <w:t xml:space="preserve">e Irán </w:t>
      </w:r>
      <w:r w:rsidR="009D3E56">
        <w:rPr>
          <w:rFonts w:ascii="Times New Roman" w:hAnsi="Times New Roman" w:cs="Times New Roman"/>
          <w:sz w:val="24"/>
          <w:szCs w:val="24"/>
        </w:rPr>
        <w:t xml:space="preserve">donde ha sido el Estado receptor el responsable del incumplimiento, los Estados acreditantes se han visto obligados a la ruptura de las relaciones diplomáticas. Este estudio ha demostrado así la importancia de la inviolabilidad de los locales de la misión diplomática y de la oficina consular como principal salvaguarda para el ejercicio de las funciones diplomáticas y consulares, así como de otras obligaciones internacionalmente reconocidas, pues su vulneración conllevará siempre al cierre de las dependencias y a otras vulneraciones del Derecho internacional. </w:t>
      </w:r>
      <w:r w:rsidR="00B96E6C">
        <w:rPr>
          <w:rFonts w:ascii="Times New Roman" w:hAnsi="Times New Roman" w:cs="Times New Roman"/>
          <w:sz w:val="24"/>
          <w:szCs w:val="24"/>
        </w:rPr>
        <w:t xml:space="preserve">No hay por tanto desempeño eficaz de las funciones diplomáticas y consulares sin respetar la inviolabilidad de los locales. </w:t>
      </w:r>
    </w:p>
    <w:p w14:paraId="6ABA3B11" w14:textId="2E96BAFA" w:rsidR="00250A86" w:rsidRDefault="009939AA" w:rsidP="0017451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TERCERO,</w:t>
      </w:r>
      <w:r w:rsidR="006014A8">
        <w:rPr>
          <w:rFonts w:ascii="Times New Roman" w:hAnsi="Times New Roman" w:cs="Times New Roman"/>
          <w:sz w:val="24"/>
          <w:szCs w:val="24"/>
        </w:rPr>
        <w:t xml:space="preserve"> la concepción de la responsabilidad internacional según el Proyecto de Artículos de las Naciones Unidas parte de la necesidad de atribuir a un Estado un comportamiento que suponga una violación de sus obligaciones internacionalmente reconocidas. En el primer supuesto, no hay duda de la imputación al Estado guatemalteco de acuerdo con el artículo 4 del Proyecto, pues los autores directos fueron los propios agentes del Estado que seguían las ordenes de sus superiores. En el segundo supuesto, en </w:t>
      </w:r>
      <w:r w:rsidR="006014A8">
        <w:rPr>
          <w:rFonts w:ascii="Times New Roman" w:hAnsi="Times New Roman" w:cs="Times New Roman"/>
          <w:sz w:val="24"/>
          <w:szCs w:val="24"/>
        </w:rPr>
        <w:lastRenderedPageBreak/>
        <w:t>un principio</w:t>
      </w:r>
      <w:r w:rsidR="00845063">
        <w:rPr>
          <w:rFonts w:ascii="Times New Roman" w:hAnsi="Times New Roman" w:cs="Times New Roman"/>
          <w:sz w:val="24"/>
          <w:szCs w:val="24"/>
        </w:rPr>
        <w:t>,</w:t>
      </w:r>
      <w:r w:rsidR="006014A8">
        <w:rPr>
          <w:rFonts w:ascii="Times New Roman" w:hAnsi="Times New Roman" w:cs="Times New Roman"/>
          <w:sz w:val="24"/>
          <w:szCs w:val="24"/>
        </w:rPr>
        <w:t xml:space="preserve"> el asalto a la Embajada en Teherán y a los Consulados en Tabriz y Shiraz fue el resultado de las acciones de grupos de estudiantes, </w:t>
      </w:r>
      <w:r w:rsidR="00845063">
        <w:rPr>
          <w:rFonts w:ascii="Times New Roman" w:hAnsi="Times New Roman" w:cs="Times New Roman"/>
          <w:sz w:val="24"/>
          <w:szCs w:val="24"/>
        </w:rPr>
        <w:t xml:space="preserve">pero </w:t>
      </w:r>
      <w:r w:rsidR="006014A8">
        <w:rPr>
          <w:rFonts w:ascii="Times New Roman" w:hAnsi="Times New Roman" w:cs="Times New Roman"/>
          <w:sz w:val="24"/>
          <w:szCs w:val="24"/>
        </w:rPr>
        <w:t xml:space="preserve">más tarde se </w:t>
      </w:r>
      <w:r w:rsidR="00BC7437">
        <w:rPr>
          <w:rFonts w:ascii="Times New Roman" w:hAnsi="Times New Roman" w:cs="Times New Roman"/>
          <w:sz w:val="24"/>
          <w:szCs w:val="24"/>
        </w:rPr>
        <w:t xml:space="preserve">convirtieron </w:t>
      </w:r>
      <w:r w:rsidR="00174511">
        <w:rPr>
          <w:rFonts w:ascii="Times New Roman" w:hAnsi="Times New Roman" w:cs="Times New Roman"/>
          <w:sz w:val="24"/>
          <w:szCs w:val="24"/>
        </w:rPr>
        <w:t>en hechos de</w:t>
      </w:r>
      <w:r w:rsidR="006014A8">
        <w:rPr>
          <w:rFonts w:ascii="Times New Roman" w:hAnsi="Times New Roman" w:cs="Times New Roman"/>
          <w:sz w:val="24"/>
          <w:szCs w:val="24"/>
        </w:rPr>
        <w:t xml:space="preserve"> Estado dado que el Líder </w:t>
      </w:r>
      <w:r w:rsidR="0020383F">
        <w:rPr>
          <w:rFonts w:ascii="Times New Roman" w:hAnsi="Times New Roman" w:cs="Times New Roman"/>
          <w:sz w:val="24"/>
          <w:szCs w:val="24"/>
        </w:rPr>
        <w:t>J</w:t>
      </w:r>
      <w:r w:rsidR="006014A8">
        <w:rPr>
          <w:rFonts w:ascii="Times New Roman" w:hAnsi="Times New Roman" w:cs="Times New Roman"/>
          <w:sz w:val="24"/>
          <w:szCs w:val="24"/>
        </w:rPr>
        <w:t xml:space="preserve">omeini expresó su aprobación a los acontecimientos. </w:t>
      </w:r>
      <w:r w:rsidR="00BC7437">
        <w:rPr>
          <w:rFonts w:ascii="Times New Roman" w:hAnsi="Times New Roman" w:cs="Times New Roman"/>
          <w:sz w:val="24"/>
          <w:szCs w:val="24"/>
        </w:rPr>
        <w:t>L</w:t>
      </w:r>
      <w:r w:rsidR="006014A8">
        <w:rPr>
          <w:rFonts w:ascii="Times New Roman" w:hAnsi="Times New Roman" w:cs="Times New Roman"/>
          <w:sz w:val="24"/>
          <w:szCs w:val="24"/>
        </w:rPr>
        <w:t xml:space="preserve">as conductas de Guatemala e </w:t>
      </w:r>
      <w:r>
        <w:rPr>
          <w:rFonts w:ascii="Times New Roman" w:hAnsi="Times New Roman" w:cs="Times New Roman"/>
          <w:sz w:val="24"/>
          <w:szCs w:val="24"/>
        </w:rPr>
        <w:t>Irán</w:t>
      </w:r>
      <w:r w:rsidR="006014A8">
        <w:rPr>
          <w:rFonts w:ascii="Times New Roman" w:hAnsi="Times New Roman" w:cs="Times New Roman"/>
          <w:sz w:val="24"/>
          <w:szCs w:val="24"/>
        </w:rPr>
        <w:t xml:space="preserve"> s</w:t>
      </w:r>
      <w:r w:rsidR="00845063">
        <w:rPr>
          <w:rFonts w:ascii="Times New Roman" w:hAnsi="Times New Roman" w:cs="Times New Roman"/>
          <w:sz w:val="24"/>
          <w:szCs w:val="24"/>
        </w:rPr>
        <w:t>ignificaron</w:t>
      </w:r>
      <w:r w:rsidR="006014A8">
        <w:rPr>
          <w:rFonts w:ascii="Times New Roman" w:hAnsi="Times New Roman" w:cs="Times New Roman"/>
          <w:sz w:val="24"/>
          <w:szCs w:val="24"/>
        </w:rPr>
        <w:t xml:space="preserve"> </w:t>
      </w:r>
      <w:r>
        <w:rPr>
          <w:rFonts w:ascii="Times New Roman" w:hAnsi="Times New Roman" w:cs="Times New Roman"/>
          <w:sz w:val="24"/>
          <w:szCs w:val="24"/>
        </w:rPr>
        <w:t xml:space="preserve">el incumplimiento no solo de la inviolabilidad de los locales de las misiones diplomáticas y de las oficinas consulares, sino también de la vulneración de otras obligaciones del Derecho Diplomático y Consular como son la inviolabilidad de los bienes, archivos y documentos y personal diplomático y consular, de acuerdo con las Convenciones de Viena sobre Relaciones Diplomáticas de 1961 y Relaciones Consulares de 1963. </w:t>
      </w:r>
      <w:r w:rsidR="001E273B">
        <w:rPr>
          <w:rFonts w:ascii="Times New Roman" w:hAnsi="Times New Roman" w:cs="Times New Roman"/>
          <w:sz w:val="24"/>
          <w:szCs w:val="24"/>
        </w:rPr>
        <w:t xml:space="preserve">En relación con los acontecimientos en el Consulado estadounidense en Libia ha quedado claro que el Estado receptor estaba exento de sus obligaciones convencionales, pues había expresado su incapacidad para asegurar los locales diplomáticos y consulares, por lo que Estado </w:t>
      </w:r>
      <w:r w:rsidR="00845063">
        <w:rPr>
          <w:rFonts w:ascii="Times New Roman" w:hAnsi="Times New Roman" w:cs="Times New Roman"/>
          <w:sz w:val="24"/>
          <w:szCs w:val="24"/>
        </w:rPr>
        <w:t>acreditante debía decidir</w:t>
      </w:r>
      <w:r w:rsidR="001E273B">
        <w:rPr>
          <w:rFonts w:ascii="Times New Roman" w:hAnsi="Times New Roman" w:cs="Times New Roman"/>
          <w:sz w:val="24"/>
          <w:szCs w:val="24"/>
        </w:rPr>
        <w:t xml:space="preserve"> sobre el mantenimiento de las dependencias </w:t>
      </w:r>
      <w:r w:rsidR="00845063">
        <w:rPr>
          <w:rFonts w:ascii="Times New Roman" w:hAnsi="Times New Roman" w:cs="Times New Roman"/>
          <w:sz w:val="24"/>
          <w:szCs w:val="24"/>
        </w:rPr>
        <w:t xml:space="preserve">y asumir </w:t>
      </w:r>
      <w:r w:rsidR="001E273B">
        <w:rPr>
          <w:rFonts w:ascii="Times New Roman" w:hAnsi="Times New Roman" w:cs="Times New Roman"/>
          <w:sz w:val="24"/>
          <w:szCs w:val="24"/>
        </w:rPr>
        <w:t>el riesgo que ello suponía. Además, el Estado libio dada su condición frágil y su incapacidad para controlar la violencia dentro de sus fronteras estaba exento por la causa de exclusión de “fuerza mayor” del artículo 23 del Proyecto. Es importante señalar el papel del individuo en los tres casos, ya que los acontecimientos siempre comenzaron por actuaciones de persona</w:t>
      </w:r>
      <w:r w:rsidR="00EA16D7">
        <w:rPr>
          <w:rFonts w:ascii="Times New Roman" w:hAnsi="Times New Roman" w:cs="Times New Roman"/>
          <w:sz w:val="24"/>
          <w:szCs w:val="24"/>
        </w:rPr>
        <w:t>s</w:t>
      </w:r>
      <w:r w:rsidR="00845063">
        <w:rPr>
          <w:rFonts w:ascii="Times New Roman" w:hAnsi="Times New Roman" w:cs="Times New Roman"/>
          <w:sz w:val="24"/>
          <w:szCs w:val="24"/>
        </w:rPr>
        <w:t xml:space="preserve"> físicas independientes al Estado</w:t>
      </w:r>
      <w:r w:rsidR="00EA16D7">
        <w:rPr>
          <w:rFonts w:ascii="Times New Roman" w:hAnsi="Times New Roman" w:cs="Times New Roman"/>
          <w:sz w:val="24"/>
          <w:szCs w:val="24"/>
        </w:rPr>
        <w:t xml:space="preserve">: la ocupación de la Embajada de España por parte de un grupo de campesinos; el asalto a las sedes diplomáticas y consulares estadounidenses en Irán por </w:t>
      </w:r>
      <w:r w:rsidR="00845063">
        <w:rPr>
          <w:rFonts w:ascii="Times New Roman" w:hAnsi="Times New Roman" w:cs="Times New Roman"/>
          <w:sz w:val="24"/>
          <w:szCs w:val="24"/>
        </w:rPr>
        <w:t>estudiantes</w:t>
      </w:r>
      <w:r w:rsidR="00EA16D7">
        <w:rPr>
          <w:rFonts w:ascii="Times New Roman" w:hAnsi="Times New Roman" w:cs="Times New Roman"/>
          <w:sz w:val="24"/>
          <w:szCs w:val="24"/>
        </w:rPr>
        <w:t xml:space="preserve"> militante</w:t>
      </w:r>
      <w:r w:rsidR="00845063">
        <w:rPr>
          <w:rFonts w:ascii="Times New Roman" w:hAnsi="Times New Roman" w:cs="Times New Roman"/>
          <w:sz w:val="24"/>
          <w:szCs w:val="24"/>
        </w:rPr>
        <w:t>s</w:t>
      </w:r>
      <w:r w:rsidR="00EA16D7">
        <w:rPr>
          <w:rFonts w:ascii="Times New Roman" w:hAnsi="Times New Roman" w:cs="Times New Roman"/>
          <w:sz w:val="24"/>
          <w:szCs w:val="24"/>
        </w:rPr>
        <w:t xml:space="preserve"> de la revolución islámica; y el ataque terrorista al Consulado en Bengasí por el </w:t>
      </w:r>
      <w:r w:rsidR="00845063">
        <w:rPr>
          <w:rFonts w:ascii="Times New Roman" w:hAnsi="Times New Roman" w:cs="Times New Roman"/>
          <w:sz w:val="24"/>
          <w:szCs w:val="24"/>
        </w:rPr>
        <w:t xml:space="preserve">grupo terrorista </w:t>
      </w:r>
      <w:r w:rsidR="00EA16D7">
        <w:rPr>
          <w:rFonts w:ascii="Times New Roman" w:hAnsi="Times New Roman" w:cs="Times New Roman"/>
          <w:sz w:val="24"/>
          <w:szCs w:val="24"/>
        </w:rPr>
        <w:t>Anwar al-</w:t>
      </w:r>
      <w:proofErr w:type="spellStart"/>
      <w:proofErr w:type="gramStart"/>
      <w:r w:rsidR="00EA16D7">
        <w:rPr>
          <w:rFonts w:ascii="Times New Roman" w:hAnsi="Times New Roman" w:cs="Times New Roman"/>
          <w:sz w:val="24"/>
          <w:szCs w:val="24"/>
        </w:rPr>
        <w:t>Sharia</w:t>
      </w:r>
      <w:proofErr w:type="spellEnd"/>
      <w:proofErr w:type="gramEnd"/>
      <w:r w:rsidR="00EA16D7">
        <w:rPr>
          <w:rFonts w:ascii="Times New Roman" w:hAnsi="Times New Roman" w:cs="Times New Roman"/>
          <w:sz w:val="24"/>
          <w:szCs w:val="24"/>
        </w:rPr>
        <w:t>. Así, es el individuo quien ha protagonizado en un inicio las vulneraciones a la inviolabilidad de los locales como cauce para expresar sus denuncias ya sea contra el Estado receptor por las represiones contra sus colectivos o contra el Estado acreditante con el fin de atacar a sus instituciones y empeorar las relaciones con este</w:t>
      </w:r>
      <w:sdt>
        <w:sdtPr>
          <w:rPr>
            <w:rFonts w:ascii="Times New Roman" w:hAnsi="Times New Roman" w:cs="Times New Roman"/>
            <w:sz w:val="24"/>
            <w:szCs w:val="24"/>
          </w:rPr>
          <w:id w:val="-389428422"/>
          <w:citation/>
        </w:sdtPr>
        <w:sdtContent>
          <w:r w:rsidR="00343D32">
            <w:rPr>
              <w:rFonts w:ascii="Times New Roman" w:hAnsi="Times New Roman" w:cs="Times New Roman"/>
              <w:sz w:val="24"/>
              <w:szCs w:val="24"/>
            </w:rPr>
            <w:fldChar w:fldCharType="begin"/>
          </w:r>
          <w:r w:rsidR="00343D32">
            <w:rPr>
              <w:rFonts w:ascii="Times New Roman" w:hAnsi="Times New Roman" w:cs="Times New Roman"/>
              <w:sz w:val="24"/>
              <w:szCs w:val="24"/>
            </w:rPr>
            <w:instrText xml:space="preserve">CITATION Sáe81 \p 301 \l 3082 </w:instrText>
          </w:r>
          <w:r w:rsidR="00343D32">
            <w:rPr>
              <w:rFonts w:ascii="Times New Roman" w:hAnsi="Times New Roman" w:cs="Times New Roman"/>
              <w:sz w:val="24"/>
              <w:szCs w:val="24"/>
            </w:rPr>
            <w:fldChar w:fldCharType="separate"/>
          </w:r>
          <w:r w:rsidR="00246FA0">
            <w:rPr>
              <w:rFonts w:ascii="Times New Roman" w:hAnsi="Times New Roman" w:cs="Times New Roman"/>
              <w:noProof/>
              <w:sz w:val="24"/>
              <w:szCs w:val="24"/>
            </w:rPr>
            <w:t xml:space="preserve"> </w:t>
          </w:r>
          <w:r w:rsidR="00246FA0" w:rsidRPr="00246FA0">
            <w:rPr>
              <w:rFonts w:ascii="Times New Roman" w:hAnsi="Times New Roman" w:cs="Times New Roman"/>
              <w:noProof/>
              <w:sz w:val="24"/>
              <w:szCs w:val="24"/>
            </w:rPr>
            <w:t>(Sáenz de Santa María , 1981, pág. 301)</w:t>
          </w:r>
          <w:r w:rsidR="00343D32">
            <w:rPr>
              <w:rFonts w:ascii="Times New Roman" w:hAnsi="Times New Roman" w:cs="Times New Roman"/>
              <w:sz w:val="24"/>
              <w:szCs w:val="24"/>
            </w:rPr>
            <w:fldChar w:fldCharType="end"/>
          </w:r>
        </w:sdtContent>
      </w:sdt>
      <w:r w:rsidR="00EA16D7">
        <w:rPr>
          <w:rFonts w:ascii="Times New Roman" w:hAnsi="Times New Roman" w:cs="Times New Roman"/>
          <w:sz w:val="24"/>
          <w:szCs w:val="24"/>
        </w:rPr>
        <w:t xml:space="preserve">. </w:t>
      </w:r>
    </w:p>
    <w:p w14:paraId="5DDCD258" w14:textId="7BD74D2C" w:rsidR="00EA16D7" w:rsidRDefault="00773999" w:rsidP="0027686E">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CUARTO, </w:t>
      </w:r>
      <w:r w:rsidR="009352E5">
        <w:rPr>
          <w:rFonts w:ascii="Times New Roman" w:hAnsi="Times New Roman" w:cs="Times New Roman"/>
          <w:sz w:val="24"/>
          <w:szCs w:val="24"/>
        </w:rPr>
        <w:t xml:space="preserve">la relevancia de estos acontecimientos se ha visto reflejada en las relaciones entre los Estados y en la política interna del Estado acreditante. Por un lado, en los dos primeros casos se ha responsabilizado a los Estados receptores por el incumplimiento de la inviolabilidad de los locales diplomáticos y consulares. La respuesta del Estado acreditante a estos acontecimientos </w:t>
      </w:r>
      <w:r w:rsidR="00174511">
        <w:rPr>
          <w:rFonts w:ascii="Times New Roman" w:hAnsi="Times New Roman" w:cs="Times New Roman"/>
          <w:sz w:val="24"/>
          <w:szCs w:val="24"/>
        </w:rPr>
        <w:t>devino</w:t>
      </w:r>
      <w:r w:rsidR="009352E5">
        <w:rPr>
          <w:rFonts w:ascii="Times New Roman" w:hAnsi="Times New Roman" w:cs="Times New Roman"/>
          <w:sz w:val="24"/>
          <w:szCs w:val="24"/>
        </w:rPr>
        <w:t xml:space="preserve"> en la ruptura de las relaciones diplomáticas que demuestra la importancia de estas crisis ocasionadas por la quema y masacre de la Embajada de España y el asalto de la misión y secuestro del personal diplomático y consular en Teherán. Estos sucesos también han trascendido en gran </w:t>
      </w:r>
      <w:r w:rsidR="009352E5">
        <w:rPr>
          <w:rFonts w:ascii="Times New Roman" w:hAnsi="Times New Roman" w:cs="Times New Roman"/>
          <w:sz w:val="24"/>
          <w:szCs w:val="24"/>
        </w:rPr>
        <w:lastRenderedPageBreak/>
        <w:t xml:space="preserve">manera a la política interna de los Estados acreditantes. </w:t>
      </w:r>
      <w:r w:rsidR="00E960BB">
        <w:rPr>
          <w:rFonts w:ascii="Times New Roman" w:hAnsi="Times New Roman" w:cs="Times New Roman"/>
          <w:sz w:val="24"/>
          <w:szCs w:val="24"/>
        </w:rPr>
        <w:t>E</w:t>
      </w:r>
      <w:r w:rsidR="009352E5">
        <w:rPr>
          <w:rFonts w:ascii="Times New Roman" w:hAnsi="Times New Roman" w:cs="Times New Roman"/>
          <w:sz w:val="24"/>
          <w:szCs w:val="24"/>
        </w:rPr>
        <w:t>l supuesto de la quema de la Embajada de España fue objeto de diferentes críticas, pues si bien se han demostrado los hechos que testificó el Embajador Cajal, este recibió much</w:t>
      </w:r>
      <w:r w:rsidR="00845063">
        <w:rPr>
          <w:rFonts w:ascii="Times New Roman" w:hAnsi="Times New Roman" w:cs="Times New Roman"/>
          <w:sz w:val="24"/>
          <w:szCs w:val="24"/>
        </w:rPr>
        <w:t>as críticas</w:t>
      </w:r>
      <w:r w:rsidR="009352E5">
        <w:rPr>
          <w:rFonts w:ascii="Times New Roman" w:hAnsi="Times New Roman" w:cs="Times New Roman"/>
          <w:sz w:val="24"/>
          <w:szCs w:val="24"/>
        </w:rPr>
        <w:t xml:space="preserve"> de parte de la opinión pública española y guatemalteca que le vinculaba</w:t>
      </w:r>
      <w:r w:rsidR="00845063">
        <w:rPr>
          <w:rFonts w:ascii="Times New Roman" w:hAnsi="Times New Roman" w:cs="Times New Roman"/>
          <w:sz w:val="24"/>
          <w:szCs w:val="24"/>
        </w:rPr>
        <w:t>n</w:t>
      </w:r>
      <w:r w:rsidR="009352E5">
        <w:rPr>
          <w:rFonts w:ascii="Times New Roman" w:hAnsi="Times New Roman" w:cs="Times New Roman"/>
          <w:sz w:val="24"/>
          <w:szCs w:val="24"/>
        </w:rPr>
        <w:t xml:space="preserve"> con posturas comunistas </w:t>
      </w:r>
      <w:r w:rsidR="00026818">
        <w:rPr>
          <w:rFonts w:ascii="Times New Roman" w:hAnsi="Times New Roman" w:cs="Times New Roman"/>
          <w:sz w:val="24"/>
          <w:szCs w:val="24"/>
        </w:rPr>
        <w:t>o impulsor de la ocupación</w:t>
      </w:r>
      <w:sdt>
        <w:sdtPr>
          <w:rPr>
            <w:rFonts w:ascii="Times New Roman" w:hAnsi="Times New Roman" w:cs="Times New Roman"/>
            <w:sz w:val="24"/>
            <w:szCs w:val="24"/>
          </w:rPr>
          <w:id w:val="25607630"/>
          <w:citation/>
        </w:sdtPr>
        <w:sdtContent>
          <w:r w:rsidR="00E960BB">
            <w:rPr>
              <w:rFonts w:ascii="Times New Roman" w:hAnsi="Times New Roman" w:cs="Times New Roman"/>
              <w:sz w:val="24"/>
              <w:szCs w:val="24"/>
            </w:rPr>
            <w:fldChar w:fldCharType="begin"/>
          </w:r>
          <w:r w:rsidR="00E960BB">
            <w:rPr>
              <w:rFonts w:ascii="Times New Roman" w:hAnsi="Times New Roman" w:cs="Times New Roman"/>
              <w:sz w:val="24"/>
              <w:szCs w:val="24"/>
            </w:rPr>
            <w:instrText xml:space="preserve">CITATION Cab11 \p 17 \l 3082 </w:instrText>
          </w:r>
          <w:r w:rsidR="00E960BB">
            <w:rPr>
              <w:rFonts w:ascii="Times New Roman" w:hAnsi="Times New Roman" w:cs="Times New Roman"/>
              <w:sz w:val="24"/>
              <w:szCs w:val="24"/>
            </w:rPr>
            <w:fldChar w:fldCharType="separate"/>
          </w:r>
          <w:r w:rsidR="00246FA0">
            <w:rPr>
              <w:rFonts w:ascii="Times New Roman" w:hAnsi="Times New Roman" w:cs="Times New Roman"/>
              <w:noProof/>
              <w:sz w:val="24"/>
              <w:szCs w:val="24"/>
            </w:rPr>
            <w:t xml:space="preserve"> </w:t>
          </w:r>
          <w:r w:rsidR="00246FA0" w:rsidRPr="00246FA0">
            <w:rPr>
              <w:rFonts w:ascii="Times New Roman" w:hAnsi="Times New Roman" w:cs="Times New Roman"/>
              <w:noProof/>
              <w:sz w:val="24"/>
              <w:szCs w:val="24"/>
            </w:rPr>
            <w:t>(Caballero-Mariscal, 2011, pág. 17)</w:t>
          </w:r>
          <w:r w:rsidR="00E960BB">
            <w:rPr>
              <w:rFonts w:ascii="Times New Roman" w:hAnsi="Times New Roman" w:cs="Times New Roman"/>
              <w:sz w:val="24"/>
              <w:szCs w:val="24"/>
            </w:rPr>
            <w:fldChar w:fldCharType="end"/>
          </w:r>
        </w:sdtContent>
      </w:sdt>
      <w:r w:rsidR="00026818">
        <w:rPr>
          <w:rFonts w:ascii="Times New Roman" w:hAnsi="Times New Roman" w:cs="Times New Roman"/>
          <w:sz w:val="24"/>
          <w:szCs w:val="24"/>
        </w:rPr>
        <w:t>.</w:t>
      </w:r>
      <w:r w:rsidR="00E960BB">
        <w:rPr>
          <w:rFonts w:ascii="Times New Roman" w:hAnsi="Times New Roman" w:cs="Times New Roman"/>
          <w:sz w:val="24"/>
          <w:szCs w:val="24"/>
        </w:rPr>
        <w:t xml:space="preserve"> Estados Unidos era el Estado acreditante en los dos </w:t>
      </w:r>
      <w:r w:rsidR="00845063">
        <w:rPr>
          <w:rFonts w:ascii="Times New Roman" w:hAnsi="Times New Roman" w:cs="Times New Roman"/>
          <w:sz w:val="24"/>
          <w:szCs w:val="24"/>
        </w:rPr>
        <w:t xml:space="preserve">últimos casos que </w:t>
      </w:r>
      <w:r w:rsidR="00E960BB">
        <w:rPr>
          <w:rFonts w:ascii="Times New Roman" w:hAnsi="Times New Roman" w:cs="Times New Roman"/>
          <w:sz w:val="24"/>
          <w:szCs w:val="24"/>
        </w:rPr>
        <w:t xml:space="preserve">tuvieron una gran proyección a nivel interno hasta tal punto que se convirtieron en asuntos controvertidos en las elecciones presidenciales de 1980 entre Carter y Reagan, de 2012 entre Obama y Romney, y de 2016 entre Clinton y Trump. </w:t>
      </w:r>
      <w:r w:rsidR="00BC7437">
        <w:rPr>
          <w:rFonts w:ascii="Times New Roman" w:hAnsi="Times New Roman" w:cs="Times New Roman"/>
          <w:sz w:val="24"/>
          <w:szCs w:val="24"/>
        </w:rPr>
        <w:t>E</w:t>
      </w:r>
      <w:r w:rsidR="00E960BB">
        <w:rPr>
          <w:rFonts w:ascii="Times New Roman" w:hAnsi="Times New Roman" w:cs="Times New Roman"/>
          <w:sz w:val="24"/>
          <w:szCs w:val="24"/>
        </w:rPr>
        <w:t>s incontestable la importancia de estos acontecimientos para las relaciones internacionales</w:t>
      </w:r>
      <w:r w:rsidR="00BC7437">
        <w:rPr>
          <w:rFonts w:ascii="Times New Roman" w:hAnsi="Times New Roman" w:cs="Times New Roman"/>
          <w:sz w:val="24"/>
          <w:szCs w:val="24"/>
        </w:rPr>
        <w:t xml:space="preserve">, porque </w:t>
      </w:r>
      <w:r w:rsidR="00E960BB">
        <w:rPr>
          <w:rFonts w:ascii="Times New Roman" w:hAnsi="Times New Roman" w:cs="Times New Roman"/>
          <w:sz w:val="24"/>
          <w:szCs w:val="24"/>
        </w:rPr>
        <w:t>toda vulneración por parte del Estado receptor de sus obligaciones convencionales relativas a la inviolabilidad de la misión diplomática o de la oficina consular ha</w:t>
      </w:r>
      <w:r w:rsidR="00BC7437">
        <w:rPr>
          <w:rFonts w:ascii="Times New Roman" w:hAnsi="Times New Roman" w:cs="Times New Roman"/>
          <w:sz w:val="24"/>
          <w:szCs w:val="24"/>
        </w:rPr>
        <w:t>n</w:t>
      </w:r>
      <w:r w:rsidR="00E960BB">
        <w:rPr>
          <w:rFonts w:ascii="Times New Roman" w:hAnsi="Times New Roman" w:cs="Times New Roman"/>
          <w:sz w:val="24"/>
          <w:szCs w:val="24"/>
        </w:rPr>
        <w:t xml:space="preserve"> resultado en la justificada ruptura de relaciones diplomáticas por parte del Estado acreditante, así como en un asunto de gran relevancia en la política interna de estos países. </w:t>
      </w:r>
    </w:p>
    <w:p w14:paraId="7DDEDA7C" w14:textId="224D819F" w:rsidR="00E960BB" w:rsidRDefault="00E960BB" w:rsidP="0027686E">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QUINTO, estos sucesos están marcados por la impunidad de los autores del incumplimiento de la inviolabilidad, ya que apenas han recibido el tratamiento judicial preceptivo con el fin de depurar las responsabilidad</w:t>
      </w:r>
      <w:r w:rsidR="00234B65">
        <w:rPr>
          <w:rFonts w:ascii="Times New Roman" w:hAnsi="Times New Roman" w:cs="Times New Roman"/>
          <w:sz w:val="24"/>
          <w:szCs w:val="24"/>
        </w:rPr>
        <w:t>es</w:t>
      </w:r>
      <w:r>
        <w:rPr>
          <w:rFonts w:ascii="Times New Roman" w:hAnsi="Times New Roman" w:cs="Times New Roman"/>
          <w:sz w:val="24"/>
          <w:szCs w:val="24"/>
        </w:rPr>
        <w:t xml:space="preserve"> por estos acontecimientos. </w:t>
      </w:r>
      <w:r w:rsidR="00234B65">
        <w:rPr>
          <w:rFonts w:ascii="Times New Roman" w:hAnsi="Times New Roman" w:cs="Times New Roman"/>
          <w:sz w:val="24"/>
          <w:szCs w:val="24"/>
        </w:rPr>
        <w:t xml:space="preserve">Primero, el caso de Guatemala es de especial interés, ya que en un principio la mayoría de </w:t>
      </w:r>
      <w:r w:rsidR="00845063">
        <w:rPr>
          <w:rFonts w:ascii="Times New Roman" w:hAnsi="Times New Roman" w:cs="Times New Roman"/>
          <w:sz w:val="24"/>
          <w:szCs w:val="24"/>
        </w:rPr>
        <w:t xml:space="preserve">los </w:t>
      </w:r>
      <w:r w:rsidR="00234B65">
        <w:rPr>
          <w:rFonts w:ascii="Times New Roman" w:hAnsi="Times New Roman" w:cs="Times New Roman"/>
          <w:sz w:val="24"/>
          <w:szCs w:val="24"/>
        </w:rPr>
        <w:t>hechos de estas características no han sido juzgados, dando lugar a un “reinado de la impunidad”</w:t>
      </w:r>
      <w:sdt>
        <w:sdtPr>
          <w:rPr>
            <w:rFonts w:ascii="Times New Roman" w:hAnsi="Times New Roman" w:cs="Times New Roman"/>
            <w:sz w:val="24"/>
            <w:szCs w:val="24"/>
          </w:rPr>
          <w:id w:val="-1121296433"/>
          <w:citation/>
        </w:sdtPr>
        <w:sdtContent>
          <w:r w:rsidR="00234B65">
            <w:rPr>
              <w:rFonts w:ascii="Times New Roman" w:hAnsi="Times New Roman" w:cs="Times New Roman"/>
              <w:sz w:val="24"/>
              <w:szCs w:val="24"/>
            </w:rPr>
            <w:fldChar w:fldCharType="begin"/>
          </w:r>
          <w:r w:rsidR="00234B65">
            <w:rPr>
              <w:rFonts w:ascii="Times New Roman" w:hAnsi="Times New Roman" w:cs="Times New Roman"/>
              <w:sz w:val="24"/>
              <w:szCs w:val="24"/>
            </w:rPr>
            <w:instrText xml:space="preserve">CITATION Cab11 \p 22 \l 3082 </w:instrText>
          </w:r>
          <w:r w:rsidR="00234B65">
            <w:rPr>
              <w:rFonts w:ascii="Times New Roman" w:hAnsi="Times New Roman" w:cs="Times New Roman"/>
              <w:sz w:val="24"/>
              <w:szCs w:val="24"/>
            </w:rPr>
            <w:fldChar w:fldCharType="separate"/>
          </w:r>
          <w:r w:rsidR="00246FA0">
            <w:rPr>
              <w:rFonts w:ascii="Times New Roman" w:hAnsi="Times New Roman" w:cs="Times New Roman"/>
              <w:noProof/>
              <w:sz w:val="24"/>
              <w:szCs w:val="24"/>
            </w:rPr>
            <w:t xml:space="preserve"> </w:t>
          </w:r>
          <w:r w:rsidR="00246FA0" w:rsidRPr="00246FA0">
            <w:rPr>
              <w:rFonts w:ascii="Times New Roman" w:hAnsi="Times New Roman" w:cs="Times New Roman"/>
              <w:noProof/>
              <w:sz w:val="24"/>
              <w:szCs w:val="24"/>
            </w:rPr>
            <w:t>(Caballero-Mariscal, 2011, pág. 22)</w:t>
          </w:r>
          <w:r w:rsidR="00234B65">
            <w:rPr>
              <w:rFonts w:ascii="Times New Roman" w:hAnsi="Times New Roman" w:cs="Times New Roman"/>
              <w:sz w:val="24"/>
              <w:szCs w:val="24"/>
            </w:rPr>
            <w:fldChar w:fldCharType="end"/>
          </w:r>
        </w:sdtContent>
      </w:sdt>
      <w:r w:rsidR="00234B65">
        <w:rPr>
          <w:rFonts w:ascii="Times New Roman" w:hAnsi="Times New Roman" w:cs="Times New Roman"/>
          <w:sz w:val="24"/>
          <w:szCs w:val="24"/>
        </w:rPr>
        <w:t>. Sin embargo, la sentencia del 2015 que condenó a la jefe de policía Pedro García Arredondo a 90 años de prisión por la quema y masacre de la Embajada supone un verdadero precedente en la lucha contra la impunidad, pues sirve como cauce para depurar la responsabilidad internacional del Estado acreditante a través de la responsabilidad penal de los individuos que formaron parte de las autoridades del Estado receptor. Segundo, el caso de los rehenes en la Embajada estadounidense en Teherán fue juzgado por</w:t>
      </w:r>
      <w:r w:rsidR="00845063">
        <w:rPr>
          <w:rFonts w:ascii="Times New Roman" w:hAnsi="Times New Roman" w:cs="Times New Roman"/>
          <w:sz w:val="24"/>
          <w:szCs w:val="24"/>
        </w:rPr>
        <w:t xml:space="preserve"> el</w:t>
      </w:r>
      <w:r w:rsidR="00234B65">
        <w:rPr>
          <w:rFonts w:ascii="Times New Roman" w:hAnsi="Times New Roman" w:cs="Times New Roman"/>
          <w:sz w:val="24"/>
          <w:szCs w:val="24"/>
        </w:rPr>
        <w:t xml:space="preserve"> Tribunal Internacional de Justicia que determin</w:t>
      </w:r>
      <w:r w:rsidR="00174511">
        <w:rPr>
          <w:rFonts w:ascii="Times New Roman" w:hAnsi="Times New Roman" w:cs="Times New Roman"/>
          <w:sz w:val="24"/>
          <w:szCs w:val="24"/>
        </w:rPr>
        <w:t>ó</w:t>
      </w:r>
      <w:r w:rsidR="00234B65">
        <w:rPr>
          <w:rFonts w:ascii="Times New Roman" w:hAnsi="Times New Roman" w:cs="Times New Roman"/>
          <w:sz w:val="24"/>
          <w:szCs w:val="24"/>
        </w:rPr>
        <w:t xml:space="preserve"> la responsabilidad internacional del Estado receptor y su obligación de reparar los daños </w:t>
      </w:r>
      <w:r w:rsidR="00BC7437">
        <w:rPr>
          <w:rFonts w:ascii="Times New Roman" w:hAnsi="Times New Roman" w:cs="Times New Roman"/>
          <w:sz w:val="24"/>
          <w:szCs w:val="24"/>
        </w:rPr>
        <w:t>causados</w:t>
      </w:r>
      <w:r w:rsidR="00234B65">
        <w:rPr>
          <w:rFonts w:ascii="Times New Roman" w:hAnsi="Times New Roman" w:cs="Times New Roman"/>
          <w:sz w:val="24"/>
          <w:szCs w:val="24"/>
        </w:rPr>
        <w:t xml:space="preserve"> </w:t>
      </w:r>
      <w:r w:rsidR="00BC7437">
        <w:rPr>
          <w:rFonts w:ascii="Times New Roman" w:hAnsi="Times New Roman" w:cs="Times New Roman"/>
          <w:sz w:val="24"/>
          <w:szCs w:val="24"/>
        </w:rPr>
        <w:t>por</w:t>
      </w:r>
      <w:r w:rsidR="00234B65">
        <w:rPr>
          <w:rFonts w:ascii="Times New Roman" w:hAnsi="Times New Roman" w:cs="Times New Roman"/>
          <w:sz w:val="24"/>
          <w:szCs w:val="24"/>
        </w:rPr>
        <w:t xml:space="preserve"> los asaltos a la misión diplomática y los consulados, y del secuestro del personal diplomático y consular. No obstante,</w:t>
      </w:r>
      <w:r w:rsidR="00083D68">
        <w:rPr>
          <w:rFonts w:ascii="Times New Roman" w:hAnsi="Times New Roman" w:cs="Times New Roman"/>
          <w:sz w:val="24"/>
          <w:szCs w:val="24"/>
        </w:rPr>
        <w:t xml:space="preserve"> resultó imposible la ejecución de esta sentencia debido a la ausencia de un poder vinculante capaz de depurar las responsabilidades de los actores en la sociedad internacional. Por último, el ataque terrorista al consulado estadounidense ha quedado totalmente impune, ya que el Estado libio es incapaz de ejercer un control efectivo sobre las diferentes facciones y grupos </w:t>
      </w:r>
      <w:r w:rsidR="00083D68">
        <w:rPr>
          <w:rFonts w:ascii="Times New Roman" w:hAnsi="Times New Roman" w:cs="Times New Roman"/>
          <w:sz w:val="24"/>
          <w:szCs w:val="24"/>
        </w:rPr>
        <w:lastRenderedPageBreak/>
        <w:t xml:space="preserve">terroristas que han resultado del escenario </w:t>
      </w:r>
      <w:proofErr w:type="spellStart"/>
      <w:proofErr w:type="gramStart"/>
      <w:r w:rsidR="00083D68">
        <w:rPr>
          <w:rFonts w:ascii="Times New Roman" w:hAnsi="Times New Roman" w:cs="Times New Roman"/>
          <w:sz w:val="24"/>
          <w:szCs w:val="24"/>
        </w:rPr>
        <w:t>post-revolucionario</w:t>
      </w:r>
      <w:proofErr w:type="spellEnd"/>
      <w:proofErr w:type="gramEnd"/>
      <w:r w:rsidR="00083D68">
        <w:rPr>
          <w:rFonts w:ascii="Times New Roman" w:hAnsi="Times New Roman" w:cs="Times New Roman"/>
          <w:sz w:val="24"/>
          <w:szCs w:val="24"/>
        </w:rPr>
        <w:t>. También demuestra la dificultad de</w:t>
      </w:r>
      <w:r w:rsidR="00845063">
        <w:rPr>
          <w:rFonts w:ascii="Times New Roman" w:hAnsi="Times New Roman" w:cs="Times New Roman"/>
          <w:sz w:val="24"/>
          <w:szCs w:val="24"/>
        </w:rPr>
        <w:t xml:space="preserve"> la</w:t>
      </w:r>
      <w:r w:rsidR="00083D68">
        <w:rPr>
          <w:rFonts w:ascii="Times New Roman" w:hAnsi="Times New Roman" w:cs="Times New Roman"/>
          <w:sz w:val="24"/>
          <w:szCs w:val="24"/>
        </w:rPr>
        <w:t xml:space="preserve"> lucha contra el terrorismo islámico, pues Estado Unidos tampoco ha sido capaz de juzgar a los autores directos del atentado.</w:t>
      </w:r>
      <w:r w:rsidR="005351EF">
        <w:rPr>
          <w:rFonts w:ascii="Times New Roman" w:hAnsi="Times New Roman" w:cs="Times New Roman"/>
          <w:sz w:val="24"/>
          <w:szCs w:val="24"/>
        </w:rPr>
        <w:t xml:space="preserve"> </w:t>
      </w:r>
    </w:p>
    <w:p w14:paraId="29BAF4B0" w14:textId="3585D46E" w:rsidR="009C1844" w:rsidRDefault="005351EF" w:rsidP="0027686E">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SEXTO, el estudio de los casos del </w:t>
      </w:r>
      <w:r w:rsidR="00174511">
        <w:rPr>
          <w:rFonts w:ascii="Times New Roman" w:hAnsi="Times New Roman" w:cs="Times New Roman"/>
          <w:sz w:val="24"/>
          <w:szCs w:val="24"/>
        </w:rPr>
        <w:t>a</w:t>
      </w:r>
      <w:r>
        <w:rPr>
          <w:rFonts w:ascii="Times New Roman" w:hAnsi="Times New Roman" w:cs="Times New Roman"/>
          <w:sz w:val="24"/>
          <w:szCs w:val="24"/>
        </w:rPr>
        <w:t xml:space="preserve">salto y </w:t>
      </w:r>
      <w:r w:rsidR="00174511">
        <w:rPr>
          <w:rFonts w:ascii="Times New Roman" w:hAnsi="Times New Roman" w:cs="Times New Roman"/>
          <w:sz w:val="24"/>
          <w:szCs w:val="24"/>
        </w:rPr>
        <w:t>q</w:t>
      </w:r>
      <w:r>
        <w:rPr>
          <w:rFonts w:ascii="Times New Roman" w:hAnsi="Times New Roman" w:cs="Times New Roman"/>
          <w:sz w:val="24"/>
          <w:szCs w:val="24"/>
        </w:rPr>
        <w:t xml:space="preserve">uema a la Embajada de España en Guatemala, el Caso de los Rehenes estadounidenses en la Embajada de Estados Unidos en Teherán y el Ataque terrorista al Consulado de Estados Unidos en Bengasí ha </w:t>
      </w:r>
      <w:r w:rsidR="00845063">
        <w:rPr>
          <w:rFonts w:ascii="Times New Roman" w:hAnsi="Times New Roman" w:cs="Times New Roman"/>
          <w:sz w:val="24"/>
          <w:szCs w:val="24"/>
        </w:rPr>
        <w:t>confirmado las hipótesis pr</w:t>
      </w:r>
      <w:r w:rsidR="00BC7437">
        <w:rPr>
          <w:rFonts w:ascii="Times New Roman" w:hAnsi="Times New Roman" w:cs="Times New Roman"/>
          <w:sz w:val="24"/>
          <w:szCs w:val="24"/>
        </w:rPr>
        <w:t>opuesta</w:t>
      </w:r>
      <w:r w:rsidR="00845063">
        <w:rPr>
          <w:rFonts w:ascii="Times New Roman" w:hAnsi="Times New Roman" w:cs="Times New Roman"/>
          <w:sz w:val="24"/>
          <w:szCs w:val="24"/>
        </w:rPr>
        <w:t xml:space="preserve">s al principio del trabajo y </w:t>
      </w:r>
      <w:r>
        <w:rPr>
          <w:rFonts w:ascii="Times New Roman" w:hAnsi="Times New Roman" w:cs="Times New Roman"/>
          <w:sz w:val="24"/>
          <w:szCs w:val="24"/>
        </w:rPr>
        <w:t xml:space="preserve">determinado </w:t>
      </w:r>
      <w:r w:rsidR="009C1844">
        <w:rPr>
          <w:rFonts w:ascii="Times New Roman" w:hAnsi="Times New Roman" w:cs="Times New Roman"/>
          <w:sz w:val="24"/>
          <w:szCs w:val="24"/>
        </w:rPr>
        <w:t xml:space="preserve">las siguientes conclusiones: </w:t>
      </w:r>
    </w:p>
    <w:p w14:paraId="57CA6969" w14:textId="77777777" w:rsidR="009C1844" w:rsidRDefault="009C1844" w:rsidP="009C1844">
      <w:pPr>
        <w:pStyle w:val="Prrafodelista"/>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contexto político y social del Estado receptor juega un papel determinante en estos acontecimientos, ya que la inestabilidad política y la inseguridad son factores propicios para predecir estos sucesos. </w:t>
      </w:r>
    </w:p>
    <w:p w14:paraId="2158D2F6" w14:textId="3B179B7C" w:rsidR="009C1844" w:rsidRDefault="009C1844" w:rsidP="009C1844">
      <w:pPr>
        <w:pStyle w:val="Prrafodelista"/>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Los Estados receptores cuyo sistema político no sea democrático será más propenso al incumplimiento de sus obligaciones internacionales.</w:t>
      </w:r>
    </w:p>
    <w:p w14:paraId="44A67E75" w14:textId="6E2B4E23" w:rsidR="005351EF" w:rsidRDefault="009C1844" w:rsidP="009C1844">
      <w:pPr>
        <w:pStyle w:val="Prrafodelista"/>
        <w:numPr>
          <w:ilvl w:val="0"/>
          <w:numId w:val="4"/>
        </w:numPr>
        <w:spacing w:line="360" w:lineRule="auto"/>
        <w:jc w:val="both"/>
        <w:rPr>
          <w:rFonts w:ascii="Times New Roman" w:hAnsi="Times New Roman" w:cs="Times New Roman"/>
          <w:sz w:val="24"/>
          <w:szCs w:val="24"/>
        </w:rPr>
      </w:pPr>
      <w:r w:rsidRPr="009C1844">
        <w:rPr>
          <w:rFonts w:ascii="Times New Roman" w:hAnsi="Times New Roman" w:cs="Times New Roman"/>
          <w:sz w:val="24"/>
          <w:szCs w:val="24"/>
        </w:rPr>
        <w:t>La vulneraci</w:t>
      </w:r>
      <w:r>
        <w:rPr>
          <w:rFonts w:ascii="Times New Roman" w:hAnsi="Times New Roman" w:cs="Times New Roman"/>
          <w:sz w:val="24"/>
          <w:szCs w:val="24"/>
        </w:rPr>
        <w:t xml:space="preserve">ón </w:t>
      </w:r>
      <w:r w:rsidRPr="009C1844">
        <w:rPr>
          <w:rFonts w:ascii="Times New Roman" w:hAnsi="Times New Roman" w:cs="Times New Roman"/>
          <w:sz w:val="24"/>
          <w:szCs w:val="24"/>
        </w:rPr>
        <w:t xml:space="preserve">del principio de la inviolabilidad de los locales ha conllevado siempre la violación por parte del Estado receptor de otras obligaciones internacionales reconocidas en las Convenciones de Viena sobre Relaciones Diplomáticas de 1961 y sobre Relaciones Consulares de 1963, en relación con la inviolabilidad de los bienes, archivos y documentos, y del personal diplomático y consulares. </w:t>
      </w:r>
    </w:p>
    <w:p w14:paraId="0E618D0E" w14:textId="0DCAE09D" w:rsidR="009C1844" w:rsidRDefault="009C1844" w:rsidP="009C1844">
      <w:pPr>
        <w:pStyle w:val="Prrafodelista"/>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Estos acontecimientos no han pasado desapercibidos para las relaciones entre los Estados, pues todo incumplimiento por parte del Estado receptor de la inviolabilidad </w:t>
      </w:r>
      <w:r w:rsidR="000C17BB">
        <w:rPr>
          <w:rFonts w:ascii="Times New Roman" w:hAnsi="Times New Roman" w:cs="Times New Roman"/>
          <w:sz w:val="24"/>
          <w:szCs w:val="24"/>
        </w:rPr>
        <w:t xml:space="preserve">de los locales ha resultado en la consiguiente ruptura de las relaciones diplomáticas. </w:t>
      </w:r>
    </w:p>
    <w:p w14:paraId="7B447072" w14:textId="1841B3B4" w:rsidR="009C1844" w:rsidRPr="000C17BB" w:rsidRDefault="009C1844" w:rsidP="000C17BB">
      <w:pPr>
        <w:pStyle w:val="Prrafodelista"/>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Pr="009C1844">
        <w:rPr>
          <w:rFonts w:ascii="Times New Roman" w:hAnsi="Times New Roman" w:cs="Times New Roman"/>
          <w:sz w:val="24"/>
          <w:szCs w:val="24"/>
        </w:rPr>
        <w:t>l incumplimiento por parte del Estado receptor de la inviolabilidad de las sedes diplomáticas y consulares supone un hecho ilícito internacional de grandísima relevancia que ha quedado</w:t>
      </w:r>
      <w:r w:rsidR="00143566">
        <w:rPr>
          <w:rFonts w:ascii="Times New Roman" w:hAnsi="Times New Roman" w:cs="Times New Roman"/>
          <w:sz w:val="24"/>
          <w:szCs w:val="24"/>
        </w:rPr>
        <w:t xml:space="preserve"> prácticamente</w:t>
      </w:r>
      <w:r w:rsidRPr="009C1844">
        <w:rPr>
          <w:rFonts w:ascii="Times New Roman" w:hAnsi="Times New Roman" w:cs="Times New Roman"/>
          <w:sz w:val="24"/>
          <w:szCs w:val="24"/>
        </w:rPr>
        <w:t xml:space="preserve"> impune hasta nuestros días</w:t>
      </w:r>
      <w:r w:rsidR="000C17BB">
        <w:rPr>
          <w:rFonts w:ascii="Times New Roman" w:hAnsi="Times New Roman" w:cs="Times New Roman"/>
          <w:sz w:val="24"/>
          <w:szCs w:val="24"/>
        </w:rPr>
        <w:t xml:space="preserve">, con la salvedad del cauce de la responsabilidad penal individual de los autores directos. </w:t>
      </w:r>
    </w:p>
    <w:p w14:paraId="0DA1064B" w14:textId="757B1DF8" w:rsidR="00250A86" w:rsidRDefault="00250A86" w:rsidP="00843725">
      <w:pPr>
        <w:spacing w:line="360" w:lineRule="auto"/>
        <w:ind w:firstLine="720"/>
        <w:jc w:val="both"/>
        <w:rPr>
          <w:rFonts w:ascii="Times New Roman" w:hAnsi="Times New Roman" w:cs="Times New Roman"/>
          <w:sz w:val="24"/>
          <w:szCs w:val="24"/>
        </w:rPr>
      </w:pPr>
    </w:p>
    <w:p w14:paraId="0F39B22D" w14:textId="43F5E91C" w:rsidR="00250A86" w:rsidRDefault="00250A86" w:rsidP="00843725">
      <w:pPr>
        <w:spacing w:line="360" w:lineRule="auto"/>
        <w:ind w:firstLine="720"/>
        <w:jc w:val="both"/>
        <w:rPr>
          <w:rFonts w:ascii="Times New Roman" w:hAnsi="Times New Roman" w:cs="Times New Roman"/>
          <w:sz w:val="24"/>
          <w:szCs w:val="24"/>
        </w:rPr>
      </w:pPr>
    </w:p>
    <w:p w14:paraId="7185A66E" w14:textId="77777777" w:rsidR="00A4214F" w:rsidRDefault="00A4214F" w:rsidP="00A81BF9">
      <w:pPr>
        <w:spacing w:line="360" w:lineRule="auto"/>
        <w:jc w:val="both"/>
        <w:rPr>
          <w:rFonts w:ascii="Times New Roman" w:hAnsi="Times New Roman" w:cs="Times New Roman"/>
          <w:sz w:val="24"/>
          <w:szCs w:val="24"/>
        </w:rPr>
      </w:pPr>
    </w:p>
    <w:bookmarkStart w:id="40" w:name="_Toc65498631" w:displacedByCustomXml="next"/>
    <w:sdt>
      <w:sdtPr>
        <w:rPr>
          <w:rFonts w:ascii="Arial" w:eastAsia="Arial" w:hAnsi="Arial" w:cs="Arial"/>
          <w:color w:val="auto"/>
          <w:sz w:val="22"/>
          <w:szCs w:val="22"/>
        </w:rPr>
        <w:id w:val="2050018417"/>
        <w:docPartObj>
          <w:docPartGallery w:val="Bibliographies"/>
          <w:docPartUnique/>
        </w:docPartObj>
      </w:sdtPr>
      <w:sdtEndPr>
        <w:rPr>
          <w:rFonts w:ascii="Times New Roman" w:hAnsi="Times New Roman" w:cs="Times New Roman"/>
          <w:sz w:val="24"/>
          <w:szCs w:val="24"/>
        </w:rPr>
      </w:sdtEndPr>
      <w:sdtContent>
        <w:p w14:paraId="2F134DE5" w14:textId="5117B6B6" w:rsidR="00843725" w:rsidRPr="0027604A" w:rsidRDefault="00843725">
          <w:pPr>
            <w:pStyle w:val="Ttulo1"/>
            <w:rPr>
              <w:rFonts w:ascii="Times New Roman" w:hAnsi="Times New Roman" w:cs="Times New Roman"/>
            </w:rPr>
          </w:pPr>
          <w:r w:rsidRPr="0027604A">
            <w:rPr>
              <w:rFonts w:ascii="Times New Roman" w:hAnsi="Times New Roman" w:cs="Times New Roman"/>
            </w:rPr>
            <w:t>Bibliografía</w:t>
          </w:r>
          <w:bookmarkEnd w:id="40"/>
          <w:r w:rsidR="0008299F">
            <w:rPr>
              <w:rStyle w:val="Refdenotaalpie"/>
              <w:rFonts w:ascii="Times New Roman" w:hAnsi="Times New Roman" w:cs="Times New Roman"/>
            </w:rPr>
            <w:footnoteReference w:id="38"/>
          </w:r>
        </w:p>
        <w:sdt>
          <w:sdtPr>
            <w:id w:val="111145805"/>
            <w:bibliography/>
          </w:sdtPr>
          <w:sdtEndPr>
            <w:rPr>
              <w:rFonts w:ascii="Times New Roman" w:hAnsi="Times New Roman" w:cs="Times New Roman"/>
              <w:sz w:val="24"/>
              <w:szCs w:val="24"/>
            </w:rPr>
          </w:sdtEndPr>
          <w:sdtContent>
            <w:p w14:paraId="1B11805C" w14:textId="17A6A3CC" w:rsidR="00246FA0" w:rsidRPr="00920568" w:rsidRDefault="00843725" w:rsidP="00920568">
              <w:pPr>
                <w:pStyle w:val="Bibliografa"/>
                <w:spacing w:line="360" w:lineRule="auto"/>
                <w:ind w:left="720" w:hanging="720"/>
                <w:jc w:val="both"/>
                <w:rPr>
                  <w:rFonts w:ascii="Times New Roman" w:hAnsi="Times New Roman" w:cs="Times New Roman"/>
                  <w:noProof/>
                  <w:sz w:val="24"/>
                  <w:szCs w:val="24"/>
                </w:rPr>
              </w:pPr>
              <w:r w:rsidRPr="00920568">
                <w:rPr>
                  <w:rFonts w:ascii="Times New Roman" w:hAnsi="Times New Roman" w:cs="Times New Roman"/>
                  <w:sz w:val="24"/>
                  <w:szCs w:val="24"/>
                </w:rPr>
                <w:fldChar w:fldCharType="begin"/>
              </w:r>
              <w:r w:rsidRPr="00920568">
                <w:rPr>
                  <w:rFonts w:ascii="Times New Roman" w:hAnsi="Times New Roman" w:cs="Times New Roman"/>
                  <w:sz w:val="24"/>
                  <w:szCs w:val="24"/>
                </w:rPr>
                <w:instrText>BIBLIOGRAPHY</w:instrText>
              </w:r>
              <w:r w:rsidRPr="00920568">
                <w:rPr>
                  <w:rFonts w:ascii="Times New Roman" w:hAnsi="Times New Roman" w:cs="Times New Roman"/>
                  <w:sz w:val="24"/>
                  <w:szCs w:val="24"/>
                </w:rPr>
                <w:fldChar w:fldCharType="separate"/>
              </w:r>
              <w:r w:rsidR="00246FA0" w:rsidRPr="00920568">
                <w:rPr>
                  <w:rFonts w:ascii="Times New Roman" w:hAnsi="Times New Roman" w:cs="Times New Roman"/>
                  <w:noProof/>
                </w:rPr>
                <w:t xml:space="preserve">Alonso Berrio, M. (2003). Los Estados fallidos. En J. Fuentes Monzonís-Villalonga, </w:t>
              </w:r>
              <w:r w:rsidR="00246FA0" w:rsidRPr="00920568">
                <w:rPr>
                  <w:rFonts w:ascii="Times New Roman" w:hAnsi="Times New Roman" w:cs="Times New Roman"/>
                  <w:i/>
                  <w:iCs/>
                  <w:noProof/>
                </w:rPr>
                <w:t>Nuevos riesgos para la sociedad del futuro</w:t>
              </w:r>
              <w:r w:rsidR="001209AD">
                <w:rPr>
                  <w:rFonts w:ascii="Times New Roman" w:hAnsi="Times New Roman" w:cs="Times New Roman"/>
                  <w:noProof/>
                </w:rPr>
                <w:t>,</w:t>
              </w:r>
              <w:r w:rsidR="00246FA0" w:rsidRPr="00920568">
                <w:rPr>
                  <w:rFonts w:ascii="Times New Roman" w:hAnsi="Times New Roman" w:cs="Times New Roman"/>
                  <w:noProof/>
                </w:rPr>
                <w:t xml:space="preserve"> Madrid: Instituto Español de Estudios Estratégicos</w:t>
              </w:r>
              <w:r w:rsidR="001209AD">
                <w:rPr>
                  <w:rFonts w:ascii="Times New Roman" w:hAnsi="Times New Roman" w:cs="Times New Roman"/>
                  <w:noProof/>
                </w:rPr>
                <w:t xml:space="preserve">, pp. 197 -212. </w:t>
              </w:r>
            </w:p>
            <w:p w14:paraId="097619E6" w14:textId="19193941" w:rsidR="00246FA0" w:rsidRPr="00920568" w:rsidRDefault="00246FA0" w:rsidP="00920568">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Álvarez-Ossorio, I.</w:t>
              </w:r>
              <w:r w:rsidR="001209AD" w:rsidRPr="001209AD">
                <w:rPr>
                  <w:rFonts w:ascii="Times New Roman" w:hAnsi="Times New Roman" w:cs="Times New Roman"/>
                  <w:noProof/>
                </w:rPr>
                <w:t xml:space="preserve"> </w:t>
              </w:r>
              <w:r w:rsidR="001209AD">
                <w:rPr>
                  <w:rFonts w:ascii="Times New Roman" w:hAnsi="Times New Roman" w:cs="Times New Roman"/>
                  <w:noProof/>
                </w:rPr>
                <w:t xml:space="preserve">(21 </w:t>
              </w:r>
              <w:r w:rsidR="001209AD" w:rsidRPr="001209AD">
                <w:rPr>
                  <w:rFonts w:ascii="Times New Roman" w:hAnsi="Times New Roman" w:cs="Times New Roman"/>
                  <w:noProof/>
                </w:rPr>
                <w:t>de octubre de 2011</w:t>
              </w:r>
              <w:r w:rsidR="001209AD">
                <w:rPr>
                  <w:rFonts w:ascii="Times New Roman" w:hAnsi="Times New Roman" w:cs="Times New Roman"/>
                  <w:noProof/>
                </w:rPr>
                <w:t>)</w:t>
              </w:r>
              <w:r w:rsidRPr="00920568">
                <w:rPr>
                  <w:rFonts w:ascii="Times New Roman" w:hAnsi="Times New Roman" w:cs="Times New Roman"/>
                  <w:noProof/>
                </w:rPr>
                <w:t xml:space="preserve"> </w:t>
              </w:r>
              <w:r w:rsidR="001209AD">
                <w:rPr>
                  <w:rFonts w:ascii="Times New Roman" w:hAnsi="Times New Roman" w:cs="Times New Roman"/>
                  <w:noProof/>
                </w:rPr>
                <w:t>"</w:t>
              </w:r>
              <w:r w:rsidRPr="001209AD">
                <w:rPr>
                  <w:rFonts w:ascii="Times New Roman" w:hAnsi="Times New Roman" w:cs="Times New Roman"/>
                  <w:noProof/>
                </w:rPr>
                <w:t>Un país sin cultura democrática</w:t>
              </w:r>
              <w:r w:rsidR="001209AD">
                <w:rPr>
                  <w:rFonts w:ascii="Times New Roman" w:hAnsi="Times New Roman" w:cs="Times New Roman"/>
                  <w:noProof/>
                </w:rPr>
                <w:t>"</w:t>
              </w:r>
              <w:r w:rsidR="001209AD">
                <w:rPr>
                  <w:rFonts w:ascii="Times New Roman" w:hAnsi="Times New Roman" w:cs="Times New Roman"/>
                  <w:i/>
                  <w:iCs/>
                  <w:noProof/>
                </w:rPr>
                <w:t xml:space="preserve">, </w:t>
              </w:r>
              <w:r w:rsidRPr="001209AD">
                <w:rPr>
                  <w:rFonts w:ascii="Times New Roman" w:hAnsi="Times New Roman" w:cs="Times New Roman"/>
                  <w:i/>
                  <w:iCs/>
                  <w:noProof/>
                </w:rPr>
                <w:t>El País</w:t>
              </w:r>
              <w:r w:rsidR="001209AD">
                <w:rPr>
                  <w:rFonts w:ascii="Times New Roman" w:hAnsi="Times New Roman" w:cs="Times New Roman"/>
                  <w:noProof/>
                </w:rPr>
                <w:t>,</w:t>
              </w:r>
              <w:r w:rsidRPr="00920568">
                <w:rPr>
                  <w:rFonts w:ascii="Times New Roman" w:hAnsi="Times New Roman" w:cs="Times New Roman"/>
                  <w:noProof/>
                </w:rPr>
                <w:t xml:space="preserve"> https://elpais.com/diario/2011/10/21/internacional/1319148010_850215.html</w:t>
              </w:r>
            </w:p>
            <w:p w14:paraId="12CC432E" w14:textId="5DCDB9B1" w:rsidR="00246FA0" w:rsidRPr="00920568" w:rsidRDefault="00246FA0" w:rsidP="00920568">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 xml:space="preserve">Becerra Becerra, Z. L. (2016). La obligación de repara como principio fundamental del Derecho Internacional. </w:t>
              </w:r>
              <w:r w:rsidRPr="00920568">
                <w:rPr>
                  <w:rFonts w:ascii="Times New Roman" w:hAnsi="Times New Roman" w:cs="Times New Roman"/>
                  <w:i/>
                  <w:iCs/>
                  <w:noProof/>
                </w:rPr>
                <w:t>Revista Jurídica de la Universidad de León</w:t>
              </w:r>
              <w:r w:rsidRPr="00920568">
                <w:rPr>
                  <w:rFonts w:ascii="Times New Roman" w:hAnsi="Times New Roman" w:cs="Times New Roman"/>
                  <w:noProof/>
                </w:rPr>
                <w:t>,</w:t>
              </w:r>
              <w:r w:rsidR="001209AD">
                <w:rPr>
                  <w:rFonts w:ascii="Times New Roman" w:hAnsi="Times New Roman" w:cs="Times New Roman"/>
                  <w:noProof/>
                </w:rPr>
                <w:t xml:space="preserve"> pp.</w:t>
              </w:r>
              <w:r w:rsidRPr="00920568">
                <w:rPr>
                  <w:rFonts w:ascii="Times New Roman" w:hAnsi="Times New Roman" w:cs="Times New Roman"/>
                  <w:noProof/>
                </w:rPr>
                <w:t xml:space="preserve"> 83-91.</w:t>
              </w:r>
            </w:p>
            <w:p w14:paraId="4139FF26" w14:textId="34471E86" w:rsidR="00246FA0" w:rsidRPr="00920568" w:rsidRDefault="00246FA0" w:rsidP="00920568">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 xml:space="preserve">Burgos, P. (1980). Análisis jurídico de los sucesos ocurridos en la Embajada de España en Guatemla. </w:t>
              </w:r>
              <w:r w:rsidRPr="00920568">
                <w:rPr>
                  <w:rFonts w:ascii="Times New Roman" w:hAnsi="Times New Roman" w:cs="Times New Roman"/>
                  <w:i/>
                  <w:iCs/>
                  <w:noProof/>
                </w:rPr>
                <w:t>Facultad de Ciencias Políticas y Sociología de la Universidad Complutense</w:t>
              </w:r>
              <w:r w:rsidRPr="00920568">
                <w:rPr>
                  <w:rFonts w:ascii="Times New Roman" w:hAnsi="Times New Roman" w:cs="Times New Roman"/>
                  <w:noProof/>
                </w:rPr>
                <w:t xml:space="preserve">, </w:t>
              </w:r>
              <w:r w:rsidR="001209AD">
                <w:rPr>
                  <w:rFonts w:ascii="Times New Roman" w:hAnsi="Times New Roman" w:cs="Times New Roman"/>
                  <w:noProof/>
                </w:rPr>
                <w:t xml:space="preserve">pp. </w:t>
              </w:r>
              <w:r w:rsidRPr="00920568">
                <w:rPr>
                  <w:rFonts w:ascii="Times New Roman" w:hAnsi="Times New Roman" w:cs="Times New Roman"/>
                  <w:noProof/>
                </w:rPr>
                <w:t>107-127.</w:t>
              </w:r>
            </w:p>
            <w:p w14:paraId="68FE1A90" w14:textId="2B30B40B" w:rsidR="00246FA0" w:rsidRPr="00920568" w:rsidRDefault="00246FA0" w:rsidP="00920568">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 xml:space="preserve">Caballero-Mariscal, D. (2011). Asalto y Masacre en la Embajada Española en Guatemala Tres Décadas Después: Consecuencias para las Relaciones Bilaterales entre Ambos Estados. </w:t>
              </w:r>
              <w:r w:rsidRPr="00920568">
                <w:rPr>
                  <w:rFonts w:ascii="Times New Roman" w:hAnsi="Times New Roman" w:cs="Times New Roman"/>
                  <w:i/>
                  <w:iCs/>
                  <w:noProof/>
                </w:rPr>
                <w:t>Latin American Journal of Internactional Affairs</w:t>
              </w:r>
              <w:r w:rsidRPr="00920568">
                <w:rPr>
                  <w:rFonts w:ascii="Times New Roman" w:hAnsi="Times New Roman" w:cs="Times New Roman"/>
                  <w:noProof/>
                </w:rPr>
                <w:t xml:space="preserve">, </w:t>
              </w:r>
              <w:r w:rsidR="001209AD">
                <w:rPr>
                  <w:rFonts w:ascii="Times New Roman" w:hAnsi="Times New Roman" w:cs="Times New Roman"/>
                  <w:noProof/>
                </w:rPr>
                <w:t xml:space="preserve">pp. </w:t>
              </w:r>
              <w:r w:rsidRPr="00920568">
                <w:rPr>
                  <w:rFonts w:ascii="Times New Roman" w:hAnsi="Times New Roman" w:cs="Times New Roman"/>
                  <w:noProof/>
                </w:rPr>
                <w:t>1-25.</w:t>
              </w:r>
            </w:p>
            <w:p w14:paraId="774DE445" w14:textId="77777777" w:rsidR="00246FA0" w:rsidRPr="00920568" w:rsidRDefault="00246FA0" w:rsidP="00920568">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 xml:space="preserve">Cahier, P. (1965). </w:t>
              </w:r>
              <w:r w:rsidRPr="00920568">
                <w:rPr>
                  <w:rFonts w:ascii="Times New Roman" w:hAnsi="Times New Roman" w:cs="Times New Roman"/>
                  <w:i/>
                  <w:iCs/>
                  <w:noProof/>
                </w:rPr>
                <w:t>Derecho diplomático contemporáneo.</w:t>
              </w:r>
              <w:r w:rsidRPr="00920568">
                <w:rPr>
                  <w:rFonts w:ascii="Times New Roman" w:hAnsi="Times New Roman" w:cs="Times New Roman"/>
                  <w:noProof/>
                </w:rPr>
                <w:t xml:space="preserve"> Madrid: Rialp.</w:t>
              </w:r>
            </w:p>
            <w:p w14:paraId="023B22BB" w14:textId="77777777" w:rsidR="00246FA0" w:rsidRPr="00920568" w:rsidRDefault="00246FA0" w:rsidP="00920568">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 xml:space="preserve">Calduch Cervera, R. (1993). </w:t>
              </w:r>
              <w:r w:rsidRPr="00920568">
                <w:rPr>
                  <w:rFonts w:ascii="Times New Roman" w:hAnsi="Times New Roman" w:cs="Times New Roman"/>
                  <w:i/>
                  <w:iCs/>
                  <w:noProof/>
                </w:rPr>
                <w:t>Dinámica de la Sociedad Internacional.</w:t>
              </w:r>
              <w:r w:rsidRPr="00920568">
                <w:rPr>
                  <w:rFonts w:ascii="Times New Roman" w:hAnsi="Times New Roman" w:cs="Times New Roman"/>
                  <w:noProof/>
                </w:rPr>
                <w:t xml:space="preserve"> Madrid: Centro de Estudios Universitarios Ramón Areces.</w:t>
              </w:r>
            </w:p>
            <w:p w14:paraId="31B0168F" w14:textId="77777777" w:rsidR="00246FA0" w:rsidRPr="00AA2985" w:rsidRDefault="00246FA0" w:rsidP="00920568">
              <w:pPr>
                <w:pStyle w:val="Bibliografa"/>
                <w:spacing w:line="360" w:lineRule="auto"/>
                <w:ind w:left="720" w:hanging="720"/>
                <w:jc w:val="both"/>
                <w:rPr>
                  <w:rFonts w:ascii="Times New Roman" w:hAnsi="Times New Roman" w:cs="Times New Roman"/>
                  <w:noProof/>
                  <w:lang w:val="en-GB"/>
                </w:rPr>
              </w:pPr>
              <w:r w:rsidRPr="00920568">
                <w:rPr>
                  <w:rFonts w:ascii="Times New Roman" w:hAnsi="Times New Roman" w:cs="Times New Roman"/>
                  <w:noProof/>
                </w:rPr>
                <w:t xml:space="preserve">Calduch Cervera, R. (2003). </w:t>
              </w:r>
              <w:r w:rsidRPr="00920568">
                <w:rPr>
                  <w:rFonts w:ascii="Times New Roman" w:hAnsi="Times New Roman" w:cs="Times New Roman"/>
                  <w:i/>
                  <w:iCs/>
                  <w:noProof/>
                </w:rPr>
                <w:t>Métodos y técnicas de Investigación en Relaciones Internacionales.</w:t>
              </w:r>
              <w:r w:rsidRPr="00920568">
                <w:rPr>
                  <w:rFonts w:ascii="Times New Roman" w:hAnsi="Times New Roman" w:cs="Times New Roman"/>
                  <w:noProof/>
                </w:rPr>
                <w:t xml:space="preserve"> </w:t>
              </w:r>
              <w:r w:rsidRPr="00AA2985">
                <w:rPr>
                  <w:rFonts w:ascii="Times New Roman" w:hAnsi="Times New Roman" w:cs="Times New Roman"/>
                  <w:noProof/>
                  <w:lang w:val="en-GB"/>
                </w:rPr>
                <w:t>Universidad Complutense de Madrid.</w:t>
              </w:r>
            </w:p>
            <w:p w14:paraId="4B5E2F63" w14:textId="24553B0F" w:rsidR="00246FA0" w:rsidRPr="00AA2985" w:rsidRDefault="00246FA0" w:rsidP="00920568">
              <w:pPr>
                <w:pStyle w:val="Bibliografa"/>
                <w:spacing w:line="360" w:lineRule="auto"/>
                <w:ind w:left="720" w:hanging="720"/>
                <w:jc w:val="both"/>
                <w:rPr>
                  <w:rFonts w:ascii="Times New Roman" w:hAnsi="Times New Roman" w:cs="Times New Roman"/>
                  <w:noProof/>
                  <w:lang w:val="en-GB"/>
                </w:rPr>
              </w:pPr>
              <w:r w:rsidRPr="00AA2985">
                <w:rPr>
                  <w:rFonts w:ascii="Times New Roman" w:hAnsi="Times New Roman" w:cs="Times New Roman"/>
                  <w:noProof/>
                  <w:lang w:val="en-GB"/>
                </w:rPr>
                <w:t xml:space="preserve">Cottam, R. (1980). Human Righis in Iran under the Shah. </w:t>
              </w:r>
              <w:r w:rsidRPr="00AA2985">
                <w:rPr>
                  <w:rFonts w:ascii="Times New Roman" w:hAnsi="Times New Roman" w:cs="Times New Roman"/>
                  <w:i/>
                  <w:iCs/>
                  <w:noProof/>
                  <w:lang w:val="en-GB"/>
                </w:rPr>
                <w:t>Case Western Reserve Journla of International Law</w:t>
              </w:r>
              <w:r w:rsidRPr="00AA2985">
                <w:rPr>
                  <w:rFonts w:ascii="Times New Roman" w:hAnsi="Times New Roman" w:cs="Times New Roman"/>
                  <w:noProof/>
                  <w:lang w:val="en-GB"/>
                </w:rPr>
                <w:t xml:space="preserve">, </w:t>
              </w:r>
              <w:r w:rsidR="001209AD">
                <w:rPr>
                  <w:rFonts w:ascii="Times New Roman" w:hAnsi="Times New Roman" w:cs="Times New Roman"/>
                  <w:noProof/>
                  <w:lang w:val="en-GB"/>
                </w:rPr>
                <w:t xml:space="preserve">pp. </w:t>
              </w:r>
              <w:r w:rsidRPr="00AA2985">
                <w:rPr>
                  <w:rFonts w:ascii="Times New Roman" w:hAnsi="Times New Roman" w:cs="Times New Roman"/>
                  <w:noProof/>
                  <w:lang w:val="en-GB"/>
                </w:rPr>
                <w:t>121-136.</w:t>
              </w:r>
            </w:p>
            <w:p w14:paraId="774CC5B9" w14:textId="34FB1D01" w:rsidR="00246FA0" w:rsidRPr="00920568" w:rsidRDefault="00246FA0" w:rsidP="00920568">
              <w:pPr>
                <w:pStyle w:val="Bibliografa"/>
                <w:spacing w:line="360" w:lineRule="auto"/>
                <w:ind w:left="720" w:hanging="720"/>
                <w:jc w:val="both"/>
                <w:rPr>
                  <w:rFonts w:ascii="Times New Roman" w:hAnsi="Times New Roman" w:cs="Times New Roman"/>
                  <w:noProof/>
                </w:rPr>
              </w:pPr>
              <w:r w:rsidRPr="00AA2985">
                <w:rPr>
                  <w:rFonts w:ascii="Times New Roman" w:hAnsi="Times New Roman" w:cs="Times New Roman"/>
                  <w:noProof/>
                  <w:lang w:val="en-GB"/>
                </w:rPr>
                <w:t xml:space="preserve">Daugherty, W. (Abril de 2003). </w:t>
              </w:r>
              <w:r w:rsidRPr="00AA2985">
                <w:rPr>
                  <w:rFonts w:ascii="Times New Roman" w:hAnsi="Times New Roman" w:cs="Times New Roman"/>
                  <w:i/>
                  <w:iCs/>
                  <w:noProof/>
                  <w:lang w:val="en-GB"/>
                </w:rPr>
                <w:t>Jimmy Carter and the 1979 Decision to Admit the Sha into the United States.</w:t>
              </w:r>
              <w:r w:rsidRPr="00AA2985">
                <w:rPr>
                  <w:rFonts w:ascii="Times New Roman" w:hAnsi="Times New Roman" w:cs="Times New Roman"/>
                  <w:noProof/>
                  <w:lang w:val="en-GB"/>
                </w:rPr>
                <w:t xml:space="preserve"> </w:t>
              </w:r>
              <w:r w:rsidRPr="00920568">
                <w:rPr>
                  <w:rFonts w:ascii="Times New Roman" w:hAnsi="Times New Roman" w:cs="Times New Roman"/>
                  <w:noProof/>
                </w:rPr>
                <w:t>Obtenido de American Diplomacy: http://americandiplomacy.web.unc.edu/2003/04/jimmy-carter-and-the-1979-decision-to-admit-the-shah-into-the-united-states/</w:t>
              </w:r>
            </w:p>
            <w:p w14:paraId="5757B86D" w14:textId="5A5BE5A1" w:rsidR="00246FA0" w:rsidRPr="00920568" w:rsidRDefault="00246FA0" w:rsidP="00A4214F">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 xml:space="preserve">Díaz Cáceda, J. (2008). La responsabilidad internacional de los Estados: base para la defensa de los Derechos Humanos. </w:t>
              </w:r>
              <w:r w:rsidRPr="00920568">
                <w:rPr>
                  <w:rFonts w:ascii="Times New Roman" w:hAnsi="Times New Roman" w:cs="Times New Roman"/>
                  <w:i/>
                  <w:iCs/>
                  <w:noProof/>
                </w:rPr>
                <w:t>PUCP. Revista de la Facultad de Derecho</w:t>
              </w:r>
              <w:r w:rsidRPr="00920568">
                <w:rPr>
                  <w:rFonts w:ascii="Times New Roman" w:hAnsi="Times New Roman" w:cs="Times New Roman"/>
                  <w:noProof/>
                </w:rPr>
                <w:t>, 249-272.</w:t>
              </w:r>
            </w:p>
            <w:p w14:paraId="5B4B1167" w14:textId="77777777" w:rsidR="00246FA0" w:rsidRPr="00AA2985" w:rsidRDefault="00246FA0" w:rsidP="00920568">
              <w:pPr>
                <w:pStyle w:val="Bibliografa"/>
                <w:spacing w:line="360" w:lineRule="auto"/>
                <w:ind w:left="720" w:hanging="720"/>
                <w:jc w:val="both"/>
                <w:rPr>
                  <w:rFonts w:ascii="Times New Roman" w:hAnsi="Times New Roman" w:cs="Times New Roman"/>
                  <w:noProof/>
                  <w:lang w:val="en-GB"/>
                </w:rPr>
              </w:pPr>
              <w:r w:rsidRPr="00920568">
                <w:rPr>
                  <w:rFonts w:ascii="Times New Roman" w:hAnsi="Times New Roman" w:cs="Times New Roman"/>
                  <w:noProof/>
                </w:rPr>
                <w:t xml:space="preserve">Herszenhorn, D. (2016 de Junio de 2016). </w:t>
              </w:r>
              <w:r w:rsidRPr="00AA2985">
                <w:rPr>
                  <w:rFonts w:ascii="Times New Roman" w:hAnsi="Times New Roman" w:cs="Times New Roman"/>
                  <w:i/>
                  <w:iCs/>
                  <w:noProof/>
                  <w:lang w:val="en-GB"/>
                </w:rPr>
                <w:t>House Benghazi Report Finds No New Evidence of Wrongdoing by Hillary Clinton.</w:t>
              </w:r>
              <w:r w:rsidRPr="00AA2985">
                <w:rPr>
                  <w:rFonts w:ascii="Times New Roman" w:hAnsi="Times New Roman" w:cs="Times New Roman"/>
                  <w:noProof/>
                  <w:lang w:val="en-GB"/>
                </w:rPr>
                <w:t xml:space="preserve"> Obtenido de The New York Times: https://www.nytimes.com/2016/06/29/us/politics/hillary-clinton-benghazi.html?auth=linked-google</w:t>
              </w:r>
            </w:p>
            <w:p w14:paraId="69E77428" w14:textId="77777777" w:rsidR="00246FA0" w:rsidRPr="00AA2985" w:rsidRDefault="00246FA0" w:rsidP="00920568">
              <w:pPr>
                <w:pStyle w:val="Bibliografa"/>
                <w:spacing w:line="360" w:lineRule="auto"/>
                <w:ind w:left="720" w:hanging="720"/>
                <w:jc w:val="both"/>
                <w:rPr>
                  <w:rFonts w:ascii="Times New Roman" w:hAnsi="Times New Roman" w:cs="Times New Roman"/>
                  <w:noProof/>
                  <w:lang w:val="en-GB"/>
                </w:rPr>
              </w:pPr>
              <w:r w:rsidRPr="00920568">
                <w:rPr>
                  <w:rFonts w:ascii="Times New Roman" w:hAnsi="Times New Roman" w:cs="Times New Roman"/>
                  <w:noProof/>
                </w:rPr>
                <w:t xml:space="preserve">Hsu, S. (27 de Junio de 2018). </w:t>
              </w:r>
              <w:r w:rsidRPr="00AA2985">
                <w:rPr>
                  <w:rFonts w:ascii="Times New Roman" w:hAnsi="Times New Roman" w:cs="Times New Roman"/>
                  <w:i/>
                  <w:iCs/>
                  <w:noProof/>
                  <w:lang w:val="en-GB"/>
                </w:rPr>
                <w:t>Libyan militia leader gets 22-year sentence in Benghazi attacks that killed U.S. ambassador.</w:t>
              </w:r>
              <w:r w:rsidRPr="00AA2985">
                <w:rPr>
                  <w:rFonts w:ascii="Times New Roman" w:hAnsi="Times New Roman" w:cs="Times New Roman"/>
                  <w:noProof/>
                  <w:lang w:val="en-GB"/>
                </w:rPr>
                <w:t xml:space="preserve"> Obtenido de The Washington Post: https://www.washingtonpost.com/local/public-safety/libyan-militia-leader-to-be-</w:t>
              </w:r>
              <w:r w:rsidRPr="00AA2985">
                <w:rPr>
                  <w:rFonts w:ascii="Times New Roman" w:hAnsi="Times New Roman" w:cs="Times New Roman"/>
                  <w:noProof/>
                  <w:lang w:val="en-GB"/>
                </w:rPr>
                <w:lastRenderedPageBreak/>
                <w:t>sentenced-in-2012-benghazi-attacks-that-killed-us-ambassador/2018/06/27/55782e5c-789a-11e8-aeee-4d04c8ac6158_story.html</w:t>
              </w:r>
            </w:p>
            <w:p w14:paraId="6F601744" w14:textId="23A14BA5" w:rsidR="00246FA0" w:rsidRPr="00920568" w:rsidRDefault="00246FA0" w:rsidP="00920568">
              <w:pPr>
                <w:pStyle w:val="Bibliografa"/>
                <w:spacing w:line="360" w:lineRule="auto"/>
                <w:ind w:left="720" w:hanging="720"/>
                <w:jc w:val="both"/>
                <w:rPr>
                  <w:rFonts w:ascii="Times New Roman" w:hAnsi="Times New Roman" w:cs="Times New Roman"/>
                  <w:noProof/>
                </w:rPr>
              </w:pPr>
              <w:r w:rsidRPr="00AA2985">
                <w:rPr>
                  <w:rFonts w:ascii="Times New Roman" w:hAnsi="Times New Roman" w:cs="Times New Roman"/>
                  <w:noProof/>
                  <w:lang w:val="en-GB"/>
                </w:rPr>
                <w:t xml:space="preserve">Janis, M. (1981). The Role of the International Court in the Hostage Crisis. </w:t>
              </w:r>
              <w:r w:rsidRPr="00920568">
                <w:rPr>
                  <w:rFonts w:ascii="Times New Roman" w:hAnsi="Times New Roman" w:cs="Times New Roman"/>
                  <w:i/>
                  <w:iCs/>
                  <w:noProof/>
                </w:rPr>
                <w:t>Connecticut Law Review</w:t>
              </w:r>
              <w:r w:rsidRPr="00920568">
                <w:rPr>
                  <w:rFonts w:ascii="Times New Roman" w:hAnsi="Times New Roman" w:cs="Times New Roman"/>
                  <w:noProof/>
                </w:rPr>
                <w:t xml:space="preserve">, </w:t>
              </w:r>
              <w:r w:rsidR="001209AD">
                <w:rPr>
                  <w:rFonts w:ascii="Times New Roman" w:hAnsi="Times New Roman" w:cs="Times New Roman"/>
                  <w:noProof/>
                </w:rPr>
                <w:t xml:space="preserve">pp. </w:t>
              </w:r>
              <w:r w:rsidRPr="00920568">
                <w:rPr>
                  <w:rFonts w:ascii="Times New Roman" w:hAnsi="Times New Roman" w:cs="Times New Roman"/>
                  <w:noProof/>
                </w:rPr>
                <w:t>263-289.</w:t>
              </w:r>
            </w:p>
            <w:p w14:paraId="54698BC1" w14:textId="77777777" w:rsidR="00246FA0" w:rsidRPr="00920568" w:rsidRDefault="00246FA0" w:rsidP="00920568">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 xml:space="preserve">Jara Roncati, E. (1989). </w:t>
              </w:r>
              <w:r w:rsidRPr="00920568">
                <w:rPr>
                  <w:rFonts w:ascii="Times New Roman" w:hAnsi="Times New Roman" w:cs="Times New Roman"/>
                  <w:i/>
                  <w:iCs/>
                  <w:noProof/>
                </w:rPr>
                <w:t>La Función Diplomátcia.</w:t>
              </w:r>
              <w:r w:rsidRPr="00920568">
                <w:rPr>
                  <w:rFonts w:ascii="Times New Roman" w:hAnsi="Times New Roman" w:cs="Times New Roman"/>
                  <w:noProof/>
                </w:rPr>
                <w:t xml:space="preserve"> Santiago de Chile: Proyecto de Cooperación de los Servicios Exteriores de América Látina.</w:t>
              </w:r>
            </w:p>
            <w:p w14:paraId="70235549" w14:textId="78D99CDD" w:rsidR="00246FA0" w:rsidRPr="00920568" w:rsidRDefault="00246FA0" w:rsidP="00920568">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 xml:space="preserve">Lenchini de Álvarez, G., &amp; Rabbia, N. (2013). Incidencias de la Primavera Árabe en el fin de la "Era Verde" en Libia. Cuestiones sobre derecho de intervención y deber de injerencia. </w:t>
              </w:r>
              <w:r w:rsidRPr="00920568">
                <w:rPr>
                  <w:rFonts w:ascii="Times New Roman" w:hAnsi="Times New Roman" w:cs="Times New Roman"/>
                  <w:i/>
                  <w:iCs/>
                  <w:noProof/>
                </w:rPr>
                <w:t>Austral: Brazilian Journal of Strategy &amp; International Relations</w:t>
              </w:r>
              <w:r w:rsidR="001209AD">
                <w:rPr>
                  <w:rFonts w:ascii="Times New Roman" w:hAnsi="Times New Roman" w:cs="Times New Roman"/>
                  <w:noProof/>
                </w:rPr>
                <w:t>, pp.</w:t>
              </w:r>
              <w:r w:rsidRPr="00920568">
                <w:rPr>
                  <w:rFonts w:ascii="Times New Roman" w:hAnsi="Times New Roman" w:cs="Times New Roman"/>
                  <w:noProof/>
                </w:rPr>
                <w:t xml:space="preserve"> 157-180.</w:t>
              </w:r>
            </w:p>
            <w:p w14:paraId="168BBA1F" w14:textId="77777777" w:rsidR="00246FA0" w:rsidRPr="00AA2985" w:rsidRDefault="00246FA0" w:rsidP="00920568">
              <w:pPr>
                <w:pStyle w:val="Bibliografa"/>
                <w:spacing w:line="360" w:lineRule="auto"/>
                <w:ind w:left="720" w:hanging="720"/>
                <w:jc w:val="both"/>
                <w:rPr>
                  <w:rFonts w:ascii="Times New Roman" w:hAnsi="Times New Roman" w:cs="Times New Roman"/>
                  <w:noProof/>
                  <w:lang w:val="en-GB"/>
                </w:rPr>
              </w:pPr>
              <w:r w:rsidRPr="00AA2985">
                <w:rPr>
                  <w:rFonts w:ascii="Times New Roman" w:hAnsi="Times New Roman" w:cs="Times New Roman"/>
                  <w:noProof/>
                  <w:lang w:val="en-GB"/>
                </w:rPr>
                <w:t xml:space="preserve">Lieberman, J., &amp; Collins, S. (2012). </w:t>
              </w:r>
              <w:r w:rsidRPr="00AA2985">
                <w:rPr>
                  <w:rFonts w:ascii="Times New Roman" w:hAnsi="Times New Roman" w:cs="Times New Roman"/>
                  <w:i/>
                  <w:iCs/>
                  <w:noProof/>
                  <w:lang w:val="en-GB"/>
                </w:rPr>
                <w:t>Flashing Red: A Special Report on the Terrorist Attacj at Benghazi.</w:t>
              </w:r>
              <w:r w:rsidRPr="00AA2985">
                <w:rPr>
                  <w:rFonts w:ascii="Times New Roman" w:hAnsi="Times New Roman" w:cs="Times New Roman"/>
                  <w:noProof/>
                  <w:lang w:val="en-GB"/>
                </w:rPr>
                <w:t xml:space="preserve"> Washington D.C.: Unitede States Senate Committee on Homeland Security and Governmental Affairs.</w:t>
              </w:r>
            </w:p>
            <w:p w14:paraId="0970009F" w14:textId="19C8FF5D" w:rsidR="00246FA0" w:rsidRPr="00920568" w:rsidRDefault="00246FA0" w:rsidP="00920568">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 xml:space="preserve">López Martín, A. G. (2011). Los Estados "fallidos" y sus implicaciones en el ordenamiento jurídico internacional. En </w:t>
              </w:r>
              <w:r w:rsidRPr="00920568">
                <w:rPr>
                  <w:rFonts w:ascii="Times New Roman" w:hAnsi="Times New Roman" w:cs="Times New Roman"/>
                  <w:i/>
                  <w:iCs/>
                  <w:noProof/>
                </w:rPr>
                <w:t>Cursos de Derecho Internacional y Relaciones Internacionales de Vitoria-Gasteiz 2010</w:t>
              </w:r>
              <w:r w:rsidR="001209AD">
                <w:rPr>
                  <w:rFonts w:ascii="Times New Roman" w:hAnsi="Times New Roman" w:cs="Times New Roman"/>
                  <w:noProof/>
                </w:rPr>
                <w:t>,</w:t>
              </w:r>
              <w:r w:rsidRPr="00920568">
                <w:rPr>
                  <w:rFonts w:ascii="Times New Roman" w:hAnsi="Times New Roman" w:cs="Times New Roman"/>
                  <w:noProof/>
                </w:rPr>
                <w:t xml:space="preserve"> Bilbao: Servicio editorial de la Universidad del País Vasco</w:t>
              </w:r>
              <w:r w:rsidR="001209AD">
                <w:rPr>
                  <w:rFonts w:ascii="Times New Roman" w:hAnsi="Times New Roman" w:cs="Times New Roman"/>
                  <w:noProof/>
                </w:rPr>
                <w:t>, pp. 159-240.</w:t>
              </w:r>
            </w:p>
            <w:p w14:paraId="28D48092" w14:textId="6CAC7FC5" w:rsidR="00246FA0" w:rsidRPr="00920568" w:rsidRDefault="00246FA0" w:rsidP="00920568">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 xml:space="preserve">Maresca, A. (1974). </w:t>
              </w:r>
              <w:r w:rsidRPr="00920568">
                <w:rPr>
                  <w:rFonts w:ascii="Times New Roman" w:hAnsi="Times New Roman" w:cs="Times New Roman"/>
                  <w:i/>
                  <w:iCs/>
                  <w:noProof/>
                </w:rPr>
                <w:t>Las relaciones consulares.</w:t>
              </w:r>
              <w:r w:rsidRPr="00920568">
                <w:rPr>
                  <w:rFonts w:ascii="Times New Roman" w:hAnsi="Times New Roman" w:cs="Times New Roman"/>
                  <w:noProof/>
                </w:rPr>
                <w:t xml:space="preserve"> Madrid: </w:t>
              </w:r>
              <w:r w:rsidR="00234892">
                <w:rPr>
                  <w:rFonts w:ascii="Times New Roman" w:hAnsi="Times New Roman" w:cs="Times New Roman"/>
                  <w:noProof/>
                </w:rPr>
                <w:t>A</w:t>
              </w:r>
              <w:r w:rsidRPr="00920568">
                <w:rPr>
                  <w:rFonts w:ascii="Times New Roman" w:hAnsi="Times New Roman" w:cs="Times New Roman"/>
                  <w:noProof/>
                </w:rPr>
                <w:t>guilar.</w:t>
              </w:r>
            </w:p>
            <w:p w14:paraId="7B552C57" w14:textId="38EE8B3E" w:rsidR="00246FA0" w:rsidRPr="00920568" w:rsidRDefault="00246FA0" w:rsidP="00920568">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 xml:space="preserve">Martí Martí. (2011). La actividad consular de España en el extranjero. </w:t>
              </w:r>
              <w:r w:rsidRPr="00920568">
                <w:rPr>
                  <w:rFonts w:ascii="Times New Roman" w:hAnsi="Times New Roman" w:cs="Times New Roman"/>
                  <w:i/>
                  <w:iCs/>
                  <w:noProof/>
                </w:rPr>
                <w:t>Revista Electrónica de Estudios Internacionales</w:t>
              </w:r>
              <w:r w:rsidRPr="00920568">
                <w:rPr>
                  <w:rFonts w:ascii="Times New Roman" w:hAnsi="Times New Roman" w:cs="Times New Roman"/>
                  <w:noProof/>
                </w:rPr>
                <w:t xml:space="preserve">, </w:t>
              </w:r>
              <w:r w:rsidR="001209AD">
                <w:rPr>
                  <w:rFonts w:ascii="Times New Roman" w:hAnsi="Times New Roman" w:cs="Times New Roman"/>
                  <w:noProof/>
                </w:rPr>
                <w:t xml:space="preserve">pp. </w:t>
              </w:r>
              <w:r w:rsidRPr="00920568">
                <w:rPr>
                  <w:rFonts w:ascii="Times New Roman" w:hAnsi="Times New Roman" w:cs="Times New Roman"/>
                  <w:noProof/>
                </w:rPr>
                <w:t>1-28.</w:t>
              </w:r>
            </w:p>
            <w:p w14:paraId="0D92F481" w14:textId="77777777" w:rsidR="00246FA0" w:rsidRPr="00920568" w:rsidRDefault="00246FA0" w:rsidP="00920568">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 xml:space="preserve">Martí Martí, X., &amp; Núñez Hernández, J. (2009). </w:t>
              </w:r>
              <w:r w:rsidRPr="00920568">
                <w:rPr>
                  <w:rFonts w:ascii="Times New Roman" w:hAnsi="Times New Roman" w:cs="Times New Roman"/>
                  <w:i/>
                  <w:iCs/>
                  <w:noProof/>
                </w:rPr>
                <w:t>La función consular en el derecho Español.</w:t>
              </w:r>
              <w:r w:rsidRPr="00920568">
                <w:rPr>
                  <w:rFonts w:ascii="Times New Roman" w:hAnsi="Times New Roman" w:cs="Times New Roman"/>
                  <w:noProof/>
                </w:rPr>
                <w:t xml:space="preserve"> Madrid: Ministerio de Asuntos Exteriores y Cooperación.</w:t>
              </w:r>
            </w:p>
            <w:p w14:paraId="59BAA5BE" w14:textId="4CEAACAD" w:rsidR="00246FA0" w:rsidRPr="00AA2985" w:rsidRDefault="00246FA0" w:rsidP="00920568">
              <w:pPr>
                <w:pStyle w:val="Bibliografa"/>
                <w:spacing w:line="360" w:lineRule="auto"/>
                <w:ind w:left="720" w:hanging="720"/>
                <w:jc w:val="both"/>
                <w:rPr>
                  <w:rFonts w:ascii="Times New Roman" w:hAnsi="Times New Roman" w:cs="Times New Roman"/>
                  <w:noProof/>
                  <w:lang w:val="en-GB"/>
                </w:rPr>
              </w:pPr>
              <w:r w:rsidRPr="00920568">
                <w:rPr>
                  <w:rFonts w:ascii="Times New Roman" w:hAnsi="Times New Roman" w:cs="Times New Roman"/>
                  <w:noProof/>
                </w:rPr>
                <w:t xml:space="preserve">Molteni, A. (1964). La Responsabilidad Internacional del Estado. </w:t>
              </w:r>
              <w:r w:rsidRPr="00AA2985">
                <w:rPr>
                  <w:rFonts w:ascii="Times New Roman" w:hAnsi="Times New Roman" w:cs="Times New Roman"/>
                  <w:i/>
                  <w:iCs/>
                  <w:noProof/>
                  <w:lang w:val="en-GB"/>
                </w:rPr>
                <w:t>Facultad de Derecho, Buenos Aires</w:t>
              </w:r>
              <w:r w:rsidRPr="00AA2985">
                <w:rPr>
                  <w:rFonts w:ascii="Times New Roman" w:hAnsi="Times New Roman" w:cs="Times New Roman"/>
                  <w:noProof/>
                  <w:lang w:val="en-GB"/>
                </w:rPr>
                <w:t xml:space="preserve">, </w:t>
              </w:r>
              <w:r w:rsidR="001209AD">
                <w:rPr>
                  <w:rFonts w:ascii="Times New Roman" w:hAnsi="Times New Roman" w:cs="Times New Roman"/>
                  <w:noProof/>
                  <w:lang w:val="en-GB"/>
                </w:rPr>
                <w:t xml:space="preserve">pp. </w:t>
              </w:r>
              <w:r w:rsidRPr="00AA2985">
                <w:rPr>
                  <w:rFonts w:ascii="Times New Roman" w:hAnsi="Times New Roman" w:cs="Times New Roman"/>
                  <w:noProof/>
                  <w:lang w:val="en-GB"/>
                </w:rPr>
                <w:t>43-63.</w:t>
              </w:r>
            </w:p>
            <w:p w14:paraId="687562A8" w14:textId="2837DE8B" w:rsidR="00246FA0" w:rsidRPr="00920568" w:rsidRDefault="00246FA0" w:rsidP="00920568">
              <w:pPr>
                <w:pStyle w:val="Bibliografa"/>
                <w:spacing w:line="360" w:lineRule="auto"/>
                <w:ind w:left="720" w:hanging="720"/>
                <w:jc w:val="both"/>
                <w:rPr>
                  <w:rFonts w:ascii="Times New Roman" w:hAnsi="Times New Roman" w:cs="Times New Roman"/>
                  <w:noProof/>
                </w:rPr>
              </w:pPr>
              <w:r w:rsidRPr="00AA2985">
                <w:rPr>
                  <w:rFonts w:ascii="Times New Roman" w:hAnsi="Times New Roman" w:cs="Times New Roman"/>
                  <w:noProof/>
                  <w:lang w:val="en-GB"/>
                </w:rPr>
                <w:t xml:space="preserve">Nakhavali, M. (2013). Diplomatic, Consular and Political Relations between Iran and United States. </w:t>
              </w:r>
              <w:r w:rsidRPr="00920568">
                <w:rPr>
                  <w:rFonts w:ascii="Times New Roman" w:hAnsi="Times New Roman" w:cs="Times New Roman"/>
                  <w:i/>
                  <w:iCs/>
                  <w:noProof/>
                </w:rPr>
                <w:t>European Scientific Journal</w:t>
              </w:r>
              <w:r w:rsidRPr="00920568">
                <w:rPr>
                  <w:rFonts w:ascii="Times New Roman" w:hAnsi="Times New Roman" w:cs="Times New Roman"/>
                  <w:noProof/>
                </w:rPr>
                <w:t>,</w:t>
              </w:r>
              <w:r w:rsidR="001209AD">
                <w:rPr>
                  <w:rFonts w:ascii="Times New Roman" w:hAnsi="Times New Roman" w:cs="Times New Roman"/>
                  <w:noProof/>
                </w:rPr>
                <w:t xml:space="preserve"> pp.</w:t>
              </w:r>
              <w:r w:rsidRPr="00920568">
                <w:rPr>
                  <w:rFonts w:ascii="Times New Roman" w:hAnsi="Times New Roman" w:cs="Times New Roman"/>
                  <w:noProof/>
                </w:rPr>
                <w:t xml:space="preserve"> 49-63.</w:t>
              </w:r>
            </w:p>
            <w:p w14:paraId="7A56B1CD" w14:textId="0E45CB08" w:rsidR="00246FA0" w:rsidRPr="0008299F" w:rsidRDefault="00246FA0" w:rsidP="00920568">
              <w:pPr>
                <w:pStyle w:val="Bibliografa"/>
                <w:spacing w:line="360" w:lineRule="auto"/>
                <w:ind w:left="720" w:hanging="720"/>
                <w:jc w:val="both"/>
                <w:rPr>
                  <w:rFonts w:ascii="Times New Roman" w:hAnsi="Times New Roman" w:cs="Times New Roman"/>
                  <w:noProof/>
                  <w:lang w:val="en-GB"/>
                </w:rPr>
              </w:pPr>
              <w:r w:rsidRPr="00920568">
                <w:rPr>
                  <w:rFonts w:ascii="Times New Roman" w:hAnsi="Times New Roman" w:cs="Times New Roman"/>
                  <w:noProof/>
                </w:rPr>
                <w:t xml:space="preserve">Negro Alvarado , D. (2002). El caso de los rehenes estadounidensen en Teherán y el Proyecto de Artículoo aprobado por la Comisión de Derecho Internacional sobre Responsabilidad del Estado por Hechos Internacionalmente Ilícitos. </w:t>
              </w:r>
              <w:r w:rsidRPr="0008299F">
                <w:rPr>
                  <w:rFonts w:ascii="Times New Roman" w:hAnsi="Times New Roman" w:cs="Times New Roman"/>
                  <w:i/>
                  <w:iCs/>
                  <w:noProof/>
                  <w:lang w:val="en-GB"/>
                </w:rPr>
                <w:t>Agenda Internacional</w:t>
              </w:r>
              <w:r w:rsidRPr="0008299F">
                <w:rPr>
                  <w:rFonts w:ascii="Times New Roman" w:hAnsi="Times New Roman" w:cs="Times New Roman"/>
                  <w:noProof/>
                  <w:lang w:val="en-GB"/>
                </w:rPr>
                <w:t xml:space="preserve">, </w:t>
              </w:r>
              <w:r w:rsidR="001209AD" w:rsidRPr="0008299F">
                <w:rPr>
                  <w:rFonts w:ascii="Times New Roman" w:hAnsi="Times New Roman" w:cs="Times New Roman"/>
                  <w:noProof/>
                  <w:lang w:val="en-GB"/>
                </w:rPr>
                <w:t xml:space="preserve">pp. </w:t>
              </w:r>
              <w:r w:rsidRPr="0008299F">
                <w:rPr>
                  <w:rFonts w:ascii="Times New Roman" w:hAnsi="Times New Roman" w:cs="Times New Roman"/>
                  <w:noProof/>
                  <w:lang w:val="en-GB"/>
                </w:rPr>
                <w:t>161-177.</w:t>
              </w:r>
            </w:p>
            <w:p w14:paraId="6AEFFF74" w14:textId="58AF99D0" w:rsidR="00246FA0" w:rsidRPr="001209AD" w:rsidRDefault="00246FA0" w:rsidP="00920568">
              <w:pPr>
                <w:pStyle w:val="Bibliografa"/>
                <w:spacing w:line="360" w:lineRule="auto"/>
                <w:ind w:left="720" w:hanging="720"/>
                <w:jc w:val="both"/>
                <w:rPr>
                  <w:rFonts w:ascii="Times New Roman" w:hAnsi="Times New Roman" w:cs="Times New Roman"/>
                  <w:noProof/>
                  <w:lang w:val="en-GB"/>
                </w:rPr>
              </w:pPr>
              <w:r w:rsidRPr="0008299F">
                <w:rPr>
                  <w:rFonts w:ascii="Times New Roman" w:hAnsi="Times New Roman" w:cs="Times New Roman"/>
                  <w:noProof/>
                  <w:lang w:val="en-GB"/>
                </w:rPr>
                <w:t xml:space="preserve">New York Times. (18 de Noviembre de 1979). </w:t>
              </w:r>
              <w:r w:rsidR="001209AD" w:rsidRPr="001209AD">
                <w:rPr>
                  <w:rFonts w:ascii="Times New Roman" w:hAnsi="Times New Roman" w:cs="Times New Roman"/>
                  <w:noProof/>
                  <w:lang w:val="en-GB"/>
                </w:rPr>
                <w:t>"</w:t>
              </w:r>
              <w:r w:rsidRPr="001209AD">
                <w:rPr>
                  <w:rFonts w:ascii="Times New Roman" w:hAnsi="Times New Roman" w:cs="Times New Roman"/>
                  <w:noProof/>
                  <w:lang w:val="en-GB"/>
                </w:rPr>
                <w:t>Iran Decree and Carter Reply</w:t>
              </w:r>
              <w:r w:rsidR="001209AD" w:rsidRPr="001209AD">
                <w:rPr>
                  <w:rFonts w:ascii="Times New Roman" w:hAnsi="Times New Roman" w:cs="Times New Roman"/>
                  <w:noProof/>
                  <w:lang w:val="en-GB"/>
                </w:rPr>
                <w:t>"</w:t>
              </w:r>
              <w:r w:rsidRPr="001209AD">
                <w:rPr>
                  <w:rFonts w:ascii="Times New Roman" w:hAnsi="Times New Roman" w:cs="Times New Roman"/>
                  <w:i/>
                  <w:iCs/>
                  <w:noProof/>
                  <w:lang w:val="en-GB"/>
                </w:rPr>
                <w:t>.</w:t>
              </w:r>
              <w:r w:rsidR="001209AD">
                <w:rPr>
                  <w:rFonts w:ascii="Times New Roman" w:hAnsi="Times New Roman" w:cs="Times New Roman"/>
                  <w:noProof/>
                  <w:lang w:val="en-GB"/>
                </w:rPr>
                <w:t xml:space="preserve"> </w:t>
              </w:r>
              <w:r w:rsidRPr="001209AD">
                <w:rPr>
                  <w:rFonts w:ascii="Times New Roman" w:hAnsi="Times New Roman" w:cs="Times New Roman"/>
                  <w:i/>
                  <w:iCs/>
                  <w:noProof/>
                  <w:lang w:val="en-GB"/>
                </w:rPr>
                <w:t>New York Times</w:t>
              </w:r>
              <w:r w:rsidRPr="001209AD">
                <w:rPr>
                  <w:rFonts w:ascii="Times New Roman" w:hAnsi="Times New Roman" w:cs="Times New Roman"/>
                  <w:noProof/>
                  <w:lang w:val="en-GB"/>
                </w:rPr>
                <w:t>: https://www.nytimes.com/1979/11/18/archives/iran-decree-and-carter-reply-khomeini-statement.html</w:t>
              </w:r>
            </w:p>
            <w:p w14:paraId="1427FA42" w14:textId="77777777" w:rsidR="00246FA0" w:rsidRPr="00920568" w:rsidRDefault="00246FA0" w:rsidP="00920568">
              <w:pPr>
                <w:pStyle w:val="Bibliografa"/>
                <w:spacing w:line="360" w:lineRule="auto"/>
                <w:ind w:left="720" w:hanging="720"/>
                <w:jc w:val="both"/>
                <w:rPr>
                  <w:rFonts w:ascii="Times New Roman" w:hAnsi="Times New Roman" w:cs="Times New Roman"/>
                  <w:noProof/>
                </w:rPr>
              </w:pPr>
              <w:bookmarkStart w:id="41" w:name="_Hlk55749516"/>
              <w:r w:rsidRPr="00920568">
                <w:rPr>
                  <w:rFonts w:ascii="Times New Roman" w:hAnsi="Times New Roman" w:cs="Times New Roman"/>
                  <w:noProof/>
                </w:rPr>
                <w:t xml:space="preserve">Oficina de Servicios para Proyectos de las Naciones Unidas (UNOPS). (junio de 1999). </w:t>
              </w:r>
              <w:r w:rsidRPr="00920568">
                <w:rPr>
                  <w:rFonts w:ascii="Times New Roman" w:hAnsi="Times New Roman" w:cs="Times New Roman"/>
                  <w:i/>
                  <w:iCs/>
                  <w:noProof/>
                </w:rPr>
                <w:t>Gautemala, memoria del silencio.</w:t>
              </w:r>
              <w:r w:rsidRPr="00920568">
                <w:rPr>
                  <w:rFonts w:ascii="Times New Roman" w:hAnsi="Times New Roman" w:cs="Times New Roman"/>
                  <w:noProof/>
                </w:rPr>
                <w:t xml:space="preserve"> </w:t>
              </w:r>
            </w:p>
            <w:bookmarkEnd w:id="41"/>
            <w:p w14:paraId="5CB865DB" w14:textId="77777777" w:rsidR="00246FA0" w:rsidRPr="00920568" w:rsidRDefault="00246FA0" w:rsidP="00920568">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 xml:space="preserve">Pastor Ridruejo, J. A. (2015). </w:t>
              </w:r>
              <w:r w:rsidRPr="00920568">
                <w:rPr>
                  <w:rFonts w:ascii="Times New Roman" w:hAnsi="Times New Roman" w:cs="Times New Roman"/>
                  <w:i/>
                  <w:iCs/>
                  <w:noProof/>
                </w:rPr>
                <w:t>Curso de Derecho Internacional Público y Organizaciones Internacionales.</w:t>
              </w:r>
              <w:r w:rsidRPr="00920568">
                <w:rPr>
                  <w:rFonts w:ascii="Times New Roman" w:hAnsi="Times New Roman" w:cs="Times New Roman"/>
                  <w:noProof/>
                </w:rPr>
                <w:t xml:space="preserve"> Madrid: Tecnos.</w:t>
              </w:r>
            </w:p>
            <w:p w14:paraId="29285F06" w14:textId="77777777" w:rsidR="00246FA0" w:rsidRPr="00920568" w:rsidRDefault="00246FA0" w:rsidP="00920568">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 xml:space="preserve">Pérez de Cuéllar, J. (1997). </w:t>
              </w:r>
              <w:r w:rsidRPr="00920568">
                <w:rPr>
                  <w:rFonts w:ascii="Times New Roman" w:hAnsi="Times New Roman" w:cs="Times New Roman"/>
                  <w:i/>
                  <w:iCs/>
                  <w:noProof/>
                </w:rPr>
                <w:t>Manual de derecho diplomático.</w:t>
              </w:r>
              <w:r w:rsidRPr="00920568">
                <w:rPr>
                  <w:rFonts w:ascii="Times New Roman" w:hAnsi="Times New Roman" w:cs="Times New Roman"/>
                  <w:noProof/>
                </w:rPr>
                <w:t xml:space="preserve"> México: Fondo de Cultura </w:t>
              </w:r>
              <w:r w:rsidRPr="00920568">
                <w:rPr>
                  <w:rFonts w:ascii="Times New Roman" w:hAnsi="Times New Roman" w:cs="Times New Roman"/>
                  <w:noProof/>
                </w:rPr>
                <w:lastRenderedPageBreak/>
                <w:t>Económica.</w:t>
              </w:r>
            </w:p>
            <w:p w14:paraId="0CD22234" w14:textId="77777777" w:rsidR="00246FA0" w:rsidRPr="00920568" w:rsidRDefault="00246FA0" w:rsidP="00920568">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 xml:space="preserve">Pico de Coaña de Valicourt, Y., &amp; Casaús Arzú, M. E. (2015). Guatemala: Consecuencias del asalto de la Embajada de España. </w:t>
              </w:r>
              <w:r w:rsidRPr="00920568">
                <w:rPr>
                  <w:rFonts w:ascii="Times New Roman" w:hAnsi="Times New Roman" w:cs="Times New Roman"/>
                  <w:i/>
                  <w:iCs/>
                  <w:noProof/>
                </w:rPr>
                <w:t>Insitituto Universitario de Desarrollo y Cooperación IUDC - UCM</w:t>
              </w:r>
              <w:r w:rsidRPr="00920568">
                <w:rPr>
                  <w:rFonts w:ascii="Times New Roman" w:hAnsi="Times New Roman" w:cs="Times New Roman"/>
                  <w:noProof/>
                </w:rPr>
                <w:t>.</w:t>
              </w:r>
            </w:p>
            <w:p w14:paraId="7476E121" w14:textId="18CC04CC" w:rsidR="00246FA0" w:rsidRPr="00AA2985" w:rsidRDefault="00246FA0" w:rsidP="00920568">
              <w:pPr>
                <w:pStyle w:val="Bibliografa"/>
                <w:spacing w:line="360" w:lineRule="auto"/>
                <w:ind w:left="720" w:hanging="720"/>
                <w:jc w:val="both"/>
                <w:rPr>
                  <w:rFonts w:ascii="Times New Roman" w:hAnsi="Times New Roman" w:cs="Times New Roman"/>
                  <w:noProof/>
                  <w:lang w:val="en-GB"/>
                </w:rPr>
              </w:pPr>
              <w:r w:rsidRPr="00920568">
                <w:rPr>
                  <w:rFonts w:ascii="Times New Roman" w:hAnsi="Times New Roman" w:cs="Times New Roman"/>
                  <w:noProof/>
                </w:rPr>
                <w:t xml:space="preserve">Rafat, A. (1981). </w:t>
              </w:r>
              <w:r w:rsidRPr="00AA2985">
                <w:rPr>
                  <w:rFonts w:ascii="Times New Roman" w:hAnsi="Times New Roman" w:cs="Times New Roman"/>
                  <w:noProof/>
                  <w:lang w:val="en-GB"/>
                </w:rPr>
                <w:t xml:space="preserve">The Iran Hostage Crisis and the International Court of Justice: Aspects of the Case Concerning United States Diplomatic and Consular Staff in Tehran. </w:t>
              </w:r>
              <w:r w:rsidRPr="00AA2985">
                <w:rPr>
                  <w:rFonts w:ascii="Times New Roman" w:hAnsi="Times New Roman" w:cs="Times New Roman"/>
                  <w:i/>
                  <w:iCs/>
                  <w:noProof/>
                  <w:lang w:val="en-GB"/>
                </w:rPr>
                <w:t>Denver Journal of International Law &amp; Policy</w:t>
              </w:r>
              <w:r w:rsidRPr="00AA2985">
                <w:rPr>
                  <w:rFonts w:ascii="Times New Roman" w:hAnsi="Times New Roman" w:cs="Times New Roman"/>
                  <w:noProof/>
                  <w:lang w:val="en-GB"/>
                </w:rPr>
                <w:t xml:space="preserve">, </w:t>
              </w:r>
              <w:r w:rsidR="001209AD">
                <w:rPr>
                  <w:rFonts w:ascii="Times New Roman" w:hAnsi="Times New Roman" w:cs="Times New Roman"/>
                  <w:noProof/>
                  <w:lang w:val="en-GB"/>
                </w:rPr>
                <w:t xml:space="preserve">pp. </w:t>
              </w:r>
              <w:r w:rsidRPr="00AA2985">
                <w:rPr>
                  <w:rFonts w:ascii="Times New Roman" w:hAnsi="Times New Roman" w:cs="Times New Roman"/>
                  <w:noProof/>
                  <w:lang w:val="en-GB"/>
                </w:rPr>
                <w:t>425-462.</w:t>
              </w:r>
            </w:p>
            <w:p w14:paraId="0FA7B0B1" w14:textId="4BEEA172" w:rsidR="00246FA0" w:rsidRPr="00920568" w:rsidRDefault="00246FA0" w:rsidP="00920568">
              <w:pPr>
                <w:pStyle w:val="Bibliografa"/>
                <w:spacing w:line="360" w:lineRule="auto"/>
                <w:ind w:left="720" w:hanging="720"/>
                <w:jc w:val="both"/>
                <w:rPr>
                  <w:rFonts w:ascii="Times New Roman" w:hAnsi="Times New Roman" w:cs="Times New Roman"/>
                  <w:noProof/>
                </w:rPr>
              </w:pPr>
              <w:r w:rsidRPr="00AA2985">
                <w:rPr>
                  <w:rFonts w:ascii="Times New Roman" w:hAnsi="Times New Roman" w:cs="Times New Roman"/>
                  <w:noProof/>
                  <w:lang w:val="en-GB"/>
                </w:rPr>
                <w:t xml:space="preserve">Sáenz de Santa María , M. (1981). </w:t>
              </w:r>
              <w:r w:rsidRPr="00920568">
                <w:rPr>
                  <w:rFonts w:ascii="Times New Roman" w:hAnsi="Times New Roman" w:cs="Times New Roman"/>
                  <w:noProof/>
                </w:rPr>
                <w:t xml:space="preserve">La crisis de la inviolabilidad de las misiones diplomáticas. Una perspectiva estructural de análisis . </w:t>
              </w:r>
              <w:r w:rsidRPr="00920568">
                <w:rPr>
                  <w:rFonts w:ascii="Times New Roman" w:hAnsi="Times New Roman" w:cs="Times New Roman"/>
                  <w:i/>
                  <w:iCs/>
                  <w:noProof/>
                </w:rPr>
                <w:t xml:space="preserve">Revista de Estudiso Internacionales </w:t>
              </w:r>
              <w:r w:rsidRPr="00920568">
                <w:rPr>
                  <w:rFonts w:ascii="Times New Roman" w:hAnsi="Times New Roman" w:cs="Times New Roman"/>
                  <w:noProof/>
                </w:rPr>
                <w:t xml:space="preserve">, </w:t>
              </w:r>
              <w:r w:rsidR="001209AD">
                <w:rPr>
                  <w:rFonts w:ascii="Times New Roman" w:hAnsi="Times New Roman" w:cs="Times New Roman"/>
                  <w:noProof/>
                </w:rPr>
                <w:t xml:space="preserve">pp. </w:t>
              </w:r>
              <w:r w:rsidRPr="00920568">
                <w:rPr>
                  <w:rFonts w:ascii="Times New Roman" w:hAnsi="Times New Roman" w:cs="Times New Roman"/>
                  <w:noProof/>
                </w:rPr>
                <w:t>261-303.</w:t>
              </w:r>
            </w:p>
            <w:p w14:paraId="2F3239F6" w14:textId="77777777" w:rsidR="00246FA0" w:rsidRPr="00920568" w:rsidRDefault="00246FA0" w:rsidP="00920568">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 xml:space="preserve">Sánchez Herráez, P. (3 de julio de 2019). </w:t>
              </w:r>
              <w:r w:rsidRPr="00920568">
                <w:rPr>
                  <w:rFonts w:ascii="Times New Roman" w:hAnsi="Times New Roman" w:cs="Times New Roman"/>
                  <w:i/>
                  <w:iCs/>
                  <w:noProof/>
                </w:rPr>
                <w:t>Libia: ¿El modelo de conflicto del siglo XXI?</w:t>
              </w:r>
              <w:r w:rsidRPr="00920568">
                <w:rPr>
                  <w:rFonts w:ascii="Times New Roman" w:hAnsi="Times New Roman" w:cs="Times New Roman"/>
                  <w:noProof/>
                </w:rPr>
                <w:t xml:space="preserve"> Obtenido de Instituto Español de Estudios Estratégicos: http://www.ieee.es/Galerias/fichero/docs_analisis/2019/DIEEEA21_2019PEDSAN_Libia.pdf</w:t>
              </w:r>
            </w:p>
            <w:p w14:paraId="34E66D08" w14:textId="77777777" w:rsidR="00246FA0" w:rsidRPr="00920568" w:rsidRDefault="00246FA0" w:rsidP="00920568">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 xml:space="preserve">Sferraza Taibi, P. (2017). Hecho ilícito internacional . </w:t>
              </w:r>
              <w:r w:rsidRPr="00920568">
                <w:rPr>
                  <w:rFonts w:ascii="Times New Roman" w:hAnsi="Times New Roman" w:cs="Times New Roman"/>
                  <w:i/>
                  <w:iCs/>
                  <w:noProof/>
                </w:rPr>
                <w:t>Eunomía. Revista en Cultura de la legalidad</w:t>
              </w:r>
              <w:r w:rsidRPr="00920568">
                <w:rPr>
                  <w:rFonts w:ascii="Times New Roman" w:hAnsi="Times New Roman" w:cs="Times New Roman"/>
                  <w:noProof/>
                </w:rPr>
                <w:t>, 271-282.</w:t>
              </w:r>
            </w:p>
            <w:p w14:paraId="06F19D82" w14:textId="77777777" w:rsidR="00246FA0" w:rsidRPr="00AA2985" w:rsidRDefault="00246FA0" w:rsidP="00920568">
              <w:pPr>
                <w:pStyle w:val="Bibliografa"/>
                <w:spacing w:line="360" w:lineRule="auto"/>
                <w:ind w:left="720" w:hanging="720"/>
                <w:jc w:val="both"/>
                <w:rPr>
                  <w:rFonts w:ascii="Times New Roman" w:hAnsi="Times New Roman" w:cs="Times New Roman"/>
                  <w:noProof/>
                  <w:lang w:val="en-GB"/>
                </w:rPr>
              </w:pPr>
              <w:r w:rsidRPr="00AA2985">
                <w:rPr>
                  <w:rFonts w:ascii="Times New Roman" w:hAnsi="Times New Roman" w:cs="Times New Roman"/>
                  <w:noProof/>
                  <w:lang w:val="en-GB"/>
                </w:rPr>
                <w:t xml:space="preserve">Tiersky, A., &amp; Epstein, S. (2012). </w:t>
              </w:r>
              <w:r w:rsidRPr="00AA2985">
                <w:rPr>
                  <w:rFonts w:ascii="Times New Roman" w:hAnsi="Times New Roman" w:cs="Times New Roman"/>
                  <w:i/>
                  <w:iCs/>
                  <w:noProof/>
                  <w:lang w:val="en-GB"/>
                </w:rPr>
                <w:t>Securing U.S. Diplomatic facilities and Personnel Abroad: Background and Policy Issues.</w:t>
              </w:r>
              <w:r w:rsidRPr="00AA2985">
                <w:rPr>
                  <w:rFonts w:ascii="Times New Roman" w:hAnsi="Times New Roman" w:cs="Times New Roman"/>
                  <w:noProof/>
                  <w:lang w:val="en-GB"/>
                </w:rPr>
                <w:t xml:space="preserve"> Washington D.C: Congressional Research Service: Report for Congress.</w:t>
              </w:r>
            </w:p>
            <w:p w14:paraId="7E343048" w14:textId="77777777" w:rsidR="00246FA0" w:rsidRPr="00920568" w:rsidRDefault="00246FA0" w:rsidP="00920568">
              <w:pPr>
                <w:pStyle w:val="Bibliografa"/>
                <w:spacing w:line="360" w:lineRule="auto"/>
                <w:ind w:left="720" w:hanging="720"/>
                <w:jc w:val="both"/>
                <w:rPr>
                  <w:rFonts w:ascii="Times New Roman" w:hAnsi="Times New Roman" w:cs="Times New Roman"/>
                  <w:noProof/>
                </w:rPr>
              </w:pPr>
              <w:r w:rsidRPr="00AA2985">
                <w:rPr>
                  <w:rFonts w:ascii="Times New Roman" w:hAnsi="Times New Roman" w:cs="Times New Roman"/>
                  <w:noProof/>
                  <w:lang w:val="en-GB"/>
                </w:rPr>
                <w:t xml:space="preserve">Vilariño Pintos, E. (2018). </w:t>
              </w:r>
              <w:r w:rsidRPr="00920568">
                <w:rPr>
                  <w:rFonts w:ascii="Times New Roman" w:hAnsi="Times New Roman" w:cs="Times New Roman"/>
                  <w:i/>
                  <w:iCs/>
                  <w:noProof/>
                </w:rPr>
                <w:t>Curso de Derecho Diplomático y Consular .</w:t>
              </w:r>
              <w:r w:rsidRPr="00920568">
                <w:rPr>
                  <w:rFonts w:ascii="Times New Roman" w:hAnsi="Times New Roman" w:cs="Times New Roman"/>
                  <w:noProof/>
                </w:rPr>
                <w:t xml:space="preserve"> Madrid: Tecnos.</w:t>
              </w:r>
            </w:p>
            <w:p w14:paraId="332D32DE" w14:textId="34180155" w:rsidR="00246FA0" w:rsidRPr="00920568" w:rsidRDefault="00246FA0" w:rsidP="00920568">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 xml:space="preserve">Weckmann, L. (1952). Origen de la misión diplomática permanente. </w:t>
              </w:r>
              <w:r w:rsidRPr="00920568">
                <w:rPr>
                  <w:rFonts w:ascii="Times New Roman" w:hAnsi="Times New Roman" w:cs="Times New Roman"/>
                  <w:i/>
                  <w:iCs/>
                  <w:noProof/>
                </w:rPr>
                <w:t>Revista General de Derecho Internacional Público (RGDIP)</w:t>
              </w:r>
              <w:r w:rsidRPr="00920568">
                <w:rPr>
                  <w:rFonts w:ascii="Times New Roman" w:hAnsi="Times New Roman" w:cs="Times New Roman"/>
                  <w:noProof/>
                </w:rPr>
                <w:t xml:space="preserve">, </w:t>
              </w:r>
              <w:r w:rsidR="001209AD">
                <w:rPr>
                  <w:rFonts w:ascii="Times New Roman" w:hAnsi="Times New Roman" w:cs="Times New Roman"/>
                  <w:noProof/>
                </w:rPr>
                <w:t xml:space="preserve">pp. </w:t>
              </w:r>
              <w:r w:rsidRPr="00920568">
                <w:rPr>
                  <w:rFonts w:ascii="Times New Roman" w:hAnsi="Times New Roman" w:cs="Times New Roman"/>
                  <w:noProof/>
                </w:rPr>
                <w:t>268-298.</w:t>
              </w:r>
            </w:p>
            <w:p w14:paraId="68053A19" w14:textId="77777777" w:rsidR="00246FA0" w:rsidRPr="00920568" w:rsidRDefault="00246FA0" w:rsidP="00920568">
              <w:pPr>
                <w:pStyle w:val="Bibliografa"/>
                <w:spacing w:line="360" w:lineRule="auto"/>
                <w:ind w:left="720" w:hanging="720"/>
                <w:jc w:val="both"/>
                <w:rPr>
                  <w:rFonts w:ascii="Times New Roman" w:hAnsi="Times New Roman" w:cs="Times New Roman"/>
                  <w:noProof/>
                </w:rPr>
              </w:pPr>
              <w:r w:rsidRPr="00920568">
                <w:rPr>
                  <w:rFonts w:ascii="Times New Roman" w:hAnsi="Times New Roman" w:cs="Times New Roman"/>
                  <w:noProof/>
                </w:rPr>
                <w:t xml:space="preserve">Yturriaga Barberán, J. A. (2015). </w:t>
              </w:r>
              <w:r w:rsidRPr="00920568">
                <w:rPr>
                  <w:rFonts w:ascii="Times New Roman" w:hAnsi="Times New Roman" w:cs="Times New Roman"/>
                  <w:i/>
                  <w:iCs/>
                  <w:noProof/>
                </w:rPr>
                <w:t>El órgano del Estado para las relaciones exteriores .</w:t>
              </w:r>
              <w:r w:rsidRPr="00920568">
                <w:rPr>
                  <w:rFonts w:ascii="Times New Roman" w:hAnsi="Times New Roman" w:cs="Times New Roman"/>
                  <w:noProof/>
                </w:rPr>
                <w:t xml:space="preserve"> Madrid: Colección Escuela Diplomática.</w:t>
              </w:r>
            </w:p>
            <w:p w14:paraId="592AFD5B" w14:textId="52292294" w:rsidR="00843725" w:rsidRPr="00920568" w:rsidRDefault="00843725" w:rsidP="00920568">
              <w:pPr>
                <w:spacing w:line="360" w:lineRule="auto"/>
                <w:jc w:val="both"/>
                <w:rPr>
                  <w:rFonts w:ascii="Times New Roman" w:hAnsi="Times New Roman" w:cs="Times New Roman"/>
                  <w:sz w:val="24"/>
                  <w:szCs w:val="24"/>
                </w:rPr>
              </w:pPr>
              <w:r w:rsidRPr="00920568">
                <w:rPr>
                  <w:rFonts w:ascii="Times New Roman" w:hAnsi="Times New Roman" w:cs="Times New Roman"/>
                  <w:b/>
                  <w:bCs/>
                  <w:sz w:val="24"/>
                  <w:szCs w:val="24"/>
                </w:rPr>
                <w:fldChar w:fldCharType="end"/>
              </w:r>
            </w:p>
          </w:sdtContent>
        </w:sdt>
      </w:sdtContent>
    </w:sdt>
    <w:sectPr w:rsidR="00843725" w:rsidRPr="00920568" w:rsidSect="00FB5B5B">
      <w:headerReference w:type="default" r:id="rId9"/>
      <w:footerReference w:type="default" r:id="rId10"/>
      <w:type w:val="continuous"/>
      <w:pgSz w:w="11910" w:h="16840"/>
      <w:pgMar w:top="1417" w:right="1701" w:bottom="1417" w:left="1701"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956396" w14:textId="77777777" w:rsidR="00967EFB" w:rsidRDefault="00967EFB" w:rsidP="00D1218A">
      <w:r>
        <w:separator/>
      </w:r>
    </w:p>
  </w:endnote>
  <w:endnote w:type="continuationSeparator" w:id="0">
    <w:p w14:paraId="5D45418A" w14:textId="77777777" w:rsidR="00967EFB" w:rsidRDefault="00967EFB" w:rsidP="00D12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11C00" w14:textId="77777777" w:rsidR="00575E7C" w:rsidRPr="00250A86" w:rsidRDefault="00575E7C">
    <w:pPr>
      <w:pStyle w:val="Piedepgina"/>
      <w:jc w:val="center"/>
      <w:rPr>
        <w:rFonts w:ascii="Times New Roman" w:hAnsi="Times New Roman" w:cs="Times New Roman"/>
        <w:caps/>
      </w:rPr>
    </w:pPr>
    <w:r w:rsidRPr="00250A86">
      <w:rPr>
        <w:rFonts w:ascii="Times New Roman" w:hAnsi="Times New Roman" w:cs="Times New Roman"/>
        <w:caps/>
      </w:rPr>
      <w:fldChar w:fldCharType="begin"/>
    </w:r>
    <w:r w:rsidRPr="00250A86">
      <w:rPr>
        <w:rFonts w:ascii="Times New Roman" w:hAnsi="Times New Roman" w:cs="Times New Roman"/>
        <w:caps/>
      </w:rPr>
      <w:instrText>PAGE   \* MERGEFORMAT</w:instrText>
    </w:r>
    <w:r w:rsidRPr="00250A86">
      <w:rPr>
        <w:rFonts w:ascii="Times New Roman" w:hAnsi="Times New Roman" w:cs="Times New Roman"/>
        <w:caps/>
      </w:rPr>
      <w:fldChar w:fldCharType="separate"/>
    </w:r>
    <w:r w:rsidRPr="00250A86">
      <w:rPr>
        <w:rFonts w:ascii="Times New Roman" w:hAnsi="Times New Roman" w:cs="Times New Roman"/>
        <w:caps/>
      </w:rPr>
      <w:t>2</w:t>
    </w:r>
    <w:r w:rsidRPr="00250A86">
      <w:rPr>
        <w:rFonts w:ascii="Times New Roman" w:hAnsi="Times New Roman" w:cs="Times New Roman"/>
        <w:caps/>
      </w:rPr>
      <w:fldChar w:fldCharType="end"/>
    </w:r>
  </w:p>
  <w:p w14:paraId="074581C4" w14:textId="77777777" w:rsidR="00575E7C" w:rsidRDefault="00575E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CBEA8A" w14:textId="77777777" w:rsidR="00967EFB" w:rsidRDefault="00967EFB" w:rsidP="00D1218A">
      <w:r>
        <w:separator/>
      </w:r>
    </w:p>
  </w:footnote>
  <w:footnote w:type="continuationSeparator" w:id="0">
    <w:p w14:paraId="4B83C6F1" w14:textId="77777777" w:rsidR="00967EFB" w:rsidRDefault="00967EFB" w:rsidP="00D1218A">
      <w:r>
        <w:continuationSeparator/>
      </w:r>
    </w:p>
  </w:footnote>
  <w:footnote w:id="1">
    <w:p w14:paraId="58A3A50A" w14:textId="6AC13F20" w:rsidR="00575E7C" w:rsidRPr="00097D93" w:rsidRDefault="00575E7C" w:rsidP="00F017CF">
      <w:pPr>
        <w:pStyle w:val="Textonotapie"/>
        <w:jc w:val="both"/>
        <w:rPr>
          <w:rFonts w:ascii="Times New Roman" w:hAnsi="Times New Roman" w:cs="Times New Roman"/>
        </w:rPr>
      </w:pPr>
      <w:r w:rsidRPr="00097D93">
        <w:rPr>
          <w:rStyle w:val="Refdenotaalpie"/>
          <w:rFonts w:ascii="Times New Roman" w:hAnsi="Times New Roman" w:cs="Times New Roman"/>
        </w:rPr>
        <w:footnoteRef/>
      </w:r>
      <w:r w:rsidRPr="00097D93">
        <w:rPr>
          <w:rFonts w:ascii="Times New Roman" w:hAnsi="Times New Roman" w:cs="Times New Roman"/>
        </w:rPr>
        <w:t xml:space="preserve"> </w:t>
      </w:r>
      <w:bookmarkStart w:id="1" w:name="_Hlk55232959"/>
      <w:r w:rsidRPr="00097D93">
        <w:rPr>
          <w:rFonts w:ascii="Times New Roman" w:hAnsi="Times New Roman" w:cs="Times New Roman"/>
        </w:rPr>
        <w:t>Preámbulo de la Convención de Viena sobre Relaciones Diplomáticas de 1961. Boletín Oficial del Estado, Madrid, España, 18 de abril de 1961.</w:t>
      </w:r>
      <w:bookmarkEnd w:id="1"/>
    </w:p>
  </w:footnote>
  <w:footnote w:id="2">
    <w:p w14:paraId="7248D521" w14:textId="049C453D" w:rsidR="00575E7C" w:rsidRPr="00F017CF" w:rsidRDefault="00575E7C" w:rsidP="00F017CF">
      <w:pPr>
        <w:pStyle w:val="Textonotapie"/>
        <w:jc w:val="both"/>
        <w:rPr>
          <w:rFonts w:ascii="Times New Roman" w:hAnsi="Times New Roman" w:cs="Times New Roman"/>
        </w:rPr>
      </w:pPr>
      <w:r w:rsidRPr="00F017CF">
        <w:rPr>
          <w:rStyle w:val="Refdenotaalpie"/>
          <w:rFonts w:ascii="Times New Roman" w:hAnsi="Times New Roman" w:cs="Times New Roman"/>
        </w:rPr>
        <w:footnoteRef/>
      </w:r>
      <w:r w:rsidRPr="00F017CF">
        <w:rPr>
          <w:rFonts w:ascii="Times New Roman" w:hAnsi="Times New Roman" w:cs="Times New Roman"/>
        </w:rPr>
        <w:t xml:space="preserve"> CALDUCH CERVERA, R. </w:t>
      </w:r>
      <w:r w:rsidRPr="00F017CF">
        <w:rPr>
          <w:rFonts w:ascii="Times New Roman" w:hAnsi="Times New Roman" w:cs="Times New Roman"/>
          <w:i/>
          <w:iCs/>
        </w:rPr>
        <w:t>Métodos y técnicas de Investigación en Relaciones Internacionales.</w:t>
      </w:r>
      <w:r w:rsidRPr="00F017CF">
        <w:rPr>
          <w:rFonts w:ascii="Times New Roman" w:hAnsi="Times New Roman" w:cs="Times New Roman"/>
        </w:rPr>
        <w:t xml:space="preserve"> Universidad Complutense de Madrid</w:t>
      </w:r>
      <w:r>
        <w:rPr>
          <w:rFonts w:ascii="Times New Roman" w:hAnsi="Times New Roman" w:cs="Times New Roman"/>
        </w:rPr>
        <w:t xml:space="preserve">, 2003. </w:t>
      </w:r>
    </w:p>
  </w:footnote>
  <w:footnote w:id="3">
    <w:p w14:paraId="12830482" w14:textId="7FA81DFA" w:rsidR="00575E7C" w:rsidRPr="00F017CF" w:rsidRDefault="00575E7C" w:rsidP="00F017CF">
      <w:pPr>
        <w:pStyle w:val="Textonotapie"/>
        <w:jc w:val="both"/>
        <w:rPr>
          <w:rFonts w:ascii="Times New Roman" w:hAnsi="Times New Roman" w:cs="Times New Roman"/>
        </w:rPr>
      </w:pPr>
      <w:r w:rsidRPr="00F017CF">
        <w:rPr>
          <w:rStyle w:val="Refdenotaalpie"/>
          <w:rFonts w:ascii="Times New Roman" w:hAnsi="Times New Roman" w:cs="Times New Roman"/>
        </w:rPr>
        <w:footnoteRef/>
      </w:r>
      <w:r w:rsidRPr="00F017CF">
        <w:rPr>
          <w:rFonts w:ascii="Times New Roman" w:hAnsi="Times New Roman" w:cs="Times New Roman"/>
        </w:rPr>
        <w:t xml:space="preserve"> CALDUCH CERVERA, R. “Dinámica de la Sociedad Internacional”</w:t>
      </w:r>
      <w:r w:rsidRPr="00F017CF">
        <w:rPr>
          <w:rFonts w:ascii="Times New Roman" w:hAnsi="Times New Roman" w:cs="Times New Roman"/>
          <w:i/>
          <w:iCs/>
        </w:rPr>
        <w:t>.</w:t>
      </w:r>
      <w:r w:rsidRPr="00F017CF">
        <w:rPr>
          <w:rFonts w:ascii="Times New Roman" w:hAnsi="Times New Roman" w:cs="Times New Roman"/>
        </w:rPr>
        <w:t xml:space="preserve"> </w:t>
      </w:r>
      <w:r w:rsidRPr="00F017CF">
        <w:rPr>
          <w:rFonts w:ascii="Times New Roman" w:hAnsi="Times New Roman" w:cs="Times New Roman"/>
          <w:i/>
          <w:iCs/>
        </w:rPr>
        <w:t>Centro de Estudios Universitarios Ramón Areces</w:t>
      </w:r>
      <w:r w:rsidRPr="00F017CF">
        <w:rPr>
          <w:rFonts w:ascii="Times New Roman" w:hAnsi="Times New Roman" w:cs="Times New Roman"/>
        </w:rPr>
        <w:t>, Madrid, 1993.</w:t>
      </w:r>
    </w:p>
  </w:footnote>
  <w:footnote w:id="4">
    <w:p w14:paraId="29740134" w14:textId="4DCBB136" w:rsidR="00575E7C" w:rsidRPr="00F017CF" w:rsidRDefault="00575E7C" w:rsidP="00F017CF">
      <w:pPr>
        <w:pStyle w:val="Textonotapie"/>
        <w:jc w:val="both"/>
        <w:rPr>
          <w:rFonts w:ascii="Times New Roman" w:hAnsi="Times New Roman" w:cs="Times New Roman"/>
        </w:rPr>
      </w:pPr>
      <w:r w:rsidRPr="00F017CF">
        <w:rPr>
          <w:rStyle w:val="Refdenotaalpie"/>
          <w:rFonts w:ascii="Times New Roman" w:hAnsi="Times New Roman" w:cs="Times New Roman"/>
        </w:rPr>
        <w:footnoteRef/>
      </w:r>
      <w:r w:rsidRPr="00F017CF">
        <w:rPr>
          <w:rFonts w:ascii="Times New Roman" w:hAnsi="Times New Roman" w:cs="Times New Roman"/>
        </w:rPr>
        <w:t xml:space="preserve"> PÉREZ DE CUÉLLAR, J. </w:t>
      </w:r>
      <w:r w:rsidRPr="00F017CF">
        <w:rPr>
          <w:rFonts w:ascii="Times New Roman" w:hAnsi="Times New Roman" w:cs="Times New Roman"/>
          <w:i/>
          <w:iCs/>
        </w:rPr>
        <w:t>Manual de derecho diplomático</w:t>
      </w:r>
      <w:r>
        <w:rPr>
          <w:rFonts w:ascii="Times New Roman" w:hAnsi="Times New Roman" w:cs="Times New Roman"/>
          <w:i/>
          <w:iCs/>
        </w:rPr>
        <w:t>,</w:t>
      </w:r>
      <w:r w:rsidRPr="00F017CF">
        <w:rPr>
          <w:rFonts w:ascii="Times New Roman" w:hAnsi="Times New Roman" w:cs="Times New Roman"/>
        </w:rPr>
        <w:t xml:space="preserve"> México: Fondo de Cultura Económica,</w:t>
      </w:r>
      <w:r>
        <w:rPr>
          <w:rFonts w:ascii="Times New Roman" w:hAnsi="Times New Roman" w:cs="Times New Roman"/>
        </w:rPr>
        <w:t xml:space="preserve"> 1997, </w:t>
      </w:r>
      <w:r w:rsidRPr="00F017CF">
        <w:rPr>
          <w:rFonts w:ascii="Times New Roman" w:hAnsi="Times New Roman" w:cs="Times New Roman"/>
        </w:rPr>
        <w:t xml:space="preserve"> p. 55.</w:t>
      </w:r>
    </w:p>
  </w:footnote>
  <w:footnote w:id="5">
    <w:p w14:paraId="53A2DF7B" w14:textId="0AED32AE" w:rsidR="00575E7C" w:rsidRPr="00F017CF" w:rsidRDefault="00575E7C" w:rsidP="00F017CF">
      <w:pPr>
        <w:pStyle w:val="Textonotapie"/>
        <w:jc w:val="both"/>
        <w:rPr>
          <w:rFonts w:ascii="Times New Roman" w:hAnsi="Times New Roman" w:cs="Times New Roman"/>
        </w:rPr>
      </w:pPr>
      <w:r w:rsidRPr="00F017CF">
        <w:rPr>
          <w:rStyle w:val="Refdenotaalpie"/>
          <w:rFonts w:ascii="Times New Roman" w:hAnsi="Times New Roman" w:cs="Times New Roman"/>
        </w:rPr>
        <w:footnoteRef/>
      </w:r>
      <w:r w:rsidRPr="00F017CF">
        <w:rPr>
          <w:rFonts w:ascii="Times New Roman" w:hAnsi="Times New Roman" w:cs="Times New Roman"/>
        </w:rPr>
        <w:t xml:space="preserve"> WECKMANN, L. “Origen de la misión diplomática permanente”. </w:t>
      </w:r>
      <w:r w:rsidRPr="00F017CF">
        <w:rPr>
          <w:rFonts w:ascii="Times New Roman" w:hAnsi="Times New Roman" w:cs="Times New Roman"/>
          <w:i/>
          <w:iCs/>
        </w:rPr>
        <w:t>Revista General de Derecho Internacional Público (RGDIP)</w:t>
      </w:r>
      <w:r w:rsidRPr="00F017CF">
        <w:rPr>
          <w:rFonts w:ascii="Times New Roman" w:hAnsi="Times New Roman" w:cs="Times New Roman"/>
        </w:rPr>
        <w:t>, 1952, p. 268-298.</w:t>
      </w:r>
    </w:p>
    <w:p w14:paraId="103DA91E" w14:textId="2A6461DA" w:rsidR="00575E7C" w:rsidRDefault="00575E7C">
      <w:pPr>
        <w:pStyle w:val="Textonotapie"/>
      </w:pPr>
    </w:p>
  </w:footnote>
  <w:footnote w:id="6">
    <w:p w14:paraId="5B4102CF" w14:textId="020750E2" w:rsidR="00575E7C" w:rsidRPr="00F017CF" w:rsidRDefault="00575E7C" w:rsidP="00F017CF">
      <w:pPr>
        <w:pStyle w:val="Textonotapie"/>
        <w:jc w:val="both"/>
        <w:rPr>
          <w:rFonts w:ascii="Times New Roman" w:hAnsi="Times New Roman" w:cs="Times New Roman"/>
        </w:rPr>
      </w:pPr>
      <w:r w:rsidRPr="00F017CF">
        <w:rPr>
          <w:rStyle w:val="Refdenotaalpie"/>
          <w:rFonts w:ascii="Times New Roman" w:hAnsi="Times New Roman" w:cs="Times New Roman"/>
        </w:rPr>
        <w:footnoteRef/>
      </w:r>
      <w:r w:rsidRPr="00F017CF">
        <w:rPr>
          <w:rFonts w:ascii="Times New Roman" w:hAnsi="Times New Roman" w:cs="Times New Roman"/>
        </w:rPr>
        <w:t xml:space="preserve"> MARTÍ </w:t>
      </w:r>
      <w:proofErr w:type="spellStart"/>
      <w:r w:rsidRPr="00F017CF">
        <w:rPr>
          <w:rFonts w:ascii="Times New Roman" w:hAnsi="Times New Roman" w:cs="Times New Roman"/>
        </w:rPr>
        <w:t>MARTÍ</w:t>
      </w:r>
      <w:proofErr w:type="spellEnd"/>
      <w:r w:rsidRPr="00F017CF">
        <w:rPr>
          <w:rFonts w:ascii="Times New Roman" w:hAnsi="Times New Roman" w:cs="Times New Roman"/>
        </w:rPr>
        <w:t xml:space="preserve">, X., &amp; NÚÑEZ HERNÁNDEZ, J. </w:t>
      </w:r>
      <w:r w:rsidRPr="00F017CF">
        <w:rPr>
          <w:rFonts w:ascii="Times New Roman" w:hAnsi="Times New Roman" w:cs="Times New Roman"/>
          <w:i/>
          <w:iCs/>
        </w:rPr>
        <w:t xml:space="preserve">La función consular en el </w:t>
      </w:r>
      <w:r>
        <w:rPr>
          <w:rFonts w:ascii="Times New Roman" w:hAnsi="Times New Roman" w:cs="Times New Roman"/>
          <w:i/>
          <w:iCs/>
        </w:rPr>
        <w:t>D</w:t>
      </w:r>
      <w:r w:rsidRPr="00F017CF">
        <w:rPr>
          <w:rFonts w:ascii="Times New Roman" w:hAnsi="Times New Roman" w:cs="Times New Roman"/>
          <w:i/>
          <w:iCs/>
        </w:rPr>
        <w:t>erecho Español.</w:t>
      </w:r>
      <w:r w:rsidRPr="00F017CF">
        <w:rPr>
          <w:rFonts w:ascii="Times New Roman" w:hAnsi="Times New Roman" w:cs="Times New Roman"/>
        </w:rPr>
        <w:t xml:space="preserve"> Madrid: Ministerio de Asuntos Exteriores y Cooperación, 2009.</w:t>
      </w:r>
    </w:p>
  </w:footnote>
  <w:footnote w:id="7">
    <w:p w14:paraId="4B150910" w14:textId="286CB5FA" w:rsidR="00575E7C" w:rsidRDefault="00575E7C" w:rsidP="00F017CF">
      <w:pPr>
        <w:pStyle w:val="Textonotapie"/>
        <w:jc w:val="both"/>
      </w:pPr>
      <w:r w:rsidRPr="00F017CF">
        <w:rPr>
          <w:rStyle w:val="Refdenotaalpie"/>
          <w:rFonts w:ascii="Times New Roman" w:hAnsi="Times New Roman" w:cs="Times New Roman"/>
        </w:rPr>
        <w:footnoteRef/>
      </w:r>
      <w:r w:rsidRPr="00F017CF">
        <w:rPr>
          <w:rFonts w:ascii="Times New Roman" w:hAnsi="Times New Roman" w:cs="Times New Roman"/>
        </w:rPr>
        <w:t xml:space="preserve"> PASTOR RIDRUEJO, J. A. </w:t>
      </w:r>
      <w:r w:rsidRPr="00F017CF">
        <w:rPr>
          <w:rFonts w:ascii="Times New Roman" w:hAnsi="Times New Roman" w:cs="Times New Roman"/>
          <w:i/>
          <w:iCs/>
        </w:rPr>
        <w:t>Curso de Derecho Internacional Público y Organizaciones Internacionales.</w:t>
      </w:r>
      <w:r w:rsidRPr="00F017CF">
        <w:rPr>
          <w:rFonts w:ascii="Times New Roman" w:hAnsi="Times New Roman" w:cs="Times New Roman"/>
        </w:rPr>
        <w:t xml:space="preserve"> Madrid: Tecnos, 2015, pp. 551 y siguientes</w:t>
      </w:r>
    </w:p>
  </w:footnote>
  <w:footnote w:id="8">
    <w:p w14:paraId="2B22FC89" w14:textId="7F4A966C" w:rsidR="00575E7C" w:rsidRPr="000F3056" w:rsidRDefault="00575E7C" w:rsidP="000F3056">
      <w:pPr>
        <w:pStyle w:val="Textonotapie"/>
        <w:jc w:val="both"/>
        <w:rPr>
          <w:rFonts w:ascii="Times New Roman" w:hAnsi="Times New Roman" w:cs="Times New Roman"/>
        </w:rPr>
      </w:pPr>
      <w:r w:rsidRPr="000F3056">
        <w:rPr>
          <w:rStyle w:val="Refdenotaalpie"/>
          <w:rFonts w:ascii="Times New Roman" w:hAnsi="Times New Roman" w:cs="Times New Roman"/>
        </w:rPr>
        <w:footnoteRef/>
      </w:r>
      <w:r w:rsidRPr="000F3056">
        <w:rPr>
          <w:rFonts w:ascii="Times New Roman" w:hAnsi="Times New Roman" w:cs="Times New Roman"/>
        </w:rPr>
        <w:t xml:space="preserve"> PÉREZ DE CUÉLLAR, J</w:t>
      </w:r>
      <w:r>
        <w:rPr>
          <w:rFonts w:ascii="Times New Roman" w:hAnsi="Times New Roman" w:cs="Times New Roman"/>
        </w:rPr>
        <w:t xml:space="preserve">. </w:t>
      </w:r>
      <w:proofErr w:type="spellStart"/>
      <w:r w:rsidRPr="009E01AC">
        <w:rPr>
          <w:rFonts w:ascii="Times New Roman" w:hAnsi="Times New Roman" w:cs="Times New Roman"/>
          <w:i/>
          <w:iCs/>
        </w:rPr>
        <w:t>op</w:t>
      </w:r>
      <w:proofErr w:type="spellEnd"/>
      <w:r w:rsidRPr="009E01AC">
        <w:rPr>
          <w:rFonts w:ascii="Times New Roman" w:hAnsi="Times New Roman" w:cs="Times New Roman"/>
          <w:i/>
          <w:iCs/>
        </w:rPr>
        <w:t>. cit.,</w:t>
      </w:r>
      <w:r w:rsidRPr="000F3056">
        <w:rPr>
          <w:rFonts w:ascii="Times New Roman" w:hAnsi="Times New Roman" w:cs="Times New Roman"/>
        </w:rPr>
        <w:t xml:space="preserve"> p. 86. </w:t>
      </w:r>
    </w:p>
  </w:footnote>
  <w:footnote w:id="9">
    <w:p w14:paraId="756BCF57" w14:textId="412B4B55" w:rsidR="00575E7C" w:rsidRPr="000F3056" w:rsidRDefault="00575E7C" w:rsidP="000F3056">
      <w:pPr>
        <w:pStyle w:val="Textonotapie"/>
        <w:jc w:val="both"/>
        <w:rPr>
          <w:rFonts w:ascii="Times New Roman" w:hAnsi="Times New Roman" w:cs="Times New Roman"/>
        </w:rPr>
      </w:pPr>
      <w:r w:rsidRPr="000F3056">
        <w:rPr>
          <w:rStyle w:val="Refdenotaalpie"/>
          <w:rFonts w:ascii="Times New Roman" w:hAnsi="Times New Roman" w:cs="Times New Roman"/>
        </w:rPr>
        <w:footnoteRef/>
      </w:r>
      <w:r w:rsidRPr="000F3056">
        <w:rPr>
          <w:rFonts w:ascii="Times New Roman" w:hAnsi="Times New Roman" w:cs="Times New Roman"/>
        </w:rPr>
        <w:t xml:space="preserve"> VILARIÑO PINTOS, E. </w:t>
      </w:r>
      <w:r w:rsidRPr="000F3056">
        <w:rPr>
          <w:rFonts w:ascii="Times New Roman" w:hAnsi="Times New Roman" w:cs="Times New Roman"/>
          <w:i/>
          <w:iCs/>
        </w:rPr>
        <w:t>Curso de Derecho Diplomático y Consular .</w:t>
      </w:r>
      <w:r w:rsidRPr="000F3056">
        <w:rPr>
          <w:rFonts w:ascii="Times New Roman" w:hAnsi="Times New Roman" w:cs="Times New Roman"/>
        </w:rPr>
        <w:t xml:space="preserve"> Madrid: Tecnos, 2018, p. 256. </w:t>
      </w:r>
    </w:p>
  </w:footnote>
  <w:footnote w:id="10">
    <w:p w14:paraId="0FF9C7E9" w14:textId="5669BD72" w:rsidR="00575E7C" w:rsidRDefault="00575E7C" w:rsidP="000F3056">
      <w:pPr>
        <w:pStyle w:val="Textonotapie"/>
        <w:jc w:val="both"/>
      </w:pPr>
      <w:r w:rsidRPr="000F3056">
        <w:rPr>
          <w:rStyle w:val="Refdenotaalpie"/>
          <w:rFonts w:ascii="Times New Roman" w:hAnsi="Times New Roman" w:cs="Times New Roman"/>
        </w:rPr>
        <w:footnoteRef/>
      </w:r>
      <w:r w:rsidRPr="000F3056">
        <w:rPr>
          <w:rFonts w:ascii="Times New Roman" w:hAnsi="Times New Roman" w:cs="Times New Roman"/>
        </w:rPr>
        <w:t xml:space="preserve"> Art. 1. i) Convención de Viena sobre Relaciones Diplomáticas de 1961.</w:t>
      </w:r>
    </w:p>
  </w:footnote>
  <w:footnote w:id="11">
    <w:p w14:paraId="48524F4E" w14:textId="5468F6FD" w:rsidR="00575E7C" w:rsidRPr="000F3056" w:rsidRDefault="00575E7C">
      <w:pPr>
        <w:pStyle w:val="Textonotapie"/>
        <w:rPr>
          <w:rFonts w:ascii="Times New Roman" w:hAnsi="Times New Roman" w:cs="Times New Roman"/>
        </w:rPr>
      </w:pPr>
      <w:r w:rsidRPr="000F3056">
        <w:rPr>
          <w:rStyle w:val="Refdenotaalpie"/>
          <w:rFonts w:ascii="Times New Roman" w:hAnsi="Times New Roman" w:cs="Times New Roman"/>
        </w:rPr>
        <w:footnoteRef/>
      </w:r>
      <w:r w:rsidRPr="000F3056">
        <w:rPr>
          <w:rFonts w:ascii="Times New Roman" w:hAnsi="Times New Roman" w:cs="Times New Roman"/>
        </w:rPr>
        <w:t xml:space="preserve"> Art. 30. Convención de Viena sobre Relaciones Diplomáticas de 1961.</w:t>
      </w:r>
    </w:p>
  </w:footnote>
  <w:footnote w:id="12">
    <w:p w14:paraId="0F293A3D" w14:textId="562E766B" w:rsidR="00575E7C" w:rsidRDefault="00575E7C" w:rsidP="00F1428C">
      <w:pPr>
        <w:pStyle w:val="Textonotapie"/>
      </w:pPr>
      <w:r w:rsidRPr="000F3056">
        <w:rPr>
          <w:rStyle w:val="Refdenotaalpie"/>
          <w:rFonts w:ascii="Times New Roman" w:hAnsi="Times New Roman" w:cs="Times New Roman"/>
        </w:rPr>
        <w:footnoteRef/>
      </w:r>
      <w:r w:rsidRPr="000F3056">
        <w:rPr>
          <w:rFonts w:ascii="Times New Roman" w:hAnsi="Times New Roman" w:cs="Times New Roman"/>
        </w:rPr>
        <w:t xml:space="preserve"> </w:t>
      </w:r>
      <w:bookmarkStart w:id="11" w:name="_Hlk55233334"/>
      <w:r w:rsidRPr="000F3056">
        <w:rPr>
          <w:rFonts w:ascii="Times New Roman" w:hAnsi="Times New Roman" w:cs="Times New Roman"/>
        </w:rPr>
        <w:t>Art. 22. Convención de Viena sobre Relaciones Diplomáticas de 1961</w:t>
      </w:r>
      <w:bookmarkEnd w:id="11"/>
      <w:r w:rsidRPr="000F3056">
        <w:rPr>
          <w:rFonts w:ascii="Times New Roman" w:hAnsi="Times New Roman" w:cs="Times New Roman"/>
        </w:rPr>
        <w:t>.</w:t>
      </w:r>
    </w:p>
  </w:footnote>
  <w:footnote w:id="13">
    <w:p w14:paraId="4A7BE4F7" w14:textId="6BB9DE3E" w:rsidR="00575E7C" w:rsidRPr="000F3056" w:rsidRDefault="00575E7C" w:rsidP="00F1428C">
      <w:pPr>
        <w:pStyle w:val="Textonotapie"/>
        <w:spacing w:line="276" w:lineRule="auto"/>
        <w:rPr>
          <w:rFonts w:ascii="Times New Roman" w:hAnsi="Times New Roman" w:cs="Times New Roman"/>
        </w:rPr>
      </w:pPr>
      <w:r w:rsidRPr="000F3056">
        <w:rPr>
          <w:rStyle w:val="Refdenotaalpie"/>
          <w:rFonts w:ascii="Times New Roman" w:hAnsi="Times New Roman" w:cs="Times New Roman"/>
        </w:rPr>
        <w:footnoteRef/>
      </w:r>
      <w:r w:rsidRPr="000F3056">
        <w:rPr>
          <w:rFonts w:ascii="Times New Roman" w:hAnsi="Times New Roman" w:cs="Times New Roman"/>
        </w:rPr>
        <w:t xml:space="preserve"> CAHIER, P. </w:t>
      </w:r>
      <w:r w:rsidRPr="000F3056">
        <w:rPr>
          <w:rFonts w:ascii="Times New Roman" w:hAnsi="Times New Roman" w:cs="Times New Roman"/>
          <w:i/>
          <w:iCs/>
        </w:rPr>
        <w:t>Derecho diplomático contemporáneo.</w:t>
      </w:r>
      <w:r w:rsidRPr="000F3056">
        <w:rPr>
          <w:rFonts w:ascii="Times New Roman" w:hAnsi="Times New Roman" w:cs="Times New Roman"/>
        </w:rPr>
        <w:t xml:space="preserve"> Madrid: Rialp, 1965, p. 281. </w:t>
      </w:r>
    </w:p>
  </w:footnote>
  <w:footnote w:id="14">
    <w:p w14:paraId="61F6F8A0" w14:textId="65B97521" w:rsidR="00575E7C" w:rsidRPr="000F3056" w:rsidRDefault="00575E7C" w:rsidP="00F1428C">
      <w:pPr>
        <w:pStyle w:val="Textonotapie"/>
        <w:spacing w:line="276" w:lineRule="auto"/>
        <w:rPr>
          <w:rFonts w:ascii="Times New Roman" w:hAnsi="Times New Roman" w:cs="Times New Roman"/>
        </w:rPr>
      </w:pPr>
      <w:r w:rsidRPr="000F3056">
        <w:rPr>
          <w:rStyle w:val="Refdenotaalpie"/>
          <w:rFonts w:ascii="Times New Roman" w:hAnsi="Times New Roman" w:cs="Times New Roman"/>
        </w:rPr>
        <w:footnoteRef/>
      </w:r>
      <w:r w:rsidRPr="000F3056">
        <w:rPr>
          <w:rFonts w:ascii="Times New Roman" w:hAnsi="Times New Roman" w:cs="Times New Roman"/>
        </w:rPr>
        <w:t xml:space="preserve"> Art. 22.2. Convención de Viena sobre Relaciones Diplomáticas de 1961.</w:t>
      </w:r>
    </w:p>
  </w:footnote>
  <w:footnote w:id="15">
    <w:p w14:paraId="1AB2008C" w14:textId="234C411D" w:rsidR="00575E7C" w:rsidRDefault="00575E7C">
      <w:pPr>
        <w:pStyle w:val="Textonotapie"/>
      </w:pPr>
      <w:r w:rsidRPr="000F3056">
        <w:rPr>
          <w:rStyle w:val="Refdenotaalpie"/>
          <w:rFonts w:ascii="Times New Roman" w:hAnsi="Times New Roman" w:cs="Times New Roman"/>
        </w:rPr>
        <w:footnoteRef/>
      </w:r>
      <w:r w:rsidRPr="000F3056">
        <w:rPr>
          <w:rFonts w:ascii="Times New Roman" w:hAnsi="Times New Roman" w:cs="Times New Roman"/>
        </w:rPr>
        <w:t xml:space="preserve"> Art. 1. k) Convención de Viena sobre Relaciones Consulares de 24 de abril de 1963.</w:t>
      </w:r>
    </w:p>
  </w:footnote>
  <w:footnote w:id="16">
    <w:p w14:paraId="1D480AA0" w14:textId="3F6AC3FC" w:rsidR="00575E7C" w:rsidRPr="000F3056" w:rsidRDefault="00575E7C">
      <w:pPr>
        <w:pStyle w:val="Textonotapie"/>
        <w:rPr>
          <w:rFonts w:ascii="Times New Roman" w:hAnsi="Times New Roman" w:cs="Times New Roman"/>
        </w:rPr>
      </w:pPr>
      <w:r w:rsidRPr="000F3056">
        <w:rPr>
          <w:rStyle w:val="Refdenotaalpie"/>
          <w:rFonts w:ascii="Times New Roman" w:hAnsi="Times New Roman" w:cs="Times New Roman"/>
        </w:rPr>
        <w:footnoteRef/>
      </w:r>
      <w:r w:rsidRPr="000F3056">
        <w:rPr>
          <w:rFonts w:ascii="Times New Roman" w:hAnsi="Times New Roman" w:cs="Times New Roman"/>
        </w:rPr>
        <w:t xml:space="preserve"> Artículo 31 Convención de Viena sobre Relaciones Consulares de 24 de abril de 1963.</w:t>
      </w:r>
    </w:p>
  </w:footnote>
  <w:footnote w:id="17">
    <w:p w14:paraId="7DF672D2" w14:textId="0303341E" w:rsidR="00575E7C" w:rsidRPr="000F3056" w:rsidRDefault="00575E7C">
      <w:pPr>
        <w:pStyle w:val="Textonotapie"/>
        <w:rPr>
          <w:rFonts w:ascii="Times New Roman" w:hAnsi="Times New Roman" w:cs="Times New Roman"/>
        </w:rPr>
      </w:pPr>
      <w:r w:rsidRPr="000F3056">
        <w:rPr>
          <w:rStyle w:val="Refdenotaalpie"/>
          <w:rFonts w:ascii="Times New Roman" w:hAnsi="Times New Roman" w:cs="Times New Roman"/>
        </w:rPr>
        <w:footnoteRef/>
      </w:r>
      <w:r w:rsidRPr="000F3056">
        <w:rPr>
          <w:rFonts w:ascii="Times New Roman" w:hAnsi="Times New Roman" w:cs="Times New Roman"/>
        </w:rPr>
        <w:t xml:space="preserve"> </w:t>
      </w:r>
      <w:bookmarkStart w:id="16" w:name="_Hlk55748506"/>
      <w:r w:rsidRPr="000F3056">
        <w:rPr>
          <w:rFonts w:ascii="Times New Roman" w:hAnsi="Times New Roman" w:cs="Times New Roman"/>
        </w:rPr>
        <w:t xml:space="preserve">Artículo 1. Proyecto de Artículos sobre la Responsabilidad del Estado por Hechos Internacionalmente ilícitos, 12 de diciembre de 2001. </w:t>
      </w:r>
      <w:bookmarkEnd w:id="16"/>
    </w:p>
  </w:footnote>
  <w:footnote w:id="18">
    <w:p w14:paraId="051B6DA4" w14:textId="78CE016F" w:rsidR="00575E7C" w:rsidRDefault="00575E7C">
      <w:pPr>
        <w:pStyle w:val="Textonotapie"/>
      </w:pPr>
      <w:r w:rsidRPr="000F3056">
        <w:rPr>
          <w:rStyle w:val="Refdenotaalpie"/>
          <w:rFonts w:ascii="Times New Roman" w:hAnsi="Times New Roman" w:cs="Times New Roman"/>
        </w:rPr>
        <w:footnoteRef/>
      </w:r>
      <w:r w:rsidRPr="000F3056">
        <w:rPr>
          <w:rFonts w:ascii="Times New Roman" w:hAnsi="Times New Roman" w:cs="Times New Roman"/>
        </w:rPr>
        <w:t xml:space="preserve"> </w:t>
      </w:r>
      <w:bookmarkStart w:id="17" w:name="_Hlk55749085"/>
      <w:r w:rsidRPr="000F3056">
        <w:rPr>
          <w:rFonts w:ascii="Times New Roman" w:hAnsi="Times New Roman" w:cs="Times New Roman"/>
        </w:rPr>
        <w:t>Art. 2. Proyecto de Artículos sobre la Responsabilidad del Estado por Hechos Internacionalmente ilícitos, 12 de diciembre de 2001.</w:t>
      </w:r>
      <w:bookmarkEnd w:id="17"/>
    </w:p>
  </w:footnote>
  <w:footnote w:id="19">
    <w:p w14:paraId="37B262A5" w14:textId="00F6522F" w:rsidR="00575E7C" w:rsidRPr="000F3056" w:rsidRDefault="00575E7C" w:rsidP="000F3056">
      <w:pPr>
        <w:pStyle w:val="Textonotapie"/>
        <w:jc w:val="both"/>
        <w:rPr>
          <w:rFonts w:ascii="Times New Roman" w:hAnsi="Times New Roman" w:cs="Times New Roman"/>
        </w:rPr>
      </w:pPr>
      <w:r w:rsidRPr="000F3056">
        <w:rPr>
          <w:rStyle w:val="Refdenotaalpie"/>
          <w:rFonts w:ascii="Times New Roman" w:hAnsi="Times New Roman" w:cs="Times New Roman"/>
        </w:rPr>
        <w:footnoteRef/>
      </w:r>
      <w:r w:rsidRPr="000F3056">
        <w:rPr>
          <w:rFonts w:ascii="Times New Roman" w:hAnsi="Times New Roman" w:cs="Times New Roman"/>
        </w:rPr>
        <w:t xml:space="preserve"> BECERRA </w:t>
      </w:r>
      <w:proofErr w:type="spellStart"/>
      <w:r w:rsidRPr="000F3056">
        <w:rPr>
          <w:rFonts w:ascii="Times New Roman" w:hAnsi="Times New Roman" w:cs="Times New Roman"/>
        </w:rPr>
        <w:t>BECERRA</w:t>
      </w:r>
      <w:proofErr w:type="spellEnd"/>
      <w:r w:rsidRPr="000F3056">
        <w:rPr>
          <w:rFonts w:ascii="Times New Roman" w:hAnsi="Times New Roman" w:cs="Times New Roman"/>
        </w:rPr>
        <w:t xml:space="preserve">, Z. L., La obligación de reparar como principio fundamental del Derecho Internacional. </w:t>
      </w:r>
      <w:r w:rsidRPr="000F3056">
        <w:rPr>
          <w:rFonts w:ascii="Times New Roman" w:hAnsi="Times New Roman" w:cs="Times New Roman"/>
          <w:i/>
          <w:iCs/>
        </w:rPr>
        <w:t>Revista Jurídica de la Universidad de León</w:t>
      </w:r>
      <w:r w:rsidRPr="000F3056">
        <w:rPr>
          <w:rFonts w:ascii="Times New Roman" w:hAnsi="Times New Roman" w:cs="Times New Roman"/>
        </w:rPr>
        <w:t>, 2016, pp. 83-91.</w:t>
      </w:r>
    </w:p>
  </w:footnote>
  <w:footnote w:id="20">
    <w:p w14:paraId="0CA1B040" w14:textId="0F08CC1F" w:rsidR="00575E7C" w:rsidRDefault="00575E7C" w:rsidP="000F3056">
      <w:pPr>
        <w:pStyle w:val="Textonotapie"/>
        <w:jc w:val="both"/>
      </w:pPr>
      <w:r w:rsidRPr="000F3056">
        <w:rPr>
          <w:rStyle w:val="Refdenotaalpie"/>
          <w:rFonts w:ascii="Times New Roman" w:hAnsi="Times New Roman" w:cs="Times New Roman"/>
        </w:rPr>
        <w:footnoteRef/>
      </w:r>
      <w:r w:rsidRPr="000F3056">
        <w:rPr>
          <w:rFonts w:ascii="Times New Roman" w:hAnsi="Times New Roman" w:cs="Times New Roman"/>
        </w:rPr>
        <w:t xml:space="preserve"> Art. 31. Proyecto de Artículos sobre la Responsabilidad del Estado por Hechos Internacionalmente ilícitos, 12 de diciembre de 2001.</w:t>
      </w:r>
    </w:p>
  </w:footnote>
  <w:footnote w:id="21">
    <w:p w14:paraId="370A2223" w14:textId="3D425FCE" w:rsidR="00575E7C" w:rsidRPr="000F3056" w:rsidRDefault="00575E7C" w:rsidP="009F08FC">
      <w:pPr>
        <w:pStyle w:val="Textonotapie"/>
        <w:rPr>
          <w:rFonts w:ascii="Times New Roman" w:hAnsi="Times New Roman" w:cs="Times New Roman"/>
          <w:lang w:val="fr-FR"/>
        </w:rPr>
      </w:pPr>
      <w:r w:rsidRPr="000F3056">
        <w:rPr>
          <w:rStyle w:val="Refdenotaalpie"/>
          <w:rFonts w:ascii="Times New Roman" w:hAnsi="Times New Roman" w:cs="Times New Roman"/>
        </w:rPr>
        <w:footnoteRef/>
      </w:r>
      <w:r w:rsidRPr="000F3056">
        <w:rPr>
          <w:rFonts w:ascii="Times New Roman" w:hAnsi="Times New Roman" w:cs="Times New Roman"/>
          <w:lang w:val="fr-FR"/>
        </w:rPr>
        <w:t xml:space="preserve"> </w:t>
      </w:r>
      <w:r w:rsidR="00093BDD" w:rsidRPr="000F3056">
        <w:rPr>
          <w:rFonts w:ascii="Times New Roman" w:hAnsi="Times New Roman" w:cs="Times New Roman"/>
          <w:lang w:val="fr-FR"/>
        </w:rPr>
        <w:t xml:space="preserve">CAHIER, </w:t>
      </w:r>
      <w:r w:rsidRPr="000F3056">
        <w:rPr>
          <w:rFonts w:ascii="Times New Roman" w:hAnsi="Times New Roman" w:cs="Times New Roman"/>
          <w:lang w:val="fr-FR"/>
        </w:rPr>
        <w:t xml:space="preserve">P., </w:t>
      </w:r>
      <w:r w:rsidRPr="000F3056">
        <w:rPr>
          <w:rFonts w:ascii="Times New Roman" w:hAnsi="Times New Roman" w:cs="Times New Roman"/>
          <w:i/>
          <w:iCs/>
          <w:lang w:val="fr-FR"/>
        </w:rPr>
        <w:t xml:space="preserve">op. </w:t>
      </w:r>
      <w:proofErr w:type="spellStart"/>
      <w:proofErr w:type="gramStart"/>
      <w:r w:rsidRPr="000F3056">
        <w:rPr>
          <w:rFonts w:ascii="Times New Roman" w:hAnsi="Times New Roman" w:cs="Times New Roman"/>
          <w:i/>
          <w:iCs/>
          <w:lang w:val="fr-FR"/>
        </w:rPr>
        <w:t>cit</w:t>
      </w:r>
      <w:proofErr w:type="spellEnd"/>
      <w:proofErr w:type="gramEnd"/>
      <w:r w:rsidRPr="000F3056">
        <w:rPr>
          <w:rFonts w:ascii="Times New Roman" w:hAnsi="Times New Roman" w:cs="Times New Roman"/>
          <w:lang w:val="fr-FR"/>
        </w:rPr>
        <w:t xml:space="preserve">., p. 296. </w:t>
      </w:r>
    </w:p>
    <w:p w14:paraId="545A1ECA" w14:textId="1ACC684B" w:rsidR="00575E7C" w:rsidRPr="007E3DAD" w:rsidRDefault="00575E7C">
      <w:pPr>
        <w:pStyle w:val="Textonotapie"/>
        <w:rPr>
          <w:lang w:val="fr-FR"/>
        </w:rPr>
      </w:pPr>
    </w:p>
  </w:footnote>
  <w:footnote w:id="22">
    <w:p w14:paraId="05C626CE" w14:textId="723B864E" w:rsidR="00575E7C" w:rsidRPr="000F3056" w:rsidRDefault="00575E7C" w:rsidP="000F3056">
      <w:pPr>
        <w:pStyle w:val="Textonotapie"/>
        <w:jc w:val="both"/>
        <w:rPr>
          <w:rFonts w:ascii="Times New Roman" w:hAnsi="Times New Roman" w:cs="Times New Roman"/>
        </w:rPr>
      </w:pPr>
      <w:r w:rsidRPr="000F3056">
        <w:rPr>
          <w:rStyle w:val="Refdenotaalpie"/>
          <w:rFonts w:ascii="Times New Roman" w:hAnsi="Times New Roman" w:cs="Times New Roman"/>
        </w:rPr>
        <w:footnoteRef/>
      </w:r>
      <w:r w:rsidRPr="000F3056">
        <w:rPr>
          <w:rFonts w:ascii="Times New Roman" w:hAnsi="Times New Roman" w:cs="Times New Roman"/>
        </w:rPr>
        <w:t xml:space="preserve"> PICO DE COAÑA DE VALICOURT, Y., &amp; CASAÚS ARZÚ, M. E., “Guatemala: Consecuencias del asalto de la Embajada de España”, </w:t>
      </w:r>
      <w:r w:rsidRPr="000F3056">
        <w:rPr>
          <w:rFonts w:ascii="Times New Roman" w:hAnsi="Times New Roman" w:cs="Times New Roman"/>
          <w:i/>
          <w:iCs/>
        </w:rPr>
        <w:t>Instituto Universitario de Desarrollo y Cooperación IUDC – UCM</w:t>
      </w:r>
      <w:r w:rsidRPr="000F3056">
        <w:rPr>
          <w:rFonts w:ascii="Times New Roman" w:hAnsi="Times New Roman" w:cs="Times New Roman"/>
        </w:rPr>
        <w:t xml:space="preserve">. 2015, p. 39. </w:t>
      </w:r>
    </w:p>
    <w:p w14:paraId="38296C1E" w14:textId="1DCB6868" w:rsidR="00575E7C" w:rsidRDefault="00575E7C">
      <w:pPr>
        <w:pStyle w:val="Textonotapie"/>
      </w:pPr>
    </w:p>
  </w:footnote>
  <w:footnote w:id="23">
    <w:p w14:paraId="62747007" w14:textId="5B782B82" w:rsidR="00575E7C" w:rsidRPr="000F3056" w:rsidRDefault="00575E7C" w:rsidP="000F3056">
      <w:pPr>
        <w:pStyle w:val="Textonotapie"/>
        <w:jc w:val="both"/>
        <w:rPr>
          <w:rFonts w:ascii="Times New Roman" w:hAnsi="Times New Roman" w:cs="Times New Roman"/>
        </w:rPr>
      </w:pPr>
      <w:r w:rsidRPr="000F3056">
        <w:rPr>
          <w:rStyle w:val="Refdenotaalpie"/>
          <w:rFonts w:ascii="Times New Roman" w:hAnsi="Times New Roman" w:cs="Times New Roman"/>
        </w:rPr>
        <w:footnoteRef/>
      </w:r>
      <w:r w:rsidRPr="000F3056">
        <w:rPr>
          <w:rFonts w:ascii="Times New Roman" w:hAnsi="Times New Roman" w:cs="Times New Roman"/>
        </w:rPr>
        <w:t xml:space="preserve"> BURGOS, P. “Análisis jurídico de los sucesos ocurridos en la Embajada de España en Guatemala”, </w:t>
      </w:r>
      <w:r w:rsidRPr="000F3056">
        <w:rPr>
          <w:rFonts w:ascii="Times New Roman" w:hAnsi="Times New Roman" w:cs="Times New Roman"/>
          <w:i/>
          <w:iCs/>
        </w:rPr>
        <w:t>Facultad de Ciencias Políticas y Sociología de la Universidad Complutense</w:t>
      </w:r>
      <w:r w:rsidRPr="000F3056">
        <w:rPr>
          <w:rFonts w:ascii="Times New Roman" w:hAnsi="Times New Roman" w:cs="Times New Roman"/>
        </w:rPr>
        <w:t>, 1980, pp. 107-127.</w:t>
      </w:r>
    </w:p>
  </w:footnote>
  <w:footnote w:id="24">
    <w:p w14:paraId="052C79FC" w14:textId="53E1AA08" w:rsidR="00575E7C" w:rsidRDefault="00575E7C" w:rsidP="000F3056">
      <w:pPr>
        <w:pStyle w:val="Textonotapie"/>
        <w:jc w:val="both"/>
      </w:pPr>
      <w:r w:rsidRPr="000F3056">
        <w:rPr>
          <w:rStyle w:val="Refdenotaalpie"/>
          <w:rFonts w:ascii="Times New Roman" w:hAnsi="Times New Roman" w:cs="Times New Roman"/>
        </w:rPr>
        <w:footnoteRef/>
      </w:r>
      <w:r w:rsidRPr="000F3056">
        <w:rPr>
          <w:rFonts w:ascii="Times New Roman" w:hAnsi="Times New Roman" w:cs="Times New Roman"/>
        </w:rPr>
        <w:t xml:space="preserve"> Art. 4. Proyecto de Artículos sobre la Responsabilidad del Estado por Hechos Internacionalmente ilícitos, 12 de diciembre de 2001.</w:t>
      </w:r>
    </w:p>
  </w:footnote>
  <w:footnote w:id="25">
    <w:p w14:paraId="44EF1A64" w14:textId="633C5CAA" w:rsidR="00575E7C" w:rsidRPr="000F3056" w:rsidRDefault="00575E7C" w:rsidP="000F3056">
      <w:pPr>
        <w:pStyle w:val="Textonotapie"/>
        <w:jc w:val="both"/>
        <w:rPr>
          <w:rFonts w:ascii="Times New Roman" w:hAnsi="Times New Roman" w:cs="Times New Roman"/>
        </w:rPr>
      </w:pPr>
      <w:r w:rsidRPr="000F3056">
        <w:rPr>
          <w:rStyle w:val="Refdenotaalpie"/>
          <w:rFonts w:ascii="Times New Roman" w:hAnsi="Times New Roman" w:cs="Times New Roman"/>
        </w:rPr>
        <w:footnoteRef/>
      </w:r>
      <w:r w:rsidRPr="000F3056">
        <w:rPr>
          <w:rFonts w:ascii="Times New Roman" w:hAnsi="Times New Roman" w:cs="Times New Roman"/>
        </w:rPr>
        <w:t xml:space="preserve"> Oficina de Servicios para Proyectos de las Naciones Unidas (UNOPS), </w:t>
      </w:r>
      <w:r w:rsidRPr="000F3056">
        <w:rPr>
          <w:rFonts w:ascii="Times New Roman" w:hAnsi="Times New Roman" w:cs="Times New Roman"/>
          <w:i/>
          <w:iCs/>
        </w:rPr>
        <w:t xml:space="preserve">Guatemala, memoria del silencio, </w:t>
      </w:r>
      <w:r w:rsidRPr="000F3056">
        <w:rPr>
          <w:rFonts w:ascii="Times New Roman" w:hAnsi="Times New Roman" w:cs="Times New Roman"/>
        </w:rPr>
        <w:t xml:space="preserve">1999. </w:t>
      </w:r>
    </w:p>
    <w:p w14:paraId="1C22993D" w14:textId="23D44E03" w:rsidR="00575E7C" w:rsidRDefault="00575E7C">
      <w:pPr>
        <w:pStyle w:val="Textonotapie"/>
      </w:pPr>
    </w:p>
  </w:footnote>
  <w:footnote w:id="26">
    <w:p w14:paraId="20071A51" w14:textId="3424C060" w:rsidR="00575E7C" w:rsidRPr="000F3056" w:rsidRDefault="00575E7C" w:rsidP="000F3056">
      <w:pPr>
        <w:pStyle w:val="Textonotapie"/>
        <w:jc w:val="both"/>
        <w:rPr>
          <w:rFonts w:ascii="Times New Roman" w:hAnsi="Times New Roman" w:cs="Times New Roman"/>
        </w:rPr>
      </w:pPr>
      <w:r w:rsidRPr="000F3056">
        <w:rPr>
          <w:rStyle w:val="Refdenotaalpie"/>
          <w:rFonts w:ascii="Times New Roman" w:hAnsi="Times New Roman" w:cs="Times New Roman"/>
        </w:rPr>
        <w:footnoteRef/>
      </w:r>
      <w:r w:rsidRPr="000F3056">
        <w:rPr>
          <w:rFonts w:ascii="Times New Roman" w:hAnsi="Times New Roman" w:cs="Times New Roman"/>
        </w:rPr>
        <w:t xml:space="preserve"> BURGOS, P., </w:t>
      </w:r>
      <w:proofErr w:type="spellStart"/>
      <w:r w:rsidRPr="000F3056">
        <w:rPr>
          <w:rFonts w:ascii="Times New Roman" w:hAnsi="Times New Roman" w:cs="Times New Roman"/>
          <w:i/>
          <w:iCs/>
        </w:rPr>
        <w:t>op</w:t>
      </w:r>
      <w:proofErr w:type="spellEnd"/>
      <w:r w:rsidRPr="000F3056">
        <w:rPr>
          <w:rFonts w:ascii="Times New Roman" w:hAnsi="Times New Roman" w:cs="Times New Roman"/>
          <w:i/>
          <w:iCs/>
        </w:rPr>
        <w:t>. cit.,</w:t>
      </w:r>
      <w:r w:rsidRPr="000F3056">
        <w:rPr>
          <w:rFonts w:ascii="Times New Roman" w:hAnsi="Times New Roman" w:cs="Times New Roman"/>
        </w:rPr>
        <w:t xml:space="preserve"> p. 111.</w:t>
      </w:r>
    </w:p>
  </w:footnote>
  <w:footnote w:id="27">
    <w:p w14:paraId="709C8907" w14:textId="1499060C" w:rsidR="00575E7C" w:rsidRPr="000F3056" w:rsidRDefault="00575E7C" w:rsidP="000F3056">
      <w:pPr>
        <w:pStyle w:val="Textonotapie"/>
        <w:jc w:val="both"/>
        <w:rPr>
          <w:rFonts w:ascii="Times New Roman" w:hAnsi="Times New Roman" w:cs="Times New Roman"/>
        </w:rPr>
      </w:pPr>
      <w:r w:rsidRPr="000F3056">
        <w:rPr>
          <w:rStyle w:val="Refdenotaalpie"/>
          <w:rFonts w:ascii="Times New Roman" w:hAnsi="Times New Roman" w:cs="Times New Roman"/>
        </w:rPr>
        <w:footnoteRef/>
      </w:r>
      <w:r w:rsidRPr="000F3056">
        <w:rPr>
          <w:rFonts w:ascii="Times New Roman" w:hAnsi="Times New Roman" w:cs="Times New Roman"/>
        </w:rPr>
        <w:t xml:space="preserve"> Sentencia del Tribunal B de Mayor Riesgo por el Asalto a la Embajada de España C011071-1980-00547</w:t>
      </w:r>
    </w:p>
  </w:footnote>
  <w:footnote w:id="28">
    <w:p w14:paraId="485CE58D" w14:textId="704AD408" w:rsidR="00575E7C" w:rsidRPr="009111EF" w:rsidRDefault="00575E7C" w:rsidP="000F3056">
      <w:pPr>
        <w:pStyle w:val="Textonotapie"/>
        <w:jc w:val="both"/>
        <w:rPr>
          <w:rFonts w:ascii="Times New Roman" w:hAnsi="Times New Roman" w:cs="Times New Roman"/>
        </w:rPr>
      </w:pPr>
      <w:r w:rsidRPr="009111EF">
        <w:rPr>
          <w:rStyle w:val="Refdenotaalpie"/>
          <w:rFonts w:ascii="Times New Roman" w:hAnsi="Times New Roman" w:cs="Times New Roman"/>
        </w:rPr>
        <w:footnoteRef/>
      </w:r>
      <w:r>
        <w:t xml:space="preserve"> </w:t>
      </w:r>
      <w:r w:rsidRPr="009111EF">
        <w:rPr>
          <w:rFonts w:ascii="Times New Roman" w:hAnsi="Times New Roman" w:cs="Times New Roman"/>
        </w:rPr>
        <w:t>Párrafo 56. Sentencia</w:t>
      </w:r>
      <w:r>
        <w:rPr>
          <w:rFonts w:ascii="Times New Roman" w:hAnsi="Times New Roman" w:cs="Times New Roman"/>
        </w:rPr>
        <w:t xml:space="preserve"> del Tribunal Internacional de Justicia</w:t>
      </w:r>
      <w:r w:rsidRPr="009111EF">
        <w:rPr>
          <w:rFonts w:ascii="Times New Roman" w:hAnsi="Times New Roman" w:cs="Times New Roman"/>
        </w:rPr>
        <w:t xml:space="preserve"> sobre el caso relativo al personal diplomático y consular de los Estados Unidos en Teherá</w:t>
      </w:r>
      <w:r>
        <w:rPr>
          <w:rFonts w:ascii="Times New Roman" w:hAnsi="Times New Roman" w:cs="Times New Roman"/>
        </w:rPr>
        <w:t>n, de</w:t>
      </w:r>
      <w:r w:rsidRPr="009111EF">
        <w:rPr>
          <w:rFonts w:ascii="Times New Roman" w:hAnsi="Times New Roman" w:cs="Times New Roman"/>
        </w:rPr>
        <w:t xml:space="preserve"> 24 de mayo de 1980.</w:t>
      </w:r>
    </w:p>
  </w:footnote>
  <w:footnote w:id="29">
    <w:p w14:paraId="3064EE8A" w14:textId="0AA1A0A9" w:rsidR="00575E7C" w:rsidRDefault="00575E7C" w:rsidP="000F3056">
      <w:pPr>
        <w:pStyle w:val="Textonotapie"/>
        <w:jc w:val="both"/>
      </w:pPr>
      <w:r w:rsidRPr="009111EF">
        <w:rPr>
          <w:rStyle w:val="Refdenotaalpie"/>
          <w:rFonts w:ascii="Times New Roman" w:hAnsi="Times New Roman" w:cs="Times New Roman"/>
        </w:rPr>
        <w:footnoteRef/>
      </w:r>
      <w:r w:rsidRPr="009111EF">
        <w:rPr>
          <w:rFonts w:ascii="Times New Roman" w:hAnsi="Times New Roman" w:cs="Times New Roman"/>
        </w:rPr>
        <w:t xml:space="preserve"> Párrafo 63. Sentencia </w:t>
      </w:r>
      <w:r>
        <w:rPr>
          <w:rFonts w:ascii="Times New Roman" w:hAnsi="Times New Roman" w:cs="Times New Roman"/>
        </w:rPr>
        <w:t xml:space="preserve">del </w:t>
      </w:r>
      <w:r w:rsidRPr="00FD1421">
        <w:rPr>
          <w:rFonts w:ascii="Times New Roman" w:hAnsi="Times New Roman" w:cs="Times New Roman"/>
        </w:rPr>
        <w:t xml:space="preserve">Tribunal Internacional de Justicia </w:t>
      </w:r>
      <w:r w:rsidRPr="009111EF">
        <w:rPr>
          <w:rFonts w:ascii="Times New Roman" w:hAnsi="Times New Roman" w:cs="Times New Roman"/>
        </w:rPr>
        <w:t>sobre el caso relativo al personal diplomático y consular de los Estados Unidos en Teherán</w:t>
      </w:r>
      <w:r>
        <w:rPr>
          <w:rFonts w:ascii="Times New Roman" w:hAnsi="Times New Roman" w:cs="Times New Roman"/>
        </w:rPr>
        <w:t xml:space="preserve">, de </w:t>
      </w:r>
      <w:r w:rsidRPr="009111EF">
        <w:rPr>
          <w:rFonts w:ascii="Times New Roman" w:hAnsi="Times New Roman" w:cs="Times New Roman"/>
        </w:rPr>
        <w:t>24 de mayo de 1980.</w:t>
      </w:r>
    </w:p>
  </w:footnote>
  <w:footnote w:id="30">
    <w:p w14:paraId="72C85BEE" w14:textId="3A56B3FE" w:rsidR="00575E7C" w:rsidRDefault="00575E7C" w:rsidP="000F3056">
      <w:pPr>
        <w:pStyle w:val="Textonotapie"/>
        <w:jc w:val="both"/>
      </w:pPr>
      <w:r>
        <w:rPr>
          <w:rStyle w:val="Refdenotaalpie"/>
        </w:rPr>
        <w:footnoteRef/>
      </w:r>
      <w:r>
        <w:t xml:space="preserve"> </w:t>
      </w:r>
      <w:r w:rsidRPr="009111EF">
        <w:rPr>
          <w:rFonts w:ascii="Times New Roman" w:hAnsi="Times New Roman" w:cs="Times New Roman"/>
        </w:rPr>
        <w:t xml:space="preserve">Párrafo 74. Sentencia </w:t>
      </w:r>
      <w:r>
        <w:rPr>
          <w:rFonts w:ascii="Times New Roman" w:hAnsi="Times New Roman" w:cs="Times New Roman"/>
        </w:rPr>
        <w:t xml:space="preserve">del </w:t>
      </w:r>
      <w:r w:rsidRPr="00FD1421">
        <w:rPr>
          <w:rFonts w:ascii="Times New Roman" w:hAnsi="Times New Roman" w:cs="Times New Roman"/>
        </w:rPr>
        <w:t xml:space="preserve">Tribunal Internacional de Justicia </w:t>
      </w:r>
      <w:r w:rsidRPr="009111EF">
        <w:rPr>
          <w:rFonts w:ascii="Times New Roman" w:hAnsi="Times New Roman" w:cs="Times New Roman"/>
        </w:rPr>
        <w:t>sobre el caso relativo al personal diplomático y consular de los Estados Unidos en Teherán</w:t>
      </w:r>
      <w:r>
        <w:rPr>
          <w:rFonts w:ascii="Times New Roman" w:hAnsi="Times New Roman" w:cs="Times New Roman"/>
        </w:rPr>
        <w:t xml:space="preserve">, de </w:t>
      </w:r>
      <w:r w:rsidRPr="009111EF">
        <w:rPr>
          <w:rFonts w:ascii="Times New Roman" w:hAnsi="Times New Roman" w:cs="Times New Roman"/>
        </w:rPr>
        <w:t>24 de mayo de 1980.</w:t>
      </w:r>
    </w:p>
  </w:footnote>
  <w:footnote w:id="31">
    <w:p w14:paraId="589698AF" w14:textId="53DD87DB" w:rsidR="00575E7C" w:rsidRPr="000F3056" w:rsidRDefault="00575E7C" w:rsidP="000F3056">
      <w:pPr>
        <w:pStyle w:val="Textonotapie"/>
        <w:jc w:val="both"/>
        <w:rPr>
          <w:rFonts w:ascii="Times New Roman" w:hAnsi="Times New Roman" w:cs="Times New Roman"/>
        </w:rPr>
      </w:pPr>
      <w:r w:rsidRPr="000F3056">
        <w:rPr>
          <w:rStyle w:val="Refdenotaalpie"/>
          <w:rFonts w:ascii="Times New Roman" w:hAnsi="Times New Roman" w:cs="Times New Roman"/>
        </w:rPr>
        <w:footnoteRef/>
      </w:r>
      <w:r w:rsidRPr="000F3056">
        <w:rPr>
          <w:rFonts w:ascii="Times New Roman" w:hAnsi="Times New Roman" w:cs="Times New Roman"/>
        </w:rPr>
        <w:t xml:space="preserve"> Art. 8. Proyecto de Artículos sobre la Responsabilidad del Estado por Hechos Internacionalmente ilícitos, 12 de diciembre de 2001</w:t>
      </w:r>
    </w:p>
  </w:footnote>
  <w:footnote w:id="32">
    <w:p w14:paraId="254545F8" w14:textId="061DD5B9" w:rsidR="00A46166" w:rsidRPr="00A46166" w:rsidRDefault="00A46166">
      <w:pPr>
        <w:pStyle w:val="Textonotapie"/>
        <w:rPr>
          <w:rFonts w:ascii="Times New Roman" w:hAnsi="Times New Roman" w:cs="Times New Roman"/>
        </w:rPr>
      </w:pPr>
      <w:r w:rsidRPr="00A46166">
        <w:rPr>
          <w:rStyle w:val="Refdenotaalpie"/>
          <w:rFonts w:ascii="Times New Roman" w:hAnsi="Times New Roman" w:cs="Times New Roman"/>
        </w:rPr>
        <w:footnoteRef/>
      </w:r>
      <w:r w:rsidRPr="00A46166">
        <w:rPr>
          <w:rFonts w:ascii="Times New Roman" w:hAnsi="Times New Roman" w:cs="Times New Roman"/>
          <w:lang w:val="en-GB"/>
        </w:rPr>
        <w:t xml:space="preserve"> NAKHAVALI, </w:t>
      </w:r>
      <w:r w:rsidRPr="00A46166">
        <w:rPr>
          <w:rFonts w:ascii="Times New Roman" w:hAnsi="Times New Roman" w:cs="Times New Roman"/>
          <w:lang w:val="en-GB"/>
        </w:rPr>
        <w:t xml:space="preserve">M. (2013). Diplomatic, Consular and Political Relations between Iran and United States. </w:t>
      </w:r>
      <w:proofErr w:type="spellStart"/>
      <w:r w:rsidRPr="00A46166">
        <w:rPr>
          <w:rFonts w:ascii="Times New Roman" w:hAnsi="Times New Roman" w:cs="Times New Roman"/>
          <w:i/>
          <w:iCs/>
        </w:rPr>
        <w:t>European</w:t>
      </w:r>
      <w:proofErr w:type="spellEnd"/>
      <w:r w:rsidRPr="00A46166">
        <w:rPr>
          <w:rFonts w:ascii="Times New Roman" w:hAnsi="Times New Roman" w:cs="Times New Roman"/>
          <w:i/>
          <w:iCs/>
        </w:rPr>
        <w:t xml:space="preserve"> </w:t>
      </w:r>
      <w:proofErr w:type="spellStart"/>
      <w:r w:rsidRPr="00A46166">
        <w:rPr>
          <w:rFonts w:ascii="Times New Roman" w:hAnsi="Times New Roman" w:cs="Times New Roman"/>
          <w:i/>
          <w:iCs/>
        </w:rPr>
        <w:t>Scientific</w:t>
      </w:r>
      <w:proofErr w:type="spellEnd"/>
      <w:r w:rsidRPr="00A46166">
        <w:rPr>
          <w:rFonts w:ascii="Times New Roman" w:hAnsi="Times New Roman" w:cs="Times New Roman"/>
          <w:i/>
          <w:iCs/>
        </w:rPr>
        <w:t xml:space="preserve"> </w:t>
      </w:r>
      <w:proofErr w:type="spellStart"/>
      <w:r w:rsidRPr="00A46166">
        <w:rPr>
          <w:rFonts w:ascii="Times New Roman" w:hAnsi="Times New Roman" w:cs="Times New Roman"/>
          <w:i/>
          <w:iCs/>
        </w:rPr>
        <w:t>Journal</w:t>
      </w:r>
      <w:proofErr w:type="spellEnd"/>
      <w:r w:rsidRPr="00A46166">
        <w:rPr>
          <w:rFonts w:ascii="Times New Roman" w:hAnsi="Times New Roman" w:cs="Times New Roman"/>
        </w:rPr>
        <w:t xml:space="preserve">, pp. </w:t>
      </w:r>
      <w:r>
        <w:rPr>
          <w:rFonts w:ascii="Times New Roman" w:hAnsi="Times New Roman" w:cs="Times New Roman"/>
        </w:rPr>
        <w:t>54-55</w:t>
      </w:r>
      <w:r w:rsidRPr="00A46166">
        <w:rPr>
          <w:rFonts w:ascii="Times New Roman" w:hAnsi="Times New Roman" w:cs="Times New Roman"/>
        </w:rPr>
        <w:t>.</w:t>
      </w:r>
    </w:p>
  </w:footnote>
  <w:footnote w:id="33">
    <w:p w14:paraId="772CC3A4" w14:textId="4A453489" w:rsidR="00575E7C" w:rsidRPr="000F3056" w:rsidRDefault="00575E7C" w:rsidP="000F3056">
      <w:pPr>
        <w:pStyle w:val="Textonotapie"/>
        <w:jc w:val="both"/>
        <w:rPr>
          <w:rFonts w:ascii="Times New Roman" w:hAnsi="Times New Roman" w:cs="Times New Roman"/>
        </w:rPr>
      </w:pPr>
      <w:r w:rsidRPr="000F3056">
        <w:rPr>
          <w:rStyle w:val="Refdenotaalpie"/>
          <w:rFonts w:ascii="Times New Roman" w:hAnsi="Times New Roman" w:cs="Times New Roman"/>
        </w:rPr>
        <w:footnoteRef/>
      </w:r>
      <w:r w:rsidRPr="000F3056">
        <w:rPr>
          <w:rFonts w:ascii="Times New Roman" w:hAnsi="Times New Roman" w:cs="Times New Roman"/>
        </w:rPr>
        <w:t xml:space="preserve"> Párrafo 83. Sentencia del Tribunal Internacional de Justicia sobre el caso relativo al personal diplomático y consular de los Estados Unidos en Teherán, de 24 de mayo de 1980.</w:t>
      </w:r>
    </w:p>
  </w:footnote>
  <w:footnote w:id="34">
    <w:p w14:paraId="2D63FD3C" w14:textId="4AA5A322" w:rsidR="00575E7C" w:rsidRPr="009111EF" w:rsidRDefault="00575E7C" w:rsidP="000F3056">
      <w:pPr>
        <w:pStyle w:val="Textonotapie"/>
        <w:jc w:val="both"/>
        <w:rPr>
          <w:rFonts w:ascii="Times New Roman" w:hAnsi="Times New Roman" w:cs="Times New Roman"/>
        </w:rPr>
      </w:pPr>
      <w:r w:rsidRPr="009111EF">
        <w:rPr>
          <w:rStyle w:val="Refdenotaalpie"/>
          <w:rFonts w:ascii="Times New Roman" w:hAnsi="Times New Roman" w:cs="Times New Roman"/>
        </w:rPr>
        <w:footnoteRef/>
      </w:r>
      <w:r w:rsidRPr="009111EF">
        <w:rPr>
          <w:rFonts w:ascii="Times New Roman" w:hAnsi="Times New Roman" w:cs="Times New Roman"/>
        </w:rPr>
        <w:t xml:space="preserve"> Párrafo 90. Sentencia </w:t>
      </w:r>
      <w:r>
        <w:rPr>
          <w:rFonts w:ascii="Times New Roman" w:hAnsi="Times New Roman" w:cs="Times New Roman"/>
        </w:rPr>
        <w:t xml:space="preserve">del </w:t>
      </w:r>
      <w:r w:rsidRPr="00FD1421">
        <w:rPr>
          <w:rFonts w:ascii="Times New Roman" w:hAnsi="Times New Roman" w:cs="Times New Roman"/>
        </w:rPr>
        <w:t>Tribunal Internacional de Justicia</w:t>
      </w:r>
      <w:r>
        <w:rPr>
          <w:rFonts w:ascii="Times New Roman" w:hAnsi="Times New Roman" w:cs="Times New Roman"/>
        </w:rPr>
        <w:t xml:space="preserve"> </w:t>
      </w:r>
      <w:r w:rsidRPr="009111EF">
        <w:rPr>
          <w:rFonts w:ascii="Times New Roman" w:hAnsi="Times New Roman" w:cs="Times New Roman"/>
        </w:rPr>
        <w:t>sobre el caso relativo al personal diplomático y consular de los Estados Unidos en Teherán</w:t>
      </w:r>
      <w:r>
        <w:rPr>
          <w:rFonts w:ascii="Times New Roman" w:hAnsi="Times New Roman" w:cs="Times New Roman"/>
        </w:rPr>
        <w:t xml:space="preserve">, de </w:t>
      </w:r>
      <w:r w:rsidRPr="009111EF">
        <w:rPr>
          <w:rFonts w:ascii="Times New Roman" w:hAnsi="Times New Roman" w:cs="Times New Roman"/>
        </w:rPr>
        <w:t>24 de mayo de 1980.</w:t>
      </w:r>
    </w:p>
  </w:footnote>
  <w:footnote w:id="35">
    <w:p w14:paraId="16A4CBAE" w14:textId="4F85B929" w:rsidR="00575E7C" w:rsidRPr="000F3056" w:rsidRDefault="00575E7C" w:rsidP="000F3056">
      <w:pPr>
        <w:pStyle w:val="Textonotapie"/>
        <w:rPr>
          <w:rFonts w:ascii="Times New Roman" w:hAnsi="Times New Roman" w:cs="Times New Roman"/>
        </w:rPr>
      </w:pPr>
      <w:r w:rsidRPr="000F3056">
        <w:rPr>
          <w:rStyle w:val="Refdenotaalpie"/>
          <w:rFonts w:ascii="Times New Roman" w:hAnsi="Times New Roman" w:cs="Times New Roman"/>
        </w:rPr>
        <w:footnoteRef/>
      </w:r>
      <w:r w:rsidRPr="000F3056">
        <w:rPr>
          <w:rFonts w:ascii="Times New Roman" w:hAnsi="Times New Roman" w:cs="Times New Roman"/>
        </w:rPr>
        <w:t xml:space="preserve"> ÁLVAREZ-OSSORIO, I. “Un país sin cultura democrática”, </w:t>
      </w:r>
      <w:r w:rsidRPr="000F3056">
        <w:rPr>
          <w:rFonts w:ascii="Times New Roman" w:hAnsi="Times New Roman" w:cs="Times New Roman"/>
          <w:i/>
          <w:iCs/>
        </w:rPr>
        <w:t xml:space="preserve">El País, </w:t>
      </w:r>
      <w:r w:rsidRPr="000F3056">
        <w:rPr>
          <w:rFonts w:ascii="Times New Roman" w:hAnsi="Times New Roman" w:cs="Times New Roman"/>
        </w:rPr>
        <w:t xml:space="preserve">21 de octubre de 2011: </w:t>
      </w:r>
      <w:hyperlink r:id="rId1" w:history="1">
        <w:r w:rsidRPr="000F3056">
          <w:rPr>
            <w:rStyle w:val="Hipervnculo"/>
            <w:rFonts w:ascii="Times New Roman" w:hAnsi="Times New Roman" w:cs="Times New Roman"/>
          </w:rPr>
          <w:t>https://elpais.com/diario/2011/10/21/internacional/1319148010_850215.html</w:t>
        </w:r>
      </w:hyperlink>
      <w:r w:rsidRPr="000F3056">
        <w:rPr>
          <w:rFonts w:ascii="Times New Roman" w:hAnsi="Times New Roman" w:cs="Times New Roman"/>
        </w:rPr>
        <w:t xml:space="preserve"> </w:t>
      </w:r>
    </w:p>
  </w:footnote>
  <w:footnote w:id="36">
    <w:p w14:paraId="688BA66A" w14:textId="0FE45280" w:rsidR="00575E7C" w:rsidRPr="000F3056" w:rsidRDefault="00575E7C" w:rsidP="000F3056">
      <w:pPr>
        <w:pStyle w:val="Textonotapie"/>
        <w:rPr>
          <w:rFonts w:ascii="Times New Roman" w:hAnsi="Times New Roman" w:cs="Times New Roman"/>
        </w:rPr>
      </w:pPr>
      <w:r w:rsidRPr="000F3056">
        <w:rPr>
          <w:rStyle w:val="Refdenotaalpie"/>
          <w:rFonts w:ascii="Times New Roman" w:hAnsi="Times New Roman" w:cs="Times New Roman"/>
        </w:rPr>
        <w:footnoteRef/>
      </w:r>
      <w:r w:rsidRPr="000F3056">
        <w:rPr>
          <w:rFonts w:ascii="Times New Roman" w:hAnsi="Times New Roman" w:cs="Times New Roman"/>
        </w:rPr>
        <w:t xml:space="preserve"> SÁNCHEZ HERRÁEZ, P., </w:t>
      </w:r>
      <w:r w:rsidRPr="000F3056">
        <w:rPr>
          <w:rFonts w:ascii="Times New Roman" w:hAnsi="Times New Roman" w:cs="Times New Roman"/>
          <w:i/>
          <w:iCs/>
        </w:rPr>
        <w:t>Libia: ¿El modelo de conflicto del siglo XXI?</w:t>
      </w:r>
      <w:r w:rsidRPr="000F3056">
        <w:rPr>
          <w:rFonts w:ascii="Times New Roman" w:hAnsi="Times New Roman" w:cs="Times New Roman"/>
        </w:rPr>
        <w:t xml:space="preserve"> Instituto Español de Estudios Estratégicos, 3 de julio de 2019: </w:t>
      </w:r>
      <w:hyperlink r:id="rId2" w:history="1">
        <w:r w:rsidRPr="000F3056">
          <w:rPr>
            <w:rStyle w:val="Hipervnculo"/>
            <w:rFonts w:ascii="Times New Roman" w:hAnsi="Times New Roman" w:cs="Times New Roman"/>
          </w:rPr>
          <w:t>http://www.ieee.es/Galerias/fichero/docs_analisis/2019/DIEEEA21_2019PEDSAN_Libia.pdf</w:t>
        </w:r>
      </w:hyperlink>
      <w:r w:rsidRPr="000F3056">
        <w:rPr>
          <w:rFonts w:ascii="Times New Roman" w:hAnsi="Times New Roman" w:cs="Times New Roman"/>
        </w:rPr>
        <w:t xml:space="preserve"> </w:t>
      </w:r>
    </w:p>
    <w:p w14:paraId="5F8A036D" w14:textId="507C1C54" w:rsidR="00575E7C" w:rsidRDefault="00575E7C">
      <w:pPr>
        <w:pStyle w:val="Textonotapie"/>
      </w:pPr>
    </w:p>
  </w:footnote>
  <w:footnote w:id="37">
    <w:p w14:paraId="25674DAA" w14:textId="77AEDAFB" w:rsidR="00575E7C" w:rsidRPr="000F3056" w:rsidRDefault="00575E7C" w:rsidP="000F3056">
      <w:pPr>
        <w:pStyle w:val="Textonotapie"/>
        <w:jc w:val="both"/>
        <w:rPr>
          <w:rFonts w:ascii="Times New Roman" w:hAnsi="Times New Roman" w:cs="Times New Roman"/>
        </w:rPr>
      </w:pPr>
      <w:r w:rsidRPr="000F3056">
        <w:rPr>
          <w:rStyle w:val="Refdenotaalpie"/>
          <w:rFonts w:ascii="Times New Roman" w:hAnsi="Times New Roman" w:cs="Times New Roman"/>
        </w:rPr>
        <w:footnoteRef/>
      </w:r>
      <w:r w:rsidRPr="000F3056">
        <w:rPr>
          <w:rFonts w:ascii="Times New Roman" w:hAnsi="Times New Roman" w:cs="Times New Roman"/>
        </w:rPr>
        <w:t xml:space="preserve"> Art. 23. Proyecto de Artículos sobre la Responsabilidad del Estado por Hechos Internacionalmente ilícitos, 12 de diciembre de 2001</w:t>
      </w:r>
    </w:p>
  </w:footnote>
  <w:footnote w:id="38">
    <w:p w14:paraId="15C945FA" w14:textId="23DCABA7" w:rsidR="00575E7C" w:rsidRDefault="00575E7C">
      <w:pPr>
        <w:pStyle w:val="Textonotapie"/>
      </w:pPr>
      <w:r w:rsidRPr="0008299F">
        <w:rPr>
          <w:rStyle w:val="Refdenotaalpie"/>
          <w:rFonts w:ascii="Times New Roman" w:hAnsi="Times New Roman" w:cs="Times New Roman"/>
        </w:rPr>
        <w:footnoteRef/>
      </w:r>
      <w:r w:rsidRPr="0008299F">
        <w:rPr>
          <w:rFonts w:ascii="Times New Roman" w:hAnsi="Times New Roman" w:cs="Times New Roman"/>
        </w:rPr>
        <w:t xml:space="preserve"> Tod</w:t>
      </w:r>
      <w:r>
        <w:rPr>
          <w:rFonts w:ascii="Times New Roman" w:hAnsi="Times New Roman" w:cs="Times New Roman"/>
        </w:rPr>
        <w:t>a</w:t>
      </w:r>
      <w:r w:rsidRPr="0008299F">
        <w:rPr>
          <w:rFonts w:ascii="Times New Roman" w:hAnsi="Times New Roman" w:cs="Times New Roman"/>
        </w:rPr>
        <w:t xml:space="preserve">s las referencias de internet han sido revisadas el día </w:t>
      </w:r>
      <w:r w:rsidR="00093BDD">
        <w:rPr>
          <w:rFonts w:ascii="Times New Roman" w:hAnsi="Times New Roman" w:cs="Times New Roman"/>
        </w:rPr>
        <w:t>5</w:t>
      </w:r>
      <w:r w:rsidRPr="0008299F">
        <w:rPr>
          <w:rFonts w:ascii="Times New Roman" w:hAnsi="Times New Roman" w:cs="Times New Roman"/>
        </w:rPr>
        <w:t xml:space="preserve"> de abril de 2021</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B1DFF" w14:textId="540DD443" w:rsidR="00575E7C" w:rsidRDefault="00575E7C">
    <w:pPr>
      <w:pStyle w:val="Encabezado"/>
      <w:rPr>
        <w:rFonts w:ascii="Times New Roman" w:hAnsi="Times New Roman" w:cs="Times New Roman"/>
      </w:rPr>
    </w:pPr>
    <w:r>
      <w:rPr>
        <w:rFonts w:ascii="Times New Roman" w:hAnsi="Times New Roman" w:cs="Times New Roman"/>
      </w:rPr>
      <w:t>Álvaro González-Casanova González</w:t>
    </w:r>
  </w:p>
  <w:p w14:paraId="52D59EFF" w14:textId="5A7172FE" w:rsidR="00575E7C" w:rsidRDefault="00575E7C">
    <w:pPr>
      <w:pStyle w:val="Encabezado"/>
      <w:rPr>
        <w:rFonts w:ascii="Times New Roman" w:hAnsi="Times New Roman" w:cs="Times New Roman"/>
      </w:rPr>
    </w:pPr>
    <w:r>
      <w:rPr>
        <w:rFonts w:ascii="Times New Roman" w:hAnsi="Times New Roman" w:cs="Times New Roman"/>
      </w:rPr>
      <w:t xml:space="preserve">Derecho Diplomático y Consular </w:t>
    </w:r>
  </w:p>
  <w:p w14:paraId="4D555C94" w14:textId="2E3CF25B" w:rsidR="00575E7C" w:rsidRDefault="00575E7C">
    <w:pPr>
      <w:pStyle w:val="Encabezado"/>
      <w:rPr>
        <w:rFonts w:ascii="Times New Roman" w:hAnsi="Times New Roman" w:cs="Times New Roman"/>
      </w:rPr>
    </w:pPr>
    <w:r>
      <w:rPr>
        <w:rFonts w:ascii="Times New Roman" w:hAnsi="Times New Roman" w:cs="Times New Roman"/>
      </w:rPr>
      <w:t xml:space="preserve">5º E5 – Derecho y Relaciones Internacionales </w:t>
    </w:r>
  </w:p>
  <w:p w14:paraId="732A66F8" w14:textId="77777777" w:rsidR="00575E7C" w:rsidRPr="00250A86" w:rsidRDefault="00575E7C">
    <w:pPr>
      <w:pStyle w:val="Encabezad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B00B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2C6575"/>
    <w:multiLevelType w:val="hybridMultilevel"/>
    <w:tmpl w:val="88F81A4A"/>
    <w:lvl w:ilvl="0" w:tplc="10D054C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38EE4C89"/>
    <w:multiLevelType w:val="hybridMultilevel"/>
    <w:tmpl w:val="770A23C0"/>
    <w:lvl w:ilvl="0" w:tplc="5E88E866">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 w15:restartNumberingAfterBreak="0">
    <w:nsid w:val="40232F9F"/>
    <w:multiLevelType w:val="hybridMultilevel"/>
    <w:tmpl w:val="293A14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3F00F25"/>
    <w:multiLevelType w:val="hybridMultilevel"/>
    <w:tmpl w:val="574A209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CEC"/>
    <w:rsid w:val="000032B1"/>
    <w:rsid w:val="00003E84"/>
    <w:rsid w:val="00021E8C"/>
    <w:rsid w:val="0002487C"/>
    <w:rsid w:val="00026818"/>
    <w:rsid w:val="000343CB"/>
    <w:rsid w:val="00035703"/>
    <w:rsid w:val="00037F55"/>
    <w:rsid w:val="00047F1F"/>
    <w:rsid w:val="00053967"/>
    <w:rsid w:val="0006597B"/>
    <w:rsid w:val="00070A43"/>
    <w:rsid w:val="00071AA0"/>
    <w:rsid w:val="00071C81"/>
    <w:rsid w:val="00075754"/>
    <w:rsid w:val="0008299F"/>
    <w:rsid w:val="00083D68"/>
    <w:rsid w:val="00085C65"/>
    <w:rsid w:val="00086F3A"/>
    <w:rsid w:val="00093BDD"/>
    <w:rsid w:val="00096342"/>
    <w:rsid w:val="00097D93"/>
    <w:rsid w:val="000A005D"/>
    <w:rsid w:val="000A55C9"/>
    <w:rsid w:val="000B17CB"/>
    <w:rsid w:val="000B2C02"/>
    <w:rsid w:val="000B3A4E"/>
    <w:rsid w:val="000B5713"/>
    <w:rsid w:val="000C17BB"/>
    <w:rsid w:val="000D2DA0"/>
    <w:rsid w:val="000E1501"/>
    <w:rsid w:val="000E63FC"/>
    <w:rsid w:val="000E6F15"/>
    <w:rsid w:val="000E75E9"/>
    <w:rsid w:val="000F18E3"/>
    <w:rsid w:val="000F3056"/>
    <w:rsid w:val="000F75C3"/>
    <w:rsid w:val="0010574C"/>
    <w:rsid w:val="00107A1E"/>
    <w:rsid w:val="00116929"/>
    <w:rsid w:val="001209AD"/>
    <w:rsid w:val="001232AD"/>
    <w:rsid w:val="00124DA2"/>
    <w:rsid w:val="001309B0"/>
    <w:rsid w:val="001376D6"/>
    <w:rsid w:val="00140129"/>
    <w:rsid w:val="00143566"/>
    <w:rsid w:val="00143898"/>
    <w:rsid w:val="0015024F"/>
    <w:rsid w:val="001576D2"/>
    <w:rsid w:val="00163D09"/>
    <w:rsid w:val="00174511"/>
    <w:rsid w:val="00176493"/>
    <w:rsid w:val="0017702E"/>
    <w:rsid w:val="00180AA3"/>
    <w:rsid w:val="00180D68"/>
    <w:rsid w:val="001833E5"/>
    <w:rsid w:val="001843AF"/>
    <w:rsid w:val="00187F7F"/>
    <w:rsid w:val="001923F5"/>
    <w:rsid w:val="00197134"/>
    <w:rsid w:val="0019784A"/>
    <w:rsid w:val="001A2A8C"/>
    <w:rsid w:val="001A6784"/>
    <w:rsid w:val="001A7F0E"/>
    <w:rsid w:val="001B0A60"/>
    <w:rsid w:val="001B2197"/>
    <w:rsid w:val="001B2610"/>
    <w:rsid w:val="001B55CB"/>
    <w:rsid w:val="001B724B"/>
    <w:rsid w:val="001C210F"/>
    <w:rsid w:val="001C3966"/>
    <w:rsid w:val="001C44C9"/>
    <w:rsid w:val="001C69D2"/>
    <w:rsid w:val="001D1259"/>
    <w:rsid w:val="001D3257"/>
    <w:rsid w:val="001D7272"/>
    <w:rsid w:val="001E1313"/>
    <w:rsid w:val="001E14DE"/>
    <w:rsid w:val="001E273B"/>
    <w:rsid w:val="001E790B"/>
    <w:rsid w:val="00200AC2"/>
    <w:rsid w:val="00201333"/>
    <w:rsid w:val="0020383F"/>
    <w:rsid w:val="0021387C"/>
    <w:rsid w:val="002148EE"/>
    <w:rsid w:val="00214B5A"/>
    <w:rsid w:val="00226D13"/>
    <w:rsid w:val="00233006"/>
    <w:rsid w:val="00233B7D"/>
    <w:rsid w:val="00234892"/>
    <w:rsid w:val="00234B65"/>
    <w:rsid w:val="002364F4"/>
    <w:rsid w:val="00237D67"/>
    <w:rsid w:val="00241555"/>
    <w:rsid w:val="0024512C"/>
    <w:rsid w:val="00246FA0"/>
    <w:rsid w:val="00250A86"/>
    <w:rsid w:val="00251B3D"/>
    <w:rsid w:val="002571DA"/>
    <w:rsid w:val="00262AA7"/>
    <w:rsid w:val="00263065"/>
    <w:rsid w:val="00266FFB"/>
    <w:rsid w:val="0027604A"/>
    <w:rsid w:val="0027686E"/>
    <w:rsid w:val="00281D09"/>
    <w:rsid w:val="0028255B"/>
    <w:rsid w:val="00282F43"/>
    <w:rsid w:val="0028545C"/>
    <w:rsid w:val="00287FCD"/>
    <w:rsid w:val="00295929"/>
    <w:rsid w:val="002A3AB1"/>
    <w:rsid w:val="002A4910"/>
    <w:rsid w:val="002A7BDA"/>
    <w:rsid w:val="002B49DD"/>
    <w:rsid w:val="002B69E8"/>
    <w:rsid w:val="002C12BD"/>
    <w:rsid w:val="002D277B"/>
    <w:rsid w:val="002D5825"/>
    <w:rsid w:val="002E4025"/>
    <w:rsid w:val="002E5FD4"/>
    <w:rsid w:val="002F3F37"/>
    <w:rsid w:val="002F70AB"/>
    <w:rsid w:val="00303937"/>
    <w:rsid w:val="00303CCE"/>
    <w:rsid w:val="00305E80"/>
    <w:rsid w:val="0032502C"/>
    <w:rsid w:val="00330389"/>
    <w:rsid w:val="00343D32"/>
    <w:rsid w:val="00350761"/>
    <w:rsid w:val="00361C41"/>
    <w:rsid w:val="00367BE8"/>
    <w:rsid w:val="003747B2"/>
    <w:rsid w:val="00376232"/>
    <w:rsid w:val="00376CBE"/>
    <w:rsid w:val="00377DBF"/>
    <w:rsid w:val="00380C3A"/>
    <w:rsid w:val="00383BAB"/>
    <w:rsid w:val="003845ED"/>
    <w:rsid w:val="003855FF"/>
    <w:rsid w:val="003A327A"/>
    <w:rsid w:val="003A3C5E"/>
    <w:rsid w:val="003A4100"/>
    <w:rsid w:val="003A4AFE"/>
    <w:rsid w:val="003A616E"/>
    <w:rsid w:val="003A768A"/>
    <w:rsid w:val="003B1367"/>
    <w:rsid w:val="003B2B0D"/>
    <w:rsid w:val="003B4FE9"/>
    <w:rsid w:val="003B50EB"/>
    <w:rsid w:val="003B59FB"/>
    <w:rsid w:val="003C3692"/>
    <w:rsid w:val="003D0DCB"/>
    <w:rsid w:val="003E3DA4"/>
    <w:rsid w:val="003E4258"/>
    <w:rsid w:val="003E664D"/>
    <w:rsid w:val="004004E7"/>
    <w:rsid w:val="00401105"/>
    <w:rsid w:val="00402169"/>
    <w:rsid w:val="00403D47"/>
    <w:rsid w:val="00410BA0"/>
    <w:rsid w:val="004138EF"/>
    <w:rsid w:val="00415AAC"/>
    <w:rsid w:val="004169A9"/>
    <w:rsid w:val="004174BD"/>
    <w:rsid w:val="00420E47"/>
    <w:rsid w:val="004227BE"/>
    <w:rsid w:val="004333CF"/>
    <w:rsid w:val="00433766"/>
    <w:rsid w:val="0043500D"/>
    <w:rsid w:val="00436CC0"/>
    <w:rsid w:val="00442FBB"/>
    <w:rsid w:val="00461FE3"/>
    <w:rsid w:val="00465BB3"/>
    <w:rsid w:val="00467EFB"/>
    <w:rsid w:val="004715DC"/>
    <w:rsid w:val="00472630"/>
    <w:rsid w:val="00472F5F"/>
    <w:rsid w:val="00473AEB"/>
    <w:rsid w:val="00477FA9"/>
    <w:rsid w:val="00484743"/>
    <w:rsid w:val="00485408"/>
    <w:rsid w:val="004935C0"/>
    <w:rsid w:val="004936B1"/>
    <w:rsid w:val="0049426A"/>
    <w:rsid w:val="004A3FF4"/>
    <w:rsid w:val="004B557A"/>
    <w:rsid w:val="004B6BD9"/>
    <w:rsid w:val="004B75D6"/>
    <w:rsid w:val="004B7710"/>
    <w:rsid w:val="004D2CE1"/>
    <w:rsid w:val="004D38B4"/>
    <w:rsid w:val="004D43C2"/>
    <w:rsid w:val="004E2296"/>
    <w:rsid w:val="004E4423"/>
    <w:rsid w:val="004F47BB"/>
    <w:rsid w:val="00503B87"/>
    <w:rsid w:val="0051645E"/>
    <w:rsid w:val="005306D5"/>
    <w:rsid w:val="00532875"/>
    <w:rsid w:val="005351EF"/>
    <w:rsid w:val="005368C5"/>
    <w:rsid w:val="00536E7F"/>
    <w:rsid w:val="005403F8"/>
    <w:rsid w:val="0054647C"/>
    <w:rsid w:val="00547A16"/>
    <w:rsid w:val="00553E9D"/>
    <w:rsid w:val="0055590F"/>
    <w:rsid w:val="00563221"/>
    <w:rsid w:val="00564BD9"/>
    <w:rsid w:val="00564CAD"/>
    <w:rsid w:val="005659D0"/>
    <w:rsid w:val="00573954"/>
    <w:rsid w:val="00575E7C"/>
    <w:rsid w:val="00575F50"/>
    <w:rsid w:val="00577CEC"/>
    <w:rsid w:val="00584AA8"/>
    <w:rsid w:val="00586133"/>
    <w:rsid w:val="00592C48"/>
    <w:rsid w:val="005A69A8"/>
    <w:rsid w:val="005B1B37"/>
    <w:rsid w:val="005C4F1E"/>
    <w:rsid w:val="005D16DE"/>
    <w:rsid w:val="005D1798"/>
    <w:rsid w:val="005E127F"/>
    <w:rsid w:val="005E15CB"/>
    <w:rsid w:val="005E3F2C"/>
    <w:rsid w:val="005E5AC7"/>
    <w:rsid w:val="005F6D0C"/>
    <w:rsid w:val="006014A8"/>
    <w:rsid w:val="00603183"/>
    <w:rsid w:val="006049FE"/>
    <w:rsid w:val="00606017"/>
    <w:rsid w:val="00620678"/>
    <w:rsid w:val="006240B9"/>
    <w:rsid w:val="0062612D"/>
    <w:rsid w:val="006261AB"/>
    <w:rsid w:val="00630A2B"/>
    <w:rsid w:val="00643AA4"/>
    <w:rsid w:val="00647C7D"/>
    <w:rsid w:val="006512BE"/>
    <w:rsid w:val="00651578"/>
    <w:rsid w:val="006521DB"/>
    <w:rsid w:val="00654679"/>
    <w:rsid w:val="00660D96"/>
    <w:rsid w:val="006613D9"/>
    <w:rsid w:val="00673C94"/>
    <w:rsid w:val="00674086"/>
    <w:rsid w:val="00682870"/>
    <w:rsid w:val="00687FA6"/>
    <w:rsid w:val="00690885"/>
    <w:rsid w:val="00692415"/>
    <w:rsid w:val="006A230C"/>
    <w:rsid w:val="006A5399"/>
    <w:rsid w:val="006B4CEC"/>
    <w:rsid w:val="006B60C2"/>
    <w:rsid w:val="006B672A"/>
    <w:rsid w:val="006B7F5E"/>
    <w:rsid w:val="006C2531"/>
    <w:rsid w:val="006D1F04"/>
    <w:rsid w:val="006E47C2"/>
    <w:rsid w:val="006E487F"/>
    <w:rsid w:val="006F5BF2"/>
    <w:rsid w:val="006F6910"/>
    <w:rsid w:val="00700850"/>
    <w:rsid w:val="00710DBE"/>
    <w:rsid w:val="00725348"/>
    <w:rsid w:val="007254B5"/>
    <w:rsid w:val="0072703E"/>
    <w:rsid w:val="00732856"/>
    <w:rsid w:val="007341C9"/>
    <w:rsid w:val="00745103"/>
    <w:rsid w:val="00750C2F"/>
    <w:rsid w:val="00756873"/>
    <w:rsid w:val="00773999"/>
    <w:rsid w:val="00775538"/>
    <w:rsid w:val="0077734C"/>
    <w:rsid w:val="007809E1"/>
    <w:rsid w:val="007833C8"/>
    <w:rsid w:val="00785C4E"/>
    <w:rsid w:val="00790AF0"/>
    <w:rsid w:val="007934DB"/>
    <w:rsid w:val="0079659D"/>
    <w:rsid w:val="0079739F"/>
    <w:rsid w:val="007A12B5"/>
    <w:rsid w:val="007A371F"/>
    <w:rsid w:val="007C0B2A"/>
    <w:rsid w:val="007C2A38"/>
    <w:rsid w:val="007E0DF4"/>
    <w:rsid w:val="007E3DAD"/>
    <w:rsid w:val="007E5271"/>
    <w:rsid w:val="00800540"/>
    <w:rsid w:val="008232B9"/>
    <w:rsid w:val="00830A24"/>
    <w:rsid w:val="008376DE"/>
    <w:rsid w:val="00840A1B"/>
    <w:rsid w:val="00843725"/>
    <w:rsid w:val="00845063"/>
    <w:rsid w:val="00845EBF"/>
    <w:rsid w:val="008532B4"/>
    <w:rsid w:val="00862A4F"/>
    <w:rsid w:val="008707BD"/>
    <w:rsid w:val="00881972"/>
    <w:rsid w:val="0088436B"/>
    <w:rsid w:val="0088747D"/>
    <w:rsid w:val="00893240"/>
    <w:rsid w:val="00893D62"/>
    <w:rsid w:val="0089657C"/>
    <w:rsid w:val="008A0225"/>
    <w:rsid w:val="008A2445"/>
    <w:rsid w:val="008A44F2"/>
    <w:rsid w:val="008C0E5C"/>
    <w:rsid w:val="008C7403"/>
    <w:rsid w:val="008D5ECF"/>
    <w:rsid w:val="008D714D"/>
    <w:rsid w:val="008E2A27"/>
    <w:rsid w:val="008E49D0"/>
    <w:rsid w:val="008F03B8"/>
    <w:rsid w:val="008F67D6"/>
    <w:rsid w:val="008F6B60"/>
    <w:rsid w:val="008F7BBC"/>
    <w:rsid w:val="009111EF"/>
    <w:rsid w:val="00913C27"/>
    <w:rsid w:val="0092002A"/>
    <w:rsid w:val="00920568"/>
    <w:rsid w:val="0093125F"/>
    <w:rsid w:val="009352E5"/>
    <w:rsid w:val="00942EF8"/>
    <w:rsid w:val="00947A5D"/>
    <w:rsid w:val="00952C52"/>
    <w:rsid w:val="00953C1F"/>
    <w:rsid w:val="00962990"/>
    <w:rsid w:val="00962A0D"/>
    <w:rsid w:val="00967EFB"/>
    <w:rsid w:val="0097343F"/>
    <w:rsid w:val="00977B9C"/>
    <w:rsid w:val="00982183"/>
    <w:rsid w:val="00987A7D"/>
    <w:rsid w:val="009939AA"/>
    <w:rsid w:val="00994DA5"/>
    <w:rsid w:val="009A0329"/>
    <w:rsid w:val="009A15FB"/>
    <w:rsid w:val="009A1B45"/>
    <w:rsid w:val="009A44AD"/>
    <w:rsid w:val="009B4525"/>
    <w:rsid w:val="009B5882"/>
    <w:rsid w:val="009C1844"/>
    <w:rsid w:val="009C4318"/>
    <w:rsid w:val="009D00DE"/>
    <w:rsid w:val="009D3E56"/>
    <w:rsid w:val="009D4917"/>
    <w:rsid w:val="009D6008"/>
    <w:rsid w:val="009E01AC"/>
    <w:rsid w:val="009E67AF"/>
    <w:rsid w:val="009F08FC"/>
    <w:rsid w:val="009F1C53"/>
    <w:rsid w:val="009F30F4"/>
    <w:rsid w:val="009F4009"/>
    <w:rsid w:val="009F4BAC"/>
    <w:rsid w:val="00A03AA8"/>
    <w:rsid w:val="00A06C01"/>
    <w:rsid w:val="00A11555"/>
    <w:rsid w:val="00A34B20"/>
    <w:rsid w:val="00A36FC6"/>
    <w:rsid w:val="00A41C10"/>
    <w:rsid w:val="00A4214F"/>
    <w:rsid w:val="00A42C18"/>
    <w:rsid w:val="00A43BE2"/>
    <w:rsid w:val="00A440B6"/>
    <w:rsid w:val="00A44F74"/>
    <w:rsid w:val="00A46166"/>
    <w:rsid w:val="00A54FA5"/>
    <w:rsid w:val="00A61AF8"/>
    <w:rsid w:val="00A6384E"/>
    <w:rsid w:val="00A73BCF"/>
    <w:rsid w:val="00A76DDD"/>
    <w:rsid w:val="00A81BF9"/>
    <w:rsid w:val="00A8349F"/>
    <w:rsid w:val="00A83EEF"/>
    <w:rsid w:val="00A84D2F"/>
    <w:rsid w:val="00A876B2"/>
    <w:rsid w:val="00A915B9"/>
    <w:rsid w:val="00A933FA"/>
    <w:rsid w:val="00AA2985"/>
    <w:rsid w:val="00AA3424"/>
    <w:rsid w:val="00AA3CE6"/>
    <w:rsid w:val="00AA5171"/>
    <w:rsid w:val="00AC4523"/>
    <w:rsid w:val="00AC77CD"/>
    <w:rsid w:val="00AD5915"/>
    <w:rsid w:val="00AE1171"/>
    <w:rsid w:val="00AE23AD"/>
    <w:rsid w:val="00AE2ED9"/>
    <w:rsid w:val="00AE2FE3"/>
    <w:rsid w:val="00AF4955"/>
    <w:rsid w:val="00B00D5B"/>
    <w:rsid w:val="00B12516"/>
    <w:rsid w:val="00B12C2E"/>
    <w:rsid w:val="00B26948"/>
    <w:rsid w:val="00B337C5"/>
    <w:rsid w:val="00B400CB"/>
    <w:rsid w:val="00B41268"/>
    <w:rsid w:val="00B430E0"/>
    <w:rsid w:val="00B46698"/>
    <w:rsid w:val="00B557C6"/>
    <w:rsid w:val="00B6162F"/>
    <w:rsid w:val="00B64E78"/>
    <w:rsid w:val="00B661BF"/>
    <w:rsid w:val="00B711EF"/>
    <w:rsid w:val="00B7215E"/>
    <w:rsid w:val="00B757D3"/>
    <w:rsid w:val="00B81263"/>
    <w:rsid w:val="00B900BE"/>
    <w:rsid w:val="00B905B0"/>
    <w:rsid w:val="00B91BF0"/>
    <w:rsid w:val="00B96E6C"/>
    <w:rsid w:val="00B976B3"/>
    <w:rsid w:val="00BA4BFB"/>
    <w:rsid w:val="00BB02EC"/>
    <w:rsid w:val="00BB2E3A"/>
    <w:rsid w:val="00BC445D"/>
    <w:rsid w:val="00BC6D40"/>
    <w:rsid w:val="00BC7437"/>
    <w:rsid w:val="00BD3146"/>
    <w:rsid w:val="00BD67C0"/>
    <w:rsid w:val="00BE0EE8"/>
    <w:rsid w:val="00BE4DC8"/>
    <w:rsid w:val="00BE6AD7"/>
    <w:rsid w:val="00BF2626"/>
    <w:rsid w:val="00BF4616"/>
    <w:rsid w:val="00BF78D4"/>
    <w:rsid w:val="00C0099B"/>
    <w:rsid w:val="00C05E53"/>
    <w:rsid w:val="00C11322"/>
    <w:rsid w:val="00C1249D"/>
    <w:rsid w:val="00C1487B"/>
    <w:rsid w:val="00C15553"/>
    <w:rsid w:val="00C21351"/>
    <w:rsid w:val="00C31568"/>
    <w:rsid w:val="00C3243F"/>
    <w:rsid w:val="00C32C4B"/>
    <w:rsid w:val="00C36AA3"/>
    <w:rsid w:val="00C55382"/>
    <w:rsid w:val="00C57938"/>
    <w:rsid w:val="00C645C5"/>
    <w:rsid w:val="00C6763E"/>
    <w:rsid w:val="00C7393A"/>
    <w:rsid w:val="00C74504"/>
    <w:rsid w:val="00C8176B"/>
    <w:rsid w:val="00C83685"/>
    <w:rsid w:val="00C86D88"/>
    <w:rsid w:val="00CA0FF0"/>
    <w:rsid w:val="00CA1F67"/>
    <w:rsid w:val="00CA395B"/>
    <w:rsid w:val="00CA3EF1"/>
    <w:rsid w:val="00CA7C18"/>
    <w:rsid w:val="00CB15CE"/>
    <w:rsid w:val="00CB2A38"/>
    <w:rsid w:val="00CC05C2"/>
    <w:rsid w:val="00CC467D"/>
    <w:rsid w:val="00CD1BC5"/>
    <w:rsid w:val="00CE0C26"/>
    <w:rsid w:val="00CE4CE2"/>
    <w:rsid w:val="00CE6713"/>
    <w:rsid w:val="00CE6D2F"/>
    <w:rsid w:val="00CE6D84"/>
    <w:rsid w:val="00CF070D"/>
    <w:rsid w:val="00CF47D8"/>
    <w:rsid w:val="00CF770B"/>
    <w:rsid w:val="00D010E1"/>
    <w:rsid w:val="00D05DAE"/>
    <w:rsid w:val="00D07F7C"/>
    <w:rsid w:val="00D1218A"/>
    <w:rsid w:val="00D14C37"/>
    <w:rsid w:val="00D17459"/>
    <w:rsid w:val="00D40335"/>
    <w:rsid w:val="00D40BBD"/>
    <w:rsid w:val="00D511C1"/>
    <w:rsid w:val="00D52A94"/>
    <w:rsid w:val="00D55405"/>
    <w:rsid w:val="00D61B73"/>
    <w:rsid w:val="00D64948"/>
    <w:rsid w:val="00D66367"/>
    <w:rsid w:val="00D66543"/>
    <w:rsid w:val="00D66A47"/>
    <w:rsid w:val="00D67474"/>
    <w:rsid w:val="00D81EFD"/>
    <w:rsid w:val="00D84313"/>
    <w:rsid w:val="00D85DD3"/>
    <w:rsid w:val="00D874A7"/>
    <w:rsid w:val="00D97657"/>
    <w:rsid w:val="00DA4115"/>
    <w:rsid w:val="00DB6E4D"/>
    <w:rsid w:val="00DC6174"/>
    <w:rsid w:val="00DD3C68"/>
    <w:rsid w:val="00DD7E13"/>
    <w:rsid w:val="00DE0339"/>
    <w:rsid w:val="00DE389A"/>
    <w:rsid w:val="00DF0799"/>
    <w:rsid w:val="00DF6CEC"/>
    <w:rsid w:val="00E13B05"/>
    <w:rsid w:val="00E20CE5"/>
    <w:rsid w:val="00E30B99"/>
    <w:rsid w:val="00E32794"/>
    <w:rsid w:val="00E4372A"/>
    <w:rsid w:val="00E4687E"/>
    <w:rsid w:val="00E55977"/>
    <w:rsid w:val="00E60E6C"/>
    <w:rsid w:val="00E63A26"/>
    <w:rsid w:val="00E661E0"/>
    <w:rsid w:val="00E74DB9"/>
    <w:rsid w:val="00E808C8"/>
    <w:rsid w:val="00E81506"/>
    <w:rsid w:val="00E865BD"/>
    <w:rsid w:val="00E9015B"/>
    <w:rsid w:val="00E92930"/>
    <w:rsid w:val="00E960BB"/>
    <w:rsid w:val="00EA0661"/>
    <w:rsid w:val="00EA16D7"/>
    <w:rsid w:val="00EA17B1"/>
    <w:rsid w:val="00EB138E"/>
    <w:rsid w:val="00EB38B4"/>
    <w:rsid w:val="00EC069B"/>
    <w:rsid w:val="00EC6381"/>
    <w:rsid w:val="00ED33AE"/>
    <w:rsid w:val="00ED5BD6"/>
    <w:rsid w:val="00ED7491"/>
    <w:rsid w:val="00EE1454"/>
    <w:rsid w:val="00EE573D"/>
    <w:rsid w:val="00F00D52"/>
    <w:rsid w:val="00F00F07"/>
    <w:rsid w:val="00F017CF"/>
    <w:rsid w:val="00F05C7C"/>
    <w:rsid w:val="00F1428C"/>
    <w:rsid w:val="00F22D39"/>
    <w:rsid w:val="00F36906"/>
    <w:rsid w:val="00F56AC3"/>
    <w:rsid w:val="00F756BC"/>
    <w:rsid w:val="00F76E78"/>
    <w:rsid w:val="00F77DCA"/>
    <w:rsid w:val="00F804D5"/>
    <w:rsid w:val="00F819A9"/>
    <w:rsid w:val="00F84B81"/>
    <w:rsid w:val="00F84E2F"/>
    <w:rsid w:val="00F9229C"/>
    <w:rsid w:val="00FA0E32"/>
    <w:rsid w:val="00FA1B1E"/>
    <w:rsid w:val="00FA7EDA"/>
    <w:rsid w:val="00FB019F"/>
    <w:rsid w:val="00FB0E73"/>
    <w:rsid w:val="00FB3FA7"/>
    <w:rsid w:val="00FB5B5B"/>
    <w:rsid w:val="00FB68A1"/>
    <w:rsid w:val="00FC41F3"/>
    <w:rsid w:val="00FC48CE"/>
    <w:rsid w:val="00FC6E04"/>
    <w:rsid w:val="00FD1421"/>
    <w:rsid w:val="00FD7BFB"/>
    <w:rsid w:val="00FE2E47"/>
    <w:rsid w:val="00FE5D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FF16A"/>
  <w15:docId w15:val="{C05120FD-460C-47B2-A940-67F0553D5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A4E"/>
    <w:rPr>
      <w:rFonts w:ascii="Arial" w:eastAsia="Arial" w:hAnsi="Arial" w:cs="Arial"/>
      <w:lang w:val="es-ES" w:eastAsia="es-ES" w:bidi="es-ES"/>
    </w:rPr>
  </w:style>
  <w:style w:type="paragraph" w:styleId="Ttulo1">
    <w:name w:val="heading 1"/>
    <w:basedOn w:val="Normal"/>
    <w:next w:val="Normal"/>
    <w:link w:val="Ttulo1Car"/>
    <w:uiPriority w:val="9"/>
    <w:qFormat/>
    <w:rsid w:val="00CC05C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D6747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4B557A"/>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36"/>
      <w:szCs w:val="36"/>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character" w:customStyle="1" w:styleId="Ttulo1Car">
    <w:name w:val="Título 1 Car"/>
    <w:basedOn w:val="Fuentedeprrafopredeter"/>
    <w:link w:val="Ttulo1"/>
    <w:uiPriority w:val="9"/>
    <w:rsid w:val="00CC05C2"/>
    <w:rPr>
      <w:rFonts w:asciiTheme="majorHAnsi" w:eastAsiaTheme="majorEastAsia" w:hAnsiTheme="majorHAnsi" w:cstheme="majorBidi"/>
      <w:color w:val="365F91" w:themeColor="accent1" w:themeShade="BF"/>
      <w:sz w:val="32"/>
      <w:szCs w:val="32"/>
      <w:lang w:val="es-ES" w:eastAsia="es-ES" w:bidi="es-ES"/>
    </w:rPr>
  </w:style>
  <w:style w:type="character" w:customStyle="1" w:styleId="Ttulo2Car">
    <w:name w:val="Título 2 Car"/>
    <w:basedOn w:val="Fuentedeprrafopredeter"/>
    <w:link w:val="Ttulo2"/>
    <w:uiPriority w:val="9"/>
    <w:rsid w:val="00D67474"/>
    <w:rPr>
      <w:rFonts w:asciiTheme="majorHAnsi" w:eastAsiaTheme="majorEastAsia" w:hAnsiTheme="majorHAnsi" w:cstheme="majorBidi"/>
      <w:color w:val="365F91" w:themeColor="accent1" w:themeShade="BF"/>
      <w:sz w:val="26"/>
      <w:szCs w:val="26"/>
      <w:lang w:val="es-ES" w:eastAsia="es-ES" w:bidi="es-ES"/>
    </w:rPr>
  </w:style>
  <w:style w:type="paragraph" w:styleId="Encabezado">
    <w:name w:val="header"/>
    <w:basedOn w:val="Normal"/>
    <w:link w:val="EncabezadoCar"/>
    <w:uiPriority w:val="99"/>
    <w:unhideWhenUsed/>
    <w:rsid w:val="00D1218A"/>
    <w:pPr>
      <w:tabs>
        <w:tab w:val="center" w:pos="4252"/>
        <w:tab w:val="right" w:pos="8504"/>
      </w:tabs>
    </w:pPr>
  </w:style>
  <w:style w:type="character" w:customStyle="1" w:styleId="EncabezadoCar">
    <w:name w:val="Encabezado Car"/>
    <w:basedOn w:val="Fuentedeprrafopredeter"/>
    <w:link w:val="Encabezado"/>
    <w:uiPriority w:val="99"/>
    <w:rsid w:val="00D1218A"/>
    <w:rPr>
      <w:rFonts w:ascii="Arial" w:eastAsia="Arial" w:hAnsi="Arial" w:cs="Arial"/>
      <w:lang w:val="es-ES" w:eastAsia="es-ES" w:bidi="es-ES"/>
    </w:rPr>
  </w:style>
  <w:style w:type="paragraph" w:styleId="Piedepgina">
    <w:name w:val="footer"/>
    <w:basedOn w:val="Normal"/>
    <w:link w:val="PiedepginaCar"/>
    <w:uiPriority w:val="99"/>
    <w:unhideWhenUsed/>
    <w:rsid w:val="00D1218A"/>
    <w:pPr>
      <w:tabs>
        <w:tab w:val="center" w:pos="4252"/>
        <w:tab w:val="right" w:pos="8504"/>
      </w:tabs>
    </w:pPr>
  </w:style>
  <w:style w:type="character" w:customStyle="1" w:styleId="PiedepginaCar">
    <w:name w:val="Pie de página Car"/>
    <w:basedOn w:val="Fuentedeprrafopredeter"/>
    <w:link w:val="Piedepgina"/>
    <w:uiPriority w:val="99"/>
    <w:rsid w:val="00D1218A"/>
    <w:rPr>
      <w:rFonts w:ascii="Arial" w:eastAsia="Arial" w:hAnsi="Arial" w:cs="Arial"/>
      <w:lang w:val="es-ES" w:eastAsia="es-ES" w:bidi="es-ES"/>
    </w:rPr>
  </w:style>
  <w:style w:type="character" w:customStyle="1" w:styleId="Ttulo3Car">
    <w:name w:val="Título 3 Car"/>
    <w:basedOn w:val="Fuentedeprrafopredeter"/>
    <w:link w:val="Ttulo3"/>
    <w:uiPriority w:val="9"/>
    <w:rsid w:val="004B557A"/>
    <w:rPr>
      <w:rFonts w:asciiTheme="majorHAnsi" w:eastAsiaTheme="majorEastAsia" w:hAnsiTheme="majorHAnsi" w:cstheme="majorBidi"/>
      <w:color w:val="243F60" w:themeColor="accent1" w:themeShade="7F"/>
      <w:sz w:val="24"/>
      <w:szCs w:val="24"/>
      <w:lang w:val="es-ES" w:eastAsia="es-ES" w:bidi="es-ES"/>
    </w:rPr>
  </w:style>
  <w:style w:type="paragraph" w:styleId="TtuloTDC">
    <w:name w:val="TOC Heading"/>
    <w:basedOn w:val="Ttulo1"/>
    <w:next w:val="Normal"/>
    <w:uiPriority w:val="39"/>
    <w:unhideWhenUsed/>
    <w:qFormat/>
    <w:rsid w:val="00862A4F"/>
    <w:pPr>
      <w:widowControl/>
      <w:autoSpaceDE/>
      <w:autoSpaceDN/>
      <w:spacing w:line="259" w:lineRule="auto"/>
      <w:outlineLvl w:val="9"/>
    </w:pPr>
    <w:rPr>
      <w:lang w:bidi="ar-SA"/>
    </w:rPr>
  </w:style>
  <w:style w:type="paragraph" w:styleId="TDC1">
    <w:name w:val="toc 1"/>
    <w:basedOn w:val="Normal"/>
    <w:next w:val="Normal"/>
    <w:autoRedefine/>
    <w:uiPriority w:val="39"/>
    <w:unhideWhenUsed/>
    <w:rsid w:val="00250A86"/>
    <w:pPr>
      <w:tabs>
        <w:tab w:val="right" w:leader="dot" w:pos="8498"/>
      </w:tabs>
      <w:spacing w:after="100"/>
    </w:pPr>
    <w:rPr>
      <w:rFonts w:ascii="Times New Roman" w:hAnsi="Times New Roman" w:cs="Times New Roman"/>
      <w:noProof/>
    </w:rPr>
  </w:style>
  <w:style w:type="paragraph" w:styleId="TDC2">
    <w:name w:val="toc 2"/>
    <w:basedOn w:val="Normal"/>
    <w:next w:val="Normal"/>
    <w:autoRedefine/>
    <w:uiPriority w:val="39"/>
    <w:unhideWhenUsed/>
    <w:rsid w:val="00862A4F"/>
    <w:pPr>
      <w:spacing w:after="100"/>
      <w:ind w:left="220"/>
    </w:pPr>
  </w:style>
  <w:style w:type="paragraph" w:styleId="TDC3">
    <w:name w:val="toc 3"/>
    <w:basedOn w:val="Normal"/>
    <w:next w:val="Normal"/>
    <w:autoRedefine/>
    <w:uiPriority w:val="39"/>
    <w:unhideWhenUsed/>
    <w:rsid w:val="00862A4F"/>
    <w:pPr>
      <w:spacing w:after="100"/>
      <w:ind w:left="440"/>
    </w:pPr>
  </w:style>
  <w:style w:type="character" w:styleId="Hipervnculo">
    <w:name w:val="Hyperlink"/>
    <w:basedOn w:val="Fuentedeprrafopredeter"/>
    <w:uiPriority w:val="99"/>
    <w:unhideWhenUsed/>
    <w:rsid w:val="00862A4F"/>
    <w:rPr>
      <w:color w:val="0000FF" w:themeColor="hyperlink"/>
      <w:u w:val="single"/>
    </w:rPr>
  </w:style>
  <w:style w:type="paragraph" w:styleId="NormalWeb">
    <w:name w:val="Normal (Web)"/>
    <w:basedOn w:val="Normal"/>
    <w:uiPriority w:val="99"/>
    <w:unhideWhenUsed/>
    <w:rsid w:val="00AC452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Bibliografa">
    <w:name w:val="Bibliography"/>
    <w:basedOn w:val="Normal"/>
    <w:next w:val="Normal"/>
    <w:uiPriority w:val="37"/>
    <w:unhideWhenUsed/>
    <w:rsid w:val="003B2B0D"/>
  </w:style>
  <w:style w:type="paragraph" w:styleId="Sinespaciado">
    <w:name w:val="No Spacing"/>
    <w:link w:val="SinespaciadoCar"/>
    <w:uiPriority w:val="1"/>
    <w:qFormat/>
    <w:rsid w:val="00FB5B5B"/>
    <w:pPr>
      <w:widowControl/>
      <w:autoSpaceDE/>
      <w:autoSpaceDN/>
    </w:pPr>
    <w:rPr>
      <w:rFonts w:eastAsiaTheme="minorEastAsia"/>
      <w:lang w:val="es-ES" w:eastAsia="es-ES"/>
    </w:rPr>
  </w:style>
  <w:style w:type="character" w:customStyle="1" w:styleId="SinespaciadoCar">
    <w:name w:val="Sin espaciado Car"/>
    <w:basedOn w:val="Fuentedeprrafopredeter"/>
    <w:link w:val="Sinespaciado"/>
    <w:uiPriority w:val="1"/>
    <w:rsid w:val="00FB5B5B"/>
    <w:rPr>
      <w:rFonts w:eastAsiaTheme="minorEastAsia"/>
      <w:lang w:val="es-ES" w:eastAsia="es-ES"/>
    </w:rPr>
  </w:style>
  <w:style w:type="paragraph" w:styleId="Textonotapie">
    <w:name w:val="footnote text"/>
    <w:basedOn w:val="Normal"/>
    <w:link w:val="TextonotapieCar"/>
    <w:uiPriority w:val="99"/>
    <w:semiHidden/>
    <w:unhideWhenUsed/>
    <w:rsid w:val="00201333"/>
    <w:rPr>
      <w:sz w:val="20"/>
      <w:szCs w:val="20"/>
    </w:rPr>
  </w:style>
  <w:style w:type="character" w:customStyle="1" w:styleId="TextonotapieCar">
    <w:name w:val="Texto nota pie Car"/>
    <w:basedOn w:val="Fuentedeprrafopredeter"/>
    <w:link w:val="Textonotapie"/>
    <w:uiPriority w:val="99"/>
    <w:semiHidden/>
    <w:rsid w:val="00201333"/>
    <w:rPr>
      <w:rFonts w:ascii="Arial" w:eastAsia="Arial" w:hAnsi="Arial" w:cs="Arial"/>
      <w:sz w:val="20"/>
      <w:szCs w:val="20"/>
      <w:lang w:val="es-ES" w:eastAsia="es-ES" w:bidi="es-ES"/>
    </w:rPr>
  </w:style>
  <w:style w:type="character" w:styleId="Refdenotaalpie">
    <w:name w:val="footnote reference"/>
    <w:basedOn w:val="Fuentedeprrafopredeter"/>
    <w:uiPriority w:val="99"/>
    <w:semiHidden/>
    <w:unhideWhenUsed/>
    <w:rsid w:val="00201333"/>
    <w:rPr>
      <w:vertAlign w:val="superscript"/>
    </w:rPr>
  </w:style>
  <w:style w:type="paragraph" w:styleId="Textodeglobo">
    <w:name w:val="Balloon Text"/>
    <w:basedOn w:val="Normal"/>
    <w:link w:val="TextodegloboCar"/>
    <w:uiPriority w:val="99"/>
    <w:semiHidden/>
    <w:unhideWhenUsed/>
    <w:rsid w:val="00947A5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47A5D"/>
    <w:rPr>
      <w:rFonts w:ascii="Segoe UI" w:eastAsia="Arial" w:hAnsi="Segoe UI" w:cs="Segoe UI"/>
      <w:sz w:val="18"/>
      <w:szCs w:val="18"/>
      <w:lang w:val="es-ES" w:eastAsia="es-ES" w:bidi="es-ES"/>
    </w:rPr>
  </w:style>
  <w:style w:type="character" w:styleId="Mencinsinresolver">
    <w:name w:val="Unresolved Mention"/>
    <w:basedOn w:val="Fuentedeprrafopredeter"/>
    <w:uiPriority w:val="99"/>
    <w:semiHidden/>
    <w:unhideWhenUsed/>
    <w:rsid w:val="009111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3560">
      <w:bodyDiv w:val="1"/>
      <w:marLeft w:val="0"/>
      <w:marRight w:val="0"/>
      <w:marTop w:val="0"/>
      <w:marBottom w:val="0"/>
      <w:divBdr>
        <w:top w:val="none" w:sz="0" w:space="0" w:color="auto"/>
        <w:left w:val="none" w:sz="0" w:space="0" w:color="auto"/>
        <w:bottom w:val="none" w:sz="0" w:space="0" w:color="auto"/>
        <w:right w:val="none" w:sz="0" w:space="0" w:color="auto"/>
      </w:divBdr>
    </w:div>
    <w:div w:id="1976669">
      <w:bodyDiv w:val="1"/>
      <w:marLeft w:val="0"/>
      <w:marRight w:val="0"/>
      <w:marTop w:val="0"/>
      <w:marBottom w:val="0"/>
      <w:divBdr>
        <w:top w:val="none" w:sz="0" w:space="0" w:color="auto"/>
        <w:left w:val="none" w:sz="0" w:space="0" w:color="auto"/>
        <w:bottom w:val="none" w:sz="0" w:space="0" w:color="auto"/>
        <w:right w:val="none" w:sz="0" w:space="0" w:color="auto"/>
      </w:divBdr>
    </w:div>
    <w:div w:id="6251280">
      <w:bodyDiv w:val="1"/>
      <w:marLeft w:val="0"/>
      <w:marRight w:val="0"/>
      <w:marTop w:val="0"/>
      <w:marBottom w:val="0"/>
      <w:divBdr>
        <w:top w:val="none" w:sz="0" w:space="0" w:color="auto"/>
        <w:left w:val="none" w:sz="0" w:space="0" w:color="auto"/>
        <w:bottom w:val="none" w:sz="0" w:space="0" w:color="auto"/>
        <w:right w:val="none" w:sz="0" w:space="0" w:color="auto"/>
      </w:divBdr>
    </w:div>
    <w:div w:id="9770006">
      <w:bodyDiv w:val="1"/>
      <w:marLeft w:val="0"/>
      <w:marRight w:val="0"/>
      <w:marTop w:val="0"/>
      <w:marBottom w:val="0"/>
      <w:divBdr>
        <w:top w:val="none" w:sz="0" w:space="0" w:color="auto"/>
        <w:left w:val="none" w:sz="0" w:space="0" w:color="auto"/>
        <w:bottom w:val="none" w:sz="0" w:space="0" w:color="auto"/>
        <w:right w:val="none" w:sz="0" w:space="0" w:color="auto"/>
      </w:divBdr>
    </w:div>
    <w:div w:id="14698313">
      <w:bodyDiv w:val="1"/>
      <w:marLeft w:val="0"/>
      <w:marRight w:val="0"/>
      <w:marTop w:val="0"/>
      <w:marBottom w:val="0"/>
      <w:divBdr>
        <w:top w:val="none" w:sz="0" w:space="0" w:color="auto"/>
        <w:left w:val="none" w:sz="0" w:space="0" w:color="auto"/>
        <w:bottom w:val="none" w:sz="0" w:space="0" w:color="auto"/>
        <w:right w:val="none" w:sz="0" w:space="0" w:color="auto"/>
      </w:divBdr>
    </w:div>
    <w:div w:id="15695549">
      <w:bodyDiv w:val="1"/>
      <w:marLeft w:val="0"/>
      <w:marRight w:val="0"/>
      <w:marTop w:val="0"/>
      <w:marBottom w:val="0"/>
      <w:divBdr>
        <w:top w:val="none" w:sz="0" w:space="0" w:color="auto"/>
        <w:left w:val="none" w:sz="0" w:space="0" w:color="auto"/>
        <w:bottom w:val="none" w:sz="0" w:space="0" w:color="auto"/>
        <w:right w:val="none" w:sz="0" w:space="0" w:color="auto"/>
      </w:divBdr>
    </w:div>
    <w:div w:id="16350093">
      <w:bodyDiv w:val="1"/>
      <w:marLeft w:val="0"/>
      <w:marRight w:val="0"/>
      <w:marTop w:val="0"/>
      <w:marBottom w:val="0"/>
      <w:divBdr>
        <w:top w:val="none" w:sz="0" w:space="0" w:color="auto"/>
        <w:left w:val="none" w:sz="0" w:space="0" w:color="auto"/>
        <w:bottom w:val="none" w:sz="0" w:space="0" w:color="auto"/>
        <w:right w:val="none" w:sz="0" w:space="0" w:color="auto"/>
      </w:divBdr>
    </w:div>
    <w:div w:id="18823396">
      <w:bodyDiv w:val="1"/>
      <w:marLeft w:val="0"/>
      <w:marRight w:val="0"/>
      <w:marTop w:val="0"/>
      <w:marBottom w:val="0"/>
      <w:divBdr>
        <w:top w:val="none" w:sz="0" w:space="0" w:color="auto"/>
        <w:left w:val="none" w:sz="0" w:space="0" w:color="auto"/>
        <w:bottom w:val="none" w:sz="0" w:space="0" w:color="auto"/>
        <w:right w:val="none" w:sz="0" w:space="0" w:color="auto"/>
      </w:divBdr>
    </w:div>
    <w:div w:id="23407976">
      <w:bodyDiv w:val="1"/>
      <w:marLeft w:val="0"/>
      <w:marRight w:val="0"/>
      <w:marTop w:val="0"/>
      <w:marBottom w:val="0"/>
      <w:divBdr>
        <w:top w:val="none" w:sz="0" w:space="0" w:color="auto"/>
        <w:left w:val="none" w:sz="0" w:space="0" w:color="auto"/>
        <w:bottom w:val="none" w:sz="0" w:space="0" w:color="auto"/>
        <w:right w:val="none" w:sz="0" w:space="0" w:color="auto"/>
      </w:divBdr>
    </w:div>
    <w:div w:id="27074407">
      <w:bodyDiv w:val="1"/>
      <w:marLeft w:val="0"/>
      <w:marRight w:val="0"/>
      <w:marTop w:val="0"/>
      <w:marBottom w:val="0"/>
      <w:divBdr>
        <w:top w:val="none" w:sz="0" w:space="0" w:color="auto"/>
        <w:left w:val="none" w:sz="0" w:space="0" w:color="auto"/>
        <w:bottom w:val="none" w:sz="0" w:space="0" w:color="auto"/>
        <w:right w:val="none" w:sz="0" w:space="0" w:color="auto"/>
      </w:divBdr>
    </w:div>
    <w:div w:id="29495096">
      <w:bodyDiv w:val="1"/>
      <w:marLeft w:val="0"/>
      <w:marRight w:val="0"/>
      <w:marTop w:val="0"/>
      <w:marBottom w:val="0"/>
      <w:divBdr>
        <w:top w:val="none" w:sz="0" w:space="0" w:color="auto"/>
        <w:left w:val="none" w:sz="0" w:space="0" w:color="auto"/>
        <w:bottom w:val="none" w:sz="0" w:space="0" w:color="auto"/>
        <w:right w:val="none" w:sz="0" w:space="0" w:color="auto"/>
      </w:divBdr>
    </w:div>
    <w:div w:id="36322378">
      <w:bodyDiv w:val="1"/>
      <w:marLeft w:val="0"/>
      <w:marRight w:val="0"/>
      <w:marTop w:val="0"/>
      <w:marBottom w:val="0"/>
      <w:divBdr>
        <w:top w:val="none" w:sz="0" w:space="0" w:color="auto"/>
        <w:left w:val="none" w:sz="0" w:space="0" w:color="auto"/>
        <w:bottom w:val="none" w:sz="0" w:space="0" w:color="auto"/>
        <w:right w:val="none" w:sz="0" w:space="0" w:color="auto"/>
      </w:divBdr>
    </w:div>
    <w:div w:id="38213095">
      <w:bodyDiv w:val="1"/>
      <w:marLeft w:val="0"/>
      <w:marRight w:val="0"/>
      <w:marTop w:val="0"/>
      <w:marBottom w:val="0"/>
      <w:divBdr>
        <w:top w:val="none" w:sz="0" w:space="0" w:color="auto"/>
        <w:left w:val="none" w:sz="0" w:space="0" w:color="auto"/>
        <w:bottom w:val="none" w:sz="0" w:space="0" w:color="auto"/>
        <w:right w:val="none" w:sz="0" w:space="0" w:color="auto"/>
      </w:divBdr>
    </w:div>
    <w:div w:id="46270925">
      <w:bodyDiv w:val="1"/>
      <w:marLeft w:val="0"/>
      <w:marRight w:val="0"/>
      <w:marTop w:val="0"/>
      <w:marBottom w:val="0"/>
      <w:divBdr>
        <w:top w:val="none" w:sz="0" w:space="0" w:color="auto"/>
        <w:left w:val="none" w:sz="0" w:space="0" w:color="auto"/>
        <w:bottom w:val="none" w:sz="0" w:space="0" w:color="auto"/>
        <w:right w:val="none" w:sz="0" w:space="0" w:color="auto"/>
      </w:divBdr>
    </w:div>
    <w:div w:id="48966744">
      <w:bodyDiv w:val="1"/>
      <w:marLeft w:val="0"/>
      <w:marRight w:val="0"/>
      <w:marTop w:val="0"/>
      <w:marBottom w:val="0"/>
      <w:divBdr>
        <w:top w:val="none" w:sz="0" w:space="0" w:color="auto"/>
        <w:left w:val="none" w:sz="0" w:space="0" w:color="auto"/>
        <w:bottom w:val="none" w:sz="0" w:space="0" w:color="auto"/>
        <w:right w:val="none" w:sz="0" w:space="0" w:color="auto"/>
      </w:divBdr>
    </w:div>
    <w:div w:id="55979964">
      <w:bodyDiv w:val="1"/>
      <w:marLeft w:val="0"/>
      <w:marRight w:val="0"/>
      <w:marTop w:val="0"/>
      <w:marBottom w:val="0"/>
      <w:divBdr>
        <w:top w:val="none" w:sz="0" w:space="0" w:color="auto"/>
        <w:left w:val="none" w:sz="0" w:space="0" w:color="auto"/>
        <w:bottom w:val="none" w:sz="0" w:space="0" w:color="auto"/>
        <w:right w:val="none" w:sz="0" w:space="0" w:color="auto"/>
      </w:divBdr>
    </w:div>
    <w:div w:id="56049890">
      <w:bodyDiv w:val="1"/>
      <w:marLeft w:val="0"/>
      <w:marRight w:val="0"/>
      <w:marTop w:val="0"/>
      <w:marBottom w:val="0"/>
      <w:divBdr>
        <w:top w:val="none" w:sz="0" w:space="0" w:color="auto"/>
        <w:left w:val="none" w:sz="0" w:space="0" w:color="auto"/>
        <w:bottom w:val="none" w:sz="0" w:space="0" w:color="auto"/>
        <w:right w:val="none" w:sz="0" w:space="0" w:color="auto"/>
      </w:divBdr>
    </w:div>
    <w:div w:id="57827499">
      <w:bodyDiv w:val="1"/>
      <w:marLeft w:val="0"/>
      <w:marRight w:val="0"/>
      <w:marTop w:val="0"/>
      <w:marBottom w:val="0"/>
      <w:divBdr>
        <w:top w:val="none" w:sz="0" w:space="0" w:color="auto"/>
        <w:left w:val="none" w:sz="0" w:space="0" w:color="auto"/>
        <w:bottom w:val="none" w:sz="0" w:space="0" w:color="auto"/>
        <w:right w:val="none" w:sz="0" w:space="0" w:color="auto"/>
      </w:divBdr>
    </w:div>
    <w:div w:id="62722075">
      <w:bodyDiv w:val="1"/>
      <w:marLeft w:val="0"/>
      <w:marRight w:val="0"/>
      <w:marTop w:val="0"/>
      <w:marBottom w:val="0"/>
      <w:divBdr>
        <w:top w:val="none" w:sz="0" w:space="0" w:color="auto"/>
        <w:left w:val="none" w:sz="0" w:space="0" w:color="auto"/>
        <w:bottom w:val="none" w:sz="0" w:space="0" w:color="auto"/>
        <w:right w:val="none" w:sz="0" w:space="0" w:color="auto"/>
      </w:divBdr>
    </w:div>
    <w:div w:id="62874750">
      <w:bodyDiv w:val="1"/>
      <w:marLeft w:val="0"/>
      <w:marRight w:val="0"/>
      <w:marTop w:val="0"/>
      <w:marBottom w:val="0"/>
      <w:divBdr>
        <w:top w:val="none" w:sz="0" w:space="0" w:color="auto"/>
        <w:left w:val="none" w:sz="0" w:space="0" w:color="auto"/>
        <w:bottom w:val="none" w:sz="0" w:space="0" w:color="auto"/>
        <w:right w:val="none" w:sz="0" w:space="0" w:color="auto"/>
      </w:divBdr>
    </w:div>
    <w:div w:id="63264470">
      <w:bodyDiv w:val="1"/>
      <w:marLeft w:val="0"/>
      <w:marRight w:val="0"/>
      <w:marTop w:val="0"/>
      <w:marBottom w:val="0"/>
      <w:divBdr>
        <w:top w:val="none" w:sz="0" w:space="0" w:color="auto"/>
        <w:left w:val="none" w:sz="0" w:space="0" w:color="auto"/>
        <w:bottom w:val="none" w:sz="0" w:space="0" w:color="auto"/>
        <w:right w:val="none" w:sz="0" w:space="0" w:color="auto"/>
      </w:divBdr>
    </w:div>
    <w:div w:id="65417542">
      <w:bodyDiv w:val="1"/>
      <w:marLeft w:val="0"/>
      <w:marRight w:val="0"/>
      <w:marTop w:val="0"/>
      <w:marBottom w:val="0"/>
      <w:divBdr>
        <w:top w:val="none" w:sz="0" w:space="0" w:color="auto"/>
        <w:left w:val="none" w:sz="0" w:space="0" w:color="auto"/>
        <w:bottom w:val="none" w:sz="0" w:space="0" w:color="auto"/>
        <w:right w:val="none" w:sz="0" w:space="0" w:color="auto"/>
      </w:divBdr>
    </w:div>
    <w:div w:id="70129501">
      <w:bodyDiv w:val="1"/>
      <w:marLeft w:val="0"/>
      <w:marRight w:val="0"/>
      <w:marTop w:val="0"/>
      <w:marBottom w:val="0"/>
      <w:divBdr>
        <w:top w:val="none" w:sz="0" w:space="0" w:color="auto"/>
        <w:left w:val="none" w:sz="0" w:space="0" w:color="auto"/>
        <w:bottom w:val="none" w:sz="0" w:space="0" w:color="auto"/>
        <w:right w:val="none" w:sz="0" w:space="0" w:color="auto"/>
      </w:divBdr>
    </w:div>
    <w:div w:id="74014839">
      <w:bodyDiv w:val="1"/>
      <w:marLeft w:val="0"/>
      <w:marRight w:val="0"/>
      <w:marTop w:val="0"/>
      <w:marBottom w:val="0"/>
      <w:divBdr>
        <w:top w:val="none" w:sz="0" w:space="0" w:color="auto"/>
        <w:left w:val="none" w:sz="0" w:space="0" w:color="auto"/>
        <w:bottom w:val="none" w:sz="0" w:space="0" w:color="auto"/>
        <w:right w:val="none" w:sz="0" w:space="0" w:color="auto"/>
      </w:divBdr>
    </w:div>
    <w:div w:id="76365035">
      <w:bodyDiv w:val="1"/>
      <w:marLeft w:val="0"/>
      <w:marRight w:val="0"/>
      <w:marTop w:val="0"/>
      <w:marBottom w:val="0"/>
      <w:divBdr>
        <w:top w:val="none" w:sz="0" w:space="0" w:color="auto"/>
        <w:left w:val="none" w:sz="0" w:space="0" w:color="auto"/>
        <w:bottom w:val="none" w:sz="0" w:space="0" w:color="auto"/>
        <w:right w:val="none" w:sz="0" w:space="0" w:color="auto"/>
      </w:divBdr>
    </w:div>
    <w:div w:id="76488357">
      <w:bodyDiv w:val="1"/>
      <w:marLeft w:val="0"/>
      <w:marRight w:val="0"/>
      <w:marTop w:val="0"/>
      <w:marBottom w:val="0"/>
      <w:divBdr>
        <w:top w:val="none" w:sz="0" w:space="0" w:color="auto"/>
        <w:left w:val="none" w:sz="0" w:space="0" w:color="auto"/>
        <w:bottom w:val="none" w:sz="0" w:space="0" w:color="auto"/>
        <w:right w:val="none" w:sz="0" w:space="0" w:color="auto"/>
      </w:divBdr>
    </w:div>
    <w:div w:id="77754453">
      <w:bodyDiv w:val="1"/>
      <w:marLeft w:val="0"/>
      <w:marRight w:val="0"/>
      <w:marTop w:val="0"/>
      <w:marBottom w:val="0"/>
      <w:divBdr>
        <w:top w:val="none" w:sz="0" w:space="0" w:color="auto"/>
        <w:left w:val="none" w:sz="0" w:space="0" w:color="auto"/>
        <w:bottom w:val="none" w:sz="0" w:space="0" w:color="auto"/>
        <w:right w:val="none" w:sz="0" w:space="0" w:color="auto"/>
      </w:divBdr>
    </w:div>
    <w:div w:id="78448215">
      <w:bodyDiv w:val="1"/>
      <w:marLeft w:val="0"/>
      <w:marRight w:val="0"/>
      <w:marTop w:val="0"/>
      <w:marBottom w:val="0"/>
      <w:divBdr>
        <w:top w:val="none" w:sz="0" w:space="0" w:color="auto"/>
        <w:left w:val="none" w:sz="0" w:space="0" w:color="auto"/>
        <w:bottom w:val="none" w:sz="0" w:space="0" w:color="auto"/>
        <w:right w:val="none" w:sz="0" w:space="0" w:color="auto"/>
      </w:divBdr>
    </w:div>
    <w:div w:id="78603987">
      <w:bodyDiv w:val="1"/>
      <w:marLeft w:val="0"/>
      <w:marRight w:val="0"/>
      <w:marTop w:val="0"/>
      <w:marBottom w:val="0"/>
      <w:divBdr>
        <w:top w:val="none" w:sz="0" w:space="0" w:color="auto"/>
        <w:left w:val="none" w:sz="0" w:space="0" w:color="auto"/>
        <w:bottom w:val="none" w:sz="0" w:space="0" w:color="auto"/>
        <w:right w:val="none" w:sz="0" w:space="0" w:color="auto"/>
      </w:divBdr>
    </w:div>
    <w:div w:id="90467762">
      <w:bodyDiv w:val="1"/>
      <w:marLeft w:val="0"/>
      <w:marRight w:val="0"/>
      <w:marTop w:val="0"/>
      <w:marBottom w:val="0"/>
      <w:divBdr>
        <w:top w:val="none" w:sz="0" w:space="0" w:color="auto"/>
        <w:left w:val="none" w:sz="0" w:space="0" w:color="auto"/>
        <w:bottom w:val="none" w:sz="0" w:space="0" w:color="auto"/>
        <w:right w:val="none" w:sz="0" w:space="0" w:color="auto"/>
      </w:divBdr>
    </w:div>
    <w:div w:id="93599885">
      <w:bodyDiv w:val="1"/>
      <w:marLeft w:val="0"/>
      <w:marRight w:val="0"/>
      <w:marTop w:val="0"/>
      <w:marBottom w:val="0"/>
      <w:divBdr>
        <w:top w:val="none" w:sz="0" w:space="0" w:color="auto"/>
        <w:left w:val="none" w:sz="0" w:space="0" w:color="auto"/>
        <w:bottom w:val="none" w:sz="0" w:space="0" w:color="auto"/>
        <w:right w:val="none" w:sz="0" w:space="0" w:color="auto"/>
      </w:divBdr>
    </w:div>
    <w:div w:id="106587598">
      <w:bodyDiv w:val="1"/>
      <w:marLeft w:val="0"/>
      <w:marRight w:val="0"/>
      <w:marTop w:val="0"/>
      <w:marBottom w:val="0"/>
      <w:divBdr>
        <w:top w:val="none" w:sz="0" w:space="0" w:color="auto"/>
        <w:left w:val="none" w:sz="0" w:space="0" w:color="auto"/>
        <w:bottom w:val="none" w:sz="0" w:space="0" w:color="auto"/>
        <w:right w:val="none" w:sz="0" w:space="0" w:color="auto"/>
      </w:divBdr>
    </w:div>
    <w:div w:id="117573973">
      <w:bodyDiv w:val="1"/>
      <w:marLeft w:val="0"/>
      <w:marRight w:val="0"/>
      <w:marTop w:val="0"/>
      <w:marBottom w:val="0"/>
      <w:divBdr>
        <w:top w:val="none" w:sz="0" w:space="0" w:color="auto"/>
        <w:left w:val="none" w:sz="0" w:space="0" w:color="auto"/>
        <w:bottom w:val="none" w:sz="0" w:space="0" w:color="auto"/>
        <w:right w:val="none" w:sz="0" w:space="0" w:color="auto"/>
      </w:divBdr>
    </w:div>
    <w:div w:id="121274076">
      <w:bodyDiv w:val="1"/>
      <w:marLeft w:val="0"/>
      <w:marRight w:val="0"/>
      <w:marTop w:val="0"/>
      <w:marBottom w:val="0"/>
      <w:divBdr>
        <w:top w:val="none" w:sz="0" w:space="0" w:color="auto"/>
        <w:left w:val="none" w:sz="0" w:space="0" w:color="auto"/>
        <w:bottom w:val="none" w:sz="0" w:space="0" w:color="auto"/>
        <w:right w:val="none" w:sz="0" w:space="0" w:color="auto"/>
      </w:divBdr>
    </w:div>
    <w:div w:id="125046199">
      <w:bodyDiv w:val="1"/>
      <w:marLeft w:val="0"/>
      <w:marRight w:val="0"/>
      <w:marTop w:val="0"/>
      <w:marBottom w:val="0"/>
      <w:divBdr>
        <w:top w:val="none" w:sz="0" w:space="0" w:color="auto"/>
        <w:left w:val="none" w:sz="0" w:space="0" w:color="auto"/>
        <w:bottom w:val="none" w:sz="0" w:space="0" w:color="auto"/>
        <w:right w:val="none" w:sz="0" w:space="0" w:color="auto"/>
      </w:divBdr>
    </w:div>
    <w:div w:id="130024984">
      <w:bodyDiv w:val="1"/>
      <w:marLeft w:val="0"/>
      <w:marRight w:val="0"/>
      <w:marTop w:val="0"/>
      <w:marBottom w:val="0"/>
      <w:divBdr>
        <w:top w:val="none" w:sz="0" w:space="0" w:color="auto"/>
        <w:left w:val="none" w:sz="0" w:space="0" w:color="auto"/>
        <w:bottom w:val="none" w:sz="0" w:space="0" w:color="auto"/>
        <w:right w:val="none" w:sz="0" w:space="0" w:color="auto"/>
      </w:divBdr>
    </w:div>
    <w:div w:id="132792713">
      <w:bodyDiv w:val="1"/>
      <w:marLeft w:val="0"/>
      <w:marRight w:val="0"/>
      <w:marTop w:val="0"/>
      <w:marBottom w:val="0"/>
      <w:divBdr>
        <w:top w:val="none" w:sz="0" w:space="0" w:color="auto"/>
        <w:left w:val="none" w:sz="0" w:space="0" w:color="auto"/>
        <w:bottom w:val="none" w:sz="0" w:space="0" w:color="auto"/>
        <w:right w:val="none" w:sz="0" w:space="0" w:color="auto"/>
      </w:divBdr>
    </w:div>
    <w:div w:id="138691178">
      <w:bodyDiv w:val="1"/>
      <w:marLeft w:val="0"/>
      <w:marRight w:val="0"/>
      <w:marTop w:val="0"/>
      <w:marBottom w:val="0"/>
      <w:divBdr>
        <w:top w:val="none" w:sz="0" w:space="0" w:color="auto"/>
        <w:left w:val="none" w:sz="0" w:space="0" w:color="auto"/>
        <w:bottom w:val="none" w:sz="0" w:space="0" w:color="auto"/>
        <w:right w:val="none" w:sz="0" w:space="0" w:color="auto"/>
      </w:divBdr>
    </w:div>
    <w:div w:id="138887465">
      <w:bodyDiv w:val="1"/>
      <w:marLeft w:val="0"/>
      <w:marRight w:val="0"/>
      <w:marTop w:val="0"/>
      <w:marBottom w:val="0"/>
      <w:divBdr>
        <w:top w:val="none" w:sz="0" w:space="0" w:color="auto"/>
        <w:left w:val="none" w:sz="0" w:space="0" w:color="auto"/>
        <w:bottom w:val="none" w:sz="0" w:space="0" w:color="auto"/>
        <w:right w:val="none" w:sz="0" w:space="0" w:color="auto"/>
      </w:divBdr>
    </w:div>
    <w:div w:id="140781494">
      <w:bodyDiv w:val="1"/>
      <w:marLeft w:val="0"/>
      <w:marRight w:val="0"/>
      <w:marTop w:val="0"/>
      <w:marBottom w:val="0"/>
      <w:divBdr>
        <w:top w:val="none" w:sz="0" w:space="0" w:color="auto"/>
        <w:left w:val="none" w:sz="0" w:space="0" w:color="auto"/>
        <w:bottom w:val="none" w:sz="0" w:space="0" w:color="auto"/>
        <w:right w:val="none" w:sz="0" w:space="0" w:color="auto"/>
      </w:divBdr>
    </w:div>
    <w:div w:id="144783575">
      <w:bodyDiv w:val="1"/>
      <w:marLeft w:val="0"/>
      <w:marRight w:val="0"/>
      <w:marTop w:val="0"/>
      <w:marBottom w:val="0"/>
      <w:divBdr>
        <w:top w:val="none" w:sz="0" w:space="0" w:color="auto"/>
        <w:left w:val="none" w:sz="0" w:space="0" w:color="auto"/>
        <w:bottom w:val="none" w:sz="0" w:space="0" w:color="auto"/>
        <w:right w:val="none" w:sz="0" w:space="0" w:color="auto"/>
      </w:divBdr>
    </w:div>
    <w:div w:id="152069243">
      <w:bodyDiv w:val="1"/>
      <w:marLeft w:val="0"/>
      <w:marRight w:val="0"/>
      <w:marTop w:val="0"/>
      <w:marBottom w:val="0"/>
      <w:divBdr>
        <w:top w:val="none" w:sz="0" w:space="0" w:color="auto"/>
        <w:left w:val="none" w:sz="0" w:space="0" w:color="auto"/>
        <w:bottom w:val="none" w:sz="0" w:space="0" w:color="auto"/>
        <w:right w:val="none" w:sz="0" w:space="0" w:color="auto"/>
      </w:divBdr>
    </w:div>
    <w:div w:id="156187829">
      <w:bodyDiv w:val="1"/>
      <w:marLeft w:val="0"/>
      <w:marRight w:val="0"/>
      <w:marTop w:val="0"/>
      <w:marBottom w:val="0"/>
      <w:divBdr>
        <w:top w:val="none" w:sz="0" w:space="0" w:color="auto"/>
        <w:left w:val="none" w:sz="0" w:space="0" w:color="auto"/>
        <w:bottom w:val="none" w:sz="0" w:space="0" w:color="auto"/>
        <w:right w:val="none" w:sz="0" w:space="0" w:color="auto"/>
      </w:divBdr>
    </w:div>
    <w:div w:id="159271547">
      <w:bodyDiv w:val="1"/>
      <w:marLeft w:val="0"/>
      <w:marRight w:val="0"/>
      <w:marTop w:val="0"/>
      <w:marBottom w:val="0"/>
      <w:divBdr>
        <w:top w:val="none" w:sz="0" w:space="0" w:color="auto"/>
        <w:left w:val="none" w:sz="0" w:space="0" w:color="auto"/>
        <w:bottom w:val="none" w:sz="0" w:space="0" w:color="auto"/>
        <w:right w:val="none" w:sz="0" w:space="0" w:color="auto"/>
      </w:divBdr>
    </w:div>
    <w:div w:id="162399483">
      <w:bodyDiv w:val="1"/>
      <w:marLeft w:val="0"/>
      <w:marRight w:val="0"/>
      <w:marTop w:val="0"/>
      <w:marBottom w:val="0"/>
      <w:divBdr>
        <w:top w:val="none" w:sz="0" w:space="0" w:color="auto"/>
        <w:left w:val="none" w:sz="0" w:space="0" w:color="auto"/>
        <w:bottom w:val="none" w:sz="0" w:space="0" w:color="auto"/>
        <w:right w:val="none" w:sz="0" w:space="0" w:color="auto"/>
      </w:divBdr>
    </w:div>
    <w:div w:id="163471003">
      <w:bodyDiv w:val="1"/>
      <w:marLeft w:val="0"/>
      <w:marRight w:val="0"/>
      <w:marTop w:val="0"/>
      <w:marBottom w:val="0"/>
      <w:divBdr>
        <w:top w:val="none" w:sz="0" w:space="0" w:color="auto"/>
        <w:left w:val="none" w:sz="0" w:space="0" w:color="auto"/>
        <w:bottom w:val="none" w:sz="0" w:space="0" w:color="auto"/>
        <w:right w:val="none" w:sz="0" w:space="0" w:color="auto"/>
      </w:divBdr>
    </w:div>
    <w:div w:id="167136298">
      <w:bodyDiv w:val="1"/>
      <w:marLeft w:val="0"/>
      <w:marRight w:val="0"/>
      <w:marTop w:val="0"/>
      <w:marBottom w:val="0"/>
      <w:divBdr>
        <w:top w:val="none" w:sz="0" w:space="0" w:color="auto"/>
        <w:left w:val="none" w:sz="0" w:space="0" w:color="auto"/>
        <w:bottom w:val="none" w:sz="0" w:space="0" w:color="auto"/>
        <w:right w:val="none" w:sz="0" w:space="0" w:color="auto"/>
      </w:divBdr>
    </w:div>
    <w:div w:id="168562674">
      <w:bodyDiv w:val="1"/>
      <w:marLeft w:val="0"/>
      <w:marRight w:val="0"/>
      <w:marTop w:val="0"/>
      <w:marBottom w:val="0"/>
      <w:divBdr>
        <w:top w:val="none" w:sz="0" w:space="0" w:color="auto"/>
        <w:left w:val="none" w:sz="0" w:space="0" w:color="auto"/>
        <w:bottom w:val="none" w:sz="0" w:space="0" w:color="auto"/>
        <w:right w:val="none" w:sz="0" w:space="0" w:color="auto"/>
      </w:divBdr>
    </w:div>
    <w:div w:id="171578226">
      <w:bodyDiv w:val="1"/>
      <w:marLeft w:val="0"/>
      <w:marRight w:val="0"/>
      <w:marTop w:val="0"/>
      <w:marBottom w:val="0"/>
      <w:divBdr>
        <w:top w:val="none" w:sz="0" w:space="0" w:color="auto"/>
        <w:left w:val="none" w:sz="0" w:space="0" w:color="auto"/>
        <w:bottom w:val="none" w:sz="0" w:space="0" w:color="auto"/>
        <w:right w:val="none" w:sz="0" w:space="0" w:color="auto"/>
      </w:divBdr>
    </w:div>
    <w:div w:id="177816276">
      <w:bodyDiv w:val="1"/>
      <w:marLeft w:val="0"/>
      <w:marRight w:val="0"/>
      <w:marTop w:val="0"/>
      <w:marBottom w:val="0"/>
      <w:divBdr>
        <w:top w:val="none" w:sz="0" w:space="0" w:color="auto"/>
        <w:left w:val="none" w:sz="0" w:space="0" w:color="auto"/>
        <w:bottom w:val="none" w:sz="0" w:space="0" w:color="auto"/>
        <w:right w:val="none" w:sz="0" w:space="0" w:color="auto"/>
      </w:divBdr>
    </w:div>
    <w:div w:id="178395162">
      <w:bodyDiv w:val="1"/>
      <w:marLeft w:val="0"/>
      <w:marRight w:val="0"/>
      <w:marTop w:val="0"/>
      <w:marBottom w:val="0"/>
      <w:divBdr>
        <w:top w:val="none" w:sz="0" w:space="0" w:color="auto"/>
        <w:left w:val="none" w:sz="0" w:space="0" w:color="auto"/>
        <w:bottom w:val="none" w:sz="0" w:space="0" w:color="auto"/>
        <w:right w:val="none" w:sz="0" w:space="0" w:color="auto"/>
      </w:divBdr>
    </w:div>
    <w:div w:id="178470975">
      <w:bodyDiv w:val="1"/>
      <w:marLeft w:val="0"/>
      <w:marRight w:val="0"/>
      <w:marTop w:val="0"/>
      <w:marBottom w:val="0"/>
      <w:divBdr>
        <w:top w:val="none" w:sz="0" w:space="0" w:color="auto"/>
        <w:left w:val="none" w:sz="0" w:space="0" w:color="auto"/>
        <w:bottom w:val="none" w:sz="0" w:space="0" w:color="auto"/>
        <w:right w:val="none" w:sz="0" w:space="0" w:color="auto"/>
      </w:divBdr>
    </w:div>
    <w:div w:id="185100234">
      <w:bodyDiv w:val="1"/>
      <w:marLeft w:val="0"/>
      <w:marRight w:val="0"/>
      <w:marTop w:val="0"/>
      <w:marBottom w:val="0"/>
      <w:divBdr>
        <w:top w:val="none" w:sz="0" w:space="0" w:color="auto"/>
        <w:left w:val="none" w:sz="0" w:space="0" w:color="auto"/>
        <w:bottom w:val="none" w:sz="0" w:space="0" w:color="auto"/>
        <w:right w:val="none" w:sz="0" w:space="0" w:color="auto"/>
      </w:divBdr>
    </w:div>
    <w:div w:id="195385478">
      <w:bodyDiv w:val="1"/>
      <w:marLeft w:val="0"/>
      <w:marRight w:val="0"/>
      <w:marTop w:val="0"/>
      <w:marBottom w:val="0"/>
      <w:divBdr>
        <w:top w:val="none" w:sz="0" w:space="0" w:color="auto"/>
        <w:left w:val="none" w:sz="0" w:space="0" w:color="auto"/>
        <w:bottom w:val="none" w:sz="0" w:space="0" w:color="auto"/>
        <w:right w:val="none" w:sz="0" w:space="0" w:color="auto"/>
      </w:divBdr>
    </w:div>
    <w:div w:id="200365458">
      <w:bodyDiv w:val="1"/>
      <w:marLeft w:val="0"/>
      <w:marRight w:val="0"/>
      <w:marTop w:val="0"/>
      <w:marBottom w:val="0"/>
      <w:divBdr>
        <w:top w:val="none" w:sz="0" w:space="0" w:color="auto"/>
        <w:left w:val="none" w:sz="0" w:space="0" w:color="auto"/>
        <w:bottom w:val="none" w:sz="0" w:space="0" w:color="auto"/>
        <w:right w:val="none" w:sz="0" w:space="0" w:color="auto"/>
      </w:divBdr>
    </w:div>
    <w:div w:id="218176972">
      <w:bodyDiv w:val="1"/>
      <w:marLeft w:val="0"/>
      <w:marRight w:val="0"/>
      <w:marTop w:val="0"/>
      <w:marBottom w:val="0"/>
      <w:divBdr>
        <w:top w:val="none" w:sz="0" w:space="0" w:color="auto"/>
        <w:left w:val="none" w:sz="0" w:space="0" w:color="auto"/>
        <w:bottom w:val="none" w:sz="0" w:space="0" w:color="auto"/>
        <w:right w:val="none" w:sz="0" w:space="0" w:color="auto"/>
      </w:divBdr>
    </w:div>
    <w:div w:id="219824185">
      <w:bodyDiv w:val="1"/>
      <w:marLeft w:val="0"/>
      <w:marRight w:val="0"/>
      <w:marTop w:val="0"/>
      <w:marBottom w:val="0"/>
      <w:divBdr>
        <w:top w:val="none" w:sz="0" w:space="0" w:color="auto"/>
        <w:left w:val="none" w:sz="0" w:space="0" w:color="auto"/>
        <w:bottom w:val="none" w:sz="0" w:space="0" w:color="auto"/>
        <w:right w:val="none" w:sz="0" w:space="0" w:color="auto"/>
      </w:divBdr>
    </w:div>
    <w:div w:id="224419017">
      <w:bodyDiv w:val="1"/>
      <w:marLeft w:val="0"/>
      <w:marRight w:val="0"/>
      <w:marTop w:val="0"/>
      <w:marBottom w:val="0"/>
      <w:divBdr>
        <w:top w:val="none" w:sz="0" w:space="0" w:color="auto"/>
        <w:left w:val="none" w:sz="0" w:space="0" w:color="auto"/>
        <w:bottom w:val="none" w:sz="0" w:space="0" w:color="auto"/>
        <w:right w:val="none" w:sz="0" w:space="0" w:color="auto"/>
      </w:divBdr>
    </w:div>
    <w:div w:id="226376529">
      <w:bodyDiv w:val="1"/>
      <w:marLeft w:val="0"/>
      <w:marRight w:val="0"/>
      <w:marTop w:val="0"/>
      <w:marBottom w:val="0"/>
      <w:divBdr>
        <w:top w:val="none" w:sz="0" w:space="0" w:color="auto"/>
        <w:left w:val="none" w:sz="0" w:space="0" w:color="auto"/>
        <w:bottom w:val="none" w:sz="0" w:space="0" w:color="auto"/>
        <w:right w:val="none" w:sz="0" w:space="0" w:color="auto"/>
      </w:divBdr>
    </w:div>
    <w:div w:id="234049019">
      <w:bodyDiv w:val="1"/>
      <w:marLeft w:val="0"/>
      <w:marRight w:val="0"/>
      <w:marTop w:val="0"/>
      <w:marBottom w:val="0"/>
      <w:divBdr>
        <w:top w:val="none" w:sz="0" w:space="0" w:color="auto"/>
        <w:left w:val="none" w:sz="0" w:space="0" w:color="auto"/>
        <w:bottom w:val="none" w:sz="0" w:space="0" w:color="auto"/>
        <w:right w:val="none" w:sz="0" w:space="0" w:color="auto"/>
      </w:divBdr>
    </w:div>
    <w:div w:id="237714712">
      <w:bodyDiv w:val="1"/>
      <w:marLeft w:val="0"/>
      <w:marRight w:val="0"/>
      <w:marTop w:val="0"/>
      <w:marBottom w:val="0"/>
      <w:divBdr>
        <w:top w:val="none" w:sz="0" w:space="0" w:color="auto"/>
        <w:left w:val="none" w:sz="0" w:space="0" w:color="auto"/>
        <w:bottom w:val="none" w:sz="0" w:space="0" w:color="auto"/>
        <w:right w:val="none" w:sz="0" w:space="0" w:color="auto"/>
      </w:divBdr>
    </w:div>
    <w:div w:id="244384059">
      <w:bodyDiv w:val="1"/>
      <w:marLeft w:val="0"/>
      <w:marRight w:val="0"/>
      <w:marTop w:val="0"/>
      <w:marBottom w:val="0"/>
      <w:divBdr>
        <w:top w:val="none" w:sz="0" w:space="0" w:color="auto"/>
        <w:left w:val="none" w:sz="0" w:space="0" w:color="auto"/>
        <w:bottom w:val="none" w:sz="0" w:space="0" w:color="auto"/>
        <w:right w:val="none" w:sz="0" w:space="0" w:color="auto"/>
      </w:divBdr>
    </w:div>
    <w:div w:id="244802639">
      <w:bodyDiv w:val="1"/>
      <w:marLeft w:val="0"/>
      <w:marRight w:val="0"/>
      <w:marTop w:val="0"/>
      <w:marBottom w:val="0"/>
      <w:divBdr>
        <w:top w:val="none" w:sz="0" w:space="0" w:color="auto"/>
        <w:left w:val="none" w:sz="0" w:space="0" w:color="auto"/>
        <w:bottom w:val="none" w:sz="0" w:space="0" w:color="auto"/>
        <w:right w:val="none" w:sz="0" w:space="0" w:color="auto"/>
      </w:divBdr>
    </w:div>
    <w:div w:id="250092367">
      <w:bodyDiv w:val="1"/>
      <w:marLeft w:val="0"/>
      <w:marRight w:val="0"/>
      <w:marTop w:val="0"/>
      <w:marBottom w:val="0"/>
      <w:divBdr>
        <w:top w:val="none" w:sz="0" w:space="0" w:color="auto"/>
        <w:left w:val="none" w:sz="0" w:space="0" w:color="auto"/>
        <w:bottom w:val="none" w:sz="0" w:space="0" w:color="auto"/>
        <w:right w:val="none" w:sz="0" w:space="0" w:color="auto"/>
      </w:divBdr>
    </w:div>
    <w:div w:id="254942755">
      <w:bodyDiv w:val="1"/>
      <w:marLeft w:val="0"/>
      <w:marRight w:val="0"/>
      <w:marTop w:val="0"/>
      <w:marBottom w:val="0"/>
      <w:divBdr>
        <w:top w:val="none" w:sz="0" w:space="0" w:color="auto"/>
        <w:left w:val="none" w:sz="0" w:space="0" w:color="auto"/>
        <w:bottom w:val="none" w:sz="0" w:space="0" w:color="auto"/>
        <w:right w:val="none" w:sz="0" w:space="0" w:color="auto"/>
      </w:divBdr>
    </w:div>
    <w:div w:id="259264356">
      <w:bodyDiv w:val="1"/>
      <w:marLeft w:val="0"/>
      <w:marRight w:val="0"/>
      <w:marTop w:val="0"/>
      <w:marBottom w:val="0"/>
      <w:divBdr>
        <w:top w:val="none" w:sz="0" w:space="0" w:color="auto"/>
        <w:left w:val="none" w:sz="0" w:space="0" w:color="auto"/>
        <w:bottom w:val="none" w:sz="0" w:space="0" w:color="auto"/>
        <w:right w:val="none" w:sz="0" w:space="0" w:color="auto"/>
      </w:divBdr>
    </w:div>
    <w:div w:id="263610362">
      <w:bodyDiv w:val="1"/>
      <w:marLeft w:val="0"/>
      <w:marRight w:val="0"/>
      <w:marTop w:val="0"/>
      <w:marBottom w:val="0"/>
      <w:divBdr>
        <w:top w:val="none" w:sz="0" w:space="0" w:color="auto"/>
        <w:left w:val="none" w:sz="0" w:space="0" w:color="auto"/>
        <w:bottom w:val="none" w:sz="0" w:space="0" w:color="auto"/>
        <w:right w:val="none" w:sz="0" w:space="0" w:color="auto"/>
      </w:divBdr>
    </w:div>
    <w:div w:id="264657205">
      <w:bodyDiv w:val="1"/>
      <w:marLeft w:val="0"/>
      <w:marRight w:val="0"/>
      <w:marTop w:val="0"/>
      <w:marBottom w:val="0"/>
      <w:divBdr>
        <w:top w:val="none" w:sz="0" w:space="0" w:color="auto"/>
        <w:left w:val="none" w:sz="0" w:space="0" w:color="auto"/>
        <w:bottom w:val="none" w:sz="0" w:space="0" w:color="auto"/>
        <w:right w:val="none" w:sz="0" w:space="0" w:color="auto"/>
      </w:divBdr>
    </w:div>
    <w:div w:id="266885813">
      <w:bodyDiv w:val="1"/>
      <w:marLeft w:val="0"/>
      <w:marRight w:val="0"/>
      <w:marTop w:val="0"/>
      <w:marBottom w:val="0"/>
      <w:divBdr>
        <w:top w:val="none" w:sz="0" w:space="0" w:color="auto"/>
        <w:left w:val="none" w:sz="0" w:space="0" w:color="auto"/>
        <w:bottom w:val="none" w:sz="0" w:space="0" w:color="auto"/>
        <w:right w:val="none" w:sz="0" w:space="0" w:color="auto"/>
      </w:divBdr>
    </w:div>
    <w:div w:id="270358461">
      <w:bodyDiv w:val="1"/>
      <w:marLeft w:val="0"/>
      <w:marRight w:val="0"/>
      <w:marTop w:val="0"/>
      <w:marBottom w:val="0"/>
      <w:divBdr>
        <w:top w:val="none" w:sz="0" w:space="0" w:color="auto"/>
        <w:left w:val="none" w:sz="0" w:space="0" w:color="auto"/>
        <w:bottom w:val="none" w:sz="0" w:space="0" w:color="auto"/>
        <w:right w:val="none" w:sz="0" w:space="0" w:color="auto"/>
      </w:divBdr>
    </w:div>
    <w:div w:id="272596634">
      <w:bodyDiv w:val="1"/>
      <w:marLeft w:val="0"/>
      <w:marRight w:val="0"/>
      <w:marTop w:val="0"/>
      <w:marBottom w:val="0"/>
      <w:divBdr>
        <w:top w:val="none" w:sz="0" w:space="0" w:color="auto"/>
        <w:left w:val="none" w:sz="0" w:space="0" w:color="auto"/>
        <w:bottom w:val="none" w:sz="0" w:space="0" w:color="auto"/>
        <w:right w:val="none" w:sz="0" w:space="0" w:color="auto"/>
      </w:divBdr>
    </w:div>
    <w:div w:id="275258159">
      <w:bodyDiv w:val="1"/>
      <w:marLeft w:val="0"/>
      <w:marRight w:val="0"/>
      <w:marTop w:val="0"/>
      <w:marBottom w:val="0"/>
      <w:divBdr>
        <w:top w:val="none" w:sz="0" w:space="0" w:color="auto"/>
        <w:left w:val="none" w:sz="0" w:space="0" w:color="auto"/>
        <w:bottom w:val="none" w:sz="0" w:space="0" w:color="auto"/>
        <w:right w:val="none" w:sz="0" w:space="0" w:color="auto"/>
      </w:divBdr>
    </w:div>
    <w:div w:id="281882525">
      <w:bodyDiv w:val="1"/>
      <w:marLeft w:val="0"/>
      <w:marRight w:val="0"/>
      <w:marTop w:val="0"/>
      <w:marBottom w:val="0"/>
      <w:divBdr>
        <w:top w:val="none" w:sz="0" w:space="0" w:color="auto"/>
        <w:left w:val="none" w:sz="0" w:space="0" w:color="auto"/>
        <w:bottom w:val="none" w:sz="0" w:space="0" w:color="auto"/>
        <w:right w:val="none" w:sz="0" w:space="0" w:color="auto"/>
      </w:divBdr>
    </w:div>
    <w:div w:id="282150936">
      <w:bodyDiv w:val="1"/>
      <w:marLeft w:val="0"/>
      <w:marRight w:val="0"/>
      <w:marTop w:val="0"/>
      <w:marBottom w:val="0"/>
      <w:divBdr>
        <w:top w:val="none" w:sz="0" w:space="0" w:color="auto"/>
        <w:left w:val="none" w:sz="0" w:space="0" w:color="auto"/>
        <w:bottom w:val="none" w:sz="0" w:space="0" w:color="auto"/>
        <w:right w:val="none" w:sz="0" w:space="0" w:color="auto"/>
      </w:divBdr>
    </w:div>
    <w:div w:id="284966205">
      <w:bodyDiv w:val="1"/>
      <w:marLeft w:val="0"/>
      <w:marRight w:val="0"/>
      <w:marTop w:val="0"/>
      <w:marBottom w:val="0"/>
      <w:divBdr>
        <w:top w:val="none" w:sz="0" w:space="0" w:color="auto"/>
        <w:left w:val="none" w:sz="0" w:space="0" w:color="auto"/>
        <w:bottom w:val="none" w:sz="0" w:space="0" w:color="auto"/>
        <w:right w:val="none" w:sz="0" w:space="0" w:color="auto"/>
      </w:divBdr>
    </w:div>
    <w:div w:id="287048836">
      <w:bodyDiv w:val="1"/>
      <w:marLeft w:val="0"/>
      <w:marRight w:val="0"/>
      <w:marTop w:val="0"/>
      <w:marBottom w:val="0"/>
      <w:divBdr>
        <w:top w:val="none" w:sz="0" w:space="0" w:color="auto"/>
        <w:left w:val="none" w:sz="0" w:space="0" w:color="auto"/>
        <w:bottom w:val="none" w:sz="0" w:space="0" w:color="auto"/>
        <w:right w:val="none" w:sz="0" w:space="0" w:color="auto"/>
      </w:divBdr>
    </w:div>
    <w:div w:id="288097393">
      <w:bodyDiv w:val="1"/>
      <w:marLeft w:val="0"/>
      <w:marRight w:val="0"/>
      <w:marTop w:val="0"/>
      <w:marBottom w:val="0"/>
      <w:divBdr>
        <w:top w:val="none" w:sz="0" w:space="0" w:color="auto"/>
        <w:left w:val="none" w:sz="0" w:space="0" w:color="auto"/>
        <w:bottom w:val="none" w:sz="0" w:space="0" w:color="auto"/>
        <w:right w:val="none" w:sz="0" w:space="0" w:color="auto"/>
      </w:divBdr>
    </w:div>
    <w:div w:id="288169048">
      <w:bodyDiv w:val="1"/>
      <w:marLeft w:val="0"/>
      <w:marRight w:val="0"/>
      <w:marTop w:val="0"/>
      <w:marBottom w:val="0"/>
      <w:divBdr>
        <w:top w:val="none" w:sz="0" w:space="0" w:color="auto"/>
        <w:left w:val="none" w:sz="0" w:space="0" w:color="auto"/>
        <w:bottom w:val="none" w:sz="0" w:space="0" w:color="auto"/>
        <w:right w:val="none" w:sz="0" w:space="0" w:color="auto"/>
      </w:divBdr>
    </w:div>
    <w:div w:id="298609711">
      <w:bodyDiv w:val="1"/>
      <w:marLeft w:val="0"/>
      <w:marRight w:val="0"/>
      <w:marTop w:val="0"/>
      <w:marBottom w:val="0"/>
      <w:divBdr>
        <w:top w:val="none" w:sz="0" w:space="0" w:color="auto"/>
        <w:left w:val="none" w:sz="0" w:space="0" w:color="auto"/>
        <w:bottom w:val="none" w:sz="0" w:space="0" w:color="auto"/>
        <w:right w:val="none" w:sz="0" w:space="0" w:color="auto"/>
      </w:divBdr>
    </w:div>
    <w:div w:id="312493982">
      <w:bodyDiv w:val="1"/>
      <w:marLeft w:val="0"/>
      <w:marRight w:val="0"/>
      <w:marTop w:val="0"/>
      <w:marBottom w:val="0"/>
      <w:divBdr>
        <w:top w:val="none" w:sz="0" w:space="0" w:color="auto"/>
        <w:left w:val="none" w:sz="0" w:space="0" w:color="auto"/>
        <w:bottom w:val="none" w:sz="0" w:space="0" w:color="auto"/>
        <w:right w:val="none" w:sz="0" w:space="0" w:color="auto"/>
      </w:divBdr>
    </w:div>
    <w:div w:id="313484620">
      <w:bodyDiv w:val="1"/>
      <w:marLeft w:val="0"/>
      <w:marRight w:val="0"/>
      <w:marTop w:val="0"/>
      <w:marBottom w:val="0"/>
      <w:divBdr>
        <w:top w:val="none" w:sz="0" w:space="0" w:color="auto"/>
        <w:left w:val="none" w:sz="0" w:space="0" w:color="auto"/>
        <w:bottom w:val="none" w:sz="0" w:space="0" w:color="auto"/>
        <w:right w:val="none" w:sz="0" w:space="0" w:color="auto"/>
      </w:divBdr>
    </w:div>
    <w:div w:id="317004432">
      <w:bodyDiv w:val="1"/>
      <w:marLeft w:val="0"/>
      <w:marRight w:val="0"/>
      <w:marTop w:val="0"/>
      <w:marBottom w:val="0"/>
      <w:divBdr>
        <w:top w:val="none" w:sz="0" w:space="0" w:color="auto"/>
        <w:left w:val="none" w:sz="0" w:space="0" w:color="auto"/>
        <w:bottom w:val="none" w:sz="0" w:space="0" w:color="auto"/>
        <w:right w:val="none" w:sz="0" w:space="0" w:color="auto"/>
      </w:divBdr>
    </w:div>
    <w:div w:id="320350069">
      <w:bodyDiv w:val="1"/>
      <w:marLeft w:val="0"/>
      <w:marRight w:val="0"/>
      <w:marTop w:val="0"/>
      <w:marBottom w:val="0"/>
      <w:divBdr>
        <w:top w:val="none" w:sz="0" w:space="0" w:color="auto"/>
        <w:left w:val="none" w:sz="0" w:space="0" w:color="auto"/>
        <w:bottom w:val="none" w:sz="0" w:space="0" w:color="auto"/>
        <w:right w:val="none" w:sz="0" w:space="0" w:color="auto"/>
      </w:divBdr>
    </w:div>
    <w:div w:id="322007416">
      <w:bodyDiv w:val="1"/>
      <w:marLeft w:val="0"/>
      <w:marRight w:val="0"/>
      <w:marTop w:val="0"/>
      <w:marBottom w:val="0"/>
      <w:divBdr>
        <w:top w:val="none" w:sz="0" w:space="0" w:color="auto"/>
        <w:left w:val="none" w:sz="0" w:space="0" w:color="auto"/>
        <w:bottom w:val="none" w:sz="0" w:space="0" w:color="auto"/>
        <w:right w:val="none" w:sz="0" w:space="0" w:color="auto"/>
      </w:divBdr>
    </w:div>
    <w:div w:id="324473895">
      <w:bodyDiv w:val="1"/>
      <w:marLeft w:val="0"/>
      <w:marRight w:val="0"/>
      <w:marTop w:val="0"/>
      <w:marBottom w:val="0"/>
      <w:divBdr>
        <w:top w:val="none" w:sz="0" w:space="0" w:color="auto"/>
        <w:left w:val="none" w:sz="0" w:space="0" w:color="auto"/>
        <w:bottom w:val="none" w:sz="0" w:space="0" w:color="auto"/>
        <w:right w:val="none" w:sz="0" w:space="0" w:color="auto"/>
      </w:divBdr>
    </w:div>
    <w:div w:id="332224505">
      <w:bodyDiv w:val="1"/>
      <w:marLeft w:val="0"/>
      <w:marRight w:val="0"/>
      <w:marTop w:val="0"/>
      <w:marBottom w:val="0"/>
      <w:divBdr>
        <w:top w:val="none" w:sz="0" w:space="0" w:color="auto"/>
        <w:left w:val="none" w:sz="0" w:space="0" w:color="auto"/>
        <w:bottom w:val="none" w:sz="0" w:space="0" w:color="auto"/>
        <w:right w:val="none" w:sz="0" w:space="0" w:color="auto"/>
      </w:divBdr>
    </w:div>
    <w:div w:id="341322016">
      <w:bodyDiv w:val="1"/>
      <w:marLeft w:val="0"/>
      <w:marRight w:val="0"/>
      <w:marTop w:val="0"/>
      <w:marBottom w:val="0"/>
      <w:divBdr>
        <w:top w:val="none" w:sz="0" w:space="0" w:color="auto"/>
        <w:left w:val="none" w:sz="0" w:space="0" w:color="auto"/>
        <w:bottom w:val="none" w:sz="0" w:space="0" w:color="auto"/>
        <w:right w:val="none" w:sz="0" w:space="0" w:color="auto"/>
      </w:divBdr>
    </w:div>
    <w:div w:id="343870306">
      <w:bodyDiv w:val="1"/>
      <w:marLeft w:val="0"/>
      <w:marRight w:val="0"/>
      <w:marTop w:val="0"/>
      <w:marBottom w:val="0"/>
      <w:divBdr>
        <w:top w:val="none" w:sz="0" w:space="0" w:color="auto"/>
        <w:left w:val="none" w:sz="0" w:space="0" w:color="auto"/>
        <w:bottom w:val="none" w:sz="0" w:space="0" w:color="auto"/>
        <w:right w:val="none" w:sz="0" w:space="0" w:color="auto"/>
      </w:divBdr>
    </w:div>
    <w:div w:id="348261890">
      <w:bodyDiv w:val="1"/>
      <w:marLeft w:val="0"/>
      <w:marRight w:val="0"/>
      <w:marTop w:val="0"/>
      <w:marBottom w:val="0"/>
      <w:divBdr>
        <w:top w:val="none" w:sz="0" w:space="0" w:color="auto"/>
        <w:left w:val="none" w:sz="0" w:space="0" w:color="auto"/>
        <w:bottom w:val="none" w:sz="0" w:space="0" w:color="auto"/>
        <w:right w:val="none" w:sz="0" w:space="0" w:color="auto"/>
      </w:divBdr>
    </w:div>
    <w:div w:id="356657280">
      <w:bodyDiv w:val="1"/>
      <w:marLeft w:val="0"/>
      <w:marRight w:val="0"/>
      <w:marTop w:val="0"/>
      <w:marBottom w:val="0"/>
      <w:divBdr>
        <w:top w:val="none" w:sz="0" w:space="0" w:color="auto"/>
        <w:left w:val="none" w:sz="0" w:space="0" w:color="auto"/>
        <w:bottom w:val="none" w:sz="0" w:space="0" w:color="auto"/>
        <w:right w:val="none" w:sz="0" w:space="0" w:color="auto"/>
      </w:divBdr>
    </w:div>
    <w:div w:id="364328990">
      <w:bodyDiv w:val="1"/>
      <w:marLeft w:val="0"/>
      <w:marRight w:val="0"/>
      <w:marTop w:val="0"/>
      <w:marBottom w:val="0"/>
      <w:divBdr>
        <w:top w:val="none" w:sz="0" w:space="0" w:color="auto"/>
        <w:left w:val="none" w:sz="0" w:space="0" w:color="auto"/>
        <w:bottom w:val="none" w:sz="0" w:space="0" w:color="auto"/>
        <w:right w:val="none" w:sz="0" w:space="0" w:color="auto"/>
      </w:divBdr>
    </w:div>
    <w:div w:id="368801247">
      <w:bodyDiv w:val="1"/>
      <w:marLeft w:val="0"/>
      <w:marRight w:val="0"/>
      <w:marTop w:val="0"/>
      <w:marBottom w:val="0"/>
      <w:divBdr>
        <w:top w:val="none" w:sz="0" w:space="0" w:color="auto"/>
        <w:left w:val="none" w:sz="0" w:space="0" w:color="auto"/>
        <w:bottom w:val="none" w:sz="0" w:space="0" w:color="auto"/>
        <w:right w:val="none" w:sz="0" w:space="0" w:color="auto"/>
      </w:divBdr>
    </w:div>
    <w:div w:id="376047367">
      <w:bodyDiv w:val="1"/>
      <w:marLeft w:val="0"/>
      <w:marRight w:val="0"/>
      <w:marTop w:val="0"/>
      <w:marBottom w:val="0"/>
      <w:divBdr>
        <w:top w:val="none" w:sz="0" w:space="0" w:color="auto"/>
        <w:left w:val="none" w:sz="0" w:space="0" w:color="auto"/>
        <w:bottom w:val="none" w:sz="0" w:space="0" w:color="auto"/>
        <w:right w:val="none" w:sz="0" w:space="0" w:color="auto"/>
      </w:divBdr>
    </w:div>
    <w:div w:id="377170720">
      <w:bodyDiv w:val="1"/>
      <w:marLeft w:val="0"/>
      <w:marRight w:val="0"/>
      <w:marTop w:val="0"/>
      <w:marBottom w:val="0"/>
      <w:divBdr>
        <w:top w:val="none" w:sz="0" w:space="0" w:color="auto"/>
        <w:left w:val="none" w:sz="0" w:space="0" w:color="auto"/>
        <w:bottom w:val="none" w:sz="0" w:space="0" w:color="auto"/>
        <w:right w:val="none" w:sz="0" w:space="0" w:color="auto"/>
      </w:divBdr>
    </w:div>
    <w:div w:id="377322151">
      <w:bodyDiv w:val="1"/>
      <w:marLeft w:val="0"/>
      <w:marRight w:val="0"/>
      <w:marTop w:val="0"/>
      <w:marBottom w:val="0"/>
      <w:divBdr>
        <w:top w:val="none" w:sz="0" w:space="0" w:color="auto"/>
        <w:left w:val="none" w:sz="0" w:space="0" w:color="auto"/>
        <w:bottom w:val="none" w:sz="0" w:space="0" w:color="auto"/>
        <w:right w:val="none" w:sz="0" w:space="0" w:color="auto"/>
      </w:divBdr>
    </w:div>
    <w:div w:id="379935636">
      <w:bodyDiv w:val="1"/>
      <w:marLeft w:val="0"/>
      <w:marRight w:val="0"/>
      <w:marTop w:val="0"/>
      <w:marBottom w:val="0"/>
      <w:divBdr>
        <w:top w:val="none" w:sz="0" w:space="0" w:color="auto"/>
        <w:left w:val="none" w:sz="0" w:space="0" w:color="auto"/>
        <w:bottom w:val="none" w:sz="0" w:space="0" w:color="auto"/>
        <w:right w:val="none" w:sz="0" w:space="0" w:color="auto"/>
      </w:divBdr>
    </w:div>
    <w:div w:id="381296630">
      <w:bodyDiv w:val="1"/>
      <w:marLeft w:val="0"/>
      <w:marRight w:val="0"/>
      <w:marTop w:val="0"/>
      <w:marBottom w:val="0"/>
      <w:divBdr>
        <w:top w:val="none" w:sz="0" w:space="0" w:color="auto"/>
        <w:left w:val="none" w:sz="0" w:space="0" w:color="auto"/>
        <w:bottom w:val="none" w:sz="0" w:space="0" w:color="auto"/>
        <w:right w:val="none" w:sz="0" w:space="0" w:color="auto"/>
      </w:divBdr>
    </w:div>
    <w:div w:id="390814141">
      <w:bodyDiv w:val="1"/>
      <w:marLeft w:val="0"/>
      <w:marRight w:val="0"/>
      <w:marTop w:val="0"/>
      <w:marBottom w:val="0"/>
      <w:divBdr>
        <w:top w:val="none" w:sz="0" w:space="0" w:color="auto"/>
        <w:left w:val="none" w:sz="0" w:space="0" w:color="auto"/>
        <w:bottom w:val="none" w:sz="0" w:space="0" w:color="auto"/>
        <w:right w:val="none" w:sz="0" w:space="0" w:color="auto"/>
      </w:divBdr>
    </w:div>
    <w:div w:id="391853347">
      <w:bodyDiv w:val="1"/>
      <w:marLeft w:val="0"/>
      <w:marRight w:val="0"/>
      <w:marTop w:val="0"/>
      <w:marBottom w:val="0"/>
      <w:divBdr>
        <w:top w:val="none" w:sz="0" w:space="0" w:color="auto"/>
        <w:left w:val="none" w:sz="0" w:space="0" w:color="auto"/>
        <w:bottom w:val="none" w:sz="0" w:space="0" w:color="auto"/>
        <w:right w:val="none" w:sz="0" w:space="0" w:color="auto"/>
      </w:divBdr>
    </w:div>
    <w:div w:id="392430159">
      <w:bodyDiv w:val="1"/>
      <w:marLeft w:val="0"/>
      <w:marRight w:val="0"/>
      <w:marTop w:val="0"/>
      <w:marBottom w:val="0"/>
      <w:divBdr>
        <w:top w:val="none" w:sz="0" w:space="0" w:color="auto"/>
        <w:left w:val="none" w:sz="0" w:space="0" w:color="auto"/>
        <w:bottom w:val="none" w:sz="0" w:space="0" w:color="auto"/>
        <w:right w:val="none" w:sz="0" w:space="0" w:color="auto"/>
      </w:divBdr>
    </w:div>
    <w:div w:id="393310233">
      <w:bodyDiv w:val="1"/>
      <w:marLeft w:val="0"/>
      <w:marRight w:val="0"/>
      <w:marTop w:val="0"/>
      <w:marBottom w:val="0"/>
      <w:divBdr>
        <w:top w:val="none" w:sz="0" w:space="0" w:color="auto"/>
        <w:left w:val="none" w:sz="0" w:space="0" w:color="auto"/>
        <w:bottom w:val="none" w:sz="0" w:space="0" w:color="auto"/>
        <w:right w:val="none" w:sz="0" w:space="0" w:color="auto"/>
      </w:divBdr>
    </w:div>
    <w:div w:id="393626466">
      <w:bodyDiv w:val="1"/>
      <w:marLeft w:val="0"/>
      <w:marRight w:val="0"/>
      <w:marTop w:val="0"/>
      <w:marBottom w:val="0"/>
      <w:divBdr>
        <w:top w:val="none" w:sz="0" w:space="0" w:color="auto"/>
        <w:left w:val="none" w:sz="0" w:space="0" w:color="auto"/>
        <w:bottom w:val="none" w:sz="0" w:space="0" w:color="auto"/>
        <w:right w:val="none" w:sz="0" w:space="0" w:color="auto"/>
      </w:divBdr>
    </w:div>
    <w:div w:id="395591415">
      <w:bodyDiv w:val="1"/>
      <w:marLeft w:val="0"/>
      <w:marRight w:val="0"/>
      <w:marTop w:val="0"/>
      <w:marBottom w:val="0"/>
      <w:divBdr>
        <w:top w:val="none" w:sz="0" w:space="0" w:color="auto"/>
        <w:left w:val="none" w:sz="0" w:space="0" w:color="auto"/>
        <w:bottom w:val="none" w:sz="0" w:space="0" w:color="auto"/>
        <w:right w:val="none" w:sz="0" w:space="0" w:color="auto"/>
      </w:divBdr>
    </w:div>
    <w:div w:id="399404863">
      <w:bodyDiv w:val="1"/>
      <w:marLeft w:val="0"/>
      <w:marRight w:val="0"/>
      <w:marTop w:val="0"/>
      <w:marBottom w:val="0"/>
      <w:divBdr>
        <w:top w:val="none" w:sz="0" w:space="0" w:color="auto"/>
        <w:left w:val="none" w:sz="0" w:space="0" w:color="auto"/>
        <w:bottom w:val="none" w:sz="0" w:space="0" w:color="auto"/>
        <w:right w:val="none" w:sz="0" w:space="0" w:color="auto"/>
      </w:divBdr>
    </w:div>
    <w:div w:id="403995438">
      <w:bodyDiv w:val="1"/>
      <w:marLeft w:val="0"/>
      <w:marRight w:val="0"/>
      <w:marTop w:val="0"/>
      <w:marBottom w:val="0"/>
      <w:divBdr>
        <w:top w:val="none" w:sz="0" w:space="0" w:color="auto"/>
        <w:left w:val="none" w:sz="0" w:space="0" w:color="auto"/>
        <w:bottom w:val="none" w:sz="0" w:space="0" w:color="auto"/>
        <w:right w:val="none" w:sz="0" w:space="0" w:color="auto"/>
      </w:divBdr>
    </w:div>
    <w:div w:id="407843594">
      <w:bodyDiv w:val="1"/>
      <w:marLeft w:val="0"/>
      <w:marRight w:val="0"/>
      <w:marTop w:val="0"/>
      <w:marBottom w:val="0"/>
      <w:divBdr>
        <w:top w:val="none" w:sz="0" w:space="0" w:color="auto"/>
        <w:left w:val="none" w:sz="0" w:space="0" w:color="auto"/>
        <w:bottom w:val="none" w:sz="0" w:space="0" w:color="auto"/>
        <w:right w:val="none" w:sz="0" w:space="0" w:color="auto"/>
      </w:divBdr>
    </w:div>
    <w:div w:id="410004655">
      <w:bodyDiv w:val="1"/>
      <w:marLeft w:val="0"/>
      <w:marRight w:val="0"/>
      <w:marTop w:val="0"/>
      <w:marBottom w:val="0"/>
      <w:divBdr>
        <w:top w:val="none" w:sz="0" w:space="0" w:color="auto"/>
        <w:left w:val="none" w:sz="0" w:space="0" w:color="auto"/>
        <w:bottom w:val="none" w:sz="0" w:space="0" w:color="auto"/>
        <w:right w:val="none" w:sz="0" w:space="0" w:color="auto"/>
      </w:divBdr>
    </w:div>
    <w:div w:id="413553455">
      <w:bodyDiv w:val="1"/>
      <w:marLeft w:val="0"/>
      <w:marRight w:val="0"/>
      <w:marTop w:val="0"/>
      <w:marBottom w:val="0"/>
      <w:divBdr>
        <w:top w:val="none" w:sz="0" w:space="0" w:color="auto"/>
        <w:left w:val="none" w:sz="0" w:space="0" w:color="auto"/>
        <w:bottom w:val="none" w:sz="0" w:space="0" w:color="auto"/>
        <w:right w:val="none" w:sz="0" w:space="0" w:color="auto"/>
      </w:divBdr>
    </w:div>
    <w:div w:id="416289393">
      <w:bodyDiv w:val="1"/>
      <w:marLeft w:val="0"/>
      <w:marRight w:val="0"/>
      <w:marTop w:val="0"/>
      <w:marBottom w:val="0"/>
      <w:divBdr>
        <w:top w:val="none" w:sz="0" w:space="0" w:color="auto"/>
        <w:left w:val="none" w:sz="0" w:space="0" w:color="auto"/>
        <w:bottom w:val="none" w:sz="0" w:space="0" w:color="auto"/>
        <w:right w:val="none" w:sz="0" w:space="0" w:color="auto"/>
      </w:divBdr>
    </w:div>
    <w:div w:id="424961509">
      <w:bodyDiv w:val="1"/>
      <w:marLeft w:val="0"/>
      <w:marRight w:val="0"/>
      <w:marTop w:val="0"/>
      <w:marBottom w:val="0"/>
      <w:divBdr>
        <w:top w:val="none" w:sz="0" w:space="0" w:color="auto"/>
        <w:left w:val="none" w:sz="0" w:space="0" w:color="auto"/>
        <w:bottom w:val="none" w:sz="0" w:space="0" w:color="auto"/>
        <w:right w:val="none" w:sz="0" w:space="0" w:color="auto"/>
      </w:divBdr>
    </w:div>
    <w:div w:id="428821090">
      <w:bodyDiv w:val="1"/>
      <w:marLeft w:val="0"/>
      <w:marRight w:val="0"/>
      <w:marTop w:val="0"/>
      <w:marBottom w:val="0"/>
      <w:divBdr>
        <w:top w:val="none" w:sz="0" w:space="0" w:color="auto"/>
        <w:left w:val="none" w:sz="0" w:space="0" w:color="auto"/>
        <w:bottom w:val="none" w:sz="0" w:space="0" w:color="auto"/>
        <w:right w:val="none" w:sz="0" w:space="0" w:color="auto"/>
      </w:divBdr>
    </w:div>
    <w:div w:id="436876668">
      <w:bodyDiv w:val="1"/>
      <w:marLeft w:val="0"/>
      <w:marRight w:val="0"/>
      <w:marTop w:val="0"/>
      <w:marBottom w:val="0"/>
      <w:divBdr>
        <w:top w:val="none" w:sz="0" w:space="0" w:color="auto"/>
        <w:left w:val="none" w:sz="0" w:space="0" w:color="auto"/>
        <w:bottom w:val="none" w:sz="0" w:space="0" w:color="auto"/>
        <w:right w:val="none" w:sz="0" w:space="0" w:color="auto"/>
      </w:divBdr>
    </w:div>
    <w:div w:id="444234756">
      <w:bodyDiv w:val="1"/>
      <w:marLeft w:val="0"/>
      <w:marRight w:val="0"/>
      <w:marTop w:val="0"/>
      <w:marBottom w:val="0"/>
      <w:divBdr>
        <w:top w:val="none" w:sz="0" w:space="0" w:color="auto"/>
        <w:left w:val="none" w:sz="0" w:space="0" w:color="auto"/>
        <w:bottom w:val="none" w:sz="0" w:space="0" w:color="auto"/>
        <w:right w:val="none" w:sz="0" w:space="0" w:color="auto"/>
      </w:divBdr>
    </w:div>
    <w:div w:id="445587857">
      <w:bodyDiv w:val="1"/>
      <w:marLeft w:val="0"/>
      <w:marRight w:val="0"/>
      <w:marTop w:val="0"/>
      <w:marBottom w:val="0"/>
      <w:divBdr>
        <w:top w:val="none" w:sz="0" w:space="0" w:color="auto"/>
        <w:left w:val="none" w:sz="0" w:space="0" w:color="auto"/>
        <w:bottom w:val="none" w:sz="0" w:space="0" w:color="auto"/>
        <w:right w:val="none" w:sz="0" w:space="0" w:color="auto"/>
      </w:divBdr>
    </w:div>
    <w:div w:id="447354941">
      <w:bodyDiv w:val="1"/>
      <w:marLeft w:val="0"/>
      <w:marRight w:val="0"/>
      <w:marTop w:val="0"/>
      <w:marBottom w:val="0"/>
      <w:divBdr>
        <w:top w:val="none" w:sz="0" w:space="0" w:color="auto"/>
        <w:left w:val="none" w:sz="0" w:space="0" w:color="auto"/>
        <w:bottom w:val="none" w:sz="0" w:space="0" w:color="auto"/>
        <w:right w:val="none" w:sz="0" w:space="0" w:color="auto"/>
      </w:divBdr>
    </w:div>
    <w:div w:id="453839345">
      <w:bodyDiv w:val="1"/>
      <w:marLeft w:val="0"/>
      <w:marRight w:val="0"/>
      <w:marTop w:val="0"/>
      <w:marBottom w:val="0"/>
      <w:divBdr>
        <w:top w:val="none" w:sz="0" w:space="0" w:color="auto"/>
        <w:left w:val="none" w:sz="0" w:space="0" w:color="auto"/>
        <w:bottom w:val="none" w:sz="0" w:space="0" w:color="auto"/>
        <w:right w:val="none" w:sz="0" w:space="0" w:color="auto"/>
      </w:divBdr>
    </w:div>
    <w:div w:id="460154036">
      <w:bodyDiv w:val="1"/>
      <w:marLeft w:val="0"/>
      <w:marRight w:val="0"/>
      <w:marTop w:val="0"/>
      <w:marBottom w:val="0"/>
      <w:divBdr>
        <w:top w:val="none" w:sz="0" w:space="0" w:color="auto"/>
        <w:left w:val="none" w:sz="0" w:space="0" w:color="auto"/>
        <w:bottom w:val="none" w:sz="0" w:space="0" w:color="auto"/>
        <w:right w:val="none" w:sz="0" w:space="0" w:color="auto"/>
      </w:divBdr>
    </w:div>
    <w:div w:id="461728037">
      <w:bodyDiv w:val="1"/>
      <w:marLeft w:val="0"/>
      <w:marRight w:val="0"/>
      <w:marTop w:val="0"/>
      <w:marBottom w:val="0"/>
      <w:divBdr>
        <w:top w:val="none" w:sz="0" w:space="0" w:color="auto"/>
        <w:left w:val="none" w:sz="0" w:space="0" w:color="auto"/>
        <w:bottom w:val="none" w:sz="0" w:space="0" w:color="auto"/>
        <w:right w:val="none" w:sz="0" w:space="0" w:color="auto"/>
      </w:divBdr>
    </w:div>
    <w:div w:id="476727855">
      <w:bodyDiv w:val="1"/>
      <w:marLeft w:val="0"/>
      <w:marRight w:val="0"/>
      <w:marTop w:val="0"/>
      <w:marBottom w:val="0"/>
      <w:divBdr>
        <w:top w:val="none" w:sz="0" w:space="0" w:color="auto"/>
        <w:left w:val="none" w:sz="0" w:space="0" w:color="auto"/>
        <w:bottom w:val="none" w:sz="0" w:space="0" w:color="auto"/>
        <w:right w:val="none" w:sz="0" w:space="0" w:color="auto"/>
      </w:divBdr>
    </w:div>
    <w:div w:id="483592954">
      <w:bodyDiv w:val="1"/>
      <w:marLeft w:val="0"/>
      <w:marRight w:val="0"/>
      <w:marTop w:val="0"/>
      <w:marBottom w:val="0"/>
      <w:divBdr>
        <w:top w:val="none" w:sz="0" w:space="0" w:color="auto"/>
        <w:left w:val="none" w:sz="0" w:space="0" w:color="auto"/>
        <w:bottom w:val="none" w:sz="0" w:space="0" w:color="auto"/>
        <w:right w:val="none" w:sz="0" w:space="0" w:color="auto"/>
      </w:divBdr>
    </w:div>
    <w:div w:id="484012529">
      <w:bodyDiv w:val="1"/>
      <w:marLeft w:val="0"/>
      <w:marRight w:val="0"/>
      <w:marTop w:val="0"/>
      <w:marBottom w:val="0"/>
      <w:divBdr>
        <w:top w:val="none" w:sz="0" w:space="0" w:color="auto"/>
        <w:left w:val="none" w:sz="0" w:space="0" w:color="auto"/>
        <w:bottom w:val="none" w:sz="0" w:space="0" w:color="auto"/>
        <w:right w:val="none" w:sz="0" w:space="0" w:color="auto"/>
      </w:divBdr>
    </w:div>
    <w:div w:id="495268582">
      <w:bodyDiv w:val="1"/>
      <w:marLeft w:val="0"/>
      <w:marRight w:val="0"/>
      <w:marTop w:val="0"/>
      <w:marBottom w:val="0"/>
      <w:divBdr>
        <w:top w:val="none" w:sz="0" w:space="0" w:color="auto"/>
        <w:left w:val="none" w:sz="0" w:space="0" w:color="auto"/>
        <w:bottom w:val="none" w:sz="0" w:space="0" w:color="auto"/>
        <w:right w:val="none" w:sz="0" w:space="0" w:color="auto"/>
      </w:divBdr>
    </w:div>
    <w:div w:id="497158312">
      <w:bodyDiv w:val="1"/>
      <w:marLeft w:val="0"/>
      <w:marRight w:val="0"/>
      <w:marTop w:val="0"/>
      <w:marBottom w:val="0"/>
      <w:divBdr>
        <w:top w:val="none" w:sz="0" w:space="0" w:color="auto"/>
        <w:left w:val="none" w:sz="0" w:space="0" w:color="auto"/>
        <w:bottom w:val="none" w:sz="0" w:space="0" w:color="auto"/>
        <w:right w:val="none" w:sz="0" w:space="0" w:color="auto"/>
      </w:divBdr>
    </w:div>
    <w:div w:id="498154810">
      <w:bodyDiv w:val="1"/>
      <w:marLeft w:val="0"/>
      <w:marRight w:val="0"/>
      <w:marTop w:val="0"/>
      <w:marBottom w:val="0"/>
      <w:divBdr>
        <w:top w:val="none" w:sz="0" w:space="0" w:color="auto"/>
        <w:left w:val="none" w:sz="0" w:space="0" w:color="auto"/>
        <w:bottom w:val="none" w:sz="0" w:space="0" w:color="auto"/>
        <w:right w:val="none" w:sz="0" w:space="0" w:color="auto"/>
      </w:divBdr>
    </w:div>
    <w:div w:id="503593227">
      <w:bodyDiv w:val="1"/>
      <w:marLeft w:val="0"/>
      <w:marRight w:val="0"/>
      <w:marTop w:val="0"/>
      <w:marBottom w:val="0"/>
      <w:divBdr>
        <w:top w:val="none" w:sz="0" w:space="0" w:color="auto"/>
        <w:left w:val="none" w:sz="0" w:space="0" w:color="auto"/>
        <w:bottom w:val="none" w:sz="0" w:space="0" w:color="auto"/>
        <w:right w:val="none" w:sz="0" w:space="0" w:color="auto"/>
      </w:divBdr>
    </w:div>
    <w:div w:id="503860257">
      <w:bodyDiv w:val="1"/>
      <w:marLeft w:val="0"/>
      <w:marRight w:val="0"/>
      <w:marTop w:val="0"/>
      <w:marBottom w:val="0"/>
      <w:divBdr>
        <w:top w:val="none" w:sz="0" w:space="0" w:color="auto"/>
        <w:left w:val="none" w:sz="0" w:space="0" w:color="auto"/>
        <w:bottom w:val="none" w:sz="0" w:space="0" w:color="auto"/>
        <w:right w:val="none" w:sz="0" w:space="0" w:color="auto"/>
      </w:divBdr>
    </w:div>
    <w:div w:id="509563031">
      <w:bodyDiv w:val="1"/>
      <w:marLeft w:val="0"/>
      <w:marRight w:val="0"/>
      <w:marTop w:val="0"/>
      <w:marBottom w:val="0"/>
      <w:divBdr>
        <w:top w:val="none" w:sz="0" w:space="0" w:color="auto"/>
        <w:left w:val="none" w:sz="0" w:space="0" w:color="auto"/>
        <w:bottom w:val="none" w:sz="0" w:space="0" w:color="auto"/>
        <w:right w:val="none" w:sz="0" w:space="0" w:color="auto"/>
      </w:divBdr>
    </w:div>
    <w:div w:id="510687474">
      <w:bodyDiv w:val="1"/>
      <w:marLeft w:val="0"/>
      <w:marRight w:val="0"/>
      <w:marTop w:val="0"/>
      <w:marBottom w:val="0"/>
      <w:divBdr>
        <w:top w:val="none" w:sz="0" w:space="0" w:color="auto"/>
        <w:left w:val="none" w:sz="0" w:space="0" w:color="auto"/>
        <w:bottom w:val="none" w:sz="0" w:space="0" w:color="auto"/>
        <w:right w:val="none" w:sz="0" w:space="0" w:color="auto"/>
      </w:divBdr>
    </w:div>
    <w:div w:id="514538865">
      <w:bodyDiv w:val="1"/>
      <w:marLeft w:val="0"/>
      <w:marRight w:val="0"/>
      <w:marTop w:val="0"/>
      <w:marBottom w:val="0"/>
      <w:divBdr>
        <w:top w:val="none" w:sz="0" w:space="0" w:color="auto"/>
        <w:left w:val="none" w:sz="0" w:space="0" w:color="auto"/>
        <w:bottom w:val="none" w:sz="0" w:space="0" w:color="auto"/>
        <w:right w:val="none" w:sz="0" w:space="0" w:color="auto"/>
      </w:divBdr>
    </w:div>
    <w:div w:id="516969343">
      <w:bodyDiv w:val="1"/>
      <w:marLeft w:val="0"/>
      <w:marRight w:val="0"/>
      <w:marTop w:val="0"/>
      <w:marBottom w:val="0"/>
      <w:divBdr>
        <w:top w:val="none" w:sz="0" w:space="0" w:color="auto"/>
        <w:left w:val="none" w:sz="0" w:space="0" w:color="auto"/>
        <w:bottom w:val="none" w:sz="0" w:space="0" w:color="auto"/>
        <w:right w:val="none" w:sz="0" w:space="0" w:color="auto"/>
      </w:divBdr>
    </w:div>
    <w:div w:id="523595246">
      <w:bodyDiv w:val="1"/>
      <w:marLeft w:val="0"/>
      <w:marRight w:val="0"/>
      <w:marTop w:val="0"/>
      <w:marBottom w:val="0"/>
      <w:divBdr>
        <w:top w:val="none" w:sz="0" w:space="0" w:color="auto"/>
        <w:left w:val="none" w:sz="0" w:space="0" w:color="auto"/>
        <w:bottom w:val="none" w:sz="0" w:space="0" w:color="auto"/>
        <w:right w:val="none" w:sz="0" w:space="0" w:color="auto"/>
      </w:divBdr>
    </w:div>
    <w:div w:id="524098553">
      <w:bodyDiv w:val="1"/>
      <w:marLeft w:val="0"/>
      <w:marRight w:val="0"/>
      <w:marTop w:val="0"/>
      <w:marBottom w:val="0"/>
      <w:divBdr>
        <w:top w:val="none" w:sz="0" w:space="0" w:color="auto"/>
        <w:left w:val="none" w:sz="0" w:space="0" w:color="auto"/>
        <w:bottom w:val="none" w:sz="0" w:space="0" w:color="auto"/>
        <w:right w:val="none" w:sz="0" w:space="0" w:color="auto"/>
      </w:divBdr>
    </w:div>
    <w:div w:id="525102291">
      <w:bodyDiv w:val="1"/>
      <w:marLeft w:val="0"/>
      <w:marRight w:val="0"/>
      <w:marTop w:val="0"/>
      <w:marBottom w:val="0"/>
      <w:divBdr>
        <w:top w:val="none" w:sz="0" w:space="0" w:color="auto"/>
        <w:left w:val="none" w:sz="0" w:space="0" w:color="auto"/>
        <w:bottom w:val="none" w:sz="0" w:space="0" w:color="auto"/>
        <w:right w:val="none" w:sz="0" w:space="0" w:color="auto"/>
      </w:divBdr>
    </w:div>
    <w:div w:id="527375653">
      <w:bodyDiv w:val="1"/>
      <w:marLeft w:val="0"/>
      <w:marRight w:val="0"/>
      <w:marTop w:val="0"/>
      <w:marBottom w:val="0"/>
      <w:divBdr>
        <w:top w:val="none" w:sz="0" w:space="0" w:color="auto"/>
        <w:left w:val="none" w:sz="0" w:space="0" w:color="auto"/>
        <w:bottom w:val="none" w:sz="0" w:space="0" w:color="auto"/>
        <w:right w:val="none" w:sz="0" w:space="0" w:color="auto"/>
      </w:divBdr>
    </w:div>
    <w:div w:id="530607352">
      <w:bodyDiv w:val="1"/>
      <w:marLeft w:val="0"/>
      <w:marRight w:val="0"/>
      <w:marTop w:val="0"/>
      <w:marBottom w:val="0"/>
      <w:divBdr>
        <w:top w:val="none" w:sz="0" w:space="0" w:color="auto"/>
        <w:left w:val="none" w:sz="0" w:space="0" w:color="auto"/>
        <w:bottom w:val="none" w:sz="0" w:space="0" w:color="auto"/>
        <w:right w:val="none" w:sz="0" w:space="0" w:color="auto"/>
      </w:divBdr>
    </w:div>
    <w:div w:id="538516862">
      <w:bodyDiv w:val="1"/>
      <w:marLeft w:val="0"/>
      <w:marRight w:val="0"/>
      <w:marTop w:val="0"/>
      <w:marBottom w:val="0"/>
      <w:divBdr>
        <w:top w:val="none" w:sz="0" w:space="0" w:color="auto"/>
        <w:left w:val="none" w:sz="0" w:space="0" w:color="auto"/>
        <w:bottom w:val="none" w:sz="0" w:space="0" w:color="auto"/>
        <w:right w:val="none" w:sz="0" w:space="0" w:color="auto"/>
      </w:divBdr>
    </w:div>
    <w:div w:id="541096077">
      <w:bodyDiv w:val="1"/>
      <w:marLeft w:val="0"/>
      <w:marRight w:val="0"/>
      <w:marTop w:val="0"/>
      <w:marBottom w:val="0"/>
      <w:divBdr>
        <w:top w:val="none" w:sz="0" w:space="0" w:color="auto"/>
        <w:left w:val="none" w:sz="0" w:space="0" w:color="auto"/>
        <w:bottom w:val="none" w:sz="0" w:space="0" w:color="auto"/>
        <w:right w:val="none" w:sz="0" w:space="0" w:color="auto"/>
      </w:divBdr>
    </w:div>
    <w:div w:id="550383618">
      <w:bodyDiv w:val="1"/>
      <w:marLeft w:val="0"/>
      <w:marRight w:val="0"/>
      <w:marTop w:val="0"/>
      <w:marBottom w:val="0"/>
      <w:divBdr>
        <w:top w:val="none" w:sz="0" w:space="0" w:color="auto"/>
        <w:left w:val="none" w:sz="0" w:space="0" w:color="auto"/>
        <w:bottom w:val="none" w:sz="0" w:space="0" w:color="auto"/>
        <w:right w:val="none" w:sz="0" w:space="0" w:color="auto"/>
      </w:divBdr>
    </w:div>
    <w:div w:id="552041032">
      <w:bodyDiv w:val="1"/>
      <w:marLeft w:val="0"/>
      <w:marRight w:val="0"/>
      <w:marTop w:val="0"/>
      <w:marBottom w:val="0"/>
      <w:divBdr>
        <w:top w:val="none" w:sz="0" w:space="0" w:color="auto"/>
        <w:left w:val="none" w:sz="0" w:space="0" w:color="auto"/>
        <w:bottom w:val="none" w:sz="0" w:space="0" w:color="auto"/>
        <w:right w:val="none" w:sz="0" w:space="0" w:color="auto"/>
      </w:divBdr>
    </w:div>
    <w:div w:id="558053369">
      <w:bodyDiv w:val="1"/>
      <w:marLeft w:val="0"/>
      <w:marRight w:val="0"/>
      <w:marTop w:val="0"/>
      <w:marBottom w:val="0"/>
      <w:divBdr>
        <w:top w:val="none" w:sz="0" w:space="0" w:color="auto"/>
        <w:left w:val="none" w:sz="0" w:space="0" w:color="auto"/>
        <w:bottom w:val="none" w:sz="0" w:space="0" w:color="auto"/>
        <w:right w:val="none" w:sz="0" w:space="0" w:color="auto"/>
      </w:divBdr>
    </w:div>
    <w:div w:id="567693388">
      <w:bodyDiv w:val="1"/>
      <w:marLeft w:val="0"/>
      <w:marRight w:val="0"/>
      <w:marTop w:val="0"/>
      <w:marBottom w:val="0"/>
      <w:divBdr>
        <w:top w:val="none" w:sz="0" w:space="0" w:color="auto"/>
        <w:left w:val="none" w:sz="0" w:space="0" w:color="auto"/>
        <w:bottom w:val="none" w:sz="0" w:space="0" w:color="auto"/>
        <w:right w:val="none" w:sz="0" w:space="0" w:color="auto"/>
      </w:divBdr>
    </w:div>
    <w:div w:id="569193643">
      <w:bodyDiv w:val="1"/>
      <w:marLeft w:val="0"/>
      <w:marRight w:val="0"/>
      <w:marTop w:val="0"/>
      <w:marBottom w:val="0"/>
      <w:divBdr>
        <w:top w:val="none" w:sz="0" w:space="0" w:color="auto"/>
        <w:left w:val="none" w:sz="0" w:space="0" w:color="auto"/>
        <w:bottom w:val="none" w:sz="0" w:space="0" w:color="auto"/>
        <w:right w:val="none" w:sz="0" w:space="0" w:color="auto"/>
      </w:divBdr>
    </w:div>
    <w:div w:id="572155661">
      <w:bodyDiv w:val="1"/>
      <w:marLeft w:val="0"/>
      <w:marRight w:val="0"/>
      <w:marTop w:val="0"/>
      <w:marBottom w:val="0"/>
      <w:divBdr>
        <w:top w:val="none" w:sz="0" w:space="0" w:color="auto"/>
        <w:left w:val="none" w:sz="0" w:space="0" w:color="auto"/>
        <w:bottom w:val="none" w:sz="0" w:space="0" w:color="auto"/>
        <w:right w:val="none" w:sz="0" w:space="0" w:color="auto"/>
      </w:divBdr>
    </w:div>
    <w:div w:id="582304983">
      <w:bodyDiv w:val="1"/>
      <w:marLeft w:val="0"/>
      <w:marRight w:val="0"/>
      <w:marTop w:val="0"/>
      <w:marBottom w:val="0"/>
      <w:divBdr>
        <w:top w:val="none" w:sz="0" w:space="0" w:color="auto"/>
        <w:left w:val="none" w:sz="0" w:space="0" w:color="auto"/>
        <w:bottom w:val="none" w:sz="0" w:space="0" w:color="auto"/>
        <w:right w:val="none" w:sz="0" w:space="0" w:color="auto"/>
      </w:divBdr>
    </w:div>
    <w:div w:id="585501480">
      <w:bodyDiv w:val="1"/>
      <w:marLeft w:val="0"/>
      <w:marRight w:val="0"/>
      <w:marTop w:val="0"/>
      <w:marBottom w:val="0"/>
      <w:divBdr>
        <w:top w:val="none" w:sz="0" w:space="0" w:color="auto"/>
        <w:left w:val="none" w:sz="0" w:space="0" w:color="auto"/>
        <w:bottom w:val="none" w:sz="0" w:space="0" w:color="auto"/>
        <w:right w:val="none" w:sz="0" w:space="0" w:color="auto"/>
      </w:divBdr>
    </w:div>
    <w:div w:id="595942411">
      <w:bodyDiv w:val="1"/>
      <w:marLeft w:val="0"/>
      <w:marRight w:val="0"/>
      <w:marTop w:val="0"/>
      <w:marBottom w:val="0"/>
      <w:divBdr>
        <w:top w:val="none" w:sz="0" w:space="0" w:color="auto"/>
        <w:left w:val="none" w:sz="0" w:space="0" w:color="auto"/>
        <w:bottom w:val="none" w:sz="0" w:space="0" w:color="auto"/>
        <w:right w:val="none" w:sz="0" w:space="0" w:color="auto"/>
      </w:divBdr>
    </w:div>
    <w:div w:id="597059577">
      <w:bodyDiv w:val="1"/>
      <w:marLeft w:val="0"/>
      <w:marRight w:val="0"/>
      <w:marTop w:val="0"/>
      <w:marBottom w:val="0"/>
      <w:divBdr>
        <w:top w:val="none" w:sz="0" w:space="0" w:color="auto"/>
        <w:left w:val="none" w:sz="0" w:space="0" w:color="auto"/>
        <w:bottom w:val="none" w:sz="0" w:space="0" w:color="auto"/>
        <w:right w:val="none" w:sz="0" w:space="0" w:color="auto"/>
      </w:divBdr>
    </w:div>
    <w:div w:id="601377792">
      <w:bodyDiv w:val="1"/>
      <w:marLeft w:val="0"/>
      <w:marRight w:val="0"/>
      <w:marTop w:val="0"/>
      <w:marBottom w:val="0"/>
      <w:divBdr>
        <w:top w:val="none" w:sz="0" w:space="0" w:color="auto"/>
        <w:left w:val="none" w:sz="0" w:space="0" w:color="auto"/>
        <w:bottom w:val="none" w:sz="0" w:space="0" w:color="auto"/>
        <w:right w:val="none" w:sz="0" w:space="0" w:color="auto"/>
      </w:divBdr>
    </w:div>
    <w:div w:id="606623100">
      <w:bodyDiv w:val="1"/>
      <w:marLeft w:val="0"/>
      <w:marRight w:val="0"/>
      <w:marTop w:val="0"/>
      <w:marBottom w:val="0"/>
      <w:divBdr>
        <w:top w:val="none" w:sz="0" w:space="0" w:color="auto"/>
        <w:left w:val="none" w:sz="0" w:space="0" w:color="auto"/>
        <w:bottom w:val="none" w:sz="0" w:space="0" w:color="auto"/>
        <w:right w:val="none" w:sz="0" w:space="0" w:color="auto"/>
      </w:divBdr>
    </w:div>
    <w:div w:id="610085398">
      <w:bodyDiv w:val="1"/>
      <w:marLeft w:val="0"/>
      <w:marRight w:val="0"/>
      <w:marTop w:val="0"/>
      <w:marBottom w:val="0"/>
      <w:divBdr>
        <w:top w:val="none" w:sz="0" w:space="0" w:color="auto"/>
        <w:left w:val="none" w:sz="0" w:space="0" w:color="auto"/>
        <w:bottom w:val="none" w:sz="0" w:space="0" w:color="auto"/>
        <w:right w:val="none" w:sz="0" w:space="0" w:color="auto"/>
      </w:divBdr>
    </w:div>
    <w:div w:id="612857739">
      <w:bodyDiv w:val="1"/>
      <w:marLeft w:val="0"/>
      <w:marRight w:val="0"/>
      <w:marTop w:val="0"/>
      <w:marBottom w:val="0"/>
      <w:divBdr>
        <w:top w:val="none" w:sz="0" w:space="0" w:color="auto"/>
        <w:left w:val="none" w:sz="0" w:space="0" w:color="auto"/>
        <w:bottom w:val="none" w:sz="0" w:space="0" w:color="auto"/>
        <w:right w:val="none" w:sz="0" w:space="0" w:color="auto"/>
      </w:divBdr>
    </w:div>
    <w:div w:id="614600734">
      <w:bodyDiv w:val="1"/>
      <w:marLeft w:val="0"/>
      <w:marRight w:val="0"/>
      <w:marTop w:val="0"/>
      <w:marBottom w:val="0"/>
      <w:divBdr>
        <w:top w:val="none" w:sz="0" w:space="0" w:color="auto"/>
        <w:left w:val="none" w:sz="0" w:space="0" w:color="auto"/>
        <w:bottom w:val="none" w:sz="0" w:space="0" w:color="auto"/>
        <w:right w:val="none" w:sz="0" w:space="0" w:color="auto"/>
      </w:divBdr>
    </w:div>
    <w:div w:id="614751193">
      <w:bodyDiv w:val="1"/>
      <w:marLeft w:val="0"/>
      <w:marRight w:val="0"/>
      <w:marTop w:val="0"/>
      <w:marBottom w:val="0"/>
      <w:divBdr>
        <w:top w:val="none" w:sz="0" w:space="0" w:color="auto"/>
        <w:left w:val="none" w:sz="0" w:space="0" w:color="auto"/>
        <w:bottom w:val="none" w:sz="0" w:space="0" w:color="auto"/>
        <w:right w:val="none" w:sz="0" w:space="0" w:color="auto"/>
      </w:divBdr>
    </w:div>
    <w:div w:id="615333674">
      <w:bodyDiv w:val="1"/>
      <w:marLeft w:val="0"/>
      <w:marRight w:val="0"/>
      <w:marTop w:val="0"/>
      <w:marBottom w:val="0"/>
      <w:divBdr>
        <w:top w:val="none" w:sz="0" w:space="0" w:color="auto"/>
        <w:left w:val="none" w:sz="0" w:space="0" w:color="auto"/>
        <w:bottom w:val="none" w:sz="0" w:space="0" w:color="auto"/>
        <w:right w:val="none" w:sz="0" w:space="0" w:color="auto"/>
      </w:divBdr>
    </w:div>
    <w:div w:id="617685997">
      <w:bodyDiv w:val="1"/>
      <w:marLeft w:val="0"/>
      <w:marRight w:val="0"/>
      <w:marTop w:val="0"/>
      <w:marBottom w:val="0"/>
      <w:divBdr>
        <w:top w:val="none" w:sz="0" w:space="0" w:color="auto"/>
        <w:left w:val="none" w:sz="0" w:space="0" w:color="auto"/>
        <w:bottom w:val="none" w:sz="0" w:space="0" w:color="auto"/>
        <w:right w:val="none" w:sz="0" w:space="0" w:color="auto"/>
      </w:divBdr>
    </w:div>
    <w:div w:id="621033368">
      <w:bodyDiv w:val="1"/>
      <w:marLeft w:val="0"/>
      <w:marRight w:val="0"/>
      <w:marTop w:val="0"/>
      <w:marBottom w:val="0"/>
      <w:divBdr>
        <w:top w:val="none" w:sz="0" w:space="0" w:color="auto"/>
        <w:left w:val="none" w:sz="0" w:space="0" w:color="auto"/>
        <w:bottom w:val="none" w:sz="0" w:space="0" w:color="auto"/>
        <w:right w:val="none" w:sz="0" w:space="0" w:color="auto"/>
      </w:divBdr>
    </w:div>
    <w:div w:id="623851006">
      <w:bodyDiv w:val="1"/>
      <w:marLeft w:val="0"/>
      <w:marRight w:val="0"/>
      <w:marTop w:val="0"/>
      <w:marBottom w:val="0"/>
      <w:divBdr>
        <w:top w:val="none" w:sz="0" w:space="0" w:color="auto"/>
        <w:left w:val="none" w:sz="0" w:space="0" w:color="auto"/>
        <w:bottom w:val="none" w:sz="0" w:space="0" w:color="auto"/>
        <w:right w:val="none" w:sz="0" w:space="0" w:color="auto"/>
      </w:divBdr>
    </w:div>
    <w:div w:id="623924606">
      <w:bodyDiv w:val="1"/>
      <w:marLeft w:val="0"/>
      <w:marRight w:val="0"/>
      <w:marTop w:val="0"/>
      <w:marBottom w:val="0"/>
      <w:divBdr>
        <w:top w:val="none" w:sz="0" w:space="0" w:color="auto"/>
        <w:left w:val="none" w:sz="0" w:space="0" w:color="auto"/>
        <w:bottom w:val="none" w:sz="0" w:space="0" w:color="auto"/>
        <w:right w:val="none" w:sz="0" w:space="0" w:color="auto"/>
      </w:divBdr>
    </w:div>
    <w:div w:id="624888828">
      <w:bodyDiv w:val="1"/>
      <w:marLeft w:val="0"/>
      <w:marRight w:val="0"/>
      <w:marTop w:val="0"/>
      <w:marBottom w:val="0"/>
      <w:divBdr>
        <w:top w:val="none" w:sz="0" w:space="0" w:color="auto"/>
        <w:left w:val="none" w:sz="0" w:space="0" w:color="auto"/>
        <w:bottom w:val="none" w:sz="0" w:space="0" w:color="auto"/>
        <w:right w:val="none" w:sz="0" w:space="0" w:color="auto"/>
      </w:divBdr>
    </w:div>
    <w:div w:id="628051393">
      <w:bodyDiv w:val="1"/>
      <w:marLeft w:val="0"/>
      <w:marRight w:val="0"/>
      <w:marTop w:val="0"/>
      <w:marBottom w:val="0"/>
      <w:divBdr>
        <w:top w:val="none" w:sz="0" w:space="0" w:color="auto"/>
        <w:left w:val="none" w:sz="0" w:space="0" w:color="auto"/>
        <w:bottom w:val="none" w:sz="0" w:space="0" w:color="auto"/>
        <w:right w:val="none" w:sz="0" w:space="0" w:color="auto"/>
      </w:divBdr>
    </w:div>
    <w:div w:id="637882738">
      <w:bodyDiv w:val="1"/>
      <w:marLeft w:val="0"/>
      <w:marRight w:val="0"/>
      <w:marTop w:val="0"/>
      <w:marBottom w:val="0"/>
      <w:divBdr>
        <w:top w:val="none" w:sz="0" w:space="0" w:color="auto"/>
        <w:left w:val="none" w:sz="0" w:space="0" w:color="auto"/>
        <w:bottom w:val="none" w:sz="0" w:space="0" w:color="auto"/>
        <w:right w:val="none" w:sz="0" w:space="0" w:color="auto"/>
      </w:divBdr>
    </w:div>
    <w:div w:id="642000759">
      <w:bodyDiv w:val="1"/>
      <w:marLeft w:val="0"/>
      <w:marRight w:val="0"/>
      <w:marTop w:val="0"/>
      <w:marBottom w:val="0"/>
      <w:divBdr>
        <w:top w:val="none" w:sz="0" w:space="0" w:color="auto"/>
        <w:left w:val="none" w:sz="0" w:space="0" w:color="auto"/>
        <w:bottom w:val="none" w:sz="0" w:space="0" w:color="auto"/>
        <w:right w:val="none" w:sz="0" w:space="0" w:color="auto"/>
      </w:divBdr>
    </w:div>
    <w:div w:id="648096975">
      <w:bodyDiv w:val="1"/>
      <w:marLeft w:val="0"/>
      <w:marRight w:val="0"/>
      <w:marTop w:val="0"/>
      <w:marBottom w:val="0"/>
      <w:divBdr>
        <w:top w:val="none" w:sz="0" w:space="0" w:color="auto"/>
        <w:left w:val="none" w:sz="0" w:space="0" w:color="auto"/>
        <w:bottom w:val="none" w:sz="0" w:space="0" w:color="auto"/>
        <w:right w:val="none" w:sz="0" w:space="0" w:color="auto"/>
      </w:divBdr>
    </w:div>
    <w:div w:id="657152498">
      <w:bodyDiv w:val="1"/>
      <w:marLeft w:val="0"/>
      <w:marRight w:val="0"/>
      <w:marTop w:val="0"/>
      <w:marBottom w:val="0"/>
      <w:divBdr>
        <w:top w:val="none" w:sz="0" w:space="0" w:color="auto"/>
        <w:left w:val="none" w:sz="0" w:space="0" w:color="auto"/>
        <w:bottom w:val="none" w:sz="0" w:space="0" w:color="auto"/>
        <w:right w:val="none" w:sz="0" w:space="0" w:color="auto"/>
      </w:divBdr>
    </w:div>
    <w:div w:id="659384355">
      <w:bodyDiv w:val="1"/>
      <w:marLeft w:val="0"/>
      <w:marRight w:val="0"/>
      <w:marTop w:val="0"/>
      <w:marBottom w:val="0"/>
      <w:divBdr>
        <w:top w:val="none" w:sz="0" w:space="0" w:color="auto"/>
        <w:left w:val="none" w:sz="0" w:space="0" w:color="auto"/>
        <w:bottom w:val="none" w:sz="0" w:space="0" w:color="auto"/>
        <w:right w:val="none" w:sz="0" w:space="0" w:color="auto"/>
      </w:divBdr>
    </w:div>
    <w:div w:id="660504510">
      <w:bodyDiv w:val="1"/>
      <w:marLeft w:val="0"/>
      <w:marRight w:val="0"/>
      <w:marTop w:val="0"/>
      <w:marBottom w:val="0"/>
      <w:divBdr>
        <w:top w:val="none" w:sz="0" w:space="0" w:color="auto"/>
        <w:left w:val="none" w:sz="0" w:space="0" w:color="auto"/>
        <w:bottom w:val="none" w:sz="0" w:space="0" w:color="auto"/>
        <w:right w:val="none" w:sz="0" w:space="0" w:color="auto"/>
      </w:divBdr>
    </w:div>
    <w:div w:id="662781725">
      <w:bodyDiv w:val="1"/>
      <w:marLeft w:val="0"/>
      <w:marRight w:val="0"/>
      <w:marTop w:val="0"/>
      <w:marBottom w:val="0"/>
      <w:divBdr>
        <w:top w:val="none" w:sz="0" w:space="0" w:color="auto"/>
        <w:left w:val="none" w:sz="0" w:space="0" w:color="auto"/>
        <w:bottom w:val="none" w:sz="0" w:space="0" w:color="auto"/>
        <w:right w:val="none" w:sz="0" w:space="0" w:color="auto"/>
      </w:divBdr>
    </w:div>
    <w:div w:id="668096089">
      <w:bodyDiv w:val="1"/>
      <w:marLeft w:val="0"/>
      <w:marRight w:val="0"/>
      <w:marTop w:val="0"/>
      <w:marBottom w:val="0"/>
      <w:divBdr>
        <w:top w:val="none" w:sz="0" w:space="0" w:color="auto"/>
        <w:left w:val="none" w:sz="0" w:space="0" w:color="auto"/>
        <w:bottom w:val="none" w:sz="0" w:space="0" w:color="auto"/>
        <w:right w:val="none" w:sz="0" w:space="0" w:color="auto"/>
      </w:divBdr>
    </w:div>
    <w:div w:id="668673856">
      <w:bodyDiv w:val="1"/>
      <w:marLeft w:val="0"/>
      <w:marRight w:val="0"/>
      <w:marTop w:val="0"/>
      <w:marBottom w:val="0"/>
      <w:divBdr>
        <w:top w:val="none" w:sz="0" w:space="0" w:color="auto"/>
        <w:left w:val="none" w:sz="0" w:space="0" w:color="auto"/>
        <w:bottom w:val="none" w:sz="0" w:space="0" w:color="auto"/>
        <w:right w:val="none" w:sz="0" w:space="0" w:color="auto"/>
      </w:divBdr>
    </w:div>
    <w:div w:id="688406866">
      <w:bodyDiv w:val="1"/>
      <w:marLeft w:val="0"/>
      <w:marRight w:val="0"/>
      <w:marTop w:val="0"/>
      <w:marBottom w:val="0"/>
      <w:divBdr>
        <w:top w:val="none" w:sz="0" w:space="0" w:color="auto"/>
        <w:left w:val="none" w:sz="0" w:space="0" w:color="auto"/>
        <w:bottom w:val="none" w:sz="0" w:space="0" w:color="auto"/>
        <w:right w:val="none" w:sz="0" w:space="0" w:color="auto"/>
      </w:divBdr>
    </w:div>
    <w:div w:id="692611705">
      <w:bodyDiv w:val="1"/>
      <w:marLeft w:val="0"/>
      <w:marRight w:val="0"/>
      <w:marTop w:val="0"/>
      <w:marBottom w:val="0"/>
      <w:divBdr>
        <w:top w:val="none" w:sz="0" w:space="0" w:color="auto"/>
        <w:left w:val="none" w:sz="0" w:space="0" w:color="auto"/>
        <w:bottom w:val="none" w:sz="0" w:space="0" w:color="auto"/>
        <w:right w:val="none" w:sz="0" w:space="0" w:color="auto"/>
      </w:divBdr>
    </w:div>
    <w:div w:id="694841334">
      <w:bodyDiv w:val="1"/>
      <w:marLeft w:val="0"/>
      <w:marRight w:val="0"/>
      <w:marTop w:val="0"/>
      <w:marBottom w:val="0"/>
      <w:divBdr>
        <w:top w:val="none" w:sz="0" w:space="0" w:color="auto"/>
        <w:left w:val="none" w:sz="0" w:space="0" w:color="auto"/>
        <w:bottom w:val="none" w:sz="0" w:space="0" w:color="auto"/>
        <w:right w:val="none" w:sz="0" w:space="0" w:color="auto"/>
      </w:divBdr>
    </w:div>
    <w:div w:id="704524024">
      <w:bodyDiv w:val="1"/>
      <w:marLeft w:val="0"/>
      <w:marRight w:val="0"/>
      <w:marTop w:val="0"/>
      <w:marBottom w:val="0"/>
      <w:divBdr>
        <w:top w:val="none" w:sz="0" w:space="0" w:color="auto"/>
        <w:left w:val="none" w:sz="0" w:space="0" w:color="auto"/>
        <w:bottom w:val="none" w:sz="0" w:space="0" w:color="auto"/>
        <w:right w:val="none" w:sz="0" w:space="0" w:color="auto"/>
      </w:divBdr>
    </w:div>
    <w:div w:id="710226290">
      <w:bodyDiv w:val="1"/>
      <w:marLeft w:val="0"/>
      <w:marRight w:val="0"/>
      <w:marTop w:val="0"/>
      <w:marBottom w:val="0"/>
      <w:divBdr>
        <w:top w:val="none" w:sz="0" w:space="0" w:color="auto"/>
        <w:left w:val="none" w:sz="0" w:space="0" w:color="auto"/>
        <w:bottom w:val="none" w:sz="0" w:space="0" w:color="auto"/>
        <w:right w:val="none" w:sz="0" w:space="0" w:color="auto"/>
      </w:divBdr>
    </w:div>
    <w:div w:id="727385949">
      <w:bodyDiv w:val="1"/>
      <w:marLeft w:val="0"/>
      <w:marRight w:val="0"/>
      <w:marTop w:val="0"/>
      <w:marBottom w:val="0"/>
      <w:divBdr>
        <w:top w:val="none" w:sz="0" w:space="0" w:color="auto"/>
        <w:left w:val="none" w:sz="0" w:space="0" w:color="auto"/>
        <w:bottom w:val="none" w:sz="0" w:space="0" w:color="auto"/>
        <w:right w:val="none" w:sz="0" w:space="0" w:color="auto"/>
      </w:divBdr>
    </w:div>
    <w:div w:id="729035514">
      <w:bodyDiv w:val="1"/>
      <w:marLeft w:val="0"/>
      <w:marRight w:val="0"/>
      <w:marTop w:val="0"/>
      <w:marBottom w:val="0"/>
      <w:divBdr>
        <w:top w:val="none" w:sz="0" w:space="0" w:color="auto"/>
        <w:left w:val="none" w:sz="0" w:space="0" w:color="auto"/>
        <w:bottom w:val="none" w:sz="0" w:space="0" w:color="auto"/>
        <w:right w:val="none" w:sz="0" w:space="0" w:color="auto"/>
      </w:divBdr>
    </w:div>
    <w:div w:id="735468041">
      <w:bodyDiv w:val="1"/>
      <w:marLeft w:val="0"/>
      <w:marRight w:val="0"/>
      <w:marTop w:val="0"/>
      <w:marBottom w:val="0"/>
      <w:divBdr>
        <w:top w:val="none" w:sz="0" w:space="0" w:color="auto"/>
        <w:left w:val="none" w:sz="0" w:space="0" w:color="auto"/>
        <w:bottom w:val="none" w:sz="0" w:space="0" w:color="auto"/>
        <w:right w:val="none" w:sz="0" w:space="0" w:color="auto"/>
      </w:divBdr>
    </w:div>
    <w:div w:id="746537809">
      <w:bodyDiv w:val="1"/>
      <w:marLeft w:val="0"/>
      <w:marRight w:val="0"/>
      <w:marTop w:val="0"/>
      <w:marBottom w:val="0"/>
      <w:divBdr>
        <w:top w:val="none" w:sz="0" w:space="0" w:color="auto"/>
        <w:left w:val="none" w:sz="0" w:space="0" w:color="auto"/>
        <w:bottom w:val="none" w:sz="0" w:space="0" w:color="auto"/>
        <w:right w:val="none" w:sz="0" w:space="0" w:color="auto"/>
      </w:divBdr>
    </w:div>
    <w:div w:id="747114898">
      <w:bodyDiv w:val="1"/>
      <w:marLeft w:val="0"/>
      <w:marRight w:val="0"/>
      <w:marTop w:val="0"/>
      <w:marBottom w:val="0"/>
      <w:divBdr>
        <w:top w:val="none" w:sz="0" w:space="0" w:color="auto"/>
        <w:left w:val="none" w:sz="0" w:space="0" w:color="auto"/>
        <w:bottom w:val="none" w:sz="0" w:space="0" w:color="auto"/>
        <w:right w:val="none" w:sz="0" w:space="0" w:color="auto"/>
      </w:divBdr>
    </w:div>
    <w:div w:id="765274591">
      <w:bodyDiv w:val="1"/>
      <w:marLeft w:val="0"/>
      <w:marRight w:val="0"/>
      <w:marTop w:val="0"/>
      <w:marBottom w:val="0"/>
      <w:divBdr>
        <w:top w:val="none" w:sz="0" w:space="0" w:color="auto"/>
        <w:left w:val="none" w:sz="0" w:space="0" w:color="auto"/>
        <w:bottom w:val="none" w:sz="0" w:space="0" w:color="auto"/>
        <w:right w:val="none" w:sz="0" w:space="0" w:color="auto"/>
      </w:divBdr>
    </w:div>
    <w:div w:id="768309487">
      <w:bodyDiv w:val="1"/>
      <w:marLeft w:val="0"/>
      <w:marRight w:val="0"/>
      <w:marTop w:val="0"/>
      <w:marBottom w:val="0"/>
      <w:divBdr>
        <w:top w:val="none" w:sz="0" w:space="0" w:color="auto"/>
        <w:left w:val="none" w:sz="0" w:space="0" w:color="auto"/>
        <w:bottom w:val="none" w:sz="0" w:space="0" w:color="auto"/>
        <w:right w:val="none" w:sz="0" w:space="0" w:color="auto"/>
      </w:divBdr>
    </w:div>
    <w:div w:id="771053348">
      <w:bodyDiv w:val="1"/>
      <w:marLeft w:val="0"/>
      <w:marRight w:val="0"/>
      <w:marTop w:val="0"/>
      <w:marBottom w:val="0"/>
      <w:divBdr>
        <w:top w:val="none" w:sz="0" w:space="0" w:color="auto"/>
        <w:left w:val="none" w:sz="0" w:space="0" w:color="auto"/>
        <w:bottom w:val="none" w:sz="0" w:space="0" w:color="auto"/>
        <w:right w:val="none" w:sz="0" w:space="0" w:color="auto"/>
      </w:divBdr>
    </w:div>
    <w:div w:id="776410722">
      <w:bodyDiv w:val="1"/>
      <w:marLeft w:val="0"/>
      <w:marRight w:val="0"/>
      <w:marTop w:val="0"/>
      <w:marBottom w:val="0"/>
      <w:divBdr>
        <w:top w:val="none" w:sz="0" w:space="0" w:color="auto"/>
        <w:left w:val="none" w:sz="0" w:space="0" w:color="auto"/>
        <w:bottom w:val="none" w:sz="0" w:space="0" w:color="auto"/>
        <w:right w:val="none" w:sz="0" w:space="0" w:color="auto"/>
      </w:divBdr>
    </w:div>
    <w:div w:id="778837660">
      <w:bodyDiv w:val="1"/>
      <w:marLeft w:val="0"/>
      <w:marRight w:val="0"/>
      <w:marTop w:val="0"/>
      <w:marBottom w:val="0"/>
      <w:divBdr>
        <w:top w:val="none" w:sz="0" w:space="0" w:color="auto"/>
        <w:left w:val="none" w:sz="0" w:space="0" w:color="auto"/>
        <w:bottom w:val="none" w:sz="0" w:space="0" w:color="auto"/>
        <w:right w:val="none" w:sz="0" w:space="0" w:color="auto"/>
      </w:divBdr>
    </w:div>
    <w:div w:id="783185364">
      <w:bodyDiv w:val="1"/>
      <w:marLeft w:val="0"/>
      <w:marRight w:val="0"/>
      <w:marTop w:val="0"/>
      <w:marBottom w:val="0"/>
      <w:divBdr>
        <w:top w:val="none" w:sz="0" w:space="0" w:color="auto"/>
        <w:left w:val="none" w:sz="0" w:space="0" w:color="auto"/>
        <w:bottom w:val="none" w:sz="0" w:space="0" w:color="auto"/>
        <w:right w:val="none" w:sz="0" w:space="0" w:color="auto"/>
      </w:divBdr>
    </w:div>
    <w:div w:id="785388636">
      <w:bodyDiv w:val="1"/>
      <w:marLeft w:val="0"/>
      <w:marRight w:val="0"/>
      <w:marTop w:val="0"/>
      <w:marBottom w:val="0"/>
      <w:divBdr>
        <w:top w:val="none" w:sz="0" w:space="0" w:color="auto"/>
        <w:left w:val="none" w:sz="0" w:space="0" w:color="auto"/>
        <w:bottom w:val="none" w:sz="0" w:space="0" w:color="auto"/>
        <w:right w:val="none" w:sz="0" w:space="0" w:color="auto"/>
      </w:divBdr>
    </w:div>
    <w:div w:id="786240139">
      <w:bodyDiv w:val="1"/>
      <w:marLeft w:val="0"/>
      <w:marRight w:val="0"/>
      <w:marTop w:val="0"/>
      <w:marBottom w:val="0"/>
      <w:divBdr>
        <w:top w:val="none" w:sz="0" w:space="0" w:color="auto"/>
        <w:left w:val="none" w:sz="0" w:space="0" w:color="auto"/>
        <w:bottom w:val="none" w:sz="0" w:space="0" w:color="auto"/>
        <w:right w:val="none" w:sz="0" w:space="0" w:color="auto"/>
      </w:divBdr>
    </w:div>
    <w:div w:id="788092022">
      <w:bodyDiv w:val="1"/>
      <w:marLeft w:val="0"/>
      <w:marRight w:val="0"/>
      <w:marTop w:val="0"/>
      <w:marBottom w:val="0"/>
      <w:divBdr>
        <w:top w:val="none" w:sz="0" w:space="0" w:color="auto"/>
        <w:left w:val="none" w:sz="0" w:space="0" w:color="auto"/>
        <w:bottom w:val="none" w:sz="0" w:space="0" w:color="auto"/>
        <w:right w:val="none" w:sz="0" w:space="0" w:color="auto"/>
      </w:divBdr>
    </w:div>
    <w:div w:id="793594180">
      <w:bodyDiv w:val="1"/>
      <w:marLeft w:val="0"/>
      <w:marRight w:val="0"/>
      <w:marTop w:val="0"/>
      <w:marBottom w:val="0"/>
      <w:divBdr>
        <w:top w:val="none" w:sz="0" w:space="0" w:color="auto"/>
        <w:left w:val="none" w:sz="0" w:space="0" w:color="auto"/>
        <w:bottom w:val="none" w:sz="0" w:space="0" w:color="auto"/>
        <w:right w:val="none" w:sz="0" w:space="0" w:color="auto"/>
      </w:divBdr>
    </w:div>
    <w:div w:id="799303765">
      <w:bodyDiv w:val="1"/>
      <w:marLeft w:val="0"/>
      <w:marRight w:val="0"/>
      <w:marTop w:val="0"/>
      <w:marBottom w:val="0"/>
      <w:divBdr>
        <w:top w:val="none" w:sz="0" w:space="0" w:color="auto"/>
        <w:left w:val="none" w:sz="0" w:space="0" w:color="auto"/>
        <w:bottom w:val="none" w:sz="0" w:space="0" w:color="auto"/>
        <w:right w:val="none" w:sz="0" w:space="0" w:color="auto"/>
      </w:divBdr>
    </w:div>
    <w:div w:id="800536104">
      <w:bodyDiv w:val="1"/>
      <w:marLeft w:val="0"/>
      <w:marRight w:val="0"/>
      <w:marTop w:val="0"/>
      <w:marBottom w:val="0"/>
      <w:divBdr>
        <w:top w:val="none" w:sz="0" w:space="0" w:color="auto"/>
        <w:left w:val="none" w:sz="0" w:space="0" w:color="auto"/>
        <w:bottom w:val="none" w:sz="0" w:space="0" w:color="auto"/>
        <w:right w:val="none" w:sz="0" w:space="0" w:color="auto"/>
      </w:divBdr>
    </w:div>
    <w:div w:id="807284927">
      <w:bodyDiv w:val="1"/>
      <w:marLeft w:val="0"/>
      <w:marRight w:val="0"/>
      <w:marTop w:val="0"/>
      <w:marBottom w:val="0"/>
      <w:divBdr>
        <w:top w:val="none" w:sz="0" w:space="0" w:color="auto"/>
        <w:left w:val="none" w:sz="0" w:space="0" w:color="auto"/>
        <w:bottom w:val="none" w:sz="0" w:space="0" w:color="auto"/>
        <w:right w:val="none" w:sz="0" w:space="0" w:color="auto"/>
      </w:divBdr>
    </w:div>
    <w:div w:id="818688262">
      <w:bodyDiv w:val="1"/>
      <w:marLeft w:val="0"/>
      <w:marRight w:val="0"/>
      <w:marTop w:val="0"/>
      <w:marBottom w:val="0"/>
      <w:divBdr>
        <w:top w:val="none" w:sz="0" w:space="0" w:color="auto"/>
        <w:left w:val="none" w:sz="0" w:space="0" w:color="auto"/>
        <w:bottom w:val="none" w:sz="0" w:space="0" w:color="auto"/>
        <w:right w:val="none" w:sz="0" w:space="0" w:color="auto"/>
      </w:divBdr>
    </w:div>
    <w:div w:id="819082093">
      <w:bodyDiv w:val="1"/>
      <w:marLeft w:val="0"/>
      <w:marRight w:val="0"/>
      <w:marTop w:val="0"/>
      <w:marBottom w:val="0"/>
      <w:divBdr>
        <w:top w:val="none" w:sz="0" w:space="0" w:color="auto"/>
        <w:left w:val="none" w:sz="0" w:space="0" w:color="auto"/>
        <w:bottom w:val="none" w:sz="0" w:space="0" w:color="auto"/>
        <w:right w:val="none" w:sz="0" w:space="0" w:color="auto"/>
      </w:divBdr>
    </w:div>
    <w:div w:id="825247467">
      <w:bodyDiv w:val="1"/>
      <w:marLeft w:val="0"/>
      <w:marRight w:val="0"/>
      <w:marTop w:val="0"/>
      <w:marBottom w:val="0"/>
      <w:divBdr>
        <w:top w:val="none" w:sz="0" w:space="0" w:color="auto"/>
        <w:left w:val="none" w:sz="0" w:space="0" w:color="auto"/>
        <w:bottom w:val="none" w:sz="0" w:space="0" w:color="auto"/>
        <w:right w:val="none" w:sz="0" w:space="0" w:color="auto"/>
      </w:divBdr>
    </w:div>
    <w:div w:id="827091429">
      <w:bodyDiv w:val="1"/>
      <w:marLeft w:val="0"/>
      <w:marRight w:val="0"/>
      <w:marTop w:val="0"/>
      <w:marBottom w:val="0"/>
      <w:divBdr>
        <w:top w:val="none" w:sz="0" w:space="0" w:color="auto"/>
        <w:left w:val="none" w:sz="0" w:space="0" w:color="auto"/>
        <w:bottom w:val="none" w:sz="0" w:space="0" w:color="auto"/>
        <w:right w:val="none" w:sz="0" w:space="0" w:color="auto"/>
      </w:divBdr>
    </w:div>
    <w:div w:id="829753585">
      <w:bodyDiv w:val="1"/>
      <w:marLeft w:val="0"/>
      <w:marRight w:val="0"/>
      <w:marTop w:val="0"/>
      <w:marBottom w:val="0"/>
      <w:divBdr>
        <w:top w:val="none" w:sz="0" w:space="0" w:color="auto"/>
        <w:left w:val="none" w:sz="0" w:space="0" w:color="auto"/>
        <w:bottom w:val="none" w:sz="0" w:space="0" w:color="auto"/>
        <w:right w:val="none" w:sz="0" w:space="0" w:color="auto"/>
      </w:divBdr>
    </w:div>
    <w:div w:id="836657135">
      <w:bodyDiv w:val="1"/>
      <w:marLeft w:val="0"/>
      <w:marRight w:val="0"/>
      <w:marTop w:val="0"/>
      <w:marBottom w:val="0"/>
      <w:divBdr>
        <w:top w:val="none" w:sz="0" w:space="0" w:color="auto"/>
        <w:left w:val="none" w:sz="0" w:space="0" w:color="auto"/>
        <w:bottom w:val="none" w:sz="0" w:space="0" w:color="auto"/>
        <w:right w:val="none" w:sz="0" w:space="0" w:color="auto"/>
      </w:divBdr>
    </w:div>
    <w:div w:id="838081740">
      <w:bodyDiv w:val="1"/>
      <w:marLeft w:val="0"/>
      <w:marRight w:val="0"/>
      <w:marTop w:val="0"/>
      <w:marBottom w:val="0"/>
      <w:divBdr>
        <w:top w:val="none" w:sz="0" w:space="0" w:color="auto"/>
        <w:left w:val="none" w:sz="0" w:space="0" w:color="auto"/>
        <w:bottom w:val="none" w:sz="0" w:space="0" w:color="auto"/>
        <w:right w:val="none" w:sz="0" w:space="0" w:color="auto"/>
      </w:divBdr>
    </w:div>
    <w:div w:id="841697052">
      <w:bodyDiv w:val="1"/>
      <w:marLeft w:val="0"/>
      <w:marRight w:val="0"/>
      <w:marTop w:val="0"/>
      <w:marBottom w:val="0"/>
      <w:divBdr>
        <w:top w:val="none" w:sz="0" w:space="0" w:color="auto"/>
        <w:left w:val="none" w:sz="0" w:space="0" w:color="auto"/>
        <w:bottom w:val="none" w:sz="0" w:space="0" w:color="auto"/>
        <w:right w:val="none" w:sz="0" w:space="0" w:color="auto"/>
      </w:divBdr>
    </w:div>
    <w:div w:id="848523973">
      <w:bodyDiv w:val="1"/>
      <w:marLeft w:val="0"/>
      <w:marRight w:val="0"/>
      <w:marTop w:val="0"/>
      <w:marBottom w:val="0"/>
      <w:divBdr>
        <w:top w:val="none" w:sz="0" w:space="0" w:color="auto"/>
        <w:left w:val="none" w:sz="0" w:space="0" w:color="auto"/>
        <w:bottom w:val="none" w:sz="0" w:space="0" w:color="auto"/>
        <w:right w:val="none" w:sz="0" w:space="0" w:color="auto"/>
      </w:divBdr>
    </w:div>
    <w:div w:id="849489658">
      <w:bodyDiv w:val="1"/>
      <w:marLeft w:val="0"/>
      <w:marRight w:val="0"/>
      <w:marTop w:val="0"/>
      <w:marBottom w:val="0"/>
      <w:divBdr>
        <w:top w:val="none" w:sz="0" w:space="0" w:color="auto"/>
        <w:left w:val="none" w:sz="0" w:space="0" w:color="auto"/>
        <w:bottom w:val="none" w:sz="0" w:space="0" w:color="auto"/>
        <w:right w:val="none" w:sz="0" w:space="0" w:color="auto"/>
      </w:divBdr>
    </w:div>
    <w:div w:id="850028133">
      <w:bodyDiv w:val="1"/>
      <w:marLeft w:val="0"/>
      <w:marRight w:val="0"/>
      <w:marTop w:val="0"/>
      <w:marBottom w:val="0"/>
      <w:divBdr>
        <w:top w:val="none" w:sz="0" w:space="0" w:color="auto"/>
        <w:left w:val="none" w:sz="0" w:space="0" w:color="auto"/>
        <w:bottom w:val="none" w:sz="0" w:space="0" w:color="auto"/>
        <w:right w:val="none" w:sz="0" w:space="0" w:color="auto"/>
      </w:divBdr>
    </w:div>
    <w:div w:id="852576459">
      <w:bodyDiv w:val="1"/>
      <w:marLeft w:val="0"/>
      <w:marRight w:val="0"/>
      <w:marTop w:val="0"/>
      <w:marBottom w:val="0"/>
      <w:divBdr>
        <w:top w:val="none" w:sz="0" w:space="0" w:color="auto"/>
        <w:left w:val="none" w:sz="0" w:space="0" w:color="auto"/>
        <w:bottom w:val="none" w:sz="0" w:space="0" w:color="auto"/>
        <w:right w:val="none" w:sz="0" w:space="0" w:color="auto"/>
      </w:divBdr>
    </w:div>
    <w:div w:id="854227641">
      <w:bodyDiv w:val="1"/>
      <w:marLeft w:val="0"/>
      <w:marRight w:val="0"/>
      <w:marTop w:val="0"/>
      <w:marBottom w:val="0"/>
      <w:divBdr>
        <w:top w:val="none" w:sz="0" w:space="0" w:color="auto"/>
        <w:left w:val="none" w:sz="0" w:space="0" w:color="auto"/>
        <w:bottom w:val="none" w:sz="0" w:space="0" w:color="auto"/>
        <w:right w:val="none" w:sz="0" w:space="0" w:color="auto"/>
      </w:divBdr>
    </w:div>
    <w:div w:id="855460923">
      <w:bodyDiv w:val="1"/>
      <w:marLeft w:val="0"/>
      <w:marRight w:val="0"/>
      <w:marTop w:val="0"/>
      <w:marBottom w:val="0"/>
      <w:divBdr>
        <w:top w:val="none" w:sz="0" w:space="0" w:color="auto"/>
        <w:left w:val="none" w:sz="0" w:space="0" w:color="auto"/>
        <w:bottom w:val="none" w:sz="0" w:space="0" w:color="auto"/>
        <w:right w:val="none" w:sz="0" w:space="0" w:color="auto"/>
      </w:divBdr>
    </w:div>
    <w:div w:id="861672376">
      <w:bodyDiv w:val="1"/>
      <w:marLeft w:val="0"/>
      <w:marRight w:val="0"/>
      <w:marTop w:val="0"/>
      <w:marBottom w:val="0"/>
      <w:divBdr>
        <w:top w:val="none" w:sz="0" w:space="0" w:color="auto"/>
        <w:left w:val="none" w:sz="0" w:space="0" w:color="auto"/>
        <w:bottom w:val="none" w:sz="0" w:space="0" w:color="auto"/>
        <w:right w:val="none" w:sz="0" w:space="0" w:color="auto"/>
      </w:divBdr>
    </w:div>
    <w:div w:id="864026653">
      <w:bodyDiv w:val="1"/>
      <w:marLeft w:val="0"/>
      <w:marRight w:val="0"/>
      <w:marTop w:val="0"/>
      <w:marBottom w:val="0"/>
      <w:divBdr>
        <w:top w:val="none" w:sz="0" w:space="0" w:color="auto"/>
        <w:left w:val="none" w:sz="0" w:space="0" w:color="auto"/>
        <w:bottom w:val="none" w:sz="0" w:space="0" w:color="auto"/>
        <w:right w:val="none" w:sz="0" w:space="0" w:color="auto"/>
      </w:divBdr>
    </w:div>
    <w:div w:id="866677644">
      <w:bodyDiv w:val="1"/>
      <w:marLeft w:val="0"/>
      <w:marRight w:val="0"/>
      <w:marTop w:val="0"/>
      <w:marBottom w:val="0"/>
      <w:divBdr>
        <w:top w:val="none" w:sz="0" w:space="0" w:color="auto"/>
        <w:left w:val="none" w:sz="0" w:space="0" w:color="auto"/>
        <w:bottom w:val="none" w:sz="0" w:space="0" w:color="auto"/>
        <w:right w:val="none" w:sz="0" w:space="0" w:color="auto"/>
      </w:divBdr>
    </w:div>
    <w:div w:id="867838217">
      <w:bodyDiv w:val="1"/>
      <w:marLeft w:val="0"/>
      <w:marRight w:val="0"/>
      <w:marTop w:val="0"/>
      <w:marBottom w:val="0"/>
      <w:divBdr>
        <w:top w:val="none" w:sz="0" w:space="0" w:color="auto"/>
        <w:left w:val="none" w:sz="0" w:space="0" w:color="auto"/>
        <w:bottom w:val="none" w:sz="0" w:space="0" w:color="auto"/>
        <w:right w:val="none" w:sz="0" w:space="0" w:color="auto"/>
      </w:divBdr>
    </w:div>
    <w:div w:id="878738051">
      <w:bodyDiv w:val="1"/>
      <w:marLeft w:val="0"/>
      <w:marRight w:val="0"/>
      <w:marTop w:val="0"/>
      <w:marBottom w:val="0"/>
      <w:divBdr>
        <w:top w:val="none" w:sz="0" w:space="0" w:color="auto"/>
        <w:left w:val="none" w:sz="0" w:space="0" w:color="auto"/>
        <w:bottom w:val="none" w:sz="0" w:space="0" w:color="auto"/>
        <w:right w:val="none" w:sz="0" w:space="0" w:color="auto"/>
      </w:divBdr>
    </w:div>
    <w:div w:id="893733335">
      <w:bodyDiv w:val="1"/>
      <w:marLeft w:val="0"/>
      <w:marRight w:val="0"/>
      <w:marTop w:val="0"/>
      <w:marBottom w:val="0"/>
      <w:divBdr>
        <w:top w:val="none" w:sz="0" w:space="0" w:color="auto"/>
        <w:left w:val="none" w:sz="0" w:space="0" w:color="auto"/>
        <w:bottom w:val="none" w:sz="0" w:space="0" w:color="auto"/>
        <w:right w:val="none" w:sz="0" w:space="0" w:color="auto"/>
      </w:divBdr>
    </w:div>
    <w:div w:id="901060084">
      <w:bodyDiv w:val="1"/>
      <w:marLeft w:val="0"/>
      <w:marRight w:val="0"/>
      <w:marTop w:val="0"/>
      <w:marBottom w:val="0"/>
      <w:divBdr>
        <w:top w:val="none" w:sz="0" w:space="0" w:color="auto"/>
        <w:left w:val="none" w:sz="0" w:space="0" w:color="auto"/>
        <w:bottom w:val="none" w:sz="0" w:space="0" w:color="auto"/>
        <w:right w:val="none" w:sz="0" w:space="0" w:color="auto"/>
      </w:divBdr>
    </w:div>
    <w:div w:id="909074533">
      <w:bodyDiv w:val="1"/>
      <w:marLeft w:val="0"/>
      <w:marRight w:val="0"/>
      <w:marTop w:val="0"/>
      <w:marBottom w:val="0"/>
      <w:divBdr>
        <w:top w:val="none" w:sz="0" w:space="0" w:color="auto"/>
        <w:left w:val="none" w:sz="0" w:space="0" w:color="auto"/>
        <w:bottom w:val="none" w:sz="0" w:space="0" w:color="auto"/>
        <w:right w:val="none" w:sz="0" w:space="0" w:color="auto"/>
      </w:divBdr>
    </w:div>
    <w:div w:id="911550245">
      <w:bodyDiv w:val="1"/>
      <w:marLeft w:val="0"/>
      <w:marRight w:val="0"/>
      <w:marTop w:val="0"/>
      <w:marBottom w:val="0"/>
      <w:divBdr>
        <w:top w:val="none" w:sz="0" w:space="0" w:color="auto"/>
        <w:left w:val="none" w:sz="0" w:space="0" w:color="auto"/>
        <w:bottom w:val="none" w:sz="0" w:space="0" w:color="auto"/>
        <w:right w:val="none" w:sz="0" w:space="0" w:color="auto"/>
      </w:divBdr>
    </w:div>
    <w:div w:id="920680364">
      <w:bodyDiv w:val="1"/>
      <w:marLeft w:val="0"/>
      <w:marRight w:val="0"/>
      <w:marTop w:val="0"/>
      <w:marBottom w:val="0"/>
      <w:divBdr>
        <w:top w:val="none" w:sz="0" w:space="0" w:color="auto"/>
        <w:left w:val="none" w:sz="0" w:space="0" w:color="auto"/>
        <w:bottom w:val="none" w:sz="0" w:space="0" w:color="auto"/>
        <w:right w:val="none" w:sz="0" w:space="0" w:color="auto"/>
      </w:divBdr>
    </w:div>
    <w:div w:id="927075334">
      <w:bodyDiv w:val="1"/>
      <w:marLeft w:val="0"/>
      <w:marRight w:val="0"/>
      <w:marTop w:val="0"/>
      <w:marBottom w:val="0"/>
      <w:divBdr>
        <w:top w:val="none" w:sz="0" w:space="0" w:color="auto"/>
        <w:left w:val="none" w:sz="0" w:space="0" w:color="auto"/>
        <w:bottom w:val="none" w:sz="0" w:space="0" w:color="auto"/>
        <w:right w:val="none" w:sz="0" w:space="0" w:color="auto"/>
      </w:divBdr>
    </w:div>
    <w:div w:id="930239432">
      <w:bodyDiv w:val="1"/>
      <w:marLeft w:val="0"/>
      <w:marRight w:val="0"/>
      <w:marTop w:val="0"/>
      <w:marBottom w:val="0"/>
      <w:divBdr>
        <w:top w:val="none" w:sz="0" w:space="0" w:color="auto"/>
        <w:left w:val="none" w:sz="0" w:space="0" w:color="auto"/>
        <w:bottom w:val="none" w:sz="0" w:space="0" w:color="auto"/>
        <w:right w:val="none" w:sz="0" w:space="0" w:color="auto"/>
      </w:divBdr>
    </w:div>
    <w:div w:id="934872298">
      <w:bodyDiv w:val="1"/>
      <w:marLeft w:val="0"/>
      <w:marRight w:val="0"/>
      <w:marTop w:val="0"/>
      <w:marBottom w:val="0"/>
      <w:divBdr>
        <w:top w:val="none" w:sz="0" w:space="0" w:color="auto"/>
        <w:left w:val="none" w:sz="0" w:space="0" w:color="auto"/>
        <w:bottom w:val="none" w:sz="0" w:space="0" w:color="auto"/>
        <w:right w:val="none" w:sz="0" w:space="0" w:color="auto"/>
      </w:divBdr>
    </w:div>
    <w:div w:id="936906440">
      <w:bodyDiv w:val="1"/>
      <w:marLeft w:val="0"/>
      <w:marRight w:val="0"/>
      <w:marTop w:val="0"/>
      <w:marBottom w:val="0"/>
      <w:divBdr>
        <w:top w:val="none" w:sz="0" w:space="0" w:color="auto"/>
        <w:left w:val="none" w:sz="0" w:space="0" w:color="auto"/>
        <w:bottom w:val="none" w:sz="0" w:space="0" w:color="auto"/>
        <w:right w:val="none" w:sz="0" w:space="0" w:color="auto"/>
      </w:divBdr>
    </w:div>
    <w:div w:id="941567286">
      <w:bodyDiv w:val="1"/>
      <w:marLeft w:val="0"/>
      <w:marRight w:val="0"/>
      <w:marTop w:val="0"/>
      <w:marBottom w:val="0"/>
      <w:divBdr>
        <w:top w:val="none" w:sz="0" w:space="0" w:color="auto"/>
        <w:left w:val="none" w:sz="0" w:space="0" w:color="auto"/>
        <w:bottom w:val="none" w:sz="0" w:space="0" w:color="auto"/>
        <w:right w:val="none" w:sz="0" w:space="0" w:color="auto"/>
      </w:divBdr>
    </w:div>
    <w:div w:id="945846081">
      <w:bodyDiv w:val="1"/>
      <w:marLeft w:val="0"/>
      <w:marRight w:val="0"/>
      <w:marTop w:val="0"/>
      <w:marBottom w:val="0"/>
      <w:divBdr>
        <w:top w:val="none" w:sz="0" w:space="0" w:color="auto"/>
        <w:left w:val="none" w:sz="0" w:space="0" w:color="auto"/>
        <w:bottom w:val="none" w:sz="0" w:space="0" w:color="auto"/>
        <w:right w:val="none" w:sz="0" w:space="0" w:color="auto"/>
      </w:divBdr>
    </w:div>
    <w:div w:id="947127712">
      <w:bodyDiv w:val="1"/>
      <w:marLeft w:val="0"/>
      <w:marRight w:val="0"/>
      <w:marTop w:val="0"/>
      <w:marBottom w:val="0"/>
      <w:divBdr>
        <w:top w:val="none" w:sz="0" w:space="0" w:color="auto"/>
        <w:left w:val="none" w:sz="0" w:space="0" w:color="auto"/>
        <w:bottom w:val="none" w:sz="0" w:space="0" w:color="auto"/>
        <w:right w:val="none" w:sz="0" w:space="0" w:color="auto"/>
      </w:divBdr>
    </w:div>
    <w:div w:id="950169104">
      <w:bodyDiv w:val="1"/>
      <w:marLeft w:val="0"/>
      <w:marRight w:val="0"/>
      <w:marTop w:val="0"/>
      <w:marBottom w:val="0"/>
      <w:divBdr>
        <w:top w:val="none" w:sz="0" w:space="0" w:color="auto"/>
        <w:left w:val="none" w:sz="0" w:space="0" w:color="auto"/>
        <w:bottom w:val="none" w:sz="0" w:space="0" w:color="auto"/>
        <w:right w:val="none" w:sz="0" w:space="0" w:color="auto"/>
      </w:divBdr>
    </w:div>
    <w:div w:id="952706858">
      <w:bodyDiv w:val="1"/>
      <w:marLeft w:val="0"/>
      <w:marRight w:val="0"/>
      <w:marTop w:val="0"/>
      <w:marBottom w:val="0"/>
      <w:divBdr>
        <w:top w:val="none" w:sz="0" w:space="0" w:color="auto"/>
        <w:left w:val="none" w:sz="0" w:space="0" w:color="auto"/>
        <w:bottom w:val="none" w:sz="0" w:space="0" w:color="auto"/>
        <w:right w:val="none" w:sz="0" w:space="0" w:color="auto"/>
      </w:divBdr>
    </w:div>
    <w:div w:id="958296466">
      <w:bodyDiv w:val="1"/>
      <w:marLeft w:val="0"/>
      <w:marRight w:val="0"/>
      <w:marTop w:val="0"/>
      <w:marBottom w:val="0"/>
      <w:divBdr>
        <w:top w:val="none" w:sz="0" w:space="0" w:color="auto"/>
        <w:left w:val="none" w:sz="0" w:space="0" w:color="auto"/>
        <w:bottom w:val="none" w:sz="0" w:space="0" w:color="auto"/>
        <w:right w:val="none" w:sz="0" w:space="0" w:color="auto"/>
      </w:divBdr>
    </w:div>
    <w:div w:id="960187191">
      <w:bodyDiv w:val="1"/>
      <w:marLeft w:val="0"/>
      <w:marRight w:val="0"/>
      <w:marTop w:val="0"/>
      <w:marBottom w:val="0"/>
      <w:divBdr>
        <w:top w:val="none" w:sz="0" w:space="0" w:color="auto"/>
        <w:left w:val="none" w:sz="0" w:space="0" w:color="auto"/>
        <w:bottom w:val="none" w:sz="0" w:space="0" w:color="auto"/>
        <w:right w:val="none" w:sz="0" w:space="0" w:color="auto"/>
      </w:divBdr>
    </w:div>
    <w:div w:id="961955417">
      <w:bodyDiv w:val="1"/>
      <w:marLeft w:val="0"/>
      <w:marRight w:val="0"/>
      <w:marTop w:val="0"/>
      <w:marBottom w:val="0"/>
      <w:divBdr>
        <w:top w:val="none" w:sz="0" w:space="0" w:color="auto"/>
        <w:left w:val="none" w:sz="0" w:space="0" w:color="auto"/>
        <w:bottom w:val="none" w:sz="0" w:space="0" w:color="auto"/>
        <w:right w:val="none" w:sz="0" w:space="0" w:color="auto"/>
      </w:divBdr>
    </w:div>
    <w:div w:id="964458541">
      <w:bodyDiv w:val="1"/>
      <w:marLeft w:val="0"/>
      <w:marRight w:val="0"/>
      <w:marTop w:val="0"/>
      <w:marBottom w:val="0"/>
      <w:divBdr>
        <w:top w:val="none" w:sz="0" w:space="0" w:color="auto"/>
        <w:left w:val="none" w:sz="0" w:space="0" w:color="auto"/>
        <w:bottom w:val="none" w:sz="0" w:space="0" w:color="auto"/>
        <w:right w:val="none" w:sz="0" w:space="0" w:color="auto"/>
      </w:divBdr>
    </w:div>
    <w:div w:id="969551054">
      <w:bodyDiv w:val="1"/>
      <w:marLeft w:val="0"/>
      <w:marRight w:val="0"/>
      <w:marTop w:val="0"/>
      <w:marBottom w:val="0"/>
      <w:divBdr>
        <w:top w:val="none" w:sz="0" w:space="0" w:color="auto"/>
        <w:left w:val="none" w:sz="0" w:space="0" w:color="auto"/>
        <w:bottom w:val="none" w:sz="0" w:space="0" w:color="auto"/>
        <w:right w:val="none" w:sz="0" w:space="0" w:color="auto"/>
      </w:divBdr>
    </w:div>
    <w:div w:id="972444187">
      <w:bodyDiv w:val="1"/>
      <w:marLeft w:val="0"/>
      <w:marRight w:val="0"/>
      <w:marTop w:val="0"/>
      <w:marBottom w:val="0"/>
      <w:divBdr>
        <w:top w:val="none" w:sz="0" w:space="0" w:color="auto"/>
        <w:left w:val="none" w:sz="0" w:space="0" w:color="auto"/>
        <w:bottom w:val="none" w:sz="0" w:space="0" w:color="auto"/>
        <w:right w:val="none" w:sz="0" w:space="0" w:color="auto"/>
      </w:divBdr>
    </w:div>
    <w:div w:id="980580663">
      <w:bodyDiv w:val="1"/>
      <w:marLeft w:val="0"/>
      <w:marRight w:val="0"/>
      <w:marTop w:val="0"/>
      <w:marBottom w:val="0"/>
      <w:divBdr>
        <w:top w:val="none" w:sz="0" w:space="0" w:color="auto"/>
        <w:left w:val="none" w:sz="0" w:space="0" w:color="auto"/>
        <w:bottom w:val="none" w:sz="0" w:space="0" w:color="auto"/>
        <w:right w:val="none" w:sz="0" w:space="0" w:color="auto"/>
      </w:divBdr>
    </w:div>
    <w:div w:id="986712550">
      <w:bodyDiv w:val="1"/>
      <w:marLeft w:val="0"/>
      <w:marRight w:val="0"/>
      <w:marTop w:val="0"/>
      <w:marBottom w:val="0"/>
      <w:divBdr>
        <w:top w:val="none" w:sz="0" w:space="0" w:color="auto"/>
        <w:left w:val="none" w:sz="0" w:space="0" w:color="auto"/>
        <w:bottom w:val="none" w:sz="0" w:space="0" w:color="auto"/>
        <w:right w:val="none" w:sz="0" w:space="0" w:color="auto"/>
      </w:divBdr>
    </w:div>
    <w:div w:id="987127069">
      <w:bodyDiv w:val="1"/>
      <w:marLeft w:val="0"/>
      <w:marRight w:val="0"/>
      <w:marTop w:val="0"/>
      <w:marBottom w:val="0"/>
      <w:divBdr>
        <w:top w:val="none" w:sz="0" w:space="0" w:color="auto"/>
        <w:left w:val="none" w:sz="0" w:space="0" w:color="auto"/>
        <w:bottom w:val="none" w:sz="0" w:space="0" w:color="auto"/>
        <w:right w:val="none" w:sz="0" w:space="0" w:color="auto"/>
      </w:divBdr>
    </w:div>
    <w:div w:id="995183709">
      <w:bodyDiv w:val="1"/>
      <w:marLeft w:val="0"/>
      <w:marRight w:val="0"/>
      <w:marTop w:val="0"/>
      <w:marBottom w:val="0"/>
      <w:divBdr>
        <w:top w:val="none" w:sz="0" w:space="0" w:color="auto"/>
        <w:left w:val="none" w:sz="0" w:space="0" w:color="auto"/>
        <w:bottom w:val="none" w:sz="0" w:space="0" w:color="auto"/>
        <w:right w:val="none" w:sz="0" w:space="0" w:color="auto"/>
      </w:divBdr>
    </w:div>
    <w:div w:id="1002274046">
      <w:bodyDiv w:val="1"/>
      <w:marLeft w:val="0"/>
      <w:marRight w:val="0"/>
      <w:marTop w:val="0"/>
      <w:marBottom w:val="0"/>
      <w:divBdr>
        <w:top w:val="none" w:sz="0" w:space="0" w:color="auto"/>
        <w:left w:val="none" w:sz="0" w:space="0" w:color="auto"/>
        <w:bottom w:val="none" w:sz="0" w:space="0" w:color="auto"/>
        <w:right w:val="none" w:sz="0" w:space="0" w:color="auto"/>
      </w:divBdr>
    </w:div>
    <w:div w:id="1005519801">
      <w:bodyDiv w:val="1"/>
      <w:marLeft w:val="0"/>
      <w:marRight w:val="0"/>
      <w:marTop w:val="0"/>
      <w:marBottom w:val="0"/>
      <w:divBdr>
        <w:top w:val="none" w:sz="0" w:space="0" w:color="auto"/>
        <w:left w:val="none" w:sz="0" w:space="0" w:color="auto"/>
        <w:bottom w:val="none" w:sz="0" w:space="0" w:color="auto"/>
        <w:right w:val="none" w:sz="0" w:space="0" w:color="auto"/>
      </w:divBdr>
    </w:div>
    <w:div w:id="1005942438">
      <w:bodyDiv w:val="1"/>
      <w:marLeft w:val="0"/>
      <w:marRight w:val="0"/>
      <w:marTop w:val="0"/>
      <w:marBottom w:val="0"/>
      <w:divBdr>
        <w:top w:val="none" w:sz="0" w:space="0" w:color="auto"/>
        <w:left w:val="none" w:sz="0" w:space="0" w:color="auto"/>
        <w:bottom w:val="none" w:sz="0" w:space="0" w:color="auto"/>
        <w:right w:val="none" w:sz="0" w:space="0" w:color="auto"/>
      </w:divBdr>
    </w:div>
    <w:div w:id="1015958767">
      <w:bodyDiv w:val="1"/>
      <w:marLeft w:val="0"/>
      <w:marRight w:val="0"/>
      <w:marTop w:val="0"/>
      <w:marBottom w:val="0"/>
      <w:divBdr>
        <w:top w:val="none" w:sz="0" w:space="0" w:color="auto"/>
        <w:left w:val="none" w:sz="0" w:space="0" w:color="auto"/>
        <w:bottom w:val="none" w:sz="0" w:space="0" w:color="auto"/>
        <w:right w:val="none" w:sz="0" w:space="0" w:color="auto"/>
      </w:divBdr>
    </w:div>
    <w:div w:id="1016887932">
      <w:bodyDiv w:val="1"/>
      <w:marLeft w:val="0"/>
      <w:marRight w:val="0"/>
      <w:marTop w:val="0"/>
      <w:marBottom w:val="0"/>
      <w:divBdr>
        <w:top w:val="none" w:sz="0" w:space="0" w:color="auto"/>
        <w:left w:val="none" w:sz="0" w:space="0" w:color="auto"/>
        <w:bottom w:val="none" w:sz="0" w:space="0" w:color="auto"/>
        <w:right w:val="none" w:sz="0" w:space="0" w:color="auto"/>
      </w:divBdr>
    </w:div>
    <w:div w:id="1018240505">
      <w:bodyDiv w:val="1"/>
      <w:marLeft w:val="0"/>
      <w:marRight w:val="0"/>
      <w:marTop w:val="0"/>
      <w:marBottom w:val="0"/>
      <w:divBdr>
        <w:top w:val="none" w:sz="0" w:space="0" w:color="auto"/>
        <w:left w:val="none" w:sz="0" w:space="0" w:color="auto"/>
        <w:bottom w:val="none" w:sz="0" w:space="0" w:color="auto"/>
        <w:right w:val="none" w:sz="0" w:space="0" w:color="auto"/>
      </w:divBdr>
    </w:div>
    <w:div w:id="1020737097">
      <w:bodyDiv w:val="1"/>
      <w:marLeft w:val="0"/>
      <w:marRight w:val="0"/>
      <w:marTop w:val="0"/>
      <w:marBottom w:val="0"/>
      <w:divBdr>
        <w:top w:val="none" w:sz="0" w:space="0" w:color="auto"/>
        <w:left w:val="none" w:sz="0" w:space="0" w:color="auto"/>
        <w:bottom w:val="none" w:sz="0" w:space="0" w:color="auto"/>
        <w:right w:val="none" w:sz="0" w:space="0" w:color="auto"/>
      </w:divBdr>
    </w:div>
    <w:div w:id="1024940798">
      <w:bodyDiv w:val="1"/>
      <w:marLeft w:val="0"/>
      <w:marRight w:val="0"/>
      <w:marTop w:val="0"/>
      <w:marBottom w:val="0"/>
      <w:divBdr>
        <w:top w:val="none" w:sz="0" w:space="0" w:color="auto"/>
        <w:left w:val="none" w:sz="0" w:space="0" w:color="auto"/>
        <w:bottom w:val="none" w:sz="0" w:space="0" w:color="auto"/>
        <w:right w:val="none" w:sz="0" w:space="0" w:color="auto"/>
      </w:divBdr>
    </w:div>
    <w:div w:id="1026905500">
      <w:bodyDiv w:val="1"/>
      <w:marLeft w:val="0"/>
      <w:marRight w:val="0"/>
      <w:marTop w:val="0"/>
      <w:marBottom w:val="0"/>
      <w:divBdr>
        <w:top w:val="none" w:sz="0" w:space="0" w:color="auto"/>
        <w:left w:val="none" w:sz="0" w:space="0" w:color="auto"/>
        <w:bottom w:val="none" w:sz="0" w:space="0" w:color="auto"/>
        <w:right w:val="none" w:sz="0" w:space="0" w:color="auto"/>
      </w:divBdr>
    </w:div>
    <w:div w:id="1038821979">
      <w:bodyDiv w:val="1"/>
      <w:marLeft w:val="0"/>
      <w:marRight w:val="0"/>
      <w:marTop w:val="0"/>
      <w:marBottom w:val="0"/>
      <w:divBdr>
        <w:top w:val="none" w:sz="0" w:space="0" w:color="auto"/>
        <w:left w:val="none" w:sz="0" w:space="0" w:color="auto"/>
        <w:bottom w:val="none" w:sz="0" w:space="0" w:color="auto"/>
        <w:right w:val="none" w:sz="0" w:space="0" w:color="auto"/>
      </w:divBdr>
    </w:div>
    <w:div w:id="1043359096">
      <w:bodyDiv w:val="1"/>
      <w:marLeft w:val="0"/>
      <w:marRight w:val="0"/>
      <w:marTop w:val="0"/>
      <w:marBottom w:val="0"/>
      <w:divBdr>
        <w:top w:val="none" w:sz="0" w:space="0" w:color="auto"/>
        <w:left w:val="none" w:sz="0" w:space="0" w:color="auto"/>
        <w:bottom w:val="none" w:sz="0" w:space="0" w:color="auto"/>
        <w:right w:val="none" w:sz="0" w:space="0" w:color="auto"/>
      </w:divBdr>
    </w:div>
    <w:div w:id="1043561080">
      <w:bodyDiv w:val="1"/>
      <w:marLeft w:val="0"/>
      <w:marRight w:val="0"/>
      <w:marTop w:val="0"/>
      <w:marBottom w:val="0"/>
      <w:divBdr>
        <w:top w:val="none" w:sz="0" w:space="0" w:color="auto"/>
        <w:left w:val="none" w:sz="0" w:space="0" w:color="auto"/>
        <w:bottom w:val="none" w:sz="0" w:space="0" w:color="auto"/>
        <w:right w:val="none" w:sz="0" w:space="0" w:color="auto"/>
      </w:divBdr>
    </w:div>
    <w:div w:id="1052078006">
      <w:bodyDiv w:val="1"/>
      <w:marLeft w:val="0"/>
      <w:marRight w:val="0"/>
      <w:marTop w:val="0"/>
      <w:marBottom w:val="0"/>
      <w:divBdr>
        <w:top w:val="none" w:sz="0" w:space="0" w:color="auto"/>
        <w:left w:val="none" w:sz="0" w:space="0" w:color="auto"/>
        <w:bottom w:val="none" w:sz="0" w:space="0" w:color="auto"/>
        <w:right w:val="none" w:sz="0" w:space="0" w:color="auto"/>
      </w:divBdr>
    </w:div>
    <w:div w:id="1053314486">
      <w:bodyDiv w:val="1"/>
      <w:marLeft w:val="0"/>
      <w:marRight w:val="0"/>
      <w:marTop w:val="0"/>
      <w:marBottom w:val="0"/>
      <w:divBdr>
        <w:top w:val="none" w:sz="0" w:space="0" w:color="auto"/>
        <w:left w:val="none" w:sz="0" w:space="0" w:color="auto"/>
        <w:bottom w:val="none" w:sz="0" w:space="0" w:color="auto"/>
        <w:right w:val="none" w:sz="0" w:space="0" w:color="auto"/>
      </w:divBdr>
    </w:div>
    <w:div w:id="1057973847">
      <w:bodyDiv w:val="1"/>
      <w:marLeft w:val="0"/>
      <w:marRight w:val="0"/>
      <w:marTop w:val="0"/>
      <w:marBottom w:val="0"/>
      <w:divBdr>
        <w:top w:val="none" w:sz="0" w:space="0" w:color="auto"/>
        <w:left w:val="none" w:sz="0" w:space="0" w:color="auto"/>
        <w:bottom w:val="none" w:sz="0" w:space="0" w:color="auto"/>
        <w:right w:val="none" w:sz="0" w:space="0" w:color="auto"/>
      </w:divBdr>
    </w:div>
    <w:div w:id="1068384769">
      <w:bodyDiv w:val="1"/>
      <w:marLeft w:val="0"/>
      <w:marRight w:val="0"/>
      <w:marTop w:val="0"/>
      <w:marBottom w:val="0"/>
      <w:divBdr>
        <w:top w:val="none" w:sz="0" w:space="0" w:color="auto"/>
        <w:left w:val="none" w:sz="0" w:space="0" w:color="auto"/>
        <w:bottom w:val="none" w:sz="0" w:space="0" w:color="auto"/>
        <w:right w:val="none" w:sz="0" w:space="0" w:color="auto"/>
      </w:divBdr>
    </w:div>
    <w:div w:id="1069230815">
      <w:bodyDiv w:val="1"/>
      <w:marLeft w:val="0"/>
      <w:marRight w:val="0"/>
      <w:marTop w:val="0"/>
      <w:marBottom w:val="0"/>
      <w:divBdr>
        <w:top w:val="none" w:sz="0" w:space="0" w:color="auto"/>
        <w:left w:val="none" w:sz="0" w:space="0" w:color="auto"/>
        <w:bottom w:val="none" w:sz="0" w:space="0" w:color="auto"/>
        <w:right w:val="none" w:sz="0" w:space="0" w:color="auto"/>
      </w:divBdr>
    </w:div>
    <w:div w:id="1079256263">
      <w:bodyDiv w:val="1"/>
      <w:marLeft w:val="0"/>
      <w:marRight w:val="0"/>
      <w:marTop w:val="0"/>
      <w:marBottom w:val="0"/>
      <w:divBdr>
        <w:top w:val="none" w:sz="0" w:space="0" w:color="auto"/>
        <w:left w:val="none" w:sz="0" w:space="0" w:color="auto"/>
        <w:bottom w:val="none" w:sz="0" w:space="0" w:color="auto"/>
        <w:right w:val="none" w:sz="0" w:space="0" w:color="auto"/>
      </w:divBdr>
    </w:div>
    <w:div w:id="1083915161">
      <w:bodyDiv w:val="1"/>
      <w:marLeft w:val="0"/>
      <w:marRight w:val="0"/>
      <w:marTop w:val="0"/>
      <w:marBottom w:val="0"/>
      <w:divBdr>
        <w:top w:val="none" w:sz="0" w:space="0" w:color="auto"/>
        <w:left w:val="none" w:sz="0" w:space="0" w:color="auto"/>
        <w:bottom w:val="none" w:sz="0" w:space="0" w:color="auto"/>
        <w:right w:val="none" w:sz="0" w:space="0" w:color="auto"/>
      </w:divBdr>
    </w:div>
    <w:div w:id="1085997609">
      <w:bodyDiv w:val="1"/>
      <w:marLeft w:val="0"/>
      <w:marRight w:val="0"/>
      <w:marTop w:val="0"/>
      <w:marBottom w:val="0"/>
      <w:divBdr>
        <w:top w:val="none" w:sz="0" w:space="0" w:color="auto"/>
        <w:left w:val="none" w:sz="0" w:space="0" w:color="auto"/>
        <w:bottom w:val="none" w:sz="0" w:space="0" w:color="auto"/>
        <w:right w:val="none" w:sz="0" w:space="0" w:color="auto"/>
      </w:divBdr>
    </w:div>
    <w:div w:id="1092167831">
      <w:bodyDiv w:val="1"/>
      <w:marLeft w:val="0"/>
      <w:marRight w:val="0"/>
      <w:marTop w:val="0"/>
      <w:marBottom w:val="0"/>
      <w:divBdr>
        <w:top w:val="none" w:sz="0" w:space="0" w:color="auto"/>
        <w:left w:val="none" w:sz="0" w:space="0" w:color="auto"/>
        <w:bottom w:val="none" w:sz="0" w:space="0" w:color="auto"/>
        <w:right w:val="none" w:sz="0" w:space="0" w:color="auto"/>
      </w:divBdr>
    </w:div>
    <w:div w:id="1093086957">
      <w:bodyDiv w:val="1"/>
      <w:marLeft w:val="0"/>
      <w:marRight w:val="0"/>
      <w:marTop w:val="0"/>
      <w:marBottom w:val="0"/>
      <w:divBdr>
        <w:top w:val="none" w:sz="0" w:space="0" w:color="auto"/>
        <w:left w:val="none" w:sz="0" w:space="0" w:color="auto"/>
        <w:bottom w:val="none" w:sz="0" w:space="0" w:color="auto"/>
        <w:right w:val="none" w:sz="0" w:space="0" w:color="auto"/>
      </w:divBdr>
    </w:div>
    <w:div w:id="1096945323">
      <w:bodyDiv w:val="1"/>
      <w:marLeft w:val="0"/>
      <w:marRight w:val="0"/>
      <w:marTop w:val="0"/>
      <w:marBottom w:val="0"/>
      <w:divBdr>
        <w:top w:val="none" w:sz="0" w:space="0" w:color="auto"/>
        <w:left w:val="none" w:sz="0" w:space="0" w:color="auto"/>
        <w:bottom w:val="none" w:sz="0" w:space="0" w:color="auto"/>
        <w:right w:val="none" w:sz="0" w:space="0" w:color="auto"/>
      </w:divBdr>
    </w:div>
    <w:div w:id="1102724337">
      <w:bodyDiv w:val="1"/>
      <w:marLeft w:val="0"/>
      <w:marRight w:val="0"/>
      <w:marTop w:val="0"/>
      <w:marBottom w:val="0"/>
      <w:divBdr>
        <w:top w:val="none" w:sz="0" w:space="0" w:color="auto"/>
        <w:left w:val="none" w:sz="0" w:space="0" w:color="auto"/>
        <w:bottom w:val="none" w:sz="0" w:space="0" w:color="auto"/>
        <w:right w:val="none" w:sz="0" w:space="0" w:color="auto"/>
      </w:divBdr>
    </w:div>
    <w:div w:id="1108158501">
      <w:bodyDiv w:val="1"/>
      <w:marLeft w:val="0"/>
      <w:marRight w:val="0"/>
      <w:marTop w:val="0"/>
      <w:marBottom w:val="0"/>
      <w:divBdr>
        <w:top w:val="none" w:sz="0" w:space="0" w:color="auto"/>
        <w:left w:val="none" w:sz="0" w:space="0" w:color="auto"/>
        <w:bottom w:val="none" w:sz="0" w:space="0" w:color="auto"/>
        <w:right w:val="none" w:sz="0" w:space="0" w:color="auto"/>
      </w:divBdr>
    </w:div>
    <w:div w:id="1110861520">
      <w:bodyDiv w:val="1"/>
      <w:marLeft w:val="0"/>
      <w:marRight w:val="0"/>
      <w:marTop w:val="0"/>
      <w:marBottom w:val="0"/>
      <w:divBdr>
        <w:top w:val="none" w:sz="0" w:space="0" w:color="auto"/>
        <w:left w:val="none" w:sz="0" w:space="0" w:color="auto"/>
        <w:bottom w:val="none" w:sz="0" w:space="0" w:color="auto"/>
        <w:right w:val="none" w:sz="0" w:space="0" w:color="auto"/>
      </w:divBdr>
    </w:div>
    <w:div w:id="1116220172">
      <w:bodyDiv w:val="1"/>
      <w:marLeft w:val="0"/>
      <w:marRight w:val="0"/>
      <w:marTop w:val="0"/>
      <w:marBottom w:val="0"/>
      <w:divBdr>
        <w:top w:val="none" w:sz="0" w:space="0" w:color="auto"/>
        <w:left w:val="none" w:sz="0" w:space="0" w:color="auto"/>
        <w:bottom w:val="none" w:sz="0" w:space="0" w:color="auto"/>
        <w:right w:val="none" w:sz="0" w:space="0" w:color="auto"/>
      </w:divBdr>
    </w:div>
    <w:div w:id="1124040114">
      <w:bodyDiv w:val="1"/>
      <w:marLeft w:val="0"/>
      <w:marRight w:val="0"/>
      <w:marTop w:val="0"/>
      <w:marBottom w:val="0"/>
      <w:divBdr>
        <w:top w:val="none" w:sz="0" w:space="0" w:color="auto"/>
        <w:left w:val="none" w:sz="0" w:space="0" w:color="auto"/>
        <w:bottom w:val="none" w:sz="0" w:space="0" w:color="auto"/>
        <w:right w:val="none" w:sz="0" w:space="0" w:color="auto"/>
      </w:divBdr>
    </w:div>
    <w:div w:id="1134252590">
      <w:bodyDiv w:val="1"/>
      <w:marLeft w:val="0"/>
      <w:marRight w:val="0"/>
      <w:marTop w:val="0"/>
      <w:marBottom w:val="0"/>
      <w:divBdr>
        <w:top w:val="none" w:sz="0" w:space="0" w:color="auto"/>
        <w:left w:val="none" w:sz="0" w:space="0" w:color="auto"/>
        <w:bottom w:val="none" w:sz="0" w:space="0" w:color="auto"/>
        <w:right w:val="none" w:sz="0" w:space="0" w:color="auto"/>
      </w:divBdr>
    </w:div>
    <w:div w:id="1136675991">
      <w:bodyDiv w:val="1"/>
      <w:marLeft w:val="0"/>
      <w:marRight w:val="0"/>
      <w:marTop w:val="0"/>
      <w:marBottom w:val="0"/>
      <w:divBdr>
        <w:top w:val="none" w:sz="0" w:space="0" w:color="auto"/>
        <w:left w:val="none" w:sz="0" w:space="0" w:color="auto"/>
        <w:bottom w:val="none" w:sz="0" w:space="0" w:color="auto"/>
        <w:right w:val="none" w:sz="0" w:space="0" w:color="auto"/>
      </w:divBdr>
    </w:div>
    <w:div w:id="1145582112">
      <w:bodyDiv w:val="1"/>
      <w:marLeft w:val="0"/>
      <w:marRight w:val="0"/>
      <w:marTop w:val="0"/>
      <w:marBottom w:val="0"/>
      <w:divBdr>
        <w:top w:val="none" w:sz="0" w:space="0" w:color="auto"/>
        <w:left w:val="none" w:sz="0" w:space="0" w:color="auto"/>
        <w:bottom w:val="none" w:sz="0" w:space="0" w:color="auto"/>
        <w:right w:val="none" w:sz="0" w:space="0" w:color="auto"/>
      </w:divBdr>
    </w:div>
    <w:div w:id="1150946463">
      <w:bodyDiv w:val="1"/>
      <w:marLeft w:val="0"/>
      <w:marRight w:val="0"/>
      <w:marTop w:val="0"/>
      <w:marBottom w:val="0"/>
      <w:divBdr>
        <w:top w:val="none" w:sz="0" w:space="0" w:color="auto"/>
        <w:left w:val="none" w:sz="0" w:space="0" w:color="auto"/>
        <w:bottom w:val="none" w:sz="0" w:space="0" w:color="auto"/>
        <w:right w:val="none" w:sz="0" w:space="0" w:color="auto"/>
      </w:divBdr>
    </w:div>
    <w:div w:id="1159150304">
      <w:bodyDiv w:val="1"/>
      <w:marLeft w:val="0"/>
      <w:marRight w:val="0"/>
      <w:marTop w:val="0"/>
      <w:marBottom w:val="0"/>
      <w:divBdr>
        <w:top w:val="none" w:sz="0" w:space="0" w:color="auto"/>
        <w:left w:val="none" w:sz="0" w:space="0" w:color="auto"/>
        <w:bottom w:val="none" w:sz="0" w:space="0" w:color="auto"/>
        <w:right w:val="none" w:sz="0" w:space="0" w:color="auto"/>
      </w:divBdr>
    </w:div>
    <w:div w:id="1160123201">
      <w:bodyDiv w:val="1"/>
      <w:marLeft w:val="0"/>
      <w:marRight w:val="0"/>
      <w:marTop w:val="0"/>
      <w:marBottom w:val="0"/>
      <w:divBdr>
        <w:top w:val="none" w:sz="0" w:space="0" w:color="auto"/>
        <w:left w:val="none" w:sz="0" w:space="0" w:color="auto"/>
        <w:bottom w:val="none" w:sz="0" w:space="0" w:color="auto"/>
        <w:right w:val="none" w:sz="0" w:space="0" w:color="auto"/>
      </w:divBdr>
    </w:div>
    <w:div w:id="1160997473">
      <w:bodyDiv w:val="1"/>
      <w:marLeft w:val="0"/>
      <w:marRight w:val="0"/>
      <w:marTop w:val="0"/>
      <w:marBottom w:val="0"/>
      <w:divBdr>
        <w:top w:val="none" w:sz="0" w:space="0" w:color="auto"/>
        <w:left w:val="none" w:sz="0" w:space="0" w:color="auto"/>
        <w:bottom w:val="none" w:sz="0" w:space="0" w:color="auto"/>
        <w:right w:val="none" w:sz="0" w:space="0" w:color="auto"/>
      </w:divBdr>
    </w:div>
    <w:div w:id="1164659534">
      <w:bodyDiv w:val="1"/>
      <w:marLeft w:val="0"/>
      <w:marRight w:val="0"/>
      <w:marTop w:val="0"/>
      <w:marBottom w:val="0"/>
      <w:divBdr>
        <w:top w:val="none" w:sz="0" w:space="0" w:color="auto"/>
        <w:left w:val="none" w:sz="0" w:space="0" w:color="auto"/>
        <w:bottom w:val="none" w:sz="0" w:space="0" w:color="auto"/>
        <w:right w:val="none" w:sz="0" w:space="0" w:color="auto"/>
      </w:divBdr>
    </w:div>
    <w:div w:id="1169369041">
      <w:bodyDiv w:val="1"/>
      <w:marLeft w:val="0"/>
      <w:marRight w:val="0"/>
      <w:marTop w:val="0"/>
      <w:marBottom w:val="0"/>
      <w:divBdr>
        <w:top w:val="none" w:sz="0" w:space="0" w:color="auto"/>
        <w:left w:val="none" w:sz="0" w:space="0" w:color="auto"/>
        <w:bottom w:val="none" w:sz="0" w:space="0" w:color="auto"/>
        <w:right w:val="none" w:sz="0" w:space="0" w:color="auto"/>
      </w:divBdr>
    </w:div>
    <w:div w:id="1171527606">
      <w:bodyDiv w:val="1"/>
      <w:marLeft w:val="0"/>
      <w:marRight w:val="0"/>
      <w:marTop w:val="0"/>
      <w:marBottom w:val="0"/>
      <w:divBdr>
        <w:top w:val="none" w:sz="0" w:space="0" w:color="auto"/>
        <w:left w:val="none" w:sz="0" w:space="0" w:color="auto"/>
        <w:bottom w:val="none" w:sz="0" w:space="0" w:color="auto"/>
        <w:right w:val="none" w:sz="0" w:space="0" w:color="auto"/>
      </w:divBdr>
    </w:div>
    <w:div w:id="1172377199">
      <w:bodyDiv w:val="1"/>
      <w:marLeft w:val="0"/>
      <w:marRight w:val="0"/>
      <w:marTop w:val="0"/>
      <w:marBottom w:val="0"/>
      <w:divBdr>
        <w:top w:val="none" w:sz="0" w:space="0" w:color="auto"/>
        <w:left w:val="none" w:sz="0" w:space="0" w:color="auto"/>
        <w:bottom w:val="none" w:sz="0" w:space="0" w:color="auto"/>
        <w:right w:val="none" w:sz="0" w:space="0" w:color="auto"/>
      </w:divBdr>
    </w:div>
    <w:div w:id="1176113978">
      <w:bodyDiv w:val="1"/>
      <w:marLeft w:val="0"/>
      <w:marRight w:val="0"/>
      <w:marTop w:val="0"/>
      <w:marBottom w:val="0"/>
      <w:divBdr>
        <w:top w:val="none" w:sz="0" w:space="0" w:color="auto"/>
        <w:left w:val="none" w:sz="0" w:space="0" w:color="auto"/>
        <w:bottom w:val="none" w:sz="0" w:space="0" w:color="auto"/>
        <w:right w:val="none" w:sz="0" w:space="0" w:color="auto"/>
      </w:divBdr>
    </w:div>
    <w:div w:id="1177842888">
      <w:bodyDiv w:val="1"/>
      <w:marLeft w:val="0"/>
      <w:marRight w:val="0"/>
      <w:marTop w:val="0"/>
      <w:marBottom w:val="0"/>
      <w:divBdr>
        <w:top w:val="none" w:sz="0" w:space="0" w:color="auto"/>
        <w:left w:val="none" w:sz="0" w:space="0" w:color="auto"/>
        <w:bottom w:val="none" w:sz="0" w:space="0" w:color="auto"/>
        <w:right w:val="none" w:sz="0" w:space="0" w:color="auto"/>
      </w:divBdr>
    </w:div>
    <w:div w:id="1177963569">
      <w:bodyDiv w:val="1"/>
      <w:marLeft w:val="0"/>
      <w:marRight w:val="0"/>
      <w:marTop w:val="0"/>
      <w:marBottom w:val="0"/>
      <w:divBdr>
        <w:top w:val="none" w:sz="0" w:space="0" w:color="auto"/>
        <w:left w:val="none" w:sz="0" w:space="0" w:color="auto"/>
        <w:bottom w:val="none" w:sz="0" w:space="0" w:color="auto"/>
        <w:right w:val="none" w:sz="0" w:space="0" w:color="auto"/>
      </w:divBdr>
    </w:div>
    <w:div w:id="1180043440">
      <w:bodyDiv w:val="1"/>
      <w:marLeft w:val="0"/>
      <w:marRight w:val="0"/>
      <w:marTop w:val="0"/>
      <w:marBottom w:val="0"/>
      <w:divBdr>
        <w:top w:val="none" w:sz="0" w:space="0" w:color="auto"/>
        <w:left w:val="none" w:sz="0" w:space="0" w:color="auto"/>
        <w:bottom w:val="none" w:sz="0" w:space="0" w:color="auto"/>
        <w:right w:val="none" w:sz="0" w:space="0" w:color="auto"/>
      </w:divBdr>
    </w:div>
    <w:div w:id="1193761158">
      <w:bodyDiv w:val="1"/>
      <w:marLeft w:val="0"/>
      <w:marRight w:val="0"/>
      <w:marTop w:val="0"/>
      <w:marBottom w:val="0"/>
      <w:divBdr>
        <w:top w:val="none" w:sz="0" w:space="0" w:color="auto"/>
        <w:left w:val="none" w:sz="0" w:space="0" w:color="auto"/>
        <w:bottom w:val="none" w:sz="0" w:space="0" w:color="auto"/>
        <w:right w:val="none" w:sz="0" w:space="0" w:color="auto"/>
      </w:divBdr>
    </w:div>
    <w:div w:id="1195776737">
      <w:bodyDiv w:val="1"/>
      <w:marLeft w:val="0"/>
      <w:marRight w:val="0"/>
      <w:marTop w:val="0"/>
      <w:marBottom w:val="0"/>
      <w:divBdr>
        <w:top w:val="none" w:sz="0" w:space="0" w:color="auto"/>
        <w:left w:val="none" w:sz="0" w:space="0" w:color="auto"/>
        <w:bottom w:val="none" w:sz="0" w:space="0" w:color="auto"/>
        <w:right w:val="none" w:sz="0" w:space="0" w:color="auto"/>
      </w:divBdr>
    </w:div>
    <w:div w:id="1197086396">
      <w:bodyDiv w:val="1"/>
      <w:marLeft w:val="0"/>
      <w:marRight w:val="0"/>
      <w:marTop w:val="0"/>
      <w:marBottom w:val="0"/>
      <w:divBdr>
        <w:top w:val="none" w:sz="0" w:space="0" w:color="auto"/>
        <w:left w:val="none" w:sz="0" w:space="0" w:color="auto"/>
        <w:bottom w:val="none" w:sz="0" w:space="0" w:color="auto"/>
        <w:right w:val="none" w:sz="0" w:space="0" w:color="auto"/>
      </w:divBdr>
    </w:div>
    <w:div w:id="1200050926">
      <w:bodyDiv w:val="1"/>
      <w:marLeft w:val="0"/>
      <w:marRight w:val="0"/>
      <w:marTop w:val="0"/>
      <w:marBottom w:val="0"/>
      <w:divBdr>
        <w:top w:val="none" w:sz="0" w:space="0" w:color="auto"/>
        <w:left w:val="none" w:sz="0" w:space="0" w:color="auto"/>
        <w:bottom w:val="none" w:sz="0" w:space="0" w:color="auto"/>
        <w:right w:val="none" w:sz="0" w:space="0" w:color="auto"/>
      </w:divBdr>
    </w:div>
    <w:div w:id="1200432804">
      <w:bodyDiv w:val="1"/>
      <w:marLeft w:val="0"/>
      <w:marRight w:val="0"/>
      <w:marTop w:val="0"/>
      <w:marBottom w:val="0"/>
      <w:divBdr>
        <w:top w:val="none" w:sz="0" w:space="0" w:color="auto"/>
        <w:left w:val="none" w:sz="0" w:space="0" w:color="auto"/>
        <w:bottom w:val="none" w:sz="0" w:space="0" w:color="auto"/>
        <w:right w:val="none" w:sz="0" w:space="0" w:color="auto"/>
      </w:divBdr>
    </w:div>
    <w:div w:id="1207638649">
      <w:bodyDiv w:val="1"/>
      <w:marLeft w:val="0"/>
      <w:marRight w:val="0"/>
      <w:marTop w:val="0"/>
      <w:marBottom w:val="0"/>
      <w:divBdr>
        <w:top w:val="none" w:sz="0" w:space="0" w:color="auto"/>
        <w:left w:val="none" w:sz="0" w:space="0" w:color="auto"/>
        <w:bottom w:val="none" w:sz="0" w:space="0" w:color="auto"/>
        <w:right w:val="none" w:sz="0" w:space="0" w:color="auto"/>
      </w:divBdr>
    </w:div>
    <w:div w:id="1208105314">
      <w:bodyDiv w:val="1"/>
      <w:marLeft w:val="0"/>
      <w:marRight w:val="0"/>
      <w:marTop w:val="0"/>
      <w:marBottom w:val="0"/>
      <w:divBdr>
        <w:top w:val="none" w:sz="0" w:space="0" w:color="auto"/>
        <w:left w:val="none" w:sz="0" w:space="0" w:color="auto"/>
        <w:bottom w:val="none" w:sz="0" w:space="0" w:color="auto"/>
        <w:right w:val="none" w:sz="0" w:space="0" w:color="auto"/>
      </w:divBdr>
    </w:div>
    <w:div w:id="1208370234">
      <w:bodyDiv w:val="1"/>
      <w:marLeft w:val="0"/>
      <w:marRight w:val="0"/>
      <w:marTop w:val="0"/>
      <w:marBottom w:val="0"/>
      <w:divBdr>
        <w:top w:val="none" w:sz="0" w:space="0" w:color="auto"/>
        <w:left w:val="none" w:sz="0" w:space="0" w:color="auto"/>
        <w:bottom w:val="none" w:sz="0" w:space="0" w:color="auto"/>
        <w:right w:val="none" w:sz="0" w:space="0" w:color="auto"/>
      </w:divBdr>
    </w:div>
    <w:div w:id="1213348102">
      <w:bodyDiv w:val="1"/>
      <w:marLeft w:val="0"/>
      <w:marRight w:val="0"/>
      <w:marTop w:val="0"/>
      <w:marBottom w:val="0"/>
      <w:divBdr>
        <w:top w:val="none" w:sz="0" w:space="0" w:color="auto"/>
        <w:left w:val="none" w:sz="0" w:space="0" w:color="auto"/>
        <w:bottom w:val="none" w:sz="0" w:space="0" w:color="auto"/>
        <w:right w:val="none" w:sz="0" w:space="0" w:color="auto"/>
      </w:divBdr>
    </w:div>
    <w:div w:id="1215460185">
      <w:bodyDiv w:val="1"/>
      <w:marLeft w:val="0"/>
      <w:marRight w:val="0"/>
      <w:marTop w:val="0"/>
      <w:marBottom w:val="0"/>
      <w:divBdr>
        <w:top w:val="none" w:sz="0" w:space="0" w:color="auto"/>
        <w:left w:val="none" w:sz="0" w:space="0" w:color="auto"/>
        <w:bottom w:val="none" w:sz="0" w:space="0" w:color="auto"/>
        <w:right w:val="none" w:sz="0" w:space="0" w:color="auto"/>
      </w:divBdr>
    </w:div>
    <w:div w:id="1224371363">
      <w:bodyDiv w:val="1"/>
      <w:marLeft w:val="0"/>
      <w:marRight w:val="0"/>
      <w:marTop w:val="0"/>
      <w:marBottom w:val="0"/>
      <w:divBdr>
        <w:top w:val="none" w:sz="0" w:space="0" w:color="auto"/>
        <w:left w:val="none" w:sz="0" w:space="0" w:color="auto"/>
        <w:bottom w:val="none" w:sz="0" w:space="0" w:color="auto"/>
        <w:right w:val="none" w:sz="0" w:space="0" w:color="auto"/>
      </w:divBdr>
    </w:div>
    <w:div w:id="1227494474">
      <w:bodyDiv w:val="1"/>
      <w:marLeft w:val="0"/>
      <w:marRight w:val="0"/>
      <w:marTop w:val="0"/>
      <w:marBottom w:val="0"/>
      <w:divBdr>
        <w:top w:val="none" w:sz="0" w:space="0" w:color="auto"/>
        <w:left w:val="none" w:sz="0" w:space="0" w:color="auto"/>
        <w:bottom w:val="none" w:sz="0" w:space="0" w:color="auto"/>
        <w:right w:val="none" w:sz="0" w:space="0" w:color="auto"/>
      </w:divBdr>
    </w:div>
    <w:div w:id="1229849535">
      <w:bodyDiv w:val="1"/>
      <w:marLeft w:val="0"/>
      <w:marRight w:val="0"/>
      <w:marTop w:val="0"/>
      <w:marBottom w:val="0"/>
      <w:divBdr>
        <w:top w:val="none" w:sz="0" w:space="0" w:color="auto"/>
        <w:left w:val="none" w:sz="0" w:space="0" w:color="auto"/>
        <w:bottom w:val="none" w:sz="0" w:space="0" w:color="auto"/>
        <w:right w:val="none" w:sz="0" w:space="0" w:color="auto"/>
      </w:divBdr>
    </w:div>
    <w:div w:id="1230069270">
      <w:bodyDiv w:val="1"/>
      <w:marLeft w:val="0"/>
      <w:marRight w:val="0"/>
      <w:marTop w:val="0"/>
      <w:marBottom w:val="0"/>
      <w:divBdr>
        <w:top w:val="none" w:sz="0" w:space="0" w:color="auto"/>
        <w:left w:val="none" w:sz="0" w:space="0" w:color="auto"/>
        <w:bottom w:val="none" w:sz="0" w:space="0" w:color="auto"/>
        <w:right w:val="none" w:sz="0" w:space="0" w:color="auto"/>
      </w:divBdr>
    </w:div>
    <w:div w:id="1232732652">
      <w:bodyDiv w:val="1"/>
      <w:marLeft w:val="0"/>
      <w:marRight w:val="0"/>
      <w:marTop w:val="0"/>
      <w:marBottom w:val="0"/>
      <w:divBdr>
        <w:top w:val="none" w:sz="0" w:space="0" w:color="auto"/>
        <w:left w:val="none" w:sz="0" w:space="0" w:color="auto"/>
        <w:bottom w:val="none" w:sz="0" w:space="0" w:color="auto"/>
        <w:right w:val="none" w:sz="0" w:space="0" w:color="auto"/>
      </w:divBdr>
    </w:div>
    <w:div w:id="1233661335">
      <w:bodyDiv w:val="1"/>
      <w:marLeft w:val="0"/>
      <w:marRight w:val="0"/>
      <w:marTop w:val="0"/>
      <w:marBottom w:val="0"/>
      <w:divBdr>
        <w:top w:val="none" w:sz="0" w:space="0" w:color="auto"/>
        <w:left w:val="none" w:sz="0" w:space="0" w:color="auto"/>
        <w:bottom w:val="none" w:sz="0" w:space="0" w:color="auto"/>
        <w:right w:val="none" w:sz="0" w:space="0" w:color="auto"/>
      </w:divBdr>
    </w:div>
    <w:div w:id="1242058649">
      <w:bodyDiv w:val="1"/>
      <w:marLeft w:val="0"/>
      <w:marRight w:val="0"/>
      <w:marTop w:val="0"/>
      <w:marBottom w:val="0"/>
      <w:divBdr>
        <w:top w:val="none" w:sz="0" w:space="0" w:color="auto"/>
        <w:left w:val="none" w:sz="0" w:space="0" w:color="auto"/>
        <w:bottom w:val="none" w:sz="0" w:space="0" w:color="auto"/>
        <w:right w:val="none" w:sz="0" w:space="0" w:color="auto"/>
      </w:divBdr>
    </w:div>
    <w:div w:id="1246500365">
      <w:bodyDiv w:val="1"/>
      <w:marLeft w:val="0"/>
      <w:marRight w:val="0"/>
      <w:marTop w:val="0"/>
      <w:marBottom w:val="0"/>
      <w:divBdr>
        <w:top w:val="none" w:sz="0" w:space="0" w:color="auto"/>
        <w:left w:val="none" w:sz="0" w:space="0" w:color="auto"/>
        <w:bottom w:val="none" w:sz="0" w:space="0" w:color="auto"/>
        <w:right w:val="none" w:sz="0" w:space="0" w:color="auto"/>
      </w:divBdr>
    </w:div>
    <w:div w:id="1247108348">
      <w:bodyDiv w:val="1"/>
      <w:marLeft w:val="0"/>
      <w:marRight w:val="0"/>
      <w:marTop w:val="0"/>
      <w:marBottom w:val="0"/>
      <w:divBdr>
        <w:top w:val="none" w:sz="0" w:space="0" w:color="auto"/>
        <w:left w:val="none" w:sz="0" w:space="0" w:color="auto"/>
        <w:bottom w:val="none" w:sz="0" w:space="0" w:color="auto"/>
        <w:right w:val="none" w:sz="0" w:space="0" w:color="auto"/>
      </w:divBdr>
    </w:div>
    <w:div w:id="1252006684">
      <w:bodyDiv w:val="1"/>
      <w:marLeft w:val="0"/>
      <w:marRight w:val="0"/>
      <w:marTop w:val="0"/>
      <w:marBottom w:val="0"/>
      <w:divBdr>
        <w:top w:val="none" w:sz="0" w:space="0" w:color="auto"/>
        <w:left w:val="none" w:sz="0" w:space="0" w:color="auto"/>
        <w:bottom w:val="none" w:sz="0" w:space="0" w:color="auto"/>
        <w:right w:val="none" w:sz="0" w:space="0" w:color="auto"/>
      </w:divBdr>
    </w:div>
    <w:div w:id="1252860847">
      <w:bodyDiv w:val="1"/>
      <w:marLeft w:val="0"/>
      <w:marRight w:val="0"/>
      <w:marTop w:val="0"/>
      <w:marBottom w:val="0"/>
      <w:divBdr>
        <w:top w:val="none" w:sz="0" w:space="0" w:color="auto"/>
        <w:left w:val="none" w:sz="0" w:space="0" w:color="auto"/>
        <w:bottom w:val="none" w:sz="0" w:space="0" w:color="auto"/>
        <w:right w:val="none" w:sz="0" w:space="0" w:color="auto"/>
      </w:divBdr>
    </w:div>
    <w:div w:id="1255942689">
      <w:bodyDiv w:val="1"/>
      <w:marLeft w:val="0"/>
      <w:marRight w:val="0"/>
      <w:marTop w:val="0"/>
      <w:marBottom w:val="0"/>
      <w:divBdr>
        <w:top w:val="none" w:sz="0" w:space="0" w:color="auto"/>
        <w:left w:val="none" w:sz="0" w:space="0" w:color="auto"/>
        <w:bottom w:val="none" w:sz="0" w:space="0" w:color="auto"/>
        <w:right w:val="none" w:sz="0" w:space="0" w:color="auto"/>
      </w:divBdr>
    </w:div>
    <w:div w:id="1262760473">
      <w:bodyDiv w:val="1"/>
      <w:marLeft w:val="0"/>
      <w:marRight w:val="0"/>
      <w:marTop w:val="0"/>
      <w:marBottom w:val="0"/>
      <w:divBdr>
        <w:top w:val="none" w:sz="0" w:space="0" w:color="auto"/>
        <w:left w:val="none" w:sz="0" w:space="0" w:color="auto"/>
        <w:bottom w:val="none" w:sz="0" w:space="0" w:color="auto"/>
        <w:right w:val="none" w:sz="0" w:space="0" w:color="auto"/>
      </w:divBdr>
    </w:div>
    <w:div w:id="1280990845">
      <w:bodyDiv w:val="1"/>
      <w:marLeft w:val="0"/>
      <w:marRight w:val="0"/>
      <w:marTop w:val="0"/>
      <w:marBottom w:val="0"/>
      <w:divBdr>
        <w:top w:val="none" w:sz="0" w:space="0" w:color="auto"/>
        <w:left w:val="none" w:sz="0" w:space="0" w:color="auto"/>
        <w:bottom w:val="none" w:sz="0" w:space="0" w:color="auto"/>
        <w:right w:val="none" w:sz="0" w:space="0" w:color="auto"/>
      </w:divBdr>
    </w:div>
    <w:div w:id="1281494680">
      <w:bodyDiv w:val="1"/>
      <w:marLeft w:val="0"/>
      <w:marRight w:val="0"/>
      <w:marTop w:val="0"/>
      <w:marBottom w:val="0"/>
      <w:divBdr>
        <w:top w:val="none" w:sz="0" w:space="0" w:color="auto"/>
        <w:left w:val="none" w:sz="0" w:space="0" w:color="auto"/>
        <w:bottom w:val="none" w:sz="0" w:space="0" w:color="auto"/>
        <w:right w:val="none" w:sz="0" w:space="0" w:color="auto"/>
      </w:divBdr>
    </w:div>
    <w:div w:id="1292438602">
      <w:bodyDiv w:val="1"/>
      <w:marLeft w:val="0"/>
      <w:marRight w:val="0"/>
      <w:marTop w:val="0"/>
      <w:marBottom w:val="0"/>
      <w:divBdr>
        <w:top w:val="none" w:sz="0" w:space="0" w:color="auto"/>
        <w:left w:val="none" w:sz="0" w:space="0" w:color="auto"/>
        <w:bottom w:val="none" w:sz="0" w:space="0" w:color="auto"/>
        <w:right w:val="none" w:sz="0" w:space="0" w:color="auto"/>
      </w:divBdr>
    </w:div>
    <w:div w:id="1294944061">
      <w:bodyDiv w:val="1"/>
      <w:marLeft w:val="0"/>
      <w:marRight w:val="0"/>
      <w:marTop w:val="0"/>
      <w:marBottom w:val="0"/>
      <w:divBdr>
        <w:top w:val="none" w:sz="0" w:space="0" w:color="auto"/>
        <w:left w:val="none" w:sz="0" w:space="0" w:color="auto"/>
        <w:bottom w:val="none" w:sz="0" w:space="0" w:color="auto"/>
        <w:right w:val="none" w:sz="0" w:space="0" w:color="auto"/>
      </w:divBdr>
    </w:div>
    <w:div w:id="1297301706">
      <w:bodyDiv w:val="1"/>
      <w:marLeft w:val="0"/>
      <w:marRight w:val="0"/>
      <w:marTop w:val="0"/>
      <w:marBottom w:val="0"/>
      <w:divBdr>
        <w:top w:val="none" w:sz="0" w:space="0" w:color="auto"/>
        <w:left w:val="none" w:sz="0" w:space="0" w:color="auto"/>
        <w:bottom w:val="none" w:sz="0" w:space="0" w:color="auto"/>
        <w:right w:val="none" w:sz="0" w:space="0" w:color="auto"/>
      </w:divBdr>
    </w:div>
    <w:div w:id="1298025551">
      <w:bodyDiv w:val="1"/>
      <w:marLeft w:val="0"/>
      <w:marRight w:val="0"/>
      <w:marTop w:val="0"/>
      <w:marBottom w:val="0"/>
      <w:divBdr>
        <w:top w:val="none" w:sz="0" w:space="0" w:color="auto"/>
        <w:left w:val="none" w:sz="0" w:space="0" w:color="auto"/>
        <w:bottom w:val="none" w:sz="0" w:space="0" w:color="auto"/>
        <w:right w:val="none" w:sz="0" w:space="0" w:color="auto"/>
      </w:divBdr>
    </w:div>
    <w:div w:id="1300770062">
      <w:bodyDiv w:val="1"/>
      <w:marLeft w:val="0"/>
      <w:marRight w:val="0"/>
      <w:marTop w:val="0"/>
      <w:marBottom w:val="0"/>
      <w:divBdr>
        <w:top w:val="none" w:sz="0" w:space="0" w:color="auto"/>
        <w:left w:val="none" w:sz="0" w:space="0" w:color="auto"/>
        <w:bottom w:val="none" w:sz="0" w:space="0" w:color="auto"/>
        <w:right w:val="none" w:sz="0" w:space="0" w:color="auto"/>
      </w:divBdr>
    </w:div>
    <w:div w:id="1315723894">
      <w:bodyDiv w:val="1"/>
      <w:marLeft w:val="0"/>
      <w:marRight w:val="0"/>
      <w:marTop w:val="0"/>
      <w:marBottom w:val="0"/>
      <w:divBdr>
        <w:top w:val="none" w:sz="0" w:space="0" w:color="auto"/>
        <w:left w:val="none" w:sz="0" w:space="0" w:color="auto"/>
        <w:bottom w:val="none" w:sz="0" w:space="0" w:color="auto"/>
        <w:right w:val="none" w:sz="0" w:space="0" w:color="auto"/>
      </w:divBdr>
    </w:div>
    <w:div w:id="1318149023">
      <w:bodyDiv w:val="1"/>
      <w:marLeft w:val="0"/>
      <w:marRight w:val="0"/>
      <w:marTop w:val="0"/>
      <w:marBottom w:val="0"/>
      <w:divBdr>
        <w:top w:val="none" w:sz="0" w:space="0" w:color="auto"/>
        <w:left w:val="none" w:sz="0" w:space="0" w:color="auto"/>
        <w:bottom w:val="none" w:sz="0" w:space="0" w:color="auto"/>
        <w:right w:val="none" w:sz="0" w:space="0" w:color="auto"/>
      </w:divBdr>
    </w:div>
    <w:div w:id="1323775231">
      <w:bodyDiv w:val="1"/>
      <w:marLeft w:val="0"/>
      <w:marRight w:val="0"/>
      <w:marTop w:val="0"/>
      <w:marBottom w:val="0"/>
      <w:divBdr>
        <w:top w:val="none" w:sz="0" w:space="0" w:color="auto"/>
        <w:left w:val="none" w:sz="0" w:space="0" w:color="auto"/>
        <w:bottom w:val="none" w:sz="0" w:space="0" w:color="auto"/>
        <w:right w:val="none" w:sz="0" w:space="0" w:color="auto"/>
      </w:divBdr>
    </w:div>
    <w:div w:id="1324159700">
      <w:bodyDiv w:val="1"/>
      <w:marLeft w:val="0"/>
      <w:marRight w:val="0"/>
      <w:marTop w:val="0"/>
      <w:marBottom w:val="0"/>
      <w:divBdr>
        <w:top w:val="none" w:sz="0" w:space="0" w:color="auto"/>
        <w:left w:val="none" w:sz="0" w:space="0" w:color="auto"/>
        <w:bottom w:val="none" w:sz="0" w:space="0" w:color="auto"/>
        <w:right w:val="none" w:sz="0" w:space="0" w:color="auto"/>
      </w:divBdr>
    </w:div>
    <w:div w:id="1326205029">
      <w:bodyDiv w:val="1"/>
      <w:marLeft w:val="0"/>
      <w:marRight w:val="0"/>
      <w:marTop w:val="0"/>
      <w:marBottom w:val="0"/>
      <w:divBdr>
        <w:top w:val="none" w:sz="0" w:space="0" w:color="auto"/>
        <w:left w:val="none" w:sz="0" w:space="0" w:color="auto"/>
        <w:bottom w:val="none" w:sz="0" w:space="0" w:color="auto"/>
        <w:right w:val="none" w:sz="0" w:space="0" w:color="auto"/>
      </w:divBdr>
    </w:div>
    <w:div w:id="1335917970">
      <w:bodyDiv w:val="1"/>
      <w:marLeft w:val="0"/>
      <w:marRight w:val="0"/>
      <w:marTop w:val="0"/>
      <w:marBottom w:val="0"/>
      <w:divBdr>
        <w:top w:val="none" w:sz="0" w:space="0" w:color="auto"/>
        <w:left w:val="none" w:sz="0" w:space="0" w:color="auto"/>
        <w:bottom w:val="none" w:sz="0" w:space="0" w:color="auto"/>
        <w:right w:val="none" w:sz="0" w:space="0" w:color="auto"/>
      </w:divBdr>
    </w:div>
    <w:div w:id="1339427090">
      <w:bodyDiv w:val="1"/>
      <w:marLeft w:val="0"/>
      <w:marRight w:val="0"/>
      <w:marTop w:val="0"/>
      <w:marBottom w:val="0"/>
      <w:divBdr>
        <w:top w:val="none" w:sz="0" w:space="0" w:color="auto"/>
        <w:left w:val="none" w:sz="0" w:space="0" w:color="auto"/>
        <w:bottom w:val="none" w:sz="0" w:space="0" w:color="auto"/>
        <w:right w:val="none" w:sz="0" w:space="0" w:color="auto"/>
      </w:divBdr>
    </w:div>
    <w:div w:id="1339650368">
      <w:bodyDiv w:val="1"/>
      <w:marLeft w:val="0"/>
      <w:marRight w:val="0"/>
      <w:marTop w:val="0"/>
      <w:marBottom w:val="0"/>
      <w:divBdr>
        <w:top w:val="none" w:sz="0" w:space="0" w:color="auto"/>
        <w:left w:val="none" w:sz="0" w:space="0" w:color="auto"/>
        <w:bottom w:val="none" w:sz="0" w:space="0" w:color="auto"/>
        <w:right w:val="none" w:sz="0" w:space="0" w:color="auto"/>
      </w:divBdr>
    </w:div>
    <w:div w:id="1354266487">
      <w:bodyDiv w:val="1"/>
      <w:marLeft w:val="0"/>
      <w:marRight w:val="0"/>
      <w:marTop w:val="0"/>
      <w:marBottom w:val="0"/>
      <w:divBdr>
        <w:top w:val="none" w:sz="0" w:space="0" w:color="auto"/>
        <w:left w:val="none" w:sz="0" w:space="0" w:color="auto"/>
        <w:bottom w:val="none" w:sz="0" w:space="0" w:color="auto"/>
        <w:right w:val="none" w:sz="0" w:space="0" w:color="auto"/>
      </w:divBdr>
    </w:div>
    <w:div w:id="1354724060">
      <w:bodyDiv w:val="1"/>
      <w:marLeft w:val="0"/>
      <w:marRight w:val="0"/>
      <w:marTop w:val="0"/>
      <w:marBottom w:val="0"/>
      <w:divBdr>
        <w:top w:val="none" w:sz="0" w:space="0" w:color="auto"/>
        <w:left w:val="none" w:sz="0" w:space="0" w:color="auto"/>
        <w:bottom w:val="none" w:sz="0" w:space="0" w:color="auto"/>
        <w:right w:val="none" w:sz="0" w:space="0" w:color="auto"/>
      </w:divBdr>
    </w:div>
    <w:div w:id="1359742523">
      <w:bodyDiv w:val="1"/>
      <w:marLeft w:val="0"/>
      <w:marRight w:val="0"/>
      <w:marTop w:val="0"/>
      <w:marBottom w:val="0"/>
      <w:divBdr>
        <w:top w:val="none" w:sz="0" w:space="0" w:color="auto"/>
        <w:left w:val="none" w:sz="0" w:space="0" w:color="auto"/>
        <w:bottom w:val="none" w:sz="0" w:space="0" w:color="auto"/>
        <w:right w:val="none" w:sz="0" w:space="0" w:color="auto"/>
      </w:divBdr>
    </w:div>
    <w:div w:id="1366105083">
      <w:bodyDiv w:val="1"/>
      <w:marLeft w:val="0"/>
      <w:marRight w:val="0"/>
      <w:marTop w:val="0"/>
      <w:marBottom w:val="0"/>
      <w:divBdr>
        <w:top w:val="none" w:sz="0" w:space="0" w:color="auto"/>
        <w:left w:val="none" w:sz="0" w:space="0" w:color="auto"/>
        <w:bottom w:val="none" w:sz="0" w:space="0" w:color="auto"/>
        <w:right w:val="none" w:sz="0" w:space="0" w:color="auto"/>
      </w:divBdr>
    </w:div>
    <w:div w:id="1366558053">
      <w:bodyDiv w:val="1"/>
      <w:marLeft w:val="0"/>
      <w:marRight w:val="0"/>
      <w:marTop w:val="0"/>
      <w:marBottom w:val="0"/>
      <w:divBdr>
        <w:top w:val="none" w:sz="0" w:space="0" w:color="auto"/>
        <w:left w:val="none" w:sz="0" w:space="0" w:color="auto"/>
        <w:bottom w:val="none" w:sz="0" w:space="0" w:color="auto"/>
        <w:right w:val="none" w:sz="0" w:space="0" w:color="auto"/>
      </w:divBdr>
    </w:div>
    <w:div w:id="1366638601">
      <w:bodyDiv w:val="1"/>
      <w:marLeft w:val="0"/>
      <w:marRight w:val="0"/>
      <w:marTop w:val="0"/>
      <w:marBottom w:val="0"/>
      <w:divBdr>
        <w:top w:val="none" w:sz="0" w:space="0" w:color="auto"/>
        <w:left w:val="none" w:sz="0" w:space="0" w:color="auto"/>
        <w:bottom w:val="none" w:sz="0" w:space="0" w:color="auto"/>
        <w:right w:val="none" w:sz="0" w:space="0" w:color="auto"/>
      </w:divBdr>
    </w:div>
    <w:div w:id="1369138660">
      <w:bodyDiv w:val="1"/>
      <w:marLeft w:val="0"/>
      <w:marRight w:val="0"/>
      <w:marTop w:val="0"/>
      <w:marBottom w:val="0"/>
      <w:divBdr>
        <w:top w:val="none" w:sz="0" w:space="0" w:color="auto"/>
        <w:left w:val="none" w:sz="0" w:space="0" w:color="auto"/>
        <w:bottom w:val="none" w:sz="0" w:space="0" w:color="auto"/>
        <w:right w:val="none" w:sz="0" w:space="0" w:color="auto"/>
      </w:divBdr>
    </w:div>
    <w:div w:id="1373264194">
      <w:bodyDiv w:val="1"/>
      <w:marLeft w:val="0"/>
      <w:marRight w:val="0"/>
      <w:marTop w:val="0"/>
      <w:marBottom w:val="0"/>
      <w:divBdr>
        <w:top w:val="none" w:sz="0" w:space="0" w:color="auto"/>
        <w:left w:val="none" w:sz="0" w:space="0" w:color="auto"/>
        <w:bottom w:val="none" w:sz="0" w:space="0" w:color="auto"/>
        <w:right w:val="none" w:sz="0" w:space="0" w:color="auto"/>
      </w:divBdr>
    </w:div>
    <w:div w:id="1374233617">
      <w:bodyDiv w:val="1"/>
      <w:marLeft w:val="0"/>
      <w:marRight w:val="0"/>
      <w:marTop w:val="0"/>
      <w:marBottom w:val="0"/>
      <w:divBdr>
        <w:top w:val="none" w:sz="0" w:space="0" w:color="auto"/>
        <w:left w:val="none" w:sz="0" w:space="0" w:color="auto"/>
        <w:bottom w:val="none" w:sz="0" w:space="0" w:color="auto"/>
        <w:right w:val="none" w:sz="0" w:space="0" w:color="auto"/>
      </w:divBdr>
    </w:div>
    <w:div w:id="1377005972">
      <w:bodyDiv w:val="1"/>
      <w:marLeft w:val="0"/>
      <w:marRight w:val="0"/>
      <w:marTop w:val="0"/>
      <w:marBottom w:val="0"/>
      <w:divBdr>
        <w:top w:val="none" w:sz="0" w:space="0" w:color="auto"/>
        <w:left w:val="none" w:sz="0" w:space="0" w:color="auto"/>
        <w:bottom w:val="none" w:sz="0" w:space="0" w:color="auto"/>
        <w:right w:val="none" w:sz="0" w:space="0" w:color="auto"/>
      </w:divBdr>
    </w:div>
    <w:div w:id="1380087516">
      <w:bodyDiv w:val="1"/>
      <w:marLeft w:val="0"/>
      <w:marRight w:val="0"/>
      <w:marTop w:val="0"/>
      <w:marBottom w:val="0"/>
      <w:divBdr>
        <w:top w:val="none" w:sz="0" w:space="0" w:color="auto"/>
        <w:left w:val="none" w:sz="0" w:space="0" w:color="auto"/>
        <w:bottom w:val="none" w:sz="0" w:space="0" w:color="auto"/>
        <w:right w:val="none" w:sz="0" w:space="0" w:color="auto"/>
      </w:divBdr>
    </w:div>
    <w:div w:id="1382288545">
      <w:bodyDiv w:val="1"/>
      <w:marLeft w:val="0"/>
      <w:marRight w:val="0"/>
      <w:marTop w:val="0"/>
      <w:marBottom w:val="0"/>
      <w:divBdr>
        <w:top w:val="none" w:sz="0" w:space="0" w:color="auto"/>
        <w:left w:val="none" w:sz="0" w:space="0" w:color="auto"/>
        <w:bottom w:val="none" w:sz="0" w:space="0" w:color="auto"/>
        <w:right w:val="none" w:sz="0" w:space="0" w:color="auto"/>
      </w:divBdr>
    </w:div>
    <w:div w:id="1382514312">
      <w:bodyDiv w:val="1"/>
      <w:marLeft w:val="0"/>
      <w:marRight w:val="0"/>
      <w:marTop w:val="0"/>
      <w:marBottom w:val="0"/>
      <w:divBdr>
        <w:top w:val="none" w:sz="0" w:space="0" w:color="auto"/>
        <w:left w:val="none" w:sz="0" w:space="0" w:color="auto"/>
        <w:bottom w:val="none" w:sz="0" w:space="0" w:color="auto"/>
        <w:right w:val="none" w:sz="0" w:space="0" w:color="auto"/>
      </w:divBdr>
    </w:div>
    <w:div w:id="1385255107">
      <w:bodyDiv w:val="1"/>
      <w:marLeft w:val="0"/>
      <w:marRight w:val="0"/>
      <w:marTop w:val="0"/>
      <w:marBottom w:val="0"/>
      <w:divBdr>
        <w:top w:val="none" w:sz="0" w:space="0" w:color="auto"/>
        <w:left w:val="none" w:sz="0" w:space="0" w:color="auto"/>
        <w:bottom w:val="none" w:sz="0" w:space="0" w:color="auto"/>
        <w:right w:val="none" w:sz="0" w:space="0" w:color="auto"/>
      </w:divBdr>
    </w:div>
    <w:div w:id="1388646693">
      <w:bodyDiv w:val="1"/>
      <w:marLeft w:val="0"/>
      <w:marRight w:val="0"/>
      <w:marTop w:val="0"/>
      <w:marBottom w:val="0"/>
      <w:divBdr>
        <w:top w:val="none" w:sz="0" w:space="0" w:color="auto"/>
        <w:left w:val="none" w:sz="0" w:space="0" w:color="auto"/>
        <w:bottom w:val="none" w:sz="0" w:space="0" w:color="auto"/>
        <w:right w:val="none" w:sz="0" w:space="0" w:color="auto"/>
      </w:divBdr>
    </w:div>
    <w:div w:id="1392576250">
      <w:bodyDiv w:val="1"/>
      <w:marLeft w:val="0"/>
      <w:marRight w:val="0"/>
      <w:marTop w:val="0"/>
      <w:marBottom w:val="0"/>
      <w:divBdr>
        <w:top w:val="none" w:sz="0" w:space="0" w:color="auto"/>
        <w:left w:val="none" w:sz="0" w:space="0" w:color="auto"/>
        <w:bottom w:val="none" w:sz="0" w:space="0" w:color="auto"/>
        <w:right w:val="none" w:sz="0" w:space="0" w:color="auto"/>
      </w:divBdr>
    </w:div>
    <w:div w:id="1399402261">
      <w:bodyDiv w:val="1"/>
      <w:marLeft w:val="0"/>
      <w:marRight w:val="0"/>
      <w:marTop w:val="0"/>
      <w:marBottom w:val="0"/>
      <w:divBdr>
        <w:top w:val="none" w:sz="0" w:space="0" w:color="auto"/>
        <w:left w:val="none" w:sz="0" w:space="0" w:color="auto"/>
        <w:bottom w:val="none" w:sz="0" w:space="0" w:color="auto"/>
        <w:right w:val="none" w:sz="0" w:space="0" w:color="auto"/>
      </w:divBdr>
    </w:div>
    <w:div w:id="1419056358">
      <w:bodyDiv w:val="1"/>
      <w:marLeft w:val="0"/>
      <w:marRight w:val="0"/>
      <w:marTop w:val="0"/>
      <w:marBottom w:val="0"/>
      <w:divBdr>
        <w:top w:val="none" w:sz="0" w:space="0" w:color="auto"/>
        <w:left w:val="none" w:sz="0" w:space="0" w:color="auto"/>
        <w:bottom w:val="none" w:sz="0" w:space="0" w:color="auto"/>
        <w:right w:val="none" w:sz="0" w:space="0" w:color="auto"/>
      </w:divBdr>
    </w:div>
    <w:div w:id="1424111099">
      <w:bodyDiv w:val="1"/>
      <w:marLeft w:val="0"/>
      <w:marRight w:val="0"/>
      <w:marTop w:val="0"/>
      <w:marBottom w:val="0"/>
      <w:divBdr>
        <w:top w:val="none" w:sz="0" w:space="0" w:color="auto"/>
        <w:left w:val="none" w:sz="0" w:space="0" w:color="auto"/>
        <w:bottom w:val="none" w:sz="0" w:space="0" w:color="auto"/>
        <w:right w:val="none" w:sz="0" w:space="0" w:color="auto"/>
      </w:divBdr>
    </w:div>
    <w:div w:id="1425303221">
      <w:bodyDiv w:val="1"/>
      <w:marLeft w:val="0"/>
      <w:marRight w:val="0"/>
      <w:marTop w:val="0"/>
      <w:marBottom w:val="0"/>
      <w:divBdr>
        <w:top w:val="none" w:sz="0" w:space="0" w:color="auto"/>
        <w:left w:val="none" w:sz="0" w:space="0" w:color="auto"/>
        <w:bottom w:val="none" w:sz="0" w:space="0" w:color="auto"/>
        <w:right w:val="none" w:sz="0" w:space="0" w:color="auto"/>
      </w:divBdr>
    </w:div>
    <w:div w:id="1440297828">
      <w:bodyDiv w:val="1"/>
      <w:marLeft w:val="0"/>
      <w:marRight w:val="0"/>
      <w:marTop w:val="0"/>
      <w:marBottom w:val="0"/>
      <w:divBdr>
        <w:top w:val="none" w:sz="0" w:space="0" w:color="auto"/>
        <w:left w:val="none" w:sz="0" w:space="0" w:color="auto"/>
        <w:bottom w:val="none" w:sz="0" w:space="0" w:color="auto"/>
        <w:right w:val="none" w:sz="0" w:space="0" w:color="auto"/>
      </w:divBdr>
    </w:div>
    <w:div w:id="1443302766">
      <w:bodyDiv w:val="1"/>
      <w:marLeft w:val="0"/>
      <w:marRight w:val="0"/>
      <w:marTop w:val="0"/>
      <w:marBottom w:val="0"/>
      <w:divBdr>
        <w:top w:val="none" w:sz="0" w:space="0" w:color="auto"/>
        <w:left w:val="none" w:sz="0" w:space="0" w:color="auto"/>
        <w:bottom w:val="none" w:sz="0" w:space="0" w:color="auto"/>
        <w:right w:val="none" w:sz="0" w:space="0" w:color="auto"/>
      </w:divBdr>
    </w:div>
    <w:div w:id="1444888067">
      <w:bodyDiv w:val="1"/>
      <w:marLeft w:val="0"/>
      <w:marRight w:val="0"/>
      <w:marTop w:val="0"/>
      <w:marBottom w:val="0"/>
      <w:divBdr>
        <w:top w:val="none" w:sz="0" w:space="0" w:color="auto"/>
        <w:left w:val="none" w:sz="0" w:space="0" w:color="auto"/>
        <w:bottom w:val="none" w:sz="0" w:space="0" w:color="auto"/>
        <w:right w:val="none" w:sz="0" w:space="0" w:color="auto"/>
      </w:divBdr>
    </w:div>
    <w:div w:id="1449739170">
      <w:bodyDiv w:val="1"/>
      <w:marLeft w:val="0"/>
      <w:marRight w:val="0"/>
      <w:marTop w:val="0"/>
      <w:marBottom w:val="0"/>
      <w:divBdr>
        <w:top w:val="none" w:sz="0" w:space="0" w:color="auto"/>
        <w:left w:val="none" w:sz="0" w:space="0" w:color="auto"/>
        <w:bottom w:val="none" w:sz="0" w:space="0" w:color="auto"/>
        <w:right w:val="none" w:sz="0" w:space="0" w:color="auto"/>
      </w:divBdr>
    </w:div>
    <w:div w:id="1451244951">
      <w:bodyDiv w:val="1"/>
      <w:marLeft w:val="0"/>
      <w:marRight w:val="0"/>
      <w:marTop w:val="0"/>
      <w:marBottom w:val="0"/>
      <w:divBdr>
        <w:top w:val="none" w:sz="0" w:space="0" w:color="auto"/>
        <w:left w:val="none" w:sz="0" w:space="0" w:color="auto"/>
        <w:bottom w:val="none" w:sz="0" w:space="0" w:color="auto"/>
        <w:right w:val="none" w:sz="0" w:space="0" w:color="auto"/>
      </w:divBdr>
    </w:div>
    <w:div w:id="1455057785">
      <w:bodyDiv w:val="1"/>
      <w:marLeft w:val="0"/>
      <w:marRight w:val="0"/>
      <w:marTop w:val="0"/>
      <w:marBottom w:val="0"/>
      <w:divBdr>
        <w:top w:val="none" w:sz="0" w:space="0" w:color="auto"/>
        <w:left w:val="none" w:sz="0" w:space="0" w:color="auto"/>
        <w:bottom w:val="none" w:sz="0" w:space="0" w:color="auto"/>
        <w:right w:val="none" w:sz="0" w:space="0" w:color="auto"/>
      </w:divBdr>
    </w:div>
    <w:div w:id="1455904952">
      <w:bodyDiv w:val="1"/>
      <w:marLeft w:val="0"/>
      <w:marRight w:val="0"/>
      <w:marTop w:val="0"/>
      <w:marBottom w:val="0"/>
      <w:divBdr>
        <w:top w:val="none" w:sz="0" w:space="0" w:color="auto"/>
        <w:left w:val="none" w:sz="0" w:space="0" w:color="auto"/>
        <w:bottom w:val="none" w:sz="0" w:space="0" w:color="auto"/>
        <w:right w:val="none" w:sz="0" w:space="0" w:color="auto"/>
      </w:divBdr>
    </w:div>
    <w:div w:id="1460031231">
      <w:bodyDiv w:val="1"/>
      <w:marLeft w:val="0"/>
      <w:marRight w:val="0"/>
      <w:marTop w:val="0"/>
      <w:marBottom w:val="0"/>
      <w:divBdr>
        <w:top w:val="none" w:sz="0" w:space="0" w:color="auto"/>
        <w:left w:val="none" w:sz="0" w:space="0" w:color="auto"/>
        <w:bottom w:val="none" w:sz="0" w:space="0" w:color="auto"/>
        <w:right w:val="none" w:sz="0" w:space="0" w:color="auto"/>
      </w:divBdr>
    </w:div>
    <w:div w:id="1462648173">
      <w:bodyDiv w:val="1"/>
      <w:marLeft w:val="0"/>
      <w:marRight w:val="0"/>
      <w:marTop w:val="0"/>
      <w:marBottom w:val="0"/>
      <w:divBdr>
        <w:top w:val="none" w:sz="0" w:space="0" w:color="auto"/>
        <w:left w:val="none" w:sz="0" w:space="0" w:color="auto"/>
        <w:bottom w:val="none" w:sz="0" w:space="0" w:color="auto"/>
        <w:right w:val="none" w:sz="0" w:space="0" w:color="auto"/>
      </w:divBdr>
    </w:div>
    <w:div w:id="1464348265">
      <w:bodyDiv w:val="1"/>
      <w:marLeft w:val="0"/>
      <w:marRight w:val="0"/>
      <w:marTop w:val="0"/>
      <w:marBottom w:val="0"/>
      <w:divBdr>
        <w:top w:val="none" w:sz="0" w:space="0" w:color="auto"/>
        <w:left w:val="none" w:sz="0" w:space="0" w:color="auto"/>
        <w:bottom w:val="none" w:sz="0" w:space="0" w:color="auto"/>
        <w:right w:val="none" w:sz="0" w:space="0" w:color="auto"/>
      </w:divBdr>
    </w:div>
    <w:div w:id="1468669464">
      <w:bodyDiv w:val="1"/>
      <w:marLeft w:val="0"/>
      <w:marRight w:val="0"/>
      <w:marTop w:val="0"/>
      <w:marBottom w:val="0"/>
      <w:divBdr>
        <w:top w:val="none" w:sz="0" w:space="0" w:color="auto"/>
        <w:left w:val="none" w:sz="0" w:space="0" w:color="auto"/>
        <w:bottom w:val="none" w:sz="0" w:space="0" w:color="auto"/>
        <w:right w:val="none" w:sz="0" w:space="0" w:color="auto"/>
      </w:divBdr>
    </w:div>
    <w:div w:id="1476213743">
      <w:bodyDiv w:val="1"/>
      <w:marLeft w:val="0"/>
      <w:marRight w:val="0"/>
      <w:marTop w:val="0"/>
      <w:marBottom w:val="0"/>
      <w:divBdr>
        <w:top w:val="none" w:sz="0" w:space="0" w:color="auto"/>
        <w:left w:val="none" w:sz="0" w:space="0" w:color="auto"/>
        <w:bottom w:val="none" w:sz="0" w:space="0" w:color="auto"/>
        <w:right w:val="none" w:sz="0" w:space="0" w:color="auto"/>
      </w:divBdr>
    </w:div>
    <w:div w:id="1478842744">
      <w:bodyDiv w:val="1"/>
      <w:marLeft w:val="0"/>
      <w:marRight w:val="0"/>
      <w:marTop w:val="0"/>
      <w:marBottom w:val="0"/>
      <w:divBdr>
        <w:top w:val="none" w:sz="0" w:space="0" w:color="auto"/>
        <w:left w:val="none" w:sz="0" w:space="0" w:color="auto"/>
        <w:bottom w:val="none" w:sz="0" w:space="0" w:color="auto"/>
        <w:right w:val="none" w:sz="0" w:space="0" w:color="auto"/>
      </w:divBdr>
    </w:div>
    <w:div w:id="1487668245">
      <w:bodyDiv w:val="1"/>
      <w:marLeft w:val="0"/>
      <w:marRight w:val="0"/>
      <w:marTop w:val="0"/>
      <w:marBottom w:val="0"/>
      <w:divBdr>
        <w:top w:val="none" w:sz="0" w:space="0" w:color="auto"/>
        <w:left w:val="none" w:sz="0" w:space="0" w:color="auto"/>
        <w:bottom w:val="none" w:sz="0" w:space="0" w:color="auto"/>
        <w:right w:val="none" w:sz="0" w:space="0" w:color="auto"/>
      </w:divBdr>
    </w:div>
    <w:div w:id="1488939069">
      <w:bodyDiv w:val="1"/>
      <w:marLeft w:val="0"/>
      <w:marRight w:val="0"/>
      <w:marTop w:val="0"/>
      <w:marBottom w:val="0"/>
      <w:divBdr>
        <w:top w:val="none" w:sz="0" w:space="0" w:color="auto"/>
        <w:left w:val="none" w:sz="0" w:space="0" w:color="auto"/>
        <w:bottom w:val="none" w:sz="0" w:space="0" w:color="auto"/>
        <w:right w:val="none" w:sz="0" w:space="0" w:color="auto"/>
      </w:divBdr>
    </w:div>
    <w:div w:id="1489130303">
      <w:bodyDiv w:val="1"/>
      <w:marLeft w:val="0"/>
      <w:marRight w:val="0"/>
      <w:marTop w:val="0"/>
      <w:marBottom w:val="0"/>
      <w:divBdr>
        <w:top w:val="none" w:sz="0" w:space="0" w:color="auto"/>
        <w:left w:val="none" w:sz="0" w:space="0" w:color="auto"/>
        <w:bottom w:val="none" w:sz="0" w:space="0" w:color="auto"/>
        <w:right w:val="none" w:sz="0" w:space="0" w:color="auto"/>
      </w:divBdr>
    </w:div>
    <w:div w:id="1489591607">
      <w:bodyDiv w:val="1"/>
      <w:marLeft w:val="0"/>
      <w:marRight w:val="0"/>
      <w:marTop w:val="0"/>
      <w:marBottom w:val="0"/>
      <w:divBdr>
        <w:top w:val="none" w:sz="0" w:space="0" w:color="auto"/>
        <w:left w:val="none" w:sz="0" w:space="0" w:color="auto"/>
        <w:bottom w:val="none" w:sz="0" w:space="0" w:color="auto"/>
        <w:right w:val="none" w:sz="0" w:space="0" w:color="auto"/>
      </w:divBdr>
    </w:div>
    <w:div w:id="1495684464">
      <w:bodyDiv w:val="1"/>
      <w:marLeft w:val="0"/>
      <w:marRight w:val="0"/>
      <w:marTop w:val="0"/>
      <w:marBottom w:val="0"/>
      <w:divBdr>
        <w:top w:val="none" w:sz="0" w:space="0" w:color="auto"/>
        <w:left w:val="none" w:sz="0" w:space="0" w:color="auto"/>
        <w:bottom w:val="none" w:sz="0" w:space="0" w:color="auto"/>
        <w:right w:val="none" w:sz="0" w:space="0" w:color="auto"/>
      </w:divBdr>
    </w:div>
    <w:div w:id="1499224429">
      <w:bodyDiv w:val="1"/>
      <w:marLeft w:val="0"/>
      <w:marRight w:val="0"/>
      <w:marTop w:val="0"/>
      <w:marBottom w:val="0"/>
      <w:divBdr>
        <w:top w:val="none" w:sz="0" w:space="0" w:color="auto"/>
        <w:left w:val="none" w:sz="0" w:space="0" w:color="auto"/>
        <w:bottom w:val="none" w:sz="0" w:space="0" w:color="auto"/>
        <w:right w:val="none" w:sz="0" w:space="0" w:color="auto"/>
      </w:divBdr>
    </w:div>
    <w:div w:id="1500465777">
      <w:bodyDiv w:val="1"/>
      <w:marLeft w:val="0"/>
      <w:marRight w:val="0"/>
      <w:marTop w:val="0"/>
      <w:marBottom w:val="0"/>
      <w:divBdr>
        <w:top w:val="none" w:sz="0" w:space="0" w:color="auto"/>
        <w:left w:val="none" w:sz="0" w:space="0" w:color="auto"/>
        <w:bottom w:val="none" w:sz="0" w:space="0" w:color="auto"/>
        <w:right w:val="none" w:sz="0" w:space="0" w:color="auto"/>
      </w:divBdr>
    </w:div>
    <w:div w:id="1501390250">
      <w:bodyDiv w:val="1"/>
      <w:marLeft w:val="0"/>
      <w:marRight w:val="0"/>
      <w:marTop w:val="0"/>
      <w:marBottom w:val="0"/>
      <w:divBdr>
        <w:top w:val="none" w:sz="0" w:space="0" w:color="auto"/>
        <w:left w:val="none" w:sz="0" w:space="0" w:color="auto"/>
        <w:bottom w:val="none" w:sz="0" w:space="0" w:color="auto"/>
        <w:right w:val="none" w:sz="0" w:space="0" w:color="auto"/>
      </w:divBdr>
    </w:div>
    <w:div w:id="1506169892">
      <w:bodyDiv w:val="1"/>
      <w:marLeft w:val="0"/>
      <w:marRight w:val="0"/>
      <w:marTop w:val="0"/>
      <w:marBottom w:val="0"/>
      <w:divBdr>
        <w:top w:val="none" w:sz="0" w:space="0" w:color="auto"/>
        <w:left w:val="none" w:sz="0" w:space="0" w:color="auto"/>
        <w:bottom w:val="none" w:sz="0" w:space="0" w:color="auto"/>
        <w:right w:val="none" w:sz="0" w:space="0" w:color="auto"/>
      </w:divBdr>
    </w:div>
    <w:div w:id="1511481403">
      <w:bodyDiv w:val="1"/>
      <w:marLeft w:val="0"/>
      <w:marRight w:val="0"/>
      <w:marTop w:val="0"/>
      <w:marBottom w:val="0"/>
      <w:divBdr>
        <w:top w:val="none" w:sz="0" w:space="0" w:color="auto"/>
        <w:left w:val="none" w:sz="0" w:space="0" w:color="auto"/>
        <w:bottom w:val="none" w:sz="0" w:space="0" w:color="auto"/>
        <w:right w:val="none" w:sz="0" w:space="0" w:color="auto"/>
      </w:divBdr>
    </w:div>
    <w:div w:id="1513296712">
      <w:bodyDiv w:val="1"/>
      <w:marLeft w:val="0"/>
      <w:marRight w:val="0"/>
      <w:marTop w:val="0"/>
      <w:marBottom w:val="0"/>
      <w:divBdr>
        <w:top w:val="none" w:sz="0" w:space="0" w:color="auto"/>
        <w:left w:val="none" w:sz="0" w:space="0" w:color="auto"/>
        <w:bottom w:val="none" w:sz="0" w:space="0" w:color="auto"/>
        <w:right w:val="none" w:sz="0" w:space="0" w:color="auto"/>
      </w:divBdr>
    </w:div>
    <w:div w:id="1513570442">
      <w:bodyDiv w:val="1"/>
      <w:marLeft w:val="0"/>
      <w:marRight w:val="0"/>
      <w:marTop w:val="0"/>
      <w:marBottom w:val="0"/>
      <w:divBdr>
        <w:top w:val="none" w:sz="0" w:space="0" w:color="auto"/>
        <w:left w:val="none" w:sz="0" w:space="0" w:color="auto"/>
        <w:bottom w:val="none" w:sz="0" w:space="0" w:color="auto"/>
        <w:right w:val="none" w:sz="0" w:space="0" w:color="auto"/>
      </w:divBdr>
    </w:div>
    <w:div w:id="1517301997">
      <w:bodyDiv w:val="1"/>
      <w:marLeft w:val="0"/>
      <w:marRight w:val="0"/>
      <w:marTop w:val="0"/>
      <w:marBottom w:val="0"/>
      <w:divBdr>
        <w:top w:val="none" w:sz="0" w:space="0" w:color="auto"/>
        <w:left w:val="none" w:sz="0" w:space="0" w:color="auto"/>
        <w:bottom w:val="none" w:sz="0" w:space="0" w:color="auto"/>
        <w:right w:val="none" w:sz="0" w:space="0" w:color="auto"/>
      </w:divBdr>
    </w:div>
    <w:div w:id="1518079881">
      <w:bodyDiv w:val="1"/>
      <w:marLeft w:val="0"/>
      <w:marRight w:val="0"/>
      <w:marTop w:val="0"/>
      <w:marBottom w:val="0"/>
      <w:divBdr>
        <w:top w:val="none" w:sz="0" w:space="0" w:color="auto"/>
        <w:left w:val="none" w:sz="0" w:space="0" w:color="auto"/>
        <w:bottom w:val="none" w:sz="0" w:space="0" w:color="auto"/>
        <w:right w:val="none" w:sz="0" w:space="0" w:color="auto"/>
      </w:divBdr>
    </w:div>
    <w:div w:id="1518885294">
      <w:bodyDiv w:val="1"/>
      <w:marLeft w:val="0"/>
      <w:marRight w:val="0"/>
      <w:marTop w:val="0"/>
      <w:marBottom w:val="0"/>
      <w:divBdr>
        <w:top w:val="none" w:sz="0" w:space="0" w:color="auto"/>
        <w:left w:val="none" w:sz="0" w:space="0" w:color="auto"/>
        <w:bottom w:val="none" w:sz="0" w:space="0" w:color="auto"/>
        <w:right w:val="none" w:sz="0" w:space="0" w:color="auto"/>
      </w:divBdr>
    </w:div>
    <w:div w:id="1526363314">
      <w:bodyDiv w:val="1"/>
      <w:marLeft w:val="0"/>
      <w:marRight w:val="0"/>
      <w:marTop w:val="0"/>
      <w:marBottom w:val="0"/>
      <w:divBdr>
        <w:top w:val="none" w:sz="0" w:space="0" w:color="auto"/>
        <w:left w:val="none" w:sz="0" w:space="0" w:color="auto"/>
        <w:bottom w:val="none" w:sz="0" w:space="0" w:color="auto"/>
        <w:right w:val="none" w:sz="0" w:space="0" w:color="auto"/>
      </w:divBdr>
    </w:div>
    <w:div w:id="1533764585">
      <w:bodyDiv w:val="1"/>
      <w:marLeft w:val="0"/>
      <w:marRight w:val="0"/>
      <w:marTop w:val="0"/>
      <w:marBottom w:val="0"/>
      <w:divBdr>
        <w:top w:val="none" w:sz="0" w:space="0" w:color="auto"/>
        <w:left w:val="none" w:sz="0" w:space="0" w:color="auto"/>
        <w:bottom w:val="none" w:sz="0" w:space="0" w:color="auto"/>
        <w:right w:val="none" w:sz="0" w:space="0" w:color="auto"/>
      </w:divBdr>
    </w:div>
    <w:div w:id="1543252756">
      <w:bodyDiv w:val="1"/>
      <w:marLeft w:val="0"/>
      <w:marRight w:val="0"/>
      <w:marTop w:val="0"/>
      <w:marBottom w:val="0"/>
      <w:divBdr>
        <w:top w:val="none" w:sz="0" w:space="0" w:color="auto"/>
        <w:left w:val="none" w:sz="0" w:space="0" w:color="auto"/>
        <w:bottom w:val="none" w:sz="0" w:space="0" w:color="auto"/>
        <w:right w:val="none" w:sz="0" w:space="0" w:color="auto"/>
      </w:divBdr>
    </w:div>
    <w:div w:id="1558586484">
      <w:bodyDiv w:val="1"/>
      <w:marLeft w:val="0"/>
      <w:marRight w:val="0"/>
      <w:marTop w:val="0"/>
      <w:marBottom w:val="0"/>
      <w:divBdr>
        <w:top w:val="none" w:sz="0" w:space="0" w:color="auto"/>
        <w:left w:val="none" w:sz="0" w:space="0" w:color="auto"/>
        <w:bottom w:val="none" w:sz="0" w:space="0" w:color="auto"/>
        <w:right w:val="none" w:sz="0" w:space="0" w:color="auto"/>
      </w:divBdr>
    </w:div>
    <w:div w:id="1559173356">
      <w:bodyDiv w:val="1"/>
      <w:marLeft w:val="0"/>
      <w:marRight w:val="0"/>
      <w:marTop w:val="0"/>
      <w:marBottom w:val="0"/>
      <w:divBdr>
        <w:top w:val="none" w:sz="0" w:space="0" w:color="auto"/>
        <w:left w:val="none" w:sz="0" w:space="0" w:color="auto"/>
        <w:bottom w:val="none" w:sz="0" w:space="0" w:color="auto"/>
        <w:right w:val="none" w:sz="0" w:space="0" w:color="auto"/>
      </w:divBdr>
    </w:div>
    <w:div w:id="1561554560">
      <w:bodyDiv w:val="1"/>
      <w:marLeft w:val="0"/>
      <w:marRight w:val="0"/>
      <w:marTop w:val="0"/>
      <w:marBottom w:val="0"/>
      <w:divBdr>
        <w:top w:val="none" w:sz="0" w:space="0" w:color="auto"/>
        <w:left w:val="none" w:sz="0" w:space="0" w:color="auto"/>
        <w:bottom w:val="none" w:sz="0" w:space="0" w:color="auto"/>
        <w:right w:val="none" w:sz="0" w:space="0" w:color="auto"/>
      </w:divBdr>
    </w:div>
    <w:div w:id="1562597620">
      <w:bodyDiv w:val="1"/>
      <w:marLeft w:val="0"/>
      <w:marRight w:val="0"/>
      <w:marTop w:val="0"/>
      <w:marBottom w:val="0"/>
      <w:divBdr>
        <w:top w:val="none" w:sz="0" w:space="0" w:color="auto"/>
        <w:left w:val="none" w:sz="0" w:space="0" w:color="auto"/>
        <w:bottom w:val="none" w:sz="0" w:space="0" w:color="auto"/>
        <w:right w:val="none" w:sz="0" w:space="0" w:color="auto"/>
      </w:divBdr>
    </w:div>
    <w:div w:id="1564948962">
      <w:bodyDiv w:val="1"/>
      <w:marLeft w:val="0"/>
      <w:marRight w:val="0"/>
      <w:marTop w:val="0"/>
      <w:marBottom w:val="0"/>
      <w:divBdr>
        <w:top w:val="none" w:sz="0" w:space="0" w:color="auto"/>
        <w:left w:val="none" w:sz="0" w:space="0" w:color="auto"/>
        <w:bottom w:val="none" w:sz="0" w:space="0" w:color="auto"/>
        <w:right w:val="none" w:sz="0" w:space="0" w:color="auto"/>
      </w:divBdr>
    </w:div>
    <w:div w:id="1566909815">
      <w:bodyDiv w:val="1"/>
      <w:marLeft w:val="0"/>
      <w:marRight w:val="0"/>
      <w:marTop w:val="0"/>
      <w:marBottom w:val="0"/>
      <w:divBdr>
        <w:top w:val="none" w:sz="0" w:space="0" w:color="auto"/>
        <w:left w:val="none" w:sz="0" w:space="0" w:color="auto"/>
        <w:bottom w:val="none" w:sz="0" w:space="0" w:color="auto"/>
        <w:right w:val="none" w:sz="0" w:space="0" w:color="auto"/>
      </w:divBdr>
    </w:div>
    <w:div w:id="1568221486">
      <w:bodyDiv w:val="1"/>
      <w:marLeft w:val="0"/>
      <w:marRight w:val="0"/>
      <w:marTop w:val="0"/>
      <w:marBottom w:val="0"/>
      <w:divBdr>
        <w:top w:val="none" w:sz="0" w:space="0" w:color="auto"/>
        <w:left w:val="none" w:sz="0" w:space="0" w:color="auto"/>
        <w:bottom w:val="none" w:sz="0" w:space="0" w:color="auto"/>
        <w:right w:val="none" w:sz="0" w:space="0" w:color="auto"/>
      </w:divBdr>
    </w:div>
    <w:div w:id="1577860018">
      <w:bodyDiv w:val="1"/>
      <w:marLeft w:val="0"/>
      <w:marRight w:val="0"/>
      <w:marTop w:val="0"/>
      <w:marBottom w:val="0"/>
      <w:divBdr>
        <w:top w:val="none" w:sz="0" w:space="0" w:color="auto"/>
        <w:left w:val="none" w:sz="0" w:space="0" w:color="auto"/>
        <w:bottom w:val="none" w:sz="0" w:space="0" w:color="auto"/>
        <w:right w:val="none" w:sz="0" w:space="0" w:color="auto"/>
      </w:divBdr>
    </w:div>
    <w:div w:id="1581980582">
      <w:bodyDiv w:val="1"/>
      <w:marLeft w:val="0"/>
      <w:marRight w:val="0"/>
      <w:marTop w:val="0"/>
      <w:marBottom w:val="0"/>
      <w:divBdr>
        <w:top w:val="none" w:sz="0" w:space="0" w:color="auto"/>
        <w:left w:val="none" w:sz="0" w:space="0" w:color="auto"/>
        <w:bottom w:val="none" w:sz="0" w:space="0" w:color="auto"/>
        <w:right w:val="none" w:sz="0" w:space="0" w:color="auto"/>
      </w:divBdr>
    </w:div>
    <w:div w:id="1583836882">
      <w:bodyDiv w:val="1"/>
      <w:marLeft w:val="0"/>
      <w:marRight w:val="0"/>
      <w:marTop w:val="0"/>
      <w:marBottom w:val="0"/>
      <w:divBdr>
        <w:top w:val="none" w:sz="0" w:space="0" w:color="auto"/>
        <w:left w:val="none" w:sz="0" w:space="0" w:color="auto"/>
        <w:bottom w:val="none" w:sz="0" w:space="0" w:color="auto"/>
        <w:right w:val="none" w:sz="0" w:space="0" w:color="auto"/>
      </w:divBdr>
    </w:div>
    <w:div w:id="1599948272">
      <w:bodyDiv w:val="1"/>
      <w:marLeft w:val="0"/>
      <w:marRight w:val="0"/>
      <w:marTop w:val="0"/>
      <w:marBottom w:val="0"/>
      <w:divBdr>
        <w:top w:val="none" w:sz="0" w:space="0" w:color="auto"/>
        <w:left w:val="none" w:sz="0" w:space="0" w:color="auto"/>
        <w:bottom w:val="none" w:sz="0" w:space="0" w:color="auto"/>
        <w:right w:val="none" w:sz="0" w:space="0" w:color="auto"/>
      </w:divBdr>
    </w:div>
    <w:div w:id="1602453287">
      <w:bodyDiv w:val="1"/>
      <w:marLeft w:val="0"/>
      <w:marRight w:val="0"/>
      <w:marTop w:val="0"/>
      <w:marBottom w:val="0"/>
      <w:divBdr>
        <w:top w:val="none" w:sz="0" w:space="0" w:color="auto"/>
        <w:left w:val="none" w:sz="0" w:space="0" w:color="auto"/>
        <w:bottom w:val="none" w:sz="0" w:space="0" w:color="auto"/>
        <w:right w:val="none" w:sz="0" w:space="0" w:color="auto"/>
      </w:divBdr>
    </w:div>
    <w:div w:id="1604536576">
      <w:bodyDiv w:val="1"/>
      <w:marLeft w:val="0"/>
      <w:marRight w:val="0"/>
      <w:marTop w:val="0"/>
      <w:marBottom w:val="0"/>
      <w:divBdr>
        <w:top w:val="none" w:sz="0" w:space="0" w:color="auto"/>
        <w:left w:val="none" w:sz="0" w:space="0" w:color="auto"/>
        <w:bottom w:val="none" w:sz="0" w:space="0" w:color="auto"/>
        <w:right w:val="none" w:sz="0" w:space="0" w:color="auto"/>
      </w:divBdr>
    </w:div>
    <w:div w:id="1608737504">
      <w:bodyDiv w:val="1"/>
      <w:marLeft w:val="0"/>
      <w:marRight w:val="0"/>
      <w:marTop w:val="0"/>
      <w:marBottom w:val="0"/>
      <w:divBdr>
        <w:top w:val="none" w:sz="0" w:space="0" w:color="auto"/>
        <w:left w:val="none" w:sz="0" w:space="0" w:color="auto"/>
        <w:bottom w:val="none" w:sz="0" w:space="0" w:color="auto"/>
        <w:right w:val="none" w:sz="0" w:space="0" w:color="auto"/>
      </w:divBdr>
    </w:div>
    <w:div w:id="1609970299">
      <w:bodyDiv w:val="1"/>
      <w:marLeft w:val="0"/>
      <w:marRight w:val="0"/>
      <w:marTop w:val="0"/>
      <w:marBottom w:val="0"/>
      <w:divBdr>
        <w:top w:val="none" w:sz="0" w:space="0" w:color="auto"/>
        <w:left w:val="none" w:sz="0" w:space="0" w:color="auto"/>
        <w:bottom w:val="none" w:sz="0" w:space="0" w:color="auto"/>
        <w:right w:val="none" w:sz="0" w:space="0" w:color="auto"/>
      </w:divBdr>
    </w:div>
    <w:div w:id="1611817790">
      <w:bodyDiv w:val="1"/>
      <w:marLeft w:val="0"/>
      <w:marRight w:val="0"/>
      <w:marTop w:val="0"/>
      <w:marBottom w:val="0"/>
      <w:divBdr>
        <w:top w:val="none" w:sz="0" w:space="0" w:color="auto"/>
        <w:left w:val="none" w:sz="0" w:space="0" w:color="auto"/>
        <w:bottom w:val="none" w:sz="0" w:space="0" w:color="auto"/>
        <w:right w:val="none" w:sz="0" w:space="0" w:color="auto"/>
      </w:divBdr>
    </w:div>
    <w:div w:id="1612321512">
      <w:bodyDiv w:val="1"/>
      <w:marLeft w:val="0"/>
      <w:marRight w:val="0"/>
      <w:marTop w:val="0"/>
      <w:marBottom w:val="0"/>
      <w:divBdr>
        <w:top w:val="none" w:sz="0" w:space="0" w:color="auto"/>
        <w:left w:val="none" w:sz="0" w:space="0" w:color="auto"/>
        <w:bottom w:val="none" w:sz="0" w:space="0" w:color="auto"/>
        <w:right w:val="none" w:sz="0" w:space="0" w:color="auto"/>
      </w:divBdr>
    </w:div>
    <w:div w:id="1623224214">
      <w:bodyDiv w:val="1"/>
      <w:marLeft w:val="0"/>
      <w:marRight w:val="0"/>
      <w:marTop w:val="0"/>
      <w:marBottom w:val="0"/>
      <w:divBdr>
        <w:top w:val="none" w:sz="0" w:space="0" w:color="auto"/>
        <w:left w:val="none" w:sz="0" w:space="0" w:color="auto"/>
        <w:bottom w:val="none" w:sz="0" w:space="0" w:color="auto"/>
        <w:right w:val="none" w:sz="0" w:space="0" w:color="auto"/>
      </w:divBdr>
    </w:div>
    <w:div w:id="1628243847">
      <w:bodyDiv w:val="1"/>
      <w:marLeft w:val="0"/>
      <w:marRight w:val="0"/>
      <w:marTop w:val="0"/>
      <w:marBottom w:val="0"/>
      <w:divBdr>
        <w:top w:val="none" w:sz="0" w:space="0" w:color="auto"/>
        <w:left w:val="none" w:sz="0" w:space="0" w:color="auto"/>
        <w:bottom w:val="none" w:sz="0" w:space="0" w:color="auto"/>
        <w:right w:val="none" w:sz="0" w:space="0" w:color="auto"/>
      </w:divBdr>
    </w:div>
    <w:div w:id="1635986388">
      <w:bodyDiv w:val="1"/>
      <w:marLeft w:val="0"/>
      <w:marRight w:val="0"/>
      <w:marTop w:val="0"/>
      <w:marBottom w:val="0"/>
      <w:divBdr>
        <w:top w:val="none" w:sz="0" w:space="0" w:color="auto"/>
        <w:left w:val="none" w:sz="0" w:space="0" w:color="auto"/>
        <w:bottom w:val="none" w:sz="0" w:space="0" w:color="auto"/>
        <w:right w:val="none" w:sz="0" w:space="0" w:color="auto"/>
      </w:divBdr>
    </w:div>
    <w:div w:id="1642076774">
      <w:bodyDiv w:val="1"/>
      <w:marLeft w:val="0"/>
      <w:marRight w:val="0"/>
      <w:marTop w:val="0"/>
      <w:marBottom w:val="0"/>
      <w:divBdr>
        <w:top w:val="none" w:sz="0" w:space="0" w:color="auto"/>
        <w:left w:val="none" w:sz="0" w:space="0" w:color="auto"/>
        <w:bottom w:val="none" w:sz="0" w:space="0" w:color="auto"/>
        <w:right w:val="none" w:sz="0" w:space="0" w:color="auto"/>
      </w:divBdr>
    </w:div>
    <w:div w:id="1642691005">
      <w:bodyDiv w:val="1"/>
      <w:marLeft w:val="0"/>
      <w:marRight w:val="0"/>
      <w:marTop w:val="0"/>
      <w:marBottom w:val="0"/>
      <w:divBdr>
        <w:top w:val="none" w:sz="0" w:space="0" w:color="auto"/>
        <w:left w:val="none" w:sz="0" w:space="0" w:color="auto"/>
        <w:bottom w:val="none" w:sz="0" w:space="0" w:color="auto"/>
        <w:right w:val="none" w:sz="0" w:space="0" w:color="auto"/>
      </w:divBdr>
    </w:div>
    <w:div w:id="1643001573">
      <w:bodyDiv w:val="1"/>
      <w:marLeft w:val="0"/>
      <w:marRight w:val="0"/>
      <w:marTop w:val="0"/>
      <w:marBottom w:val="0"/>
      <w:divBdr>
        <w:top w:val="none" w:sz="0" w:space="0" w:color="auto"/>
        <w:left w:val="none" w:sz="0" w:space="0" w:color="auto"/>
        <w:bottom w:val="none" w:sz="0" w:space="0" w:color="auto"/>
        <w:right w:val="none" w:sz="0" w:space="0" w:color="auto"/>
      </w:divBdr>
    </w:div>
    <w:div w:id="1643391713">
      <w:bodyDiv w:val="1"/>
      <w:marLeft w:val="0"/>
      <w:marRight w:val="0"/>
      <w:marTop w:val="0"/>
      <w:marBottom w:val="0"/>
      <w:divBdr>
        <w:top w:val="none" w:sz="0" w:space="0" w:color="auto"/>
        <w:left w:val="none" w:sz="0" w:space="0" w:color="auto"/>
        <w:bottom w:val="none" w:sz="0" w:space="0" w:color="auto"/>
        <w:right w:val="none" w:sz="0" w:space="0" w:color="auto"/>
      </w:divBdr>
    </w:div>
    <w:div w:id="1652174580">
      <w:bodyDiv w:val="1"/>
      <w:marLeft w:val="0"/>
      <w:marRight w:val="0"/>
      <w:marTop w:val="0"/>
      <w:marBottom w:val="0"/>
      <w:divBdr>
        <w:top w:val="none" w:sz="0" w:space="0" w:color="auto"/>
        <w:left w:val="none" w:sz="0" w:space="0" w:color="auto"/>
        <w:bottom w:val="none" w:sz="0" w:space="0" w:color="auto"/>
        <w:right w:val="none" w:sz="0" w:space="0" w:color="auto"/>
      </w:divBdr>
    </w:div>
    <w:div w:id="1652517507">
      <w:bodyDiv w:val="1"/>
      <w:marLeft w:val="0"/>
      <w:marRight w:val="0"/>
      <w:marTop w:val="0"/>
      <w:marBottom w:val="0"/>
      <w:divBdr>
        <w:top w:val="none" w:sz="0" w:space="0" w:color="auto"/>
        <w:left w:val="none" w:sz="0" w:space="0" w:color="auto"/>
        <w:bottom w:val="none" w:sz="0" w:space="0" w:color="auto"/>
        <w:right w:val="none" w:sz="0" w:space="0" w:color="auto"/>
      </w:divBdr>
    </w:div>
    <w:div w:id="1654675391">
      <w:bodyDiv w:val="1"/>
      <w:marLeft w:val="0"/>
      <w:marRight w:val="0"/>
      <w:marTop w:val="0"/>
      <w:marBottom w:val="0"/>
      <w:divBdr>
        <w:top w:val="none" w:sz="0" w:space="0" w:color="auto"/>
        <w:left w:val="none" w:sz="0" w:space="0" w:color="auto"/>
        <w:bottom w:val="none" w:sz="0" w:space="0" w:color="auto"/>
        <w:right w:val="none" w:sz="0" w:space="0" w:color="auto"/>
      </w:divBdr>
    </w:div>
    <w:div w:id="1659964244">
      <w:bodyDiv w:val="1"/>
      <w:marLeft w:val="0"/>
      <w:marRight w:val="0"/>
      <w:marTop w:val="0"/>
      <w:marBottom w:val="0"/>
      <w:divBdr>
        <w:top w:val="none" w:sz="0" w:space="0" w:color="auto"/>
        <w:left w:val="none" w:sz="0" w:space="0" w:color="auto"/>
        <w:bottom w:val="none" w:sz="0" w:space="0" w:color="auto"/>
        <w:right w:val="none" w:sz="0" w:space="0" w:color="auto"/>
      </w:divBdr>
    </w:div>
    <w:div w:id="1659964454">
      <w:bodyDiv w:val="1"/>
      <w:marLeft w:val="0"/>
      <w:marRight w:val="0"/>
      <w:marTop w:val="0"/>
      <w:marBottom w:val="0"/>
      <w:divBdr>
        <w:top w:val="none" w:sz="0" w:space="0" w:color="auto"/>
        <w:left w:val="none" w:sz="0" w:space="0" w:color="auto"/>
        <w:bottom w:val="none" w:sz="0" w:space="0" w:color="auto"/>
        <w:right w:val="none" w:sz="0" w:space="0" w:color="auto"/>
      </w:divBdr>
    </w:div>
    <w:div w:id="1664046705">
      <w:bodyDiv w:val="1"/>
      <w:marLeft w:val="0"/>
      <w:marRight w:val="0"/>
      <w:marTop w:val="0"/>
      <w:marBottom w:val="0"/>
      <w:divBdr>
        <w:top w:val="none" w:sz="0" w:space="0" w:color="auto"/>
        <w:left w:val="none" w:sz="0" w:space="0" w:color="auto"/>
        <w:bottom w:val="none" w:sz="0" w:space="0" w:color="auto"/>
        <w:right w:val="none" w:sz="0" w:space="0" w:color="auto"/>
      </w:divBdr>
    </w:div>
    <w:div w:id="1665428521">
      <w:bodyDiv w:val="1"/>
      <w:marLeft w:val="0"/>
      <w:marRight w:val="0"/>
      <w:marTop w:val="0"/>
      <w:marBottom w:val="0"/>
      <w:divBdr>
        <w:top w:val="none" w:sz="0" w:space="0" w:color="auto"/>
        <w:left w:val="none" w:sz="0" w:space="0" w:color="auto"/>
        <w:bottom w:val="none" w:sz="0" w:space="0" w:color="auto"/>
        <w:right w:val="none" w:sz="0" w:space="0" w:color="auto"/>
      </w:divBdr>
    </w:div>
    <w:div w:id="1686589306">
      <w:bodyDiv w:val="1"/>
      <w:marLeft w:val="0"/>
      <w:marRight w:val="0"/>
      <w:marTop w:val="0"/>
      <w:marBottom w:val="0"/>
      <w:divBdr>
        <w:top w:val="none" w:sz="0" w:space="0" w:color="auto"/>
        <w:left w:val="none" w:sz="0" w:space="0" w:color="auto"/>
        <w:bottom w:val="none" w:sz="0" w:space="0" w:color="auto"/>
        <w:right w:val="none" w:sz="0" w:space="0" w:color="auto"/>
      </w:divBdr>
    </w:div>
    <w:div w:id="1690791530">
      <w:bodyDiv w:val="1"/>
      <w:marLeft w:val="0"/>
      <w:marRight w:val="0"/>
      <w:marTop w:val="0"/>
      <w:marBottom w:val="0"/>
      <w:divBdr>
        <w:top w:val="none" w:sz="0" w:space="0" w:color="auto"/>
        <w:left w:val="none" w:sz="0" w:space="0" w:color="auto"/>
        <w:bottom w:val="none" w:sz="0" w:space="0" w:color="auto"/>
        <w:right w:val="none" w:sz="0" w:space="0" w:color="auto"/>
      </w:divBdr>
    </w:div>
    <w:div w:id="1694458125">
      <w:bodyDiv w:val="1"/>
      <w:marLeft w:val="0"/>
      <w:marRight w:val="0"/>
      <w:marTop w:val="0"/>
      <w:marBottom w:val="0"/>
      <w:divBdr>
        <w:top w:val="none" w:sz="0" w:space="0" w:color="auto"/>
        <w:left w:val="none" w:sz="0" w:space="0" w:color="auto"/>
        <w:bottom w:val="none" w:sz="0" w:space="0" w:color="auto"/>
        <w:right w:val="none" w:sz="0" w:space="0" w:color="auto"/>
      </w:divBdr>
    </w:div>
    <w:div w:id="1707293952">
      <w:bodyDiv w:val="1"/>
      <w:marLeft w:val="0"/>
      <w:marRight w:val="0"/>
      <w:marTop w:val="0"/>
      <w:marBottom w:val="0"/>
      <w:divBdr>
        <w:top w:val="none" w:sz="0" w:space="0" w:color="auto"/>
        <w:left w:val="none" w:sz="0" w:space="0" w:color="auto"/>
        <w:bottom w:val="none" w:sz="0" w:space="0" w:color="auto"/>
        <w:right w:val="none" w:sz="0" w:space="0" w:color="auto"/>
      </w:divBdr>
    </w:div>
    <w:div w:id="1711227022">
      <w:bodyDiv w:val="1"/>
      <w:marLeft w:val="0"/>
      <w:marRight w:val="0"/>
      <w:marTop w:val="0"/>
      <w:marBottom w:val="0"/>
      <w:divBdr>
        <w:top w:val="none" w:sz="0" w:space="0" w:color="auto"/>
        <w:left w:val="none" w:sz="0" w:space="0" w:color="auto"/>
        <w:bottom w:val="none" w:sz="0" w:space="0" w:color="auto"/>
        <w:right w:val="none" w:sz="0" w:space="0" w:color="auto"/>
      </w:divBdr>
    </w:div>
    <w:div w:id="1712923296">
      <w:bodyDiv w:val="1"/>
      <w:marLeft w:val="0"/>
      <w:marRight w:val="0"/>
      <w:marTop w:val="0"/>
      <w:marBottom w:val="0"/>
      <w:divBdr>
        <w:top w:val="none" w:sz="0" w:space="0" w:color="auto"/>
        <w:left w:val="none" w:sz="0" w:space="0" w:color="auto"/>
        <w:bottom w:val="none" w:sz="0" w:space="0" w:color="auto"/>
        <w:right w:val="none" w:sz="0" w:space="0" w:color="auto"/>
      </w:divBdr>
    </w:div>
    <w:div w:id="1714424271">
      <w:bodyDiv w:val="1"/>
      <w:marLeft w:val="0"/>
      <w:marRight w:val="0"/>
      <w:marTop w:val="0"/>
      <w:marBottom w:val="0"/>
      <w:divBdr>
        <w:top w:val="none" w:sz="0" w:space="0" w:color="auto"/>
        <w:left w:val="none" w:sz="0" w:space="0" w:color="auto"/>
        <w:bottom w:val="none" w:sz="0" w:space="0" w:color="auto"/>
        <w:right w:val="none" w:sz="0" w:space="0" w:color="auto"/>
      </w:divBdr>
    </w:div>
    <w:div w:id="1726760314">
      <w:bodyDiv w:val="1"/>
      <w:marLeft w:val="0"/>
      <w:marRight w:val="0"/>
      <w:marTop w:val="0"/>
      <w:marBottom w:val="0"/>
      <w:divBdr>
        <w:top w:val="none" w:sz="0" w:space="0" w:color="auto"/>
        <w:left w:val="none" w:sz="0" w:space="0" w:color="auto"/>
        <w:bottom w:val="none" w:sz="0" w:space="0" w:color="auto"/>
        <w:right w:val="none" w:sz="0" w:space="0" w:color="auto"/>
      </w:divBdr>
    </w:div>
    <w:div w:id="1727102475">
      <w:bodyDiv w:val="1"/>
      <w:marLeft w:val="0"/>
      <w:marRight w:val="0"/>
      <w:marTop w:val="0"/>
      <w:marBottom w:val="0"/>
      <w:divBdr>
        <w:top w:val="none" w:sz="0" w:space="0" w:color="auto"/>
        <w:left w:val="none" w:sz="0" w:space="0" w:color="auto"/>
        <w:bottom w:val="none" w:sz="0" w:space="0" w:color="auto"/>
        <w:right w:val="none" w:sz="0" w:space="0" w:color="auto"/>
      </w:divBdr>
    </w:div>
    <w:div w:id="1729694031">
      <w:bodyDiv w:val="1"/>
      <w:marLeft w:val="0"/>
      <w:marRight w:val="0"/>
      <w:marTop w:val="0"/>
      <w:marBottom w:val="0"/>
      <w:divBdr>
        <w:top w:val="none" w:sz="0" w:space="0" w:color="auto"/>
        <w:left w:val="none" w:sz="0" w:space="0" w:color="auto"/>
        <w:bottom w:val="none" w:sz="0" w:space="0" w:color="auto"/>
        <w:right w:val="none" w:sz="0" w:space="0" w:color="auto"/>
      </w:divBdr>
    </w:div>
    <w:div w:id="1733500288">
      <w:bodyDiv w:val="1"/>
      <w:marLeft w:val="0"/>
      <w:marRight w:val="0"/>
      <w:marTop w:val="0"/>
      <w:marBottom w:val="0"/>
      <w:divBdr>
        <w:top w:val="none" w:sz="0" w:space="0" w:color="auto"/>
        <w:left w:val="none" w:sz="0" w:space="0" w:color="auto"/>
        <w:bottom w:val="none" w:sz="0" w:space="0" w:color="auto"/>
        <w:right w:val="none" w:sz="0" w:space="0" w:color="auto"/>
      </w:divBdr>
    </w:div>
    <w:div w:id="1736202220">
      <w:bodyDiv w:val="1"/>
      <w:marLeft w:val="0"/>
      <w:marRight w:val="0"/>
      <w:marTop w:val="0"/>
      <w:marBottom w:val="0"/>
      <w:divBdr>
        <w:top w:val="none" w:sz="0" w:space="0" w:color="auto"/>
        <w:left w:val="none" w:sz="0" w:space="0" w:color="auto"/>
        <w:bottom w:val="none" w:sz="0" w:space="0" w:color="auto"/>
        <w:right w:val="none" w:sz="0" w:space="0" w:color="auto"/>
      </w:divBdr>
    </w:div>
    <w:div w:id="1738556696">
      <w:bodyDiv w:val="1"/>
      <w:marLeft w:val="0"/>
      <w:marRight w:val="0"/>
      <w:marTop w:val="0"/>
      <w:marBottom w:val="0"/>
      <w:divBdr>
        <w:top w:val="none" w:sz="0" w:space="0" w:color="auto"/>
        <w:left w:val="none" w:sz="0" w:space="0" w:color="auto"/>
        <w:bottom w:val="none" w:sz="0" w:space="0" w:color="auto"/>
        <w:right w:val="none" w:sz="0" w:space="0" w:color="auto"/>
      </w:divBdr>
    </w:div>
    <w:div w:id="1740057184">
      <w:bodyDiv w:val="1"/>
      <w:marLeft w:val="0"/>
      <w:marRight w:val="0"/>
      <w:marTop w:val="0"/>
      <w:marBottom w:val="0"/>
      <w:divBdr>
        <w:top w:val="none" w:sz="0" w:space="0" w:color="auto"/>
        <w:left w:val="none" w:sz="0" w:space="0" w:color="auto"/>
        <w:bottom w:val="none" w:sz="0" w:space="0" w:color="auto"/>
        <w:right w:val="none" w:sz="0" w:space="0" w:color="auto"/>
      </w:divBdr>
    </w:div>
    <w:div w:id="1740471857">
      <w:bodyDiv w:val="1"/>
      <w:marLeft w:val="0"/>
      <w:marRight w:val="0"/>
      <w:marTop w:val="0"/>
      <w:marBottom w:val="0"/>
      <w:divBdr>
        <w:top w:val="none" w:sz="0" w:space="0" w:color="auto"/>
        <w:left w:val="none" w:sz="0" w:space="0" w:color="auto"/>
        <w:bottom w:val="none" w:sz="0" w:space="0" w:color="auto"/>
        <w:right w:val="none" w:sz="0" w:space="0" w:color="auto"/>
      </w:divBdr>
    </w:div>
    <w:div w:id="1741363265">
      <w:bodyDiv w:val="1"/>
      <w:marLeft w:val="0"/>
      <w:marRight w:val="0"/>
      <w:marTop w:val="0"/>
      <w:marBottom w:val="0"/>
      <w:divBdr>
        <w:top w:val="none" w:sz="0" w:space="0" w:color="auto"/>
        <w:left w:val="none" w:sz="0" w:space="0" w:color="auto"/>
        <w:bottom w:val="none" w:sz="0" w:space="0" w:color="auto"/>
        <w:right w:val="none" w:sz="0" w:space="0" w:color="auto"/>
      </w:divBdr>
    </w:div>
    <w:div w:id="1746301151">
      <w:bodyDiv w:val="1"/>
      <w:marLeft w:val="0"/>
      <w:marRight w:val="0"/>
      <w:marTop w:val="0"/>
      <w:marBottom w:val="0"/>
      <w:divBdr>
        <w:top w:val="none" w:sz="0" w:space="0" w:color="auto"/>
        <w:left w:val="none" w:sz="0" w:space="0" w:color="auto"/>
        <w:bottom w:val="none" w:sz="0" w:space="0" w:color="auto"/>
        <w:right w:val="none" w:sz="0" w:space="0" w:color="auto"/>
      </w:divBdr>
    </w:div>
    <w:div w:id="1752389234">
      <w:bodyDiv w:val="1"/>
      <w:marLeft w:val="0"/>
      <w:marRight w:val="0"/>
      <w:marTop w:val="0"/>
      <w:marBottom w:val="0"/>
      <w:divBdr>
        <w:top w:val="none" w:sz="0" w:space="0" w:color="auto"/>
        <w:left w:val="none" w:sz="0" w:space="0" w:color="auto"/>
        <w:bottom w:val="none" w:sz="0" w:space="0" w:color="auto"/>
        <w:right w:val="none" w:sz="0" w:space="0" w:color="auto"/>
      </w:divBdr>
    </w:div>
    <w:div w:id="1755861359">
      <w:bodyDiv w:val="1"/>
      <w:marLeft w:val="0"/>
      <w:marRight w:val="0"/>
      <w:marTop w:val="0"/>
      <w:marBottom w:val="0"/>
      <w:divBdr>
        <w:top w:val="none" w:sz="0" w:space="0" w:color="auto"/>
        <w:left w:val="none" w:sz="0" w:space="0" w:color="auto"/>
        <w:bottom w:val="none" w:sz="0" w:space="0" w:color="auto"/>
        <w:right w:val="none" w:sz="0" w:space="0" w:color="auto"/>
      </w:divBdr>
    </w:div>
    <w:div w:id="1758676194">
      <w:bodyDiv w:val="1"/>
      <w:marLeft w:val="0"/>
      <w:marRight w:val="0"/>
      <w:marTop w:val="0"/>
      <w:marBottom w:val="0"/>
      <w:divBdr>
        <w:top w:val="none" w:sz="0" w:space="0" w:color="auto"/>
        <w:left w:val="none" w:sz="0" w:space="0" w:color="auto"/>
        <w:bottom w:val="none" w:sz="0" w:space="0" w:color="auto"/>
        <w:right w:val="none" w:sz="0" w:space="0" w:color="auto"/>
      </w:divBdr>
    </w:div>
    <w:div w:id="1760252599">
      <w:bodyDiv w:val="1"/>
      <w:marLeft w:val="0"/>
      <w:marRight w:val="0"/>
      <w:marTop w:val="0"/>
      <w:marBottom w:val="0"/>
      <w:divBdr>
        <w:top w:val="none" w:sz="0" w:space="0" w:color="auto"/>
        <w:left w:val="none" w:sz="0" w:space="0" w:color="auto"/>
        <w:bottom w:val="none" w:sz="0" w:space="0" w:color="auto"/>
        <w:right w:val="none" w:sz="0" w:space="0" w:color="auto"/>
      </w:divBdr>
    </w:div>
    <w:div w:id="1760369076">
      <w:bodyDiv w:val="1"/>
      <w:marLeft w:val="0"/>
      <w:marRight w:val="0"/>
      <w:marTop w:val="0"/>
      <w:marBottom w:val="0"/>
      <w:divBdr>
        <w:top w:val="none" w:sz="0" w:space="0" w:color="auto"/>
        <w:left w:val="none" w:sz="0" w:space="0" w:color="auto"/>
        <w:bottom w:val="none" w:sz="0" w:space="0" w:color="auto"/>
        <w:right w:val="none" w:sz="0" w:space="0" w:color="auto"/>
      </w:divBdr>
    </w:div>
    <w:div w:id="1761481655">
      <w:bodyDiv w:val="1"/>
      <w:marLeft w:val="0"/>
      <w:marRight w:val="0"/>
      <w:marTop w:val="0"/>
      <w:marBottom w:val="0"/>
      <w:divBdr>
        <w:top w:val="none" w:sz="0" w:space="0" w:color="auto"/>
        <w:left w:val="none" w:sz="0" w:space="0" w:color="auto"/>
        <w:bottom w:val="none" w:sz="0" w:space="0" w:color="auto"/>
        <w:right w:val="none" w:sz="0" w:space="0" w:color="auto"/>
      </w:divBdr>
    </w:div>
    <w:div w:id="1772822885">
      <w:bodyDiv w:val="1"/>
      <w:marLeft w:val="0"/>
      <w:marRight w:val="0"/>
      <w:marTop w:val="0"/>
      <w:marBottom w:val="0"/>
      <w:divBdr>
        <w:top w:val="none" w:sz="0" w:space="0" w:color="auto"/>
        <w:left w:val="none" w:sz="0" w:space="0" w:color="auto"/>
        <w:bottom w:val="none" w:sz="0" w:space="0" w:color="auto"/>
        <w:right w:val="none" w:sz="0" w:space="0" w:color="auto"/>
      </w:divBdr>
    </w:div>
    <w:div w:id="1777747029">
      <w:bodyDiv w:val="1"/>
      <w:marLeft w:val="0"/>
      <w:marRight w:val="0"/>
      <w:marTop w:val="0"/>
      <w:marBottom w:val="0"/>
      <w:divBdr>
        <w:top w:val="none" w:sz="0" w:space="0" w:color="auto"/>
        <w:left w:val="none" w:sz="0" w:space="0" w:color="auto"/>
        <w:bottom w:val="none" w:sz="0" w:space="0" w:color="auto"/>
        <w:right w:val="none" w:sz="0" w:space="0" w:color="auto"/>
      </w:divBdr>
    </w:div>
    <w:div w:id="1779913888">
      <w:bodyDiv w:val="1"/>
      <w:marLeft w:val="0"/>
      <w:marRight w:val="0"/>
      <w:marTop w:val="0"/>
      <w:marBottom w:val="0"/>
      <w:divBdr>
        <w:top w:val="none" w:sz="0" w:space="0" w:color="auto"/>
        <w:left w:val="none" w:sz="0" w:space="0" w:color="auto"/>
        <w:bottom w:val="none" w:sz="0" w:space="0" w:color="auto"/>
        <w:right w:val="none" w:sz="0" w:space="0" w:color="auto"/>
      </w:divBdr>
    </w:div>
    <w:div w:id="1791315121">
      <w:bodyDiv w:val="1"/>
      <w:marLeft w:val="0"/>
      <w:marRight w:val="0"/>
      <w:marTop w:val="0"/>
      <w:marBottom w:val="0"/>
      <w:divBdr>
        <w:top w:val="none" w:sz="0" w:space="0" w:color="auto"/>
        <w:left w:val="none" w:sz="0" w:space="0" w:color="auto"/>
        <w:bottom w:val="none" w:sz="0" w:space="0" w:color="auto"/>
        <w:right w:val="none" w:sz="0" w:space="0" w:color="auto"/>
      </w:divBdr>
    </w:div>
    <w:div w:id="1793086700">
      <w:bodyDiv w:val="1"/>
      <w:marLeft w:val="0"/>
      <w:marRight w:val="0"/>
      <w:marTop w:val="0"/>
      <w:marBottom w:val="0"/>
      <w:divBdr>
        <w:top w:val="none" w:sz="0" w:space="0" w:color="auto"/>
        <w:left w:val="none" w:sz="0" w:space="0" w:color="auto"/>
        <w:bottom w:val="none" w:sz="0" w:space="0" w:color="auto"/>
        <w:right w:val="none" w:sz="0" w:space="0" w:color="auto"/>
      </w:divBdr>
    </w:div>
    <w:div w:id="1794515965">
      <w:bodyDiv w:val="1"/>
      <w:marLeft w:val="0"/>
      <w:marRight w:val="0"/>
      <w:marTop w:val="0"/>
      <w:marBottom w:val="0"/>
      <w:divBdr>
        <w:top w:val="none" w:sz="0" w:space="0" w:color="auto"/>
        <w:left w:val="none" w:sz="0" w:space="0" w:color="auto"/>
        <w:bottom w:val="none" w:sz="0" w:space="0" w:color="auto"/>
        <w:right w:val="none" w:sz="0" w:space="0" w:color="auto"/>
      </w:divBdr>
    </w:div>
    <w:div w:id="1800611841">
      <w:bodyDiv w:val="1"/>
      <w:marLeft w:val="0"/>
      <w:marRight w:val="0"/>
      <w:marTop w:val="0"/>
      <w:marBottom w:val="0"/>
      <w:divBdr>
        <w:top w:val="none" w:sz="0" w:space="0" w:color="auto"/>
        <w:left w:val="none" w:sz="0" w:space="0" w:color="auto"/>
        <w:bottom w:val="none" w:sz="0" w:space="0" w:color="auto"/>
        <w:right w:val="none" w:sz="0" w:space="0" w:color="auto"/>
      </w:divBdr>
    </w:div>
    <w:div w:id="1800759805">
      <w:bodyDiv w:val="1"/>
      <w:marLeft w:val="0"/>
      <w:marRight w:val="0"/>
      <w:marTop w:val="0"/>
      <w:marBottom w:val="0"/>
      <w:divBdr>
        <w:top w:val="none" w:sz="0" w:space="0" w:color="auto"/>
        <w:left w:val="none" w:sz="0" w:space="0" w:color="auto"/>
        <w:bottom w:val="none" w:sz="0" w:space="0" w:color="auto"/>
        <w:right w:val="none" w:sz="0" w:space="0" w:color="auto"/>
      </w:divBdr>
    </w:div>
    <w:div w:id="1804541562">
      <w:bodyDiv w:val="1"/>
      <w:marLeft w:val="0"/>
      <w:marRight w:val="0"/>
      <w:marTop w:val="0"/>
      <w:marBottom w:val="0"/>
      <w:divBdr>
        <w:top w:val="none" w:sz="0" w:space="0" w:color="auto"/>
        <w:left w:val="none" w:sz="0" w:space="0" w:color="auto"/>
        <w:bottom w:val="none" w:sz="0" w:space="0" w:color="auto"/>
        <w:right w:val="none" w:sz="0" w:space="0" w:color="auto"/>
      </w:divBdr>
    </w:div>
    <w:div w:id="1814249670">
      <w:bodyDiv w:val="1"/>
      <w:marLeft w:val="0"/>
      <w:marRight w:val="0"/>
      <w:marTop w:val="0"/>
      <w:marBottom w:val="0"/>
      <w:divBdr>
        <w:top w:val="none" w:sz="0" w:space="0" w:color="auto"/>
        <w:left w:val="none" w:sz="0" w:space="0" w:color="auto"/>
        <w:bottom w:val="none" w:sz="0" w:space="0" w:color="auto"/>
        <w:right w:val="none" w:sz="0" w:space="0" w:color="auto"/>
      </w:divBdr>
    </w:div>
    <w:div w:id="1817448785">
      <w:bodyDiv w:val="1"/>
      <w:marLeft w:val="0"/>
      <w:marRight w:val="0"/>
      <w:marTop w:val="0"/>
      <w:marBottom w:val="0"/>
      <w:divBdr>
        <w:top w:val="none" w:sz="0" w:space="0" w:color="auto"/>
        <w:left w:val="none" w:sz="0" w:space="0" w:color="auto"/>
        <w:bottom w:val="none" w:sz="0" w:space="0" w:color="auto"/>
        <w:right w:val="none" w:sz="0" w:space="0" w:color="auto"/>
      </w:divBdr>
    </w:div>
    <w:div w:id="1818522697">
      <w:bodyDiv w:val="1"/>
      <w:marLeft w:val="0"/>
      <w:marRight w:val="0"/>
      <w:marTop w:val="0"/>
      <w:marBottom w:val="0"/>
      <w:divBdr>
        <w:top w:val="none" w:sz="0" w:space="0" w:color="auto"/>
        <w:left w:val="none" w:sz="0" w:space="0" w:color="auto"/>
        <w:bottom w:val="none" w:sz="0" w:space="0" w:color="auto"/>
        <w:right w:val="none" w:sz="0" w:space="0" w:color="auto"/>
      </w:divBdr>
    </w:div>
    <w:div w:id="1825395350">
      <w:bodyDiv w:val="1"/>
      <w:marLeft w:val="0"/>
      <w:marRight w:val="0"/>
      <w:marTop w:val="0"/>
      <w:marBottom w:val="0"/>
      <w:divBdr>
        <w:top w:val="none" w:sz="0" w:space="0" w:color="auto"/>
        <w:left w:val="none" w:sz="0" w:space="0" w:color="auto"/>
        <w:bottom w:val="none" w:sz="0" w:space="0" w:color="auto"/>
        <w:right w:val="none" w:sz="0" w:space="0" w:color="auto"/>
      </w:divBdr>
    </w:div>
    <w:div w:id="1829057119">
      <w:bodyDiv w:val="1"/>
      <w:marLeft w:val="0"/>
      <w:marRight w:val="0"/>
      <w:marTop w:val="0"/>
      <w:marBottom w:val="0"/>
      <w:divBdr>
        <w:top w:val="none" w:sz="0" w:space="0" w:color="auto"/>
        <w:left w:val="none" w:sz="0" w:space="0" w:color="auto"/>
        <w:bottom w:val="none" w:sz="0" w:space="0" w:color="auto"/>
        <w:right w:val="none" w:sz="0" w:space="0" w:color="auto"/>
      </w:divBdr>
    </w:div>
    <w:div w:id="1833448704">
      <w:bodyDiv w:val="1"/>
      <w:marLeft w:val="0"/>
      <w:marRight w:val="0"/>
      <w:marTop w:val="0"/>
      <w:marBottom w:val="0"/>
      <w:divBdr>
        <w:top w:val="none" w:sz="0" w:space="0" w:color="auto"/>
        <w:left w:val="none" w:sz="0" w:space="0" w:color="auto"/>
        <w:bottom w:val="none" w:sz="0" w:space="0" w:color="auto"/>
        <w:right w:val="none" w:sz="0" w:space="0" w:color="auto"/>
      </w:divBdr>
    </w:div>
    <w:div w:id="1836218315">
      <w:bodyDiv w:val="1"/>
      <w:marLeft w:val="0"/>
      <w:marRight w:val="0"/>
      <w:marTop w:val="0"/>
      <w:marBottom w:val="0"/>
      <w:divBdr>
        <w:top w:val="none" w:sz="0" w:space="0" w:color="auto"/>
        <w:left w:val="none" w:sz="0" w:space="0" w:color="auto"/>
        <w:bottom w:val="none" w:sz="0" w:space="0" w:color="auto"/>
        <w:right w:val="none" w:sz="0" w:space="0" w:color="auto"/>
      </w:divBdr>
    </w:div>
    <w:div w:id="1842962319">
      <w:bodyDiv w:val="1"/>
      <w:marLeft w:val="0"/>
      <w:marRight w:val="0"/>
      <w:marTop w:val="0"/>
      <w:marBottom w:val="0"/>
      <w:divBdr>
        <w:top w:val="none" w:sz="0" w:space="0" w:color="auto"/>
        <w:left w:val="none" w:sz="0" w:space="0" w:color="auto"/>
        <w:bottom w:val="none" w:sz="0" w:space="0" w:color="auto"/>
        <w:right w:val="none" w:sz="0" w:space="0" w:color="auto"/>
      </w:divBdr>
    </w:div>
    <w:div w:id="1849251806">
      <w:bodyDiv w:val="1"/>
      <w:marLeft w:val="0"/>
      <w:marRight w:val="0"/>
      <w:marTop w:val="0"/>
      <w:marBottom w:val="0"/>
      <w:divBdr>
        <w:top w:val="none" w:sz="0" w:space="0" w:color="auto"/>
        <w:left w:val="none" w:sz="0" w:space="0" w:color="auto"/>
        <w:bottom w:val="none" w:sz="0" w:space="0" w:color="auto"/>
        <w:right w:val="none" w:sz="0" w:space="0" w:color="auto"/>
      </w:divBdr>
    </w:div>
    <w:div w:id="1854300525">
      <w:bodyDiv w:val="1"/>
      <w:marLeft w:val="0"/>
      <w:marRight w:val="0"/>
      <w:marTop w:val="0"/>
      <w:marBottom w:val="0"/>
      <w:divBdr>
        <w:top w:val="none" w:sz="0" w:space="0" w:color="auto"/>
        <w:left w:val="none" w:sz="0" w:space="0" w:color="auto"/>
        <w:bottom w:val="none" w:sz="0" w:space="0" w:color="auto"/>
        <w:right w:val="none" w:sz="0" w:space="0" w:color="auto"/>
      </w:divBdr>
    </w:div>
    <w:div w:id="1856379753">
      <w:bodyDiv w:val="1"/>
      <w:marLeft w:val="0"/>
      <w:marRight w:val="0"/>
      <w:marTop w:val="0"/>
      <w:marBottom w:val="0"/>
      <w:divBdr>
        <w:top w:val="none" w:sz="0" w:space="0" w:color="auto"/>
        <w:left w:val="none" w:sz="0" w:space="0" w:color="auto"/>
        <w:bottom w:val="none" w:sz="0" w:space="0" w:color="auto"/>
        <w:right w:val="none" w:sz="0" w:space="0" w:color="auto"/>
      </w:divBdr>
    </w:div>
    <w:div w:id="1857619634">
      <w:bodyDiv w:val="1"/>
      <w:marLeft w:val="0"/>
      <w:marRight w:val="0"/>
      <w:marTop w:val="0"/>
      <w:marBottom w:val="0"/>
      <w:divBdr>
        <w:top w:val="none" w:sz="0" w:space="0" w:color="auto"/>
        <w:left w:val="none" w:sz="0" w:space="0" w:color="auto"/>
        <w:bottom w:val="none" w:sz="0" w:space="0" w:color="auto"/>
        <w:right w:val="none" w:sz="0" w:space="0" w:color="auto"/>
      </w:divBdr>
    </w:div>
    <w:div w:id="1860385888">
      <w:bodyDiv w:val="1"/>
      <w:marLeft w:val="0"/>
      <w:marRight w:val="0"/>
      <w:marTop w:val="0"/>
      <w:marBottom w:val="0"/>
      <w:divBdr>
        <w:top w:val="none" w:sz="0" w:space="0" w:color="auto"/>
        <w:left w:val="none" w:sz="0" w:space="0" w:color="auto"/>
        <w:bottom w:val="none" w:sz="0" w:space="0" w:color="auto"/>
        <w:right w:val="none" w:sz="0" w:space="0" w:color="auto"/>
      </w:divBdr>
    </w:div>
    <w:div w:id="1867061577">
      <w:bodyDiv w:val="1"/>
      <w:marLeft w:val="0"/>
      <w:marRight w:val="0"/>
      <w:marTop w:val="0"/>
      <w:marBottom w:val="0"/>
      <w:divBdr>
        <w:top w:val="none" w:sz="0" w:space="0" w:color="auto"/>
        <w:left w:val="none" w:sz="0" w:space="0" w:color="auto"/>
        <w:bottom w:val="none" w:sz="0" w:space="0" w:color="auto"/>
        <w:right w:val="none" w:sz="0" w:space="0" w:color="auto"/>
      </w:divBdr>
    </w:div>
    <w:div w:id="1893148295">
      <w:bodyDiv w:val="1"/>
      <w:marLeft w:val="0"/>
      <w:marRight w:val="0"/>
      <w:marTop w:val="0"/>
      <w:marBottom w:val="0"/>
      <w:divBdr>
        <w:top w:val="none" w:sz="0" w:space="0" w:color="auto"/>
        <w:left w:val="none" w:sz="0" w:space="0" w:color="auto"/>
        <w:bottom w:val="none" w:sz="0" w:space="0" w:color="auto"/>
        <w:right w:val="none" w:sz="0" w:space="0" w:color="auto"/>
      </w:divBdr>
    </w:div>
    <w:div w:id="1894851933">
      <w:bodyDiv w:val="1"/>
      <w:marLeft w:val="0"/>
      <w:marRight w:val="0"/>
      <w:marTop w:val="0"/>
      <w:marBottom w:val="0"/>
      <w:divBdr>
        <w:top w:val="none" w:sz="0" w:space="0" w:color="auto"/>
        <w:left w:val="none" w:sz="0" w:space="0" w:color="auto"/>
        <w:bottom w:val="none" w:sz="0" w:space="0" w:color="auto"/>
        <w:right w:val="none" w:sz="0" w:space="0" w:color="auto"/>
      </w:divBdr>
    </w:div>
    <w:div w:id="1897012522">
      <w:bodyDiv w:val="1"/>
      <w:marLeft w:val="0"/>
      <w:marRight w:val="0"/>
      <w:marTop w:val="0"/>
      <w:marBottom w:val="0"/>
      <w:divBdr>
        <w:top w:val="none" w:sz="0" w:space="0" w:color="auto"/>
        <w:left w:val="none" w:sz="0" w:space="0" w:color="auto"/>
        <w:bottom w:val="none" w:sz="0" w:space="0" w:color="auto"/>
        <w:right w:val="none" w:sz="0" w:space="0" w:color="auto"/>
      </w:divBdr>
    </w:div>
    <w:div w:id="1897013632">
      <w:bodyDiv w:val="1"/>
      <w:marLeft w:val="0"/>
      <w:marRight w:val="0"/>
      <w:marTop w:val="0"/>
      <w:marBottom w:val="0"/>
      <w:divBdr>
        <w:top w:val="none" w:sz="0" w:space="0" w:color="auto"/>
        <w:left w:val="none" w:sz="0" w:space="0" w:color="auto"/>
        <w:bottom w:val="none" w:sz="0" w:space="0" w:color="auto"/>
        <w:right w:val="none" w:sz="0" w:space="0" w:color="auto"/>
      </w:divBdr>
    </w:div>
    <w:div w:id="1904638291">
      <w:bodyDiv w:val="1"/>
      <w:marLeft w:val="0"/>
      <w:marRight w:val="0"/>
      <w:marTop w:val="0"/>
      <w:marBottom w:val="0"/>
      <w:divBdr>
        <w:top w:val="none" w:sz="0" w:space="0" w:color="auto"/>
        <w:left w:val="none" w:sz="0" w:space="0" w:color="auto"/>
        <w:bottom w:val="none" w:sz="0" w:space="0" w:color="auto"/>
        <w:right w:val="none" w:sz="0" w:space="0" w:color="auto"/>
      </w:divBdr>
    </w:div>
    <w:div w:id="1912544531">
      <w:bodyDiv w:val="1"/>
      <w:marLeft w:val="0"/>
      <w:marRight w:val="0"/>
      <w:marTop w:val="0"/>
      <w:marBottom w:val="0"/>
      <w:divBdr>
        <w:top w:val="none" w:sz="0" w:space="0" w:color="auto"/>
        <w:left w:val="none" w:sz="0" w:space="0" w:color="auto"/>
        <w:bottom w:val="none" w:sz="0" w:space="0" w:color="auto"/>
        <w:right w:val="none" w:sz="0" w:space="0" w:color="auto"/>
      </w:divBdr>
    </w:div>
    <w:div w:id="1915892163">
      <w:bodyDiv w:val="1"/>
      <w:marLeft w:val="0"/>
      <w:marRight w:val="0"/>
      <w:marTop w:val="0"/>
      <w:marBottom w:val="0"/>
      <w:divBdr>
        <w:top w:val="none" w:sz="0" w:space="0" w:color="auto"/>
        <w:left w:val="none" w:sz="0" w:space="0" w:color="auto"/>
        <w:bottom w:val="none" w:sz="0" w:space="0" w:color="auto"/>
        <w:right w:val="none" w:sz="0" w:space="0" w:color="auto"/>
      </w:divBdr>
    </w:div>
    <w:div w:id="1924796455">
      <w:bodyDiv w:val="1"/>
      <w:marLeft w:val="0"/>
      <w:marRight w:val="0"/>
      <w:marTop w:val="0"/>
      <w:marBottom w:val="0"/>
      <w:divBdr>
        <w:top w:val="none" w:sz="0" w:space="0" w:color="auto"/>
        <w:left w:val="none" w:sz="0" w:space="0" w:color="auto"/>
        <w:bottom w:val="none" w:sz="0" w:space="0" w:color="auto"/>
        <w:right w:val="none" w:sz="0" w:space="0" w:color="auto"/>
      </w:divBdr>
    </w:div>
    <w:div w:id="1925145548">
      <w:bodyDiv w:val="1"/>
      <w:marLeft w:val="0"/>
      <w:marRight w:val="0"/>
      <w:marTop w:val="0"/>
      <w:marBottom w:val="0"/>
      <w:divBdr>
        <w:top w:val="none" w:sz="0" w:space="0" w:color="auto"/>
        <w:left w:val="none" w:sz="0" w:space="0" w:color="auto"/>
        <w:bottom w:val="none" w:sz="0" w:space="0" w:color="auto"/>
        <w:right w:val="none" w:sz="0" w:space="0" w:color="auto"/>
      </w:divBdr>
    </w:div>
    <w:div w:id="1927568976">
      <w:bodyDiv w:val="1"/>
      <w:marLeft w:val="0"/>
      <w:marRight w:val="0"/>
      <w:marTop w:val="0"/>
      <w:marBottom w:val="0"/>
      <w:divBdr>
        <w:top w:val="none" w:sz="0" w:space="0" w:color="auto"/>
        <w:left w:val="none" w:sz="0" w:space="0" w:color="auto"/>
        <w:bottom w:val="none" w:sz="0" w:space="0" w:color="auto"/>
        <w:right w:val="none" w:sz="0" w:space="0" w:color="auto"/>
      </w:divBdr>
    </w:div>
    <w:div w:id="1927616859">
      <w:bodyDiv w:val="1"/>
      <w:marLeft w:val="0"/>
      <w:marRight w:val="0"/>
      <w:marTop w:val="0"/>
      <w:marBottom w:val="0"/>
      <w:divBdr>
        <w:top w:val="none" w:sz="0" w:space="0" w:color="auto"/>
        <w:left w:val="none" w:sz="0" w:space="0" w:color="auto"/>
        <w:bottom w:val="none" w:sz="0" w:space="0" w:color="auto"/>
        <w:right w:val="none" w:sz="0" w:space="0" w:color="auto"/>
      </w:divBdr>
    </w:div>
    <w:div w:id="1933733941">
      <w:bodyDiv w:val="1"/>
      <w:marLeft w:val="0"/>
      <w:marRight w:val="0"/>
      <w:marTop w:val="0"/>
      <w:marBottom w:val="0"/>
      <w:divBdr>
        <w:top w:val="none" w:sz="0" w:space="0" w:color="auto"/>
        <w:left w:val="none" w:sz="0" w:space="0" w:color="auto"/>
        <w:bottom w:val="none" w:sz="0" w:space="0" w:color="auto"/>
        <w:right w:val="none" w:sz="0" w:space="0" w:color="auto"/>
      </w:divBdr>
    </w:div>
    <w:div w:id="1940790970">
      <w:bodyDiv w:val="1"/>
      <w:marLeft w:val="0"/>
      <w:marRight w:val="0"/>
      <w:marTop w:val="0"/>
      <w:marBottom w:val="0"/>
      <w:divBdr>
        <w:top w:val="none" w:sz="0" w:space="0" w:color="auto"/>
        <w:left w:val="none" w:sz="0" w:space="0" w:color="auto"/>
        <w:bottom w:val="none" w:sz="0" w:space="0" w:color="auto"/>
        <w:right w:val="none" w:sz="0" w:space="0" w:color="auto"/>
      </w:divBdr>
    </w:div>
    <w:div w:id="1943803188">
      <w:bodyDiv w:val="1"/>
      <w:marLeft w:val="0"/>
      <w:marRight w:val="0"/>
      <w:marTop w:val="0"/>
      <w:marBottom w:val="0"/>
      <w:divBdr>
        <w:top w:val="none" w:sz="0" w:space="0" w:color="auto"/>
        <w:left w:val="none" w:sz="0" w:space="0" w:color="auto"/>
        <w:bottom w:val="none" w:sz="0" w:space="0" w:color="auto"/>
        <w:right w:val="none" w:sz="0" w:space="0" w:color="auto"/>
      </w:divBdr>
    </w:div>
    <w:div w:id="1945963962">
      <w:bodyDiv w:val="1"/>
      <w:marLeft w:val="0"/>
      <w:marRight w:val="0"/>
      <w:marTop w:val="0"/>
      <w:marBottom w:val="0"/>
      <w:divBdr>
        <w:top w:val="none" w:sz="0" w:space="0" w:color="auto"/>
        <w:left w:val="none" w:sz="0" w:space="0" w:color="auto"/>
        <w:bottom w:val="none" w:sz="0" w:space="0" w:color="auto"/>
        <w:right w:val="none" w:sz="0" w:space="0" w:color="auto"/>
      </w:divBdr>
    </w:div>
    <w:div w:id="1947542531">
      <w:bodyDiv w:val="1"/>
      <w:marLeft w:val="0"/>
      <w:marRight w:val="0"/>
      <w:marTop w:val="0"/>
      <w:marBottom w:val="0"/>
      <w:divBdr>
        <w:top w:val="none" w:sz="0" w:space="0" w:color="auto"/>
        <w:left w:val="none" w:sz="0" w:space="0" w:color="auto"/>
        <w:bottom w:val="none" w:sz="0" w:space="0" w:color="auto"/>
        <w:right w:val="none" w:sz="0" w:space="0" w:color="auto"/>
      </w:divBdr>
    </w:div>
    <w:div w:id="1948732970">
      <w:bodyDiv w:val="1"/>
      <w:marLeft w:val="0"/>
      <w:marRight w:val="0"/>
      <w:marTop w:val="0"/>
      <w:marBottom w:val="0"/>
      <w:divBdr>
        <w:top w:val="none" w:sz="0" w:space="0" w:color="auto"/>
        <w:left w:val="none" w:sz="0" w:space="0" w:color="auto"/>
        <w:bottom w:val="none" w:sz="0" w:space="0" w:color="auto"/>
        <w:right w:val="none" w:sz="0" w:space="0" w:color="auto"/>
      </w:divBdr>
    </w:div>
    <w:div w:id="1949387603">
      <w:bodyDiv w:val="1"/>
      <w:marLeft w:val="0"/>
      <w:marRight w:val="0"/>
      <w:marTop w:val="0"/>
      <w:marBottom w:val="0"/>
      <w:divBdr>
        <w:top w:val="none" w:sz="0" w:space="0" w:color="auto"/>
        <w:left w:val="none" w:sz="0" w:space="0" w:color="auto"/>
        <w:bottom w:val="none" w:sz="0" w:space="0" w:color="auto"/>
        <w:right w:val="none" w:sz="0" w:space="0" w:color="auto"/>
      </w:divBdr>
    </w:div>
    <w:div w:id="1950549404">
      <w:bodyDiv w:val="1"/>
      <w:marLeft w:val="0"/>
      <w:marRight w:val="0"/>
      <w:marTop w:val="0"/>
      <w:marBottom w:val="0"/>
      <w:divBdr>
        <w:top w:val="none" w:sz="0" w:space="0" w:color="auto"/>
        <w:left w:val="none" w:sz="0" w:space="0" w:color="auto"/>
        <w:bottom w:val="none" w:sz="0" w:space="0" w:color="auto"/>
        <w:right w:val="none" w:sz="0" w:space="0" w:color="auto"/>
      </w:divBdr>
    </w:div>
    <w:div w:id="1958754399">
      <w:bodyDiv w:val="1"/>
      <w:marLeft w:val="0"/>
      <w:marRight w:val="0"/>
      <w:marTop w:val="0"/>
      <w:marBottom w:val="0"/>
      <w:divBdr>
        <w:top w:val="none" w:sz="0" w:space="0" w:color="auto"/>
        <w:left w:val="none" w:sz="0" w:space="0" w:color="auto"/>
        <w:bottom w:val="none" w:sz="0" w:space="0" w:color="auto"/>
        <w:right w:val="none" w:sz="0" w:space="0" w:color="auto"/>
      </w:divBdr>
    </w:div>
    <w:div w:id="1959753336">
      <w:bodyDiv w:val="1"/>
      <w:marLeft w:val="0"/>
      <w:marRight w:val="0"/>
      <w:marTop w:val="0"/>
      <w:marBottom w:val="0"/>
      <w:divBdr>
        <w:top w:val="none" w:sz="0" w:space="0" w:color="auto"/>
        <w:left w:val="none" w:sz="0" w:space="0" w:color="auto"/>
        <w:bottom w:val="none" w:sz="0" w:space="0" w:color="auto"/>
        <w:right w:val="none" w:sz="0" w:space="0" w:color="auto"/>
      </w:divBdr>
    </w:div>
    <w:div w:id="1960139452">
      <w:bodyDiv w:val="1"/>
      <w:marLeft w:val="0"/>
      <w:marRight w:val="0"/>
      <w:marTop w:val="0"/>
      <w:marBottom w:val="0"/>
      <w:divBdr>
        <w:top w:val="none" w:sz="0" w:space="0" w:color="auto"/>
        <w:left w:val="none" w:sz="0" w:space="0" w:color="auto"/>
        <w:bottom w:val="none" w:sz="0" w:space="0" w:color="auto"/>
        <w:right w:val="none" w:sz="0" w:space="0" w:color="auto"/>
      </w:divBdr>
    </w:div>
    <w:div w:id="1961918040">
      <w:bodyDiv w:val="1"/>
      <w:marLeft w:val="0"/>
      <w:marRight w:val="0"/>
      <w:marTop w:val="0"/>
      <w:marBottom w:val="0"/>
      <w:divBdr>
        <w:top w:val="none" w:sz="0" w:space="0" w:color="auto"/>
        <w:left w:val="none" w:sz="0" w:space="0" w:color="auto"/>
        <w:bottom w:val="none" w:sz="0" w:space="0" w:color="auto"/>
        <w:right w:val="none" w:sz="0" w:space="0" w:color="auto"/>
      </w:divBdr>
    </w:div>
    <w:div w:id="1971470597">
      <w:bodyDiv w:val="1"/>
      <w:marLeft w:val="0"/>
      <w:marRight w:val="0"/>
      <w:marTop w:val="0"/>
      <w:marBottom w:val="0"/>
      <w:divBdr>
        <w:top w:val="none" w:sz="0" w:space="0" w:color="auto"/>
        <w:left w:val="none" w:sz="0" w:space="0" w:color="auto"/>
        <w:bottom w:val="none" w:sz="0" w:space="0" w:color="auto"/>
        <w:right w:val="none" w:sz="0" w:space="0" w:color="auto"/>
      </w:divBdr>
    </w:div>
    <w:div w:id="1972007593">
      <w:bodyDiv w:val="1"/>
      <w:marLeft w:val="0"/>
      <w:marRight w:val="0"/>
      <w:marTop w:val="0"/>
      <w:marBottom w:val="0"/>
      <w:divBdr>
        <w:top w:val="none" w:sz="0" w:space="0" w:color="auto"/>
        <w:left w:val="none" w:sz="0" w:space="0" w:color="auto"/>
        <w:bottom w:val="none" w:sz="0" w:space="0" w:color="auto"/>
        <w:right w:val="none" w:sz="0" w:space="0" w:color="auto"/>
      </w:divBdr>
    </w:div>
    <w:div w:id="1975675363">
      <w:bodyDiv w:val="1"/>
      <w:marLeft w:val="0"/>
      <w:marRight w:val="0"/>
      <w:marTop w:val="0"/>
      <w:marBottom w:val="0"/>
      <w:divBdr>
        <w:top w:val="none" w:sz="0" w:space="0" w:color="auto"/>
        <w:left w:val="none" w:sz="0" w:space="0" w:color="auto"/>
        <w:bottom w:val="none" w:sz="0" w:space="0" w:color="auto"/>
        <w:right w:val="none" w:sz="0" w:space="0" w:color="auto"/>
      </w:divBdr>
    </w:div>
    <w:div w:id="1976133306">
      <w:bodyDiv w:val="1"/>
      <w:marLeft w:val="0"/>
      <w:marRight w:val="0"/>
      <w:marTop w:val="0"/>
      <w:marBottom w:val="0"/>
      <w:divBdr>
        <w:top w:val="none" w:sz="0" w:space="0" w:color="auto"/>
        <w:left w:val="none" w:sz="0" w:space="0" w:color="auto"/>
        <w:bottom w:val="none" w:sz="0" w:space="0" w:color="auto"/>
        <w:right w:val="none" w:sz="0" w:space="0" w:color="auto"/>
      </w:divBdr>
    </w:div>
    <w:div w:id="1981228026">
      <w:bodyDiv w:val="1"/>
      <w:marLeft w:val="0"/>
      <w:marRight w:val="0"/>
      <w:marTop w:val="0"/>
      <w:marBottom w:val="0"/>
      <w:divBdr>
        <w:top w:val="none" w:sz="0" w:space="0" w:color="auto"/>
        <w:left w:val="none" w:sz="0" w:space="0" w:color="auto"/>
        <w:bottom w:val="none" w:sz="0" w:space="0" w:color="auto"/>
        <w:right w:val="none" w:sz="0" w:space="0" w:color="auto"/>
      </w:divBdr>
    </w:div>
    <w:div w:id="1982684930">
      <w:bodyDiv w:val="1"/>
      <w:marLeft w:val="0"/>
      <w:marRight w:val="0"/>
      <w:marTop w:val="0"/>
      <w:marBottom w:val="0"/>
      <w:divBdr>
        <w:top w:val="none" w:sz="0" w:space="0" w:color="auto"/>
        <w:left w:val="none" w:sz="0" w:space="0" w:color="auto"/>
        <w:bottom w:val="none" w:sz="0" w:space="0" w:color="auto"/>
        <w:right w:val="none" w:sz="0" w:space="0" w:color="auto"/>
      </w:divBdr>
    </w:div>
    <w:div w:id="1985354090">
      <w:bodyDiv w:val="1"/>
      <w:marLeft w:val="0"/>
      <w:marRight w:val="0"/>
      <w:marTop w:val="0"/>
      <w:marBottom w:val="0"/>
      <w:divBdr>
        <w:top w:val="none" w:sz="0" w:space="0" w:color="auto"/>
        <w:left w:val="none" w:sz="0" w:space="0" w:color="auto"/>
        <w:bottom w:val="none" w:sz="0" w:space="0" w:color="auto"/>
        <w:right w:val="none" w:sz="0" w:space="0" w:color="auto"/>
      </w:divBdr>
    </w:div>
    <w:div w:id="1987314046">
      <w:bodyDiv w:val="1"/>
      <w:marLeft w:val="0"/>
      <w:marRight w:val="0"/>
      <w:marTop w:val="0"/>
      <w:marBottom w:val="0"/>
      <w:divBdr>
        <w:top w:val="none" w:sz="0" w:space="0" w:color="auto"/>
        <w:left w:val="none" w:sz="0" w:space="0" w:color="auto"/>
        <w:bottom w:val="none" w:sz="0" w:space="0" w:color="auto"/>
        <w:right w:val="none" w:sz="0" w:space="0" w:color="auto"/>
      </w:divBdr>
    </w:div>
    <w:div w:id="1989479344">
      <w:bodyDiv w:val="1"/>
      <w:marLeft w:val="0"/>
      <w:marRight w:val="0"/>
      <w:marTop w:val="0"/>
      <w:marBottom w:val="0"/>
      <w:divBdr>
        <w:top w:val="none" w:sz="0" w:space="0" w:color="auto"/>
        <w:left w:val="none" w:sz="0" w:space="0" w:color="auto"/>
        <w:bottom w:val="none" w:sz="0" w:space="0" w:color="auto"/>
        <w:right w:val="none" w:sz="0" w:space="0" w:color="auto"/>
      </w:divBdr>
    </w:div>
    <w:div w:id="1992559449">
      <w:bodyDiv w:val="1"/>
      <w:marLeft w:val="0"/>
      <w:marRight w:val="0"/>
      <w:marTop w:val="0"/>
      <w:marBottom w:val="0"/>
      <w:divBdr>
        <w:top w:val="none" w:sz="0" w:space="0" w:color="auto"/>
        <w:left w:val="none" w:sz="0" w:space="0" w:color="auto"/>
        <w:bottom w:val="none" w:sz="0" w:space="0" w:color="auto"/>
        <w:right w:val="none" w:sz="0" w:space="0" w:color="auto"/>
      </w:divBdr>
    </w:div>
    <w:div w:id="1995915703">
      <w:bodyDiv w:val="1"/>
      <w:marLeft w:val="0"/>
      <w:marRight w:val="0"/>
      <w:marTop w:val="0"/>
      <w:marBottom w:val="0"/>
      <w:divBdr>
        <w:top w:val="none" w:sz="0" w:space="0" w:color="auto"/>
        <w:left w:val="none" w:sz="0" w:space="0" w:color="auto"/>
        <w:bottom w:val="none" w:sz="0" w:space="0" w:color="auto"/>
        <w:right w:val="none" w:sz="0" w:space="0" w:color="auto"/>
      </w:divBdr>
    </w:div>
    <w:div w:id="1998724185">
      <w:bodyDiv w:val="1"/>
      <w:marLeft w:val="0"/>
      <w:marRight w:val="0"/>
      <w:marTop w:val="0"/>
      <w:marBottom w:val="0"/>
      <w:divBdr>
        <w:top w:val="none" w:sz="0" w:space="0" w:color="auto"/>
        <w:left w:val="none" w:sz="0" w:space="0" w:color="auto"/>
        <w:bottom w:val="none" w:sz="0" w:space="0" w:color="auto"/>
        <w:right w:val="none" w:sz="0" w:space="0" w:color="auto"/>
      </w:divBdr>
    </w:div>
    <w:div w:id="2001273557">
      <w:bodyDiv w:val="1"/>
      <w:marLeft w:val="0"/>
      <w:marRight w:val="0"/>
      <w:marTop w:val="0"/>
      <w:marBottom w:val="0"/>
      <w:divBdr>
        <w:top w:val="none" w:sz="0" w:space="0" w:color="auto"/>
        <w:left w:val="none" w:sz="0" w:space="0" w:color="auto"/>
        <w:bottom w:val="none" w:sz="0" w:space="0" w:color="auto"/>
        <w:right w:val="none" w:sz="0" w:space="0" w:color="auto"/>
      </w:divBdr>
    </w:div>
    <w:div w:id="2001498455">
      <w:bodyDiv w:val="1"/>
      <w:marLeft w:val="0"/>
      <w:marRight w:val="0"/>
      <w:marTop w:val="0"/>
      <w:marBottom w:val="0"/>
      <w:divBdr>
        <w:top w:val="none" w:sz="0" w:space="0" w:color="auto"/>
        <w:left w:val="none" w:sz="0" w:space="0" w:color="auto"/>
        <w:bottom w:val="none" w:sz="0" w:space="0" w:color="auto"/>
        <w:right w:val="none" w:sz="0" w:space="0" w:color="auto"/>
      </w:divBdr>
    </w:div>
    <w:div w:id="2007051995">
      <w:bodyDiv w:val="1"/>
      <w:marLeft w:val="0"/>
      <w:marRight w:val="0"/>
      <w:marTop w:val="0"/>
      <w:marBottom w:val="0"/>
      <w:divBdr>
        <w:top w:val="none" w:sz="0" w:space="0" w:color="auto"/>
        <w:left w:val="none" w:sz="0" w:space="0" w:color="auto"/>
        <w:bottom w:val="none" w:sz="0" w:space="0" w:color="auto"/>
        <w:right w:val="none" w:sz="0" w:space="0" w:color="auto"/>
      </w:divBdr>
    </w:div>
    <w:div w:id="2007127463">
      <w:bodyDiv w:val="1"/>
      <w:marLeft w:val="0"/>
      <w:marRight w:val="0"/>
      <w:marTop w:val="0"/>
      <w:marBottom w:val="0"/>
      <w:divBdr>
        <w:top w:val="none" w:sz="0" w:space="0" w:color="auto"/>
        <w:left w:val="none" w:sz="0" w:space="0" w:color="auto"/>
        <w:bottom w:val="none" w:sz="0" w:space="0" w:color="auto"/>
        <w:right w:val="none" w:sz="0" w:space="0" w:color="auto"/>
      </w:divBdr>
    </w:div>
    <w:div w:id="2007392813">
      <w:bodyDiv w:val="1"/>
      <w:marLeft w:val="0"/>
      <w:marRight w:val="0"/>
      <w:marTop w:val="0"/>
      <w:marBottom w:val="0"/>
      <w:divBdr>
        <w:top w:val="none" w:sz="0" w:space="0" w:color="auto"/>
        <w:left w:val="none" w:sz="0" w:space="0" w:color="auto"/>
        <w:bottom w:val="none" w:sz="0" w:space="0" w:color="auto"/>
        <w:right w:val="none" w:sz="0" w:space="0" w:color="auto"/>
      </w:divBdr>
    </w:div>
    <w:div w:id="2017463399">
      <w:bodyDiv w:val="1"/>
      <w:marLeft w:val="0"/>
      <w:marRight w:val="0"/>
      <w:marTop w:val="0"/>
      <w:marBottom w:val="0"/>
      <w:divBdr>
        <w:top w:val="none" w:sz="0" w:space="0" w:color="auto"/>
        <w:left w:val="none" w:sz="0" w:space="0" w:color="auto"/>
        <w:bottom w:val="none" w:sz="0" w:space="0" w:color="auto"/>
        <w:right w:val="none" w:sz="0" w:space="0" w:color="auto"/>
      </w:divBdr>
    </w:div>
    <w:div w:id="2026247251">
      <w:bodyDiv w:val="1"/>
      <w:marLeft w:val="0"/>
      <w:marRight w:val="0"/>
      <w:marTop w:val="0"/>
      <w:marBottom w:val="0"/>
      <w:divBdr>
        <w:top w:val="none" w:sz="0" w:space="0" w:color="auto"/>
        <w:left w:val="none" w:sz="0" w:space="0" w:color="auto"/>
        <w:bottom w:val="none" w:sz="0" w:space="0" w:color="auto"/>
        <w:right w:val="none" w:sz="0" w:space="0" w:color="auto"/>
      </w:divBdr>
    </w:div>
    <w:div w:id="2026711276">
      <w:bodyDiv w:val="1"/>
      <w:marLeft w:val="0"/>
      <w:marRight w:val="0"/>
      <w:marTop w:val="0"/>
      <w:marBottom w:val="0"/>
      <w:divBdr>
        <w:top w:val="none" w:sz="0" w:space="0" w:color="auto"/>
        <w:left w:val="none" w:sz="0" w:space="0" w:color="auto"/>
        <w:bottom w:val="none" w:sz="0" w:space="0" w:color="auto"/>
        <w:right w:val="none" w:sz="0" w:space="0" w:color="auto"/>
      </w:divBdr>
    </w:div>
    <w:div w:id="2028631384">
      <w:bodyDiv w:val="1"/>
      <w:marLeft w:val="0"/>
      <w:marRight w:val="0"/>
      <w:marTop w:val="0"/>
      <w:marBottom w:val="0"/>
      <w:divBdr>
        <w:top w:val="none" w:sz="0" w:space="0" w:color="auto"/>
        <w:left w:val="none" w:sz="0" w:space="0" w:color="auto"/>
        <w:bottom w:val="none" w:sz="0" w:space="0" w:color="auto"/>
        <w:right w:val="none" w:sz="0" w:space="0" w:color="auto"/>
      </w:divBdr>
    </w:div>
    <w:div w:id="2029797654">
      <w:bodyDiv w:val="1"/>
      <w:marLeft w:val="0"/>
      <w:marRight w:val="0"/>
      <w:marTop w:val="0"/>
      <w:marBottom w:val="0"/>
      <w:divBdr>
        <w:top w:val="none" w:sz="0" w:space="0" w:color="auto"/>
        <w:left w:val="none" w:sz="0" w:space="0" w:color="auto"/>
        <w:bottom w:val="none" w:sz="0" w:space="0" w:color="auto"/>
        <w:right w:val="none" w:sz="0" w:space="0" w:color="auto"/>
      </w:divBdr>
    </w:div>
    <w:div w:id="2030981471">
      <w:bodyDiv w:val="1"/>
      <w:marLeft w:val="0"/>
      <w:marRight w:val="0"/>
      <w:marTop w:val="0"/>
      <w:marBottom w:val="0"/>
      <w:divBdr>
        <w:top w:val="none" w:sz="0" w:space="0" w:color="auto"/>
        <w:left w:val="none" w:sz="0" w:space="0" w:color="auto"/>
        <w:bottom w:val="none" w:sz="0" w:space="0" w:color="auto"/>
        <w:right w:val="none" w:sz="0" w:space="0" w:color="auto"/>
      </w:divBdr>
    </w:div>
    <w:div w:id="2031449909">
      <w:bodyDiv w:val="1"/>
      <w:marLeft w:val="0"/>
      <w:marRight w:val="0"/>
      <w:marTop w:val="0"/>
      <w:marBottom w:val="0"/>
      <w:divBdr>
        <w:top w:val="none" w:sz="0" w:space="0" w:color="auto"/>
        <w:left w:val="none" w:sz="0" w:space="0" w:color="auto"/>
        <w:bottom w:val="none" w:sz="0" w:space="0" w:color="auto"/>
        <w:right w:val="none" w:sz="0" w:space="0" w:color="auto"/>
      </w:divBdr>
    </w:div>
    <w:div w:id="2033799081">
      <w:bodyDiv w:val="1"/>
      <w:marLeft w:val="0"/>
      <w:marRight w:val="0"/>
      <w:marTop w:val="0"/>
      <w:marBottom w:val="0"/>
      <w:divBdr>
        <w:top w:val="none" w:sz="0" w:space="0" w:color="auto"/>
        <w:left w:val="none" w:sz="0" w:space="0" w:color="auto"/>
        <w:bottom w:val="none" w:sz="0" w:space="0" w:color="auto"/>
        <w:right w:val="none" w:sz="0" w:space="0" w:color="auto"/>
      </w:divBdr>
    </w:div>
    <w:div w:id="2035185678">
      <w:bodyDiv w:val="1"/>
      <w:marLeft w:val="0"/>
      <w:marRight w:val="0"/>
      <w:marTop w:val="0"/>
      <w:marBottom w:val="0"/>
      <w:divBdr>
        <w:top w:val="none" w:sz="0" w:space="0" w:color="auto"/>
        <w:left w:val="none" w:sz="0" w:space="0" w:color="auto"/>
        <w:bottom w:val="none" w:sz="0" w:space="0" w:color="auto"/>
        <w:right w:val="none" w:sz="0" w:space="0" w:color="auto"/>
      </w:divBdr>
    </w:div>
    <w:div w:id="2041662110">
      <w:bodyDiv w:val="1"/>
      <w:marLeft w:val="0"/>
      <w:marRight w:val="0"/>
      <w:marTop w:val="0"/>
      <w:marBottom w:val="0"/>
      <w:divBdr>
        <w:top w:val="none" w:sz="0" w:space="0" w:color="auto"/>
        <w:left w:val="none" w:sz="0" w:space="0" w:color="auto"/>
        <w:bottom w:val="none" w:sz="0" w:space="0" w:color="auto"/>
        <w:right w:val="none" w:sz="0" w:space="0" w:color="auto"/>
      </w:divBdr>
    </w:div>
    <w:div w:id="2043166221">
      <w:bodyDiv w:val="1"/>
      <w:marLeft w:val="0"/>
      <w:marRight w:val="0"/>
      <w:marTop w:val="0"/>
      <w:marBottom w:val="0"/>
      <w:divBdr>
        <w:top w:val="none" w:sz="0" w:space="0" w:color="auto"/>
        <w:left w:val="none" w:sz="0" w:space="0" w:color="auto"/>
        <w:bottom w:val="none" w:sz="0" w:space="0" w:color="auto"/>
        <w:right w:val="none" w:sz="0" w:space="0" w:color="auto"/>
      </w:divBdr>
    </w:div>
    <w:div w:id="2048485796">
      <w:bodyDiv w:val="1"/>
      <w:marLeft w:val="0"/>
      <w:marRight w:val="0"/>
      <w:marTop w:val="0"/>
      <w:marBottom w:val="0"/>
      <w:divBdr>
        <w:top w:val="none" w:sz="0" w:space="0" w:color="auto"/>
        <w:left w:val="none" w:sz="0" w:space="0" w:color="auto"/>
        <w:bottom w:val="none" w:sz="0" w:space="0" w:color="auto"/>
        <w:right w:val="none" w:sz="0" w:space="0" w:color="auto"/>
      </w:divBdr>
    </w:div>
    <w:div w:id="2048799167">
      <w:bodyDiv w:val="1"/>
      <w:marLeft w:val="0"/>
      <w:marRight w:val="0"/>
      <w:marTop w:val="0"/>
      <w:marBottom w:val="0"/>
      <w:divBdr>
        <w:top w:val="none" w:sz="0" w:space="0" w:color="auto"/>
        <w:left w:val="none" w:sz="0" w:space="0" w:color="auto"/>
        <w:bottom w:val="none" w:sz="0" w:space="0" w:color="auto"/>
        <w:right w:val="none" w:sz="0" w:space="0" w:color="auto"/>
      </w:divBdr>
    </w:div>
    <w:div w:id="2048991164">
      <w:bodyDiv w:val="1"/>
      <w:marLeft w:val="0"/>
      <w:marRight w:val="0"/>
      <w:marTop w:val="0"/>
      <w:marBottom w:val="0"/>
      <w:divBdr>
        <w:top w:val="none" w:sz="0" w:space="0" w:color="auto"/>
        <w:left w:val="none" w:sz="0" w:space="0" w:color="auto"/>
        <w:bottom w:val="none" w:sz="0" w:space="0" w:color="auto"/>
        <w:right w:val="none" w:sz="0" w:space="0" w:color="auto"/>
      </w:divBdr>
    </w:div>
    <w:div w:id="2050104874">
      <w:bodyDiv w:val="1"/>
      <w:marLeft w:val="0"/>
      <w:marRight w:val="0"/>
      <w:marTop w:val="0"/>
      <w:marBottom w:val="0"/>
      <w:divBdr>
        <w:top w:val="none" w:sz="0" w:space="0" w:color="auto"/>
        <w:left w:val="none" w:sz="0" w:space="0" w:color="auto"/>
        <w:bottom w:val="none" w:sz="0" w:space="0" w:color="auto"/>
        <w:right w:val="none" w:sz="0" w:space="0" w:color="auto"/>
      </w:divBdr>
    </w:div>
    <w:div w:id="2052921816">
      <w:bodyDiv w:val="1"/>
      <w:marLeft w:val="0"/>
      <w:marRight w:val="0"/>
      <w:marTop w:val="0"/>
      <w:marBottom w:val="0"/>
      <w:divBdr>
        <w:top w:val="none" w:sz="0" w:space="0" w:color="auto"/>
        <w:left w:val="none" w:sz="0" w:space="0" w:color="auto"/>
        <w:bottom w:val="none" w:sz="0" w:space="0" w:color="auto"/>
        <w:right w:val="none" w:sz="0" w:space="0" w:color="auto"/>
      </w:divBdr>
    </w:div>
    <w:div w:id="2059041355">
      <w:bodyDiv w:val="1"/>
      <w:marLeft w:val="0"/>
      <w:marRight w:val="0"/>
      <w:marTop w:val="0"/>
      <w:marBottom w:val="0"/>
      <w:divBdr>
        <w:top w:val="none" w:sz="0" w:space="0" w:color="auto"/>
        <w:left w:val="none" w:sz="0" w:space="0" w:color="auto"/>
        <w:bottom w:val="none" w:sz="0" w:space="0" w:color="auto"/>
        <w:right w:val="none" w:sz="0" w:space="0" w:color="auto"/>
      </w:divBdr>
    </w:div>
    <w:div w:id="2062055255">
      <w:bodyDiv w:val="1"/>
      <w:marLeft w:val="0"/>
      <w:marRight w:val="0"/>
      <w:marTop w:val="0"/>
      <w:marBottom w:val="0"/>
      <w:divBdr>
        <w:top w:val="none" w:sz="0" w:space="0" w:color="auto"/>
        <w:left w:val="none" w:sz="0" w:space="0" w:color="auto"/>
        <w:bottom w:val="none" w:sz="0" w:space="0" w:color="auto"/>
        <w:right w:val="none" w:sz="0" w:space="0" w:color="auto"/>
      </w:divBdr>
    </w:div>
    <w:div w:id="2067336322">
      <w:bodyDiv w:val="1"/>
      <w:marLeft w:val="0"/>
      <w:marRight w:val="0"/>
      <w:marTop w:val="0"/>
      <w:marBottom w:val="0"/>
      <w:divBdr>
        <w:top w:val="none" w:sz="0" w:space="0" w:color="auto"/>
        <w:left w:val="none" w:sz="0" w:space="0" w:color="auto"/>
        <w:bottom w:val="none" w:sz="0" w:space="0" w:color="auto"/>
        <w:right w:val="none" w:sz="0" w:space="0" w:color="auto"/>
      </w:divBdr>
    </w:div>
    <w:div w:id="2077512622">
      <w:bodyDiv w:val="1"/>
      <w:marLeft w:val="0"/>
      <w:marRight w:val="0"/>
      <w:marTop w:val="0"/>
      <w:marBottom w:val="0"/>
      <w:divBdr>
        <w:top w:val="none" w:sz="0" w:space="0" w:color="auto"/>
        <w:left w:val="none" w:sz="0" w:space="0" w:color="auto"/>
        <w:bottom w:val="none" w:sz="0" w:space="0" w:color="auto"/>
        <w:right w:val="none" w:sz="0" w:space="0" w:color="auto"/>
      </w:divBdr>
    </w:div>
    <w:div w:id="2078744170">
      <w:bodyDiv w:val="1"/>
      <w:marLeft w:val="0"/>
      <w:marRight w:val="0"/>
      <w:marTop w:val="0"/>
      <w:marBottom w:val="0"/>
      <w:divBdr>
        <w:top w:val="none" w:sz="0" w:space="0" w:color="auto"/>
        <w:left w:val="none" w:sz="0" w:space="0" w:color="auto"/>
        <w:bottom w:val="none" w:sz="0" w:space="0" w:color="auto"/>
        <w:right w:val="none" w:sz="0" w:space="0" w:color="auto"/>
      </w:divBdr>
    </w:div>
    <w:div w:id="2081437089">
      <w:bodyDiv w:val="1"/>
      <w:marLeft w:val="0"/>
      <w:marRight w:val="0"/>
      <w:marTop w:val="0"/>
      <w:marBottom w:val="0"/>
      <w:divBdr>
        <w:top w:val="none" w:sz="0" w:space="0" w:color="auto"/>
        <w:left w:val="none" w:sz="0" w:space="0" w:color="auto"/>
        <w:bottom w:val="none" w:sz="0" w:space="0" w:color="auto"/>
        <w:right w:val="none" w:sz="0" w:space="0" w:color="auto"/>
      </w:divBdr>
    </w:div>
    <w:div w:id="2082361965">
      <w:bodyDiv w:val="1"/>
      <w:marLeft w:val="0"/>
      <w:marRight w:val="0"/>
      <w:marTop w:val="0"/>
      <w:marBottom w:val="0"/>
      <w:divBdr>
        <w:top w:val="none" w:sz="0" w:space="0" w:color="auto"/>
        <w:left w:val="none" w:sz="0" w:space="0" w:color="auto"/>
        <w:bottom w:val="none" w:sz="0" w:space="0" w:color="auto"/>
        <w:right w:val="none" w:sz="0" w:space="0" w:color="auto"/>
      </w:divBdr>
    </w:div>
    <w:div w:id="2092655098">
      <w:bodyDiv w:val="1"/>
      <w:marLeft w:val="0"/>
      <w:marRight w:val="0"/>
      <w:marTop w:val="0"/>
      <w:marBottom w:val="0"/>
      <w:divBdr>
        <w:top w:val="none" w:sz="0" w:space="0" w:color="auto"/>
        <w:left w:val="none" w:sz="0" w:space="0" w:color="auto"/>
        <w:bottom w:val="none" w:sz="0" w:space="0" w:color="auto"/>
        <w:right w:val="none" w:sz="0" w:space="0" w:color="auto"/>
      </w:divBdr>
    </w:div>
    <w:div w:id="2094234853">
      <w:bodyDiv w:val="1"/>
      <w:marLeft w:val="0"/>
      <w:marRight w:val="0"/>
      <w:marTop w:val="0"/>
      <w:marBottom w:val="0"/>
      <w:divBdr>
        <w:top w:val="none" w:sz="0" w:space="0" w:color="auto"/>
        <w:left w:val="none" w:sz="0" w:space="0" w:color="auto"/>
        <w:bottom w:val="none" w:sz="0" w:space="0" w:color="auto"/>
        <w:right w:val="none" w:sz="0" w:space="0" w:color="auto"/>
      </w:divBdr>
    </w:div>
    <w:div w:id="2095204116">
      <w:bodyDiv w:val="1"/>
      <w:marLeft w:val="0"/>
      <w:marRight w:val="0"/>
      <w:marTop w:val="0"/>
      <w:marBottom w:val="0"/>
      <w:divBdr>
        <w:top w:val="none" w:sz="0" w:space="0" w:color="auto"/>
        <w:left w:val="none" w:sz="0" w:space="0" w:color="auto"/>
        <w:bottom w:val="none" w:sz="0" w:space="0" w:color="auto"/>
        <w:right w:val="none" w:sz="0" w:space="0" w:color="auto"/>
      </w:divBdr>
    </w:div>
    <w:div w:id="2097359292">
      <w:bodyDiv w:val="1"/>
      <w:marLeft w:val="0"/>
      <w:marRight w:val="0"/>
      <w:marTop w:val="0"/>
      <w:marBottom w:val="0"/>
      <w:divBdr>
        <w:top w:val="none" w:sz="0" w:space="0" w:color="auto"/>
        <w:left w:val="none" w:sz="0" w:space="0" w:color="auto"/>
        <w:bottom w:val="none" w:sz="0" w:space="0" w:color="auto"/>
        <w:right w:val="none" w:sz="0" w:space="0" w:color="auto"/>
      </w:divBdr>
    </w:div>
    <w:div w:id="2098403423">
      <w:bodyDiv w:val="1"/>
      <w:marLeft w:val="0"/>
      <w:marRight w:val="0"/>
      <w:marTop w:val="0"/>
      <w:marBottom w:val="0"/>
      <w:divBdr>
        <w:top w:val="none" w:sz="0" w:space="0" w:color="auto"/>
        <w:left w:val="none" w:sz="0" w:space="0" w:color="auto"/>
        <w:bottom w:val="none" w:sz="0" w:space="0" w:color="auto"/>
        <w:right w:val="none" w:sz="0" w:space="0" w:color="auto"/>
      </w:divBdr>
    </w:div>
    <w:div w:id="2117291685">
      <w:bodyDiv w:val="1"/>
      <w:marLeft w:val="0"/>
      <w:marRight w:val="0"/>
      <w:marTop w:val="0"/>
      <w:marBottom w:val="0"/>
      <w:divBdr>
        <w:top w:val="none" w:sz="0" w:space="0" w:color="auto"/>
        <w:left w:val="none" w:sz="0" w:space="0" w:color="auto"/>
        <w:bottom w:val="none" w:sz="0" w:space="0" w:color="auto"/>
        <w:right w:val="none" w:sz="0" w:space="0" w:color="auto"/>
      </w:divBdr>
    </w:div>
    <w:div w:id="2118329682">
      <w:bodyDiv w:val="1"/>
      <w:marLeft w:val="0"/>
      <w:marRight w:val="0"/>
      <w:marTop w:val="0"/>
      <w:marBottom w:val="0"/>
      <w:divBdr>
        <w:top w:val="none" w:sz="0" w:space="0" w:color="auto"/>
        <w:left w:val="none" w:sz="0" w:space="0" w:color="auto"/>
        <w:bottom w:val="none" w:sz="0" w:space="0" w:color="auto"/>
        <w:right w:val="none" w:sz="0" w:space="0" w:color="auto"/>
      </w:divBdr>
    </w:div>
    <w:div w:id="2120952528">
      <w:bodyDiv w:val="1"/>
      <w:marLeft w:val="0"/>
      <w:marRight w:val="0"/>
      <w:marTop w:val="0"/>
      <w:marBottom w:val="0"/>
      <w:divBdr>
        <w:top w:val="none" w:sz="0" w:space="0" w:color="auto"/>
        <w:left w:val="none" w:sz="0" w:space="0" w:color="auto"/>
        <w:bottom w:val="none" w:sz="0" w:space="0" w:color="auto"/>
        <w:right w:val="none" w:sz="0" w:space="0" w:color="auto"/>
      </w:divBdr>
    </w:div>
    <w:div w:id="2121102396">
      <w:bodyDiv w:val="1"/>
      <w:marLeft w:val="0"/>
      <w:marRight w:val="0"/>
      <w:marTop w:val="0"/>
      <w:marBottom w:val="0"/>
      <w:divBdr>
        <w:top w:val="none" w:sz="0" w:space="0" w:color="auto"/>
        <w:left w:val="none" w:sz="0" w:space="0" w:color="auto"/>
        <w:bottom w:val="none" w:sz="0" w:space="0" w:color="auto"/>
        <w:right w:val="none" w:sz="0" w:space="0" w:color="auto"/>
      </w:divBdr>
    </w:div>
    <w:div w:id="2130779060">
      <w:bodyDiv w:val="1"/>
      <w:marLeft w:val="0"/>
      <w:marRight w:val="0"/>
      <w:marTop w:val="0"/>
      <w:marBottom w:val="0"/>
      <w:divBdr>
        <w:top w:val="none" w:sz="0" w:space="0" w:color="auto"/>
        <w:left w:val="none" w:sz="0" w:space="0" w:color="auto"/>
        <w:bottom w:val="none" w:sz="0" w:space="0" w:color="auto"/>
        <w:right w:val="none" w:sz="0" w:space="0" w:color="auto"/>
      </w:divBdr>
    </w:div>
    <w:div w:id="2137597858">
      <w:bodyDiv w:val="1"/>
      <w:marLeft w:val="0"/>
      <w:marRight w:val="0"/>
      <w:marTop w:val="0"/>
      <w:marBottom w:val="0"/>
      <w:divBdr>
        <w:top w:val="none" w:sz="0" w:space="0" w:color="auto"/>
        <w:left w:val="none" w:sz="0" w:space="0" w:color="auto"/>
        <w:bottom w:val="none" w:sz="0" w:space="0" w:color="auto"/>
        <w:right w:val="none" w:sz="0" w:space="0" w:color="auto"/>
      </w:divBdr>
    </w:div>
    <w:div w:id="2139488370">
      <w:bodyDiv w:val="1"/>
      <w:marLeft w:val="0"/>
      <w:marRight w:val="0"/>
      <w:marTop w:val="0"/>
      <w:marBottom w:val="0"/>
      <w:divBdr>
        <w:top w:val="none" w:sz="0" w:space="0" w:color="auto"/>
        <w:left w:val="none" w:sz="0" w:space="0" w:color="auto"/>
        <w:bottom w:val="none" w:sz="0" w:space="0" w:color="auto"/>
        <w:right w:val="none" w:sz="0" w:space="0" w:color="auto"/>
      </w:divBdr>
    </w:div>
    <w:div w:id="2143425577">
      <w:bodyDiv w:val="1"/>
      <w:marLeft w:val="0"/>
      <w:marRight w:val="0"/>
      <w:marTop w:val="0"/>
      <w:marBottom w:val="0"/>
      <w:divBdr>
        <w:top w:val="none" w:sz="0" w:space="0" w:color="auto"/>
        <w:left w:val="none" w:sz="0" w:space="0" w:color="auto"/>
        <w:bottom w:val="none" w:sz="0" w:space="0" w:color="auto"/>
        <w:right w:val="none" w:sz="0" w:space="0" w:color="auto"/>
      </w:divBdr>
    </w:div>
    <w:div w:id="2143493889">
      <w:bodyDiv w:val="1"/>
      <w:marLeft w:val="0"/>
      <w:marRight w:val="0"/>
      <w:marTop w:val="0"/>
      <w:marBottom w:val="0"/>
      <w:divBdr>
        <w:top w:val="none" w:sz="0" w:space="0" w:color="auto"/>
        <w:left w:val="none" w:sz="0" w:space="0" w:color="auto"/>
        <w:bottom w:val="none" w:sz="0" w:space="0" w:color="auto"/>
        <w:right w:val="none" w:sz="0" w:space="0" w:color="auto"/>
      </w:divBdr>
    </w:div>
    <w:div w:id="21459281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ww.ieee.es/Galerias/fichero/docs_analisis/2019/DIEEEA21_2019PEDSAN_Libia.pdf" TargetMode="External"/><Relationship Id="rId1" Type="http://schemas.openxmlformats.org/officeDocument/2006/relationships/hyperlink" Target="https://elpais.com/diario/2011/10/21/internacional/1319148010_8502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Pér97</b:Tag>
    <b:SourceType>Book</b:SourceType>
    <b:Guid>{DC9658DA-2787-451C-A6BE-CC4C9F1215CF}</b:Guid>
    <b:Title>Manual de derecho diplomático</b:Title>
    <b:Year>1997</b:Year>
    <b:City>México</b:City>
    <b:Publisher>Fondo de Cultura Económica</b:Publisher>
    <b:Author>
      <b:Author>
        <b:NameList>
          <b:Person>
            <b:Last>Pérez de Cuéllar</b:Last>
            <b:First>Javier</b:First>
          </b:Person>
        </b:NameList>
      </b:Author>
    </b:Author>
    <b:RefOrder>29</b:RefOrder>
  </b:Source>
  <b:Source>
    <b:Tag>Cal93</b:Tag>
    <b:SourceType>Book</b:SourceType>
    <b:Guid>{1F70B4B1-3FE5-4F44-83CF-A1A15265994B}</b:Guid>
    <b:Title>Dinámica de la Sociedad Internacional</b:Title>
    <b:Year>1993</b:Year>
    <b:Publisher>Centro de Estudios Universitarios Ramón Areces</b:Publisher>
    <b:City>Madrid</b:City>
    <b:Author>
      <b:Author>
        <b:NameList>
          <b:Person>
            <b:Last>Calduch Cervera</b:Last>
            <b:First>Rafael</b:First>
          </b:Person>
        </b:NameList>
      </b:Author>
    </b:Author>
    <b:RefOrder>30</b:RefOrder>
  </b:Source>
  <b:Source>
    <b:Tag>Vil18</b:Tag>
    <b:SourceType>Book</b:SourceType>
    <b:Guid>{69D0AA98-01EB-4205-9E69-741B0E6C3F9E}</b:Guid>
    <b:Title>Curso de Derecho Diplomático y Consular </b:Title>
    <b:Year>2018</b:Year>
    <b:City>Madrid</b:City>
    <b:Publisher>Tecnos</b:Publisher>
    <b:Author>
      <b:Author>
        <b:NameList>
          <b:Person>
            <b:Last>Vilariño Pintos</b:Last>
            <b:First>Eduardo</b:First>
          </b:Person>
        </b:NameList>
      </b:Author>
    </b:Author>
    <b:RefOrder>1</b:RefOrder>
  </b:Source>
  <b:Source>
    <b:Tag>Wec52</b:Tag>
    <b:SourceType>JournalArticle</b:SourceType>
    <b:Guid>{710FA71A-7C65-47A4-B33C-49487D2603B1}</b:Guid>
    <b:Title>Origen de la misión diplomática permanente</b:Title>
    <b:Year>1952</b:Year>
    <b:JournalName>Revista General de Derecho Internacional Público (RGDIP)</b:JournalName>
    <b:Pages>268-298</b:Pages>
    <b:Author>
      <b:Author>
        <b:NameList>
          <b:Person>
            <b:Last>Weckmann</b:Last>
            <b:First>Luis</b:First>
          </b:Person>
        </b:NameList>
      </b:Author>
    </b:Author>
    <b:RefOrder>31</b:RefOrder>
  </b:Source>
  <b:Source>
    <b:Tag>Jar89</b:Tag>
    <b:SourceType>Book</b:SourceType>
    <b:Guid>{D3B3376D-3833-468C-B5DC-C57ACDEDAC54}</b:Guid>
    <b:Title>La Función Diplomátcia</b:Title>
    <b:Year>1989</b:Year>
    <b:Author>
      <b:Author>
        <b:NameList>
          <b:Person>
            <b:Last>Jara Roncati</b:Last>
            <b:First>Eduardo</b:First>
          </b:Person>
        </b:NameList>
      </b:Author>
    </b:Author>
    <b:City>Santiago de Chile</b:City>
    <b:Publisher>Proyecto de Cooperación de los Servicios Exteriores de América Látina</b:Publisher>
    <b:RefOrder>2</b:RefOrder>
  </b:Source>
  <b:Source>
    <b:Tag>Mar11</b:Tag>
    <b:SourceType>JournalArticle</b:SourceType>
    <b:Guid>{47BE0D45-2D45-4BCF-B450-59446C5BA955}</b:Guid>
    <b:Title>La actividad consular de España en el extranjero</b:Title>
    <b:Year>2011</b:Year>
    <b:Author>
      <b:Author>
        <b:NameList>
          <b:Person>
            <b:Last>Martí Martí</b:Last>
          </b:Person>
        </b:NameList>
      </b:Author>
    </b:Author>
    <b:JournalName>Revista Electrónica de Estudios Internacionales</b:JournalName>
    <b:Pages>1-28</b:Pages>
    <b:RefOrder>32</b:RefOrder>
  </b:Source>
  <b:Source>
    <b:Tag>Mar09</b:Tag>
    <b:SourceType>Book</b:SourceType>
    <b:Guid>{83B79F95-3FBA-417D-8835-21DF065F067E}</b:Guid>
    <b:Title>La función consular en el derecho Español</b:Title>
    <b:Year>2009</b:Year>
    <b:Author>
      <b:Author>
        <b:NameList>
          <b:Person>
            <b:Last>Martí Martí</b:Last>
            <b:First>Xavier</b:First>
          </b:Person>
          <b:Person>
            <b:Last>Núñez Hernández</b:Last>
            <b:First>Jesús</b:First>
          </b:Person>
        </b:NameList>
      </b:Author>
    </b:Author>
    <b:City>Madrid</b:City>
    <b:Publisher>Ministerio de Asuntos Exteriores y Cooperación</b:Publisher>
    <b:RefOrder>33</b:RefOrder>
  </b:Source>
  <b:Source>
    <b:Tag>Mar74</b:Tag>
    <b:SourceType>Book</b:SourceType>
    <b:Guid>{967E5862-712B-461B-A35E-E459DAB747BA}</b:Guid>
    <b:Title>Las relaciones consulares</b:Title>
    <b:Year>1974</b:Year>
    <b:City>Madrid</b:City>
    <b:Publisher>aguilar</b:Publisher>
    <b:Author>
      <b:Author>
        <b:NameList>
          <b:Person>
            <b:Last>Maresca</b:Last>
            <b:First>Adolfo</b:First>
          </b:Person>
        </b:NameList>
      </b:Author>
    </b:Author>
    <b:RefOrder>3</b:RefOrder>
  </b:Source>
  <b:Source>
    <b:Tag>Pas15</b:Tag>
    <b:SourceType>Book</b:SourceType>
    <b:Guid>{9497FD42-4C2E-4F25-8E80-C9289FDA7EEC}</b:Guid>
    <b:Title>Curso de Derecho Internacional Público y Organizaciones Internacionales</b:Title>
    <b:Year>2015</b:Year>
    <b:City>Madrid</b:City>
    <b:Publisher>Tecnos</b:Publisher>
    <b:Author>
      <b:Author>
        <b:NameList>
          <b:Person>
            <b:Last>Pastor Ridruejo</b:Last>
            <b:Middle>Antonio</b:Middle>
            <b:First>José </b:First>
          </b:Person>
        </b:NameList>
      </b:Author>
    </b:Author>
    <b:RefOrder>9</b:RefOrder>
  </b:Source>
  <b:Source>
    <b:Tag>Ytu15</b:Tag>
    <b:SourceType>Book</b:SourceType>
    <b:Guid>{26DCF60B-FACE-4D34-A463-00A938D8F8E4}</b:Guid>
    <b:Title>El órgano del Estado para las relaciones exteriores </b:Title>
    <b:Year>2015</b:Year>
    <b:City>Madrid</b:City>
    <b:Publisher>Colección Escuela Diplomática</b:Publisher>
    <b:Author>
      <b:Author>
        <b:NameList>
          <b:Person>
            <b:Last>Yturriaga Barberán</b:Last>
            <b:Middle>Antonio</b:Middle>
            <b:First>José </b:First>
          </b:Person>
        </b:NameList>
      </b:Author>
    </b:Author>
    <b:RefOrder>4</b:RefOrder>
  </b:Source>
  <b:Source>
    <b:Tag>Sáe81</b:Tag>
    <b:SourceType>JournalArticle</b:SourceType>
    <b:Guid>{D5DB8FC1-355B-417F-99C2-EBDED585C61F}</b:Guid>
    <b:Title>La crisis de la inviolabilidad de las misiones diplomáticas. Una perspectiva estructural de análisis </b:Title>
    <b:Year>1981</b:Year>
    <b:JournalName>Revista de Estudiso Internacionales </b:JournalName>
    <b:Pages>261-303</b:Pages>
    <b:Author>
      <b:Author>
        <b:NameList>
          <b:Person>
            <b:Last>Sáenz de Santa María </b:Last>
            <b:First>M. P. Andrés</b:First>
          </b:Person>
        </b:NameList>
      </b:Author>
    </b:Author>
    <b:RefOrder>5</b:RefOrder>
  </b:Source>
  <b:Source>
    <b:Tag>Cah65</b:Tag>
    <b:SourceType>Book</b:SourceType>
    <b:Guid>{1D3CFA15-C670-4295-B077-949D44CC5507}</b:Guid>
    <b:Title>Derecho diplomático contemporáneo</b:Title>
    <b:Year>1965</b:Year>
    <b:City>Madrid</b:City>
    <b:Publisher>Rialp</b:Publisher>
    <b:Author>
      <b:Author>
        <b:NameList>
          <b:Person>
            <b:Last>Cahier</b:Last>
            <b:First>Philippe</b:First>
          </b:Person>
        </b:NameList>
      </b:Author>
    </b:Author>
    <b:RefOrder>34</b:RefOrder>
  </b:Source>
  <b:Source>
    <b:Tag>Mol64</b:Tag>
    <b:SourceType>JournalArticle</b:SourceType>
    <b:Guid>{BA04BBB7-52E4-4BF3-AC44-AD72D0350FB5}</b:Guid>
    <b:Title>La Responsabilidad Internacional del Estado</b:Title>
    <b:Year>1964</b:Year>
    <b:JournalName>Facultad de Derecho, Buenos Aires</b:JournalName>
    <b:Pages>43-63</b:Pages>
    <b:Author>
      <b:Author>
        <b:NameList>
          <b:Person>
            <b:Last>Molteni</b:Last>
            <b:First>Altilio</b:First>
          </b:Person>
        </b:NameList>
      </b:Author>
    </b:Author>
    <b:RefOrder>6</b:RefOrder>
  </b:Source>
  <b:Source>
    <b:Tag>Día08</b:Tag>
    <b:SourceType>JournalArticle</b:SourceType>
    <b:Guid>{7489F4FE-C4E0-4C9E-95D6-9C82BB91846A}</b:Guid>
    <b:Title>La responsabilidad internacional de los Estados: base para la defensa de los Derechos Humnos </b:Title>
    <b:JournalName>Derecho PUCP: Revista de la Facultada de Derecho</b:JournalName>
    <b:Year>2008</b:Year>
    <b:Pages>249-272</b:Pages>
    <b:Author>
      <b:Author>
        <b:NameList>
          <b:Person>
            <b:Last>Díaz Cáceda</b:Last>
            <b:First>Joel</b:First>
          </b:Person>
        </b:NameList>
      </b:Author>
    </b:Author>
    <b:RefOrder>7</b:RefOrder>
  </b:Source>
  <b:Source>
    <b:Tag>Sfe17</b:Tag>
    <b:SourceType>JournalArticle</b:SourceType>
    <b:Guid>{A61D63F6-BE7B-4E88-8F91-CF6097317E17}</b:Guid>
    <b:Title>Hecho ilícito internacional </b:Title>
    <b:JournalName>Eunomía. Revista en Cultura de la legalidad</b:JournalName>
    <b:Year>2017</b:Year>
    <b:Pages>271-282</b:Pages>
    <b:Author>
      <b:Author>
        <b:NameList>
          <b:Person>
            <b:Last>Sferraza Taibi</b:Last>
            <b:First>Pietro</b:First>
          </b:Person>
        </b:NameList>
      </b:Author>
    </b:Author>
    <b:RefOrder>8</b:RefOrder>
  </b:Source>
  <b:Source>
    <b:Tag>Día081</b:Tag>
    <b:SourceType>JournalArticle</b:SourceType>
    <b:Guid>{1BE658A6-5966-4AC9-930B-CA4325583395}</b:Guid>
    <b:Title>La responsabilidad internacional de los Estados: base para la defensa de los Derechos Humanos</b:Title>
    <b:JournalName>PUCP. Revista de la Facultad de Derecho</b:JournalName>
    <b:Year>2008</b:Year>
    <b:Pages>249-272</b:Pages>
    <b:Author>
      <b:Author>
        <b:NameList>
          <b:Person>
            <b:Last>Díaz Cáceda</b:Last>
            <b:First>Joel</b:First>
          </b:Person>
        </b:NameList>
      </b:Author>
    </b:Author>
    <b:RefOrder>10</b:RefOrder>
  </b:Source>
  <b:Source>
    <b:Tag>Bec16</b:Tag>
    <b:SourceType>JournalArticle</b:SourceType>
    <b:Guid>{48208E36-F78A-4844-A0D3-FE0AB445A5B1}</b:Guid>
    <b:Title>La obligación de repara como principio fundamental del Derecho Internacional</b:Title>
    <b:JournalName>Revista Jurídica de la Universidad de León</b:JournalName>
    <b:Year>2016</b:Year>
    <b:Pages>83-91</b:Pages>
    <b:Author>
      <b:Author>
        <b:NameList>
          <b:Person>
            <b:Last>Becerra Becerra</b:Last>
            <b:Middle>Lucía</b:Middle>
            <b:First>Zoraida</b:First>
          </b:Person>
        </b:NameList>
      </b:Author>
    </b:Author>
    <b:RefOrder>11</b:RefOrder>
  </b:Source>
  <b:Source>
    <b:Tag>Cab11</b:Tag>
    <b:SourceType>JournalArticle</b:SourceType>
    <b:Guid>{21D674CD-C03A-4DC9-A274-AA4A4A945A41}</b:Guid>
    <b:Title>Asalto y Masacre en la Embajada Española en Guatemala Tres Décadas Después: Consecuencias para las Relaciones Bilaterales entre Ambos Estados</b:Title>
    <b:Year>2011</b:Year>
    <b:JournalName>Latin American Journal of Internactional Affairs</b:JournalName>
    <b:Pages>1-25</b:Pages>
    <b:Author>
      <b:Author>
        <b:NameList>
          <b:Person>
            <b:Last>Caballero-Mariscal</b:Last>
            <b:First>David</b:First>
          </b:Person>
        </b:NameList>
      </b:Author>
    </b:Author>
    <b:RefOrder>12</b:RefOrder>
  </b:Source>
  <b:Source>
    <b:Tag>Pic15</b:Tag>
    <b:SourceType>JournalArticle</b:SourceType>
    <b:Guid>{A5E7D41A-86BB-40E8-90E0-41E6ECF4A81A}</b:Guid>
    <b:Title>Guatemala: Consecuencias del asalto de la Embajada de España</b:Title>
    <b:JournalName>Insitituto Universitario de Desarrollo y Cooperación IUDC - UCM</b:JournalName>
    <b:Year>2015</b:Year>
    <b:Author>
      <b:Author>
        <b:NameList>
          <b:Person>
            <b:Last>Pico de Coaña de Valicourt</b:Last>
            <b:First>Yago</b:First>
          </b:Person>
          <b:Person>
            <b:Last>Casaús Arzú</b:Last>
            <b:Middle>Elena</b:Middle>
            <b:First>Marta</b:First>
          </b:Person>
        </b:NameList>
      </b:Author>
    </b:Author>
    <b:RefOrder>13</b:RefOrder>
  </b:Source>
  <b:Source>
    <b:Tag>Bur80</b:Tag>
    <b:SourceType>JournalArticle</b:SourceType>
    <b:Guid>{39DC78E8-4A25-48AB-B93B-069BCB40DA60}</b:Guid>
    <b:Title>Análisis jurídico de los sucesos ocurridos en la Embajada de España en Guatemla</b:Title>
    <b:JournalName>Facultad de Ciencias Políticas y Sociología de la Universidad Complutense</b:JournalName>
    <b:Year>1980</b:Year>
    <b:Pages>107-127</b:Pages>
    <b:Author>
      <b:Author>
        <b:NameList>
          <b:Person>
            <b:Last>Burgos</b:Last>
            <b:First>Pedro</b:First>
          </b:Person>
        </b:NameList>
      </b:Author>
    </b:Author>
    <b:RefOrder>14</b:RefOrder>
  </b:Source>
  <b:Source>
    <b:Tag>Cot80</b:Tag>
    <b:SourceType>JournalArticle</b:SourceType>
    <b:Guid>{10111C91-D76B-46D2-A10B-85690F20AA5C}</b:Guid>
    <b:Title>Human Righis in Iran under the Shah</b:Title>
    <b:Year>1980</b:Year>
    <b:Pages>121-136</b:Pages>
    <b:JournalName>Case Western Reserve Journla of International Law</b:JournalName>
    <b:Author>
      <b:Author>
        <b:NameList>
          <b:Person>
            <b:Last>Cottam</b:Last>
            <b:First>Richard W. </b:First>
          </b:Person>
        </b:NameList>
      </b:Author>
    </b:Author>
    <b:RefOrder>15</b:RefOrder>
  </b:Source>
  <b:Source>
    <b:Tag>Neg02</b:Tag>
    <b:SourceType>JournalArticle</b:SourceType>
    <b:Guid>{AA27ABAF-F793-477C-AB67-54387748D190}</b:Guid>
    <b:Title>El caso de los rehenes estadounidensen en Teherán y el Proyecto de Artículoo aprobado por la Comisión de Derecho Internacional sobre Responsabilidad del Estado por Hechos Internacionalmente Ilícitos</b:Title>
    <b:JournalName>Agenda Internacional</b:JournalName>
    <b:Year>2002</b:Year>
    <b:Pages>161-177</b:Pages>
    <b:Author>
      <b:Author>
        <b:NameList>
          <b:Person>
            <b:Last>Negro Alvarado </b:Last>
            <b:First>Dante M.</b:First>
          </b:Person>
        </b:NameList>
      </b:Author>
    </b:Author>
    <b:RefOrder>16</b:RefOrder>
  </b:Source>
  <b:Source>
    <b:Tag>Dau03</b:Tag>
    <b:SourceType>DocumentFromInternetSite</b:SourceType>
    <b:Guid>{2931ACB6-248C-4910-ACF9-DBB61BC3184A}</b:Guid>
    <b:Title>Jimmy Carter and the 1979 Decision to Admit the Sha into the United States</b:Title>
    <b:Year>2003</b:Year>
    <b:Author>
      <b:Author>
        <b:NameList>
          <b:Person>
            <b:Last>Daugherty</b:Last>
            <b:First>William J.</b:First>
          </b:Person>
        </b:NameList>
      </b:Author>
    </b:Author>
    <b:InternetSiteTitle>American Diplomacy</b:InternetSiteTitle>
    <b:Month>Abril</b:Month>
    <b:URL>http://americandiplomacy.web.unc.edu/2003/04/jimmy-carter-and-the-1979-decision-to-admit-the-shah-into-the-united-states/</b:URL>
    <b:RefOrder>17</b:RefOrder>
  </b:Source>
  <b:Source>
    <b:Tag>New79</b:Tag>
    <b:SourceType>DocumentFromInternetSite</b:SourceType>
    <b:Guid>{192A7DE3-AF17-432F-B5AF-3F5E95DC95EE}</b:Guid>
    <b:Author>
      <b:Author>
        <b:Corporate>New York Times</b:Corporate>
      </b:Author>
    </b:Author>
    <b:Title>Iran Decree and Carter Reply</b:Title>
    <b:InternetSiteTitle>New York Times</b:InternetSiteTitle>
    <b:Year>1979</b:Year>
    <b:Month>Noviembre</b:Month>
    <b:Day>18</b:Day>
    <b:URL>https://www.nytimes.com/1979/11/18/archives/iran-decree-and-carter-reply-khomeini-statement.html</b:URL>
    <b:RefOrder>18</b:RefOrder>
  </b:Source>
  <b:Source>
    <b:Tag>Nak13</b:Tag>
    <b:SourceType>JournalArticle</b:SourceType>
    <b:Guid>{5157D729-EDBF-4B0D-B153-17AB85867D3B}</b:Guid>
    <b:Title>Diplomatic, Consular and Political Relations between Iran and United States</b:Title>
    <b:Year>2013</b:Year>
    <b:JournalName>European Scientific Journal</b:JournalName>
    <b:Pages>49-63</b:Pages>
    <b:Author>
      <b:Author>
        <b:NameList>
          <b:Person>
            <b:Last>Nakhavali</b:Last>
            <b:First>Miad</b:First>
          </b:Person>
        </b:NameList>
      </b:Author>
    </b:Author>
    <b:RefOrder>19</b:RefOrder>
  </b:Source>
  <b:Source>
    <b:Tag>Raf81</b:Tag>
    <b:SourceType>JournalArticle</b:SourceType>
    <b:Guid>{82CF1C09-0D8B-4A7B-BA7D-B4AB10097BBA}</b:Guid>
    <b:Title>The Iran Hostage Crisis and the International Court of Justice: Aspects of the Case Concerning United States Diplomatic and Consular Staff in Tehran</b:Title>
    <b:JournalName>Denver Journal of International Law &amp; Policy</b:JournalName>
    <b:Year>1981</b:Year>
    <b:Pages>425-462</b:Pages>
    <b:Author>
      <b:Author>
        <b:NameList>
          <b:Person>
            <b:Last>Rafat</b:Last>
            <b:First>Amir</b:First>
          </b:Person>
        </b:NameList>
      </b:Author>
    </b:Author>
    <b:RefOrder>20</b:RefOrder>
  </b:Source>
  <b:Source>
    <b:Tag>Jan81</b:Tag>
    <b:SourceType>JournalArticle</b:SourceType>
    <b:Guid>{D3E9D87D-5AA1-4CF1-A282-A18FAF3595D6}</b:Guid>
    <b:Title>The Role of the International Court in the Hostage Crisis</b:Title>
    <b:JournalName>Connecticut Law Review</b:JournalName>
    <b:Year>1981</b:Year>
    <b:Pages>263-289</b:Pages>
    <b:Author>
      <b:Author>
        <b:NameList>
          <b:Person>
            <b:Last>Janis</b:Last>
            <b:First>M.W. </b:First>
          </b:Person>
        </b:NameList>
      </b:Author>
    </b:Author>
    <b:RefOrder>21</b:RefOrder>
  </b:Source>
  <b:Source>
    <b:Tag>Len13</b:Tag>
    <b:SourceType>JournalArticle</b:SourceType>
    <b:Guid>{DB223D9F-800C-41DE-818B-D9EC4BDB76A2}</b:Guid>
    <b:Title>Incidencias de la Primavera Árabe en el fin de la "Era Verde" en Libia. Cuestiones sobre derecho de intervención y deber de injerencia</b:Title>
    <b:JournalName>Austral: Brazilian Journal of Strategy &amp; International Relations</b:JournalName>
    <b:Year>2013</b:Year>
    <b:Pages>157-180</b:Pages>
    <b:Author>
      <b:Author>
        <b:NameList>
          <b:Person>
            <b:Last>Lenchini de Álvarez</b:Last>
            <b:First>Gladys</b:First>
          </b:Person>
          <b:Person>
            <b:Last>Rabbia</b:Last>
            <b:First>Noemí S. </b:First>
          </b:Person>
        </b:NameList>
      </b:Author>
    </b:Author>
    <b:RefOrder>22</b:RefOrder>
  </b:Source>
  <b:Source>
    <b:Tag>Álv11</b:Tag>
    <b:SourceType>DocumentFromInternetSite</b:SourceType>
    <b:Guid>{011AED1F-6140-43E9-9958-5929EC49E1F3}</b:Guid>
    <b:Title>Un país sin cultura democrática</b:Title>
    <b:Year>2011</b:Year>
    <b:InternetSiteTitle>El País</b:InternetSiteTitle>
    <b:Month>Octubre</b:Month>
    <b:Day>21</b:Day>
    <b:URL>https://elpais.com/diario/2011/10/21/internacional/1319148010_850215.html</b:URL>
    <b:Author>
      <b:Author>
        <b:NameList>
          <b:Person>
            <b:Last>Álvarez-Ossorio</b:Last>
            <b:First>Ignacio</b:First>
          </b:Person>
        </b:NameList>
      </b:Author>
    </b:Author>
    <b:RefOrder>35</b:RefOrder>
  </b:Source>
  <b:Source>
    <b:Tag>Sán19</b:Tag>
    <b:SourceType>DocumentFromInternetSite</b:SourceType>
    <b:Guid>{A2EF0052-2F62-4A72-A567-464A8225D60B}</b:Guid>
    <b:Title>Libia: ¿El modelo de conflicto del siglo XXI?</b:Title>
    <b:InternetSiteTitle>Instituto Español de Estudios Estratégicos</b:InternetSiteTitle>
    <b:Year>2019</b:Year>
    <b:Month>julio</b:Month>
    <b:Day>3</b:Day>
    <b:URL>http://www.ieee.es/Galerias/fichero/docs_analisis/2019/DIEEEA21_2019PEDSAN_Libia.pdf</b:URL>
    <b:Author>
      <b:Author>
        <b:NameList>
          <b:Person>
            <b:Last>Sánchez Herráez</b:Last>
            <b:First>Pedro</b:First>
          </b:Person>
        </b:NameList>
      </b:Author>
    </b:Author>
    <b:RefOrder>36</b:RefOrder>
  </b:Source>
  <b:Source>
    <b:Tag>Tie12</b:Tag>
    <b:SourceType>Report</b:SourceType>
    <b:Guid>{B9C84705-0FFF-4965-B7F9-8E774E68BEC5}</b:Guid>
    <b:Title>Securing U.S. Diplomatic facilities and Personnel Abroad: Background and Policy Issues</b:Title>
    <b:Year>2012</b:Year>
    <b:Publisher>Congressional Research Service: Report for Congress</b:Publisher>
    <b:City>Washington D.C</b:City>
    <b:Author>
      <b:Author>
        <b:NameList>
          <b:Person>
            <b:Last>Tiersky</b:Last>
            <b:First>Alex</b:First>
          </b:Person>
          <b:Person>
            <b:Last>Epstein</b:Last>
            <b:First>Susan B.</b:First>
          </b:Person>
        </b:NameList>
      </b:Author>
    </b:Author>
    <b:JournalName>Congressional Research Service: Report for Congress</b:JournalName>
    <b:RefOrder>24</b:RefOrder>
  </b:Source>
  <b:Source>
    <b:Tag>Lie12</b:Tag>
    <b:SourceType>Report</b:SourceType>
    <b:Guid>{BA3657CA-4362-42D6-9C69-834CC58196E4}</b:Guid>
    <b:Title>Flashing Red: A Special Report on the Terrorist Attacj at Benghazi</b:Title>
    <b:Year>2012</b:Year>
    <b:Publisher>Unitede States Senate Committee on Homeland Security and Governmental Affairs</b:Publisher>
    <b:City>Washington D.C.</b:City>
    <b:Author>
      <b:Author>
        <b:NameList>
          <b:Person>
            <b:Last>Lieberman</b:Last>
            <b:First>Joseph I.</b:First>
          </b:Person>
          <b:Person>
            <b:Last>Collins</b:Last>
            <b:First>Susan M.</b:First>
          </b:Person>
        </b:NameList>
      </b:Author>
    </b:Author>
    <b:RefOrder>23</b:RefOrder>
  </b:Source>
  <b:Source>
    <b:Tag>Lóp11</b:Tag>
    <b:SourceType>BookSection</b:SourceType>
    <b:Guid>{BA55A192-7360-49CA-9435-E999DCA76895}</b:Guid>
    <b:Title>Los Estados "fallidos" y sus implicaciones en el ordenamiento jurídico internacional</b:Title>
    <b:Year>2011</b:Year>
    <b:Publisher>Servicio editorial de la Universidad del País Vasco</b:Publisher>
    <b:City>Bilbao</b:City>
    <b:JournalName>Universidad Complutense de Madrid</b:JournalName>
    <b:Pages>159-240</b:Pages>
    <b:Author>
      <b:Author>
        <b:NameList>
          <b:Person>
            <b:Last>López Martín</b:Last>
            <b:Middle>Gemma</b:Middle>
            <b:First>Ana</b:First>
          </b:Person>
        </b:NameList>
      </b:Author>
    </b:Author>
    <b:BookTitle>Cursos de Derecho Internacional y Relaciones Internacionales de Vitoria-Gasteiz 2010</b:BookTitle>
    <b:RefOrder>26</b:RefOrder>
  </b:Source>
  <b:Source>
    <b:Tag>Alo03</b:Tag>
    <b:SourceType>BookSection</b:SourceType>
    <b:Guid>{0C2923B8-8E09-4F61-B02B-FD5DDB11A0E9}</b:Guid>
    <b:Title>Los Estados fallidos</b:Title>
    <b:BookTitle>Nuevos riesgos para la sociedad del futuro</b:BookTitle>
    <b:Year>2003</b:Year>
    <b:Pages>199-227</b:Pages>
    <b:City>Madrid</b:City>
    <b:Publisher>Instituto Español de Estudios Estratégicos</b:Publisher>
    <b:Author>
      <b:Author>
        <b:NameList>
          <b:Person>
            <b:Last>Alonso Berrio</b:Last>
            <b:First>Miguel</b:First>
          </b:Person>
        </b:NameList>
      </b:Author>
      <b:BookAuthor>
        <b:NameList>
          <b:Person>
            <b:Last>Fuentes Monzonís-Villalonga</b:Last>
            <b:First>Jorge</b:First>
          </b:Person>
        </b:NameList>
      </b:BookAuthor>
    </b:Author>
    <b:RefOrder>25</b:RefOrder>
  </b:Source>
  <b:Source>
    <b:Tag>Her16</b:Tag>
    <b:SourceType>DocumentFromInternetSite</b:SourceType>
    <b:Guid>{31A5B3DE-100D-49C0-A1E2-3361E8B51923}</b:Guid>
    <b:Title>House Benghazi Report Finds No New Evidence of Wrongdoing by Hillary Clinton</b:Title>
    <b:InternetSiteTitle>The New York Times</b:InternetSiteTitle>
    <b:Year>2016</b:Year>
    <b:Month>Junio</b:Month>
    <b:Day>2016</b:Day>
    <b:URL>https://www.nytimes.com/2016/06/29/us/politics/hillary-clinton-benghazi.html?auth=linked-google</b:URL>
    <b:Author>
      <b:Author>
        <b:NameList>
          <b:Person>
            <b:Last>Herszenhorn</b:Last>
            <b:First>David M.</b:First>
          </b:Person>
        </b:NameList>
      </b:Author>
    </b:Author>
    <b:RefOrder>27</b:RefOrder>
  </b:Source>
  <b:Source>
    <b:Tag>Hsu18</b:Tag>
    <b:SourceType>DocumentFromInternetSite</b:SourceType>
    <b:Guid>{9FF0923F-DCB2-4A54-A65A-FCFBDED96651}</b:Guid>
    <b:Title>Libyan militia leader gets 22-year sentence in Benghazi attacks that killed U.S. ambassador</b:Title>
    <b:InternetSiteTitle>The Washington Post</b:InternetSiteTitle>
    <b:Year>2018</b:Year>
    <b:Month>Junio</b:Month>
    <b:Day>27</b:Day>
    <b:URL>https://www.washingtonpost.com/local/public-safety/libyan-militia-leader-to-be-sentenced-in-2012-benghazi-attacks-that-killed-us-ambassador/2018/06/27/55782e5c-789a-11e8-aeee-4d04c8ac6158_story.html</b:URL>
    <b:Author>
      <b:Author>
        <b:NameList>
          <b:Person>
            <b:Last>Hsu</b:Last>
            <b:First>Spencer S. </b:First>
          </b:Person>
        </b:NameList>
      </b:Author>
    </b:Author>
    <b:RefOrder>28</b:RefOrder>
  </b:Source>
  <b:Source>
    <b:Tag>Cal03</b:Tag>
    <b:SourceType>Report</b:SourceType>
    <b:Guid>{58C8F682-1EFE-418C-9006-E941E36462CA}</b:Guid>
    <b:Title>Métodos y técnicas de Investigación en Relaciones Internacionales</b:Title>
    <b:Year>2003</b:Year>
    <b:Publisher>Universidad Complutense de Madrid</b:Publisher>
    <b:Author>
      <b:Author>
        <b:NameList>
          <b:Person>
            <b:Last>Calduch Cervera</b:Last>
            <b:First>Rafael</b:First>
          </b:Person>
        </b:NameList>
      </b:Author>
    </b:Author>
    <b:RefOrder>37</b:RefOrder>
  </b:Source>
  <b:Source>
    <b:Tag>Ofi99</b:Tag>
    <b:SourceType>Report</b:SourceType>
    <b:Guid>{82E3B4F9-93A7-40D3-914D-8E53370D957E}</b:Guid>
    <b:Author>
      <b:Author>
        <b:Corporate>Oficina de Servicios para Proyectos de las Naciones Unidas (UNOPS)</b:Corporate>
      </b:Author>
    </b:Author>
    <b:Title>Gautemala, memoria del silencio</b:Title>
    <b:Year>1999</b:Year>
    <b:Month>junio</b:Month>
    <b:RefOrder>38</b:RefOrder>
  </b:Source>
</b:Sources>
</file>

<file path=customXml/itemProps1.xml><?xml version="1.0" encoding="utf-8"?>
<ds:datastoreItem xmlns:ds="http://schemas.openxmlformats.org/officeDocument/2006/customXml" ds:itemID="{710C4C2C-797C-4C11-B97F-1B00CB913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3529</TotalTime>
  <Pages>50</Pages>
  <Words>18797</Words>
  <Characters>103385</Characters>
  <Application>Microsoft Office Word</Application>
  <DocSecurity>0</DocSecurity>
  <Lines>861</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Saenz Rotko</dc:creator>
  <cp:keywords/>
  <dc:description/>
  <cp:lastModifiedBy>Álvaro González-Casanova González</cp:lastModifiedBy>
  <cp:revision>196</cp:revision>
  <cp:lastPrinted>2020-10-11T11:50:00Z</cp:lastPrinted>
  <dcterms:created xsi:type="dcterms:W3CDTF">2020-09-28T18:47:00Z</dcterms:created>
  <dcterms:modified xsi:type="dcterms:W3CDTF">2021-04-06T09:06:00Z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2019-04-03T00:00:00Z</vt:filetime>
  </property>
  <property fmtid="{D5CDD505-2E9C-101B-9397-08002B2CF9AE}" pid="3" name="Creator">
    <vt:lpwstr>Microsoft® Word 2016</vt:lpwstr>
  </property>
  <property fmtid="{D5CDD505-2E9C-101B-9397-08002B2CF9AE}" pid="4" name="LastSaved">
    <vt:filetime>2020-05-02T00:00:00Z</vt:filetime>
  </property>
</Properties>
</file>