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F3E" w:rsidRDefault="00247F3E" w:rsidP="00247F3E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proofErr w:type="spellStart"/>
      <w:r w:rsidRPr="002618B8">
        <w:rPr>
          <w:b/>
          <w:sz w:val="22"/>
          <w:szCs w:val="22"/>
        </w:rPr>
        <w:t>Reframing</w:t>
      </w:r>
      <w:proofErr w:type="spellEnd"/>
      <w:r w:rsidRPr="002618B8">
        <w:rPr>
          <w:b/>
          <w:sz w:val="22"/>
          <w:szCs w:val="22"/>
        </w:rPr>
        <w:t xml:space="preserve"> Circe: La construcción de nuevos modelos de encuadre </w:t>
      </w:r>
      <w:proofErr w:type="spellStart"/>
      <w:r>
        <w:rPr>
          <w:b/>
          <w:sz w:val="22"/>
          <w:szCs w:val="22"/>
        </w:rPr>
        <w:t>interdiscursivo</w:t>
      </w:r>
      <w:proofErr w:type="spellEnd"/>
      <w:r>
        <w:rPr>
          <w:b/>
          <w:sz w:val="22"/>
          <w:szCs w:val="22"/>
        </w:rPr>
        <w:t xml:space="preserve"> </w:t>
      </w:r>
      <w:r w:rsidRPr="002618B8">
        <w:rPr>
          <w:b/>
          <w:sz w:val="22"/>
          <w:szCs w:val="22"/>
        </w:rPr>
        <w:t xml:space="preserve">en las representaciones contemporáneas de la hechicera de </w:t>
      </w:r>
      <w:proofErr w:type="spellStart"/>
      <w:r w:rsidRPr="002618B8">
        <w:rPr>
          <w:b/>
          <w:sz w:val="22"/>
          <w:szCs w:val="22"/>
        </w:rPr>
        <w:t>Eea</w:t>
      </w:r>
      <w:proofErr w:type="spellEnd"/>
      <w:r w:rsidRPr="002618B8">
        <w:rPr>
          <w:b/>
          <w:sz w:val="22"/>
          <w:szCs w:val="22"/>
        </w:rPr>
        <w:t>.</w:t>
      </w:r>
    </w:p>
    <w:p w:rsidR="00247F3E" w:rsidRPr="00247F3E" w:rsidRDefault="00247F3E" w:rsidP="00247F3E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lang w:val="en-GB"/>
        </w:rPr>
      </w:pPr>
      <w:r w:rsidRPr="00247F3E">
        <w:rPr>
          <w:b/>
          <w:sz w:val="22"/>
          <w:szCs w:val="22"/>
          <w:lang w:val="en-GB"/>
        </w:rPr>
        <w:t xml:space="preserve">Reframing Circe: The Construction of New </w:t>
      </w:r>
      <w:proofErr w:type="spellStart"/>
      <w:r w:rsidRPr="00247F3E">
        <w:rPr>
          <w:b/>
          <w:sz w:val="22"/>
          <w:szCs w:val="22"/>
          <w:lang w:val="en-GB"/>
        </w:rPr>
        <w:t>Interdiscursive</w:t>
      </w:r>
      <w:proofErr w:type="spellEnd"/>
      <w:r w:rsidRPr="00247F3E">
        <w:rPr>
          <w:b/>
          <w:sz w:val="22"/>
          <w:szCs w:val="22"/>
          <w:lang w:val="en-GB"/>
        </w:rPr>
        <w:t xml:space="preserve"> Framing Models in Contemporary Representations of the Sorceress of </w:t>
      </w:r>
      <w:proofErr w:type="spellStart"/>
      <w:r w:rsidRPr="00247F3E">
        <w:rPr>
          <w:b/>
          <w:sz w:val="22"/>
          <w:szCs w:val="22"/>
          <w:lang w:val="en-GB"/>
        </w:rPr>
        <w:t>Eea</w:t>
      </w:r>
      <w:proofErr w:type="spellEnd"/>
      <w:r w:rsidRPr="00247F3E">
        <w:rPr>
          <w:b/>
          <w:sz w:val="22"/>
          <w:szCs w:val="22"/>
          <w:lang w:val="en-GB"/>
        </w:rPr>
        <w:t>.</w:t>
      </w:r>
      <w:bookmarkStart w:id="0" w:name="_GoBack"/>
      <w:bookmarkEnd w:id="0"/>
    </w:p>
    <w:p w:rsidR="00247F3E" w:rsidRPr="00247F3E" w:rsidRDefault="00247F3E" w:rsidP="00247F3E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lang w:val="en-GB"/>
        </w:rPr>
      </w:pPr>
    </w:p>
    <w:p w:rsidR="00247F3E" w:rsidRPr="002E78A3" w:rsidRDefault="00247F3E" w:rsidP="00247F3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mallCaps/>
          <w:sz w:val="22"/>
          <w:szCs w:val="22"/>
        </w:rPr>
        <w:t>Resumen (inglés y español o la lengua de realización de la conferencia. Extensión del resumen: 200-250 palabras)</w:t>
      </w:r>
      <w:r>
        <w:rPr>
          <w:sz w:val="22"/>
          <w:szCs w:val="22"/>
        </w:rPr>
        <w:t>:</w:t>
      </w:r>
    </w:p>
    <w:p w:rsidR="00247F3E" w:rsidRDefault="00247F3E" w:rsidP="00247F3E">
      <w:pPr>
        <w:jc w:val="both"/>
        <w:rPr>
          <w:b/>
          <w:sz w:val="22"/>
          <w:szCs w:val="22"/>
        </w:rPr>
      </w:pPr>
      <w:r w:rsidRPr="002E78A3">
        <w:rPr>
          <w:sz w:val="22"/>
          <w:szCs w:val="22"/>
        </w:rPr>
        <w:t xml:space="preserve">A través de los siglos la figura mitológica de la hechicera Circe ha </w:t>
      </w:r>
      <w:r>
        <w:rPr>
          <w:sz w:val="22"/>
          <w:szCs w:val="22"/>
        </w:rPr>
        <w:t xml:space="preserve">representado el encantamiento, </w:t>
      </w:r>
      <w:r w:rsidRPr="002E78A3">
        <w:rPr>
          <w:sz w:val="22"/>
          <w:szCs w:val="22"/>
        </w:rPr>
        <w:t>la brujería y el peligro que las mujeres</w:t>
      </w:r>
      <w:r>
        <w:rPr>
          <w:sz w:val="22"/>
          <w:szCs w:val="22"/>
        </w:rPr>
        <w:t xml:space="preserve"> con conocimientos suponían</w:t>
      </w:r>
      <w:r w:rsidRPr="002E78A3">
        <w:rPr>
          <w:sz w:val="22"/>
          <w:szCs w:val="22"/>
        </w:rPr>
        <w:t xml:space="preserve"> para los hombres. Desde el siglo XIX, a partir de las representaciones prerrafaelitas de Circe en las pinturas de John William </w:t>
      </w:r>
      <w:proofErr w:type="spellStart"/>
      <w:r w:rsidRPr="002E78A3">
        <w:rPr>
          <w:sz w:val="22"/>
          <w:szCs w:val="22"/>
        </w:rPr>
        <w:t>Waterhouse</w:t>
      </w:r>
      <w:proofErr w:type="spellEnd"/>
      <w:r w:rsidRPr="002E78A3">
        <w:rPr>
          <w:sz w:val="22"/>
          <w:szCs w:val="22"/>
        </w:rPr>
        <w:t xml:space="preserve">, el interés por este personaje se ha renovado, evolucionando hacia sentidos y significados que han generado nuevos encuadres que sustentan un discurso de corte feminista. En nuestra comunicación proponemos un análisis </w:t>
      </w:r>
      <w:proofErr w:type="spellStart"/>
      <w:r w:rsidRPr="002E78A3">
        <w:rPr>
          <w:sz w:val="22"/>
          <w:szCs w:val="22"/>
        </w:rPr>
        <w:t>interdiscursivo</w:t>
      </w:r>
      <w:proofErr w:type="spellEnd"/>
      <w:r w:rsidRPr="002E78A3">
        <w:rPr>
          <w:sz w:val="22"/>
          <w:szCs w:val="22"/>
        </w:rPr>
        <w:t xml:space="preserve"> de las representaciones contemporáneas de Circe en la pintura, redes sociales, el cómic, el cine </w:t>
      </w:r>
      <w:r>
        <w:rPr>
          <w:sz w:val="22"/>
          <w:szCs w:val="22"/>
        </w:rPr>
        <w:t xml:space="preserve">y la literatura mediante la </w:t>
      </w:r>
      <w:r w:rsidRPr="002E78A3">
        <w:rPr>
          <w:sz w:val="22"/>
          <w:szCs w:val="22"/>
        </w:rPr>
        <w:t>alineación del encuadre de</w:t>
      </w:r>
      <w:r>
        <w:rPr>
          <w:sz w:val="22"/>
          <w:szCs w:val="22"/>
        </w:rPr>
        <w:t xml:space="preserve"> este </w:t>
      </w:r>
      <w:r w:rsidRPr="002E78A3">
        <w:rPr>
          <w:sz w:val="22"/>
          <w:szCs w:val="22"/>
        </w:rPr>
        <w:t>mito para ajustarse a una nueva narrativa.</w:t>
      </w:r>
    </w:p>
    <w:p w:rsidR="00247F3E" w:rsidRDefault="00247F3E" w:rsidP="00247F3E">
      <w:pPr>
        <w:jc w:val="both"/>
        <w:rPr>
          <w:b/>
          <w:sz w:val="22"/>
          <w:szCs w:val="22"/>
        </w:rPr>
      </w:pPr>
    </w:p>
    <w:p w:rsidR="00247F3E" w:rsidRPr="002E78A3" w:rsidRDefault="00247F3E" w:rsidP="00247F3E">
      <w:pPr>
        <w:jc w:val="both"/>
        <w:rPr>
          <w:sz w:val="22"/>
          <w:szCs w:val="22"/>
          <w:lang w:val="en-GB"/>
        </w:rPr>
      </w:pPr>
      <w:r w:rsidRPr="002E78A3">
        <w:rPr>
          <w:sz w:val="22"/>
          <w:szCs w:val="22"/>
          <w:lang w:val="en-GB"/>
        </w:rPr>
        <w:t>Through the centuries</w:t>
      </w:r>
      <w:r>
        <w:rPr>
          <w:sz w:val="22"/>
          <w:szCs w:val="22"/>
          <w:lang w:val="en-GB"/>
        </w:rPr>
        <w:t>,</w:t>
      </w:r>
      <w:r w:rsidRPr="002E78A3">
        <w:rPr>
          <w:sz w:val="22"/>
          <w:szCs w:val="22"/>
          <w:lang w:val="en-GB"/>
        </w:rPr>
        <w:t xml:space="preserve"> the mythological figure of the </w:t>
      </w:r>
      <w:proofErr w:type="gramStart"/>
      <w:r w:rsidRPr="002E78A3">
        <w:rPr>
          <w:sz w:val="22"/>
          <w:szCs w:val="22"/>
          <w:lang w:val="en-GB"/>
        </w:rPr>
        <w:t>sorceress</w:t>
      </w:r>
      <w:proofErr w:type="gramEnd"/>
      <w:r w:rsidRPr="002E78A3">
        <w:rPr>
          <w:sz w:val="22"/>
          <w:szCs w:val="22"/>
          <w:lang w:val="en-GB"/>
        </w:rPr>
        <w:t xml:space="preserve"> Circe has represented enchantment, witchcraft, and the danger that knowledgeable women posed to men. Since the 19th century, from the pre-Raphaelite representations of Circe in the paintings of John William Waterhouse, interest in this character has been renewed, evolving towards </w:t>
      </w:r>
      <w:r>
        <w:rPr>
          <w:sz w:val="22"/>
          <w:szCs w:val="22"/>
          <w:lang w:val="en-GB"/>
        </w:rPr>
        <w:t>new meanings and a new framing that support</w:t>
      </w:r>
      <w:r w:rsidRPr="002E78A3">
        <w:rPr>
          <w:sz w:val="22"/>
          <w:szCs w:val="22"/>
          <w:lang w:val="en-GB"/>
        </w:rPr>
        <w:t xml:space="preserve"> a feminist discourse. In our communication</w:t>
      </w:r>
      <w:r>
        <w:rPr>
          <w:sz w:val="22"/>
          <w:szCs w:val="22"/>
          <w:lang w:val="en-GB"/>
        </w:rPr>
        <w:t>,</w:t>
      </w:r>
      <w:r w:rsidRPr="002E78A3">
        <w:rPr>
          <w:sz w:val="22"/>
          <w:szCs w:val="22"/>
          <w:lang w:val="en-GB"/>
        </w:rPr>
        <w:t xml:space="preserve"> we propose an </w:t>
      </w:r>
      <w:proofErr w:type="spellStart"/>
      <w:r w:rsidRPr="002E78A3">
        <w:rPr>
          <w:sz w:val="22"/>
          <w:szCs w:val="22"/>
          <w:lang w:val="en-GB"/>
        </w:rPr>
        <w:t>interdiscursive</w:t>
      </w:r>
      <w:proofErr w:type="spellEnd"/>
      <w:r w:rsidRPr="002E78A3">
        <w:rPr>
          <w:sz w:val="22"/>
          <w:szCs w:val="22"/>
          <w:lang w:val="en-GB"/>
        </w:rPr>
        <w:t xml:space="preserve"> analysis of the contemporary representations of Circe in painting, social networks, </w:t>
      </w:r>
      <w:r>
        <w:rPr>
          <w:sz w:val="22"/>
          <w:szCs w:val="22"/>
          <w:lang w:val="en-GB"/>
        </w:rPr>
        <w:t xml:space="preserve">comics, cinema and literature by means of </w:t>
      </w:r>
      <w:r w:rsidRPr="002E78A3">
        <w:rPr>
          <w:sz w:val="22"/>
          <w:szCs w:val="22"/>
          <w:lang w:val="en-GB"/>
        </w:rPr>
        <w:t xml:space="preserve">the </w:t>
      </w:r>
      <w:r>
        <w:rPr>
          <w:sz w:val="22"/>
          <w:szCs w:val="22"/>
          <w:lang w:val="en-GB"/>
        </w:rPr>
        <w:t>re</w:t>
      </w:r>
      <w:r w:rsidRPr="002E78A3">
        <w:rPr>
          <w:sz w:val="22"/>
          <w:szCs w:val="22"/>
          <w:lang w:val="en-GB"/>
        </w:rPr>
        <w:t xml:space="preserve">alignment of the framing of </w:t>
      </w:r>
      <w:r>
        <w:rPr>
          <w:sz w:val="22"/>
          <w:szCs w:val="22"/>
          <w:lang w:val="en-GB"/>
        </w:rPr>
        <w:t xml:space="preserve">this </w:t>
      </w:r>
      <w:r w:rsidRPr="002E78A3">
        <w:rPr>
          <w:sz w:val="22"/>
          <w:szCs w:val="22"/>
          <w:lang w:val="en-GB"/>
        </w:rPr>
        <w:t>myth to fit a new narrative.</w:t>
      </w:r>
    </w:p>
    <w:p w:rsidR="00944CAE" w:rsidRPr="00247F3E" w:rsidRDefault="00944CAE">
      <w:pPr>
        <w:rPr>
          <w:lang w:val="en-GB"/>
        </w:rPr>
      </w:pPr>
    </w:p>
    <w:sectPr w:rsidR="00944CAE" w:rsidRPr="00247F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F3E"/>
    <w:rsid w:val="00247F3E"/>
    <w:rsid w:val="0094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29428"/>
  <w15:chartTrackingRefBased/>
  <w15:docId w15:val="{026099F7-54F2-4EA3-9EA8-A6F91243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47F3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Dolores Rodríguez Melchor</dc:creator>
  <cp:keywords/>
  <dc:description/>
  <cp:lastModifiedBy>Dolores Rodríguez Melchor</cp:lastModifiedBy>
  <cp:revision>1</cp:revision>
  <dcterms:created xsi:type="dcterms:W3CDTF">2021-03-25T12:31:00Z</dcterms:created>
  <dcterms:modified xsi:type="dcterms:W3CDTF">2021-03-25T12:41:00Z</dcterms:modified>
</cp:coreProperties>
</file>