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B0CC83" w14:textId="7647E89F" w:rsidR="00653EAA" w:rsidRDefault="001749B4" w:rsidP="00F31C63">
      <w:pPr>
        <w:spacing w:line="360" w:lineRule="auto"/>
        <w:jc w:val="center"/>
        <w:rPr>
          <w:rFonts w:ascii="Arial" w:hAnsi="Arial" w:cs="Arial"/>
          <w:b/>
          <w:bCs/>
          <w:sz w:val="22"/>
          <w:szCs w:val="22"/>
        </w:rPr>
      </w:pPr>
      <w:r>
        <w:rPr>
          <w:rFonts w:ascii="Arial" w:hAnsi="Arial" w:cs="Arial"/>
          <w:b/>
          <w:bCs/>
          <w:sz w:val="22"/>
          <w:szCs w:val="22"/>
        </w:rPr>
        <w:t>PORNOGRAFÍA Y ACTITUDES HACIA LAS MUJERES: UNA REVISIÓN SISTEMÁTICA</w:t>
      </w:r>
    </w:p>
    <w:p w14:paraId="33434A50" w14:textId="19AC4338" w:rsidR="00F31C63" w:rsidRPr="00BF18E7" w:rsidRDefault="00F31C63" w:rsidP="00F31C63">
      <w:pPr>
        <w:spacing w:line="360" w:lineRule="auto"/>
        <w:jc w:val="center"/>
        <w:rPr>
          <w:rFonts w:ascii="Arial" w:hAnsi="Arial" w:cs="Arial"/>
          <w:sz w:val="20"/>
          <w:szCs w:val="20"/>
        </w:rPr>
      </w:pPr>
      <w:r w:rsidRPr="00BF18E7">
        <w:rPr>
          <w:rFonts w:ascii="Arial" w:hAnsi="Arial" w:cs="Arial"/>
          <w:sz w:val="20"/>
          <w:szCs w:val="20"/>
        </w:rPr>
        <w:t>Sandra Sánchez</w:t>
      </w:r>
      <w:r w:rsidR="00B6022E">
        <w:rPr>
          <w:rFonts w:ascii="Arial" w:hAnsi="Arial" w:cs="Arial"/>
          <w:sz w:val="20"/>
          <w:szCs w:val="20"/>
        </w:rPr>
        <w:t>-</w:t>
      </w:r>
      <w:r w:rsidRPr="00BF18E7">
        <w:rPr>
          <w:rFonts w:ascii="Arial" w:hAnsi="Arial" w:cs="Arial"/>
          <w:sz w:val="20"/>
          <w:szCs w:val="20"/>
        </w:rPr>
        <w:t>González, José Manuel Caperos</w:t>
      </w:r>
      <w:r w:rsidR="00CC623B">
        <w:rPr>
          <w:rFonts w:ascii="Arial" w:hAnsi="Arial" w:cs="Arial"/>
          <w:sz w:val="20"/>
          <w:szCs w:val="20"/>
        </w:rPr>
        <w:t xml:space="preserve"> Montalbán</w:t>
      </w:r>
      <w:r w:rsidRPr="00BF18E7">
        <w:rPr>
          <w:rFonts w:ascii="Arial" w:hAnsi="Arial" w:cs="Arial"/>
          <w:sz w:val="20"/>
          <w:szCs w:val="20"/>
        </w:rPr>
        <w:t>, Nereida Bueno-Guerra</w:t>
      </w:r>
    </w:p>
    <w:p w14:paraId="3786AC8A" w14:textId="77777777" w:rsidR="00F31C63" w:rsidRPr="00BF18E7" w:rsidRDefault="00F31C63" w:rsidP="00F31C63">
      <w:pPr>
        <w:spacing w:line="360" w:lineRule="auto"/>
        <w:jc w:val="center"/>
        <w:rPr>
          <w:rFonts w:ascii="Arial" w:hAnsi="Arial" w:cs="Arial"/>
          <w:i/>
          <w:iCs/>
          <w:sz w:val="20"/>
          <w:szCs w:val="20"/>
        </w:rPr>
      </w:pPr>
      <w:r w:rsidRPr="00BF18E7">
        <w:rPr>
          <w:rFonts w:ascii="Arial" w:hAnsi="Arial" w:cs="Arial"/>
          <w:i/>
          <w:iCs/>
          <w:sz w:val="20"/>
          <w:szCs w:val="20"/>
        </w:rPr>
        <w:t>Universidad Pontificia Comillas</w:t>
      </w:r>
    </w:p>
    <w:p w14:paraId="4495FCEE" w14:textId="77777777" w:rsidR="00F31C63" w:rsidRPr="00BF18E7" w:rsidRDefault="00F31C63" w:rsidP="00F31C63">
      <w:pPr>
        <w:spacing w:line="360" w:lineRule="auto"/>
        <w:jc w:val="both"/>
        <w:rPr>
          <w:rFonts w:ascii="Arial" w:hAnsi="Arial" w:cs="Arial"/>
          <w:sz w:val="20"/>
          <w:szCs w:val="20"/>
        </w:rPr>
      </w:pPr>
    </w:p>
    <w:p w14:paraId="49150549" w14:textId="77777777" w:rsidR="00F31C63" w:rsidRPr="00BF18E7" w:rsidRDefault="00F31C63" w:rsidP="00653EAA">
      <w:pPr>
        <w:spacing w:line="360" w:lineRule="auto"/>
        <w:jc w:val="center"/>
        <w:rPr>
          <w:rFonts w:ascii="Arial" w:hAnsi="Arial" w:cs="Arial"/>
          <w:b/>
          <w:bCs/>
          <w:sz w:val="20"/>
          <w:szCs w:val="20"/>
        </w:rPr>
      </w:pPr>
      <w:r w:rsidRPr="00BF18E7">
        <w:rPr>
          <w:rFonts w:ascii="Arial" w:hAnsi="Arial" w:cs="Arial"/>
          <w:b/>
          <w:bCs/>
          <w:sz w:val="20"/>
          <w:szCs w:val="20"/>
        </w:rPr>
        <w:t>Introducción</w:t>
      </w:r>
    </w:p>
    <w:p w14:paraId="46789EA8" w14:textId="425479B3" w:rsidR="00F31C63" w:rsidRPr="00BF18E7" w:rsidRDefault="00F31C63" w:rsidP="00F31C63">
      <w:pPr>
        <w:spacing w:line="360" w:lineRule="auto"/>
        <w:ind w:firstLine="709"/>
        <w:jc w:val="both"/>
        <w:rPr>
          <w:rFonts w:ascii="Arial" w:hAnsi="Arial" w:cs="Arial"/>
          <w:sz w:val="20"/>
          <w:szCs w:val="20"/>
        </w:rPr>
      </w:pPr>
      <w:r w:rsidRPr="00BF18E7">
        <w:rPr>
          <w:rFonts w:ascii="Arial" w:hAnsi="Arial" w:cs="Arial"/>
          <w:sz w:val="20"/>
          <w:szCs w:val="20"/>
        </w:rPr>
        <w:t xml:space="preserve">En la actualidad, el consumo de pornografía es un fenómeno que genera preocupación y un debate social acerca del efecto que puede tener en sus consumidores. La investigación de sus consecuencias abarca múltiples áreas, desde la adicción, la disfunción sexual, la práctica de conductas sexuales de riesgo hasta las agresiones sexuales o el aumento </w:t>
      </w:r>
      <w:r w:rsidRPr="00E406EF">
        <w:rPr>
          <w:rFonts w:ascii="Arial" w:hAnsi="Arial" w:cs="Arial"/>
          <w:sz w:val="20"/>
          <w:szCs w:val="20"/>
        </w:rPr>
        <w:t>de la desigualdad de género, algo especialmente acusado por el plano de inferioridad al que se relega en ocasiones a las mujeres en los vídeos pornográficos. La aceptación de la pornografía ha ido incrementándose a nivel mundial. La accesibilidad de la pornografía es elevada: se estima que el 12% de la Surface</w:t>
      </w:r>
      <w:r w:rsidR="002C20EC" w:rsidRPr="00E406EF">
        <w:rPr>
          <w:rFonts w:ascii="Arial" w:hAnsi="Arial" w:cs="Arial"/>
          <w:sz w:val="20"/>
          <w:szCs w:val="20"/>
        </w:rPr>
        <w:t>, aquella parte de la red visible y accesible</w:t>
      </w:r>
      <w:r w:rsidRPr="00E406EF">
        <w:rPr>
          <w:rFonts w:ascii="Arial" w:hAnsi="Arial" w:cs="Arial"/>
          <w:sz w:val="20"/>
          <w:szCs w:val="20"/>
        </w:rPr>
        <w:t xml:space="preserve"> </w:t>
      </w:r>
      <w:r w:rsidR="002C20EC" w:rsidRPr="00E406EF">
        <w:rPr>
          <w:rFonts w:ascii="Arial" w:hAnsi="Arial" w:cs="Arial"/>
          <w:sz w:val="20"/>
          <w:szCs w:val="20"/>
        </w:rPr>
        <w:t xml:space="preserve">para el público general, </w:t>
      </w:r>
      <w:r w:rsidRPr="00E406EF">
        <w:rPr>
          <w:rFonts w:ascii="Arial" w:hAnsi="Arial" w:cs="Arial"/>
          <w:sz w:val="20"/>
          <w:szCs w:val="20"/>
        </w:rPr>
        <w:t xml:space="preserve">es contenido pornográfico y </w:t>
      </w:r>
      <w:proofErr w:type="spellStart"/>
      <w:r w:rsidRPr="00E406EF">
        <w:rPr>
          <w:rFonts w:ascii="Arial" w:hAnsi="Arial" w:cs="Arial"/>
          <w:i/>
          <w:iCs/>
          <w:sz w:val="20"/>
          <w:szCs w:val="20"/>
        </w:rPr>
        <w:t>Pornhub</w:t>
      </w:r>
      <w:proofErr w:type="spellEnd"/>
      <w:r w:rsidRPr="00E406EF">
        <w:rPr>
          <w:rFonts w:ascii="Arial" w:hAnsi="Arial" w:cs="Arial"/>
          <w:sz w:val="20"/>
          <w:szCs w:val="20"/>
        </w:rPr>
        <w:t>, una de las páginas más visitadas en este sector, recibió un total de 1</w:t>
      </w:r>
      <w:r w:rsidR="002E317F">
        <w:rPr>
          <w:rFonts w:ascii="Arial" w:hAnsi="Arial" w:cs="Arial"/>
          <w:sz w:val="20"/>
          <w:szCs w:val="20"/>
        </w:rPr>
        <w:t>1</w:t>
      </w:r>
      <w:r w:rsidRPr="00E406EF">
        <w:rPr>
          <w:rFonts w:ascii="Arial" w:hAnsi="Arial" w:cs="Arial"/>
          <w:sz w:val="20"/>
          <w:szCs w:val="20"/>
        </w:rPr>
        <w:t>5 millones de visitas cada día en</w:t>
      </w:r>
      <w:r w:rsidRPr="00BF18E7">
        <w:rPr>
          <w:rFonts w:ascii="Arial" w:hAnsi="Arial" w:cs="Arial"/>
          <w:sz w:val="20"/>
          <w:szCs w:val="20"/>
        </w:rPr>
        <w:t xml:space="preserve"> el 2019, estando España dentro de los 20 países más consumidores. Además, la preocupación por los posibles efectos aumenta al tener en cuenta la edad de los consumidores: un 63,7% de adolescentes de entre 13 y 17 años ha consumido pornografía alguna vez en su vida (</w:t>
      </w:r>
      <w:proofErr w:type="spellStart"/>
      <w:r w:rsidRPr="00BF18E7">
        <w:rPr>
          <w:rFonts w:ascii="Arial" w:hAnsi="Arial" w:cs="Arial"/>
          <w:sz w:val="20"/>
          <w:szCs w:val="20"/>
        </w:rPr>
        <w:t>Sanjuan</w:t>
      </w:r>
      <w:proofErr w:type="spellEnd"/>
      <w:r w:rsidRPr="00BF18E7">
        <w:rPr>
          <w:rFonts w:ascii="Arial" w:hAnsi="Arial" w:cs="Arial"/>
          <w:sz w:val="20"/>
          <w:szCs w:val="20"/>
        </w:rPr>
        <w:t>, 2020); el 53,8% había accedido por primera vez antes de los 12 años (</w:t>
      </w:r>
      <w:proofErr w:type="spellStart"/>
      <w:r w:rsidRPr="00BF18E7">
        <w:rPr>
          <w:rFonts w:ascii="Arial" w:hAnsi="Arial" w:cs="Arial"/>
          <w:sz w:val="20"/>
          <w:szCs w:val="20"/>
        </w:rPr>
        <w:t>Sanjuan</w:t>
      </w:r>
      <w:proofErr w:type="spellEnd"/>
      <w:r w:rsidRPr="00BF18E7">
        <w:rPr>
          <w:rFonts w:ascii="Arial" w:hAnsi="Arial" w:cs="Arial"/>
          <w:sz w:val="20"/>
          <w:szCs w:val="20"/>
        </w:rPr>
        <w:t>, 2020) y el 30% la utilizaban como sustituta de la educación sexual (</w:t>
      </w:r>
      <w:proofErr w:type="spellStart"/>
      <w:r w:rsidRPr="00BF18E7">
        <w:rPr>
          <w:rFonts w:ascii="Arial" w:hAnsi="Arial" w:cs="Arial"/>
          <w:sz w:val="20"/>
          <w:szCs w:val="20"/>
        </w:rPr>
        <w:t>Sanjuan</w:t>
      </w:r>
      <w:proofErr w:type="spellEnd"/>
      <w:r w:rsidRPr="00BF18E7">
        <w:rPr>
          <w:rFonts w:ascii="Arial" w:hAnsi="Arial" w:cs="Arial"/>
          <w:sz w:val="20"/>
          <w:szCs w:val="20"/>
        </w:rPr>
        <w:t xml:space="preserve">, 2020). Esto es especialmente alarmante cuando se tiene en cuenta el tipo de contenido al que se puede acceder. Un ejemplo de ello son las agresiones no consentidas, que según algunos estudios supone entre 10% y un 45% de los vídeos (Fritz et al., 2020), o contenido ilegal como vídeos de </w:t>
      </w:r>
      <w:proofErr w:type="spellStart"/>
      <w:r w:rsidRPr="00BF18E7">
        <w:rPr>
          <w:rFonts w:ascii="Arial" w:hAnsi="Arial" w:cs="Arial"/>
          <w:sz w:val="20"/>
          <w:szCs w:val="20"/>
        </w:rPr>
        <w:t>pornovenganza</w:t>
      </w:r>
      <w:proofErr w:type="spellEnd"/>
      <w:r w:rsidRPr="00BF18E7">
        <w:rPr>
          <w:rFonts w:ascii="Arial" w:hAnsi="Arial" w:cs="Arial"/>
          <w:sz w:val="20"/>
          <w:szCs w:val="20"/>
        </w:rPr>
        <w:t xml:space="preserve"> o de material abusivo de menores. </w:t>
      </w:r>
    </w:p>
    <w:p w14:paraId="1C6B6468" w14:textId="77777777" w:rsidR="00F31C63" w:rsidRPr="00BF18E7" w:rsidRDefault="00F31C63" w:rsidP="00F31C63">
      <w:pPr>
        <w:spacing w:line="360" w:lineRule="auto"/>
        <w:ind w:firstLine="709"/>
        <w:jc w:val="both"/>
        <w:rPr>
          <w:rFonts w:ascii="Arial" w:hAnsi="Arial" w:cs="Arial"/>
          <w:sz w:val="20"/>
          <w:szCs w:val="20"/>
        </w:rPr>
      </w:pPr>
      <w:r w:rsidRPr="00BF18E7">
        <w:rPr>
          <w:rFonts w:ascii="Arial" w:hAnsi="Arial" w:cs="Arial"/>
          <w:sz w:val="20"/>
          <w:szCs w:val="20"/>
        </w:rPr>
        <w:t xml:space="preserve">Para estudiar si existen efectos sobre las actitudes hacia la mujer y la violencia sexual derivados del consumo de pornografía, se ha realizado una revisión sistemática de la literatura estudiando cuatro constructos: sexismo, cosificación, aceptación de la violencia contra la mujer, y de la violencia sexual. </w:t>
      </w:r>
    </w:p>
    <w:p w14:paraId="7A5980D6" w14:textId="77777777" w:rsidR="00EA70CB" w:rsidRDefault="00EA70CB" w:rsidP="00653EAA">
      <w:pPr>
        <w:spacing w:line="360" w:lineRule="auto"/>
        <w:jc w:val="center"/>
        <w:rPr>
          <w:rFonts w:ascii="Arial" w:hAnsi="Arial" w:cs="Arial"/>
          <w:b/>
          <w:bCs/>
          <w:sz w:val="20"/>
          <w:szCs w:val="20"/>
        </w:rPr>
      </w:pPr>
    </w:p>
    <w:p w14:paraId="5EF7A74C" w14:textId="24A21DAF" w:rsidR="00F31C63" w:rsidRPr="00BF18E7" w:rsidRDefault="00F31C63" w:rsidP="00653EAA">
      <w:pPr>
        <w:spacing w:line="360" w:lineRule="auto"/>
        <w:jc w:val="center"/>
        <w:rPr>
          <w:rFonts w:ascii="Arial" w:hAnsi="Arial" w:cs="Arial"/>
          <w:b/>
          <w:bCs/>
          <w:sz w:val="20"/>
          <w:szCs w:val="20"/>
        </w:rPr>
      </w:pPr>
      <w:r w:rsidRPr="00BF18E7">
        <w:rPr>
          <w:rFonts w:ascii="Arial" w:hAnsi="Arial" w:cs="Arial"/>
          <w:b/>
          <w:bCs/>
          <w:sz w:val="20"/>
          <w:szCs w:val="20"/>
        </w:rPr>
        <w:t>Metodología</w:t>
      </w:r>
    </w:p>
    <w:p w14:paraId="5DD9ED51" w14:textId="77777777" w:rsidR="00F31C63" w:rsidRPr="00BF18E7" w:rsidRDefault="00F31C63" w:rsidP="00F31C63">
      <w:pPr>
        <w:spacing w:line="360" w:lineRule="auto"/>
        <w:ind w:firstLine="709"/>
        <w:jc w:val="both"/>
        <w:rPr>
          <w:rFonts w:ascii="Arial" w:hAnsi="Arial" w:cs="Arial"/>
          <w:sz w:val="20"/>
          <w:szCs w:val="20"/>
        </w:rPr>
      </w:pPr>
      <w:r w:rsidRPr="00BF18E7">
        <w:rPr>
          <w:rFonts w:ascii="Arial" w:hAnsi="Arial" w:cs="Arial"/>
          <w:sz w:val="20"/>
          <w:szCs w:val="20"/>
        </w:rPr>
        <w:t xml:space="preserve">Se ha realizado una búsqueda sistemática en cinco bases de datos: </w:t>
      </w:r>
      <w:proofErr w:type="spellStart"/>
      <w:r w:rsidRPr="00BF18E7">
        <w:rPr>
          <w:rFonts w:ascii="Arial" w:hAnsi="Arial" w:cs="Arial"/>
          <w:sz w:val="20"/>
          <w:szCs w:val="20"/>
        </w:rPr>
        <w:t>PubMed</w:t>
      </w:r>
      <w:proofErr w:type="spellEnd"/>
      <w:r w:rsidRPr="00BF18E7">
        <w:rPr>
          <w:rFonts w:ascii="Arial" w:hAnsi="Arial" w:cs="Arial"/>
          <w:sz w:val="20"/>
          <w:szCs w:val="20"/>
        </w:rPr>
        <w:t xml:space="preserve">, </w:t>
      </w:r>
      <w:proofErr w:type="spellStart"/>
      <w:r w:rsidRPr="00BF18E7">
        <w:rPr>
          <w:rFonts w:ascii="Arial" w:hAnsi="Arial" w:cs="Arial"/>
          <w:sz w:val="20"/>
          <w:szCs w:val="20"/>
        </w:rPr>
        <w:t>PsycINFO</w:t>
      </w:r>
      <w:proofErr w:type="spellEnd"/>
      <w:r w:rsidRPr="00BF18E7">
        <w:rPr>
          <w:rFonts w:ascii="Arial" w:hAnsi="Arial" w:cs="Arial"/>
          <w:sz w:val="20"/>
          <w:szCs w:val="20"/>
        </w:rPr>
        <w:t>, Cochrane, P&amp;BSC, y WOS. Para cada una de ellas se ha elaborado una ecuación de búsqueda basada en operadores booleanos, arrojando un total de 1027 artículos. Estos han sido cribados por título y resumen, posteriormente se han eliminado los duplicados, y por último se han analizado a texto completo aplicando los siguientes criterios de exclusión: estudios no empíricos; cualitativos; no objetivos; con muestra clínica; que investiguen los efectos de la pornografía sobre la conducta o victimización o que utilicen material pornográfico no audiovisual. Como resultado de su aplicación, la muestra final de artículos analizados ha sido de 29, los cuales contienen un total de 33 estudios.</w:t>
      </w:r>
    </w:p>
    <w:p w14:paraId="4CA97413" w14:textId="77777777" w:rsidR="00871BDC" w:rsidRDefault="00871BDC" w:rsidP="00EA70CB">
      <w:pPr>
        <w:spacing w:line="360" w:lineRule="auto"/>
        <w:jc w:val="center"/>
        <w:rPr>
          <w:rFonts w:ascii="Arial" w:hAnsi="Arial" w:cs="Arial"/>
          <w:b/>
          <w:bCs/>
          <w:sz w:val="20"/>
          <w:szCs w:val="20"/>
        </w:rPr>
      </w:pPr>
    </w:p>
    <w:p w14:paraId="0C722D0C" w14:textId="56B08FC5" w:rsidR="00F31C63" w:rsidRPr="00BF18E7" w:rsidRDefault="00F31C63" w:rsidP="00EA70CB">
      <w:pPr>
        <w:spacing w:line="360" w:lineRule="auto"/>
        <w:jc w:val="center"/>
        <w:rPr>
          <w:rFonts w:ascii="Arial" w:hAnsi="Arial" w:cs="Arial"/>
          <w:b/>
          <w:bCs/>
          <w:sz w:val="20"/>
          <w:szCs w:val="20"/>
        </w:rPr>
      </w:pPr>
      <w:r w:rsidRPr="00BF18E7">
        <w:rPr>
          <w:rFonts w:ascii="Arial" w:hAnsi="Arial" w:cs="Arial"/>
          <w:b/>
          <w:bCs/>
          <w:sz w:val="20"/>
          <w:szCs w:val="20"/>
        </w:rPr>
        <w:t>Resultados</w:t>
      </w:r>
    </w:p>
    <w:p w14:paraId="1336D910" w14:textId="77777777" w:rsidR="00F31C63" w:rsidRPr="00BF18E7" w:rsidRDefault="00F31C63" w:rsidP="00F31C63">
      <w:pPr>
        <w:spacing w:line="360" w:lineRule="auto"/>
        <w:ind w:firstLine="709"/>
        <w:jc w:val="both"/>
        <w:rPr>
          <w:rFonts w:ascii="Arial" w:hAnsi="Arial" w:cs="Arial"/>
          <w:sz w:val="20"/>
          <w:szCs w:val="20"/>
        </w:rPr>
      </w:pPr>
      <w:r w:rsidRPr="00BF18E7">
        <w:rPr>
          <w:rFonts w:ascii="Arial" w:hAnsi="Arial" w:cs="Arial"/>
          <w:sz w:val="20"/>
          <w:szCs w:val="20"/>
        </w:rPr>
        <w:lastRenderedPageBreak/>
        <w:t>El 45% de los estudios son experimentales y el 55% observacionales. El 59% de ellos tiene muestra únicamente masculina y la mayoría se han llevado a cabo en Norteamérica con población joven. Esta es una limitación relevante que hace que los resultados solo sean aplicables a este grupo de población.</w:t>
      </w:r>
    </w:p>
    <w:p w14:paraId="3A31FB07" w14:textId="1ED40DFA" w:rsidR="00F31C63" w:rsidRPr="00BF18E7" w:rsidRDefault="00F31C63" w:rsidP="00EA70CB">
      <w:pPr>
        <w:spacing w:line="360" w:lineRule="auto"/>
        <w:ind w:firstLine="709"/>
        <w:jc w:val="both"/>
        <w:rPr>
          <w:rFonts w:ascii="Arial" w:hAnsi="Arial" w:cs="Arial"/>
          <w:sz w:val="20"/>
          <w:szCs w:val="20"/>
        </w:rPr>
      </w:pPr>
      <w:r w:rsidRPr="00BF18E7">
        <w:rPr>
          <w:rFonts w:ascii="Arial" w:hAnsi="Arial" w:cs="Arial"/>
          <w:sz w:val="20"/>
          <w:szCs w:val="20"/>
        </w:rPr>
        <w:t xml:space="preserve">Los resultados no son concluyentes respecto a la relación pornografía-sexismo salvo si la pornografía es violenta y degradante; en este caso, aumentan estas actitudes y el efecto es mayor en hombres que en mujeres. La relación más clara se ha encontrado entre pornografía y cosificación, sugiriendo los resultados que, al menos en hombres, el consumo aumenta la cosificación de la mujer. Por último, también se han encontrado efectos de la pornografía violenta sobre las actitudes hacia la violencia sexual, aumentado su aceptación al menos en hombres. El único constructo sobre el que la pornografía parece no tener ningún efecto es el de actitudes hacia la violencia contra la mujer. </w:t>
      </w:r>
    </w:p>
    <w:p w14:paraId="63D2AA36" w14:textId="77777777" w:rsidR="00EA70CB" w:rsidRDefault="00EA70CB" w:rsidP="00653EAA">
      <w:pPr>
        <w:spacing w:line="360" w:lineRule="auto"/>
        <w:jc w:val="center"/>
        <w:rPr>
          <w:rFonts w:ascii="Arial" w:hAnsi="Arial" w:cs="Arial"/>
          <w:b/>
          <w:bCs/>
          <w:sz w:val="20"/>
          <w:szCs w:val="20"/>
        </w:rPr>
      </w:pPr>
    </w:p>
    <w:p w14:paraId="2A780892" w14:textId="4828E47F" w:rsidR="00F31C63" w:rsidRPr="00BF18E7" w:rsidRDefault="00F31C63" w:rsidP="00653EAA">
      <w:pPr>
        <w:spacing w:line="360" w:lineRule="auto"/>
        <w:jc w:val="center"/>
        <w:rPr>
          <w:rFonts w:ascii="Arial" w:hAnsi="Arial" w:cs="Arial"/>
          <w:b/>
          <w:bCs/>
          <w:sz w:val="20"/>
          <w:szCs w:val="20"/>
        </w:rPr>
      </w:pPr>
      <w:r w:rsidRPr="00BF18E7">
        <w:rPr>
          <w:rFonts w:ascii="Arial" w:hAnsi="Arial" w:cs="Arial"/>
          <w:b/>
          <w:bCs/>
          <w:sz w:val="20"/>
          <w:szCs w:val="20"/>
        </w:rPr>
        <w:t>Discusión</w:t>
      </w:r>
    </w:p>
    <w:p w14:paraId="59ED9863" w14:textId="08F7094B" w:rsidR="00F31C63" w:rsidRPr="00BF18E7" w:rsidRDefault="00F31C63" w:rsidP="00F31C63">
      <w:pPr>
        <w:spacing w:line="360" w:lineRule="auto"/>
        <w:ind w:firstLine="709"/>
        <w:jc w:val="both"/>
        <w:rPr>
          <w:rFonts w:ascii="Arial" w:hAnsi="Arial" w:cs="Arial"/>
          <w:sz w:val="20"/>
          <w:szCs w:val="20"/>
        </w:rPr>
      </w:pPr>
      <w:r w:rsidRPr="00BF18E7">
        <w:rPr>
          <w:rFonts w:ascii="Arial" w:hAnsi="Arial" w:cs="Arial"/>
          <w:sz w:val="20"/>
          <w:szCs w:val="20"/>
        </w:rPr>
        <w:t>En primer lugar, se han encontrado efectos del consumo de la pornografía sobre las actitudes hacia la violencia sexual pero no hacia la violencia contra la mujer. Esta diferencia puede deberse a que, al mostrar la pornografía actos sexuales, ésta solo afecte a aquellas actitudes relacionadas con el sexo. En segundo lugar, se ha observado que la única actitud incrementada por la pornografía convencional es la cosificación mientras que la pornografía la violenta y degradante increment</w:t>
      </w:r>
      <w:r w:rsidR="004165F0">
        <w:rPr>
          <w:rFonts w:ascii="Arial" w:hAnsi="Arial" w:cs="Arial"/>
          <w:sz w:val="20"/>
          <w:szCs w:val="20"/>
        </w:rPr>
        <w:t>a el sexismo y la aceptación de la violencia sexual.</w:t>
      </w:r>
      <w:r w:rsidRPr="00BF18E7">
        <w:rPr>
          <w:rFonts w:ascii="Arial" w:hAnsi="Arial" w:cs="Arial"/>
          <w:sz w:val="20"/>
          <w:szCs w:val="20"/>
        </w:rPr>
        <w:t xml:space="preserve"> Esto parece indicar que la cosificación podría ser una característica intrínseca a la pornografía y que es necesario distinguir tipologías de pornografía en las investigaciones para no encontrar falsos negativos. Sin embargo, la delimitación de un umbral para considerar el material pornográfico como violento y degradante parece ser arbitrario dependiendo de la perspectiva del investigador. Por este motivo, se considera esencial que las investigaciones posteriores sean extremadamente detalladas sobre los estímulos a los que se exponen los sujetos, para que las futuras comparaciones y análisis sean lo más objetivas posible. </w:t>
      </w:r>
    </w:p>
    <w:p w14:paraId="0AFBF585" w14:textId="7B6FAFC2" w:rsidR="00F31C63" w:rsidRPr="00BF18E7" w:rsidRDefault="00F31C63" w:rsidP="008A7F00">
      <w:pPr>
        <w:spacing w:line="360" w:lineRule="auto"/>
        <w:ind w:firstLine="709"/>
        <w:jc w:val="both"/>
        <w:rPr>
          <w:rFonts w:ascii="Arial" w:hAnsi="Arial" w:cs="Arial"/>
          <w:sz w:val="20"/>
          <w:szCs w:val="20"/>
        </w:rPr>
      </w:pPr>
      <w:r w:rsidRPr="00BF18E7">
        <w:rPr>
          <w:rFonts w:ascii="Arial" w:hAnsi="Arial" w:cs="Arial"/>
          <w:sz w:val="20"/>
          <w:szCs w:val="20"/>
        </w:rPr>
        <w:t>En tercer lugar, los artículos analizados estudian la relación entre el consumo y las actitudes</w:t>
      </w:r>
      <w:r w:rsidR="00854340">
        <w:rPr>
          <w:rFonts w:ascii="Arial" w:hAnsi="Arial" w:cs="Arial"/>
          <w:sz w:val="20"/>
          <w:szCs w:val="20"/>
        </w:rPr>
        <w:t xml:space="preserve"> de forma </w:t>
      </w:r>
      <w:r w:rsidR="00854340" w:rsidRPr="00BF18E7">
        <w:rPr>
          <w:rFonts w:ascii="Arial" w:hAnsi="Arial" w:cs="Arial"/>
          <w:sz w:val="20"/>
          <w:szCs w:val="20"/>
        </w:rPr>
        <w:t>directa</w:t>
      </w:r>
      <w:r w:rsidRPr="00BF18E7">
        <w:rPr>
          <w:rFonts w:ascii="Arial" w:hAnsi="Arial" w:cs="Arial"/>
          <w:sz w:val="20"/>
          <w:szCs w:val="20"/>
        </w:rPr>
        <w:t xml:space="preserve">. Sin embargo, es posible que </w:t>
      </w:r>
      <w:r w:rsidR="008A7F00">
        <w:rPr>
          <w:rFonts w:ascii="Arial" w:hAnsi="Arial" w:cs="Arial"/>
          <w:sz w:val="20"/>
          <w:szCs w:val="20"/>
        </w:rPr>
        <w:t>haya factores mediadores en la relación ya que distintos autores han observado que existen rasgos de</w:t>
      </w:r>
      <w:r w:rsidR="00FE6F31">
        <w:rPr>
          <w:rFonts w:ascii="Arial" w:hAnsi="Arial" w:cs="Arial"/>
          <w:sz w:val="20"/>
          <w:szCs w:val="20"/>
        </w:rPr>
        <w:t xml:space="preserve"> </w:t>
      </w:r>
      <w:r w:rsidR="008A7F00">
        <w:rPr>
          <w:rFonts w:ascii="Arial" w:hAnsi="Arial" w:cs="Arial"/>
          <w:sz w:val="20"/>
          <w:szCs w:val="20"/>
        </w:rPr>
        <w:t xml:space="preserve">personalidad, como la amabilidad, que neutralizan o incrementan el efecto del consumo. </w:t>
      </w:r>
      <w:r w:rsidR="00854340">
        <w:rPr>
          <w:rFonts w:ascii="Arial" w:hAnsi="Arial" w:cs="Arial"/>
          <w:sz w:val="20"/>
          <w:szCs w:val="20"/>
        </w:rPr>
        <w:t xml:space="preserve">En cuarto lugar, debe a su vez considerarse </w:t>
      </w:r>
      <w:r w:rsidR="00FE6F31">
        <w:rPr>
          <w:rFonts w:ascii="Arial" w:hAnsi="Arial" w:cs="Arial"/>
          <w:sz w:val="20"/>
          <w:szCs w:val="20"/>
        </w:rPr>
        <w:t xml:space="preserve">la existencia de </w:t>
      </w:r>
      <w:r w:rsidRPr="00BF18E7">
        <w:rPr>
          <w:rFonts w:ascii="Arial" w:hAnsi="Arial" w:cs="Arial"/>
          <w:sz w:val="20"/>
          <w:szCs w:val="20"/>
        </w:rPr>
        <w:t>estudios acerca de los efectos de la pornografía sobre la conducta, en los que se ha visto que parece haber relación entre el consumo y las agresiones sexuales. Esto hace plantearse la posible relación entre actitudes y conductas, ya que se ha observado que las personas que han cometido actos de violencia sexual presentan distorsiones cognitivas relacionadas con el sexo y una aceptación de los mitos de la violación (</w:t>
      </w:r>
      <w:proofErr w:type="spellStart"/>
      <w:r w:rsidR="004165F0">
        <w:rPr>
          <w:rFonts w:ascii="Arial" w:hAnsi="Arial" w:cs="Arial"/>
          <w:sz w:val="20"/>
          <w:szCs w:val="20"/>
        </w:rPr>
        <w:t>Malamuth</w:t>
      </w:r>
      <w:proofErr w:type="spellEnd"/>
      <w:r w:rsidR="004165F0">
        <w:rPr>
          <w:rFonts w:ascii="Arial" w:hAnsi="Arial" w:cs="Arial"/>
          <w:sz w:val="20"/>
          <w:szCs w:val="20"/>
        </w:rPr>
        <w:t>, 1981</w:t>
      </w:r>
      <w:r w:rsidRPr="00BF18E7">
        <w:rPr>
          <w:rFonts w:ascii="Arial" w:hAnsi="Arial" w:cs="Arial"/>
          <w:sz w:val="20"/>
          <w:szCs w:val="20"/>
        </w:rPr>
        <w:t xml:space="preserve">). </w:t>
      </w:r>
    </w:p>
    <w:p w14:paraId="7F06A3D6" w14:textId="63167C36" w:rsidR="00F31C63" w:rsidRPr="00BF18E7" w:rsidRDefault="00F31C63" w:rsidP="00F31C63">
      <w:pPr>
        <w:spacing w:line="360" w:lineRule="auto"/>
        <w:ind w:firstLine="709"/>
        <w:jc w:val="both"/>
        <w:rPr>
          <w:rFonts w:ascii="Arial" w:hAnsi="Arial" w:cs="Arial"/>
          <w:sz w:val="20"/>
          <w:szCs w:val="20"/>
        </w:rPr>
      </w:pPr>
      <w:r w:rsidRPr="00BF18E7">
        <w:rPr>
          <w:rFonts w:ascii="Arial" w:hAnsi="Arial" w:cs="Arial"/>
          <w:sz w:val="20"/>
          <w:szCs w:val="20"/>
        </w:rPr>
        <w:t xml:space="preserve">En </w:t>
      </w:r>
      <w:r w:rsidR="002C20EC">
        <w:rPr>
          <w:rFonts w:ascii="Arial" w:hAnsi="Arial" w:cs="Arial"/>
          <w:sz w:val="20"/>
          <w:szCs w:val="20"/>
        </w:rPr>
        <w:t>quinto</w:t>
      </w:r>
      <w:r w:rsidRPr="00BF18E7">
        <w:rPr>
          <w:rFonts w:ascii="Arial" w:hAnsi="Arial" w:cs="Arial"/>
          <w:sz w:val="20"/>
          <w:szCs w:val="20"/>
        </w:rPr>
        <w:t xml:space="preserve"> lugar, en nuestra revisión no hay evidencia suficiente para concluir si la pornografía afecta de manera similar o no a hombres y mujeres. A pesar de que la muestra de la revisión es representativa de la población consumidora (mayor presencia de hombres que de mujeres), es posible que </w:t>
      </w:r>
      <w:r w:rsidRPr="00BF18E7">
        <w:rPr>
          <w:rFonts w:ascii="Arial" w:hAnsi="Arial" w:cs="Arial"/>
          <w:sz w:val="20"/>
          <w:szCs w:val="20"/>
        </w:rPr>
        <w:lastRenderedPageBreak/>
        <w:t xml:space="preserve">en un futuro deje de serlo dado el reciente incremento de mujeres consumidoras de pornografía (hasta un 6% entre 2014 y 2019 en </w:t>
      </w:r>
      <w:proofErr w:type="spellStart"/>
      <w:r w:rsidRPr="004165F0">
        <w:rPr>
          <w:rFonts w:ascii="Arial" w:hAnsi="Arial" w:cs="Arial"/>
          <w:i/>
          <w:iCs/>
          <w:sz w:val="20"/>
          <w:szCs w:val="20"/>
        </w:rPr>
        <w:t>Pornhub</w:t>
      </w:r>
      <w:proofErr w:type="spellEnd"/>
      <w:r w:rsidRPr="00BF18E7">
        <w:rPr>
          <w:rFonts w:ascii="Arial" w:hAnsi="Arial" w:cs="Arial"/>
          <w:sz w:val="20"/>
          <w:szCs w:val="20"/>
        </w:rPr>
        <w:t xml:space="preserve">). Investigar acerca de los efectos del consumo sobre las mujeres es relevante dado el papel que se otorga a las mujeres en los vídeos. Por ejemplo, Bridges et al. (2010) analizaron 304 vídeos y observaron que, mientras que el 70,3% de los agresores eran hombres, el 94,4% de las víctimas eran mujeres. Es importante estudiar si las actitudes tras el consumo de pornografía varían entre sexos, tal vez provocando que las mujeres asuman un rol de sujetos pasivos o subordinados al hombre, incrementando de manera indirecta la probabilidad de aceptar participar en actos sexuales similares a los visualizados, independientemente del daño físico o degradación. Mientras que en los hombres la pornografía aumenta la probabilidad de cometer una agresión sexual, en las mujeres aumenta el riesgo a ser víctima de una de ella. </w:t>
      </w:r>
    </w:p>
    <w:p w14:paraId="3CC8559C" w14:textId="348A262B" w:rsidR="00F31C63" w:rsidRPr="00BF18E7" w:rsidRDefault="00F31C63" w:rsidP="00F31C63">
      <w:pPr>
        <w:spacing w:line="360" w:lineRule="auto"/>
        <w:ind w:firstLine="709"/>
        <w:jc w:val="both"/>
        <w:rPr>
          <w:rFonts w:ascii="Arial" w:hAnsi="Arial" w:cs="Arial"/>
          <w:sz w:val="20"/>
          <w:szCs w:val="20"/>
        </w:rPr>
      </w:pPr>
      <w:r w:rsidRPr="00BF18E7">
        <w:rPr>
          <w:rFonts w:ascii="Arial" w:hAnsi="Arial" w:cs="Arial"/>
          <w:sz w:val="20"/>
          <w:szCs w:val="20"/>
        </w:rPr>
        <w:t xml:space="preserve">Por último, los resultados muestran la importancia de tomar medidas de prevención como es la educación sexual para menores. Dada la edad precoz con la que acceden por primera vez a la pornografía, parece necesario comenzar esta educación durante la educación Primaria, a fin de evitar la asunción de actitudes no igualitarias así como que el material pornográfico sirva como sustituto de la educación sexual. Distintos estudios muestran que el consumo de pornografía en condiciones controladas acompañadas de un posterior </w:t>
      </w:r>
      <w:proofErr w:type="spellStart"/>
      <w:r w:rsidRPr="004165F0">
        <w:rPr>
          <w:rFonts w:ascii="Arial" w:hAnsi="Arial" w:cs="Arial"/>
          <w:i/>
          <w:iCs/>
          <w:sz w:val="20"/>
          <w:szCs w:val="20"/>
        </w:rPr>
        <w:t>debriefing</w:t>
      </w:r>
      <w:proofErr w:type="spellEnd"/>
      <w:r w:rsidRPr="00BF18E7">
        <w:rPr>
          <w:rFonts w:ascii="Arial" w:hAnsi="Arial" w:cs="Arial"/>
          <w:sz w:val="20"/>
          <w:szCs w:val="20"/>
        </w:rPr>
        <w:t xml:space="preserve"> parece atenuar si no revertir los efecto de la pornografía (</w:t>
      </w:r>
      <w:proofErr w:type="spellStart"/>
      <w:r w:rsidR="0030745C">
        <w:rPr>
          <w:rFonts w:ascii="Arial" w:hAnsi="Arial" w:cs="Arial"/>
          <w:sz w:val="20"/>
          <w:szCs w:val="20"/>
        </w:rPr>
        <w:t>Malamuth</w:t>
      </w:r>
      <w:proofErr w:type="spellEnd"/>
      <w:r w:rsidR="0030745C">
        <w:rPr>
          <w:rFonts w:ascii="Arial" w:hAnsi="Arial" w:cs="Arial"/>
          <w:sz w:val="20"/>
          <w:szCs w:val="20"/>
        </w:rPr>
        <w:t xml:space="preserve"> y </w:t>
      </w:r>
      <w:proofErr w:type="spellStart"/>
      <w:r w:rsidR="0030745C">
        <w:rPr>
          <w:rFonts w:ascii="Arial" w:hAnsi="Arial" w:cs="Arial"/>
          <w:sz w:val="20"/>
          <w:szCs w:val="20"/>
        </w:rPr>
        <w:t>Check</w:t>
      </w:r>
      <w:proofErr w:type="spellEnd"/>
      <w:r w:rsidR="0030745C">
        <w:rPr>
          <w:rFonts w:ascii="Arial" w:hAnsi="Arial" w:cs="Arial"/>
          <w:sz w:val="20"/>
          <w:szCs w:val="20"/>
        </w:rPr>
        <w:t>, 1984</w:t>
      </w:r>
      <w:r w:rsidRPr="00BF18E7">
        <w:rPr>
          <w:rFonts w:ascii="Arial" w:hAnsi="Arial" w:cs="Arial"/>
          <w:sz w:val="20"/>
          <w:szCs w:val="20"/>
        </w:rPr>
        <w:t>).</w:t>
      </w:r>
    </w:p>
    <w:p w14:paraId="6C8907BA" w14:textId="77777777" w:rsidR="00F31C63" w:rsidRPr="00BF18E7" w:rsidRDefault="00F31C63" w:rsidP="00F31C63">
      <w:pPr>
        <w:spacing w:line="360" w:lineRule="auto"/>
        <w:ind w:firstLine="709"/>
        <w:jc w:val="both"/>
        <w:rPr>
          <w:rFonts w:ascii="Arial" w:hAnsi="Arial" w:cs="Arial"/>
          <w:sz w:val="20"/>
          <w:szCs w:val="20"/>
        </w:rPr>
      </w:pPr>
      <w:r w:rsidRPr="00BF18E7">
        <w:rPr>
          <w:rFonts w:ascii="Arial" w:hAnsi="Arial" w:cs="Arial"/>
          <w:sz w:val="20"/>
          <w:szCs w:val="20"/>
        </w:rPr>
        <w:t xml:space="preserve">Como conclusión, los resultados evidencian que existe un efecto de la pornografía sobre algunas actitudes hacia las mujeres y la violencia sexual, y resaltan la importancia de continuar realizando investigaciones teniendo en cuenta los distintos tipos de pornografía sobre ambos sexos. </w:t>
      </w:r>
    </w:p>
    <w:p w14:paraId="5FFA6467" w14:textId="77777777" w:rsidR="00F31C63" w:rsidRPr="00BF18E7" w:rsidRDefault="00F31C63" w:rsidP="00F31C63">
      <w:pPr>
        <w:spacing w:line="360" w:lineRule="auto"/>
        <w:jc w:val="both"/>
        <w:rPr>
          <w:rFonts w:ascii="Arial" w:hAnsi="Arial" w:cs="Arial"/>
          <w:sz w:val="20"/>
          <w:szCs w:val="20"/>
        </w:rPr>
      </w:pPr>
    </w:p>
    <w:p w14:paraId="23EAAABF" w14:textId="1FE5DEC2" w:rsidR="00F31C63" w:rsidRPr="00BF18E7" w:rsidRDefault="00F31C63" w:rsidP="00F31C63">
      <w:pPr>
        <w:spacing w:line="360" w:lineRule="auto"/>
        <w:jc w:val="both"/>
        <w:rPr>
          <w:rFonts w:ascii="Arial" w:hAnsi="Arial" w:cs="Arial"/>
          <w:sz w:val="20"/>
          <w:szCs w:val="20"/>
        </w:rPr>
      </w:pPr>
      <w:r w:rsidRPr="00B83A97">
        <w:rPr>
          <w:rFonts w:ascii="Arial" w:hAnsi="Arial" w:cs="Arial"/>
          <w:b/>
          <w:bCs/>
          <w:sz w:val="20"/>
          <w:szCs w:val="20"/>
        </w:rPr>
        <w:t>Palabras clave:</w:t>
      </w:r>
      <w:r w:rsidRPr="00BF18E7">
        <w:rPr>
          <w:rFonts w:ascii="Arial" w:hAnsi="Arial" w:cs="Arial"/>
          <w:sz w:val="20"/>
          <w:szCs w:val="20"/>
        </w:rPr>
        <w:t xml:space="preserve"> revisión sistemática, pornografía, actitudes hacia las mujeres, actitudes hacia la violencia sexual </w:t>
      </w:r>
    </w:p>
    <w:p w14:paraId="7CA5275E" w14:textId="77777777" w:rsidR="00F31C63" w:rsidRPr="00BF18E7" w:rsidRDefault="00F31C63" w:rsidP="00F31C63">
      <w:pPr>
        <w:spacing w:line="360" w:lineRule="auto"/>
        <w:jc w:val="both"/>
        <w:rPr>
          <w:rFonts w:ascii="Arial" w:hAnsi="Arial" w:cs="Arial"/>
          <w:sz w:val="20"/>
          <w:szCs w:val="20"/>
        </w:rPr>
      </w:pPr>
    </w:p>
    <w:p w14:paraId="66E43403" w14:textId="10D4EE25" w:rsidR="00F31C63" w:rsidRPr="00BF18E7" w:rsidRDefault="00F31C63" w:rsidP="00BF18E7">
      <w:pPr>
        <w:spacing w:line="360" w:lineRule="auto"/>
        <w:jc w:val="center"/>
        <w:rPr>
          <w:rFonts w:ascii="Arial" w:hAnsi="Arial" w:cs="Arial"/>
          <w:b/>
          <w:bCs/>
          <w:sz w:val="20"/>
          <w:szCs w:val="20"/>
          <w:lang w:val="en-US"/>
        </w:rPr>
      </w:pPr>
      <w:proofErr w:type="spellStart"/>
      <w:r w:rsidRPr="00BF18E7">
        <w:rPr>
          <w:rFonts w:ascii="Arial" w:hAnsi="Arial" w:cs="Arial"/>
          <w:b/>
          <w:bCs/>
          <w:sz w:val="20"/>
          <w:szCs w:val="20"/>
          <w:lang w:val="en-US"/>
        </w:rPr>
        <w:t>Referencias</w:t>
      </w:r>
      <w:proofErr w:type="spellEnd"/>
    </w:p>
    <w:p w14:paraId="5BAC4276" w14:textId="5035D9BC" w:rsidR="00F31C63" w:rsidRPr="00BF18E7" w:rsidRDefault="00F31C63" w:rsidP="00225BF8">
      <w:pPr>
        <w:spacing w:line="360" w:lineRule="auto"/>
        <w:ind w:left="709" w:hanging="709"/>
        <w:rPr>
          <w:rFonts w:ascii="Arial" w:hAnsi="Arial" w:cs="Arial"/>
          <w:sz w:val="20"/>
          <w:szCs w:val="20"/>
          <w:lang w:val="en-US"/>
        </w:rPr>
      </w:pPr>
      <w:r w:rsidRPr="00BF18E7">
        <w:rPr>
          <w:rFonts w:ascii="Arial" w:hAnsi="Arial" w:cs="Arial"/>
          <w:sz w:val="20"/>
          <w:szCs w:val="20"/>
          <w:lang w:val="en-US"/>
        </w:rPr>
        <w:t xml:space="preserve">Bridges, A. J., </w:t>
      </w:r>
      <w:proofErr w:type="spellStart"/>
      <w:r w:rsidRPr="00BF18E7">
        <w:rPr>
          <w:rFonts w:ascii="Arial" w:hAnsi="Arial" w:cs="Arial"/>
          <w:sz w:val="20"/>
          <w:szCs w:val="20"/>
          <w:lang w:val="en-US"/>
        </w:rPr>
        <w:t>Wosnitzer</w:t>
      </w:r>
      <w:proofErr w:type="spellEnd"/>
      <w:r w:rsidRPr="00BF18E7">
        <w:rPr>
          <w:rFonts w:ascii="Arial" w:hAnsi="Arial" w:cs="Arial"/>
          <w:sz w:val="20"/>
          <w:szCs w:val="20"/>
          <w:lang w:val="en-US"/>
        </w:rPr>
        <w:t xml:space="preserve">, R., </w:t>
      </w:r>
      <w:proofErr w:type="spellStart"/>
      <w:r w:rsidRPr="00BF18E7">
        <w:rPr>
          <w:rFonts w:ascii="Arial" w:hAnsi="Arial" w:cs="Arial"/>
          <w:sz w:val="20"/>
          <w:szCs w:val="20"/>
          <w:lang w:val="en-US"/>
        </w:rPr>
        <w:t>Scharrer</w:t>
      </w:r>
      <w:proofErr w:type="spellEnd"/>
      <w:r w:rsidRPr="00BF18E7">
        <w:rPr>
          <w:rFonts w:ascii="Arial" w:hAnsi="Arial" w:cs="Arial"/>
          <w:sz w:val="20"/>
          <w:szCs w:val="20"/>
          <w:lang w:val="en-US"/>
        </w:rPr>
        <w:t xml:space="preserve">, E., Sun, C. </w:t>
      </w:r>
      <w:r w:rsidR="0030745C">
        <w:rPr>
          <w:rFonts w:ascii="Arial" w:hAnsi="Arial" w:cs="Arial"/>
          <w:sz w:val="20"/>
          <w:szCs w:val="20"/>
          <w:lang w:val="en-US"/>
        </w:rPr>
        <w:t>y</w:t>
      </w:r>
      <w:r w:rsidRPr="00BF18E7">
        <w:rPr>
          <w:rFonts w:ascii="Arial" w:hAnsi="Arial" w:cs="Arial"/>
          <w:sz w:val="20"/>
          <w:szCs w:val="20"/>
          <w:lang w:val="en-US"/>
        </w:rPr>
        <w:t xml:space="preserve"> Liberman, R. (2010). Aggression and sexual behavior in best-selling pornography videos: A content analysis update. </w:t>
      </w:r>
      <w:r w:rsidRPr="00BF18E7">
        <w:rPr>
          <w:rFonts w:ascii="Arial" w:hAnsi="Arial" w:cs="Arial"/>
          <w:i/>
          <w:iCs/>
          <w:sz w:val="20"/>
          <w:szCs w:val="20"/>
          <w:lang w:val="en-US"/>
        </w:rPr>
        <w:t>Violence Against Women, 16</w:t>
      </w:r>
      <w:r w:rsidRPr="00BF18E7">
        <w:rPr>
          <w:rFonts w:ascii="Arial" w:hAnsi="Arial" w:cs="Arial"/>
          <w:sz w:val="20"/>
          <w:szCs w:val="20"/>
          <w:lang w:val="en-US"/>
        </w:rPr>
        <w:t>(10), 1065-1085. https://doi.org/10.1177/1077801210382866</w:t>
      </w:r>
    </w:p>
    <w:p w14:paraId="64157828" w14:textId="6EF7A9C4" w:rsidR="00F31C63" w:rsidRPr="00BF18E7" w:rsidRDefault="00F31C63" w:rsidP="00225BF8">
      <w:pPr>
        <w:spacing w:line="360" w:lineRule="auto"/>
        <w:ind w:left="709" w:hanging="709"/>
        <w:rPr>
          <w:rFonts w:ascii="Arial" w:hAnsi="Arial" w:cs="Arial"/>
          <w:sz w:val="20"/>
          <w:szCs w:val="20"/>
          <w:lang w:val="en-US"/>
        </w:rPr>
      </w:pPr>
      <w:r w:rsidRPr="00BF18E7">
        <w:rPr>
          <w:rFonts w:ascii="Arial" w:hAnsi="Arial" w:cs="Arial"/>
          <w:sz w:val="20"/>
          <w:szCs w:val="20"/>
          <w:lang w:val="en-US"/>
        </w:rPr>
        <w:t xml:space="preserve">Fritz, N., Malic, V., Paul, B. </w:t>
      </w:r>
      <w:r w:rsidR="0030745C">
        <w:rPr>
          <w:rFonts w:ascii="Arial" w:hAnsi="Arial" w:cs="Arial"/>
          <w:sz w:val="20"/>
          <w:szCs w:val="20"/>
          <w:lang w:val="en-US"/>
        </w:rPr>
        <w:t>y</w:t>
      </w:r>
      <w:r w:rsidRPr="00BF18E7">
        <w:rPr>
          <w:rFonts w:ascii="Arial" w:hAnsi="Arial" w:cs="Arial"/>
          <w:sz w:val="20"/>
          <w:szCs w:val="20"/>
          <w:lang w:val="en-US"/>
        </w:rPr>
        <w:t xml:space="preserve"> Zhou, Y. (2020). A descriptive analysis of the types, targets, and relative frequency of aggression in mainstream pornography. </w:t>
      </w:r>
      <w:r w:rsidRPr="00BF18E7">
        <w:rPr>
          <w:rFonts w:ascii="Arial" w:hAnsi="Arial" w:cs="Arial"/>
          <w:i/>
          <w:iCs/>
          <w:sz w:val="20"/>
          <w:szCs w:val="20"/>
          <w:lang w:val="en-US"/>
        </w:rPr>
        <w:t>Archives of Sexual Behavior, 49</w:t>
      </w:r>
      <w:r w:rsidRPr="00BF18E7">
        <w:rPr>
          <w:rFonts w:ascii="Arial" w:hAnsi="Arial" w:cs="Arial"/>
          <w:sz w:val="20"/>
          <w:szCs w:val="20"/>
          <w:lang w:val="en-US"/>
        </w:rPr>
        <w:t>(8), 3041-3053. https://doi.org/10.1007/s10508-020-01773-0.</w:t>
      </w:r>
    </w:p>
    <w:p w14:paraId="14791920" w14:textId="716749D1" w:rsidR="00E32A19" w:rsidRDefault="00E32A19" w:rsidP="00225BF8">
      <w:pPr>
        <w:spacing w:line="360" w:lineRule="auto"/>
        <w:ind w:left="709" w:hanging="709"/>
        <w:rPr>
          <w:rFonts w:ascii="Arial" w:hAnsi="Arial" w:cs="Arial"/>
          <w:sz w:val="20"/>
          <w:szCs w:val="20"/>
          <w:lang w:val="en-US"/>
        </w:rPr>
      </w:pPr>
      <w:proofErr w:type="spellStart"/>
      <w:r w:rsidRPr="00E32A19">
        <w:rPr>
          <w:rFonts w:ascii="Arial" w:hAnsi="Arial" w:cs="Arial"/>
          <w:sz w:val="20"/>
          <w:szCs w:val="20"/>
          <w:lang w:val="en-US"/>
        </w:rPr>
        <w:t>Malamuth</w:t>
      </w:r>
      <w:proofErr w:type="spellEnd"/>
      <w:r w:rsidRPr="00E32A19">
        <w:rPr>
          <w:rFonts w:ascii="Arial" w:hAnsi="Arial" w:cs="Arial"/>
          <w:sz w:val="20"/>
          <w:szCs w:val="20"/>
          <w:lang w:val="en-US"/>
        </w:rPr>
        <w:t>, N. M</w:t>
      </w:r>
      <w:r>
        <w:rPr>
          <w:rFonts w:ascii="Arial" w:hAnsi="Arial" w:cs="Arial"/>
          <w:sz w:val="20"/>
          <w:szCs w:val="20"/>
          <w:lang w:val="en-US"/>
        </w:rPr>
        <w:t>.</w:t>
      </w:r>
      <w:r w:rsidRPr="00E32A19">
        <w:rPr>
          <w:rFonts w:ascii="Arial" w:hAnsi="Arial" w:cs="Arial"/>
          <w:sz w:val="20"/>
          <w:szCs w:val="20"/>
          <w:lang w:val="en-US"/>
        </w:rPr>
        <w:t xml:space="preserve"> (1981). Rape proclivity among males. </w:t>
      </w:r>
      <w:r w:rsidRPr="004165F0">
        <w:rPr>
          <w:rFonts w:ascii="Arial" w:hAnsi="Arial" w:cs="Arial"/>
          <w:i/>
          <w:iCs/>
          <w:sz w:val="20"/>
          <w:szCs w:val="20"/>
          <w:lang w:val="en-US"/>
        </w:rPr>
        <w:t>Journal of Social Issues, 37</w:t>
      </w:r>
      <w:r w:rsidRPr="00E32A19">
        <w:rPr>
          <w:rFonts w:ascii="Arial" w:hAnsi="Arial" w:cs="Arial"/>
          <w:sz w:val="20"/>
          <w:szCs w:val="20"/>
          <w:lang w:val="en-US"/>
        </w:rPr>
        <w:t xml:space="preserve">(4), 138-157. </w:t>
      </w:r>
      <w:hyperlink r:id="rId4" w:history="1">
        <w:r w:rsidRPr="00EF7D41">
          <w:rPr>
            <w:rStyle w:val="Hipervnculo"/>
            <w:rFonts w:ascii="Arial" w:hAnsi="Arial" w:cs="Arial"/>
            <w:sz w:val="20"/>
            <w:szCs w:val="20"/>
            <w:lang w:val="en-US"/>
          </w:rPr>
          <w:t>https://doi.org/10.1111/j.1540-4560.1981.tb01075.x</w:t>
        </w:r>
      </w:hyperlink>
    </w:p>
    <w:p w14:paraId="2EBFC296" w14:textId="3ACAE327" w:rsidR="0030745C" w:rsidRDefault="0030745C" w:rsidP="00225BF8">
      <w:pPr>
        <w:spacing w:line="360" w:lineRule="auto"/>
        <w:ind w:left="709" w:hanging="709"/>
        <w:rPr>
          <w:rFonts w:ascii="Arial" w:hAnsi="Arial" w:cs="Arial"/>
          <w:sz w:val="20"/>
          <w:szCs w:val="20"/>
          <w:lang w:val="en-US"/>
        </w:rPr>
      </w:pPr>
      <w:proofErr w:type="spellStart"/>
      <w:r w:rsidRPr="0030745C">
        <w:rPr>
          <w:rFonts w:ascii="Arial" w:hAnsi="Arial" w:cs="Arial"/>
          <w:sz w:val="20"/>
          <w:szCs w:val="20"/>
          <w:lang w:val="en-US"/>
        </w:rPr>
        <w:t>Malamuth</w:t>
      </w:r>
      <w:proofErr w:type="spellEnd"/>
      <w:r w:rsidRPr="0030745C">
        <w:rPr>
          <w:rFonts w:ascii="Arial" w:hAnsi="Arial" w:cs="Arial"/>
          <w:sz w:val="20"/>
          <w:szCs w:val="20"/>
          <w:lang w:val="en-US"/>
        </w:rPr>
        <w:t xml:space="preserve">, N. M. </w:t>
      </w:r>
      <w:r>
        <w:rPr>
          <w:rFonts w:ascii="Arial" w:hAnsi="Arial" w:cs="Arial"/>
          <w:sz w:val="20"/>
          <w:szCs w:val="20"/>
          <w:lang w:val="en-US"/>
        </w:rPr>
        <w:t>y</w:t>
      </w:r>
      <w:r w:rsidRPr="0030745C">
        <w:rPr>
          <w:rFonts w:ascii="Arial" w:hAnsi="Arial" w:cs="Arial"/>
          <w:sz w:val="20"/>
          <w:szCs w:val="20"/>
          <w:lang w:val="en-US"/>
        </w:rPr>
        <w:t xml:space="preserve"> </w:t>
      </w:r>
      <w:r>
        <w:rPr>
          <w:rFonts w:ascii="Arial" w:hAnsi="Arial" w:cs="Arial"/>
          <w:sz w:val="20"/>
          <w:szCs w:val="20"/>
          <w:lang w:val="en-US"/>
        </w:rPr>
        <w:t xml:space="preserve">Check, J. V. P. (1984). Debriefing Effectiveness Following Exposure to Pornographic Rape Depictions. </w:t>
      </w:r>
      <w:r>
        <w:rPr>
          <w:rFonts w:ascii="Arial" w:hAnsi="Arial" w:cs="Arial"/>
          <w:i/>
          <w:iCs/>
          <w:sz w:val="20"/>
          <w:szCs w:val="20"/>
          <w:lang w:val="en-US"/>
        </w:rPr>
        <w:t>The Journal of Sex Research, 20</w:t>
      </w:r>
      <w:r>
        <w:rPr>
          <w:rFonts w:ascii="Arial" w:hAnsi="Arial" w:cs="Arial"/>
          <w:sz w:val="20"/>
          <w:szCs w:val="20"/>
          <w:lang w:val="en-US"/>
        </w:rPr>
        <w:t xml:space="preserve">(1), 1-13. </w:t>
      </w:r>
      <w:hyperlink r:id="rId5" w:history="1">
        <w:r w:rsidRPr="00EF7D41">
          <w:rPr>
            <w:rStyle w:val="Hipervnculo"/>
            <w:rFonts w:ascii="Arial" w:hAnsi="Arial" w:cs="Arial"/>
            <w:sz w:val="20"/>
            <w:szCs w:val="20"/>
            <w:lang w:val="en-US"/>
          </w:rPr>
          <w:t>https://doi.org/10.1080/00224498409551203</w:t>
        </w:r>
      </w:hyperlink>
    </w:p>
    <w:p w14:paraId="40C0B6A8" w14:textId="419C92FD" w:rsidR="00FE09A7" w:rsidRDefault="00F31C63" w:rsidP="00225BF8">
      <w:pPr>
        <w:spacing w:line="360" w:lineRule="auto"/>
        <w:ind w:left="709" w:hanging="709"/>
        <w:rPr>
          <w:rFonts w:ascii="Arial" w:hAnsi="Arial" w:cs="Arial"/>
          <w:sz w:val="20"/>
          <w:szCs w:val="20"/>
          <w:lang w:val="en-US"/>
        </w:rPr>
      </w:pPr>
      <w:proofErr w:type="spellStart"/>
      <w:r w:rsidRPr="0030745C">
        <w:rPr>
          <w:rFonts w:ascii="Arial" w:hAnsi="Arial" w:cs="Arial"/>
          <w:sz w:val="20"/>
          <w:szCs w:val="20"/>
          <w:lang w:val="en-US"/>
        </w:rPr>
        <w:lastRenderedPageBreak/>
        <w:t>Sanjuán</w:t>
      </w:r>
      <w:proofErr w:type="spellEnd"/>
      <w:r w:rsidRPr="0030745C">
        <w:rPr>
          <w:rFonts w:ascii="Arial" w:hAnsi="Arial" w:cs="Arial"/>
          <w:sz w:val="20"/>
          <w:szCs w:val="20"/>
          <w:lang w:val="en-US"/>
        </w:rPr>
        <w:t xml:space="preserve">, C. (2020). </w:t>
      </w:r>
      <w:r w:rsidRPr="00BF18E7">
        <w:rPr>
          <w:rFonts w:ascii="Arial" w:hAnsi="Arial" w:cs="Arial"/>
          <w:i/>
          <w:iCs/>
          <w:sz w:val="20"/>
          <w:szCs w:val="20"/>
        </w:rPr>
        <w:t>(Des) Información: Pornografía y adolescencia</w:t>
      </w:r>
      <w:r w:rsidRPr="00BF18E7">
        <w:rPr>
          <w:rFonts w:ascii="Arial" w:hAnsi="Arial" w:cs="Arial"/>
          <w:sz w:val="20"/>
          <w:szCs w:val="20"/>
        </w:rPr>
        <w:t xml:space="preserve">. </w:t>
      </w:r>
      <w:r w:rsidRPr="00BF18E7">
        <w:rPr>
          <w:rFonts w:ascii="Arial" w:hAnsi="Arial" w:cs="Arial"/>
          <w:sz w:val="20"/>
          <w:szCs w:val="20"/>
          <w:lang w:val="en-US"/>
        </w:rPr>
        <w:t xml:space="preserve">Save the Children. </w:t>
      </w:r>
      <w:hyperlink r:id="rId6" w:history="1">
        <w:r w:rsidR="00B6022E" w:rsidRPr="00EF7D41">
          <w:rPr>
            <w:rStyle w:val="Hipervnculo"/>
            <w:rFonts w:ascii="Arial" w:hAnsi="Arial" w:cs="Arial"/>
            <w:sz w:val="20"/>
            <w:szCs w:val="20"/>
            <w:lang w:val="en-US"/>
          </w:rPr>
          <w:t>https://www.savethechildren.es/sites/default/files/2020-09/Informe_Desinformacion_sexual-Pornografia_y_adolescencia.pdf</w:t>
        </w:r>
      </w:hyperlink>
    </w:p>
    <w:p w14:paraId="1B7DB0B1" w14:textId="06B6A41C" w:rsidR="00B6022E" w:rsidRDefault="00B6022E" w:rsidP="00F31C63">
      <w:pPr>
        <w:spacing w:line="360" w:lineRule="auto"/>
        <w:ind w:left="709" w:hanging="709"/>
        <w:jc w:val="both"/>
        <w:rPr>
          <w:rFonts w:ascii="Arial" w:hAnsi="Arial" w:cs="Arial"/>
          <w:sz w:val="20"/>
          <w:szCs w:val="20"/>
          <w:lang w:val="en-US"/>
        </w:rPr>
      </w:pPr>
    </w:p>
    <w:p w14:paraId="27C278C0" w14:textId="220C38E7" w:rsidR="00FE6F31" w:rsidRPr="001749B4" w:rsidRDefault="00FE6F31" w:rsidP="00FE6F31">
      <w:pPr>
        <w:spacing w:line="360" w:lineRule="auto"/>
        <w:ind w:left="709" w:hanging="709"/>
        <w:jc w:val="center"/>
        <w:rPr>
          <w:rFonts w:ascii="Arial" w:hAnsi="Arial" w:cs="Arial"/>
          <w:b/>
          <w:bCs/>
          <w:sz w:val="20"/>
          <w:szCs w:val="20"/>
        </w:rPr>
      </w:pPr>
      <w:r w:rsidRPr="001749B4">
        <w:rPr>
          <w:rFonts w:ascii="Arial" w:hAnsi="Arial" w:cs="Arial"/>
          <w:b/>
          <w:bCs/>
          <w:sz w:val="20"/>
          <w:szCs w:val="20"/>
        </w:rPr>
        <w:t>Contacto</w:t>
      </w:r>
    </w:p>
    <w:p w14:paraId="6D3BC753" w14:textId="1799E9BF" w:rsidR="00B6022E" w:rsidRPr="00B6022E" w:rsidRDefault="00B6022E" w:rsidP="00F31C63">
      <w:pPr>
        <w:spacing w:line="360" w:lineRule="auto"/>
        <w:ind w:left="709" w:hanging="709"/>
        <w:jc w:val="both"/>
        <w:rPr>
          <w:rFonts w:ascii="Arial" w:hAnsi="Arial" w:cs="Arial"/>
          <w:sz w:val="20"/>
          <w:szCs w:val="20"/>
        </w:rPr>
      </w:pPr>
      <w:r w:rsidRPr="00B6022E">
        <w:rPr>
          <w:rFonts w:ascii="Arial" w:hAnsi="Arial" w:cs="Arial"/>
          <w:sz w:val="20"/>
          <w:szCs w:val="20"/>
        </w:rPr>
        <w:t>S</w:t>
      </w:r>
      <w:r w:rsidR="00051538">
        <w:rPr>
          <w:rFonts w:ascii="Arial" w:hAnsi="Arial" w:cs="Arial"/>
          <w:sz w:val="20"/>
          <w:szCs w:val="20"/>
        </w:rPr>
        <w:t>a</w:t>
      </w:r>
      <w:r w:rsidRPr="00B6022E">
        <w:rPr>
          <w:rFonts w:ascii="Arial" w:hAnsi="Arial" w:cs="Arial"/>
          <w:sz w:val="20"/>
          <w:szCs w:val="20"/>
        </w:rPr>
        <w:t xml:space="preserve">ndra Sánchez-González: </w:t>
      </w:r>
      <w:hyperlink r:id="rId7" w:history="1">
        <w:r w:rsidRPr="00B6022E">
          <w:rPr>
            <w:rStyle w:val="Hipervnculo"/>
            <w:rFonts w:ascii="Arial" w:hAnsi="Arial" w:cs="Arial"/>
            <w:sz w:val="20"/>
            <w:szCs w:val="20"/>
          </w:rPr>
          <w:t>sandraschezgonzalez@gmail.com</w:t>
        </w:r>
      </w:hyperlink>
    </w:p>
    <w:p w14:paraId="5B63390C" w14:textId="6E87A0AC" w:rsidR="00B6022E" w:rsidRDefault="00B6022E" w:rsidP="00B6022E">
      <w:pPr>
        <w:spacing w:line="360" w:lineRule="auto"/>
        <w:ind w:left="709" w:hanging="709"/>
        <w:jc w:val="both"/>
        <w:rPr>
          <w:rFonts w:ascii="Arial" w:hAnsi="Arial" w:cs="Arial"/>
          <w:sz w:val="20"/>
          <w:szCs w:val="20"/>
        </w:rPr>
      </w:pPr>
      <w:r w:rsidRPr="00BF18E7">
        <w:rPr>
          <w:rFonts w:ascii="Arial" w:hAnsi="Arial" w:cs="Arial"/>
          <w:sz w:val="20"/>
          <w:szCs w:val="20"/>
        </w:rPr>
        <w:t>José Manuel Caperos</w:t>
      </w:r>
      <w:r w:rsidR="00CC623B">
        <w:rPr>
          <w:rFonts w:ascii="Arial" w:hAnsi="Arial" w:cs="Arial"/>
          <w:sz w:val="20"/>
          <w:szCs w:val="20"/>
        </w:rPr>
        <w:t xml:space="preserve"> Montalbán</w:t>
      </w:r>
      <w:r>
        <w:rPr>
          <w:rFonts w:ascii="Arial" w:hAnsi="Arial" w:cs="Arial"/>
          <w:sz w:val="20"/>
          <w:szCs w:val="20"/>
        </w:rPr>
        <w:t xml:space="preserve">: </w:t>
      </w:r>
      <w:hyperlink r:id="rId8" w:history="1">
        <w:r w:rsidRPr="00EF7D41">
          <w:rPr>
            <w:rStyle w:val="Hipervnculo"/>
            <w:rFonts w:ascii="Arial" w:hAnsi="Arial" w:cs="Arial"/>
            <w:sz w:val="20"/>
            <w:szCs w:val="20"/>
          </w:rPr>
          <w:t>jcaperos@comillas.edu</w:t>
        </w:r>
      </w:hyperlink>
    </w:p>
    <w:p w14:paraId="1DEF5BA6" w14:textId="1512ADB8" w:rsidR="00B6022E" w:rsidRDefault="00B6022E" w:rsidP="00B6022E">
      <w:pPr>
        <w:spacing w:line="360" w:lineRule="auto"/>
        <w:jc w:val="both"/>
        <w:rPr>
          <w:rFonts w:ascii="Arial" w:hAnsi="Arial" w:cs="Arial"/>
          <w:sz w:val="20"/>
          <w:szCs w:val="20"/>
        </w:rPr>
      </w:pPr>
      <w:r w:rsidRPr="00BF18E7">
        <w:rPr>
          <w:rFonts w:ascii="Arial" w:hAnsi="Arial" w:cs="Arial"/>
          <w:sz w:val="20"/>
          <w:szCs w:val="20"/>
        </w:rPr>
        <w:t>Nereida Bueno-Guerra</w:t>
      </w:r>
      <w:r>
        <w:rPr>
          <w:rFonts w:ascii="Arial" w:hAnsi="Arial" w:cs="Arial"/>
          <w:sz w:val="20"/>
          <w:szCs w:val="20"/>
        </w:rPr>
        <w:t xml:space="preserve">: </w:t>
      </w:r>
      <w:hyperlink r:id="rId9" w:history="1">
        <w:r w:rsidRPr="00EF7D41">
          <w:rPr>
            <w:rStyle w:val="Hipervnculo"/>
            <w:rFonts w:ascii="Arial" w:hAnsi="Arial" w:cs="Arial"/>
            <w:sz w:val="20"/>
            <w:szCs w:val="20"/>
          </w:rPr>
          <w:t>nbguerra@comillas.edu</w:t>
        </w:r>
      </w:hyperlink>
    </w:p>
    <w:p w14:paraId="60BDC91E" w14:textId="77777777" w:rsidR="00B6022E" w:rsidRPr="00B6022E" w:rsidRDefault="00B6022E" w:rsidP="00F31C63">
      <w:pPr>
        <w:spacing w:line="360" w:lineRule="auto"/>
        <w:ind w:left="709" w:hanging="709"/>
        <w:jc w:val="both"/>
        <w:rPr>
          <w:rFonts w:ascii="Arial" w:hAnsi="Arial" w:cs="Arial"/>
          <w:sz w:val="20"/>
          <w:szCs w:val="20"/>
        </w:rPr>
      </w:pPr>
    </w:p>
    <w:sectPr w:rsidR="00B6022E" w:rsidRPr="00B6022E" w:rsidSect="00F31C63">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4"/>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C63"/>
    <w:rsid w:val="00051538"/>
    <w:rsid w:val="001212A9"/>
    <w:rsid w:val="001749B4"/>
    <w:rsid w:val="00181520"/>
    <w:rsid w:val="00225BF8"/>
    <w:rsid w:val="002C20EC"/>
    <w:rsid w:val="002E317F"/>
    <w:rsid w:val="0030745C"/>
    <w:rsid w:val="004165F0"/>
    <w:rsid w:val="00653EAA"/>
    <w:rsid w:val="006873ED"/>
    <w:rsid w:val="00854340"/>
    <w:rsid w:val="00871BDC"/>
    <w:rsid w:val="008A7F00"/>
    <w:rsid w:val="00A82E7E"/>
    <w:rsid w:val="00B6022E"/>
    <w:rsid w:val="00B83A97"/>
    <w:rsid w:val="00BF18E7"/>
    <w:rsid w:val="00CC623B"/>
    <w:rsid w:val="00D34059"/>
    <w:rsid w:val="00E32A19"/>
    <w:rsid w:val="00E406EF"/>
    <w:rsid w:val="00EA70CB"/>
    <w:rsid w:val="00F31C63"/>
    <w:rsid w:val="00FE6F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BA392"/>
  <w15:chartTrackingRefBased/>
  <w15:docId w15:val="{87122DA9-D8A8-AB49-A8B7-AC6EC030A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6022E"/>
    <w:rPr>
      <w:color w:val="0563C1" w:themeColor="hyperlink"/>
      <w:u w:val="single"/>
    </w:rPr>
  </w:style>
  <w:style w:type="character" w:styleId="Mencinsinresolver">
    <w:name w:val="Unresolved Mention"/>
    <w:basedOn w:val="Fuentedeprrafopredeter"/>
    <w:uiPriority w:val="99"/>
    <w:semiHidden/>
    <w:unhideWhenUsed/>
    <w:rsid w:val="00B6022E"/>
    <w:rPr>
      <w:color w:val="605E5C"/>
      <w:shd w:val="clear" w:color="auto" w:fill="E1DFDD"/>
    </w:rPr>
  </w:style>
  <w:style w:type="paragraph" w:styleId="Textodeglobo">
    <w:name w:val="Balloon Text"/>
    <w:basedOn w:val="Normal"/>
    <w:link w:val="TextodegloboCar"/>
    <w:uiPriority w:val="99"/>
    <w:semiHidden/>
    <w:unhideWhenUsed/>
    <w:rsid w:val="00225BF8"/>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225BF8"/>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6293524">
      <w:bodyDiv w:val="1"/>
      <w:marLeft w:val="0"/>
      <w:marRight w:val="0"/>
      <w:marTop w:val="0"/>
      <w:marBottom w:val="0"/>
      <w:divBdr>
        <w:top w:val="none" w:sz="0" w:space="0" w:color="auto"/>
        <w:left w:val="none" w:sz="0" w:space="0" w:color="auto"/>
        <w:bottom w:val="none" w:sz="0" w:space="0" w:color="auto"/>
        <w:right w:val="none" w:sz="0" w:space="0" w:color="auto"/>
      </w:divBdr>
    </w:div>
    <w:div w:id="1962418052">
      <w:bodyDiv w:val="1"/>
      <w:marLeft w:val="0"/>
      <w:marRight w:val="0"/>
      <w:marTop w:val="0"/>
      <w:marBottom w:val="0"/>
      <w:divBdr>
        <w:top w:val="none" w:sz="0" w:space="0" w:color="auto"/>
        <w:left w:val="none" w:sz="0" w:space="0" w:color="auto"/>
        <w:bottom w:val="none" w:sz="0" w:space="0" w:color="auto"/>
        <w:right w:val="none" w:sz="0" w:space="0" w:color="auto"/>
      </w:divBdr>
      <w:divsChild>
        <w:div w:id="443429631">
          <w:marLeft w:val="0"/>
          <w:marRight w:val="0"/>
          <w:marTop w:val="0"/>
          <w:marBottom w:val="0"/>
          <w:divBdr>
            <w:top w:val="none" w:sz="0" w:space="0" w:color="auto"/>
            <w:left w:val="none" w:sz="0" w:space="0" w:color="auto"/>
            <w:bottom w:val="none" w:sz="0" w:space="0" w:color="auto"/>
            <w:right w:val="none" w:sz="0" w:space="0" w:color="auto"/>
          </w:divBdr>
          <w:divsChild>
            <w:div w:id="287472045">
              <w:marLeft w:val="0"/>
              <w:marRight w:val="0"/>
              <w:marTop w:val="0"/>
              <w:marBottom w:val="0"/>
              <w:divBdr>
                <w:top w:val="none" w:sz="0" w:space="0" w:color="auto"/>
                <w:left w:val="none" w:sz="0" w:space="0" w:color="auto"/>
                <w:bottom w:val="none" w:sz="0" w:space="0" w:color="auto"/>
                <w:right w:val="none" w:sz="0" w:space="0" w:color="auto"/>
              </w:divBdr>
              <w:divsChild>
                <w:div w:id="123924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caperos@comillas.edu" TargetMode="External"/><Relationship Id="rId3" Type="http://schemas.openxmlformats.org/officeDocument/2006/relationships/webSettings" Target="webSettings.xml"/><Relationship Id="rId7" Type="http://schemas.openxmlformats.org/officeDocument/2006/relationships/hyperlink" Target="mailto:sandraschezgonzalez@gmail.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avethechildren.es/sites/default/files/2020-09/Informe_Desinformacion_sexual-Pornografia_y_adolescencia.pdf" TargetMode="External"/><Relationship Id="rId11" Type="http://schemas.openxmlformats.org/officeDocument/2006/relationships/theme" Target="theme/theme1.xml"/><Relationship Id="rId5" Type="http://schemas.openxmlformats.org/officeDocument/2006/relationships/hyperlink" Target="https://doi.org/10.1080/00224498409551203" TargetMode="External"/><Relationship Id="rId10" Type="http://schemas.openxmlformats.org/officeDocument/2006/relationships/fontTable" Target="fontTable.xml"/><Relationship Id="rId4" Type="http://schemas.openxmlformats.org/officeDocument/2006/relationships/hyperlink" Target="https://doi.org/10.1111/j.1540-4560.1981.tb01075.x" TargetMode="External"/><Relationship Id="rId9" Type="http://schemas.openxmlformats.org/officeDocument/2006/relationships/hyperlink" Target="mailto:nbguerra@comillas.edu"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TotalTime>
  <Pages>4</Pages>
  <Words>1515</Words>
  <Characters>8334</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Sánchez González</dc:creator>
  <cp:keywords/>
  <dc:description/>
  <cp:lastModifiedBy>Sandra Sánchez González</cp:lastModifiedBy>
  <cp:revision>17</cp:revision>
  <dcterms:created xsi:type="dcterms:W3CDTF">2021-05-29T13:28:00Z</dcterms:created>
  <dcterms:modified xsi:type="dcterms:W3CDTF">2021-06-03T16:26:00Z</dcterms:modified>
</cp:coreProperties>
</file>