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05A" w:rsidRPr="0004405A" w:rsidRDefault="0004405A" w:rsidP="0004405A">
      <w:pPr>
        <w:shd w:val="clear" w:color="auto" w:fill="FFFFFF"/>
        <w:spacing w:after="0"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fldChar w:fldCharType="begin"/>
      </w:r>
      <w:r w:rsidRPr="0004405A">
        <w:rPr>
          <w:rFonts w:ascii="Arial" w:eastAsia="Times New Roman" w:hAnsi="Arial" w:cs="Arial"/>
          <w:color w:val="555555"/>
          <w:sz w:val="24"/>
          <w:szCs w:val="24"/>
          <w:lang w:eastAsia="es-ES"/>
        </w:rPr>
        <w:instrText xml:space="preserve"> HYPERLINK "https://www.thomsonreuters.es/es/tienda/libros/top-novedades-publicaciones.html" </w:instrText>
      </w:r>
      <w:r w:rsidRPr="0004405A">
        <w:rPr>
          <w:rFonts w:ascii="Arial" w:eastAsia="Times New Roman" w:hAnsi="Arial" w:cs="Arial"/>
          <w:color w:val="555555"/>
          <w:sz w:val="24"/>
          <w:szCs w:val="24"/>
          <w:lang w:eastAsia="es-ES"/>
        </w:rPr>
        <w:fldChar w:fldCharType="separate"/>
      </w:r>
      <w:r w:rsidRPr="0004405A">
        <w:rPr>
          <w:rFonts w:ascii="Arial" w:eastAsia="Times New Roman" w:hAnsi="Arial" w:cs="Arial"/>
          <w:color w:val="0072A8"/>
          <w:sz w:val="24"/>
          <w:szCs w:val="24"/>
          <w:lang w:eastAsia="es-ES"/>
        </w:rPr>
        <w:br/>
      </w:r>
      <w:r w:rsidRPr="0004405A">
        <w:rPr>
          <w:rFonts w:ascii="Arial" w:eastAsia="Times New Roman" w:hAnsi="Arial" w:cs="Arial"/>
          <w:noProof/>
          <w:color w:val="555555"/>
          <w:sz w:val="24"/>
          <w:szCs w:val="24"/>
          <w:lang w:eastAsia="es-ES"/>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381250" cy="2381250"/>
            <wp:effectExtent l="0" t="0" r="0" b="0"/>
            <wp:wrapSquare wrapText="bothSides"/>
            <wp:docPr id="2" name="Imagen 2" descr="https://www.thomsonreuters.es/content/dam/openweb/images/Spain/Stock/Hero/novedad-libros.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homsonreuters.es/content/dam/openweb/images/Spain/Stock/Hero/novedad-libros.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405A">
        <w:rPr>
          <w:rFonts w:ascii="Arial" w:eastAsia="Times New Roman" w:hAnsi="Arial" w:cs="Arial"/>
          <w:color w:val="555555"/>
          <w:sz w:val="24"/>
          <w:szCs w:val="24"/>
          <w:lang w:eastAsia="es-ES"/>
        </w:rPr>
        <w:fldChar w:fldCharType="end"/>
      </w:r>
    </w:p>
    <w:p w:rsidR="0004405A" w:rsidRPr="0004405A" w:rsidRDefault="0004405A" w:rsidP="0004405A">
      <w:pPr>
        <w:shd w:val="clear" w:color="auto" w:fill="FFFFFF"/>
        <w:spacing w:after="360" w:line="240" w:lineRule="auto"/>
        <w:textAlignment w:val="top"/>
        <w:outlineLvl w:val="0"/>
        <w:rPr>
          <w:rFonts w:ascii="Arial" w:eastAsia="Times New Roman" w:hAnsi="Arial" w:cs="Arial"/>
          <w:b/>
          <w:bCs/>
          <w:color w:val="555555"/>
          <w:kern w:val="36"/>
          <w:sz w:val="36"/>
          <w:szCs w:val="36"/>
          <w:lang w:eastAsia="es-ES"/>
        </w:rPr>
      </w:pPr>
      <w:r w:rsidRPr="0004405A">
        <w:rPr>
          <w:rFonts w:ascii="Arial" w:eastAsia="Times New Roman" w:hAnsi="Arial" w:cs="Arial"/>
          <w:b/>
          <w:bCs/>
          <w:color w:val="555555"/>
          <w:kern w:val="36"/>
          <w:sz w:val="36"/>
          <w:szCs w:val="36"/>
          <w:lang w:eastAsia="es-ES"/>
        </w:rPr>
        <w:t>La masa pasiva del concurso de acreedores(Dúo)</w:t>
      </w:r>
    </w:p>
    <w:p w:rsidR="0004405A" w:rsidRPr="0004405A" w:rsidRDefault="0004405A" w:rsidP="0004405A">
      <w:pPr>
        <w:shd w:val="clear" w:color="auto" w:fill="FFFFFF"/>
        <w:spacing w:after="72" w:line="240" w:lineRule="auto"/>
        <w:outlineLvl w:val="1"/>
        <w:rPr>
          <w:rFonts w:ascii="Arial" w:eastAsia="Times New Roman" w:hAnsi="Arial" w:cs="Arial"/>
          <w:color w:val="555555"/>
          <w:sz w:val="48"/>
          <w:szCs w:val="48"/>
          <w:lang w:eastAsia="es-ES"/>
        </w:rPr>
      </w:pPr>
      <w:r w:rsidRPr="0004405A">
        <w:rPr>
          <w:rFonts w:ascii="Arial" w:eastAsia="Times New Roman" w:hAnsi="Arial" w:cs="Arial"/>
          <w:b/>
          <w:bCs/>
          <w:color w:val="555555"/>
          <w:sz w:val="48"/>
          <w:szCs w:val="48"/>
          <w:lang w:eastAsia="es-ES"/>
        </w:rPr>
        <w:t>Autor:</w:t>
      </w:r>
      <w:r w:rsidRPr="0004405A">
        <w:rPr>
          <w:rFonts w:ascii="Arial" w:eastAsia="Times New Roman" w:hAnsi="Arial" w:cs="Arial"/>
          <w:color w:val="555555"/>
          <w:sz w:val="48"/>
          <w:szCs w:val="48"/>
          <w:lang w:eastAsia="es-ES"/>
        </w:rPr>
        <w:t> </w:t>
      </w:r>
      <w:hyperlink r:id="rId7" w:history="1">
        <w:r w:rsidRPr="0004405A">
          <w:rPr>
            <w:rFonts w:ascii="Arial" w:eastAsia="Times New Roman" w:hAnsi="Arial" w:cs="Arial"/>
            <w:color w:val="0072A8"/>
            <w:sz w:val="48"/>
            <w:szCs w:val="48"/>
            <w:u w:val="single"/>
            <w:lang w:eastAsia="es-ES"/>
          </w:rPr>
          <w:t>VEIGA COPO ABEL B.</w:t>
        </w:r>
      </w:hyperlink>
    </w:p>
    <w:p w:rsidR="0004405A" w:rsidRPr="0004405A" w:rsidRDefault="0004405A" w:rsidP="0004405A">
      <w:pPr>
        <w:shd w:val="clear" w:color="auto" w:fill="FFFFFF"/>
        <w:spacing w:after="0" w:line="240" w:lineRule="auto"/>
        <w:rPr>
          <w:rFonts w:ascii="Arial" w:eastAsia="Times New Roman" w:hAnsi="Arial" w:cs="Arial"/>
          <w:color w:val="555555"/>
          <w:sz w:val="24"/>
          <w:szCs w:val="24"/>
          <w:lang w:eastAsia="es-ES"/>
        </w:rPr>
      </w:pPr>
      <w:r w:rsidRPr="0004405A">
        <w:rPr>
          <w:rFonts w:ascii="Arial" w:eastAsia="Times New Roman" w:hAnsi="Arial" w:cs="Arial"/>
          <w:b/>
          <w:bCs/>
          <w:color w:val="555555"/>
          <w:sz w:val="24"/>
          <w:szCs w:val="24"/>
          <w:lang w:eastAsia="es-ES"/>
        </w:rPr>
        <w:t>ISBN:</w:t>
      </w:r>
      <w:r w:rsidRPr="0004405A">
        <w:rPr>
          <w:rFonts w:ascii="Arial" w:eastAsia="Times New Roman" w:hAnsi="Arial" w:cs="Arial"/>
          <w:color w:val="555555"/>
          <w:sz w:val="24"/>
          <w:szCs w:val="24"/>
          <w:lang w:eastAsia="es-ES"/>
        </w:rPr>
        <w:t> 978-84-1390-623-2</w:t>
      </w:r>
    </w:p>
    <w:p w:rsidR="0004405A" w:rsidRPr="0004405A" w:rsidRDefault="0004405A" w:rsidP="0004405A">
      <w:pPr>
        <w:shd w:val="clear" w:color="auto" w:fill="FFFFFF"/>
        <w:spacing w:after="0" w:line="240" w:lineRule="auto"/>
        <w:rPr>
          <w:rFonts w:ascii="Arial" w:eastAsia="Times New Roman" w:hAnsi="Arial" w:cs="Arial"/>
          <w:color w:val="555555"/>
          <w:sz w:val="24"/>
          <w:szCs w:val="24"/>
          <w:lang w:eastAsia="es-ES"/>
        </w:rPr>
      </w:pPr>
      <w:r w:rsidRPr="0004405A">
        <w:rPr>
          <w:rFonts w:ascii="Arial" w:eastAsia="Times New Roman" w:hAnsi="Arial" w:cs="Arial"/>
          <w:b/>
          <w:bCs/>
          <w:color w:val="555555"/>
          <w:sz w:val="24"/>
          <w:szCs w:val="24"/>
          <w:lang w:eastAsia="es-ES"/>
        </w:rPr>
        <w:t>Editorial:</w:t>
      </w:r>
      <w:r w:rsidRPr="0004405A">
        <w:rPr>
          <w:rFonts w:ascii="Arial" w:eastAsia="Times New Roman" w:hAnsi="Arial" w:cs="Arial"/>
          <w:color w:val="555555"/>
          <w:sz w:val="24"/>
          <w:szCs w:val="24"/>
          <w:lang w:eastAsia="es-ES"/>
        </w:rPr>
        <w:t> </w:t>
      </w:r>
      <w:proofErr w:type="spellStart"/>
      <w:r w:rsidRPr="0004405A">
        <w:rPr>
          <w:rFonts w:ascii="Arial" w:eastAsia="Times New Roman" w:hAnsi="Arial" w:cs="Arial"/>
          <w:color w:val="555555"/>
          <w:sz w:val="24"/>
          <w:szCs w:val="24"/>
          <w:lang w:eastAsia="es-ES"/>
        </w:rPr>
        <w:t>Civitas</w:t>
      </w:r>
      <w:proofErr w:type="spellEnd"/>
    </w:p>
    <w:p w:rsidR="0004405A" w:rsidRPr="0004405A" w:rsidRDefault="0004405A" w:rsidP="0004405A">
      <w:pPr>
        <w:shd w:val="clear" w:color="auto" w:fill="FFFFFF"/>
        <w:spacing w:after="0" w:line="240" w:lineRule="auto"/>
        <w:rPr>
          <w:rFonts w:ascii="Arial" w:eastAsia="Times New Roman" w:hAnsi="Arial" w:cs="Arial"/>
          <w:color w:val="555555"/>
          <w:sz w:val="24"/>
          <w:szCs w:val="24"/>
          <w:lang w:eastAsia="es-ES"/>
        </w:rPr>
      </w:pPr>
      <w:r w:rsidRPr="0004405A">
        <w:rPr>
          <w:rFonts w:ascii="Arial" w:eastAsia="Times New Roman" w:hAnsi="Arial" w:cs="Arial"/>
          <w:b/>
          <w:bCs/>
          <w:color w:val="555555"/>
          <w:sz w:val="24"/>
          <w:szCs w:val="24"/>
          <w:lang w:eastAsia="es-ES"/>
        </w:rPr>
        <w:t>Número de Edición:</w:t>
      </w:r>
      <w:r w:rsidRPr="0004405A">
        <w:rPr>
          <w:rFonts w:ascii="Arial" w:eastAsia="Times New Roman" w:hAnsi="Arial" w:cs="Arial"/>
          <w:color w:val="555555"/>
          <w:sz w:val="24"/>
          <w:szCs w:val="24"/>
          <w:lang w:eastAsia="es-ES"/>
        </w:rPr>
        <w:t> 4</w:t>
      </w:r>
    </w:p>
    <w:p w:rsidR="0004405A" w:rsidRPr="0004405A" w:rsidRDefault="0004405A" w:rsidP="0004405A">
      <w:pPr>
        <w:shd w:val="clear" w:color="auto" w:fill="FFFFFF"/>
        <w:spacing w:after="0" w:line="240" w:lineRule="auto"/>
        <w:rPr>
          <w:rFonts w:ascii="Arial" w:eastAsia="Times New Roman" w:hAnsi="Arial" w:cs="Arial"/>
          <w:color w:val="555555"/>
          <w:sz w:val="24"/>
          <w:szCs w:val="24"/>
          <w:lang w:eastAsia="es-ES"/>
        </w:rPr>
      </w:pPr>
      <w:r w:rsidRPr="0004405A">
        <w:rPr>
          <w:rFonts w:ascii="Arial" w:eastAsia="Times New Roman" w:hAnsi="Arial" w:cs="Arial"/>
          <w:b/>
          <w:bCs/>
          <w:color w:val="555555"/>
          <w:sz w:val="24"/>
          <w:szCs w:val="24"/>
          <w:lang w:eastAsia="es-ES"/>
        </w:rPr>
        <w:t>Fecha de Edición:</w:t>
      </w:r>
      <w:r w:rsidRPr="0004405A">
        <w:rPr>
          <w:rFonts w:ascii="Arial" w:eastAsia="Times New Roman" w:hAnsi="Arial" w:cs="Arial"/>
          <w:color w:val="555555"/>
          <w:sz w:val="24"/>
          <w:szCs w:val="24"/>
          <w:lang w:eastAsia="es-ES"/>
        </w:rPr>
        <w:t> 06/10/2021</w:t>
      </w:r>
    </w:p>
    <w:p w:rsidR="0004405A" w:rsidRPr="0004405A" w:rsidRDefault="0004405A" w:rsidP="0004405A">
      <w:pPr>
        <w:shd w:val="clear" w:color="auto" w:fill="FFFFFF"/>
        <w:spacing w:after="0" w:line="240" w:lineRule="auto"/>
        <w:outlineLvl w:val="2"/>
        <w:rPr>
          <w:rFonts w:ascii="Arial" w:eastAsia="Times New Roman" w:hAnsi="Arial" w:cs="Arial"/>
          <w:b/>
          <w:bCs/>
          <w:color w:val="333333"/>
          <w:sz w:val="27"/>
          <w:szCs w:val="27"/>
          <w:lang w:eastAsia="es-ES"/>
        </w:rPr>
      </w:pPr>
      <w:r w:rsidRPr="0004405A">
        <w:rPr>
          <w:rFonts w:ascii="Arial" w:eastAsia="Times New Roman" w:hAnsi="Arial" w:cs="Arial"/>
          <w:b/>
          <w:bCs/>
          <w:color w:val="333333"/>
          <w:sz w:val="27"/>
          <w:szCs w:val="27"/>
          <w:lang w:eastAsia="es-ES"/>
        </w:rPr>
        <w:t>DÚO (</w:t>
      </w:r>
      <w:proofErr w:type="spellStart"/>
      <w:r w:rsidRPr="0004405A">
        <w:rPr>
          <w:rFonts w:ascii="Arial" w:eastAsia="Times New Roman" w:hAnsi="Arial" w:cs="Arial"/>
          <w:b/>
          <w:bCs/>
          <w:color w:val="333333"/>
          <w:sz w:val="27"/>
          <w:szCs w:val="27"/>
          <w:lang w:eastAsia="es-ES"/>
        </w:rPr>
        <w:t>Papel+eBook</w:t>
      </w:r>
      <w:proofErr w:type="spellEnd"/>
      <w:r w:rsidRPr="0004405A">
        <w:rPr>
          <w:rFonts w:ascii="Arial" w:eastAsia="Times New Roman" w:hAnsi="Arial" w:cs="Arial"/>
          <w:b/>
          <w:bCs/>
          <w:color w:val="333333"/>
          <w:sz w:val="27"/>
          <w:szCs w:val="27"/>
          <w:lang w:eastAsia="es-ES"/>
        </w:rPr>
        <w:t>)</w:t>
      </w:r>
    </w:p>
    <w:p w:rsidR="0004405A" w:rsidRPr="0004405A" w:rsidRDefault="0004405A" w:rsidP="0004405A">
      <w:pPr>
        <w:shd w:val="clear" w:color="auto" w:fill="FFFFFF"/>
        <w:spacing w:after="15" w:line="240" w:lineRule="auto"/>
        <w:jc w:val="right"/>
        <w:rPr>
          <w:rFonts w:ascii="Arial" w:eastAsia="Times New Roman" w:hAnsi="Arial" w:cs="Arial"/>
          <w:color w:val="555555"/>
          <w:sz w:val="24"/>
          <w:szCs w:val="24"/>
          <w:lang w:eastAsia="es-ES"/>
        </w:rPr>
      </w:pPr>
      <w:r w:rsidRPr="0004405A">
        <w:rPr>
          <w:rFonts w:ascii="Arial" w:eastAsia="Times New Roman" w:hAnsi="Arial" w:cs="Arial"/>
          <w:strike/>
          <w:color w:val="CCCCCC"/>
          <w:sz w:val="24"/>
          <w:szCs w:val="24"/>
          <w:lang w:eastAsia="es-ES"/>
        </w:rPr>
        <w:t>194,74 €</w:t>
      </w:r>
      <w:r w:rsidRPr="0004405A">
        <w:rPr>
          <w:rFonts w:ascii="Arial" w:eastAsia="Times New Roman" w:hAnsi="Arial" w:cs="Arial"/>
          <w:b/>
          <w:bCs/>
          <w:color w:val="FFFFFF"/>
          <w:sz w:val="24"/>
          <w:szCs w:val="24"/>
          <w:shd w:val="clear" w:color="auto" w:fill="DC0A0A"/>
          <w:lang w:eastAsia="es-ES"/>
        </w:rPr>
        <w:t>-5%</w:t>
      </w:r>
    </w:p>
    <w:p w:rsidR="0004405A" w:rsidRPr="0004405A" w:rsidRDefault="0004405A" w:rsidP="0004405A">
      <w:pPr>
        <w:shd w:val="clear" w:color="auto" w:fill="FFFFFF"/>
        <w:spacing w:line="240" w:lineRule="auto"/>
        <w:jc w:val="right"/>
        <w:rPr>
          <w:rFonts w:ascii="Arial" w:eastAsia="Times New Roman" w:hAnsi="Arial" w:cs="Arial"/>
          <w:color w:val="555555"/>
          <w:sz w:val="24"/>
          <w:szCs w:val="24"/>
          <w:lang w:eastAsia="es-ES"/>
        </w:rPr>
      </w:pPr>
      <w:r w:rsidRPr="0004405A">
        <w:rPr>
          <w:rFonts w:ascii="Arial" w:eastAsia="Times New Roman" w:hAnsi="Arial" w:cs="Arial"/>
          <w:b/>
          <w:bCs/>
          <w:color w:val="333333"/>
          <w:sz w:val="24"/>
          <w:szCs w:val="24"/>
          <w:lang w:eastAsia="es-ES"/>
        </w:rPr>
        <w:t>185,01 €</w:t>
      </w:r>
    </w:p>
    <w:p w:rsidR="0004405A" w:rsidRPr="0004405A" w:rsidRDefault="0004405A" w:rsidP="0004405A">
      <w:pPr>
        <w:shd w:val="clear" w:color="auto" w:fill="FFFFFF"/>
        <w:spacing w:after="216"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15"/>
          <w:szCs w:val="15"/>
          <w:lang w:eastAsia="es-ES"/>
        </w:rPr>
        <w:t>Precios con IVA INCLUIDO</w:t>
      </w:r>
    </w:p>
    <w:p w:rsidR="0004405A" w:rsidRPr="0004405A" w:rsidRDefault="0004405A" w:rsidP="0004405A">
      <w:pPr>
        <w:shd w:val="clear" w:color="auto" w:fill="FFFFFF"/>
        <w:spacing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RESÉRVALO AHORA</w:t>
      </w:r>
    </w:p>
    <w:p w:rsidR="0004405A" w:rsidRPr="0004405A" w:rsidRDefault="0004405A" w:rsidP="0004405A">
      <w:pPr>
        <w:shd w:val="clear" w:color="auto" w:fill="FFFFFF"/>
        <w:spacing w:after="0" w:line="240" w:lineRule="auto"/>
        <w:rPr>
          <w:rFonts w:ascii="Arial" w:eastAsia="Times New Roman" w:hAnsi="Arial" w:cs="Arial"/>
          <w:color w:val="555555"/>
          <w:sz w:val="24"/>
          <w:szCs w:val="24"/>
          <w:lang w:eastAsia="es-ES"/>
        </w:rPr>
      </w:pPr>
      <w:hyperlink r:id="rId8" w:history="1">
        <w:r w:rsidRPr="0004405A">
          <w:rPr>
            <w:rFonts w:ascii="Arial" w:eastAsia="Times New Roman" w:hAnsi="Arial" w:cs="Arial"/>
            <w:color w:val="FF8000"/>
            <w:sz w:val="24"/>
            <w:szCs w:val="24"/>
            <w:shd w:val="clear" w:color="auto" w:fill="FFFFFF"/>
            <w:lang w:eastAsia="es-ES"/>
          </w:rPr>
          <w:t>Mire Adentro</w:t>
        </w:r>
      </w:hyperlink>
    </w:p>
    <w:p w:rsidR="0004405A" w:rsidRPr="0004405A" w:rsidRDefault="0004405A" w:rsidP="0004405A">
      <w:pPr>
        <w:numPr>
          <w:ilvl w:val="0"/>
          <w:numId w:val="1"/>
        </w:numPr>
        <w:shd w:val="clear" w:color="auto" w:fill="FFFFFF"/>
        <w:spacing w:before="100" w:beforeAutospacing="1" w:after="100" w:afterAutospacing="1" w:line="240" w:lineRule="auto"/>
        <w:ind w:left="-450" w:right="-4500"/>
        <w:jc w:val="center"/>
        <w:rPr>
          <w:rFonts w:ascii="Arial" w:eastAsia="Times New Roman" w:hAnsi="Arial" w:cs="Arial"/>
          <w:color w:val="555555"/>
          <w:sz w:val="24"/>
          <w:szCs w:val="24"/>
          <w:lang w:eastAsia="es-ES"/>
        </w:rPr>
      </w:pPr>
      <w:r w:rsidRPr="0004405A">
        <w:rPr>
          <w:rFonts w:ascii="Arial" w:eastAsia="Times New Roman" w:hAnsi="Arial" w:cs="Arial"/>
          <w:noProof/>
          <w:color w:val="555555"/>
          <w:sz w:val="24"/>
          <w:szCs w:val="24"/>
          <w:lang w:eastAsia="es-ES"/>
        </w:rPr>
        <w:drawing>
          <wp:inline distT="0" distB="0" distL="0" distR="0">
            <wp:extent cx="1181100" cy="1666875"/>
            <wp:effectExtent l="0" t="0" r="0" b="9525"/>
            <wp:docPr id="1" name="Imagen 1" descr="gall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lery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1666875"/>
                    </a:xfrm>
                    <a:prstGeom prst="rect">
                      <a:avLst/>
                    </a:prstGeom>
                    <a:noFill/>
                    <a:ln>
                      <a:noFill/>
                    </a:ln>
                  </pic:spPr>
                </pic:pic>
              </a:graphicData>
            </a:graphic>
          </wp:inline>
        </w:drawing>
      </w:r>
    </w:p>
    <w:p w:rsidR="0004405A" w:rsidRPr="0004405A" w:rsidRDefault="0004405A" w:rsidP="0004405A">
      <w:pPr>
        <w:numPr>
          <w:ilvl w:val="0"/>
          <w:numId w:val="2"/>
        </w:numPr>
        <w:pBdr>
          <w:top w:val="single" w:sz="6" w:space="0" w:color="CCCCCC"/>
          <w:left w:val="single" w:sz="6" w:space="0" w:color="CCCCCC"/>
          <w:right w:val="single" w:sz="6" w:space="0" w:color="CCCCCC"/>
        </w:pBdr>
        <w:shd w:val="clear" w:color="auto" w:fill="FFFFFF"/>
        <w:spacing w:after="0" w:line="240" w:lineRule="auto"/>
        <w:ind w:left="495"/>
        <w:rPr>
          <w:rFonts w:ascii="Arial" w:eastAsia="Times New Roman" w:hAnsi="Arial" w:cs="Arial"/>
          <w:color w:val="555555"/>
          <w:sz w:val="18"/>
          <w:szCs w:val="18"/>
          <w:lang w:eastAsia="es-ES"/>
        </w:rPr>
      </w:pPr>
      <w:hyperlink r:id="rId10" w:anchor="tab-1" w:history="1">
        <w:r w:rsidRPr="0004405A">
          <w:rPr>
            <w:rFonts w:ascii="Arial" w:eastAsia="Times New Roman" w:hAnsi="Arial" w:cs="Arial"/>
            <w:color w:val="333333"/>
            <w:sz w:val="18"/>
            <w:szCs w:val="18"/>
            <w:u w:val="single"/>
            <w:shd w:val="clear" w:color="auto" w:fill="FFFFFF"/>
            <w:lang w:eastAsia="es-ES"/>
          </w:rPr>
          <w:t>PRESENTACIÓN</w:t>
        </w:r>
      </w:hyperlink>
    </w:p>
    <w:p w:rsidR="0004405A" w:rsidRPr="0004405A" w:rsidRDefault="0004405A" w:rsidP="0004405A">
      <w:pPr>
        <w:shd w:val="clear" w:color="auto" w:fill="FFFFFF"/>
        <w:spacing w:after="216"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SINOPSIS</w:t>
      </w:r>
    </w:p>
    <w:p w:rsidR="0004405A" w:rsidRPr="0004405A" w:rsidRDefault="0004405A" w:rsidP="0004405A">
      <w:pPr>
        <w:shd w:val="clear" w:color="auto" w:fill="FFFFFF"/>
        <w:spacing w:after="216"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Una edición rigurosa y adaptada a la refundición de 2020. Se adapta, incide y desmenuza la regulación referida a los créditos y su clasificación tras la sistematización que ha supuesto la refundición.</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La comunicación de créditos</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La naturaleza jurídica de la verificación de créditos</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 xml:space="preserve">La </w:t>
      </w:r>
      <w:proofErr w:type="spellStart"/>
      <w:r w:rsidRPr="0004405A">
        <w:rPr>
          <w:rFonts w:ascii="Arial" w:eastAsia="Times New Roman" w:hAnsi="Arial" w:cs="Arial"/>
          <w:color w:val="555555"/>
          <w:sz w:val="24"/>
          <w:szCs w:val="24"/>
          <w:lang w:eastAsia="es-ES"/>
        </w:rPr>
        <w:t>concursalidad</w:t>
      </w:r>
      <w:proofErr w:type="spellEnd"/>
      <w:r w:rsidRPr="0004405A">
        <w:rPr>
          <w:rFonts w:ascii="Arial" w:eastAsia="Times New Roman" w:hAnsi="Arial" w:cs="Arial"/>
          <w:color w:val="555555"/>
          <w:sz w:val="24"/>
          <w:szCs w:val="24"/>
          <w:lang w:eastAsia="es-ES"/>
        </w:rPr>
        <w:t xml:space="preserve"> de los acreedores. Inclusiones y exclusiones significativas</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La insinuación escrita de créditos. Sujetos, escrito de comunicación y los títulos justificativos de los créditos</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El reconocimiento de los créditos</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Supuestos especiales de reconocimiento</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lastRenderedPageBreak/>
        <w:t>La impugnación de créditos • Privilegios y casusas de preferencia negociales</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El crédito con privilegio</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El crédito subordinado</w:t>
      </w:r>
    </w:p>
    <w:p w:rsidR="0004405A" w:rsidRPr="0004405A" w:rsidRDefault="0004405A" w:rsidP="0004405A">
      <w:pPr>
        <w:numPr>
          <w:ilvl w:val="0"/>
          <w:numId w:val="3"/>
        </w:numPr>
        <w:shd w:val="clear" w:color="auto" w:fill="FFFFFF"/>
        <w:spacing w:before="100" w:beforeAutospacing="1" w:after="100" w:afterAutospacing="1" w:line="240" w:lineRule="auto"/>
        <w:ind w:left="495"/>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Crédito y convenio</w:t>
      </w:r>
    </w:p>
    <w:p w:rsidR="0004405A" w:rsidRPr="0004405A" w:rsidRDefault="0004405A" w:rsidP="0004405A">
      <w:pPr>
        <w:shd w:val="clear" w:color="auto" w:fill="FFFFFF"/>
        <w:spacing w:after="216"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 </w:t>
      </w:r>
    </w:p>
    <w:p w:rsidR="0004405A" w:rsidRPr="0004405A" w:rsidRDefault="0004405A" w:rsidP="0004405A">
      <w:pPr>
        <w:shd w:val="clear" w:color="auto" w:fill="FFFFFF"/>
        <w:spacing w:after="216" w:line="240" w:lineRule="auto"/>
        <w:rPr>
          <w:rFonts w:ascii="Arial" w:eastAsia="Times New Roman" w:hAnsi="Arial" w:cs="Arial"/>
          <w:color w:val="555555"/>
          <w:sz w:val="24"/>
          <w:szCs w:val="24"/>
          <w:lang w:eastAsia="es-ES"/>
        </w:rPr>
      </w:pPr>
      <w:r w:rsidRPr="0004405A">
        <w:rPr>
          <w:rFonts w:ascii="Arial" w:eastAsia="Times New Roman" w:hAnsi="Arial" w:cs="Arial"/>
          <w:color w:val="555555"/>
          <w:sz w:val="24"/>
          <w:szCs w:val="24"/>
          <w:lang w:eastAsia="es-ES"/>
        </w:rPr>
        <w:t>Abel B. Veiga Copo es Profesor Ordinario de Derecho Mercantil de la Universidad Pontificia Comillas de Madrid Destinado a abogados, economistas, jueces, auditores, administradores concursales y académicos.</w:t>
      </w:r>
    </w:p>
    <w:p w:rsidR="0004405A" w:rsidRPr="0004405A" w:rsidRDefault="0004405A" w:rsidP="0004405A">
      <w:pPr>
        <w:shd w:val="clear" w:color="auto" w:fill="FFFFFF"/>
        <w:spacing w:line="240" w:lineRule="auto"/>
        <w:rPr>
          <w:rFonts w:ascii="Arial" w:eastAsia="Times New Roman" w:hAnsi="Arial" w:cs="Arial"/>
          <w:color w:val="555555"/>
          <w:sz w:val="24"/>
          <w:szCs w:val="24"/>
          <w:lang w:eastAsia="es-ES"/>
        </w:rPr>
      </w:pPr>
      <w:r w:rsidRPr="0004405A">
        <w:rPr>
          <w:rFonts w:ascii="Arial" w:eastAsia="Times New Roman" w:hAnsi="Arial" w:cs="Arial"/>
          <w:b/>
          <w:bCs/>
          <w:color w:val="555555"/>
          <w:sz w:val="24"/>
          <w:szCs w:val="24"/>
          <w:lang w:eastAsia="es-ES"/>
        </w:rPr>
        <w:t>Extracto</w:t>
      </w:r>
      <w:r w:rsidRPr="0004405A">
        <w:rPr>
          <w:rFonts w:ascii="Arial" w:eastAsia="Times New Roman" w:hAnsi="Arial" w:cs="Arial"/>
          <w:color w:val="555555"/>
          <w:sz w:val="24"/>
          <w:szCs w:val="24"/>
          <w:lang w:eastAsia="es-ES"/>
        </w:rPr>
        <w:t xml:space="preserve">: La refundición de la norma concursal con ese cometido armonizador </w:t>
      </w:r>
      <w:proofErr w:type="gramStart"/>
      <w:r w:rsidRPr="0004405A">
        <w:rPr>
          <w:rFonts w:ascii="Arial" w:eastAsia="Times New Roman" w:hAnsi="Arial" w:cs="Arial"/>
          <w:color w:val="555555"/>
          <w:sz w:val="24"/>
          <w:szCs w:val="24"/>
          <w:lang w:eastAsia="es-ES"/>
        </w:rPr>
        <w:t>y</w:t>
      </w:r>
      <w:proofErr w:type="gramEnd"/>
      <w:r w:rsidRPr="0004405A">
        <w:rPr>
          <w:rFonts w:ascii="Arial" w:eastAsia="Times New Roman" w:hAnsi="Arial" w:cs="Arial"/>
          <w:color w:val="555555"/>
          <w:sz w:val="24"/>
          <w:szCs w:val="24"/>
          <w:lang w:eastAsia="es-ES"/>
        </w:rPr>
        <w:t xml:space="preserve"> sobre todo, aclaratorio y </w:t>
      </w:r>
      <w:proofErr w:type="spellStart"/>
      <w:r w:rsidRPr="0004405A">
        <w:rPr>
          <w:rFonts w:ascii="Arial" w:eastAsia="Times New Roman" w:hAnsi="Arial" w:cs="Arial"/>
          <w:color w:val="555555"/>
          <w:sz w:val="24"/>
          <w:szCs w:val="24"/>
          <w:lang w:eastAsia="es-ES"/>
        </w:rPr>
        <w:t>sistematizador</w:t>
      </w:r>
      <w:proofErr w:type="spellEnd"/>
      <w:r w:rsidRPr="0004405A">
        <w:rPr>
          <w:rFonts w:ascii="Arial" w:eastAsia="Times New Roman" w:hAnsi="Arial" w:cs="Arial"/>
          <w:color w:val="555555"/>
          <w:sz w:val="24"/>
          <w:szCs w:val="24"/>
          <w:lang w:eastAsia="es-ES"/>
        </w:rPr>
        <w:t xml:space="preserve"> ha ido en no pocos ámbitos más allá de lo previsto y quizá, permitido. Dejemos ahora al margen lo que fue, lo que pudo ser y centrémonos en lo que es. Un es, sin duda, efímero al máximo. La transposición de la Directiva de 2019 sobre reestructuración llama ya a la puerta. Una puerta que supone un nuevo texto concursal, diametralmente opuesto y sobre basamentos muy dispares a las premisas del refundido en mayo de 2020. Así se legisla. Así legislamos. No entremos a valorar ni a medir porque lo parámetros de esta mensurabilidad no serían quizá absolutamente objetivos. Una norma descomunal en su extensión y que, curiosamente, parece en no pocas áreas discurrir o fluir si se nos permite por cauces bien distintos a lo que hoy es la realidad práctica. Lo que viene, el futuro texto concursal que en julio ha sido presentado ya un anteproyecto, revolucionará y cambiará aún más este marco. Tiempo al tiempo, mientras “La masa pasiva del concurso de acreedores” alcanza su cuarta edición. Hemos querido entrelazar lo nuevo con lo viejo, adaptando, suprimiendo, creando ex </w:t>
      </w:r>
      <w:proofErr w:type="spellStart"/>
      <w:r w:rsidRPr="0004405A">
        <w:rPr>
          <w:rFonts w:ascii="Arial" w:eastAsia="Times New Roman" w:hAnsi="Arial" w:cs="Arial"/>
          <w:color w:val="555555"/>
          <w:sz w:val="24"/>
          <w:szCs w:val="24"/>
          <w:lang w:eastAsia="es-ES"/>
        </w:rPr>
        <w:t>novo</w:t>
      </w:r>
      <w:proofErr w:type="spellEnd"/>
      <w:r w:rsidRPr="0004405A">
        <w:rPr>
          <w:rFonts w:ascii="Arial" w:eastAsia="Times New Roman" w:hAnsi="Arial" w:cs="Arial"/>
          <w:color w:val="555555"/>
          <w:sz w:val="24"/>
          <w:szCs w:val="24"/>
          <w:lang w:eastAsia="es-ES"/>
        </w:rPr>
        <w:t xml:space="preserve">, pero sin perder el poso de la historia de la masa pasiva desde 2003 y desde la primera edición de esta obra. Hemos resaltado lo nuevo, destacado los cambios y lo hemos hecho desde una amable convivencia entre tan diferentes odres y una colosal y exuberante jurisprudencia que, sin duda, ha ido aquilatando, corrigiendo, abriendo y ensanchando horizontes a una doctrina cada vez más numerosa pero que en 2003 no lo era tanto. El interés por el derecho de insolvencia ha sido increíble, como antes lo fue por el gobierno corporativo y ahora lo es por la inteligencia artificial y el derecho. Pero más allá de modas y modismos del estudio y del lenguaje, la riqueza y la pluralidad vertical y transversal del derecho concursal es, simplemente, absoluta, la cuadratura de un círculo oscilante y vibrante en todo momento y que ha de adaptarse a la realidad económica y social como de hecho ha supuesto toda la regulación de emergencia con el impacto del Covid-19. Somos conscientes </w:t>
      </w:r>
      <w:proofErr w:type="gramStart"/>
      <w:r w:rsidRPr="0004405A">
        <w:rPr>
          <w:rFonts w:ascii="Arial" w:eastAsia="Times New Roman" w:hAnsi="Arial" w:cs="Arial"/>
          <w:color w:val="555555"/>
          <w:sz w:val="24"/>
          <w:szCs w:val="24"/>
          <w:lang w:eastAsia="es-ES"/>
        </w:rPr>
        <w:t>que</w:t>
      </w:r>
      <w:proofErr w:type="gramEnd"/>
      <w:r w:rsidRPr="0004405A">
        <w:rPr>
          <w:rFonts w:ascii="Arial" w:eastAsia="Times New Roman" w:hAnsi="Arial" w:cs="Arial"/>
          <w:color w:val="555555"/>
          <w:sz w:val="24"/>
          <w:szCs w:val="24"/>
          <w:lang w:eastAsia="es-ES"/>
        </w:rPr>
        <w:t xml:space="preserve"> en el ámbito de masa pasiva y acreedores, esencia de la tutela conflictual del crédito, los cambios son, en verdad, menores. Controlables. Lo que no ha impedido la incursión valiente en algunos ámbitos y no tan valiente en otros, prefiriendo el legislador recostarse en el lado del conservadurismo. El debate está servido. Poniendo hoy, quizá como panacea de un tiempo mejor, el cuestionamiento del crédito </w:t>
      </w:r>
      <w:proofErr w:type="gramStart"/>
      <w:r w:rsidRPr="0004405A">
        <w:rPr>
          <w:rFonts w:ascii="Arial" w:eastAsia="Times New Roman" w:hAnsi="Arial" w:cs="Arial"/>
          <w:color w:val="555555"/>
          <w:sz w:val="24"/>
          <w:szCs w:val="24"/>
          <w:lang w:eastAsia="es-ES"/>
        </w:rPr>
        <w:t>público</w:t>
      </w:r>
      <w:proofErr w:type="gramEnd"/>
      <w:r w:rsidRPr="0004405A">
        <w:rPr>
          <w:rFonts w:ascii="Arial" w:eastAsia="Times New Roman" w:hAnsi="Arial" w:cs="Arial"/>
          <w:color w:val="555555"/>
          <w:sz w:val="24"/>
          <w:szCs w:val="24"/>
          <w:lang w:eastAsia="es-ES"/>
        </w:rPr>
        <w:t xml:space="preserve"> pero sin cuestionar el privilegio de lo privado o particular y el exceso de causas de preferencia tanto negociales como legales. Se ha suavizado el rigorismo de la subordinación en algunos extremos como ha sido el caso de la financiación por ejemplo de las sociedades por parte de socios, etc. Hemos recorrido el </w:t>
      </w:r>
      <w:proofErr w:type="spellStart"/>
      <w:r w:rsidRPr="0004405A">
        <w:rPr>
          <w:rFonts w:ascii="Arial" w:eastAsia="Times New Roman" w:hAnsi="Arial" w:cs="Arial"/>
          <w:color w:val="555555"/>
          <w:sz w:val="24"/>
          <w:szCs w:val="24"/>
          <w:lang w:eastAsia="es-ES"/>
        </w:rPr>
        <w:t>hilazón</w:t>
      </w:r>
      <w:proofErr w:type="spellEnd"/>
      <w:r w:rsidRPr="0004405A">
        <w:rPr>
          <w:rFonts w:ascii="Arial" w:eastAsia="Times New Roman" w:hAnsi="Arial" w:cs="Arial"/>
          <w:color w:val="555555"/>
          <w:sz w:val="24"/>
          <w:szCs w:val="24"/>
          <w:lang w:eastAsia="es-ES"/>
        </w:rPr>
        <w:t xml:space="preserve"> nervial y esencial que es y significa la masa </w:t>
      </w:r>
      <w:r w:rsidRPr="0004405A">
        <w:rPr>
          <w:rFonts w:ascii="Arial" w:eastAsia="Times New Roman" w:hAnsi="Arial" w:cs="Arial"/>
          <w:color w:val="555555"/>
          <w:sz w:val="24"/>
          <w:szCs w:val="24"/>
          <w:lang w:eastAsia="es-ES"/>
        </w:rPr>
        <w:lastRenderedPageBreak/>
        <w:t>pasiva. Lo hemos hecho con suma crítica, a veces, excesiva e incluso manteniendo viejos postulados hoy sin duda más aislados del manantial conformista y aquiescente con el derecho positivo. Pero no cejamos en el empeño de cuestionar, proponer y criticar constructivamente eso sí, siempre y en todo caso.</w:t>
      </w:r>
    </w:p>
    <w:p w:rsidR="00C84EA9" w:rsidRDefault="0004405A">
      <w:bookmarkStart w:id="0" w:name="_GoBack"/>
      <w:bookmarkEnd w:id="0"/>
    </w:p>
    <w:sectPr w:rsidR="00C84E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A1611"/>
    <w:multiLevelType w:val="multilevel"/>
    <w:tmpl w:val="88E8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1D24C2"/>
    <w:multiLevelType w:val="multilevel"/>
    <w:tmpl w:val="ACC2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FC5169"/>
    <w:multiLevelType w:val="multilevel"/>
    <w:tmpl w:val="D0C4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05A"/>
    <w:rsid w:val="0004405A"/>
    <w:rsid w:val="00510A2D"/>
    <w:rsid w:val="00935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3C3496-358A-4D99-BA0C-415E89E76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0440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04405A"/>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04405A"/>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405A"/>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04405A"/>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04405A"/>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04405A"/>
    <w:rPr>
      <w:color w:val="0000FF"/>
      <w:u w:val="single"/>
    </w:rPr>
  </w:style>
  <w:style w:type="character" w:customStyle="1" w:styleId="label">
    <w:name w:val="label"/>
    <w:basedOn w:val="Fuentedeprrafopredeter"/>
    <w:rsid w:val="0004405A"/>
  </w:style>
  <w:style w:type="character" w:customStyle="1" w:styleId="price-integer">
    <w:name w:val="price-integer"/>
    <w:basedOn w:val="Fuentedeprrafopredeter"/>
    <w:rsid w:val="0004405A"/>
  </w:style>
  <w:style w:type="character" w:customStyle="1" w:styleId="sales-tag">
    <w:name w:val="sales-tag"/>
    <w:basedOn w:val="Fuentedeprrafopredeter"/>
    <w:rsid w:val="0004405A"/>
  </w:style>
  <w:style w:type="paragraph" w:styleId="NormalWeb">
    <w:name w:val="Normal (Web)"/>
    <w:basedOn w:val="Normal"/>
    <w:uiPriority w:val="99"/>
    <w:semiHidden/>
    <w:unhideWhenUsed/>
    <w:rsid w:val="000440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look-inside">
    <w:name w:val="look-inside"/>
    <w:basedOn w:val="Fuentedeprrafopredeter"/>
    <w:rsid w:val="0004405A"/>
  </w:style>
  <w:style w:type="paragraph" w:customStyle="1" w:styleId="fichatituloparrafo">
    <w:name w:val="“ficha_titulo_parrafo”"/>
    <w:basedOn w:val="Normal"/>
    <w:rsid w:val="000440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ichatexto">
    <w:name w:val="“ficha_texto”"/>
    <w:basedOn w:val="Normal"/>
    <w:rsid w:val="000440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0440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176168">
      <w:bodyDiv w:val="1"/>
      <w:marLeft w:val="0"/>
      <w:marRight w:val="0"/>
      <w:marTop w:val="0"/>
      <w:marBottom w:val="0"/>
      <w:divBdr>
        <w:top w:val="none" w:sz="0" w:space="0" w:color="auto"/>
        <w:left w:val="none" w:sz="0" w:space="0" w:color="auto"/>
        <w:bottom w:val="none" w:sz="0" w:space="0" w:color="auto"/>
        <w:right w:val="none" w:sz="0" w:space="0" w:color="auto"/>
      </w:divBdr>
      <w:divsChild>
        <w:div w:id="97220698">
          <w:marLeft w:val="0"/>
          <w:marRight w:val="0"/>
          <w:marTop w:val="0"/>
          <w:marBottom w:val="0"/>
          <w:divBdr>
            <w:top w:val="none" w:sz="0" w:space="0" w:color="auto"/>
            <w:left w:val="none" w:sz="0" w:space="0" w:color="auto"/>
            <w:bottom w:val="none" w:sz="0" w:space="0" w:color="auto"/>
            <w:right w:val="none" w:sz="0" w:space="0" w:color="auto"/>
          </w:divBdr>
        </w:div>
        <w:div w:id="823275423">
          <w:marLeft w:val="-225"/>
          <w:marRight w:val="-225"/>
          <w:marTop w:val="0"/>
          <w:marBottom w:val="0"/>
          <w:divBdr>
            <w:top w:val="none" w:sz="0" w:space="0" w:color="auto"/>
            <w:left w:val="none" w:sz="0" w:space="0" w:color="auto"/>
            <w:bottom w:val="none" w:sz="0" w:space="0" w:color="auto"/>
            <w:right w:val="none" w:sz="0" w:space="0" w:color="auto"/>
          </w:divBdr>
          <w:divsChild>
            <w:div w:id="404692151">
              <w:marLeft w:val="0"/>
              <w:marRight w:val="0"/>
              <w:marTop w:val="0"/>
              <w:marBottom w:val="0"/>
              <w:divBdr>
                <w:top w:val="none" w:sz="0" w:space="0" w:color="auto"/>
                <w:left w:val="none" w:sz="0" w:space="0" w:color="auto"/>
                <w:bottom w:val="none" w:sz="0" w:space="0" w:color="auto"/>
                <w:right w:val="none" w:sz="0" w:space="0" w:color="auto"/>
              </w:divBdr>
              <w:divsChild>
                <w:div w:id="1185364522">
                  <w:marLeft w:val="-225"/>
                  <w:marRight w:val="-225"/>
                  <w:marTop w:val="0"/>
                  <w:marBottom w:val="0"/>
                  <w:divBdr>
                    <w:top w:val="none" w:sz="0" w:space="0" w:color="auto"/>
                    <w:left w:val="none" w:sz="0" w:space="0" w:color="auto"/>
                    <w:bottom w:val="none" w:sz="0" w:space="0" w:color="auto"/>
                    <w:right w:val="none" w:sz="0" w:space="0" w:color="auto"/>
                  </w:divBdr>
                  <w:divsChild>
                    <w:div w:id="113910221">
                      <w:marLeft w:val="0"/>
                      <w:marRight w:val="0"/>
                      <w:marTop w:val="0"/>
                      <w:marBottom w:val="0"/>
                      <w:divBdr>
                        <w:top w:val="none" w:sz="0" w:space="0" w:color="auto"/>
                        <w:left w:val="none" w:sz="0" w:space="0" w:color="auto"/>
                        <w:bottom w:val="none" w:sz="0" w:space="0" w:color="auto"/>
                        <w:right w:val="none" w:sz="0" w:space="0" w:color="auto"/>
                      </w:divBdr>
                      <w:divsChild>
                        <w:div w:id="1413353376">
                          <w:marLeft w:val="0"/>
                          <w:marRight w:val="0"/>
                          <w:marTop w:val="0"/>
                          <w:marBottom w:val="0"/>
                          <w:divBdr>
                            <w:top w:val="none" w:sz="0" w:space="0" w:color="auto"/>
                            <w:left w:val="none" w:sz="0" w:space="0" w:color="auto"/>
                            <w:bottom w:val="none" w:sz="0" w:space="0" w:color="auto"/>
                            <w:right w:val="none" w:sz="0" w:space="0" w:color="auto"/>
                          </w:divBdr>
                          <w:divsChild>
                            <w:div w:id="1187794976">
                              <w:marLeft w:val="0"/>
                              <w:marRight w:val="0"/>
                              <w:marTop w:val="0"/>
                              <w:marBottom w:val="0"/>
                              <w:divBdr>
                                <w:top w:val="none" w:sz="0" w:space="0" w:color="auto"/>
                                <w:left w:val="none" w:sz="0" w:space="0" w:color="auto"/>
                                <w:bottom w:val="none" w:sz="0" w:space="0" w:color="auto"/>
                                <w:right w:val="none" w:sz="0" w:space="0" w:color="auto"/>
                              </w:divBdr>
                            </w:div>
                            <w:div w:id="1603564414">
                              <w:marLeft w:val="0"/>
                              <w:marRight w:val="0"/>
                              <w:marTop w:val="0"/>
                              <w:marBottom w:val="0"/>
                              <w:divBdr>
                                <w:top w:val="none" w:sz="0" w:space="0" w:color="auto"/>
                                <w:left w:val="none" w:sz="0" w:space="0" w:color="auto"/>
                                <w:bottom w:val="none" w:sz="0" w:space="0" w:color="auto"/>
                                <w:right w:val="none" w:sz="0" w:space="0" w:color="auto"/>
                              </w:divBdr>
                              <w:divsChild>
                                <w:div w:id="204757491">
                                  <w:marLeft w:val="0"/>
                                  <w:marRight w:val="0"/>
                                  <w:marTop w:val="0"/>
                                  <w:marBottom w:val="0"/>
                                  <w:divBdr>
                                    <w:top w:val="none" w:sz="0" w:space="0" w:color="auto"/>
                                    <w:left w:val="none" w:sz="0" w:space="0" w:color="auto"/>
                                    <w:bottom w:val="none" w:sz="0" w:space="0" w:color="auto"/>
                                    <w:right w:val="none" w:sz="0" w:space="0" w:color="auto"/>
                                  </w:divBdr>
                                  <w:divsChild>
                                    <w:div w:id="1033963564">
                                      <w:marLeft w:val="0"/>
                                      <w:marRight w:val="0"/>
                                      <w:marTop w:val="0"/>
                                      <w:marBottom w:val="0"/>
                                      <w:divBdr>
                                        <w:top w:val="none" w:sz="0" w:space="0" w:color="auto"/>
                                        <w:left w:val="none" w:sz="0" w:space="0" w:color="auto"/>
                                        <w:bottom w:val="none" w:sz="0" w:space="0" w:color="auto"/>
                                        <w:right w:val="none" w:sz="0" w:space="0" w:color="auto"/>
                                      </w:divBdr>
                                      <w:divsChild>
                                        <w:div w:id="199518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365908">
                              <w:marLeft w:val="0"/>
                              <w:marRight w:val="0"/>
                              <w:marTop w:val="0"/>
                              <w:marBottom w:val="0"/>
                              <w:divBdr>
                                <w:top w:val="none" w:sz="0" w:space="0" w:color="auto"/>
                                <w:left w:val="none" w:sz="0" w:space="0" w:color="auto"/>
                                <w:bottom w:val="none" w:sz="0" w:space="0" w:color="auto"/>
                                <w:right w:val="none" w:sz="0" w:space="0" w:color="auto"/>
                              </w:divBdr>
                              <w:divsChild>
                                <w:div w:id="1678463633">
                                  <w:marLeft w:val="0"/>
                                  <w:marRight w:val="0"/>
                                  <w:marTop w:val="0"/>
                                  <w:marBottom w:val="0"/>
                                  <w:divBdr>
                                    <w:top w:val="none" w:sz="0" w:space="0" w:color="auto"/>
                                    <w:left w:val="none" w:sz="0" w:space="0" w:color="auto"/>
                                    <w:bottom w:val="none" w:sz="0" w:space="0" w:color="auto"/>
                                    <w:right w:val="none" w:sz="0" w:space="0" w:color="auto"/>
                                  </w:divBdr>
                                </w:div>
                                <w:div w:id="748432091">
                                  <w:marLeft w:val="0"/>
                                  <w:marRight w:val="0"/>
                                  <w:marTop w:val="0"/>
                                  <w:marBottom w:val="0"/>
                                  <w:divBdr>
                                    <w:top w:val="none" w:sz="0" w:space="0" w:color="auto"/>
                                    <w:left w:val="none" w:sz="0" w:space="0" w:color="auto"/>
                                    <w:bottom w:val="none" w:sz="0" w:space="0" w:color="auto"/>
                                    <w:right w:val="none" w:sz="0" w:space="0" w:color="auto"/>
                                  </w:divBdr>
                                </w:div>
                                <w:div w:id="527644472">
                                  <w:marLeft w:val="0"/>
                                  <w:marRight w:val="0"/>
                                  <w:marTop w:val="0"/>
                                  <w:marBottom w:val="0"/>
                                  <w:divBdr>
                                    <w:top w:val="none" w:sz="0" w:space="0" w:color="auto"/>
                                    <w:left w:val="none" w:sz="0" w:space="0" w:color="auto"/>
                                    <w:bottom w:val="none" w:sz="0" w:space="0" w:color="auto"/>
                                    <w:right w:val="none" w:sz="0" w:space="0" w:color="auto"/>
                                  </w:divBdr>
                                </w:div>
                                <w:div w:id="69038743">
                                  <w:marLeft w:val="0"/>
                                  <w:marRight w:val="0"/>
                                  <w:marTop w:val="0"/>
                                  <w:marBottom w:val="0"/>
                                  <w:divBdr>
                                    <w:top w:val="none" w:sz="0" w:space="0" w:color="auto"/>
                                    <w:left w:val="none" w:sz="0" w:space="0" w:color="auto"/>
                                    <w:bottom w:val="none" w:sz="0" w:space="0" w:color="auto"/>
                                    <w:right w:val="none" w:sz="0" w:space="0" w:color="auto"/>
                                  </w:divBdr>
                                </w:div>
                              </w:divsChild>
                            </w:div>
                            <w:div w:id="1258708744">
                              <w:marLeft w:val="0"/>
                              <w:marRight w:val="0"/>
                              <w:marTop w:val="0"/>
                              <w:marBottom w:val="600"/>
                              <w:divBdr>
                                <w:top w:val="none" w:sz="0" w:space="0" w:color="auto"/>
                                <w:left w:val="none" w:sz="0" w:space="0" w:color="auto"/>
                                <w:bottom w:val="none" w:sz="0" w:space="0" w:color="auto"/>
                                <w:right w:val="none" w:sz="0" w:space="0" w:color="auto"/>
                              </w:divBdr>
                              <w:divsChild>
                                <w:div w:id="1623808422">
                                  <w:marLeft w:val="0"/>
                                  <w:marRight w:val="0"/>
                                  <w:marTop w:val="0"/>
                                  <w:marBottom w:val="0"/>
                                  <w:divBdr>
                                    <w:top w:val="single" w:sz="12" w:space="11" w:color="E9E9E9"/>
                                    <w:left w:val="none" w:sz="0" w:space="0" w:color="auto"/>
                                    <w:bottom w:val="none" w:sz="0" w:space="0" w:color="auto"/>
                                    <w:right w:val="none" w:sz="0" w:space="0" w:color="auto"/>
                                  </w:divBdr>
                                  <w:divsChild>
                                    <w:div w:id="255601466">
                                      <w:marLeft w:val="-225"/>
                                      <w:marRight w:val="-225"/>
                                      <w:marTop w:val="0"/>
                                      <w:marBottom w:val="0"/>
                                      <w:divBdr>
                                        <w:top w:val="none" w:sz="0" w:space="0" w:color="auto"/>
                                        <w:left w:val="none" w:sz="0" w:space="0" w:color="auto"/>
                                        <w:bottom w:val="none" w:sz="0" w:space="0" w:color="auto"/>
                                        <w:right w:val="none" w:sz="0" w:space="0" w:color="auto"/>
                                      </w:divBdr>
                                      <w:divsChild>
                                        <w:div w:id="1290091431">
                                          <w:marLeft w:val="0"/>
                                          <w:marRight w:val="0"/>
                                          <w:marTop w:val="0"/>
                                          <w:marBottom w:val="0"/>
                                          <w:divBdr>
                                            <w:top w:val="none" w:sz="0" w:space="0" w:color="auto"/>
                                            <w:left w:val="none" w:sz="0" w:space="0" w:color="auto"/>
                                            <w:bottom w:val="none" w:sz="0" w:space="0" w:color="auto"/>
                                            <w:right w:val="none" w:sz="0" w:space="0" w:color="auto"/>
                                          </w:divBdr>
                                        </w:div>
                                        <w:div w:id="1293944756">
                                          <w:marLeft w:val="0"/>
                                          <w:marRight w:val="0"/>
                                          <w:marTop w:val="0"/>
                                          <w:marBottom w:val="0"/>
                                          <w:divBdr>
                                            <w:top w:val="none" w:sz="0" w:space="0" w:color="auto"/>
                                            <w:left w:val="none" w:sz="0" w:space="0" w:color="auto"/>
                                            <w:bottom w:val="none" w:sz="0" w:space="0" w:color="auto"/>
                                            <w:right w:val="none" w:sz="0" w:space="0" w:color="auto"/>
                                          </w:divBdr>
                                          <w:divsChild>
                                            <w:div w:id="290526125">
                                              <w:marLeft w:val="0"/>
                                              <w:marRight w:val="1050"/>
                                              <w:marTop w:val="0"/>
                                              <w:marBottom w:val="210"/>
                                              <w:divBdr>
                                                <w:top w:val="none" w:sz="0" w:space="0" w:color="auto"/>
                                                <w:left w:val="none" w:sz="0" w:space="0" w:color="auto"/>
                                                <w:bottom w:val="none" w:sz="0" w:space="0" w:color="auto"/>
                                                <w:right w:val="none" w:sz="0" w:space="0" w:color="auto"/>
                                              </w:divBdr>
                                              <w:divsChild>
                                                <w:div w:id="145128537">
                                                  <w:marLeft w:val="0"/>
                                                  <w:marRight w:val="0"/>
                                                  <w:marTop w:val="0"/>
                                                  <w:marBottom w:val="15"/>
                                                  <w:divBdr>
                                                    <w:top w:val="none" w:sz="0" w:space="0" w:color="auto"/>
                                                    <w:left w:val="none" w:sz="0" w:space="0" w:color="auto"/>
                                                    <w:bottom w:val="none" w:sz="0" w:space="0" w:color="auto"/>
                                                    <w:right w:val="none" w:sz="0" w:space="0" w:color="auto"/>
                                                  </w:divBdr>
                                                </w:div>
                                              </w:divsChild>
                                            </w:div>
                                            <w:div w:id="18123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844618">
                      <w:marLeft w:val="0"/>
                      <w:marRight w:val="0"/>
                      <w:marTop w:val="0"/>
                      <w:marBottom w:val="0"/>
                      <w:divBdr>
                        <w:top w:val="none" w:sz="0" w:space="0" w:color="auto"/>
                        <w:left w:val="none" w:sz="0" w:space="0" w:color="auto"/>
                        <w:bottom w:val="none" w:sz="0" w:space="0" w:color="auto"/>
                        <w:right w:val="none" w:sz="0" w:space="0" w:color="auto"/>
                      </w:divBdr>
                      <w:divsChild>
                        <w:div w:id="1799714061">
                          <w:marLeft w:val="0"/>
                          <w:marRight w:val="0"/>
                          <w:marTop w:val="0"/>
                          <w:marBottom w:val="0"/>
                          <w:divBdr>
                            <w:top w:val="none" w:sz="0" w:space="0" w:color="auto"/>
                            <w:left w:val="none" w:sz="0" w:space="0" w:color="auto"/>
                            <w:bottom w:val="none" w:sz="0" w:space="0" w:color="auto"/>
                            <w:right w:val="none" w:sz="0" w:space="0" w:color="auto"/>
                          </w:divBdr>
                          <w:divsChild>
                            <w:div w:id="1273780670">
                              <w:marLeft w:val="0"/>
                              <w:marRight w:val="0"/>
                              <w:marTop w:val="0"/>
                              <w:marBottom w:val="450"/>
                              <w:divBdr>
                                <w:top w:val="none" w:sz="0" w:space="0" w:color="auto"/>
                                <w:left w:val="none" w:sz="0" w:space="0" w:color="auto"/>
                                <w:bottom w:val="none" w:sz="0" w:space="0" w:color="auto"/>
                                <w:right w:val="none" w:sz="0" w:space="0" w:color="auto"/>
                              </w:divBdr>
                              <w:divsChild>
                                <w:div w:id="1251082357">
                                  <w:marLeft w:val="0"/>
                                  <w:marRight w:val="0"/>
                                  <w:marTop w:val="0"/>
                                  <w:marBottom w:val="0"/>
                                  <w:divBdr>
                                    <w:top w:val="none" w:sz="0" w:space="0" w:color="auto"/>
                                    <w:left w:val="none" w:sz="0" w:space="0" w:color="auto"/>
                                    <w:bottom w:val="none" w:sz="0" w:space="0" w:color="auto"/>
                                    <w:right w:val="none" w:sz="0" w:space="0" w:color="auto"/>
                                  </w:divBdr>
                                </w:div>
                                <w:div w:id="1655795702">
                                  <w:marLeft w:val="0"/>
                                  <w:marRight w:val="0"/>
                                  <w:marTop w:val="0"/>
                                  <w:marBottom w:val="0"/>
                                  <w:divBdr>
                                    <w:top w:val="none" w:sz="0" w:space="0" w:color="auto"/>
                                    <w:left w:val="none" w:sz="0" w:space="0" w:color="auto"/>
                                    <w:bottom w:val="none" w:sz="0" w:space="0" w:color="auto"/>
                                    <w:right w:val="none" w:sz="0" w:space="0" w:color="auto"/>
                                  </w:divBdr>
                                  <w:divsChild>
                                    <w:div w:id="175049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307448">
                  <w:marLeft w:val="0"/>
                  <w:marRight w:val="0"/>
                  <w:marTop w:val="0"/>
                  <w:marBottom w:val="0"/>
                  <w:divBdr>
                    <w:top w:val="none" w:sz="0" w:space="0" w:color="auto"/>
                    <w:left w:val="none" w:sz="0" w:space="0" w:color="auto"/>
                    <w:bottom w:val="none" w:sz="0" w:space="0" w:color="auto"/>
                    <w:right w:val="none" w:sz="0" w:space="0" w:color="auto"/>
                  </w:divBdr>
                  <w:divsChild>
                    <w:div w:id="1917978362">
                      <w:marLeft w:val="0"/>
                      <w:marRight w:val="0"/>
                      <w:marTop w:val="0"/>
                      <w:marBottom w:val="900"/>
                      <w:divBdr>
                        <w:top w:val="none" w:sz="0" w:space="0" w:color="auto"/>
                        <w:left w:val="none" w:sz="0" w:space="0" w:color="auto"/>
                        <w:bottom w:val="none" w:sz="0" w:space="0" w:color="auto"/>
                        <w:right w:val="none" w:sz="0" w:space="0" w:color="auto"/>
                      </w:divBdr>
                      <w:divsChild>
                        <w:div w:id="156506330">
                          <w:marLeft w:val="0"/>
                          <w:marRight w:val="0"/>
                          <w:marTop w:val="0"/>
                          <w:marBottom w:val="0"/>
                          <w:divBdr>
                            <w:top w:val="single" w:sz="6" w:space="0" w:color="CCCCCC"/>
                            <w:left w:val="single" w:sz="6" w:space="0" w:color="CCCCCC"/>
                            <w:bottom w:val="single" w:sz="6" w:space="0" w:color="CCCCCC"/>
                            <w:right w:val="single" w:sz="6" w:space="0" w:color="CCCCCC"/>
                          </w:divBdr>
                          <w:divsChild>
                            <w:div w:id="1581333211">
                              <w:marLeft w:val="0"/>
                              <w:marRight w:val="0"/>
                              <w:marTop w:val="0"/>
                              <w:marBottom w:val="0"/>
                              <w:divBdr>
                                <w:top w:val="none" w:sz="0" w:space="0" w:color="auto"/>
                                <w:left w:val="none" w:sz="0" w:space="0" w:color="auto"/>
                                <w:bottom w:val="none" w:sz="0" w:space="0" w:color="auto"/>
                                <w:right w:val="none" w:sz="0" w:space="0" w:color="auto"/>
                              </w:divBdr>
                              <w:divsChild>
                                <w:div w:id="1735932047">
                                  <w:marLeft w:val="0"/>
                                  <w:marRight w:val="0"/>
                                  <w:marTop w:val="0"/>
                                  <w:marBottom w:val="0"/>
                                  <w:divBdr>
                                    <w:top w:val="none" w:sz="0" w:space="0" w:color="auto"/>
                                    <w:left w:val="none" w:sz="0" w:space="0" w:color="auto"/>
                                    <w:bottom w:val="none" w:sz="0" w:space="0" w:color="auto"/>
                                    <w:right w:val="none" w:sz="0" w:space="0" w:color="auto"/>
                                  </w:divBdr>
                                  <w:divsChild>
                                    <w:div w:id="171909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msonreuters.es/es/tienda/duo-papel-ebook/la-masa-pasiva-del-concurso-de-acreedoresduo/p/10019175" TargetMode="External"/><Relationship Id="rId3" Type="http://schemas.openxmlformats.org/officeDocument/2006/relationships/settings" Target="settings.xml"/><Relationship Id="rId7" Type="http://schemas.openxmlformats.org/officeDocument/2006/relationships/hyperlink" Target="https://www.thomsonreuters.es/es/tienda/duo-papel-ebook/la-masa-pasiva-del-concurso-de-acreedoresduo/p/1001917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thomsonreuters.es/es/tienda/libros/top-novedades-publicaciones.html" TargetMode="External"/><Relationship Id="rId10" Type="http://schemas.openxmlformats.org/officeDocument/2006/relationships/hyperlink" Target="https://www.thomsonreuters.es/es/tienda/duo-papel-ebook/la-masa-pasiva-del-concurso-de-acreedoresduo/p/10019175"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4183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Benito Veiga Copo</dc:creator>
  <cp:keywords/>
  <dc:description/>
  <cp:lastModifiedBy>Abel Benito Veiga Copo</cp:lastModifiedBy>
  <cp:revision>1</cp:revision>
  <dcterms:created xsi:type="dcterms:W3CDTF">2021-12-17T11:20:00Z</dcterms:created>
  <dcterms:modified xsi:type="dcterms:W3CDTF">2021-12-17T11:20:00Z</dcterms:modified>
</cp:coreProperties>
</file>