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DFB8D" w14:textId="11328D39" w:rsidR="00773F81" w:rsidRDefault="00FE5B55">
      <w:r>
        <w:fldChar w:fldCharType="begin"/>
      </w:r>
      <w:r>
        <w:instrText xml:space="preserve"> HYPERLINK "</w:instrText>
      </w:r>
      <w:r w:rsidRPr="00FE5B55">
        <w:instrText>https://www.edisofer.com/retos-y-desafios-de-las-garantias-reales.html</w:instrText>
      </w:r>
      <w:r>
        <w:instrText xml:space="preserve">" </w:instrText>
      </w:r>
      <w:r>
        <w:fldChar w:fldCharType="separate"/>
      </w:r>
      <w:r w:rsidRPr="005D5182">
        <w:rPr>
          <w:rStyle w:val="Hipervnculo"/>
        </w:rPr>
        <w:t>https://www.edisofer.com/retos-y-desafios-de-las-garantias-reales.html</w:t>
      </w:r>
      <w:r>
        <w:fldChar w:fldCharType="end"/>
      </w:r>
    </w:p>
    <w:p w14:paraId="4C41D4A0" w14:textId="77777777" w:rsidR="00FE5B55" w:rsidRDefault="00FE5B55" w:rsidP="00FE5B55">
      <w:pPr>
        <w:spacing w:line="270" w:lineRule="atLeast"/>
        <w:ind w:left="720"/>
        <w:jc w:val="center"/>
        <w:rPr>
          <w:rFonts w:ascii="Poppins" w:hAnsi="Poppins" w:cs="Poppins"/>
          <w:color w:val="A3A3A3"/>
          <w:sz w:val="21"/>
          <w:szCs w:val="21"/>
        </w:rPr>
      </w:pPr>
      <w:r>
        <w:rPr>
          <w:rFonts w:ascii="Poppins" w:hAnsi="Poppins" w:cs="Poppins"/>
          <w:color w:val="A3A3A3"/>
          <w:sz w:val="21"/>
          <w:szCs w:val="21"/>
        </w:rPr>
        <w:t> </w:t>
      </w:r>
    </w:p>
    <w:p w14:paraId="1486E84D" w14:textId="77777777" w:rsidR="00FE5B55" w:rsidRDefault="00FE5B55" w:rsidP="00FE5B55">
      <w:pPr>
        <w:pStyle w:val="item"/>
        <w:numPr>
          <w:ilvl w:val="0"/>
          <w:numId w:val="3"/>
        </w:numPr>
        <w:spacing w:before="0" w:beforeAutospacing="0" w:after="0" w:afterAutospacing="0" w:line="270" w:lineRule="atLeast"/>
        <w:jc w:val="center"/>
        <w:textAlignment w:val="top"/>
        <w:rPr>
          <w:rFonts w:ascii="Poppins" w:hAnsi="Poppins" w:cs="Poppins"/>
          <w:color w:val="545454"/>
          <w:sz w:val="21"/>
          <w:szCs w:val="21"/>
        </w:rPr>
      </w:pPr>
      <w:r>
        <w:rPr>
          <w:rStyle w:val="Textoennegrita"/>
          <w:rFonts w:ascii="Poppins" w:hAnsi="Poppins" w:cs="Poppins"/>
          <w:b w:val="0"/>
          <w:bCs w:val="0"/>
          <w:color w:val="0083C1"/>
          <w:sz w:val="21"/>
          <w:szCs w:val="21"/>
        </w:rPr>
        <w:t>Retos y desafíos de las garantías reales</w:t>
      </w:r>
    </w:p>
    <w:p w14:paraId="168A9436" w14:textId="77777777" w:rsidR="00FE5B55" w:rsidRDefault="00FE5B55" w:rsidP="00FE5B55">
      <w:pPr>
        <w:pStyle w:val="Ttulo1"/>
        <w:spacing w:before="0" w:beforeAutospacing="0" w:after="225" w:afterAutospacing="0" w:line="300" w:lineRule="atLeast"/>
        <w:rPr>
          <w:rFonts w:ascii="inherit" w:hAnsi="inherit" w:cs="Poppins"/>
          <w:color w:val="555555"/>
          <w:sz w:val="36"/>
          <w:szCs w:val="36"/>
        </w:rPr>
      </w:pPr>
      <w:r>
        <w:rPr>
          <w:rStyle w:val="base"/>
          <w:rFonts w:ascii="inherit" w:hAnsi="inherit" w:cs="Poppins"/>
          <w:color w:val="555555"/>
          <w:sz w:val="36"/>
          <w:szCs w:val="36"/>
        </w:rPr>
        <w:t>Retos y desafíos de las garantías reales</w:t>
      </w:r>
    </w:p>
    <w:p w14:paraId="5D64A4F8" w14:textId="77777777" w:rsidR="00FE5B55" w:rsidRDefault="00FE5B55" w:rsidP="00FE5B55">
      <w:pPr>
        <w:spacing w:line="330" w:lineRule="atLeast"/>
        <w:textAlignment w:val="center"/>
        <w:rPr>
          <w:rFonts w:ascii="Poppins" w:hAnsi="Poppins" w:cs="Poppins"/>
          <w:vanish/>
          <w:color w:val="777777"/>
          <w:sz w:val="21"/>
          <w:szCs w:val="21"/>
        </w:rPr>
      </w:pPr>
      <w:hyperlink r:id="rId5" w:anchor="review-form" w:history="1">
        <w:r>
          <w:rPr>
            <w:rStyle w:val="Hipervnculo"/>
            <w:rFonts w:ascii="Poppins" w:hAnsi="Poppins" w:cs="Poppins"/>
            <w:vanish/>
            <w:color w:val="555555"/>
            <w:sz w:val="2"/>
            <w:szCs w:val="2"/>
          </w:rPr>
          <w:t> Sea el primero en dejar una reseña para este artículo</w:t>
        </w:r>
      </w:hyperlink>
    </w:p>
    <w:p w14:paraId="7919B7A0" w14:textId="77777777" w:rsidR="00FE5B55" w:rsidRDefault="00FE5B55" w:rsidP="00FE5B55">
      <w:pPr>
        <w:spacing w:line="240" w:lineRule="auto"/>
        <w:rPr>
          <w:rFonts w:ascii="Poppins" w:hAnsi="Poppins" w:cs="Poppins"/>
          <w:color w:val="777777"/>
          <w:sz w:val="21"/>
          <w:szCs w:val="21"/>
        </w:rPr>
      </w:pPr>
      <w:r>
        <w:rPr>
          <w:rStyle w:val="price"/>
          <w:rFonts w:ascii="Poppins" w:hAnsi="Poppins" w:cs="Poppins"/>
          <w:b/>
          <w:bCs/>
          <w:color w:val="0083C1"/>
          <w:sz w:val="42"/>
          <w:szCs w:val="42"/>
        </w:rPr>
        <w:t>94,99 €</w:t>
      </w:r>
      <w:r>
        <w:rPr>
          <w:rFonts w:ascii="Poppins" w:hAnsi="Poppins" w:cs="Poppins"/>
          <w:color w:val="777777"/>
          <w:sz w:val="21"/>
          <w:szCs w:val="21"/>
        </w:rPr>
        <w:t> </w:t>
      </w:r>
      <w:r>
        <w:rPr>
          <w:rStyle w:val="price"/>
          <w:rFonts w:ascii="Poppins" w:hAnsi="Poppins" w:cs="Poppins"/>
          <w:strike/>
          <w:color w:val="AAAAAA"/>
          <w:sz w:val="27"/>
          <w:szCs w:val="27"/>
        </w:rPr>
        <w:t>100,00 €</w:t>
      </w:r>
    </w:p>
    <w:p w14:paraId="6AA666CA" w14:textId="617F499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0CC2425B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b w:val="0"/>
          <w:bCs w:val="0"/>
          <w:color w:val="777777"/>
          <w:sz w:val="21"/>
          <w:szCs w:val="21"/>
        </w:rPr>
        <w:t>ISBN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137850E9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9788413906515</w:t>
      </w:r>
    </w:p>
    <w:p w14:paraId="09C4C8CC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Nombre del producto: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5D57FEE4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Retos y desafíos de las garantías reales</w:t>
      </w:r>
    </w:p>
    <w:p w14:paraId="13DA674B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Peso: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3CB96264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N/D</w:t>
      </w:r>
    </w:p>
    <w:p w14:paraId="2F006E5F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Fecha de edición: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3E96F666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28 dic. 2021</w:t>
      </w:r>
    </w:p>
    <w:p w14:paraId="40777043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Número de Edición: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411A7F93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1</w:t>
      </w:r>
    </w:p>
    <w:p w14:paraId="309CFDF3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Autor: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11C71B10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Veiga Copo, Abel Benito</w:t>
      </w:r>
    </w:p>
    <w:p w14:paraId="1E65E8BD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Idioma: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469E6FC7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Español</w:t>
      </w:r>
    </w:p>
    <w:p w14:paraId="47330C52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Formato: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0C6C7644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proofErr w:type="spellStart"/>
      <w:r>
        <w:rPr>
          <w:rFonts w:ascii="Poppins" w:hAnsi="Poppins" w:cs="Poppins"/>
          <w:color w:val="777777"/>
          <w:sz w:val="21"/>
          <w:szCs w:val="21"/>
        </w:rPr>
        <w:t>Libro+e-Book</w:t>
      </w:r>
      <w:proofErr w:type="spellEnd"/>
    </w:p>
    <w:p w14:paraId="3801C554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Páginas: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36FBEAF4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992</w:t>
      </w:r>
    </w:p>
    <w:p w14:paraId="79715865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Lugar de edición: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0C591F05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NAVARRA</w:t>
      </w:r>
    </w:p>
    <w:p w14:paraId="5207ADE6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t>Colección: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0BA73B68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ESTUDIOS Y COMENTARIOS LEGISLACIÓN CIVITAS</w:t>
      </w:r>
    </w:p>
    <w:p w14:paraId="299EB902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Style w:val="Textoennegrita"/>
          <w:rFonts w:ascii="Poppins" w:hAnsi="Poppins" w:cs="Poppins"/>
          <w:color w:val="777777"/>
          <w:sz w:val="21"/>
          <w:szCs w:val="21"/>
        </w:rPr>
        <w:lastRenderedPageBreak/>
        <w:t>Encuadernación:</w:t>
      </w: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492C4C5B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Cartoné</w:t>
      </w:r>
    </w:p>
    <w:p w14:paraId="437A159A" w14:textId="77777777" w:rsidR="00FE5B55" w:rsidRDefault="00FE5B55" w:rsidP="00FE5B55">
      <w:pPr>
        <w:pStyle w:val="z-Principiodelformulario"/>
      </w:pPr>
      <w:r>
        <w:t>Principio del formulario</w:t>
      </w:r>
    </w:p>
    <w:p w14:paraId="3D9B86EB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Cantidad</w:t>
      </w:r>
    </w:p>
    <w:p w14:paraId="1293B446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FFFFFF"/>
          <w:sz w:val="21"/>
          <w:szCs w:val="21"/>
        </w:rPr>
        <w:t>AÑADIR AL CARRITO</w:t>
      </w:r>
    </w:p>
    <w:p w14:paraId="47779F2C" w14:textId="74EB9454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object w:dxaOrig="225" w:dyaOrig="225" w14:anchorId="3B6D3F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0" type="#_x0000_t75" style="width:1in;height:1in" o:ole="">
            <v:imagedata r:id="rId6" o:title=""/>
          </v:shape>
          <w:control r:id="rId7" w:name="DefaultOcxName1" w:shapeid="_x0000_i1120"/>
        </w:object>
      </w:r>
    </w:p>
    <w:p w14:paraId="5322283C" w14:textId="77777777" w:rsidR="00FE5B55" w:rsidRDefault="00FE5B55" w:rsidP="00FE5B55">
      <w:pPr>
        <w:pStyle w:val="z-Finaldelformulario"/>
      </w:pPr>
      <w:r>
        <w:t>Final del formulario</w:t>
      </w:r>
    </w:p>
    <w:p w14:paraId="606E6A0D" w14:textId="77777777" w:rsidR="00FE5B55" w:rsidRDefault="00FE5B55" w:rsidP="00FE5B55">
      <w:pPr>
        <w:pStyle w:val="Ttulo4"/>
        <w:spacing w:before="0" w:beforeAutospacing="0" w:after="0" w:afterAutospacing="0" w:line="300" w:lineRule="atLeast"/>
        <w:rPr>
          <w:rFonts w:ascii="inherit" w:hAnsi="inherit" w:cs="Poppins"/>
          <w:b w:val="0"/>
          <w:bCs w:val="0"/>
          <w:color w:val="777777"/>
          <w:sz w:val="28"/>
          <w:szCs w:val="28"/>
        </w:rPr>
      </w:pPr>
      <w:r>
        <w:rPr>
          <w:rFonts w:ascii="inherit" w:hAnsi="inherit" w:cs="Poppins"/>
          <w:b w:val="0"/>
          <w:bCs w:val="0"/>
          <w:color w:val="777777"/>
          <w:sz w:val="28"/>
          <w:szCs w:val="28"/>
        </w:rPr>
        <w:t>Materias:</w:t>
      </w:r>
    </w:p>
    <w:p w14:paraId="06E74FEA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hyperlink r:id="rId8" w:history="1">
        <w:r>
          <w:rPr>
            <w:rStyle w:val="Hipervnculo"/>
            <w:rFonts w:ascii="Poppins" w:hAnsi="Poppins" w:cs="Poppins"/>
            <w:color w:val="555555"/>
            <w:sz w:val="21"/>
            <w:szCs w:val="21"/>
          </w:rPr>
          <w:t>DERECHO MERCANTIL</w:t>
        </w:r>
      </w:hyperlink>
    </w:p>
    <w:p w14:paraId="72F179A7" w14:textId="77777777" w:rsidR="00FE5B55" w:rsidRDefault="00FE5B55" w:rsidP="00FE5B55">
      <w:pPr>
        <w:pStyle w:val="Ttulo4"/>
        <w:spacing w:before="0" w:beforeAutospacing="0" w:after="0" w:afterAutospacing="0" w:line="300" w:lineRule="atLeast"/>
        <w:rPr>
          <w:rFonts w:ascii="inherit" w:hAnsi="inherit" w:cs="Poppins"/>
          <w:b w:val="0"/>
          <w:bCs w:val="0"/>
          <w:color w:val="777777"/>
          <w:sz w:val="28"/>
          <w:szCs w:val="28"/>
        </w:rPr>
      </w:pPr>
      <w:r>
        <w:rPr>
          <w:rFonts w:ascii="inherit" w:hAnsi="inherit" w:cs="Poppins"/>
          <w:b w:val="0"/>
          <w:bCs w:val="0"/>
          <w:color w:val="777777"/>
          <w:sz w:val="28"/>
          <w:szCs w:val="28"/>
        </w:rPr>
        <w:t>Editorial:</w:t>
      </w:r>
    </w:p>
    <w:p w14:paraId="34D4FDF8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hyperlink r:id="rId9" w:history="1">
        <w:r>
          <w:rPr>
            <w:rStyle w:val="Hipervnculo"/>
            <w:rFonts w:ascii="Poppins" w:hAnsi="Poppins" w:cs="Poppins"/>
            <w:color w:val="555555"/>
            <w:sz w:val="21"/>
            <w:szCs w:val="21"/>
          </w:rPr>
          <w:t>CIVITAS THOMSON REUTERS, EDITORIAL</w:t>
        </w:r>
      </w:hyperlink>
    </w:p>
    <w:p w14:paraId="6A1FE823" w14:textId="77777777" w:rsidR="00FE5B55" w:rsidRDefault="00FE5B55" w:rsidP="00FE5B55">
      <w:pPr>
        <w:pStyle w:val="Ttulo4"/>
        <w:spacing w:before="0" w:beforeAutospacing="0" w:after="0" w:afterAutospacing="0" w:line="300" w:lineRule="atLeast"/>
        <w:rPr>
          <w:rFonts w:ascii="inherit" w:hAnsi="inherit" w:cs="Poppins"/>
          <w:b w:val="0"/>
          <w:bCs w:val="0"/>
          <w:color w:val="777777"/>
          <w:sz w:val="28"/>
          <w:szCs w:val="28"/>
        </w:rPr>
      </w:pPr>
      <w:r>
        <w:rPr>
          <w:rFonts w:ascii="inherit" w:hAnsi="inherit" w:cs="Poppins"/>
          <w:b w:val="0"/>
          <w:bCs w:val="0"/>
          <w:color w:val="777777"/>
          <w:sz w:val="28"/>
          <w:szCs w:val="28"/>
        </w:rPr>
        <w:t>Colección:</w:t>
      </w:r>
    </w:p>
    <w:p w14:paraId="651966C5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hyperlink r:id="rId10" w:history="1">
        <w:r>
          <w:rPr>
            <w:rStyle w:val="Hipervnculo"/>
            <w:rFonts w:ascii="Poppins" w:hAnsi="Poppins" w:cs="Poppins"/>
            <w:color w:val="555555"/>
            <w:sz w:val="21"/>
            <w:szCs w:val="21"/>
          </w:rPr>
          <w:t>ESTUDIOS Y COMENTARIOS LEGISLACIÓN CIVITAS</w:t>
        </w:r>
      </w:hyperlink>
    </w:p>
    <w:p w14:paraId="1A888E87" w14:textId="77777777" w:rsidR="00FE5B55" w:rsidRDefault="00FE5B55" w:rsidP="00FE5B55">
      <w:pPr>
        <w:textAlignment w:val="center"/>
        <w:rPr>
          <w:rFonts w:ascii="Poppins" w:hAnsi="Poppins" w:cs="Poppins"/>
          <w:b/>
          <w:bCs/>
          <w:caps/>
          <w:color w:val="555555"/>
          <w:sz w:val="21"/>
          <w:szCs w:val="21"/>
        </w:rPr>
      </w:pPr>
      <w:r>
        <w:rPr>
          <w:rFonts w:ascii="Poppins" w:hAnsi="Poppins" w:cs="Poppins"/>
          <w:b/>
          <w:bCs/>
          <w:caps/>
          <w:color w:val="555555"/>
          <w:sz w:val="21"/>
          <w:szCs w:val="21"/>
        </w:rPr>
        <w:t>COMPARTIR</w:t>
      </w:r>
    </w:p>
    <w:p w14:paraId="03D0874C" w14:textId="77777777" w:rsidR="00FE5B55" w:rsidRDefault="00FE5B55" w:rsidP="00FE5B55">
      <w:pPr>
        <w:rPr>
          <w:rFonts w:ascii="Poppins" w:hAnsi="Poppins" w:cs="Poppins"/>
          <w:color w:val="777777"/>
          <w:sz w:val="21"/>
          <w:szCs w:val="21"/>
        </w:rPr>
      </w:pPr>
      <w:r>
        <w:rPr>
          <w:rFonts w:ascii="Poppins" w:hAnsi="Poppins" w:cs="Poppins"/>
          <w:color w:val="777777"/>
          <w:sz w:val="21"/>
          <w:szCs w:val="21"/>
        </w:rPr>
        <w:t> </w:t>
      </w:r>
    </w:p>
    <w:p w14:paraId="71E30F33" w14:textId="77777777" w:rsidR="00FE5B55" w:rsidRDefault="00FE5B55" w:rsidP="00FE5B55">
      <w:pPr>
        <w:shd w:val="clear" w:color="auto" w:fill="0083C1"/>
        <w:jc w:val="center"/>
        <w:rPr>
          <w:rFonts w:ascii="Poppins" w:hAnsi="Poppins" w:cs="Poppins"/>
          <w:color w:val="777777"/>
          <w:sz w:val="21"/>
          <w:szCs w:val="21"/>
        </w:rPr>
      </w:pPr>
      <w:hyperlink r:id="rId11" w:anchor="product.info.description" w:history="1">
        <w:r>
          <w:rPr>
            <w:rStyle w:val="Hipervnculo"/>
            <w:rFonts w:ascii="Poppins" w:hAnsi="Poppins" w:cs="Poppins"/>
            <w:b/>
            <w:bCs/>
            <w:caps/>
            <w:color w:val="FFFFFF"/>
            <w:sz w:val="21"/>
            <w:szCs w:val="21"/>
            <w:bdr w:val="none" w:sz="0" w:space="0" w:color="auto" w:frame="1"/>
            <w:shd w:val="clear" w:color="auto" w:fill="FFFFFF"/>
          </w:rPr>
          <w:t>SINOPSIS</w:t>
        </w:r>
      </w:hyperlink>
    </w:p>
    <w:p w14:paraId="2ECB1841" w14:textId="77777777" w:rsidR="00FE5B55" w:rsidRDefault="00FE5B55" w:rsidP="00FE5B55">
      <w:pPr>
        <w:pStyle w:val="NormalWeb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Fonts w:ascii="Courier New" w:hAnsi="Courier New" w:cs="Courier New"/>
          <w:color w:val="777777"/>
          <w:sz w:val="21"/>
          <w:szCs w:val="21"/>
        </w:rPr>
        <w:t> </w:t>
      </w:r>
    </w:p>
    <w:p w14:paraId="406E51DA" w14:textId="77777777" w:rsidR="00FE5B55" w:rsidRDefault="00FE5B55" w:rsidP="00FE5B55">
      <w:pPr>
        <w:pStyle w:val="NormalWeb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Style w:val="italic"/>
          <w:rFonts w:ascii="Times" w:hAnsi="Times" w:cs="Times"/>
          <w:b/>
          <w:bCs/>
          <w:i/>
          <w:iCs/>
          <w:color w:val="777777"/>
          <w:sz w:val="27"/>
          <w:szCs w:val="27"/>
        </w:rPr>
        <w:t>Retos y desafíos de las garantías reales</w:t>
      </w: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 no es una obra más. Ni sigue en consecuencia los tradicionales estereotipos de obras de este cariz, recopilaciones en cierto modo inconexas de ponencias y estudios. Hay y existe un </w:t>
      </w:r>
      <w:proofErr w:type="spellStart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hilazón</w:t>
      </w:r>
      <w:proofErr w:type="spell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 vertebrador a lo largo de la misma. Aspira a ser una invitación a la </w:t>
      </w:r>
      <w:proofErr w:type="gramStart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reflexión</w:t>
      </w:r>
      <w:proofErr w:type="gram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 pero también a la ruptura de ciertos cánones o quizás apotegmas sacralizados en exceso en el marco no demasiado ancho pero sí sutil de las garantías, sobre todo, las reales. Al cuestionamiento constante y siempre constructivo reelaborando principios, tensionándolos y, sobre todo, proponiendo nuevos esquemas, figuras, funciones, ajustes y soluciones.</w:t>
      </w:r>
    </w:p>
    <w:p w14:paraId="6346E2AC" w14:textId="77777777" w:rsidR="00FE5B55" w:rsidRDefault="00FE5B55" w:rsidP="00FE5B55">
      <w:pPr>
        <w:pStyle w:val="NormalWeb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Un campo, el de las garantías, genuina columna vertebral del edificio del crédito y las tensiones e intereses diversos en juego que entran en conflicto pero que miden la salud de un sistema económico y financiero y la flexibilidad y creatividad en cierto modo de los juristas. A lo largo de más de cuarenta aportaciones de expertos tanto académicos como prácticos y profesionales del quehacer diario de la abogacía y otras profesiones jurídicas se abre precisamente este debate, entre anclajes clásicos y tradicionales a la irrupción de nuevas figuras, cláusulas, etc., que </w:t>
      </w: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lastRenderedPageBreak/>
        <w:t>cuestionan el papel y la eficacia de la garantía entre el ser y el querer ser, entre la realidad y la aspiración permanente y constante hacia la eficacia y la eficiencia. Desde la literalidad de la norma y las regulaciones a las necesidades reales del sector financiero y la economía. Desde la proposición y la aproximación de </w:t>
      </w:r>
      <w:r>
        <w:rPr>
          <w:rStyle w:val="italic"/>
          <w:rFonts w:ascii="Times" w:hAnsi="Times" w:cs="Times"/>
          <w:b/>
          <w:bCs/>
          <w:i/>
          <w:iCs/>
          <w:color w:val="777777"/>
          <w:sz w:val="27"/>
          <w:szCs w:val="27"/>
        </w:rPr>
        <w:t xml:space="preserve">lege </w:t>
      </w:r>
      <w:proofErr w:type="spellStart"/>
      <w:r>
        <w:rPr>
          <w:rStyle w:val="italic"/>
          <w:rFonts w:ascii="Times" w:hAnsi="Times" w:cs="Times"/>
          <w:b/>
          <w:bCs/>
          <w:i/>
          <w:iCs/>
          <w:color w:val="777777"/>
          <w:sz w:val="27"/>
          <w:szCs w:val="27"/>
        </w:rPr>
        <w:t>ferenda</w:t>
      </w:r>
      <w:proofErr w:type="spell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 a la innovación y disrupción de elementos y principios que lejos de distorsionar o desfigurar la concepción clásica de las garantías que, hasta cierto punto, persisten y resisten, tratamos de confrontar con lo nuevo, con la mutación necesaria, con cierta destilación de figuras que en su momento ocuparon y jugaron un rol y que algunas facultades nuevas suponen ahora nuevas oportunidades de tutela del crédito, de la preferencia y, cómo no, de la garantía.</w:t>
      </w:r>
    </w:p>
    <w:p w14:paraId="3172CF74" w14:textId="77777777" w:rsidR="00FE5B55" w:rsidRDefault="00FE5B55" w:rsidP="00FE5B55">
      <w:pPr>
        <w:pStyle w:val="NormalWeb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Es ésta una obra más, la cuarta en año y medio, que mana y fluye desde la Cátedra Uría Menéndez – ICADE de Regulación de Mercados que tengo el inmenso honor de codirigir junto con el profesor de ICADE y socio de Uría Menéndez, mi compañero y amigo, Rafael Sebastián. Sigue este libro a otros de seguros y de concursal y es fruto del congreso internacional, el primero, que sobre garantías reales se celebró el pasado mes de abril durante tres intensos días de debate, de propuesta y de cuestionamiento. Un congreso con cincuenta ponentes de una docena de países diferentes y 30 universidades prestigiosas y que fue abierto por el profesor de Yale, Alan Schwartz y, cerrado por el profesor de la London </w:t>
      </w:r>
      <w:proofErr w:type="spellStart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School</w:t>
      </w:r>
      <w:proofErr w:type="spell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 </w:t>
      </w:r>
      <w:proofErr w:type="spellStart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of</w:t>
      </w:r>
      <w:proofErr w:type="spell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 </w:t>
      </w:r>
      <w:proofErr w:type="spellStart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Economics</w:t>
      </w:r>
      <w:proofErr w:type="spell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, Michel Bridge. En el mismo se dieron cita no solo académicos expertos en el derecho de garantías sino también de profesionales de primera línea de la abogacía, de la economía y de otras profesiones jurídicas que en su avatar diario se enfrentan al apasionante reto que infiere el derecho real de garantía. Un ámbito y un área que nunca se cierra, al contrario, modelado e influido por la enorme ingeniería y creatividad financiera y la respuesta, siempre a posteriori de la dogmática y la jurisprudencia, que termina cimbreando y aquilatando perfiles, aristas y planos no siempre superpuestos.</w:t>
      </w:r>
    </w:p>
    <w:p w14:paraId="1C8D6F5B" w14:textId="77777777" w:rsidR="00FE5B55" w:rsidRDefault="00FE5B55" w:rsidP="00FE5B55">
      <w:pPr>
        <w:pStyle w:val="NormalWeb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En este punto, algunos prefieren hablar de cambio de paradigma, aunque quizás, al menos de momento, no hemos llegado a este trance, por mucho que los enormes cambios digitales y tecnológicos están trayendo al derecho de los contratos y a las garantías, amén de a los mercados financieros, a los caracteres y estructura de éste, al diseño y comercialización de productos, así como a asegurar la eficacia de una ejecución que escape a la vis atractiva concursal.</w:t>
      </w:r>
    </w:p>
    <w:p w14:paraId="78F5C435" w14:textId="77777777" w:rsidR="00FE5B55" w:rsidRDefault="00FE5B55" w:rsidP="00FE5B55">
      <w:pPr>
        <w:pStyle w:val="NormalWeb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Los retos están ya aquí, y exigen una respuesta adecuada del derecho. Como también los cambios a los que interiormente el derecho de garantías vive y a los que debe hacer frente, metamorfoseándose si es preciso. Diseccionar esos desafíos, mensurar esos cambios es una tarea hercúlea, pero a la vez paciente. Lo digital convive con un derecho en clara clave analógica, y donde los principios siguen siendo inmutables y, también, </w:t>
      </w: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lastRenderedPageBreak/>
        <w:t>perfectamente válidos. Simplemente es una labor de adecuación, no de ruptura. Antes hemos visto otros avances, otros apostolados de cambios radicales que nunca fueron tales y se quedaron en parcas evoluciones.</w:t>
      </w:r>
    </w:p>
    <w:p w14:paraId="07751068" w14:textId="77777777" w:rsidR="00FE5B55" w:rsidRDefault="00FE5B55" w:rsidP="00FE5B55">
      <w:pPr>
        <w:pStyle w:val="NormalWeb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Esta obra colectiva cumple una doble finalidad, de una parte, incidir de lleno en aspectos esenciales de las principales garantías, sobre todo reales y dentro de éstas mobiliarias, pero también las inmobiliarias, la fiducia y el negocio fiduciario, la perspectiva </w:t>
      </w:r>
      <w:proofErr w:type="spellStart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fideiusoria</w:t>
      </w:r>
      <w:proofErr w:type="spell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 a través de los seguros, la eficacia y eficiencia de la fase dinámica o de realización de toda garantía, la tensión con el derecho concursal, etc., pero llevándolo a cabo con una mirada diferente, crítica, constructiva, valiente y desacomplejada. He ahí donde radica su utilidad y su valor. Sin éstas sería una mera recopilación inarmónica de estudios y divulgaciones. Es crítica, es rupturista en algunos extremos, es valiente y decidida proponiendo soluciones, planteando nuevas hipótesis y argumentando, sobre todo sustentando la razón y el argumento por parte del autor. Se abordan incluso temáticas que son completamente novedosas como lo son igualmente los planteamientos.</w:t>
      </w:r>
    </w:p>
    <w:p w14:paraId="31030FAB" w14:textId="77777777" w:rsidR="00FE5B55" w:rsidRDefault="00FE5B55" w:rsidP="00FE5B55">
      <w:pPr>
        <w:pStyle w:val="NormalWeb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Solo me resta reiterar mi profundo agradecimiento a la cátedra Uría Menéndez-ICADE en las personas del presidente de Uría Menéndez, Luis de Carlos y al Rector Magnífico de nuestra Universidad Pontificia Comillas, Enrique Sanz, por la confianza en la labor y el quehacer de la cátedra y la apuesta firme por la investigación. Gracias también a todos los participantes, ponentes y comunicantes del Congreso, a los más de 350 asistentes virtuales y al coordinador </w:t>
      </w:r>
      <w:proofErr w:type="gramStart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del mismo</w:t>
      </w:r>
      <w:proofErr w:type="gram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 xml:space="preserve"> y ahora de este libro, el profesor Miguel Martínez. El reto ahora es preparar un segundo congreso que esté, al menos, a la misma altura científica y humana de éste, que ahora usted, lector, tiene en sus manos y donde se recogen los estudios de la mayor parte de los ponentes, si bien, algunas de esas ponencias están y son accesibles en los videos de la cátedra que se alojan a la página web de </w:t>
      </w:r>
      <w:proofErr w:type="gramStart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la misma</w:t>
      </w:r>
      <w:proofErr w:type="gramEnd"/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.</w:t>
      </w:r>
    </w:p>
    <w:p w14:paraId="5D7CDB33" w14:textId="77777777" w:rsidR="00FE5B55" w:rsidRDefault="00FE5B55" w:rsidP="00FE5B55">
      <w:pPr>
        <w:pStyle w:val="right"/>
        <w:shd w:val="clear" w:color="auto" w:fill="FFFFFF"/>
        <w:spacing w:before="0" w:beforeAutospacing="0" w:after="150" w:afterAutospacing="0"/>
        <w:rPr>
          <w:rFonts w:ascii="Courier New" w:hAnsi="Courier New" w:cs="Courier New"/>
          <w:color w:val="777777"/>
          <w:sz w:val="21"/>
          <w:szCs w:val="21"/>
        </w:rPr>
      </w:pPr>
      <w:r>
        <w:rPr>
          <w:rStyle w:val="Textoennegrita"/>
          <w:rFonts w:ascii="Times" w:hAnsi="Times" w:cs="Times"/>
          <w:i/>
          <w:iCs/>
          <w:color w:val="777777"/>
          <w:sz w:val="27"/>
          <w:szCs w:val="27"/>
        </w:rPr>
        <w:t>En Madrid, a 14 de julio de 2021</w:t>
      </w:r>
    </w:p>
    <w:p w14:paraId="6D76D952" w14:textId="77777777" w:rsidR="00FE5B55" w:rsidRDefault="00FE5B55"/>
    <w:sectPr w:rsidR="00FE5B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4EC1"/>
    <w:multiLevelType w:val="multilevel"/>
    <w:tmpl w:val="01883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D72E8"/>
    <w:multiLevelType w:val="multilevel"/>
    <w:tmpl w:val="E50E0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C1B0D"/>
    <w:multiLevelType w:val="multilevel"/>
    <w:tmpl w:val="01E86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D00F1"/>
    <w:multiLevelType w:val="multilevel"/>
    <w:tmpl w:val="7EE2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446FE"/>
    <w:multiLevelType w:val="multilevel"/>
    <w:tmpl w:val="7598D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984A57"/>
    <w:multiLevelType w:val="multilevel"/>
    <w:tmpl w:val="6B5C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AA17E8"/>
    <w:multiLevelType w:val="multilevel"/>
    <w:tmpl w:val="AB2E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BB5961"/>
    <w:multiLevelType w:val="multilevel"/>
    <w:tmpl w:val="466A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616FDF"/>
    <w:multiLevelType w:val="multilevel"/>
    <w:tmpl w:val="361E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E176E3"/>
    <w:multiLevelType w:val="multilevel"/>
    <w:tmpl w:val="5BB49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B43AF5"/>
    <w:multiLevelType w:val="multilevel"/>
    <w:tmpl w:val="3082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10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B55"/>
    <w:rsid w:val="00773F81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FE63B"/>
  <w15:chartTrackingRefBased/>
  <w15:docId w15:val="{62B114FF-D120-44D4-B04F-931A4DE2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FE5B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FE5B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4">
    <w:name w:val="heading 4"/>
    <w:basedOn w:val="Normal"/>
    <w:link w:val="Ttulo4Car"/>
    <w:uiPriority w:val="9"/>
    <w:qFormat/>
    <w:rsid w:val="00FE5B5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E5B5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E5B5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FE5B55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E5B55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FE5B55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hone">
    <w:name w:val="phone"/>
    <w:basedOn w:val="Normal"/>
    <w:rsid w:val="00FE5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hone1">
    <w:name w:val="phone1"/>
    <w:basedOn w:val="Fuentedeprrafopredeter"/>
    <w:rsid w:val="00FE5B55"/>
  </w:style>
  <w:style w:type="character" w:styleId="Textoennegrita">
    <w:name w:val="Strong"/>
    <w:basedOn w:val="Fuentedeprrafopredeter"/>
    <w:uiPriority w:val="22"/>
    <w:qFormat/>
    <w:rsid w:val="00FE5B55"/>
    <w:rPr>
      <w:b/>
      <w:b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E5B5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FE5B55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FE5B5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FE5B5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counter-number">
    <w:name w:val="counter-number"/>
    <w:basedOn w:val="Fuentedeprrafopredeter"/>
    <w:rsid w:val="00FE5B55"/>
  </w:style>
  <w:style w:type="character" w:customStyle="1" w:styleId="price-minicart">
    <w:name w:val="price-minicart"/>
    <w:basedOn w:val="Fuentedeprrafopredeter"/>
    <w:rsid w:val="00FE5B55"/>
  </w:style>
  <w:style w:type="character" w:customStyle="1" w:styleId="price">
    <w:name w:val="price"/>
    <w:basedOn w:val="Fuentedeprrafopredeter"/>
    <w:rsid w:val="00FE5B55"/>
  </w:style>
  <w:style w:type="paragraph" w:customStyle="1" w:styleId="other-toggle">
    <w:name w:val="other-toggle"/>
    <w:basedOn w:val="Normal"/>
    <w:rsid w:val="00FE5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mmegamenutitle">
    <w:name w:val="sm_megamenu_title"/>
    <w:basedOn w:val="Fuentedeprrafopredeter"/>
    <w:rsid w:val="00FE5B55"/>
  </w:style>
  <w:style w:type="paragraph" w:styleId="NormalWeb">
    <w:name w:val="Normal (Web)"/>
    <w:basedOn w:val="Normal"/>
    <w:uiPriority w:val="99"/>
    <w:semiHidden/>
    <w:unhideWhenUsed/>
    <w:rsid w:val="00FE5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rrent-name">
    <w:name w:val="current-name"/>
    <w:basedOn w:val="Fuentedeprrafopredeter"/>
    <w:rsid w:val="00FE5B55"/>
  </w:style>
  <w:style w:type="paragraph" w:customStyle="1" w:styleId="item">
    <w:name w:val="item"/>
    <w:basedOn w:val="Normal"/>
    <w:rsid w:val="00FE5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se">
    <w:name w:val="base"/>
    <w:basedOn w:val="Fuentedeprrafopredeter"/>
    <w:rsid w:val="00FE5B55"/>
  </w:style>
  <w:style w:type="character" w:styleId="nfasis">
    <w:name w:val="Emphasis"/>
    <w:basedOn w:val="Fuentedeprrafopredeter"/>
    <w:uiPriority w:val="20"/>
    <w:qFormat/>
    <w:rsid w:val="00FE5B55"/>
    <w:rPr>
      <w:i/>
      <w:iCs/>
    </w:rPr>
  </w:style>
  <w:style w:type="character" w:customStyle="1" w:styleId="italic">
    <w:name w:val="italic"/>
    <w:basedOn w:val="Fuentedeprrafopredeter"/>
    <w:rsid w:val="00FE5B55"/>
  </w:style>
  <w:style w:type="paragraph" w:customStyle="1" w:styleId="right">
    <w:name w:val="right"/>
    <w:basedOn w:val="Normal"/>
    <w:rsid w:val="00FE5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olor-theme">
    <w:name w:val="color-theme"/>
    <w:basedOn w:val="Fuentedeprrafopredeter"/>
    <w:rsid w:val="00FE5B55"/>
  </w:style>
  <w:style w:type="paragraph" w:customStyle="1" w:styleId="li-social">
    <w:name w:val="li-social"/>
    <w:basedOn w:val="Normal"/>
    <w:rsid w:val="00FE5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FE5B5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FE5B55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zsiqellips">
    <w:name w:val="zsiq_ellips"/>
    <w:basedOn w:val="Fuentedeprrafopredeter"/>
    <w:rsid w:val="00FE5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43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8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20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510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56985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05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823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96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2409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313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791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101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424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39996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271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074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43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3227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751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3730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731361">
                                              <w:marLeft w:val="0"/>
                                              <w:marRight w:val="0"/>
                                              <w:marTop w:val="600"/>
                                              <w:marBottom w:val="7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469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082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784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9106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420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423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63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160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505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7827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63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51747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83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82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741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231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449386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9733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0401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53413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78293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5780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2671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53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842886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1056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2063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8385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013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535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56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318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32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24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379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8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2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3398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8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55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38016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498045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328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013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746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0000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315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361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8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130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200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0514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7717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91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7094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8010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2585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654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84564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5545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4969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951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86302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6910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3599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178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257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856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8710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755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5389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63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1438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866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7878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884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334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388010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4774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438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5164719">
                                          <w:marLeft w:val="0"/>
                                          <w:marRight w:val="0"/>
                                          <w:marTop w:val="375"/>
                                          <w:marBottom w:val="0"/>
                                          <w:divBdr>
                                            <w:top w:val="single" w:sz="6" w:space="19" w:color="F5F5F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397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0160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9197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1855545">
                                              <w:marLeft w:val="0"/>
                                              <w:marRight w:val="15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5227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776085">
                                          <w:marLeft w:val="0"/>
                                          <w:marRight w:val="0"/>
                                          <w:marTop w:val="450"/>
                                          <w:marBottom w:val="1050"/>
                                          <w:divBdr>
                                            <w:top w:val="single" w:sz="6" w:space="30" w:color="F5F5F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63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583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0829449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0083C1"/>
                                                        <w:left w:val="single" w:sz="6" w:space="8" w:color="0083C1"/>
                                                        <w:bottom w:val="single" w:sz="6" w:space="8" w:color="0083C1"/>
                                                        <w:right w:val="single" w:sz="6" w:space="8" w:color="0083C1"/>
                                                      </w:divBdr>
                                                    </w:div>
                                                    <w:div w:id="2103720517">
                                                      <w:marLeft w:val="-18750"/>
                                                      <w:marRight w:val="0"/>
                                                      <w:marTop w:val="975"/>
                                                      <w:marBottom w:val="75"/>
                                                      <w:divBdr>
                                                        <w:top w:val="single" w:sz="6" w:space="0" w:color="DDDDDD"/>
                                                        <w:left w:val="single" w:sz="6" w:space="0" w:color="DDDDDD"/>
                                                        <w:bottom w:val="single" w:sz="6" w:space="0" w:color="DDDDDD"/>
                                                        <w:right w:val="single" w:sz="6" w:space="0" w:color="DDDDDD"/>
                                                      </w:divBdr>
                                                      <w:divsChild>
                                                        <w:div w:id="1083602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4222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20793454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DDDDDD"/>
                                                        <w:left w:val="single" w:sz="6" w:space="8" w:color="DDDDDD"/>
                                                        <w:bottom w:val="single" w:sz="6" w:space="8" w:color="DDDDDD"/>
                                                        <w:right w:val="single" w:sz="6" w:space="8" w:color="DDDDDD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00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70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01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6646750">
                                              <w:marLeft w:val="0"/>
                                              <w:marRight w:val="0"/>
                                              <w:marTop w:val="0"/>
                                              <w:marBottom w:val="6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35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76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1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252061">
                          <w:marLeft w:val="0"/>
                          <w:marRight w:val="0"/>
                          <w:marTop w:val="9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75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789529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single" w:sz="6" w:space="0" w:color="DDDDDD"/>
                                    <w:left w:val="single" w:sz="6" w:space="0" w:color="DDDDDD"/>
                                    <w:bottom w:val="single" w:sz="6" w:space="0" w:color="DDDDDD"/>
                                    <w:right w:val="single" w:sz="6" w:space="0" w:color="DDDDDD"/>
                                  </w:divBdr>
                                  <w:divsChild>
                                    <w:div w:id="602347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225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328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994184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439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8155647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559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0224842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425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6850330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969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0129188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257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1667410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716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1892807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998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2724085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430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307693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389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31716121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489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8512395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707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1823844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398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1825735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8031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8283902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520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1318806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052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50592473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6839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779901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167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060281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955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6834124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3591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587092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63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71326575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910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8765070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323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8938456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61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2767740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51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8130441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68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5084740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930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2268068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825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2917024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58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7842855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284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5539762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505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4361541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268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8555091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577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8271911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40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9449961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9964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35408783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203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4304095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890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5064906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406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4139027">
                                                  <w:marLeft w:val="0"/>
                                                  <w:marRight w:val="6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222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2755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292523">
                                              <w:marLeft w:val="3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6" w:space="0" w:color="DDDDDD"/>
                                              </w:divBdr>
                                            </w:div>
                                            <w:div w:id="1106313558">
                                              <w:marLeft w:val="3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DDDDD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107546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241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54591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996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623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115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6686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5382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931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241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117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5826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39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237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1533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29969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306599">
                                          <w:marLeft w:val="0"/>
                                          <w:marRight w:val="0"/>
                                          <w:marTop w:val="0"/>
                                          <w:marBottom w:val="6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08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6608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8700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30" w:color="DDDDDD"/>
                            <w:left w:val="single" w:sz="6" w:space="0" w:color="DDDDDD"/>
                            <w:bottom w:val="single" w:sz="6" w:space="30" w:color="DDDDDD"/>
                            <w:right w:val="single" w:sz="6" w:space="0" w:color="DDDDDD"/>
                          </w:divBdr>
                          <w:divsChild>
                            <w:div w:id="87696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5449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22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12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558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44322">
                                                  <w:marLeft w:val="0"/>
                                                  <w:marRight w:val="90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722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391669">
                                          <w:marLeft w:val="-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194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76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82811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212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953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75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37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9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581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734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39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72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85251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067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600522">
                                              <w:marLeft w:val="0"/>
                                              <w:marRight w:val="0"/>
                                              <w:marTop w:val="90"/>
                                              <w:marBottom w:val="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1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1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1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55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12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1C1C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00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25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217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30" w:color="C1C1C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71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8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39933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684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isofer.com/materias/derecho-mercantil?product_list_dir=des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s://www.edisofer.com/retos-y-desafios-de-las-garantias-reales.html" TargetMode="External"/><Relationship Id="rId5" Type="http://schemas.openxmlformats.org/officeDocument/2006/relationships/hyperlink" Target="https://www.edisofer.com/retos-y-desafios-de-las-garantias-reales.html" TargetMode="External"/><Relationship Id="rId10" Type="http://schemas.openxmlformats.org/officeDocument/2006/relationships/hyperlink" Target="https://www.edisofer.com/coleccion/estudios-y-comentarios-legislacion-civitas.html?product_list_dir=des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isofer.com/editor/civitas-thomson-reuters-editorial?product_list_dir=desc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1283</Words>
  <Characters>6485</Characters>
  <Application>Microsoft Office Word</Application>
  <DocSecurity>0</DocSecurity>
  <Lines>95</Lines>
  <Paragraphs>17</Paragraphs>
  <ScaleCrop>false</ScaleCrop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Benito Veiga Copo</dc:creator>
  <cp:keywords/>
  <dc:description/>
  <cp:lastModifiedBy>Abel Benito Veiga Copo</cp:lastModifiedBy>
  <cp:revision>1</cp:revision>
  <dcterms:created xsi:type="dcterms:W3CDTF">2022-01-04T12:39:00Z</dcterms:created>
  <dcterms:modified xsi:type="dcterms:W3CDTF">2022-01-04T12:42:00Z</dcterms:modified>
</cp:coreProperties>
</file>