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6684D" w14:textId="43076F9D" w:rsidR="00A8733E" w:rsidRPr="00D96C70" w:rsidRDefault="003F7B80">
      <w:pPr>
        <w:rPr>
          <w:lang w:val="en-GB"/>
        </w:rPr>
      </w:pPr>
      <w:r w:rsidRPr="003F7B80">
        <w:rPr>
          <w:rFonts w:ascii="Segoe UI" w:hAnsi="Segoe UI" w:cs="Segoe UI"/>
          <w:color w:val="212529"/>
          <w:sz w:val="21"/>
          <w:szCs w:val="21"/>
          <w:shd w:val="clear" w:color="auto" w:fill="FFFFFF"/>
          <w:lang w:val="en-GB"/>
        </w:rPr>
        <w:t> </w:t>
      </w:r>
      <w:r w:rsidRPr="003F7B80">
        <w:rPr>
          <w:rFonts w:ascii="Segoe UI" w:hAnsi="Segoe UI" w:cs="Segoe UI"/>
          <w:b/>
          <w:bCs/>
          <w:color w:val="212529"/>
          <w:sz w:val="21"/>
          <w:szCs w:val="21"/>
          <w:shd w:val="clear" w:color="auto" w:fill="FFFFFF"/>
          <w:lang w:val="en-GB"/>
        </w:rPr>
        <w:t xml:space="preserve">The kaizen philosophy, a management approach for continuous improvement in times of COVID-19. </w:t>
      </w:r>
      <w:r w:rsidRPr="00D96C70">
        <w:rPr>
          <w:rFonts w:ascii="Segoe UI" w:hAnsi="Segoe UI" w:cs="Segoe UI"/>
          <w:b/>
          <w:bCs/>
          <w:color w:val="212529"/>
          <w:sz w:val="21"/>
          <w:szCs w:val="21"/>
          <w:shd w:val="clear" w:color="auto" w:fill="FFFFFF"/>
          <w:lang w:val="en-GB"/>
        </w:rPr>
        <w:t>A case study </w:t>
      </w:r>
      <w:r w:rsidRPr="00D96C70">
        <w:rPr>
          <w:rFonts w:ascii="Segoe UI" w:hAnsi="Segoe UI" w:cs="Segoe UI"/>
          <w:color w:val="212529"/>
          <w:sz w:val="21"/>
          <w:szCs w:val="21"/>
          <w:shd w:val="clear" w:color="auto" w:fill="FFFFFF"/>
          <w:lang w:val="en-GB"/>
        </w:rPr>
        <w:t>  </w:t>
      </w:r>
      <w:r>
        <w:rPr>
          <w:rFonts w:ascii="Segoe UI" w:hAnsi="Segoe UI" w:cs="Segoe UI"/>
          <w:noProof/>
          <w:color w:val="003399"/>
          <w:sz w:val="21"/>
          <w:szCs w:val="21"/>
          <w:shd w:val="clear" w:color="auto" w:fill="FFFFFF"/>
        </w:rPr>
        <w:drawing>
          <wp:inline distT="0" distB="0" distL="0" distR="0" wp14:anchorId="44113A85" wp14:editId="5FD6805E">
            <wp:extent cx="229870" cy="229870"/>
            <wp:effectExtent l="0" t="0" r="0" b="0"/>
            <wp:docPr id="3" name="Imagen 3" descr="Order a copy of this article">
              <a:hlinkClick xmlns:a="http://schemas.openxmlformats.org/drawingml/2006/main" r:id="rId4" tooltip="&quot;Order a cop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er a copy of this article">
                      <a:hlinkClick r:id="rId4" tooltip="&quot;Order a copy of this article&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870" cy="229870"/>
                    </a:xfrm>
                    <a:prstGeom prst="rect">
                      <a:avLst/>
                    </a:prstGeom>
                    <a:noFill/>
                    <a:ln>
                      <a:noFill/>
                    </a:ln>
                  </pic:spPr>
                </pic:pic>
              </a:graphicData>
            </a:graphic>
          </wp:inline>
        </w:drawing>
      </w:r>
      <w:r w:rsidRPr="00D96C70">
        <w:rPr>
          <w:rFonts w:ascii="Segoe UI" w:hAnsi="Segoe UI" w:cs="Segoe UI"/>
          <w:color w:val="212529"/>
          <w:sz w:val="21"/>
          <w:szCs w:val="21"/>
          <w:lang w:val="en-GB"/>
        </w:rPr>
        <w:br/>
      </w:r>
      <w:r w:rsidRPr="00D96C70">
        <w:rPr>
          <w:rFonts w:ascii="Segoe UI" w:hAnsi="Segoe UI" w:cs="Segoe UI"/>
          <w:i/>
          <w:iCs/>
          <w:color w:val="212529"/>
          <w:sz w:val="21"/>
          <w:szCs w:val="21"/>
          <w:shd w:val="clear" w:color="auto" w:fill="FFFFFF"/>
          <w:lang w:val="en-GB"/>
        </w:rPr>
        <w:t>by Manuel F. Suárez-Barraza*, Manuel Francisco Morales-Contreras </w:t>
      </w:r>
      <w:r w:rsidRPr="00D96C70">
        <w:rPr>
          <w:rFonts w:ascii="Segoe UI" w:hAnsi="Segoe UI" w:cs="Segoe UI"/>
          <w:color w:val="212529"/>
          <w:sz w:val="21"/>
          <w:szCs w:val="21"/>
          <w:lang w:val="en-GB"/>
        </w:rPr>
        <w:br/>
      </w:r>
      <w:r w:rsidRPr="00D96C70">
        <w:rPr>
          <w:rFonts w:ascii="Segoe UI" w:hAnsi="Segoe UI" w:cs="Segoe UI"/>
          <w:b/>
          <w:bCs/>
          <w:color w:val="212529"/>
          <w:sz w:val="21"/>
          <w:szCs w:val="21"/>
          <w:shd w:val="clear" w:color="auto" w:fill="FFFFFF"/>
          <w:lang w:val="en-GB"/>
        </w:rPr>
        <w:t>Abstract</w:t>
      </w:r>
      <w:r w:rsidRPr="00D96C70">
        <w:rPr>
          <w:rFonts w:ascii="Segoe UI" w:hAnsi="Segoe UI" w:cs="Segoe UI"/>
          <w:color w:val="212529"/>
          <w:sz w:val="21"/>
          <w:szCs w:val="21"/>
          <w:shd w:val="clear" w:color="auto" w:fill="FFFFFF"/>
          <w:lang w:val="en-GB"/>
        </w:rPr>
        <w:t xml:space="preserve">: Studying the application of the kaizen philosophy </w:t>
      </w:r>
      <w:proofErr w:type="gramStart"/>
      <w:r w:rsidRPr="00D96C70">
        <w:rPr>
          <w:rFonts w:ascii="Segoe UI" w:hAnsi="Segoe UI" w:cs="Segoe UI"/>
          <w:color w:val="212529"/>
          <w:sz w:val="21"/>
          <w:szCs w:val="21"/>
          <w:shd w:val="clear" w:color="auto" w:fill="FFFFFF"/>
          <w:lang w:val="en-GB"/>
        </w:rPr>
        <w:t>in the midst of</w:t>
      </w:r>
      <w:proofErr w:type="gramEnd"/>
      <w:r w:rsidRPr="00D96C70">
        <w:rPr>
          <w:rFonts w:ascii="Segoe UI" w:hAnsi="Segoe UI" w:cs="Segoe UI"/>
          <w:color w:val="212529"/>
          <w:sz w:val="21"/>
          <w:szCs w:val="21"/>
          <w:shd w:val="clear" w:color="auto" w:fill="FFFFFF"/>
          <w:lang w:val="en-GB"/>
        </w:rPr>
        <w:t xml:space="preserve"> the global COVID-19 pandemic represents a great opportunity to observe the changes that are happening in people s daily work. </w:t>
      </w:r>
      <w:proofErr w:type="gramStart"/>
      <w:r w:rsidRPr="00D96C70">
        <w:rPr>
          <w:rFonts w:ascii="Segoe UI" w:hAnsi="Segoe UI" w:cs="Segoe UI"/>
          <w:color w:val="212529"/>
          <w:sz w:val="21"/>
          <w:szCs w:val="21"/>
          <w:shd w:val="clear" w:color="auto" w:fill="FFFFFF"/>
          <w:lang w:val="en-GB"/>
        </w:rPr>
        <w:t>In particular, in</w:t>
      </w:r>
      <w:proofErr w:type="gramEnd"/>
      <w:r w:rsidRPr="00D96C70">
        <w:rPr>
          <w:rFonts w:ascii="Segoe UI" w:hAnsi="Segoe UI" w:cs="Segoe UI"/>
          <w:color w:val="212529"/>
          <w:sz w:val="21"/>
          <w:szCs w:val="21"/>
          <w:shd w:val="clear" w:color="auto" w:fill="FFFFFF"/>
          <w:lang w:val="en-GB"/>
        </w:rPr>
        <w:t xml:space="preserve"> the health sector it has represented a challenge of extraordinary dimensions. Certain public hospitals in Mexico have taken into consideration this Japanese philosophy as a way of dealing with the new way of working to organise and improve it. An exploratory case study was conducted. The processes of healthcare for suspected and contaminated COVID-19 patients improved in terms of employee safety, elimination of MUDA and quality of service. Four kaizen techniques were applied before and after COVID-19 in the public hospital such as: kaizen teams, standardisation, </w:t>
      </w:r>
      <w:proofErr w:type="spellStart"/>
      <w:r w:rsidRPr="00D96C70">
        <w:rPr>
          <w:rFonts w:ascii="Segoe UI" w:hAnsi="Segoe UI" w:cs="Segoe UI"/>
          <w:color w:val="212529"/>
          <w:sz w:val="21"/>
          <w:szCs w:val="21"/>
          <w:shd w:val="clear" w:color="auto" w:fill="FFFFFF"/>
          <w:lang w:val="en-GB"/>
        </w:rPr>
        <w:t>genba</w:t>
      </w:r>
      <w:proofErr w:type="spellEnd"/>
      <w:r w:rsidRPr="00D96C70">
        <w:rPr>
          <w:rFonts w:ascii="Segoe UI" w:hAnsi="Segoe UI" w:cs="Segoe UI"/>
          <w:color w:val="212529"/>
          <w:sz w:val="21"/>
          <w:szCs w:val="21"/>
          <w:shd w:val="clear" w:color="auto" w:fill="FFFFFF"/>
          <w:lang w:val="en-GB"/>
        </w:rPr>
        <w:t xml:space="preserve"> walk management and senpai-</w:t>
      </w:r>
      <w:proofErr w:type="spellStart"/>
      <w:r w:rsidRPr="00D96C70">
        <w:rPr>
          <w:rFonts w:ascii="Segoe UI" w:hAnsi="Segoe UI" w:cs="Segoe UI"/>
          <w:color w:val="212529"/>
          <w:sz w:val="21"/>
          <w:szCs w:val="21"/>
          <w:shd w:val="clear" w:color="auto" w:fill="FFFFFF"/>
          <w:lang w:val="en-GB"/>
        </w:rPr>
        <w:t>kohai</w:t>
      </w:r>
      <w:proofErr w:type="spellEnd"/>
      <w:r w:rsidRPr="00D96C70">
        <w:rPr>
          <w:rFonts w:ascii="Segoe UI" w:hAnsi="Segoe UI" w:cs="Segoe UI"/>
          <w:color w:val="212529"/>
          <w:sz w:val="21"/>
          <w:szCs w:val="21"/>
          <w:shd w:val="clear" w:color="auto" w:fill="FFFFFF"/>
          <w:lang w:val="en-GB"/>
        </w:rPr>
        <w:t xml:space="preserve"> relationship. As a result of this research some drivers emerge during the case study analysis. Participative leadership from middle management, management by walking around, learning by doing among other drivers, they have helped the public hospital to solve its daily problems in addition to coping with the COVID-19 pandemic in terms of operational efficiency and safety of health employees.</w:t>
      </w:r>
      <w:r w:rsidRPr="00D96C70">
        <w:rPr>
          <w:rFonts w:ascii="Segoe UI" w:hAnsi="Segoe UI" w:cs="Segoe UI"/>
          <w:color w:val="212529"/>
          <w:sz w:val="21"/>
          <w:szCs w:val="21"/>
          <w:lang w:val="en-GB"/>
        </w:rPr>
        <w:br/>
      </w:r>
      <w:r w:rsidRPr="00D96C70">
        <w:rPr>
          <w:rFonts w:ascii="Segoe UI" w:hAnsi="Segoe UI" w:cs="Segoe UI"/>
          <w:b/>
          <w:bCs/>
          <w:i/>
          <w:iCs/>
          <w:color w:val="212529"/>
          <w:sz w:val="21"/>
          <w:szCs w:val="21"/>
          <w:shd w:val="clear" w:color="auto" w:fill="FFFFFF"/>
          <w:lang w:val="en-GB"/>
        </w:rPr>
        <w:t>Keywords</w:t>
      </w:r>
      <w:r w:rsidRPr="00D96C70">
        <w:rPr>
          <w:rFonts w:ascii="Segoe UI" w:hAnsi="Segoe UI" w:cs="Segoe UI"/>
          <w:i/>
          <w:iCs/>
          <w:color w:val="212529"/>
          <w:sz w:val="21"/>
          <w:szCs w:val="21"/>
          <w:shd w:val="clear" w:color="auto" w:fill="FFFFFF"/>
          <w:lang w:val="en-GB"/>
        </w:rPr>
        <w:t>: kaizen philosophy; healthcare; kaizen teams; standardisation; problem solving; Mexico; senpai-</w:t>
      </w:r>
      <w:proofErr w:type="spellStart"/>
      <w:r w:rsidRPr="00D96C70">
        <w:rPr>
          <w:rFonts w:ascii="Segoe UI" w:hAnsi="Segoe UI" w:cs="Segoe UI"/>
          <w:i/>
          <w:iCs/>
          <w:color w:val="212529"/>
          <w:sz w:val="21"/>
          <w:szCs w:val="21"/>
          <w:shd w:val="clear" w:color="auto" w:fill="FFFFFF"/>
          <w:lang w:val="en-GB"/>
        </w:rPr>
        <w:t>kohai</w:t>
      </w:r>
      <w:proofErr w:type="spellEnd"/>
      <w:r w:rsidRPr="00D96C70">
        <w:rPr>
          <w:rFonts w:ascii="Segoe UI" w:hAnsi="Segoe UI" w:cs="Segoe UI"/>
          <w:i/>
          <w:iCs/>
          <w:color w:val="212529"/>
          <w:sz w:val="21"/>
          <w:szCs w:val="21"/>
          <w:shd w:val="clear" w:color="auto" w:fill="FFFFFF"/>
          <w:lang w:val="en-GB"/>
        </w:rPr>
        <w:t xml:space="preserve"> relationship; case study; kaizen applied during COVID-19.</w:t>
      </w:r>
      <w:r w:rsidRPr="00D96C70">
        <w:rPr>
          <w:rFonts w:ascii="Segoe UI" w:hAnsi="Segoe UI" w:cs="Segoe UI"/>
          <w:i/>
          <w:iCs/>
          <w:color w:val="212529"/>
          <w:sz w:val="21"/>
          <w:szCs w:val="21"/>
          <w:shd w:val="clear" w:color="auto" w:fill="FFFFFF"/>
          <w:lang w:val="en-GB"/>
        </w:rPr>
        <w:br/>
      </w:r>
      <w:r w:rsidRPr="00D96C70">
        <w:rPr>
          <w:rFonts w:ascii="Segoe UI" w:hAnsi="Segoe UI" w:cs="Segoe UI"/>
          <w:b/>
          <w:bCs/>
          <w:color w:val="212529"/>
          <w:sz w:val="21"/>
          <w:szCs w:val="21"/>
          <w:shd w:val="clear" w:color="auto" w:fill="FFFFFF"/>
          <w:lang w:val="en-GB"/>
        </w:rPr>
        <w:t>DOI:</w:t>
      </w:r>
      <w:r w:rsidRPr="00D96C70">
        <w:rPr>
          <w:rFonts w:ascii="Segoe UI" w:hAnsi="Segoe UI" w:cs="Segoe UI"/>
          <w:color w:val="212529"/>
          <w:sz w:val="21"/>
          <w:szCs w:val="21"/>
          <w:shd w:val="clear" w:color="auto" w:fill="FFFFFF"/>
          <w:lang w:val="en-GB"/>
        </w:rPr>
        <w:t> 10.1504/IJEPEE.2021.10037675</w:t>
      </w:r>
    </w:p>
    <w:p w14:paraId="5A612845" w14:textId="50E150BB" w:rsidR="00A8733E" w:rsidRPr="00A8733E" w:rsidRDefault="00A8733E">
      <w:pPr>
        <w:rPr>
          <w:lang w:val="en-GB"/>
        </w:rPr>
      </w:pPr>
      <w:r>
        <w:rPr>
          <w:lang w:val="en-GB"/>
        </w:rPr>
        <w:t>Access link:</w:t>
      </w:r>
    </w:p>
    <w:p w14:paraId="5606FCC1" w14:textId="3D5B3D67" w:rsidR="00A8733E" w:rsidRDefault="00D96C70">
      <w:pPr>
        <w:rPr>
          <w:lang w:val="en-GB"/>
        </w:rPr>
      </w:pPr>
      <w:hyperlink r:id="rId6" w:history="1">
        <w:r w:rsidR="00A8733E" w:rsidRPr="00F71911">
          <w:rPr>
            <w:rStyle w:val="Hipervnculo"/>
            <w:lang w:val="en-GB"/>
          </w:rPr>
          <w:t>https://www.inderscience.com/info/ingeneral/forthcoming.php?jcode=ijepee</w:t>
        </w:r>
      </w:hyperlink>
    </w:p>
    <w:p w14:paraId="09E10134" w14:textId="674E7AE5" w:rsidR="00A8733E" w:rsidRDefault="00A8733E">
      <w:pPr>
        <w:rPr>
          <w:lang w:val="en-GB"/>
        </w:rPr>
      </w:pPr>
    </w:p>
    <w:p w14:paraId="48CD868C" w14:textId="0D42AA09" w:rsidR="00A8733E" w:rsidRPr="00A8733E" w:rsidRDefault="00A8733E">
      <w:pPr>
        <w:rPr>
          <w:lang w:val="en-GB"/>
        </w:rPr>
      </w:pPr>
      <w:r>
        <w:rPr>
          <w:noProof/>
        </w:rPr>
        <w:drawing>
          <wp:inline distT="0" distB="0" distL="0" distR="0" wp14:anchorId="5181CA19" wp14:editId="69EBA8B2">
            <wp:extent cx="5400040" cy="2578100"/>
            <wp:effectExtent l="0" t="0" r="0" b="0"/>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a:blip r:embed="rId7"/>
                    <a:stretch>
                      <a:fillRect/>
                    </a:stretch>
                  </pic:blipFill>
                  <pic:spPr>
                    <a:xfrm>
                      <a:off x="0" y="0"/>
                      <a:ext cx="5400040" cy="2578100"/>
                    </a:xfrm>
                    <a:prstGeom prst="rect">
                      <a:avLst/>
                    </a:prstGeom>
                  </pic:spPr>
                </pic:pic>
              </a:graphicData>
            </a:graphic>
          </wp:inline>
        </w:drawing>
      </w:r>
    </w:p>
    <w:p w14:paraId="63E77207" w14:textId="77777777" w:rsidR="00A8733E" w:rsidRPr="00A8733E" w:rsidRDefault="00A8733E">
      <w:pPr>
        <w:rPr>
          <w:lang w:val="en-GB"/>
        </w:rPr>
      </w:pPr>
    </w:p>
    <w:sectPr w:rsidR="00A8733E" w:rsidRPr="00A873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3E"/>
    <w:rsid w:val="003F7B80"/>
    <w:rsid w:val="007E7B2F"/>
    <w:rsid w:val="008370DF"/>
    <w:rsid w:val="00A550D7"/>
    <w:rsid w:val="00A56DD1"/>
    <w:rsid w:val="00A8733E"/>
    <w:rsid w:val="00BC5E8C"/>
    <w:rsid w:val="00D96C70"/>
    <w:rsid w:val="00EE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1C97"/>
  <w15:chartTrackingRefBased/>
  <w15:docId w15:val="{12F701DB-B27F-4E07-9673-CDF3416A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8733E"/>
    <w:rPr>
      <w:color w:val="0563C1" w:themeColor="hyperlink"/>
      <w:u w:val="single"/>
    </w:rPr>
  </w:style>
  <w:style w:type="character" w:styleId="Mencinsinresolver">
    <w:name w:val="Unresolved Mention"/>
    <w:basedOn w:val="Fuentedeprrafopredeter"/>
    <w:uiPriority w:val="99"/>
    <w:semiHidden/>
    <w:unhideWhenUsed/>
    <w:rsid w:val="00A87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rscience.com/info/ingeneral/forthcoming.php?jcode=ijepee" TargetMode="External"/><Relationship Id="rId5" Type="http://schemas.openxmlformats.org/officeDocument/2006/relationships/image" Target="media/image1.gif"/><Relationship Id="rId4" Type="http://schemas.openxmlformats.org/officeDocument/2006/relationships/hyperlink" Target="mailto:subs@inderscience.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274</Words>
  <Characters>1507</Characters>
  <Application>Microsoft Office Word</Application>
  <DocSecurity>0</DocSecurity>
  <Lines>12</Lines>
  <Paragraphs>3</Paragraphs>
  <ScaleCrop>false</ScaleCrop>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2</cp:revision>
  <dcterms:created xsi:type="dcterms:W3CDTF">2022-02-02T09:04:00Z</dcterms:created>
  <dcterms:modified xsi:type="dcterms:W3CDTF">2022-02-02T09:04:00Z</dcterms:modified>
</cp:coreProperties>
</file>