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A4A18" w14:textId="3B5E52C9" w:rsidR="00DD3C7A" w:rsidRDefault="00DD3C7A" w:rsidP="00114DC5">
      <w:pPr>
        <w:ind w:firstLine="709"/>
        <w:jc w:val="both"/>
      </w:pPr>
      <w:r>
        <w:t>Euterpe y Talía se convierten en traductoras: música, poesía y traducción</w:t>
      </w:r>
    </w:p>
    <w:p w14:paraId="3B27DB27" w14:textId="632142BD" w:rsidR="00EC1BD7" w:rsidRDefault="00E51979" w:rsidP="00114DC5">
      <w:pPr>
        <w:ind w:firstLine="709"/>
        <w:jc w:val="both"/>
      </w:pPr>
      <w:r>
        <w:t>La prosodia y la musicalidad aportan un importante nivel de significación en la lectura y en la comprensión del texto</w:t>
      </w:r>
      <w:r w:rsidR="0026380F">
        <w:t xml:space="preserve">. </w:t>
      </w:r>
      <w:r w:rsidR="004958FB">
        <w:t>En términos barthesianos</w:t>
      </w:r>
      <w:r w:rsidR="00412E48">
        <w:t>,</w:t>
      </w:r>
      <w:r w:rsidR="004958FB">
        <w:t xml:space="preserve"> la música forma parte de su textura y se puede interpretar como un tejido</w:t>
      </w:r>
      <w:r w:rsidR="00412E48">
        <w:t xml:space="preserve"> que envuelve la forma y el significado del texto</w:t>
      </w:r>
      <w:r w:rsidR="000951CC">
        <w:t xml:space="preserve"> (Barthes)</w:t>
      </w:r>
      <w:r w:rsidR="00412E48">
        <w:t xml:space="preserve">. </w:t>
      </w:r>
      <w:r w:rsidR="004958FB">
        <w:t>Al</w:t>
      </w:r>
      <w:r w:rsidR="0026380F">
        <w:t xml:space="preserve"> igual que la música, el silencio tiene </w:t>
      </w:r>
      <w:r w:rsidR="004958FB">
        <w:t xml:space="preserve">también </w:t>
      </w:r>
      <w:r w:rsidR="0026380F">
        <w:t>un peso significativo</w:t>
      </w:r>
      <w:r w:rsidR="004958FB">
        <w:t xml:space="preserve"> en la lectura</w:t>
      </w:r>
      <w:r w:rsidR="0026380F">
        <w:t xml:space="preserve">, pues marca </w:t>
      </w:r>
      <w:r w:rsidR="00EA271B">
        <w:t>las</w:t>
      </w:r>
      <w:r w:rsidR="0026380F">
        <w:t xml:space="preserve"> cesuras, </w:t>
      </w:r>
      <w:r w:rsidR="00EA271B">
        <w:t>los</w:t>
      </w:r>
      <w:r w:rsidR="0026380F">
        <w:t xml:space="preserve"> truncamientos y </w:t>
      </w:r>
      <w:r w:rsidR="00EA271B">
        <w:t xml:space="preserve">las </w:t>
      </w:r>
      <w:r w:rsidR="0026380F">
        <w:t xml:space="preserve">pausas, elementos esenciales para comprender </w:t>
      </w:r>
      <w:r w:rsidR="00693203">
        <w:t>el</w:t>
      </w:r>
      <w:r w:rsidR="0026380F">
        <w:t xml:space="preserve"> ritmo</w:t>
      </w:r>
      <w:r w:rsidR="00693203">
        <w:t xml:space="preserve"> textual</w:t>
      </w:r>
      <w:r w:rsidR="0026380F">
        <w:t xml:space="preserve">. El silencio </w:t>
      </w:r>
      <w:r w:rsidR="004958FB">
        <w:t>se caracteriza</w:t>
      </w:r>
      <w:r w:rsidR="0026380F">
        <w:t xml:space="preserve">, además, </w:t>
      </w:r>
      <w:r w:rsidR="00347B88">
        <w:t>por su</w:t>
      </w:r>
      <w:r w:rsidR="0026380F">
        <w:t xml:space="preserve"> valor </w:t>
      </w:r>
      <w:r w:rsidR="00B33026">
        <w:t>semántico</w:t>
      </w:r>
      <w:r w:rsidR="0026380F">
        <w:t>, pues también está relacionado con lo que no se dice, con la alusión</w:t>
      </w:r>
      <w:r w:rsidR="00347B88">
        <w:t xml:space="preserve"> y </w:t>
      </w:r>
      <w:r w:rsidR="00B33026">
        <w:t>con la retóric</w:t>
      </w:r>
      <w:r w:rsidR="00347B88">
        <w:t>a,</w:t>
      </w:r>
      <w:r w:rsidR="00B33026">
        <w:t xml:space="preserve"> </w:t>
      </w:r>
      <w:r w:rsidR="000C4A76">
        <w:t xml:space="preserve">tanto </w:t>
      </w:r>
      <w:r w:rsidR="00B33026">
        <w:t xml:space="preserve">de las figuras estilísticas y </w:t>
      </w:r>
      <w:r w:rsidR="000C4A76">
        <w:t>del plano connotativo</w:t>
      </w:r>
      <w:r w:rsidR="0026380F">
        <w:t>.</w:t>
      </w:r>
      <w:r w:rsidR="00B33026">
        <w:t xml:space="preserve"> </w:t>
      </w:r>
      <w:r w:rsidR="008B1E19">
        <w:t>Música y silencio confluyen en la traducción del texto poético y en los trabajos de adaptación tanto de canciones como de musicales.</w:t>
      </w:r>
      <w:r w:rsidR="00EC1BD7">
        <w:t xml:space="preserve"> </w:t>
      </w:r>
    </w:p>
    <w:p w14:paraId="67A76AC9" w14:textId="358405C1" w:rsidR="00EC1BD7" w:rsidRDefault="007549B6" w:rsidP="00114DC5">
      <w:pPr>
        <w:ind w:firstLine="709"/>
        <w:jc w:val="both"/>
      </w:pPr>
      <w:r>
        <w:t xml:space="preserve">El traductor de poesía </w:t>
      </w:r>
      <w:r w:rsidR="00AF05D1">
        <w:t xml:space="preserve">trabajará fundamentalmente en tres planos de significación: la dimensión métrica, la dimensión retórica y la dimensión semántico-simbólica. En la primera intervienen una serie de parámetros vinculados a la música y al silencio como el ritmo, la rima o la medida del verso; en la segunda, </w:t>
      </w:r>
      <w:r w:rsidR="000C4A76">
        <w:t xml:space="preserve">el tratamiento de las figuras estilísticas y, en la tercera, el conocimiento de un discurso metapoético, es decir, de la trayectoria biográfica y del universo simbólico sobre el que se construye la obra poética del autor. </w:t>
      </w:r>
      <w:r w:rsidR="00A42387">
        <w:t>Este plano de significación es esencial para comprender el poema en su integridad, pues el discurso poético se basa, en buena medida, en una serie de isotopías, constituidas por constelaciones de significado</w:t>
      </w:r>
      <w:r w:rsidR="00FD3330">
        <w:t xml:space="preserve"> (Greimas)</w:t>
      </w:r>
      <w:r w:rsidR="00975A77">
        <w:t xml:space="preserve"> que suelen abarcar toda la producción poética del autor. Esta red de significación se basa en un edificio simbólico</w:t>
      </w:r>
      <w:r w:rsidR="005346C6">
        <w:t xml:space="preserve"> que obedece a un dinamismo organizador (Bachelard), capaz de recoger sentimientos, emociones y vivencias primarias,</w:t>
      </w:r>
      <w:r w:rsidR="00693203">
        <w:t xml:space="preserve"> expresadas en la esfera de lo </w:t>
      </w:r>
      <w:r w:rsidR="005346C6">
        <w:t>prelingüístico (Ricoeur)</w:t>
      </w:r>
      <w:r w:rsidR="00693203">
        <w:t>, a partir del cual se construye el significado del poema.</w:t>
      </w:r>
    </w:p>
    <w:p w14:paraId="5C2C9C05" w14:textId="1B83B55D" w:rsidR="00552F98" w:rsidRDefault="00B50D84" w:rsidP="00114DC5">
      <w:pPr>
        <w:ind w:firstLine="709"/>
        <w:jc w:val="both"/>
      </w:pPr>
      <w:r>
        <w:t xml:space="preserve">El traductor de musicales y </w:t>
      </w:r>
      <w:r w:rsidR="00693203">
        <w:t xml:space="preserve">de </w:t>
      </w:r>
      <w:r>
        <w:t xml:space="preserve">canciones tendrá que hacer frente a otro </w:t>
      </w:r>
      <w:r w:rsidR="00310E1B">
        <w:t>factor</w:t>
      </w:r>
      <w:r>
        <w:t xml:space="preserve"> ausente de la realidad textual, que es la notación. </w:t>
      </w:r>
      <w:r w:rsidR="00104088">
        <w:t>Por esta razón, el esquema planteado anteriormente experimenta algunas transformaciones necesarias para incluir este elemento</w:t>
      </w:r>
      <w:r w:rsidR="00552F98">
        <w:t>, reflejad</w:t>
      </w:r>
      <w:r w:rsidR="00310E1B">
        <w:t>o</w:t>
      </w:r>
      <w:r w:rsidR="00552F98">
        <w:t xml:space="preserve"> en los conceptos de cantabilidad y naturalidad que, junto con los principios de sentido, ritmo y rima, componen la teoría del pentatlón de Peter Low.</w:t>
      </w:r>
    </w:p>
    <w:p w14:paraId="3596941C" w14:textId="3AAB6867" w:rsidR="0044765D" w:rsidRDefault="00C731BB" w:rsidP="00114DC5">
      <w:pPr>
        <w:ind w:firstLine="709"/>
        <w:jc w:val="both"/>
      </w:pPr>
      <w:r>
        <w:t>Los traductores de ambos géneros tendrán que hacer frente, además, a los diferentes tipos de equivalencia que entraña todo acto traslativo, que va</w:t>
      </w:r>
      <w:r w:rsidR="00310E1B">
        <w:t>n</w:t>
      </w:r>
      <w:r>
        <w:t xml:space="preserve"> desde las unidades menores de traducción hasta las unidades mayores, </w:t>
      </w:r>
      <w:r w:rsidR="004F3B15">
        <w:t>para atender a</w:t>
      </w:r>
      <w:r>
        <w:t xml:space="preserve"> una valoración holística del resultado final en términos de pragmática del discurso. </w:t>
      </w:r>
      <w:r w:rsidR="0044765D">
        <w:t xml:space="preserve">Los elementos prosódicos y musicales marcan de forma significativa la elección de una estrategia traslativa, determinada por la intención de ofrecer una traducción puramente comunicativa, capaz de transmitir los contenidos, o bien una traducción </w:t>
      </w:r>
      <w:r w:rsidR="0044765D">
        <w:rPr>
          <w:rFonts w:cstheme="minorHAnsi"/>
        </w:rPr>
        <w:t>«</w:t>
      </w:r>
      <w:r w:rsidR="0044765D">
        <w:t>a rima y a verso</w:t>
      </w:r>
      <w:r w:rsidR="0044765D">
        <w:rPr>
          <w:rFonts w:cstheme="minorHAnsi"/>
        </w:rPr>
        <w:t>»</w:t>
      </w:r>
      <w:r w:rsidR="0044765D">
        <w:t>, lo que implica poner en práctica mecanismos de adaptación.</w:t>
      </w:r>
    </w:p>
    <w:p w14:paraId="57A86B10" w14:textId="514668A5" w:rsidR="00C731BB" w:rsidRDefault="0044765D" w:rsidP="00114DC5">
      <w:pPr>
        <w:ind w:firstLine="709"/>
        <w:jc w:val="both"/>
      </w:pPr>
      <w:r>
        <w:t>Esta reflexión sobre la traducción poética y sobre la traducción musical irá acompañada de una serie de ejemplos, cuya función será ilustrar las diferentes fases de los procesos arriba descritos, así como el tipo de estrategia elegida en cada caso.</w:t>
      </w:r>
      <w:r w:rsidR="002B7904">
        <w:t xml:space="preserve"> Las lenguas de trabajo utilizadas serán el francés, el italiano y el español. </w:t>
      </w:r>
    </w:p>
    <w:p w14:paraId="70C0F80A" w14:textId="77777777" w:rsidR="0044765D" w:rsidRDefault="0044765D" w:rsidP="00652AC8"/>
    <w:p w14:paraId="05773861" w14:textId="204DAA6E" w:rsidR="00866827" w:rsidRPr="000951CC" w:rsidRDefault="00C731BB" w:rsidP="00652AC8">
      <w:pPr>
        <w:rPr>
          <w:lang w:val="fr-FR"/>
        </w:rPr>
      </w:pPr>
      <w:r w:rsidRPr="000951CC">
        <w:rPr>
          <w:lang w:val="fr-FR"/>
        </w:rPr>
        <w:t>B</w:t>
      </w:r>
      <w:r w:rsidR="00866827" w:rsidRPr="000951CC">
        <w:rPr>
          <w:lang w:val="fr-FR"/>
        </w:rPr>
        <w:t>ibliografía:</w:t>
      </w:r>
    </w:p>
    <w:p w14:paraId="50D3B4D4" w14:textId="2543D389" w:rsidR="00293CC0" w:rsidRPr="008E6531" w:rsidRDefault="00293CC0" w:rsidP="00652AC8">
      <w:pPr>
        <w:rPr>
          <w:iCs/>
          <w:lang w:val="fr-FR"/>
        </w:rPr>
      </w:pPr>
      <w:r w:rsidRPr="000951CC">
        <w:rPr>
          <w:lang w:val="fr-FR"/>
        </w:rPr>
        <w:t>Bachelard, G. (</w:t>
      </w:r>
      <w:r w:rsidR="008E6531">
        <w:rPr>
          <w:lang w:val="fr-FR"/>
        </w:rPr>
        <w:t>2012</w:t>
      </w:r>
      <w:r w:rsidRPr="000951CC">
        <w:rPr>
          <w:lang w:val="fr-FR"/>
        </w:rPr>
        <w:t xml:space="preserve"> ): </w:t>
      </w:r>
      <w:r w:rsidRPr="000951CC">
        <w:rPr>
          <w:i/>
          <w:iCs/>
          <w:lang w:val="fr-FR"/>
        </w:rPr>
        <w:t xml:space="preserve">La poétique de l’espace. </w:t>
      </w:r>
      <w:r w:rsidR="008E6531" w:rsidRPr="008E6531">
        <w:rPr>
          <w:iCs/>
          <w:lang w:val="fr-FR"/>
        </w:rPr>
        <w:t>Paris : Presses universitaires de France.</w:t>
      </w:r>
    </w:p>
    <w:p w14:paraId="6C81D7D4" w14:textId="7E07D738" w:rsidR="00556AF2" w:rsidRPr="000951CC" w:rsidRDefault="00556AF2" w:rsidP="00652AC8">
      <w:pPr>
        <w:rPr>
          <w:lang w:val="fr-FR"/>
        </w:rPr>
      </w:pPr>
      <w:r w:rsidRPr="000951CC">
        <w:rPr>
          <w:lang w:val="fr-FR"/>
        </w:rPr>
        <w:t>Baker. M. (</w:t>
      </w:r>
      <w:r w:rsidR="009C0C67" w:rsidRPr="000951CC">
        <w:rPr>
          <w:lang w:val="fr-FR"/>
        </w:rPr>
        <w:t>1999</w:t>
      </w:r>
      <w:r w:rsidRPr="000951CC">
        <w:rPr>
          <w:lang w:val="fr-FR"/>
        </w:rPr>
        <w:t xml:space="preserve">): </w:t>
      </w:r>
      <w:r w:rsidRPr="000951CC">
        <w:rPr>
          <w:i/>
          <w:iCs/>
          <w:lang w:val="fr-FR"/>
        </w:rPr>
        <w:t xml:space="preserve">In Other Words. </w:t>
      </w:r>
      <w:r w:rsidR="009C0C67" w:rsidRPr="000951CC">
        <w:rPr>
          <w:i/>
          <w:iCs/>
          <w:lang w:val="fr-FR"/>
        </w:rPr>
        <w:t>A coursebook on translation</w:t>
      </w:r>
      <w:r w:rsidR="009C0C67" w:rsidRPr="000951CC">
        <w:rPr>
          <w:lang w:val="fr-FR"/>
        </w:rPr>
        <w:t>. London and New York: Routledge.</w:t>
      </w:r>
    </w:p>
    <w:p w14:paraId="5E8FF4F5" w14:textId="226CD5CD" w:rsidR="004F3B15" w:rsidRDefault="004F3B15" w:rsidP="00652AC8">
      <w:pPr>
        <w:rPr>
          <w:lang w:val="fr-FR"/>
        </w:rPr>
      </w:pPr>
      <w:r w:rsidRPr="000951CC">
        <w:rPr>
          <w:lang w:val="fr-FR"/>
        </w:rPr>
        <w:lastRenderedPageBreak/>
        <w:t>Barthes, R. (</w:t>
      </w:r>
      <w:r w:rsidR="00293CC0" w:rsidRPr="000951CC">
        <w:rPr>
          <w:lang w:val="fr-FR"/>
        </w:rPr>
        <w:t>1973</w:t>
      </w:r>
      <w:r w:rsidRPr="000951CC">
        <w:rPr>
          <w:lang w:val="fr-FR"/>
        </w:rPr>
        <w:t xml:space="preserve">): </w:t>
      </w:r>
      <w:r w:rsidR="00293CC0" w:rsidRPr="000951CC">
        <w:rPr>
          <w:i/>
          <w:iCs/>
          <w:lang w:val="fr-FR"/>
        </w:rPr>
        <w:t>Le plaisir du texte</w:t>
      </w:r>
      <w:r w:rsidR="00293CC0" w:rsidRPr="000951CC">
        <w:rPr>
          <w:lang w:val="fr-FR"/>
        </w:rPr>
        <w:t>. Paris: Seuil.</w:t>
      </w:r>
    </w:p>
    <w:p w14:paraId="4452DC89" w14:textId="5DA9E7EC" w:rsidR="000951CC" w:rsidRPr="000951CC" w:rsidRDefault="000951CC" w:rsidP="00652AC8">
      <w:pPr>
        <w:rPr>
          <w:lang w:val="fr-FR"/>
        </w:rPr>
      </w:pPr>
      <w:r w:rsidRPr="000951CC">
        <w:rPr>
          <w:lang w:val="fr-FR"/>
        </w:rPr>
        <w:t xml:space="preserve">Berman, A. (1999): </w:t>
      </w:r>
      <w:r w:rsidRPr="000951CC">
        <w:rPr>
          <w:i/>
          <w:iCs/>
          <w:lang w:val="fr-FR"/>
        </w:rPr>
        <w:t>La traduction et la lettre ou l’auberge du lointain</w:t>
      </w:r>
      <w:r w:rsidRPr="000951CC">
        <w:rPr>
          <w:lang w:val="fr-FR"/>
        </w:rPr>
        <w:t>. Paris: Seuil.</w:t>
      </w:r>
    </w:p>
    <w:p w14:paraId="4781FA15" w14:textId="0B391CBA" w:rsidR="009C0C67" w:rsidRPr="000951CC" w:rsidRDefault="009C0C67" w:rsidP="00652AC8">
      <w:pPr>
        <w:rPr>
          <w:lang w:val="fr-FR"/>
        </w:rPr>
      </w:pPr>
      <w:r w:rsidRPr="000951CC">
        <w:rPr>
          <w:lang w:val="fr-FR"/>
        </w:rPr>
        <w:t>Greimas, A. (</w:t>
      </w:r>
      <w:r w:rsidR="004958FB" w:rsidRPr="000951CC">
        <w:rPr>
          <w:lang w:val="fr-FR"/>
        </w:rPr>
        <w:t>1974</w:t>
      </w:r>
      <w:r w:rsidRPr="000951CC">
        <w:rPr>
          <w:lang w:val="fr-FR"/>
        </w:rPr>
        <w:t xml:space="preserve">): </w:t>
      </w:r>
      <w:r w:rsidRPr="000951CC">
        <w:rPr>
          <w:i/>
          <w:iCs/>
          <w:lang w:val="fr-FR"/>
        </w:rPr>
        <w:t xml:space="preserve">Sémantique </w:t>
      </w:r>
      <w:r w:rsidR="004958FB" w:rsidRPr="000951CC">
        <w:rPr>
          <w:i/>
          <w:iCs/>
          <w:lang w:val="fr-FR"/>
        </w:rPr>
        <w:t>structurale.</w:t>
      </w:r>
      <w:r w:rsidR="004958FB" w:rsidRPr="000951CC">
        <w:rPr>
          <w:lang w:val="fr-FR"/>
        </w:rPr>
        <w:t xml:space="preserve"> Paris: Larousse.</w:t>
      </w:r>
    </w:p>
    <w:p w14:paraId="30710745" w14:textId="3616E372" w:rsidR="005A4986" w:rsidRPr="000951CC" w:rsidRDefault="005A4986" w:rsidP="00652AC8">
      <w:pPr>
        <w:rPr>
          <w:lang w:val="fr-FR"/>
        </w:rPr>
      </w:pPr>
      <w:r w:rsidRPr="000951CC">
        <w:rPr>
          <w:lang w:val="fr-FR"/>
        </w:rPr>
        <w:t>Ladmiral, J.-R. (</w:t>
      </w:r>
      <w:r w:rsidR="00F15FC9" w:rsidRPr="000951CC">
        <w:rPr>
          <w:lang w:val="fr-FR"/>
        </w:rPr>
        <w:t>1994</w:t>
      </w:r>
      <w:r w:rsidRPr="000951CC">
        <w:rPr>
          <w:lang w:val="fr-FR"/>
        </w:rPr>
        <w:t xml:space="preserve">): </w:t>
      </w:r>
      <w:r w:rsidRPr="000951CC">
        <w:rPr>
          <w:i/>
          <w:iCs/>
          <w:lang w:val="fr-FR"/>
        </w:rPr>
        <w:t>Traduire: théorèmes pour la traduction</w:t>
      </w:r>
      <w:r w:rsidRPr="000951CC">
        <w:rPr>
          <w:lang w:val="fr-FR"/>
        </w:rPr>
        <w:t>. Paris: Gallimard.</w:t>
      </w:r>
    </w:p>
    <w:p w14:paraId="2041508A" w14:textId="42B7A3A1" w:rsidR="00674537" w:rsidRPr="000951CC" w:rsidRDefault="00F925F8" w:rsidP="00652AC8">
      <w:pPr>
        <w:rPr>
          <w:lang w:val="fr-FR"/>
        </w:rPr>
      </w:pPr>
      <w:r w:rsidRPr="000951CC">
        <w:rPr>
          <w:lang w:val="fr-FR"/>
        </w:rPr>
        <w:t xml:space="preserve">Low, P. (2005):  </w:t>
      </w:r>
      <w:r w:rsidRPr="000951CC">
        <w:rPr>
          <w:rFonts w:cstheme="minorHAnsi"/>
          <w:lang w:val="fr-FR"/>
        </w:rPr>
        <w:t>«</w:t>
      </w:r>
      <w:r w:rsidRPr="000951CC">
        <w:rPr>
          <w:lang w:val="fr-FR"/>
        </w:rPr>
        <w:t>The Pentathlon approach to translating songs</w:t>
      </w:r>
      <w:r w:rsidRPr="000951CC">
        <w:rPr>
          <w:rFonts w:cstheme="minorHAnsi"/>
          <w:lang w:val="fr-FR"/>
        </w:rPr>
        <w:t>»</w:t>
      </w:r>
      <w:r w:rsidRPr="000951CC">
        <w:rPr>
          <w:lang w:val="fr-FR"/>
        </w:rPr>
        <w:t xml:space="preserve">. In D. L. Gorlée (Ed.), </w:t>
      </w:r>
      <w:r w:rsidRPr="000951CC">
        <w:rPr>
          <w:i/>
          <w:iCs/>
          <w:lang w:val="fr-FR"/>
        </w:rPr>
        <w:t>Song and Significance. Virtues and Vices of Vocal Translation</w:t>
      </w:r>
      <w:r w:rsidRPr="000951CC">
        <w:rPr>
          <w:lang w:val="fr-FR"/>
        </w:rPr>
        <w:t>. Amsterdam-New York: Rodopi</w:t>
      </w:r>
      <w:bookmarkStart w:id="0" w:name="_GoBack"/>
      <w:bookmarkEnd w:id="0"/>
      <w:r w:rsidRPr="000951CC">
        <w:rPr>
          <w:lang w:val="fr-FR"/>
        </w:rPr>
        <w:t>, pp  185-212</w:t>
      </w:r>
    </w:p>
    <w:p w14:paraId="6F0EB153" w14:textId="31A5606D" w:rsidR="00293CC0" w:rsidRPr="000951CC" w:rsidRDefault="00293CC0" w:rsidP="00652AC8">
      <w:pPr>
        <w:rPr>
          <w:lang w:val="fr-FR"/>
        </w:rPr>
      </w:pPr>
      <w:r w:rsidRPr="000951CC">
        <w:rPr>
          <w:lang w:val="fr-FR"/>
        </w:rPr>
        <w:t xml:space="preserve">Larose, R. (1992): </w:t>
      </w:r>
      <w:r w:rsidRPr="000951CC">
        <w:rPr>
          <w:i/>
          <w:iCs/>
          <w:lang w:val="fr-FR"/>
        </w:rPr>
        <w:t>Théories contemporaines de la traductio</w:t>
      </w:r>
      <w:r w:rsidR="005A4986" w:rsidRPr="000951CC">
        <w:rPr>
          <w:i/>
          <w:iCs/>
          <w:lang w:val="fr-FR"/>
        </w:rPr>
        <w:t>n</w:t>
      </w:r>
      <w:r w:rsidR="005A4986" w:rsidRPr="000951CC">
        <w:rPr>
          <w:lang w:val="fr-FR"/>
        </w:rPr>
        <w:t>. Québec: Presses Universitaires de Québec.</w:t>
      </w:r>
    </w:p>
    <w:p w14:paraId="67EAC0B4" w14:textId="353065BC" w:rsidR="007F7CC7" w:rsidRPr="000951CC" w:rsidRDefault="0092278A" w:rsidP="00652AC8">
      <w:pPr>
        <w:rPr>
          <w:lang w:val="fr-FR"/>
        </w:rPr>
      </w:pPr>
      <w:r w:rsidRPr="000951CC">
        <w:rPr>
          <w:lang w:val="fr-FR"/>
        </w:rPr>
        <w:t>Ric</w:t>
      </w:r>
      <w:r w:rsidRPr="000951CC">
        <w:rPr>
          <w:rFonts w:cstheme="minorHAnsi"/>
          <w:lang w:val="fr-FR"/>
        </w:rPr>
        <w:t xml:space="preserve">œur. P. (1959): </w:t>
      </w:r>
      <w:r w:rsidR="00674537" w:rsidRPr="000951CC">
        <w:rPr>
          <w:rFonts w:cstheme="minorHAnsi"/>
          <w:lang w:val="fr-FR"/>
        </w:rPr>
        <w:t xml:space="preserve">«Le symbole donne à penser», </w:t>
      </w:r>
      <w:r w:rsidR="00674537" w:rsidRPr="000951CC">
        <w:rPr>
          <w:rFonts w:cstheme="minorHAnsi"/>
          <w:i/>
          <w:iCs/>
          <w:lang w:val="fr-FR"/>
        </w:rPr>
        <w:t>Esprit,</w:t>
      </w:r>
      <w:r w:rsidR="00674537" w:rsidRPr="000951CC">
        <w:rPr>
          <w:rFonts w:cstheme="minorHAnsi"/>
          <w:lang w:val="fr-FR"/>
        </w:rPr>
        <w:t xml:space="preserve"> 27, p</w:t>
      </w:r>
      <w:r w:rsidR="008E6531">
        <w:rPr>
          <w:rFonts w:cstheme="minorHAnsi"/>
          <w:lang w:val="fr-FR"/>
        </w:rPr>
        <w:t xml:space="preserve">p. 60-76, </w:t>
      </w:r>
    </w:p>
    <w:sectPr w:rsidR="007F7CC7" w:rsidRPr="000951C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D9A"/>
    <w:rsid w:val="000951CC"/>
    <w:rsid w:val="000C4A76"/>
    <w:rsid w:val="00104088"/>
    <w:rsid w:val="00114DC5"/>
    <w:rsid w:val="0014593B"/>
    <w:rsid w:val="0026380F"/>
    <w:rsid w:val="00293CC0"/>
    <w:rsid w:val="002B7904"/>
    <w:rsid w:val="00310E1B"/>
    <w:rsid w:val="00347B88"/>
    <w:rsid w:val="003B7508"/>
    <w:rsid w:val="0040179E"/>
    <w:rsid w:val="00412E48"/>
    <w:rsid w:val="0044765D"/>
    <w:rsid w:val="004958FB"/>
    <w:rsid w:val="004D028C"/>
    <w:rsid w:val="004F3B15"/>
    <w:rsid w:val="005346C6"/>
    <w:rsid w:val="00552F98"/>
    <w:rsid w:val="00556AF2"/>
    <w:rsid w:val="005A4986"/>
    <w:rsid w:val="00616397"/>
    <w:rsid w:val="00652AC8"/>
    <w:rsid w:val="00674537"/>
    <w:rsid w:val="00693203"/>
    <w:rsid w:val="007549B6"/>
    <w:rsid w:val="00791C2D"/>
    <w:rsid w:val="007E2D9A"/>
    <w:rsid w:val="007F7CC7"/>
    <w:rsid w:val="00803B80"/>
    <w:rsid w:val="00811CF8"/>
    <w:rsid w:val="00866827"/>
    <w:rsid w:val="008B1E19"/>
    <w:rsid w:val="008E6531"/>
    <w:rsid w:val="0092278A"/>
    <w:rsid w:val="00975A77"/>
    <w:rsid w:val="009B0AEA"/>
    <w:rsid w:val="009C0C67"/>
    <w:rsid w:val="00A42387"/>
    <w:rsid w:val="00A650E5"/>
    <w:rsid w:val="00AD4AF1"/>
    <w:rsid w:val="00AF05D1"/>
    <w:rsid w:val="00B2595D"/>
    <w:rsid w:val="00B33026"/>
    <w:rsid w:val="00B50D84"/>
    <w:rsid w:val="00C731BB"/>
    <w:rsid w:val="00D06C1C"/>
    <w:rsid w:val="00DD3C7A"/>
    <w:rsid w:val="00E51979"/>
    <w:rsid w:val="00EA271B"/>
    <w:rsid w:val="00EC1BD7"/>
    <w:rsid w:val="00F15FC9"/>
    <w:rsid w:val="00F925F8"/>
    <w:rsid w:val="00FA72AF"/>
    <w:rsid w:val="00FD33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1130F"/>
  <w15:chartTrackingRefBased/>
  <w15:docId w15:val="{529D6029-54F6-4F10-BFFB-AA4CF33CA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731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1</Pages>
  <Words>650</Words>
  <Characters>3575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AJA</dc:creator>
  <cp:keywords/>
  <dc:description/>
  <cp:lastModifiedBy>Jose Luis Aja Sanchez</cp:lastModifiedBy>
  <cp:revision>29</cp:revision>
  <dcterms:created xsi:type="dcterms:W3CDTF">2022-04-05T08:26:00Z</dcterms:created>
  <dcterms:modified xsi:type="dcterms:W3CDTF">2022-05-09T14:24:00Z</dcterms:modified>
</cp:coreProperties>
</file>