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0B193" w14:textId="665B7738" w:rsidR="0038164B" w:rsidRPr="0038164B" w:rsidRDefault="0038164B" w:rsidP="0038164B">
      <w:pPr>
        <w:rPr>
          <w:lang w:val="en-GB"/>
        </w:rPr>
      </w:pPr>
      <w:r w:rsidRPr="0038164B">
        <w:rPr>
          <w:lang w:val="en-GB"/>
        </w:rPr>
        <w:t>Crime prevention strategies in organizations: implications and recommendations</w:t>
      </w:r>
    </w:p>
    <w:p w14:paraId="52292F70" w14:textId="77777777" w:rsidR="0038164B" w:rsidRPr="0038164B" w:rsidRDefault="0038164B" w:rsidP="0038164B">
      <w:pPr>
        <w:rPr>
          <w:lang w:val="en-GB"/>
        </w:rPr>
      </w:pPr>
    </w:p>
    <w:p w14:paraId="110DD021" w14:textId="77777777" w:rsidR="0038164B" w:rsidRDefault="0038164B" w:rsidP="0038164B">
      <w:r>
        <w:t>Javier Gómez-Lanz, Universidad Pontificia Comillas</w:t>
      </w:r>
    </w:p>
    <w:p w14:paraId="59F63FCE" w14:textId="77777777" w:rsidR="0038164B" w:rsidRPr="0038164B" w:rsidRDefault="0038164B" w:rsidP="0038164B">
      <w:pPr>
        <w:rPr>
          <w:lang w:val="en-GB"/>
        </w:rPr>
      </w:pPr>
      <w:r w:rsidRPr="0038164B">
        <w:rPr>
          <w:lang w:val="en-GB"/>
        </w:rPr>
        <w:t>Paloma Bilbao. Universidad Pontificia Comillas</w:t>
      </w:r>
    </w:p>
    <w:p w14:paraId="5E6C90F9" w14:textId="56FA960E" w:rsidR="008303DC" w:rsidRPr="0038164B" w:rsidRDefault="0038164B" w:rsidP="0038164B">
      <w:pPr>
        <w:rPr>
          <w:lang w:val="en-GB"/>
        </w:rPr>
      </w:pPr>
      <w:r w:rsidRPr="0038164B">
        <w:rPr>
          <w:lang w:val="en-GB"/>
        </w:rPr>
        <w:t>Although economic crimes cover a wide range of different offenses, a sizeable part of them occur within the regular operation of commercial companies. Among others, such is the case of tax fraud, corporate crimes, and the diverse forms and manifestations of private sector corruption. While there were other reasons involved, the novel decision adopted in Spain in 2010 to ascribe criminal liability to legal persons was partly driven by the determination to prevent and tackle this sort of economic offense. The surge of compliance programs since 2015 is an obvious consequence of that decision. This communication results from an ongoing study in which we have compared a group of Spanish economic offenders (N=350) and a group of Spanish businessmen with no criminal records (N=83) and analyzed their perceptions about the effect on employee behavior arising from the implementation of compliance programs and soft law instruments. The findings of this research can advance our understanding of the response of the company’s employees to these policies and, therefore, improve the effectiveness of these procedures</w:t>
      </w:r>
    </w:p>
    <w:sectPr w:rsidR="008303DC" w:rsidRPr="003816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4B"/>
    <w:rsid w:val="0038164B"/>
    <w:rsid w:val="008303DC"/>
    <w:rsid w:val="00D559E8"/>
    <w:rsid w:val="00F908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E3467"/>
  <w15:chartTrackingRefBased/>
  <w15:docId w15:val="{9C3289FA-F052-4FB9-A9FE-3176E4D4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1097</Characters>
  <Application>Microsoft Office Word</Application>
  <DocSecurity>0</DocSecurity>
  <Lines>9</Lines>
  <Paragraphs>2</Paragraphs>
  <ScaleCrop>false</ScaleCrop>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Gómez Lanz</dc:creator>
  <cp:keywords/>
  <dc:description/>
  <cp:lastModifiedBy>Javier Gómez Lanz</cp:lastModifiedBy>
  <cp:revision>1</cp:revision>
  <dcterms:created xsi:type="dcterms:W3CDTF">2022-05-23T09:46:00Z</dcterms:created>
  <dcterms:modified xsi:type="dcterms:W3CDTF">2022-05-23T09:46:00Z</dcterms:modified>
</cp:coreProperties>
</file>