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E2095" w14:textId="448D1E55" w:rsidR="006D3084" w:rsidRPr="00424B21" w:rsidRDefault="006D3084" w:rsidP="006D3084">
      <w:pPr>
        <w:spacing w:after="0" w:line="480" w:lineRule="auto"/>
        <w:jc w:val="center"/>
        <w:rPr>
          <w:rFonts w:cstheme="minorHAnsi"/>
          <w:b/>
          <w:bCs/>
          <w:sz w:val="24"/>
          <w:szCs w:val="24"/>
        </w:rPr>
      </w:pPr>
      <w:r w:rsidRPr="00424B21">
        <w:rPr>
          <w:rFonts w:cstheme="minorHAnsi"/>
          <w:b/>
          <w:bCs/>
          <w:sz w:val="24"/>
          <w:szCs w:val="24"/>
        </w:rPr>
        <w:t xml:space="preserve">EFECTO “EMBUDO” </w:t>
      </w:r>
      <w:r>
        <w:rPr>
          <w:rFonts w:cstheme="minorHAnsi"/>
          <w:b/>
          <w:bCs/>
          <w:sz w:val="24"/>
          <w:szCs w:val="24"/>
        </w:rPr>
        <w:t xml:space="preserve">Vs. EFECTO </w:t>
      </w:r>
      <w:r w:rsidRPr="00424B21">
        <w:rPr>
          <w:rFonts w:cstheme="minorHAnsi"/>
          <w:b/>
          <w:bCs/>
          <w:sz w:val="24"/>
          <w:szCs w:val="24"/>
        </w:rPr>
        <w:t>“LLAMADA”</w:t>
      </w:r>
      <w:r w:rsidR="009F468F">
        <w:rPr>
          <w:rFonts w:cstheme="minorHAnsi"/>
          <w:b/>
          <w:bCs/>
          <w:sz w:val="24"/>
          <w:szCs w:val="24"/>
        </w:rPr>
        <w:t>_</w:t>
      </w:r>
    </w:p>
    <w:p w14:paraId="4EA4D95B" w14:textId="77777777" w:rsidR="006D3084" w:rsidRPr="00424B21" w:rsidRDefault="006D3084" w:rsidP="006D3084">
      <w:pPr>
        <w:spacing w:after="0" w:line="480" w:lineRule="auto"/>
        <w:jc w:val="center"/>
        <w:rPr>
          <w:rFonts w:cstheme="minorHAnsi"/>
          <w:b/>
          <w:bCs/>
          <w:sz w:val="24"/>
          <w:szCs w:val="24"/>
        </w:rPr>
      </w:pPr>
      <w:r w:rsidRPr="00424B21">
        <w:rPr>
          <w:rFonts w:cstheme="minorHAnsi"/>
          <w:b/>
          <w:bCs/>
          <w:sz w:val="24"/>
          <w:szCs w:val="24"/>
        </w:rPr>
        <w:t>¿QUIEBRO</w:t>
      </w:r>
      <w:r w:rsidRPr="00424B21">
        <w:rPr>
          <w:rStyle w:val="Refdenotaalpie"/>
          <w:rFonts w:cstheme="minorHAnsi"/>
          <w:b/>
          <w:bCs/>
          <w:sz w:val="24"/>
          <w:szCs w:val="24"/>
        </w:rPr>
        <w:footnoteReference w:id="1"/>
      </w:r>
      <w:r w:rsidRPr="00424B21">
        <w:rPr>
          <w:rFonts w:cstheme="minorHAnsi"/>
          <w:b/>
          <w:bCs/>
          <w:sz w:val="24"/>
          <w:szCs w:val="24"/>
        </w:rPr>
        <w:t xml:space="preserve"> HACIA UNA NUEVA POLÍTICA ACTIVA DE INMIGRACIÓN? </w:t>
      </w:r>
    </w:p>
    <w:p w14:paraId="2533611C" w14:textId="77777777" w:rsidR="006D3084" w:rsidRDefault="006D3084" w:rsidP="006D3084">
      <w:pPr>
        <w:spacing w:after="0" w:line="480" w:lineRule="auto"/>
        <w:jc w:val="center"/>
        <w:rPr>
          <w:rFonts w:cstheme="minorHAnsi"/>
          <w:sz w:val="24"/>
          <w:szCs w:val="24"/>
        </w:rPr>
      </w:pPr>
    </w:p>
    <w:p w14:paraId="3F213BF9" w14:textId="77777777" w:rsidR="006D3084" w:rsidRDefault="006D3084" w:rsidP="006D3084">
      <w:pPr>
        <w:spacing w:after="0" w:line="480" w:lineRule="auto"/>
        <w:jc w:val="center"/>
        <w:rPr>
          <w:rFonts w:cstheme="minorHAnsi"/>
          <w:sz w:val="24"/>
          <w:szCs w:val="24"/>
        </w:rPr>
      </w:pPr>
      <w:r>
        <w:rPr>
          <w:rFonts w:cstheme="minorHAnsi"/>
          <w:sz w:val="24"/>
          <w:szCs w:val="24"/>
        </w:rPr>
        <w:t xml:space="preserve">Raimundo Aragón Bombín, Doctorando en el Instituto Universitario de </w:t>
      </w:r>
    </w:p>
    <w:p w14:paraId="7906A043" w14:textId="77777777" w:rsidR="006D3084" w:rsidRDefault="006D3084" w:rsidP="006D3084">
      <w:pPr>
        <w:spacing w:after="0" w:line="480" w:lineRule="auto"/>
        <w:jc w:val="center"/>
        <w:rPr>
          <w:rFonts w:cstheme="minorHAnsi"/>
          <w:sz w:val="24"/>
          <w:szCs w:val="24"/>
        </w:rPr>
      </w:pPr>
      <w:r>
        <w:rPr>
          <w:rFonts w:cstheme="minorHAnsi"/>
          <w:sz w:val="24"/>
          <w:szCs w:val="24"/>
        </w:rPr>
        <w:t>Estudios sobre Migraciones de la Universidad Pontificia Comillas</w:t>
      </w:r>
    </w:p>
    <w:p w14:paraId="0E3F1E42" w14:textId="77777777" w:rsidR="006D3084" w:rsidRPr="006A0544" w:rsidRDefault="006D3084" w:rsidP="006D3084">
      <w:pPr>
        <w:spacing w:after="0" w:line="480" w:lineRule="auto"/>
        <w:jc w:val="center"/>
        <w:rPr>
          <w:rFonts w:cstheme="minorHAnsi"/>
          <w:sz w:val="24"/>
          <w:szCs w:val="24"/>
        </w:rPr>
      </w:pPr>
    </w:p>
    <w:p w14:paraId="26787D74" w14:textId="77777777" w:rsidR="006D3084" w:rsidRPr="001F40CB" w:rsidRDefault="006D3084" w:rsidP="006D3084">
      <w:pPr>
        <w:jc w:val="center"/>
        <w:rPr>
          <w:sz w:val="24"/>
          <w:szCs w:val="24"/>
        </w:rPr>
      </w:pPr>
      <w:r w:rsidRPr="001F40CB">
        <w:rPr>
          <w:sz w:val="24"/>
          <w:szCs w:val="24"/>
        </w:rPr>
        <w:t>RESUMEN</w:t>
      </w:r>
    </w:p>
    <w:p w14:paraId="77719CCF" w14:textId="77777777" w:rsidR="006D3084" w:rsidRPr="001F40CB" w:rsidRDefault="006D3084" w:rsidP="006D3084">
      <w:pPr>
        <w:spacing w:after="0" w:line="480" w:lineRule="auto"/>
        <w:jc w:val="both"/>
        <w:rPr>
          <w:sz w:val="24"/>
          <w:szCs w:val="24"/>
        </w:rPr>
      </w:pPr>
      <w:r w:rsidRPr="001F40CB">
        <w:rPr>
          <w:sz w:val="24"/>
          <w:szCs w:val="24"/>
        </w:rPr>
        <w:t xml:space="preserve">En 1991 el Congreso de los Diputados aprobó una Proposición no de Ley que representa el inicio de una política activa de inmigración. Sus propuestas alcanzaron rango de ley con la LOEIS del año 2000, que, a pesar de sus numerosas reformas, constituye el marco legal básico. Medidas, como los procesos de regularización o establecimiento de contingentes, fueron sustituidas, cuando la presión inmigratoria se atenuó, por otras como contrataciones en origen o regularización por arraigo, menos eficaces. Actualmente, </w:t>
      </w:r>
      <w:r>
        <w:rPr>
          <w:sz w:val="24"/>
          <w:szCs w:val="24"/>
        </w:rPr>
        <w:t>cuando</w:t>
      </w:r>
      <w:r w:rsidRPr="001F40CB">
        <w:rPr>
          <w:sz w:val="24"/>
          <w:szCs w:val="24"/>
        </w:rPr>
        <w:t xml:space="preserve"> se detectan carencias y rigideces en el mercado de trabajo, los responsables de Migraciones parecen inclinarse hacia medidas análogas. El artículo analiza el periodo indicado:1991-2022.</w:t>
      </w:r>
    </w:p>
    <w:p w14:paraId="648DBE25" w14:textId="77777777" w:rsidR="0019166D" w:rsidRPr="001F40CB" w:rsidRDefault="0019166D" w:rsidP="0019166D">
      <w:pPr>
        <w:jc w:val="center"/>
        <w:rPr>
          <w:sz w:val="24"/>
          <w:szCs w:val="24"/>
        </w:rPr>
      </w:pPr>
      <w:r>
        <w:rPr>
          <w:sz w:val="24"/>
          <w:szCs w:val="24"/>
        </w:rPr>
        <w:t>PALABRAS CLAVE</w:t>
      </w:r>
    </w:p>
    <w:p w14:paraId="2CC46E0E" w14:textId="77777777" w:rsidR="0019166D" w:rsidRPr="001F40CB" w:rsidRDefault="0019166D" w:rsidP="0019166D">
      <w:pPr>
        <w:spacing w:after="0" w:line="480" w:lineRule="auto"/>
        <w:jc w:val="both"/>
        <w:rPr>
          <w:sz w:val="24"/>
          <w:szCs w:val="24"/>
        </w:rPr>
      </w:pPr>
      <w:r w:rsidRPr="001F40CB">
        <w:rPr>
          <w:sz w:val="24"/>
          <w:szCs w:val="24"/>
        </w:rPr>
        <w:t>Política activa de inmigración; contingentes; regularización; contrataciones en origen; arraigo, oficinas de extranjería, catálogo de ocupaciones de difícil cobertura</w:t>
      </w:r>
    </w:p>
    <w:p w14:paraId="286F1057" w14:textId="77777777" w:rsidR="0019166D" w:rsidRPr="001F40CB" w:rsidRDefault="0019166D" w:rsidP="0019166D">
      <w:pPr>
        <w:jc w:val="center"/>
        <w:rPr>
          <w:sz w:val="24"/>
          <w:szCs w:val="24"/>
        </w:rPr>
      </w:pPr>
      <w:r w:rsidRPr="001F40CB">
        <w:rPr>
          <w:sz w:val="24"/>
          <w:szCs w:val="24"/>
        </w:rPr>
        <w:t>ABSTRACT</w:t>
      </w:r>
    </w:p>
    <w:p w14:paraId="47D29D1E" w14:textId="77777777" w:rsidR="0019166D" w:rsidRPr="001F40CB" w:rsidRDefault="0019166D" w:rsidP="0019166D">
      <w:pPr>
        <w:spacing w:after="0" w:line="480" w:lineRule="auto"/>
        <w:jc w:val="both"/>
        <w:rPr>
          <w:sz w:val="24"/>
          <w:szCs w:val="24"/>
          <w:lang w:val="en-GB"/>
        </w:rPr>
      </w:pPr>
      <w:r w:rsidRPr="001F40CB">
        <w:rPr>
          <w:sz w:val="24"/>
          <w:szCs w:val="24"/>
          <w:lang w:val="en-GB"/>
        </w:rPr>
        <w:t xml:space="preserve">In 1991 the Congress of Deputies approved a non-law proposal that represents the beginning of an active immigration policy. Its proposals acquired legal force with the LOEIS of the year 2000, which, despite its numerous reforms, constitutes the basic legal </w:t>
      </w:r>
      <w:r w:rsidRPr="001F40CB">
        <w:rPr>
          <w:sz w:val="24"/>
          <w:szCs w:val="24"/>
          <w:lang w:val="en-GB"/>
        </w:rPr>
        <w:lastRenderedPageBreak/>
        <w:t xml:space="preserve">framework. Measures, such as regularization processes or the establishment of contingents, were replaced, when the immigration pressure was dimmed, by others such as recruitment at origin countries </w:t>
      </w:r>
      <w:r w:rsidRPr="004544FC">
        <w:rPr>
          <w:sz w:val="24"/>
          <w:szCs w:val="24"/>
          <w:lang w:val="en-GB"/>
        </w:rPr>
        <w:t>or legalization by settling in,</w:t>
      </w:r>
      <w:r w:rsidRPr="001F40CB">
        <w:rPr>
          <w:sz w:val="24"/>
          <w:szCs w:val="24"/>
          <w:lang w:val="en-GB"/>
        </w:rPr>
        <w:t xml:space="preserve"> less effective. Currently, when shortages and rigidities are detected in the labour market, the current trend of the Department of Migration seem to be in the direction of similar measures. The article analyses the indicated period: 1991-2022.</w:t>
      </w:r>
    </w:p>
    <w:p w14:paraId="75E2549F" w14:textId="7D558073" w:rsidR="0019166D" w:rsidRDefault="0019166D" w:rsidP="0019166D">
      <w:pPr>
        <w:spacing w:after="0" w:line="480" w:lineRule="auto"/>
        <w:jc w:val="both"/>
        <w:rPr>
          <w:sz w:val="24"/>
          <w:szCs w:val="24"/>
          <w:lang w:val="en-GB"/>
        </w:rPr>
      </w:pPr>
      <w:r w:rsidRPr="001F40CB">
        <w:rPr>
          <w:sz w:val="24"/>
          <w:szCs w:val="24"/>
          <w:lang w:val="en-GB"/>
        </w:rPr>
        <w:t xml:space="preserve">Keywords: active immigration lobbying; contingents; </w:t>
      </w:r>
      <w:r>
        <w:rPr>
          <w:sz w:val="24"/>
          <w:szCs w:val="24"/>
          <w:lang w:val="en-GB"/>
        </w:rPr>
        <w:t>legalization</w:t>
      </w:r>
      <w:r w:rsidRPr="001F40CB">
        <w:rPr>
          <w:sz w:val="24"/>
          <w:szCs w:val="24"/>
          <w:lang w:val="en-GB"/>
        </w:rPr>
        <w:t xml:space="preserve">; recruitment at origin; </w:t>
      </w:r>
      <w:r w:rsidRPr="004544FC">
        <w:rPr>
          <w:sz w:val="24"/>
          <w:szCs w:val="24"/>
          <w:lang w:val="en-GB"/>
        </w:rPr>
        <w:t>social integration</w:t>
      </w:r>
      <w:r w:rsidRPr="001F40CB">
        <w:rPr>
          <w:sz w:val="24"/>
          <w:szCs w:val="24"/>
          <w:lang w:val="en-GB"/>
        </w:rPr>
        <w:t xml:space="preserve">, immigration offices, inventory of occupations </w:t>
      </w:r>
      <w:r w:rsidRPr="004544FC">
        <w:rPr>
          <w:sz w:val="24"/>
          <w:szCs w:val="24"/>
          <w:lang w:val="en-GB"/>
        </w:rPr>
        <w:t xml:space="preserve">difficult to </w:t>
      </w:r>
      <w:r w:rsidR="0061184E">
        <w:rPr>
          <w:sz w:val="24"/>
          <w:szCs w:val="24"/>
          <w:lang w:val="en-GB"/>
        </w:rPr>
        <w:t>fulfil</w:t>
      </w:r>
      <w:r>
        <w:rPr>
          <w:sz w:val="24"/>
          <w:szCs w:val="24"/>
          <w:lang w:val="en-GB"/>
        </w:rPr>
        <w:t>.</w:t>
      </w:r>
    </w:p>
    <w:p w14:paraId="06D557F8" w14:textId="77777777" w:rsidR="0019166D" w:rsidRDefault="0019166D" w:rsidP="0019166D">
      <w:pPr>
        <w:spacing w:after="0" w:line="480" w:lineRule="auto"/>
        <w:jc w:val="both"/>
        <w:rPr>
          <w:sz w:val="24"/>
          <w:szCs w:val="24"/>
          <w:lang w:val="en-GB"/>
        </w:rPr>
      </w:pPr>
    </w:p>
    <w:p w14:paraId="3BD8CFC7" w14:textId="77777777" w:rsidR="0019166D" w:rsidRDefault="0019166D" w:rsidP="0019166D">
      <w:pPr>
        <w:spacing w:after="0" w:line="480" w:lineRule="auto"/>
        <w:jc w:val="both"/>
        <w:rPr>
          <w:sz w:val="24"/>
          <w:szCs w:val="24"/>
          <w:lang w:val="en-GB"/>
        </w:rPr>
      </w:pPr>
    </w:p>
    <w:p w14:paraId="07A7E821" w14:textId="77777777" w:rsidR="0019166D" w:rsidRDefault="0019166D" w:rsidP="0019166D">
      <w:pPr>
        <w:jc w:val="center"/>
      </w:pPr>
      <w:r>
        <w:t>SUMARIO</w:t>
      </w:r>
    </w:p>
    <w:p w14:paraId="4F80DD81" w14:textId="77777777" w:rsidR="0019166D" w:rsidRDefault="0019166D" w:rsidP="0019166D">
      <w:pPr>
        <w:ind w:firstLine="708"/>
      </w:pPr>
      <w:r>
        <w:t>INTRODUCCIÓN</w:t>
      </w:r>
    </w:p>
    <w:p w14:paraId="1DBE7B73" w14:textId="77777777" w:rsidR="0019166D" w:rsidRDefault="0019166D" w:rsidP="0019166D">
      <w:pPr>
        <w:pStyle w:val="Prrafodelista"/>
        <w:numPr>
          <w:ilvl w:val="0"/>
          <w:numId w:val="1"/>
        </w:numPr>
      </w:pPr>
      <w:r>
        <w:t>POLÍTICA ACTIVA DE INMIGRACIÓN</w:t>
      </w:r>
    </w:p>
    <w:p w14:paraId="2F92BF99" w14:textId="77777777" w:rsidR="0019166D" w:rsidRDefault="0019166D" w:rsidP="0019166D">
      <w:pPr>
        <w:pStyle w:val="Prrafodelista"/>
        <w:numPr>
          <w:ilvl w:val="1"/>
          <w:numId w:val="1"/>
        </w:numPr>
      </w:pPr>
      <w:r>
        <w:t>La Proposición no de Ley de 1991</w:t>
      </w:r>
    </w:p>
    <w:p w14:paraId="2BCD1BBD" w14:textId="77777777" w:rsidR="0019166D" w:rsidRDefault="0019166D" w:rsidP="0019166D">
      <w:pPr>
        <w:pStyle w:val="Prrafodelista"/>
        <w:numPr>
          <w:ilvl w:val="1"/>
          <w:numId w:val="1"/>
        </w:numPr>
      </w:pPr>
      <w:r>
        <w:t>Los procesos extraordinarios de regularización</w:t>
      </w:r>
    </w:p>
    <w:p w14:paraId="76ADDC40" w14:textId="77777777" w:rsidR="0019166D" w:rsidRDefault="0019166D" w:rsidP="0019166D">
      <w:pPr>
        <w:pStyle w:val="Prrafodelista"/>
        <w:numPr>
          <w:ilvl w:val="1"/>
          <w:numId w:val="1"/>
        </w:numPr>
      </w:pPr>
      <w:r>
        <w:t>La fijación de contingentes durante la década de los noventa</w:t>
      </w:r>
    </w:p>
    <w:p w14:paraId="06E7851B" w14:textId="77777777" w:rsidR="0019166D" w:rsidRDefault="0019166D" w:rsidP="0019166D">
      <w:pPr>
        <w:pStyle w:val="Prrafodelista"/>
        <w:numPr>
          <w:ilvl w:val="1"/>
          <w:numId w:val="1"/>
        </w:numPr>
      </w:pPr>
      <w:r>
        <w:t>Reforma de la estructura administrativa: Oficinas de Extranjería</w:t>
      </w:r>
    </w:p>
    <w:p w14:paraId="7AEA080A" w14:textId="77777777" w:rsidR="0019166D" w:rsidRDefault="0019166D" w:rsidP="0019166D">
      <w:pPr>
        <w:pStyle w:val="Prrafodelista"/>
        <w:numPr>
          <w:ilvl w:val="0"/>
          <w:numId w:val="1"/>
        </w:numPr>
      </w:pPr>
      <w:r>
        <w:t>POLÍTICA INMIGRATORIA DURANTE LA PRIMERA DÉCADA DEL SIGLO XXI</w:t>
      </w:r>
    </w:p>
    <w:p w14:paraId="7F43606A" w14:textId="77777777" w:rsidR="0019166D" w:rsidRDefault="0019166D" w:rsidP="0019166D">
      <w:pPr>
        <w:pStyle w:val="Prrafodelista"/>
        <w:numPr>
          <w:ilvl w:val="1"/>
          <w:numId w:val="1"/>
        </w:numPr>
      </w:pPr>
      <w:r>
        <w:t>Las sucesivas leyes de inmigración: los vaivenes normativos</w:t>
      </w:r>
    </w:p>
    <w:p w14:paraId="56D6BB37" w14:textId="77777777" w:rsidR="0019166D" w:rsidRDefault="0019166D" w:rsidP="0019166D">
      <w:pPr>
        <w:pStyle w:val="Prrafodelista"/>
        <w:numPr>
          <w:ilvl w:val="1"/>
          <w:numId w:val="1"/>
        </w:numPr>
      </w:pPr>
      <w:r>
        <w:t>Variaciones de la estructura administrativa</w:t>
      </w:r>
    </w:p>
    <w:p w14:paraId="06D91ECD" w14:textId="77777777" w:rsidR="0019166D" w:rsidRDefault="0019166D" w:rsidP="0019166D">
      <w:pPr>
        <w:pStyle w:val="Prrafodelista"/>
        <w:numPr>
          <w:ilvl w:val="1"/>
          <w:numId w:val="1"/>
        </w:numPr>
      </w:pPr>
      <w:r>
        <w:t>Últimos procesos de regularización</w:t>
      </w:r>
    </w:p>
    <w:p w14:paraId="527F4E93" w14:textId="77777777" w:rsidR="0019166D" w:rsidRDefault="0019166D" w:rsidP="0019166D">
      <w:pPr>
        <w:pStyle w:val="Prrafodelista"/>
        <w:numPr>
          <w:ilvl w:val="1"/>
          <w:numId w:val="1"/>
        </w:numPr>
      </w:pPr>
      <w:r>
        <w:t>Evolución del contingente</w:t>
      </w:r>
    </w:p>
    <w:p w14:paraId="78F64EC4" w14:textId="77777777" w:rsidR="0019166D" w:rsidRDefault="0019166D" w:rsidP="0019166D">
      <w:pPr>
        <w:pStyle w:val="Prrafodelista"/>
        <w:numPr>
          <w:ilvl w:val="0"/>
          <w:numId w:val="1"/>
        </w:numPr>
      </w:pPr>
      <w:r>
        <w:t>POLÍTICA INMIGRATORIA DESDE 2011 HASTA LA ACTUALIDAD</w:t>
      </w:r>
    </w:p>
    <w:p w14:paraId="1C38AE97" w14:textId="77777777" w:rsidR="0019166D" w:rsidRDefault="0019166D" w:rsidP="0019166D">
      <w:pPr>
        <w:pStyle w:val="Prrafodelista"/>
        <w:numPr>
          <w:ilvl w:val="1"/>
          <w:numId w:val="1"/>
        </w:numPr>
      </w:pPr>
      <w:r>
        <w:t>Ámbito normativo: LO 2/2009 y Reglamento de 2011</w:t>
      </w:r>
    </w:p>
    <w:p w14:paraId="458E9439" w14:textId="77777777" w:rsidR="0019166D" w:rsidRDefault="0019166D" w:rsidP="0019166D">
      <w:pPr>
        <w:pStyle w:val="Prrafodelista"/>
        <w:numPr>
          <w:ilvl w:val="1"/>
          <w:numId w:val="1"/>
        </w:numPr>
      </w:pPr>
      <w:r>
        <w:t>Ámbito organizativo: Secretaría General o Secretaría de Estado</w:t>
      </w:r>
    </w:p>
    <w:p w14:paraId="09D91F7C" w14:textId="77777777" w:rsidR="0019166D" w:rsidRDefault="0019166D" w:rsidP="0019166D">
      <w:pPr>
        <w:pStyle w:val="Prrafodelista"/>
        <w:numPr>
          <w:ilvl w:val="1"/>
          <w:numId w:val="1"/>
        </w:numPr>
      </w:pPr>
      <w:r>
        <w:t>Contingentes y autorizaciones por arraigo</w:t>
      </w:r>
    </w:p>
    <w:p w14:paraId="6999842D" w14:textId="77777777" w:rsidR="0019166D" w:rsidRDefault="0019166D" w:rsidP="0019166D">
      <w:pPr>
        <w:pStyle w:val="Prrafodelista"/>
        <w:numPr>
          <w:ilvl w:val="1"/>
          <w:numId w:val="1"/>
        </w:numPr>
      </w:pPr>
      <w:r>
        <w:t>Ministerio de Inclusión, Migraciones y Seguridad Social: creación y medidas adoptadas:</w:t>
      </w:r>
    </w:p>
    <w:p w14:paraId="4170B207" w14:textId="77777777" w:rsidR="0019166D" w:rsidRDefault="0019166D" w:rsidP="0019166D">
      <w:pPr>
        <w:pStyle w:val="Prrafodelista"/>
        <w:numPr>
          <w:ilvl w:val="2"/>
          <w:numId w:val="1"/>
        </w:numPr>
      </w:pPr>
      <w:r>
        <w:t>Regulación de las contrataciones en origen</w:t>
      </w:r>
    </w:p>
    <w:p w14:paraId="1B6A7DCD" w14:textId="77777777" w:rsidR="0019166D" w:rsidRDefault="0019166D" w:rsidP="0019166D">
      <w:pPr>
        <w:pStyle w:val="Prrafodelista"/>
        <w:numPr>
          <w:ilvl w:val="2"/>
          <w:numId w:val="1"/>
        </w:numPr>
      </w:pPr>
      <w:r>
        <w:t>Modificación del Reglamento:</w:t>
      </w:r>
    </w:p>
    <w:p w14:paraId="5F68F158" w14:textId="77777777" w:rsidR="0019166D" w:rsidRDefault="0019166D" w:rsidP="0019166D">
      <w:pPr>
        <w:pStyle w:val="Prrafodelista"/>
        <w:numPr>
          <w:ilvl w:val="3"/>
          <w:numId w:val="1"/>
        </w:numPr>
      </w:pPr>
      <w:r>
        <w:t>RD 903/2021</w:t>
      </w:r>
    </w:p>
    <w:p w14:paraId="57FFAEEF" w14:textId="77777777" w:rsidR="0019166D" w:rsidRDefault="0019166D" w:rsidP="0019166D">
      <w:pPr>
        <w:pStyle w:val="Prrafodelista"/>
        <w:numPr>
          <w:ilvl w:val="3"/>
          <w:numId w:val="1"/>
        </w:numPr>
      </w:pPr>
      <w:r>
        <w:t>RD 629/2022</w:t>
      </w:r>
    </w:p>
    <w:p w14:paraId="06E6EB3B" w14:textId="77777777" w:rsidR="0019166D" w:rsidRDefault="0019166D" w:rsidP="0019166D">
      <w:pPr>
        <w:ind w:left="708"/>
      </w:pPr>
      <w:r>
        <w:t>CONCLUSIONES</w:t>
      </w:r>
    </w:p>
    <w:p w14:paraId="63DAF931" w14:textId="3EE359C2" w:rsidR="0019166D" w:rsidRDefault="0019166D" w:rsidP="0019166D">
      <w:pPr>
        <w:ind w:left="708"/>
      </w:pPr>
      <w:r>
        <w:t>BIBLIOGRAFÍA</w:t>
      </w:r>
    </w:p>
    <w:p w14:paraId="32F74271" w14:textId="77777777" w:rsidR="00482CE8" w:rsidRDefault="00482CE8" w:rsidP="0019166D">
      <w:pPr>
        <w:ind w:left="708"/>
      </w:pPr>
    </w:p>
    <w:p w14:paraId="6311D30D" w14:textId="77777777" w:rsidR="00CA29FE" w:rsidRPr="006A0544" w:rsidRDefault="00CA29FE" w:rsidP="00CA29FE">
      <w:pPr>
        <w:pStyle w:val="Textoindependiente"/>
        <w:spacing w:after="0" w:line="480" w:lineRule="auto"/>
        <w:jc w:val="both"/>
        <w:rPr>
          <w:rFonts w:cstheme="minorHAnsi"/>
          <w:sz w:val="24"/>
          <w:szCs w:val="24"/>
        </w:rPr>
      </w:pPr>
      <w:r>
        <w:rPr>
          <w:rFonts w:cstheme="minorHAnsi"/>
          <w:sz w:val="24"/>
          <w:szCs w:val="24"/>
        </w:rPr>
        <w:lastRenderedPageBreak/>
        <w:t>INTRODUCCIÓN</w:t>
      </w:r>
    </w:p>
    <w:p w14:paraId="3DDA7F53" w14:textId="77777777" w:rsidR="00CA29FE" w:rsidRPr="006A0544" w:rsidRDefault="00CA29FE" w:rsidP="00CA29FE">
      <w:pPr>
        <w:pStyle w:val="Saludo"/>
        <w:spacing w:after="0" w:line="480" w:lineRule="auto"/>
        <w:jc w:val="both"/>
        <w:rPr>
          <w:rFonts w:cstheme="minorHAnsi"/>
          <w:sz w:val="24"/>
          <w:szCs w:val="24"/>
        </w:rPr>
      </w:pPr>
      <w:r w:rsidRPr="006A0544">
        <w:rPr>
          <w:rFonts w:cstheme="minorHAnsi"/>
          <w:sz w:val="24"/>
          <w:szCs w:val="24"/>
        </w:rPr>
        <w:t>A pesar de la difícil coyuntura económica actual, derivada de las secuelas de la pandemia y de la guerra en Ucrania y de que la tasa de desempleo en España continúa siendo elevada</w:t>
      </w:r>
      <w:r w:rsidRPr="006A0544">
        <w:rPr>
          <w:rStyle w:val="Refdenotaalpie"/>
          <w:rFonts w:cstheme="minorHAnsi"/>
          <w:sz w:val="24"/>
          <w:szCs w:val="24"/>
        </w:rPr>
        <w:footnoteReference w:id="2"/>
      </w:r>
      <w:r w:rsidRPr="006A0544">
        <w:rPr>
          <w:rFonts w:cstheme="minorHAnsi"/>
          <w:sz w:val="24"/>
          <w:szCs w:val="24"/>
        </w:rPr>
        <w:t>,  la prensa se venía haciendo eco en los últimos meses de las dificultades empresariales para cubrir determinados puestos de trabajo.</w:t>
      </w:r>
      <w:r w:rsidRPr="006A0544">
        <w:rPr>
          <w:rStyle w:val="Refdenotaalpie"/>
          <w:rFonts w:cstheme="minorHAnsi"/>
          <w:sz w:val="24"/>
          <w:szCs w:val="24"/>
        </w:rPr>
        <w:footnoteReference w:id="3"/>
      </w:r>
    </w:p>
    <w:p w14:paraId="025378AF" w14:textId="77777777" w:rsidR="00CA29FE" w:rsidRPr="006A0544" w:rsidRDefault="00CA29FE" w:rsidP="00CA29FE">
      <w:pPr>
        <w:pStyle w:val="Textoindependiente"/>
        <w:spacing w:after="0" w:line="480" w:lineRule="auto"/>
        <w:jc w:val="both"/>
        <w:rPr>
          <w:rFonts w:cstheme="minorHAnsi"/>
          <w:sz w:val="24"/>
          <w:szCs w:val="24"/>
        </w:rPr>
      </w:pPr>
      <w:r w:rsidRPr="006A0544">
        <w:rPr>
          <w:rFonts w:cstheme="minorHAnsi"/>
          <w:sz w:val="24"/>
          <w:szCs w:val="24"/>
        </w:rPr>
        <w:t>El Ministerio de Inclusión, Seguridad Social y Migraciones, como departamento competente para la elaboración y desarrollo de la política del Gobierno en materia de extranjería, inmigración y emigración</w:t>
      </w:r>
      <w:r w:rsidRPr="006A0544">
        <w:rPr>
          <w:rStyle w:val="Refdenotaalpie"/>
          <w:rFonts w:cstheme="minorHAnsi"/>
          <w:sz w:val="24"/>
          <w:szCs w:val="24"/>
        </w:rPr>
        <w:footnoteReference w:id="4"/>
      </w:r>
      <w:r w:rsidRPr="006A0544">
        <w:rPr>
          <w:rFonts w:cstheme="minorHAnsi"/>
          <w:sz w:val="24"/>
          <w:szCs w:val="24"/>
        </w:rPr>
        <w:t>, se ha sentido interpelado por esta situación y ha promovido una reforma de la normativa reglamentaria en materia de inmigración, que, tras una larga</w:t>
      </w:r>
      <w:r w:rsidRPr="006A0544">
        <w:rPr>
          <w:rStyle w:val="Refdenotaalpie"/>
          <w:rFonts w:cstheme="minorHAnsi"/>
          <w:sz w:val="24"/>
          <w:szCs w:val="24"/>
        </w:rPr>
        <w:footnoteReference w:id="5"/>
      </w:r>
      <w:r w:rsidRPr="006A0544">
        <w:rPr>
          <w:rFonts w:cstheme="minorHAnsi"/>
          <w:sz w:val="24"/>
          <w:szCs w:val="24"/>
        </w:rPr>
        <w:t xml:space="preserve"> y complicada tramitación administrativa, dada la recurrente oposición de otros departamentos, en particular el de Interior</w:t>
      </w:r>
      <w:r w:rsidRPr="006A0544">
        <w:rPr>
          <w:rStyle w:val="Refdenotaalpie"/>
          <w:rFonts w:cstheme="minorHAnsi"/>
          <w:sz w:val="24"/>
          <w:szCs w:val="24"/>
        </w:rPr>
        <w:footnoteReference w:id="6"/>
      </w:r>
      <w:r w:rsidRPr="006A0544">
        <w:rPr>
          <w:rFonts w:cstheme="minorHAnsi"/>
          <w:sz w:val="24"/>
          <w:szCs w:val="24"/>
        </w:rPr>
        <w:t>, vio la luz con la aprobación de RD 629/2002, de 26 de julio, por el que se modifica el Reglamento de la L 4/2000, sobre derechos y libertades de los extranjeros en España y su integración social, tras su</w:t>
      </w:r>
      <w:r>
        <w:rPr>
          <w:rFonts w:cstheme="minorHAnsi"/>
          <w:sz w:val="24"/>
          <w:szCs w:val="24"/>
        </w:rPr>
        <w:t xml:space="preserve"> </w:t>
      </w:r>
      <w:r w:rsidRPr="006A0544">
        <w:rPr>
          <w:rFonts w:cstheme="minorHAnsi"/>
          <w:sz w:val="24"/>
          <w:szCs w:val="24"/>
        </w:rPr>
        <w:t>reforma por la LO 2/2009, aprobado por el RD 557/20011, de 20 de abril.</w:t>
      </w:r>
    </w:p>
    <w:p w14:paraId="574989C5" w14:textId="1F91FEA9" w:rsidR="00CA29FE" w:rsidRPr="006A0544" w:rsidRDefault="00CA29FE" w:rsidP="00CA29FE">
      <w:pPr>
        <w:pStyle w:val="Textoindependiente"/>
        <w:spacing w:after="0" w:line="480" w:lineRule="auto"/>
        <w:jc w:val="both"/>
        <w:rPr>
          <w:rFonts w:cstheme="minorHAnsi"/>
          <w:sz w:val="24"/>
          <w:szCs w:val="24"/>
        </w:rPr>
      </w:pPr>
      <w:r>
        <w:rPr>
          <w:rFonts w:cstheme="minorHAnsi"/>
          <w:sz w:val="24"/>
          <w:szCs w:val="24"/>
        </w:rPr>
        <w:t>Los objetivos básicos</w:t>
      </w:r>
      <w:r w:rsidRPr="006A0544">
        <w:rPr>
          <w:rFonts w:cstheme="minorHAnsi"/>
          <w:sz w:val="24"/>
          <w:szCs w:val="24"/>
        </w:rPr>
        <w:t xml:space="preserve"> que se persigue</w:t>
      </w:r>
      <w:r>
        <w:rPr>
          <w:rFonts w:cstheme="minorHAnsi"/>
          <w:sz w:val="24"/>
          <w:szCs w:val="24"/>
        </w:rPr>
        <w:t>n</w:t>
      </w:r>
      <w:r w:rsidRPr="006A0544">
        <w:rPr>
          <w:rFonts w:cstheme="minorHAnsi"/>
          <w:sz w:val="24"/>
          <w:szCs w:val="24"/>
        </w:rPr>
        <w:t xml:space="preserve"> con la reforma </w:t>
      </w:r>
      <w:r>
        <w:rPr>
          <w:rFonts w:cstheme="minorHAnsi"/>
          <w:sz w:val="24"/>
          <w:szCs w:val="24"/>
        </w:rPr>
        <w:t>son resolver, mediante la incorporación de inmigrantes, los desajustes y carencia de mano de obra que presenta el mercado de trabajo y</w:t>
      </w:r>
      <w:r w:rsidRPr="006A0544">
        <w:rPr>
          <w:rFonts w:cstheme="minorHAnsi"/>
          <w:sz w:val="24"/>
          <w:szCs w:val="24"/>
        </w:rPr>
        <w:t xml:space="preserve"> “</w:t>
      </w:r>
      <w:r w:rsidRPr="006A0544">
        <w:rPr>
          <w:rFonts w:cstheme="minorHAnsi"/>
          <w:i/>
          <w:iCs/>
          <w:sz w:val="24"/>
          <w:szCs w:val="24"/>
        </w:rPr>
        <w:t xml:space="preserve">dar respuesta a situaciones preexistentes no resueltas con la </w:t>
      </w:r>
      <w:r w:rsidRPr="006A0544">
        <w:rPr>
          <w:rFonts w:cstheme="minorHAnsi"/>
          <w:i/>
          <w:iCs/>
          <w:sz w:val="24"/>
          <w:szCs w:val="24"/>
        </w:rPr>
        <w:lastRenderedPageBreak/>
        <w:t>actual normativa reglamentaria, desde la plena salvaguarda de las condiciones</w:t>
      </w:r>
      <w:r w:rsidRPr="006A0544">
        <w:rPr>
          <w:rFonts w:cstheme="minorHAnsi"/>
          <w:b/>
          <w:bCs/>
          <w:i/>
          <w:iCs/>
          <w:sz w:val="24"/>
          <w:szCs w:val="24"/>
          <w:u w:val="single"/>
        </w:rPr>
        <w:t xml:space="preserve"> </w:t>
      </w:r>
      <w:r w:rsidRPr="006A0544">
        <w:rPr>
          <w:rFonts w:cstheme="minorHAnsi"/>
          <w:i/>
          <w:iCs/>
          <w:sz w:val="24"/>
          <w:szCs w:val="24"/>
        </w:rPr>
        <w:t xml:space="preserve">laborales” </w:t>
      </w:r>
      <w:r w:rsidRPr="006A0544">
        <w:rPr>
          <w:rStyle w:val="Refdenotaalpie"/>
          <w:rFonts w:cstheme="minorHAnsi"/>
          <w:i/>
          <w:iCs/>
          <w:sz w:val="24"/>
          <w:szCs w:val="24"/>
        </w:rPr>
        <w:footnoteReference w:id="7"/>
      </w:r>
      <w:r w:rsidRPr="006A0544">
        <w:rPr>
          <w:rFonts w:cstheme="minorHAnsi"/>
          <w:i/>
          <w:iCs/>
          <w:sz w:val="24"/>
          <w:szCs w:val="24"/>
        </w:rPr>
        <w:t>.</w:t>
      </w:r>
    </w:p>
    <w:p w14:paraId="3B372D40" w14:textId="77777777" w:rsidR="00CA29FE" w:rsidRPr="006A0544" w:rsidRDefault="00CA29FE" w:rsidP="00CA29FE">
      <w:pPr>
        <w:pStyle w:val="Textoindependiente"/>
        <w:spacing w:after="0" w:line="480" w:lineRule="auto"/>
        <w:jc w:val="both"/>
        <w:rPr>
          <w:rFonts w:cstheme="minorHAnsi"/>
          <w:strike/>
          <w:sz w:val="24"/>
          <w:szCs w:val="24"/>
        </w:rPr>
      </w:pPr>
      <w:r w:rsidRPr="006A0544">
        <w:rPr>
          <w:rFonts w:cstheme="minorHAnsi"/>
          <w:sz w:val="24"/>
          <w:szCs w:val="24"/>
        </w:rPr>
        <w:t xml:space="preserve">La opacidad de la jerga administrativa apenas si logra disimular los dos problemas que se pretenden resolver: la carencia de trabajadores españoles para determinadas ocupaciones y la necesidad de regularizar a ciudadanos extranjeros que se hallan en España en situación irregular. Dos </w:t>
      </w:r>
      <w:r>
        <w:rPr>
          <w:rFonts w:cstheme="minorHAnsi"/>
          <w:sz w:val="24"/>
          <w:szCs w:val="24"/>
        </w:rPr>
        <w:t>rasgos</w:t>
      </w:r>
      <w:r w:rsidRPr="006A0544">
        <w:rPr>
          <w:rFonts w:cstheme="minorHAnsi"/>
          <w:sz w:val="24"/>
          <w:szCs w:val="24"/>
        </w:rPr>
        <w:t xml:space="preserve"> </w:t>
      </w:r>
      <w:r w:rsidRPr="008A45C3">
        <w:rPr>
          <w:rFonts w:cstheme="minorHAnsi"/>
          <w:color w:val="000000" w:themeColor="text1"/>
          <w:sz w:val="24"/>
          <w:szCs w:val="24"/>
        </w:rPr>
        <w:t>congénit</w:t>
      </w:r>
      <w:r>
        <w:rPr>
          <w:rFonts w:cstheme="minorHAnsi"/>
          <w:color w:val="000000" w:themeColor="text1"/>
          <w:sz w:val="24"/>
          <w:szCs w:val="24"/>
        </w:rPr>
        <w:t>o</w:t>
      </w:r>
      <w:r w:rsidRPr="008A45C3">
        <w:rPr>
          <w:rFonts w:cstheme="minorHAnsi"/>
          <w:color w:val="000000" w:themeColor="text1"/>
          <w:sz w:val="24"/>
          <w:szCs w:val="24"/>
        </w:rPr>
        <w:t>s</w:t>
      </w:r>
      <w:r w:rsidRPr="00512CE2">
        <w:rPr>
          <w:rFonts w:cstheme="minorHAnsi"/>
          <w:color w:val="FF0000"/>
          <w:sz w:val="24"/>
          <w:szCs w:val="24"/>
        </w:rPr>
        <w:t xml:space="preserve"> </w:t>
      </w:r>
      <w:r>
        <w:rPr>
          <w:rFonts w:cstheme="minorHAnsi"/>
          <w:sz w:val="24"/>
          <w:szCs w:val="24"/>
        </w:rPr>
        <w:t xml:space="preserve">a </w:t>
      </w:r>
      <w:r w:rsidRPr="006A0544">
        <w:rPr>
          <w:rFonts w:cstheme="minorHAnsi"/>
          <w:sz w:val="24"/>
          <w:szCs w:val="24"/>
        </w:rPr>
        <w:t>la situación inmigratoria en España y de l</w:t>
      </w:r>
      <w:r>
        <w:rPr>
          <w:rFonts w:cstheme="minorHAnsi"/>
          <w:sz w:val="24"/>
          <w:szCs w:val="24"/>
        </w:rPr>
        <w:t>o</w:t>
      </w:r>
      <w:r w:rsidRPr="006A0544">
        <w:rPr>
          <w:rFonts w:cstheme="minorHAnsi"/>
          <w:sz w:val="24"/>
          <w:szCs w:val="24"/>
        </w:rPr>
        <w:t xml:space="preserve">s que los poderes públicos encargados de gestionar esta política se han venido ocupando desde mediados de la década de los años 80 del siglo pasado. </w:t>
      </w:r>
    </w:p>
    <w:p w14:paraId="4ECFC332" w14:textId="77777777" w:rsidR="00CA29FE" w:rsidRPr="006A0544" w:rsidRDefault="00CA29FE" w:rsidP="00CA29FE">
      <w:pPr>
        <w:pStyle w:val="Textoindependiente"/>
        <w:spacing w:after="0" w:line="480" w:lineRule="auto"/>
        <w:jc w:val="both"/>
        <w:rPr>
          <w:rFonts w:cstheme="minorHAnsi"/>
          <w:sz w:val="24"/>
          <w:szCs w:val="24"/>
        </w:rPr>
      </w:pPr>
      <w:r w:rsidRPr="006A0544">
        <w:rPr>
          <w:rFonts w:cstheme="minorHAnsi"/>
          <w:sz w:val="24"/>
          <w:szCs w:val="24"/>
        </w:rPr>
        <w:t xml:space="preserve">Ante esta situación, tanto en el plano político como en el administrativo, </w:t>
      </w:r>
      <w:r w:rsidRPr="008A45C3">
        <w:rPr>
          <w:rFonts w:cstheme="minorHAnsi"/>
          <w:color w:val="000000" w:themeColor="text1"/>
          <w:sz w:val="24"/>
          <w:szCs w:val="24"/>
        </w:rPr>
        <w:t xml:space="preserve">han prevalecido </w:t>
      </w:r>
      <w:r w:rsidRPr="006A0544">
        <w:rPr>
          <w:rFonts w:cstheme="minorHAnsi"/>
          <w:sz w:val="24"/>
          <w:szCs w:val="24"/>
        </w:rPr>
        <w:t xml:space="preserve">dos posiciones: una, reactiva, consistente en incrementar las medidas de control para tratar de evitar las entradas </w:t>
      </w:r>
      <w:r w:rsidRPr="008A45C3">
        <w:rPr>
          <w:rFonts w:cstheme="minorHAnsi"/>
          <w:color w:val="000000" w:themeColor="text1"/>
          <w:sz w:val="24"/>
          <w:szCs w:val="24"/>
        </w:rPr>
        <w:t>ilegales</w:t>
      </w:r>
      <w:r w:rsidRPr="00184425">
        <w:rPr>
          <w:rFonts w:cstheme="minorHAnsi"/>
          <w:color w:val="FF0000"/>
          <w:sz w:val="24"/>
          <w:szCs w:val="24"/>
        </w:rPr>
        <w:t xml:space="preserve"> </w:t>
      </w:r>
      <w:r w:rsidRPr="006A0544">
        <w:rPr>
          <w:rFonts w:cstheme="minorHAnsi"/>
          <w:sz w:val="24"/>
          <w:szCs w:val="24"/>
        </w:rPr>
        <w:t xml:space="preserve">y facilitar la expulsión de los irregulares, y otra que propugna una “política activa de inmigración”, que, partiendo de la base de que </w:t>
      </w:r>
      <w:r>
        <w:rPr>
          <w:rFonts w:cstheme="minorHAnsi"/>
          <w:sz w:val="24"/>
          <w:szCs w:val="24"/>
        </w:rPr>
        <w:t>la</w:t>
      </w:r>
      <w:r w:rsidRPr="006A0544">
        <w:rPr>
          <w:rFonts w:cstheme="minorHAnsi"/>
          <w:sz w:val="24"/>
          <w:szCs w:val="24"/>
        </w:rPr>
        <w:t xml:space="preserve"> posición de</w:t>
      </w:r>
      <w:r>
        <w:rPr>
          <w:rFonts w:cstheme="minorHAnsi"/>
          <w:sz w:val="24"/>
          <w:szCs w:val="24"/>
        </w:rPr>
        <w:t xml:space="preserve"> </w:t>
      </w:r>
      <w:r w:rsidRPr="006A0544">
        <w:rPr>
          <w:rFonts w:cstheme="minorHAnsi"/>
          <w:sz w:val="24"/>
          <w:szCs w:val="24"/>
        </w:rPr>
        <w:t>“cero” inmigración  es poco realista y perjudicial tanto desde el punto de vista económico como demográfico</w:t>
      </w:r>
      <w:r w:rsidRPr="006A0544">
        <w:rPr>
          <w:rStyle w:val="Refdenotaalpie"/>
          <w:rFonts w:cstheme="minorHAnsi"/>
          <w:sz w:val="24"/>
          <w:szCs w:val="24"/>
        </w:rPr>
        <w:footnoteReference w:id="8"/>
      </w:r>
      <w:r w:rsidRPr="006A0544">
        <w:rPr>
          <w:rFonts w:cstheme="minorHAnsi"/>
          <w:sz w:val="24"/>
          <w:szCs w:val="24"/>
        </w:rPr>
        <w:t>, defiende un planteamiento global de las migraciones.</w:t>
      </w:r>
    </w:p>
    <w:p w14:paraId="138031EE" w14:textId="77777777" w:rsidR="00CA29FE" w:rsidRPr="006A0544" w:rsidRDefault="00CA29FE" w:rsidP="00CA29FE">
      <w:pPr>
        <w:pStyle w:val="Textoindependiente"/>
        <w:spacing w:after="0" w:line="480" w:lineRule="auto"/>
        <w:jc w:val="both"/>
        <w:rPr>
          <w:rFonts w:cstheme="minorHAnsi"/>
          <w:sz w:val="24"/>
          <w:szCs w:val="24"/>
          <w:lang w:eastAsia="es-ES"/>
        </w:rPr>
      </w:pPr>
      <w:r w:rsidRPr="006A0544">
        <w:rPr>
          <w:rFonts w:cstheme="minorHAnsi"/>
          <w:sz w:val="24"/>
          <w:szCs w:val="24"/>
          <w:lang w:eastAsia="es-ES"/>
        </w:rPr>
        <w:t>A lo largo del artículo se analizarán el desarrollo de la política y gestión inmigratorias en nuestro país, desde su transformación de país de emigración a país receptor de emigrantes, así como su impacto en el empleo y la seguridad social.</w:t>
      </w:r>
    </w:p>
    <w:p w14:paraId="380825FE" w14:textId="77777777" w:rsidR="00CA29FE" w:rsidRPr="00E62B89" w:rsidRDefault="00CA29FE" w:rsidP="00CA29FE">
      <w:pPr>
        <w:pStyle w:val="Textoindependiente"/>
        <w:spacing w:after="0" w:line="480" w:lineRule="auto"/>
        <w:jc w:val="both"/>
        <w:rPr>
          <w:rFonts w:cstheme="minorHAnsi"/>
          <w:strike/>
          <w:sz w:val="24"/>
          <w:szCs w:val="24"/>
          <w:lang w:eastAsia="es-ES"/>
        </w:rPr>
      </w:pPr>
      <w:r w:rsidRPr="006A0544">
        <w:rPr>
          <w:rFonts w:cstheme="minorHAnsi"/>
          <w:sz w:val="24"/>
          <w:szCs w:val="24"/>
          <w:lang w:eastAsia="es-ES"/>
        </w:rPr>
        <w:t xml:space="preserve">Dado que no existen registros estadísticos homologables y continuos para el todo el periodo, se </w:t>
      </w:r>
      <w:r>
        <w:rPr>
          <w:rFonts w:cstheme="minorHAnsi"/>
          <w:sz w:val="24"/>
          <w:szCs w:val="24"/>
          <w:lang w:eastAsia="es-ES"/>
        </w:rPr>
        <w:t xml:space="preserve">ha optado por </w:t>
      </w:r>
      <w:r w:rsidRPr="006A0544">
        <w:rPr>
          <w:rFonts w:cstheme="minorHAnsi"/>
          <w:sz w:val="24"/>
          <w:szCs w:val="24"/>
          <w:lang w:eastAsia="es-ES"/>
        </w:rPr>
        <w:t>dividir</w:t>
      </w:r>
      <w:r>
        <w:rPr>
          <w:rFonts w:cstheme="minorHAnsi"/>
          <w:sz w:val="24"/>
          <w:szCs w:val="24"/>
          <w:lang w:eastAsia="es-ES"/>
        </w:rPr>
        <w:t>lo</w:t>
      </w:r>
      <w:r w:rsidRPr="006A0544">
        <w:rPr>
          <w:rFonts w:cstheme="minorHAnsi"/>
          <w:sz w:val="24"/>
          <w:szCs w:val="24"/>
          <w:lang w:eastAsia="es-ES"/>
        </w:rPr>
        <w:t xml:space="preserve"> en tres fases: la primera, entre 1991-1999, que calificaremos como de “política activa de inmigración”; la segunda, entre 2000-2010, </w:t>
      </w:r>
      <w:r w:rsidRPr="006A0544">
        <w:rPr>
          <w:rFonts w:cstheme="minorHAnsi"/>
          <w:sz w:val="24"/>
          <w:szCs w:val="24"/>
          <w:lang w:eastAsia="es-ES"/>
        </w:rPr>
        <w:lastRenderedPageBreak/>
        <w:t xml:space="preserve">que puede considerarse como de “inmigración en masa” hasta el impacto de la “gran crisis económico-financiera de 2008” y la tercera entre 2011 y 2021, </w:t>
      </w:r>
      <w:r w:rsidRPr="008A45C3">
        <w:rPr>
          <w:rFonts w:cstheme="minorHAnsi"/>
          <w:color w:val="000000" w:themeColor="text1"/>
          <w:sz w:val="24"/>
          <w:szCs w:val="24"/>
          <w:lang w:eastAsia="es-ES"/>
        </w:rPr>
        <w:t xml:space="preserve">durante la cual </w:t>
      </w:r>
      <w:r w:rsidRPr="008469CF">
        <w:rPr>
          <w:rFonts w:cstheme="minorHAnsi"/>
          <w:sz w:val="24"/>
          <w:szCs w:val="24"/>
          <w:lang w:eastAsia="es-ES"/>
        </w:rPr>
        <w:t>las</w:t>
      </w:r>
      <w:r w:rsidRPr="006A0544">
        <w:rPr>
          <w:rFonts w:cstheme="minorHAnsi"/>
          <w:sz w:val="24"/>
          <w:szCs w:val="24"/>
          <w:lang w:eastAsia="es-ES"/>
        </w:rPr>
        <w:t xml:space="preserve"> turbulencias económicas mantuvieron a nuestro país relativamente a salvo de las crisis de refugiados</w:t>
      </w:r>
      <w:r>
        <w:rPr>
          <w:rFonts w:cstheme="minorHAnsi"/>
          <w:sz w:val="24"/>
          <w:szCs w:val="24"/>
          <w:lang w:eastAsia="es-ES"/>
        </w:rPr>
        <w:t>,</w:t>
      </w:r>
      <w:r w:rsidRPr="006A0544">
        <w:rPr>
          <w:rFonts w:cstheme="minorHAnsi"/>
          <w:sz w:val="24"/>
          <w:szCs w:val="24"/>
          <w:lang w:eastAsia="es-ES"/>
        </w:rPr>
        <w:t xml:space="preserve"> que afectaron a otros países de la UE, </w:t>
      </w:r>
      <w:r w:rsidRPr="008A45C3">
        <w:rPr>
          <w:rFonts w:cstheme="minorHAnsi"/>
          <w:color w:val="000000" w:themeColor="text1"/>
          <w:sz w:val="24"/>
          <w:szCs w:val="24"/>
          <w:lang w:eastAsia="es-ES"/>
        </w:rPr>
        <w:t>mientras</w:t>
      </w:r>
      <w:r>
        <w:rPr>
          <w:rFonts w:cstheme="minorHAnsi"/>
          <w:sz w:val="24"/>
          <w:szCs w:val="24"/>
          <w:lang w:eastAsia="es-ES"/>
        </w:rPr>
        <w:t xml:space="preserve"> </w:t>
      </w:r>
      <w:r w:rsidRPr="006A0544">
        <w:rPr>
          <w:rFonts w:cstheme="minorHAnsi"/>
          <w:sz w:val="24"/>
          <w:szCs w:val="24"/>
          <w:lang w:eastAsia="es-ES"/>
        </w:rPr>
        <w:t xml:space="preserve">la atención pública estaba centrada en las entradas irregulares por mar o a través de las vallas de Ceuta y Melilla, lo que concedió un indudable protagonismo a los aspectos de </w:t>
      </w:r>
      <w:r>
        <w:rPr>
          <w:rFonts w:cstheme="minorHAnsi"/>
          <w:sz w:val="24"/>
          <w:szCs w:val="24"/>
          <w:lang w:eastAsia="es-ES"/>
        </w:rPr>
        <w:t xml:space="preserve"> </w:t>
      </w:r>
      <w:r w:rsidRPr="008A45C3">
        <w:rPr>
          <w:rFonts w:cstheme="minorHAnsi"/>
          <w:color w:val="000000" w:themeColor="text1"/>
          <w:sz w:val="24"/>
          <w:szCs w:val="24"/>
          <w:lang w:eastAsia="es-ES"/>
        </w:rPr>
        <w:t>seguridad</w:t>
      </w:r>
      <w:r>
        <w:rPr>
          <w:rFonts w:cstheme="minorHAnsi"/>
          <w:color w:val="C00000"/>
          <w:sz w:val="24"/>
          <w:szCs w:val="24"/>
          <w:lang w:eastAsia="es-ES"/>
        </w:rPr>
        <w:t xml:space="preserve">. </w:t>
      </w:r>
    </w:p>
    <w:p w14:paraId="66181C6F" w14:textId="77777777" w:rsidR="00E5273E" w:rsidRPr="006A0544" w:rsidRDefault="00E5273E" w:rsidP="00E5273E">
      <w:pPr>
        <w:pStyle w:val="Prrafodelista"/>
        <w:numPr>
          <w:ilvl w:val="0"/>
          <w:numId w:val="2"/>
        </w:numPr>
        <w:spacing w:after="0" w:line="480" w:lineRule="auto"/>
        <w:ind w:left="851" w:hanging="491"/>
        <w:jc w:val="both"/>
        <w:rPr>
          <w:rFonts w:cstheme="minorHAnsi"/>
          <w:sz w:val="24"/>
          <w:szCs w:val="24"/>
        </w:rPr>
      </w:pPr>
      <w:r w:rsidRPr="006A0544">
        <w:rPr>
          <w:rFonts w:cstheme="minorHAnsi"/>
          <w:sz w:val="24"/>
          <w:szCs w:val="24"/>
        </w:rPr>
        <w:t>POLÍTICA ACTIVA DE INMIGRACIÓN</w:t>
      </w:r>
    </w:p>
    <w:p w14:paraId="4607B1C1" w14:textId="77777777" w:rsidR="00E5273E" w:rsidRPr="006A0544" w:rsidRDefault="00E5273E" w:rsidP="00E5273E">
      <w:pPr>
        <w:pStyle w:val="Textoindependiente"/>
        <w:spacing w:after="0" w:line="480" w:lineRule="auto"/>
        <w:jc w:val="both"/>
        <w:rPr>
          <w:rFonts w:cstheme="minorHAnsi"/>
          <w:sz w:val="24"/>
          <w:szCs w:val="24"/>
          <w:lang w:eastAsia="es-ES"/>
        </w:rPr>
      </w:pPr>
      <w:r w:rsidRPr="006A0544">
        <w:rPr>
          <w:rFonts w:cstheme="minorHAnsi"/>
          <w:sz w:val="24"/>
          <w:szCs w:val="24"/>
        </w:rPr>
        <w:t>Con la aprobación de la LO 7/1985</w:t>
      </w:r>
      <w:r w:rsidRPr="006A0544">
        <w:rPr>
          <w:rFonts w:cstheme="minorHAnsi"/>
          <w:sz w:val="24"/>
          <w:szCs w:val="24"/>
          <w:lang w:eastAsia="es-ES"/>
        </w:rPr>
        <w:t xml:space="preserve">, de 1 de julio, sobre derechos y libertades de los extranjeros en España, conocida como Ley de Extranjería (LOE), se sentaron en nuestro país los cimientos para una política de extranjería </w:t>
      </w:r>
      <w:r>
        <w:rPr>
          <w:rFonts w:cstheme="minorHAnsi"/>
          <w:sz w:val="24"/>
          <w:szCs w:val="24"/>
          <w:lang w:eastAsia="es-ES"/>
        </w:rPr>
        <w:t>con el fin</w:t>
      </w:r>
      <w:r w:rsidRPr="006A0544">
        <w:rPr>
          <w:rFonts w:cstheme="minorHAnsi"/>
          <w:sz w:val="24"/>
          <w:szCs w:val="24"/>
          <w:lang w:eastAsia="es-ES"/>
        </w:rPr>
        <w:t xml:space="preserve"> de dar respuesta a los retos que representaba la incorporación a la CEE, así como </w:t>
      </w:r>
      <w:r w:rsidRPr="008A45C3">
        <w:rPr>
          <w:rFonts w:cstheme="minorHAnsi"/>
          <w:color w:val="000000" w:themeColor="text1"/>
          <w:sz w:val="24"/>
          <w:szCs w:val="24"/>
          <w:lang w:eastAsia="es-ES"/>
        </w:rPr>
        <w:t>a</w:t>
      </w:r>
      <w:r>
        <w:rPr>
          <w:rFonts w:cstheme="minorHAnsi"/>
          <w:color w:val="FF0000"/>
          <w:sz w:val="24"/>
          <w:szCs w:val="24"/>
          <w:lang w:eastAsia="es-ES"/>
        </w:rPr>
        <w:t xml:space="preserve"> </w:t>
      </w:r>
      <w:r w:rsidRPr="006A0544">
        <w:rPr>
          <w:rFonts w:cstheme="minorHAnsi"/>
          <w:sz w:val="24"/>
          <w:szCs w:val="24"/>
          <w:lang w:eastAsia="es-ES"/>
        </w:rPr>
        <w:t>la presencia creciente de extranjeros con orígenes y perfiles distintos a los tradicionales.</w:t>
      </w:r>
    </w:p>
    <w:p w14:paraId="2308198A" w14:textId="77777777" w:rsidR="00A0725D" w:rsidRDefault="00E5273E" w:rsidP="00A0725D">
      <w:pPr>
        <w:pStyle w:val="Textoindependiente"/>
        <w:spacing w:after="0" w:line="480" w:lineRule="auto"/>
        <w:jc w:val="both"/>
        <w:rPr>
          <w:rFonts w:cstheme="minorHAnsi"/>
          <w:sz w:val="24"/>
          <w:szCs w:val="24"/>
        </w:rPr>
      </w:pPr>
      <w:r w:rsidRPr="006A0544">
        <w:rPr>
          <w:rFonts w:cstheme="minorHAnsi"/>
          <w:sz w:val="24"/>
          <w:szCs w:val="24"/>
        </w:rPr>
        <w:t>Las primeras estimaciones sobre el número de extranjeros en situación irregular se hacen públicas en 1986, y se cifra</w:t>
      </w:r>
      <w:r>
        <w:rPr>
          <w:rFonts w:cstheme="minorHAnsi"/>
          <w:sz w:val="24"/>
          <w:szCs w:val="24"/>
        </w:rPr>
        <w:t>ban en más de 300.000</w:t>
      </w:r>
      <w:r w:rsidRPr="006A0544">
        <w:rPr>
          <w:rFonts w:cstheme="minorHAnsi"/>
          <w:sz w:val="24"/>
          <w:szCs w:val="24"/>
        </w:rPr>
        <w:t xml:space="preserve"> personas, momento que coincide con el primer proceso extraordinario de regularización. Sin embargo, los resultados de éste produjeron </w:t>
      </w:r>
      <w:r>
        <w:rPr>
          <w:rFonts w:cstheme="minorHAnsi"/>
          <w:sz w:val="24"/>
          <w:szCs w:val="24"/>
        </w:rPr>
        <w:t>decepción</w:t>
      </w:r>
      <w:r w:rsidRPr="006A0544">
        <w:rPr>
          <w:rFonts w:cstheme="minorHAnsi"/>
          <w:sz w:val="24"/>
          <w:szCs w:val="24"/>
        </w:rPr>
        <w:t>, ya que las estimaciones de expertos cifraban el número de extranjeros en situación irregular en el año 1986 en una horquilla que iba desde 91.000 a 130.000 -hipótesis de Antonio Izquierdo</w:t>
      </w:r>
      <w:r w:rsidRPr="006A0544">
        <w:rPr>
          <w:rStyle w:val="Refdenotaalpie"/>
          <w:rFonts w:cstheme="minorHAnsi"/>
          <w:sz w:val="24"/>
          <w:szCs w:val="24"/>
        </w:rPr>
        <w:footnoteReference w:id="9"/>
      </w:r>
      <w:r w:rsidRPr="006A0544">
        <w:rPr>
          <w:rFonts w:cstheme="minorHAnsi"/>
          <w:sz w:val="24"/>
          <w:szCs w:val="24"/>
        </w:rPr>
        <w:t xml:space="preserve">- a </w:t>
      </w:r>
      <w:r>
        <w:rPr>
          <w:rFonts w:cstheme="minorHAnsi"/>
          <w:sz w:val="24"/>
          <w:szCs w:val="24"/>
        </w:rPr>
        <w:t>otra,</w:t>
      </w:r>
      <w:r w:rsidRPr="006A0544">
        <w:rPr>
          <w:rFonts w:cstheme="minorHAnsi"/>
          <w:sz w:val="24"/>
          <w:szCs w:val="24"/>
        </w:rPr>
        <w:t xml:space="preserve"> de entre 294.000 y 500.000 </w:t>
      </w:r>
      <w:r>
        <w:rPr>
          <w:rFonts w:cstheme="minorHAnsi"/>
          <w:sz w:val="24"/>
          <w:szCs w:val="24"/>
        </w:rPr>
        <w:t xml:space="preserve">– hipótesis </w:t>
      </w:r>
      <w:r w:rsidRPr="006A0544">
        <w:rPr>
          <w:rFonts w:cstheme="minorHAnsi"/>
          <w:sz w:val="24"/>
          <w:szCs w:val="24"/>
        </w:rPr>
        <w:t>del Colectivo IOE.</w:t>
      </w:r>
      <w:r w:rsidRPr="006A0544">
        <w:rPr>
          <w:rStyle w:val="Refdenotaalpie"/>
          <w:rFonts w:cstheme="minorHAnsi"/>
          <w:sz w:val="24"/>
          <w:szCs w:val="24"/>
        </w:rPr>
        <w:footnoteReference w:id="10"/>
      </w:r>
    </w:p>
    <w:p w14:paraId="747DE6F5" w14:textId="74600761" w:rsidR="006C6F37" w:rsidRDefault="006C6F37" w:rsidP="00A0725D">
      <w:pPr>
        <w:pStyle w:val="Textoindependiente"/>
        <w:spacing w:after="0" w:line="480" w:lineRule="auto"/>
        <w:jc w:val="both"/>
        <w:rPr>
          <w:rFonts w:cstheme="minorHAnsi"/>
          <w:sz w:val="24"/>
          <w:szCs w:val="24"/>
        </w:rPr>
      </w:pPr>
      <w:r w:rsidRPr="006A0544">
        <w:rPr>
          <w:rFonts w:cstheme="minorHAnsi"/>
          <w:sz w:val="24"/>
          <w:szCs w:val="24"/>
        </w:rPr>
        <w:t xml:space="preserve">Con la finalidad de tener un conocimiento lo más aproximado posible a la realidad, a finales de 1989 se levantó un “Mapa de Inmigrantes extranjeros en situación irregular” </w:t>
      </w:r>
      <w:r w:rsidRPr="006A0544">
        <w:rPr>
          <w:rFonts w:cstheme="minorHAnsi"/>
          <w:sz w:val="24"/>
          <w:szCs w:val="24"/>
        </w:rPr>
        <w:lastRenderedPageBreak/>
        <w:t xml:space="preserve">en España”, por encargo de la Dirección General del Instituto Español de Emigración a la Asesoría de Programas de Servicios Sociales (PASS), </w:t>
      </w:r>
      <w:r>
        <w:rPr>
          <w:rFonts w:cstheme="minorHAnsi"/>
          <w:sz w:val="24"/>
          <w:szCs w:val="24"/>
        </w:rPr>
        <w:t>que</w:t>
      </w:r>
      <w:r w:rsidRPr="006A0544">
        <w:rPr>
          <w:rFonts w:cstheme="minorHAnsi"/>
          <w:sz w:val="24"/>
          <w:szCs w:val="24"/>
        </w:rPr>
        <w:t xml:space="preserve">, mediante la realización de una encuesta con participación de sesenta y ocho instituciones no oficiales radicadas en todas las </w:t>
      </w:r>
      <w:r>
        <w:rPr>
          <w:rFonts w:cstheme="minorHAnsi"/>
          <w:sz w:val="24"/>
          <w:szCs w:val="24"/>
        </w:rPr>
        <w:t>Comunidades Autónomas, obtuvo lo</w:t>
      </w:r>
      <w:r w:rsidRPr="006A0544">
        <w:rPr>
          <w:rFonts w:cstheme="minorHAnsi"/>
          <w:sz w:val="24"/>
          <w:szCs w:val="24"/>
        </w:rPr>
        <w:t>s siguientes datos:</w:t>
      </w:r>
      <w:r w:rsidR="00F51FA6">
        <w:rPr>
          <w:rFonts w:cstheme="minorHAnsi"/>
          <w:sz w:val="24"/>
          <w:szCs w:val="24"/>
        </w:rPr>
        <w:t xml:space="preserve"> ciudadanos extranjeros en sit</w:t>
      </w:r>
      <w:r w:rsidR="001905CF">
        <w:rPr>
          <w:rFonts w:cstheme="minorHAnsi"/>
          <w:sz w:val="24"/>
          <w:szCs w:val="24"/>
        </w:rPr>
        <w:t>u</w:t>
      </w:r>
      <w:r w:rsidR="00F51FA6">
        <w:rPr>
          <w:rFonts w:cstheme="minorHAnsi"/>
          <w:sz w:val="24"/>
          <w:szCs w:val="24"/>
        </w:rPr>
        <w:t>ación irre</w:t>
      </w:r>
      <w:r w:rsidR="00BD3765">
        <w:rPr>
          <w:rFonts w:cstheme="minorHAnsi"/>
          <w:sz w:val="24"/>
          <w:szCs w:val="24"/>
        </w:rPr>
        <w:t>gular, con presencia contrastada: 172.682</w:t>
      </w:r>
      <w:r w:rsidR="00C4625F">
        <w:rPr>
          <w:rFonts w:cstheme="minorHAnsi"/>
          <w:sz w:val="24"/>
          <w:szCs w:val="24"/>
        </w:rPr>
        <w:t>; y extranjeros con presencia estimada: 259.051 personas.</w:t>
      </w:r>
    </w:p>
    <w:p w14:paraId="76C8EA08" w14:textId="77777777" w:rsidR="00A0725D" w:rsidRDefault="00A0725D" w:rsidP="00A0725D">
      <w:pPr>
        <w:pStyle w:val="Textoindependiente"/>
        <w:spacing w:after="0" w:line="480" w:lineRule="auto"/>
        <w:jc w:val="both"/>
        <w:rPr>
          <w:rFonts w:cstheme="minorHAnsi"/>
          <w:sz w:val="24"/>
          <w:szCs w:val="24"/>
        </w:rPr>
      </w:pPr>
      <w:r>
        <w:rPr>
          <w:rFonts w:cstheme="minorHAnsi"/>
          <w:sz w:val="24"/>
          <w:szCs w:val="24"/>
        </w:rPr>
        <w:t xml:space="preserve">El origen </w:t>
      </w:r>
      <w:r w:rsidRPr="006A0544">
        <w:rPr>
          <w:rFonts w:cstheme="minorHAnsi"/>
          <w:sz w:val="24"/>
          <w:szCs w:val="24"/>
        </w:rPr>
        <w:t>de los extranjeros en situación irregular según la red de informantes y su comparación con los extranjeros en situación regular se refleja en los gráficos siguientes:</w:t>
      </w:r>
    </w:p>
    <w:p w14:paraId="14C72B5F" w14:textId="77777777" w:rsidR="00A0725D" w:rsidRPr="006A0544" w:rsidRDefault="00A0725D" w:rsidP="00A0725D">
      <w:pPr>
        <w:pStyle w:val="Textoindependiente"/>
        <w:spacing w:after="0" w:line="360" w:lineRule="auto"/>
        <w:jc w:val="both"/>
        <w:rPr>
          <w:rFonts w:cstheme="minorHAnsi"/>
          <w:sz w:val="24"/>
          <w:szCs w:val="24"/>
        </w:rPr>
      </w:pPr>
    </w:p>
    <w:p w14:paraId="37D795BB" w14:textId="77777777" w:rsidR="00A0725D" w:rsidRPr="006A0544" w:rsidRDefault="00A0725D" w:rsidP="00A0725D">
      <w:pPr>
        <w:pStyle w:val="Textoindependiente"/>
        <w:spacing w:after="0" w:line="480" w:lineRule="auto"/>
        <w:jc w:val="both"/>
        <w:rPr>
          <w:rFonts w:cstheme="minorHAnsi"/>
          <w:sz w:val="24"/>
          <w:szCs w:val="24"/>
        </w:rPr>
      </w:pPr>
      <w:r w:rsidRPr="006A0544">
        <w:rPr>
          <w:rFonts w:cstheme="minorHAnsi"/>
          <w:sz w:val="24"/>
          <w:szCs w:val="24"/>
        </w:rPr>
        <w:t>Gráfico I: Origen continental de extranjeros residentes legales en 1989</w:t>
      </w:r>
    </w:p>
    <w:p w14:paraId="649805F1" w14:textId="77777777" w:rsidR="00A0725D" w:rsidRPr="006A0544" w:rsidRDefault="00A0725D" w:rsidP="00A0725D">
      <w:pPr>
        <w:spacing w:after="0" w:line="480" w:lineRule="auto"/>
        <w:jc w:val="both"/>
        <w:rPr>
          <w:rFonts w:cstheme="minorHAnsi"/>
          <w:color w:val="C00000"/>
          <w:sz w:val="24"/>
          <w:szCs w:val="24"/>
        </w:rPr>
      </w:pPr>
      <w:r w:rsidRPr="006A0544">
        <w:rPr>
          <w:rFonts w:cstheme="minorHAnsi"/>
          <w:noProof/>
          <w:color w:val="C00000"/>
          <w:sz w:val="24"/>
          <w:szCs w:val="24"/>
          <w:lang w:eastAsia="es-ES"/>
        </w:rPr>
        <w:drawing>
          <wp:inline distT="0" distB="0" distL="0" distR="0" wp14:anchorId="423000BD" wp14:editId="469935F1">
            <wp:extent cx="5828030" cy="363982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28030" cy="3639820"/>
                    </a:xfrm>
                    <a:prstGeom prst="rect">
                      <a:avLst/>
                    </a:prstGeom>
                    <a:noFill/>
                  </pic:spPr>
                </pic:pic>
              </a:graphicData>
            </a:graphic>
          </wp:inline>
        </w:drawing>
      </w:r>
    </w:p>
    <w:p w14:paraId="3728D4AE" w14:textId="77777777" w:rsidR="00A0725D" w:rsidRPr="006A0544" w:rsidRDefault="00A0725D" w:rsidP="00A0725D">
      <w:pPr>
        <w:pStyle w:val="Textoindependiente"/>
        <w:spacing w:after="0" w:line="240" w:lineRule="auto"/>
        <w:jc w:val="both"/>
        <w:rPr>
          <w:rFonts w:cstheme="minorHAnsi"/>
          <w:color w:val="C00000"/>
          <w:sz w:val="24"/>
          <w:szCs w:val="24"/>
        </w:rPr>
      </w:pPr>
      <w:r w:rsidRPr="006A0544">
        <w:rPr>
          <w:rFonts w:cstheme="minorHAnsi"/>
          <w:sz w:val="24"/>
          <w:szCs w:val="24"/>
        </w:rPr>
        <w:t xml:space="preserve">Fuente: Revista Economía y Sociología del Trabajo. Los Movimientos Migratorios La Inmigración. Ministerio de Trabajo y Seguridad Social nº 11 1991 p.103 </w:t>
      </w:r>
    </w:p>
    <w:p w14:paraId="3473E0CB" w14:textId="77777777" w:rsidR="00A0725D" w:rsidRPr="006A0544" w:rsidRDefault="00A0725D" w:rsidP="00A0725D">
      <w:pPr>
        <w:spacing w:after="0" w:line="480" w:lineRule="auto"/>
        <w:jc w:val="both"/>
        <w:rPr>
          <w:rFonts w:cstheme="minorHAnsi"/>
          <w:color w:val="C00000"/>
          <w:sz w:val="24"/>
          <w:szCs w:val="24"/>
        </w:rPr>
      </w:pPr>
    </w:p>
    <w:p w14:paraId="5C838D75" w14:textId="77777777" w:rsidR="00A0725D" w:rsidRPr="006A0544" w:rsidRDefault="00A0725D" w:rsidP="00A0725D">
      <w:pPr>
        <w:spacing w:after="0" w:line="480" w:lineRule="auto"/>
        <w:jc w:val="both"/>
        <w:rPr>
          <w:rFonts w:cstheme="minorHAnsi"/>
          <w:color w:val="C00000"/>
          <w:sz w:val="24"/>
          <w:szCs w:val="24"/>
        </w:rPr>
      </w:pPr>
    </w:p>
    <w:p w14:paraId="3DD6A6CF" w14:textId="77777777" w:rsidR="00A0725D" w:rsidRDefault="00A0725D" w:rsidP="00A0725D">
      <w:pPr>
        <w:rPr>
          <w:rFonts w:cstheme="minorHAnsi"/>
          <w:sz w:val="24"/>
          <w:szCs w:val="24"/>
        </w:rPr>
      </w:pPr>
      <w:r>
        <w:rPr>
          <w:rFonts w:cstheme="minorHAnsi"/>
          <w:sz w:val="24"/>
          <w:szCs w:val="24"/>
        </w:rPr>
        <w:br w:type="page"/>
      </w:r>
    </w:p>
    <w:p w14:paraId="6ECA1CDA" w14:textId="77777777" w:rsidR="00A0725D" w:rsidRPr="006A0544" w:rsidRDefault="00A0725D" w:rsidP="00A0725D">
      <w:pPr>
        <w:pStyle w:val="Textoindependiente"/>
        <w:spacing w:after="0" w:line="480" w:lineRule="auto"/>
        <w:jc w:val="both"/>
        <w:rPr>
          <w:rFonts w:cstheme="minorHAnsi"/>
          <w:sz w:val="24"/>
          <w:szCs w:val="24"/>
          <w:u w:val="single"/>
        </w:rPr>
      </w:pPr>
      <w:r w:rsidRPr="006A0544">
        <w:rPr>
          <w:rFonts w:cstheme="minorHAnsi"/>
          <w:sz w:val="24"/>
          <w:szCs w:val="24"/>
        </w:rPr>
        <w:lastRenderedPageBreak/>
        <w:t>Gráfico II: Extranjeros en situación irregular (informe Pass 1989)</w:t>
      </w:r>
    </w:p>
    <w:p w14:paraId="5AC1C63D" w14:textId="77777777" w:rsidR="00A0725D" w:rsidRPr="006A0544" w:rsidRDefault="00A0725D" w:rsidP="00A0725D">
      <w:pPr>
        <w:spacing w:after="0" w:line="480" w:lineRule="auto"/>
        <w:jc w:val="both"/>
        <w:rPr>
          <w:rFonts w:cstheme="minorHAnsi"/>
          <w:color w:val="C00000"/>
          <w:sz w:val="24"/>
          <w:szCs w:val="24"/>
        </w:rPr>
      </w:pPr>
      <w:r w:rsidRPr="006A0544">
        <w:rPr>
          <w:rFonts w:cstheme="minorHAnsi"/>
          <w:color w:val="C00000"/>
          <w:sz w:val="24"/>
          <w:szCs w:val="24"/>
        </w:rPr>
        <w:t xml:space="preserve"> </w:t>
      </w:r>
      <w:r w:rsidRPr="006A0544">
        <w:rPr>
          <w:rFonts w:cstheme="minorHAnsi"/>
          <w:noProof/>
          <w:color w:val="C00000"/>
          <w:sz w:val="24"/>
          <w:szCs w:val="24"/>
          <w:lang w:eastAsia="es-ES"/>
        </w:rPr>
        <w:drawing>
          <wp:inline distT="0" distB="0" distL="0" distR="0" wp14:anchorId="7EB72BE0" wp14:editId="541B1B99">
            <wp:extent cx="5170170" cy="3310255"/>
            <wp:effectExtent l="0" t="0" r="0" b="444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70170" cy="3310255"/>
                    </a:xfrm>
                    <a:prstGeom prst="rect">
                      <a:avLst/>
                    </a:prstGeom>
                    <a:noFill/>
                  </pic:spPr>
                </pic:pic>
              </a:graphicData>
            </a:graphic>
          </wp:inline>
        </w:drawing>
      </w:r>
    </w:p>
    <w:p w14:paraId="56DEF37E" w14:textId="77777777" w:rsidR="00A0725D" w:rsidRPr="006A0544" w:rsidRDefault="00A0725D" w:rsidP="00A0725D">
      <w:pPr>
        <w:pStyle w:val="Textoindependiente"/>
        <w:spacing w:after="0" w:line="240" w:lineRule="auto"/>
        <w:jc w:val="both"/>
        <w:rPr>
          <w:rFonts w:cstheme="minorHAnsi"/>
          <w:color w:val="C00000"/>
          <w:sz w:val="24"/>
          <w:szCs w:val="24"/>
        </w:rPr>
      </w:pPr>
      <w:r w:rsidRPr="006A0544">
        <w:rPr>
          <w:rFonts w:cstheme="minorHAnsi"/>
          <w:sz w:val="24"/>
          <w:szCs w:val="24"/>
        </w:rPr>
        <w:t>Fuente: Revista Economía y Sociología del Trabajo Los Movimientos Migratorios: La Inmigración. Ministerio de Trabajo y Seguridad Social nº 11 1991 p.105</w:t>
      </w:r>
      <w:r w:rsidRPr="006A0544">
        <w:rPr>
          <w:rFonts w:cstheme="minorHAnsi"/>
          <w:color w:val="C00000"/>
          <w:sz w:val="24"/>
          <w:szCs w:val="24"/>
        </w:rPr>
        <w:t xml:space="preserve"> </w:t>
      </w:r>
    </w:p>
    <w:p w14:paraId="0B2CD36E" w14:textId="77777777" w:rsidR="00B32458" w:rsidRPr="006A0544" w:rsidRDefault="00B32458" w:rsidP="00B32458">
      <w:pPr>
        <w:pStyle w:val="Textoindependiente"/>
        <w:spacing w:before="360" w:after="0" w:line="480" w:lineRule="auto"/>
        <w:jc w:val="both"/>
        <w:rPr>
          <w:rFonts w:cstheme="minorHAnsi"/>
          <w:sz w:val="24"/>
          <w:szCs w:val="24"/>
          <w:lang w:eastAsia="es-ES"/>
        </w:rPr>
      </w:pPr>
      <w:r w:rsidRPr="006A0544">
        <w:rPr>
          <w:rFonts w:cstheme="minorHAnsi"/>
          <w:sz w:val="24"/>
          <w:szCs w:val="24"/>
          <w:lang w:eastAsia="es-ES"/>
        </w:rPr>
        <w:t>Estos datos robustecieron la conciencia de que los cauces legales existentes resultaban insuficientes para dar hacer frente a la nueva situación, saltando el debate del ámbito académico al social y al político.</w:t>
      </w:r>
    </w:p>
    <w:p w14:paraId="51B7E2B9" w14:textId="77777777" w:rsidR="00B32458" w:rsidRPr="006A0544" w:rsidRDefault="00B32458" w:rsidP="00B32458">
      <w:pPr>
        <w:pStyle w:val="Textoindependiente"/>
        <w:spacing w:after="0" w:line="480" w:lineRule="auto"/>
        <w:jc w:val="both"/>
        <w:rPr>
          <w:rFonts w:cstheme="minorHAnsi"/>
          <w:sz w:val="24"/>
          <w:szCs w:val="24"/>
        </w:rPr>
      </w:pPr>
      <w:r w:rsidRPr="006A0544">
        <w:rPr>
          <w:rFonts w:eastAsia="Times New Roman" w:cstheme="minorHAnsi"/>
          <w:color w:val="000000"/>
          <w:sz w:val="24"/>
          <w:szCs w:val="24"/>
          <w:lang w:eastAsia="es-ES"/>
        </w:rPr>
        <w:t xml:space="preserve">La presión ejercida tanto por los agentes sociales como por las </w:t>
      </w:r>
      <w:r w:rsidRPr="006A0544">
        <w:rPr>
          <w:rFonts w:cstheme="minorHAnsi"/>
          <w:sz w:val="24"/>
          <w:szCs w:val="24"/>
        </w:rPr>
        <w:t xml:space="preserve">organizaciones creadas en favor de los inmigrantes, en un primer momento, y las propias asociaciones de inmigrantes, con posterioridad, llevaron a que los partidos políticos demandasen al Gobierno una respuesta adecuada a la situación. </w:t>
      </w:r>
    </w:p>
    <w:p w14:paraId="23EDC212" w14:textId="77777777" w:rsidR="00994B2B" w:rsidRPr="006A0544" w:rsidRDefault="00994B2B" w:rsidP="00994B2B">
      <w:pPr>
        <w:pStyle w:val="Textoindependiente"/>
        <w:spacing w:after="0" w:line="480" w:lineRule="auto"/>
        <w:jc w:val="both"/>
        <w:rPr>
          <w:rFonts w:cstheme="minorHAnsi"/>
          <w:sz w:val="24"/>
          <w:szCs w:val="24"/>
        </w:rPr>
      </w:pPr>
      <w:r w:rsidRPr="006A0544">
        <w:rPr>
          <w:rFonts w:cstheme="minorHAnsi"/>
          <w:sz w:val="24"/>
          <w:szCs w:val="24"/>
        </w:rPr>
        <w:t xml:space="preserve">Las diversas iniciativas pueden enmarcarse en lo que se denominó “política activa de inmigración”, en contraposición a la meramente reactiva seguida con anterioridad y a lograr un cierto equilibrio entre los aspectos de seguridad (Interior) y sociolaborales (Trabajo). El Ministerio de Asuntos Exteriores hizo valer su papel, tanto por la potenciación del visado como instrumento de control y orientación de los flujos en </w:t>
      </w:r>
      <w:r w:rsidRPr="006A0544">
        <w:rPr>
          <w:rFonts w:cstheme="minorHAnsi"/>
          <w:sz w:val="24"/>
          <w:szCs w:val="24"/>
        </w:rPr>
        <w:lastRenderedPageBreak/>
        <w:t xml:space="preserve">origen como por su papel en la creciente necesidad de acomodar la política inmigratoria a las orientaciones de la Unión Europea (UE), cuyo objetivo esencial no era tanto </w:t>
      </w:r>
      <w:r w:rsidRPr="00925680">
        <w:rPr>
          <w:rFonts w:cstheme="minorHAnsi"/>
          <w:b/>
          <w:bCs/>
          <w:sz w:val="24"/>
          <w:szCs w:val="24"/>
        </w:rPr>
        <w:t>“evitar”</w:t>
      </w:r>
      <w:r w:rsidRPr="006A0544">
        <w:rPr>
          <w:rFonts w:cstheme="minorHAnsi"/>
          <w:sz w:val="24"/>
          <w:szCs w:val="24"/>
        </w:rPr>
        <w:t xml:space="preserve"> los flujos inmigratorios </w:t>
      </w:r>
      <w:r>
        <w:rPr>
          <w:rFonts w:cstheme="minorHAnsi"/>
          <w:sz w:val="24"/>
          <w:szCs w:val="24"/>
        </w:rPr>
        <w:t>como</w:t>
      </w:r>
      <w:r w:rsidRPr="006A0544">
        <w:rPr>
          <w:rFonts w:cstheme="minorHAnsi"/>
          <w:sz w:val="24"/>
          <w:szCs w:val="24"/>
        </w:rPr>
        <w:t xml:space="preserve"> </w:t>
      </w:r>
      <w:r w:rsidRPr="006A0544">
        <w:rPr>
          <w:rFonts w:cstheme="minorHAnsi"/>
          <w:b/>
          <w:bCs/>
          <w:sz w:val="24"/>
          <w:szCs w:val="24"/>
        </w:rPr>
        <w:t xml:space="preserve">“encauzarlos” </w:t>
      </w:r>
      <w:r w:rsidRPr="006A0544">
        <w:rPr>
          <w:rFonts w:cstheme="minorHAnsi"/>
          <w:sz w:val="24"/>
          <w:szCs w:val="24"/>
        </w:rPr>
        <w:t>mediante la adopción de una serie de mecanismos de regulación y control.</w:t>
      </w:r>
      <w:r w:rsidRPr="006A0544">
        <w:rPr>
          <w:rStyle w:val="Refdenotaalpie"/>
          <w:rFonts w:cstheme="minorHAnsi"/>
          <w:sz w:val="24"/>
          <w:szCs w:val="24"/>
        </w:rPr>
        <w:footnoteReference w:id="11"/>
      </w:r>
    </w:p>
    <w:p w14:paraId="01D99306" w14:textId="77777777" w:rsidR="00994B2B" w:rsidRPr="006A0544" w:rsidRDefault="00994B2B" w:rsidP="00994B2B">
      <w:pPr>
        <w:pStyle w:val="Textoindependiente"/>
        <w:spacing w:after="0" w:line="480" w:lineRule="auto"/>
        <w:jc w:val="both"/>
        <w:rPr>
          <w:rFonts w:cstheme="minorHAnsi"/>
          <w:sz w:val="24"/>
          <w:szCs w:val="24"/>
        </w:rPr>
      </w:pPr>
      <w:r w:rsidRPr="006A0544">
        <w:rPr>
          <w:rFonts w:cstheme="minorHAnsi"/>
          <w:sz w:val="24"/>
          <w:szCs w:val="24"/>
        </w:rPr>
        <w:t>Cuatro fueron los principales instrumentos que configuraron la “política activa de inmigración”: la proposición no de Ley de 1991; los procesos extraordinarios de regularización, el establecimiento de contingentes, y, cuando las dos medidas anteriores resultaron inviables por la presión ejercida por otros países de la UE, fundamentalmente  por Francia, su evolución hacia las contrataciones en origen y el establecimiento de mecanismos de regularización permanentes, denominadas “regularización por arraigo”</w:t>
      </w:r>
      <w:r>
        <w:rPr>
          <w:rFonts w:cstheme="minorHAnsi"/>
          <w:sz w:val="24"/>
          <w:szCs w:val="24"/>
        </w:rPr>
        <w:t>.</w:t>
      </w:r>
    </w:p>
    <w:p w14:paraId="12E9FA4A" w14:textId="77777777" w:rsidR="00994B2B" w:rsidRPr="006A0544" w:rsidRDefault="00994B2B" w:rsidP="00994B2B">
      <w:pPr>
        <w:pStyle w:val="Textoindependiente"/>
        <w:spacing w:after="0" w:line="480" w:lineRule="auto"/>
        <w:jc w:val="both"/>
        <w:rPr>
          <w:rFonts w:cstheme="minorHAnsi"/>
          <w:sz w:val="24"/>
          <w:szCs w:val="24"/>
        </w:rPr>
      </w:pPr>
      <w:r w:rsidRPr="006A0544">
        <w:rPr>
          <w:rFonts w:cstheme="minorHAnsi"/>
          <w:sz w:val="24"/>
          <w:szCs w:val="24"/>
        </w:rPr>
        <w:t xml:space="preserve">Junto a ello fue necesario adecuar la estructura administrativa encargada de la gestión, tanto a nivel central como periférico, y potenciar los cauces de consulta y participación institucional. </w:t>
      </w:r>
    </w:p>
    <w:p w14:paraId="7D142000" w14:textId="77777777" w:rsidR="00556FD1" w:rsidRPr="006A0544" w:rsidRDefault="00556FD1" w:rsidP="00556FD1">
      <w:pPr>
        <w:pStyle w:val="Prrafodelista"/>
        <w:numPr>
          <w:ilvl w:val="0"/>
          <w:numId w:val="3"/>
        </w:numPr>
        <w:spacing w:before="120" w:after="0" w:line="480" w:lineRule="auto"/>
        <w:ind w:left="714" w:hanging="357"/>
        <w:jc w:val="both"/>
        <w:rPr>
          <w:rFonts w:cstheme="minorHAnsi"/>
          <w:sz w:val="24"/>
          <w:szCs w:val="24"/>
        </w:rPr>
      </w:pPr>
      <w:r w:rsidRPr="006A0544">
        <w:rPr>
          <w:rFonts w:cstheme="minorHAnsi"/>
          <w:sz w:val="24"/>
          <w:szCs w:val="24"/>
        </w:rPr>
        <w:t>L</w:t>
      </w:r>
      <w:r>
        <w:rPr>
          <w:rFonts w:cstheme="minorHAnsi"/>
          <w:sz w:val="24"/>
          <w:szCs w:val="24"/>
        </w:rPr>
        <w:t>a proposición no de ley de 1991</w:t>
      </w:r>
    </w:p>
    <w:p w14:paraId="081C9BB6" w14:textId="77777777" w:rsidR="00556FD1" w:rsidRPr="006A0544" w:rsidRDefault="00556FD1" w:rsidP="00556FD1">
      <w:pPr>
        <w:pStyle w:val="Textoindependiente"/>
        <w:spacing w:after="0" w:line="480" w:lineRule="auto"/>
        <w:jc w:val="both"/>
        <w:rPr>
          <w:rFonts w:cstheme="minorHAnsi"/>
          <w:i/>
          <w:sz w:val="24"/>
          <w:szCs w:val="24"/>
        </w:rPr>
      </w:pPr>
      <w:r w:rsidRPr="006A0544">
        <w:rPr>
          <w:rFonts w:cstheme="minorHAnsi"/>
          <w:iCs/>
          <w:sz w:val="24"/>
          <w:szCs w:val="24"/>
        </w:rPr>
        <w:t>Debatida en el pleno celebrado el 26 de junio de 1990, resultó aprobada con el contenido siguiente:</w:t>
      </w:r>
      <w:r w:rsidRPr="006A0544">
        <w:rPr>
          <w:rFonts w:cstheme="minorHAnsi"/>
          <w:i/>
          <w:sz w:val="24"/>
          <w:szCs w:val="24"/>
        </w:rPr>
        <w:t xml:space="preserve"> “El Congreso de los Diputados insta al Gobierno a elaborar y remitir a la Cámara, antes del 31 de diciembre del presente año, un informe sobre la situación de los extranjeros en España, que comprenda en todo caso los siguientes aspectos: a) situación de los extranjeros que se encuentran en España desde una fecha anterior a la promulgación de la L.O. 7/1985, de 1 de julio y que, por diversas causas no accedieron al proceso de regularización abierto por dicha Ley. b) Situación de los extranjeros que se encuentran en España en situación irregular desde una fecha posterior a la promulgación </w:t>
      </w:r>
      <w:r w:rsidRPr="006A0544">
        <w:rPr>
          <w:rFonts w:cstheme="minorHAnsi"/>
          <w:i/>
          <w:sz w:val="24"/>
          <w:szCs w:val="24"/>
        </w:rPr>
        <w:lastRenderedPageBreak/>
        <w:t xml:space="preserve">de dicha Ley. c) Situación de las personas que hayan solicitado refugio o asilo en nuestro país. d) Nuevas medidas, en su caso, con que, en el futuro, considera el Gobierno más conveniente tratar las cuestiones relativas a la entrada y permanencia de extranjeros en España, en el marco del proceso de unificación política de las Comunidades Europeas” </w:t>
      </w:r>
      <w:r w:rsidRPr="006A0544">
        <w:rPr>
          <w:rStyle w:val="Refdenotaalpie"/>
          <w:rFonts w:cstheme="minorHAnsi"/>
          <w:i/>
          <w:sz w:val="24"/>
          <w:szCs w:val="24"/>
        </w:rPr>
        <w:footnoteReference w:id="12"/>
      </w:r>
      <w:r w:rsidRPr="006A0544">
        <w:rPr>
          <w:rFonts w:cstheme="minorHAnsi"/>
          <w:i/>
          <w:sz w:val="24"/>
          <w:szCs w:val="24"/>
        </w:rPr>
        <w:t>.</w:t>
      </w:r>
    </w:p>
    <w:p w14:paraId="5FEFCFC8" w14:textId="77777777" w:rsidR="005413D8" w:rsidRPr="006A0544" w:rsidRDefault="005413D8" w:rsidP="005413D8">
      <w:pPr>
        <w:pStyle w:val="Textoindependiente"/>
        <w:spacing w:after="0" w:line="480" w:lineRule="auto"/>
        <w:jc w:val="both"/>
        <w:rPr>
          <w:rFonts w:cstheme="minorHAnsi"/>
          <w:sz w:val="24"/>
          <w:szCs w:val="24"/>
        </w:rPr>
      </w:pPr>
      <w:r w:rsidRPr="006A0544">
        <w:rPr>
          <w:rFonts w:cstheme="minorHAnsi"/>
          <w:sz w:val="24"/>
          <w:szCs w:val="24"/>
        </w:rPr>
        <w:t xml:space="preserve">El Gobierno remitió al Congreso de los Diputados una Comunicación con la que trataba de dar respuesta a la solicitud planteada estructurado en los apartados siguientes: inmigración regular, inmigraciones irregulares, tendencias demográficas, regularización jurídica de extranjeros. </w:t>
      </w:r>
    </w:p>
    <w:p w14:paraId="4425C6C6" w14:textId="77777777" w:rsidR="00E336BC" w:rsidRPr="006A0544" w:rsidRDefault="00E336BC" w:rsidP="00E336BC">
      <w:pPr>
        <w:pStyle w:val="Textoindependiente"/>
        <w:spacing w:after="0" w:line="480" w:lineRule="auto"/>
        <w:jc w:val="both"/>
        <w:rPr>
          <w:rFonts w:cstheme="minorHAnsi"/>
          <w:sz w:val="24"/>
          <w:szCs w:val="24"/>
        </w:rPr>
      </w:pPr>
      <w:r w:rsidRPr="006A0544">
        <w:rPr>
          <w:rFonts w:cstheme="minorHAnsi"/>
          <w:sz w:val="24"/>
          <w:szCs w:val="24"/>
        </w:rPr>
        <w:t>La proposición no de Ley instaba al Gobierno a adoptar once medidas, la primera de las cuales era: “</w:t>
      </w:r>
      <w:r w:rsidRPr="001C22A7">
        <w:rPr>
          <w:rFonts w:cstheme="minorHAnsi"/>
          <w:i/>
          <w:iCs/>
          <w:sz w:val="24"/>
          <w:szCs w:val="24"/>
        </w:rPr>
        <w:t>Desarrollar una política activa de inmigración en la que los poderes públicos, con el amplio respaldo de las fuerzas políticas y sociales, tomen la iniciativa en la canalización y organización de los flujos de inmigración legal en función de las necesidades de mano de obra de la economía española y de la capacidad de absorción de nuestra sociedad</w:t>
      </w:r>
      <w:r w:rsidRPr="006A0544">
        <w:rPr>
          <w:rFonts w:cstheme="minorHAnsi"/>
          <w:sz w:val="24"/>
          <w:szCs w:val="24"/>
        </w:rPr>
        <w:t xml:space="preserve">” </w:t>
      </w:r>
      <w:r w:rsidRPr="006A0544">
        <w:rPr>
          <w:rStyle w:val="Refdenotaalpie"/>
          <w:rFonts w:cstheme="minorHAnsi"/>
          <w:sz w:val="24"/>
          <w:szCs w:val="24"/>
        </w:rPr>
        <w:footnoteReference w:id="13"/>
      </w:r>
    </w:p>
    <w:p w14:paraId="65DC02A6" w14:textId="4E405E41" w:rsidR="00BD67EB" w:rsidRDefault="00E336BC" w:rsidP="00AB42D8">
      <w:pPr>
        <w:spacing w:before="360" w:after="0" w:line="480" w:lineRule="auto"/>
        <w:jc w:val="both"/>
        <w:rPr>
          <w:rFonts w:cstheme="minorHAnsi"/>
          <w:i/>
          <w:iCs/>
          <w:sz w:val="24"/>
          <w:szCs w:val="24"/>
        </w:rPr>
      </w:pPr>
      <w:r>
        <w:rPr>
          <w:rFonts w:cstheme="minorHAnsi"/>
          <w:sz w:val="24"/>
          <w:szCs w:val="24"/>
        </w:rPr>
        <w:t>Otras dos medidas</w:t>
      </w:r>
      <w:r w:rsidR="002711A0">
        <w:rPr>
          <w:rFonts w:cstheme="minorHAnsi"/>
          <w:sz w:val="24"/>
          <w:szCs w:val="24"/>
        </w:rPr>
        <w:t xml:space="preserve"> destacadas consistían en propiciar “</w:t>
      </w:r>
      <w:r w:rsidR="002711A0" w:rsidRPr="006A0544">
        <w:rPr>
          <w:rFonts w:cstheme="minorHAnsi"/>
          <w:i/>
          <w:iCs/>
          <w:sz w:val="24"/>
          <w:szCs w:val="24"/>
        </w:rPr>
        <w:t xml:space="preserve">la afloración y legalización de los colectivos de extranjeros que trabajan en situación irregular </w:t>
      </w:r>
      <w:r w:rsidR="00D83F22">
        <w:rPr>
          <w:rFonts w:cstheme="minorHAnsi"/>
          <w:i/>
          <w:iCs/>
          <w:sz w:val="24"/>
          <w:szCs w:val="24"/>
        </w:rPr>
        <w:t>…</w:t>
      </w:r>
      <w:r w:rsidR="002711A0" w:rsidRPr="006A0544">
        <w:rPr>
          <w:rFonts w:cstheme="minorHAnsi"/>
          <w:i/>
          <w:iCs/>
          <w:sz w:val="24"/>
          <w:szCs w:val="24"/>
        </w:rPr>
        <w:t xml:space="preserve"> que puedan demostrar su inserción y arraigo”</w:t>
      </w:r>
      <w:r w:rsidR="003E5E4D">
        <w:rPr>
          <w:rFonts w:cstheme="minorHAnsi"/>
          <w:sz w:val="24"/>
          <w:szCs w:val="24"/>
        </w:rPr>
        <w:t xml:space="preserve"> y modernizar la estructura administrativa mediante entre otras medidas</w:t>
      </w:r>
      <w:r w:rsidR="00AB42D8">
        <w:rPr>
          <w:rFonts w:cstheme="minorHAnsi"/>
          <w:sz w:val="24"/>
          <w:szCs w:val="24"/>
        </w:rPr>
        <w:t xml:space="preserve">, de </w:t>
      </w:r>
      <w:r w:rsidR="00C81225">
        <w:rPr>
          <w:rFonts w:cstheme="minorHAnsi"/>
          <w:sz w:val="24"/>
          <w:szCs w:val="24"/>
        </w:rPr>
        <w:t>l</w:t>
      </w:r>
      <w:r w:rsidR="003E5E4D">
        <w:t xml:space="preserve">a creación </w:t>
      </w:r>
      <w:r w:rsidR="00081642">
        <w:t>de “</w:t>
      </w:r>
      <w:r w:rsidR="00C81225" w:rsidRPr="006A0544">
        <w:rPr>
          <w:rFonts w:cstheme="minorHAnsi"/>
          <w:i/>
          <w:iCs/>
          <w:sz w:val="24"/>
          <w:szCs w:val="24"/>
        </w:rPr>
        <w:t>Oficinas Únicas de Extranjeros</w:t>
      </w:r>
      <w:r w:rsidR="00081642">
        <w:rPr>
          <w:rFonts w:cstheme="minorHAnsi"/>
          <w:i/>
          <w:iCs/>
          <w:sz w:val="24"/>
          <w:szCs w:val="24"/>
        </w:rPr>
        <w:t>,</w:t>
      </w:r>
      <w:r w:rsidR="00C81225" w:rsidRPr="006A0544">
        <w:rPr>
          <w:rFonts w:cstheme="minorHAnsi"/>
          <w:i/>
          <w:iCs/>
          <w:sz w:val="24"/>
          <w:szCs w:val="24"/>
        </w:rPr>
        <w:t xml:space="preserve"> dependientes de los </w:t>
      </w:r>
      <w:r w:rsidR="00572641" w:rsidRPr="006A0544">
        <w:rPr>
          <w:rFonts w:cstheme="minorHAnsi"/>
          <w:i/>
          <w:iCs/>
          <w:sz w:val="24"/>
          <w:szCs w:val="24"/>
        </w:rPr>
        <w:t>delegados</w:t>
      </w:r>
      <w:r w:rsidR="00C81225" w:rsidRPr="006A0544">
        <w:rPr>
          <w:rFonts w:cstheme="minorHAnsi"/>
          <w:i/>
          <w:iCs/>
          <w:sz w:val="24"/>
          <w:szCs w:val="24"/>
        </w:rPr>
        <w:t xml:space="preserve"> del Gobierno y Gobernadores Civiles y de un Servicio de Inmigración en el Ministerio de Trabajo y Seguridad Social</w:t>
      </w:r>
      <w:r w:rsidR="00081642">
        <w:rPr>
          <w:rFonts w:cstheme="minorHAnsi"/>
          <w:i/>
          <w:iCs/>
          <w:sz w:val="24"/>
          <w:szCs w:val="24"/>
        </w:rPr>
        <w:t>”.</w:t>
      </w:r>
    </w:p>
    <w:p w14:paraId="06101FF6" w14:textId="53345419" w:rsidR="00056931" w:rsidRPr="006A0544" w:rsidRDefault="003172C2" w:rsidP="00056931">
      <w:pPr>
        <w:pStyle w:val="Textoindependiente"/>
        <w:spacing w:after="0" w:line="480" w:lineRule="auto"/>
        <w:jc w:val="both"/>
        <w:rPr>
          <w:rFonts w:cstheme="minorHAnsi"/>
          <w:sz w:val="24"/>
          <w:szCs w:val="24"/>
        </w:rPr>
      </w:pPr>
      <w:r>
        <w:rPr>
          <w:rFonts w:cstheme="minorHAnsi"/>
          <w:sz w:val="24"/>
          <w:szCs w:val="24"/>
        </w:rPr>
        <w:lastRenderedPageBreak/>
        <w:t>L</w:t>
      </w:r>
      <w:r w:rsidRPr="006A0544">
        <w:rPr>
          <w:rFonts w:cstheme="minorHAnsi"/>
          <w:sz w:val="24"/>
          <w:szCs w:val="24"/>
        </w:rPr>
        <w:t>os problemas que, con carácter inmediato, se pretendían resolver eran: regularizar la situación de los trabajadores extranjeros que acreditasen inserción y arraigo y mejorar la gestión administrativa</w:t>
      </w:r>
      <w:r>
        <w:rPr>
          <w:rFonts w:cstheme="minorHAnsi"/>
          <w:sz w:val="24"/>
          <w:szCs w:val="24"/>
        </w:rPr>
        <w:t>.</w:t>
      </w:r>
      <w:r w:rsidR="00056931" w:rsidRPr="00056931">
        <w:rPr>
          <w:rFonts w:cstheme="minorHAnsi"/>
          <w:spacing w:val="-2"/>
          <w:sz w:val="24"/>
          <w:szCs w:val="24"/>
        </w:rPr>
        <w:t xml:space="preserve"> </w:t>
      </w:r>
      <w:r w:rsidR="00056931" w:rsidRPr="00F70C69">
        <w:rPr>
          <w:rFonts w:cstheme="minorHAnsi"/>
          <w:spacing w:val="-2"/>
          <w:sz w:val="24"/>
          <w:szCs w:val="24"/>
        </w:rPr>
        <w:t xml:space="preserve">A medio plazo se buscaba configurar un sistema que fuese capaz de cumplir una triple función: </w:t>
      </w:r>
      <w:r w:rsidR="00056931" w:rsidRPr="00F70C69">
        <w:rPr>
          <w:rFonts w:cstheme="minorHAnsi"/>
          <w:b/>
          <w:bCs/>
          <w:spacing w:val="-2"/>
          <w:sz w:val="24"/>
          <w:szCs w:val="24"/>
        </w:rPr>
        <w:t>orientadora</w:t>
      </w:r>
      <w:r w:rsidR="00056931" w:rsidRPr="00F70C69">
        <w:rPr>
          <w:rFonts w:cstheme="minorHAnsi"/>
          <w:spacing w:val="-2"/>
          <w:sz w:val="24"/>
          <w:szCs w:val="24"/>
        </w:rPr>
        <w:t xml:space="preserve">, en el sentido de ser capaz de programar previamente el volumen y la caracterización de los flujos; </w:t>
      </w:r>
      <w:r w:rsidR="00056931" w:rsidRPr="00F70C69">
        <w:rPr>
          <w:rFonts w:cstheme="minorHAnsi"/>
          <w:b/>
          <w:bCs/>
          <w:spacing w:val="-2"/>
          <w:sz w:val="24"/>
          <w:szCs w:val="24"/>
        </w:rPr>
        <w:t>de control</w:t>
      </w:r>
      <w:r w:rsidR="00056931" w:rsidRPr="00F70C69">
        <w:rPr>
          <w:rFonts w:cstheme="minorHAnsi"/>
          <w:spacing w:val="-2"/>
          <w:sz w:val="24"/>
          <w:szCs w:val="24"/>
        </w:rPr>
        <w:t xml:space="preserve"> mediante la lucha contra las redes clandestinas, las entradas irregulares y el empleo irregular, y, en tercer lugar, </w:t>
      </w:r>
      <w:r w:rsidR="00056931" w:rsidRPr="00F70C69">
        <w:rPr>
          <w:rFonts w:cstheme="minorHAnsi"/>
          <w:b/>
          <w:bCs/>
          <w:spacing w:val="-2"/>
          <w:sz w:val="24"/>
          <w:szCs w:val="24"/>
        </w:rPr>
        <w:t>de cooperación</w:t>
      </w:r>
      <w:r w:rsidR="00056931" w:rsidRPr="00F70C69">
        <w:rPr>
          <w:rFonts w:cstheme="minorHAnsi"/>
          <w:spacing w:val="-2"/>
          <w:sz w:val="24"/>
          <w:szCs w:val="24"/>
        </w:rPr>
        <w:t xml:space="preserve">  con los países origen de los flujos de forma que las relaciones entre los </w:t>
      </w:r>
      <w:r w:rsidR="00056931">
        <w:rPr>
          <w:rFonts w:cstheme="minorHAnsi"/>
          <w:spacing w:val="-2"/>
          <w:sz w:val="24"/>
          <w:szCs w:val="24"/>
        </w:rPr>
        <w:t>autoridades</w:t>
      </w:r>
      <w:r w:rsidR="00056931" w:rsidRPr="00F70C69">
        <w:rPr>
          <w:rFonts w:cstheme="minorHAnsi"/>
          <w:spacing w:val="-2"/>
          <w:sz w:val="24"/>
          <w:szCs w:val="24"/>
        </w:rPr>
        <w:t xml:space="preserve"> </w:t>
      </w:r>
      <w:r w:rsidR="00056931">
        <w:rPr>
          <w:rFonts w:cstheme="minorHAnsi"/>
          <w:spacing w:val="-2"/>
          <w:sz w:val="24"/>
          <w:szCs w:val="24"/>
        </w:rPr>
        <w:t>fuesen</w:t>
      </w:r>
      <w:r w:rsidR="00056931" w:rsidRPr="00F70C69">
        <w:rPr>
          <w:rFonts w:cstheme="minorHAnsi"/>
          <w:spacing w:val="-2"/>
          <w:sz w:val="24"/>
          <w:szCs w:val="24"/>
        </w:rPr>
        <w:t xml:space="preserve"> de colaboración y la emigración irregular no fuese la única salida posibilidad de desarrollo personal o familiar que se ofrece a sus ciudadanos.</w:t>
      </w:r>
      <w:r w:rsidR="00056931" w:rsidRPr="006A0544">
        <w:rPr>
          <w:rFonts w:cstheme="minorHAnsi"/>
          <w:sz w:val="24"/>
          <w:szCs w:val="24"/>
        </w:rPr>
        <w:t xml:space="preserve"> </w:t>
      </w:r>
      <w:r w:rsidR="00056931" w:rsidRPr="006A0544">
        <w:rPr>
          <w:rStyle w:val="Refdenotaalpie"/>
          <w:rFonts w:cstheme="minorHAnsi"/>
          <w:sz w:val="24"/>
          <w:szCs w:val="24"/>
        </w:rPr>
        <w:footnoteReference w:id="14"/>
      </w:r>
    </w:p>
    <w:p w14:paraId="23448674" w14:textId="77777777" w:rsidR="009F0C7B" w:rsidRPr="006A0544" w:rsidRDefault="009F0C7B" w:rsidP="009F0C7B">
      <w:pPr>
        <w:pStyle w:val="Textoindependiente"/>
        <w:spacing w:after="0" w:line="480" w:lineRule="auto"/>
        <w:jc w:val="both"/>
        <w:rPr>
          <w:rFonts w:cstheme="minorHAnsi"/>
          <w:sz w:val="24"/>
          <w:szCs w:val="24"/>
        </w:rPr>
      </w:pPr>
      <w:r w:rsidRPr="006A0544">
        <w:rPr>
          <w:rFonts w:cstheme="minorHAnsi"/>
          <w:sz w:val="24"/>
          <w:szCs w:val="24"/>
        </w:rPr>
        <w:t>La Proposición no de Ley de 1991 enmarcó la política inmigratoria de toda la década sirviendo de inspiración a las principales medidas que se adoptaron durante la misma, y, entre las que merecen destacarse las siguientes:  los procesos extraordinarios de regularización, el establecimiento de contingentes y la conformación de la estructura administrativa.</w:t>
      </w:r>
    </w:p>
    <w:p w14:paraId="7F1E8F92" w14:textId="117B5BDA" w:rsidR="00E83483" w:rsidRPr="00BD4815" w:rsidRDefault="00E83483" w:rsidP="00BD4815">
      <w:pPr>
        <w:pStyle w:val="Prrafodelista"/>
        <w:numPr>
          <w:ilvl w:val="0"/>
          <w:numId w:val="3"/>
        </w:numPr>
        <w:spacing w:after="0" w:line="480" w:lineRule="auto"/>
        <w:jc w:val="both"/>
        <w:rPr>
          <w:rFonts w:cstheme="minorHAnsi"/>
          <w:sz w:val="24"/>
          <w:szCs w:val="24"/>
        </w:rPr>
      </w:pPr>
      <w:r w:rsidRPr="00BD4815">
        <w:rPr>
          <w:rFonts w:cstheme="minorHAnsi"/>
          <w:sz w:val="24"/>
          <w:szCs w:val="24"/>
        </w:rPr>
        <w:t>Los procesos extraordinarios de regularización</w:t>
      </w:r>
    </w:p>
    <w:p w14:paraId="5276BE10" w14:textId="4983898D" w:rsidR="00E83483" w:rsidRDefault="00E83483" w:rsidP="00E83483">
      <w:pPr>
        <w:pStyle w:val="Textoindependiente"/>
        <w:spacing w:after="0" w:line="480" w:lineRule="auto"/>
        <w:jc w:val="both"/>
        <w:rPr>
          <w:rFonts w:cstheme="minorHAnsi"/>
          <w:sz w:val="24"/>
          <w:szCs w:val="24"/>
        </w:rPr>
      </w:pPr>
      <w:r w:rsidRPr="006A0544">
        <w:rPr>
          <w:rFonts w:cstheme="minorHAnsi"/>
          <w:sz w:val="24"/>
          <w:szCs w:val="24"/>
        </w:rPr>
        <w:t xml:space="preserve">La presencia de residentes extranjeros en situación irregular era habitual en muchos países europeos, por lo que se procedía de forma recurrente a su regularización. Desde 1973 hasta 2005, fecha en que la Unión Europea adoptó una posición </w:t>
      </w:r>
      <w:r w:rsidRPr="008A45C3">
        <w:rPr>
          <w:rFonts w:cstheme="minorHAnsi"/>
          <w:color w:val="000000" w:themeColor="text1"/>
          <w:sz w:val="24"/>
          <w:szCs w:val="24"/>
        </w:rPr>
        <w:t xml:space="preserve">contraria a </w:t>
      </w:r>
      <w:r w:rsidRPr="006A0544">
        <w:rPr>
          <w:rFonts w:cstheme="minorHAnsi"/>
          <w:sz w:val="24"/>
          <w:szCs w:val="24"/>
        </w:rPr>
        <w:t>los mismos,</w:t>
      </w:r>
      <w:r w:rsidRPr="006A0544">
        <w:rPr>
          <w:rStyle w:val="Refdenotaalpie"/>
          <w:rFonts w:cstheme="minorHAnsi"/>
          <w:sz w:val="24"/>
          <w:szCs w:val="24"/>
        </w:rPr>
        <w:footnoteReference w:id="15"/>
      </w:r>
      <w:r w:rsidRPr="006A0544">
        <w:rPr>
          <w:rFonts w:cstheme="minorHAnsi"/>
          <w:sz w:val="24"/>
          <w:szCs w:val="24"/>
        </w:rPr>
        <w:t xml:space="preserve"> </w:t>
      </w:r>
      <w:r w:rsidRPr="006A0544">
        <w:rPr>
          <w:rFonts w:cstheme="minorHAnsi"/>
          <w:color w:val="FF0000"/>
          <w:sz w:val="24"/>
          <w:szCs w:val="24"/>
        </w:rPr>
        <w:t xml:space="preserve"> </w:t>
      </w:r>
      <w:r w:rsidRPr="006A0544">
        <w:rPr>
          <w:rFonts w:cstheme="minorHAnsi"/>
          <w:sz w:val="24"/>
          <w:szCs w:val="24"/>
        </w:rPr>
        <w:t xml:space="preserve">se llevaron a cabo treinta y cinco procesos de regularización en once países, incluidos algunos como Francia, Alemania o los Países Bajos que realizaron más de uno </w:t>
      </w:r>
      <w:r w:rsidRPr="006A0544">
        <w:rPr>
          <w:rFonts w:cstheme="minorHAnsi"/>
          <w:sz w:val="24"/>
          <w:szCs w:val="24"/>
        </w:rPr>
        <w:lastRenderedPageBreak/>
        <w:t>en la última década del siglo XX</w:t>
      </w:r>
      <w:r>
        <w:rPr>
          <w:rFonts w:cstheme="minorHAnsi"/>
          <w:sz w:val="24"/>
          <w:szCs w:val="24"/>
        </w:rPr>
        <w:t xml:space="preserve">, </w:t>
      </w:r>
      <w:r w:rsidRPr="006A0544">
        <w:rPr>
          <w:rFonts w:cstheme="minorHAnsi"/>
          <w:sz w:val="24"/>
          <w:szCs w:val="24"/>
        </w:rPr>
        <w:t xml:space="preserve">después mostraron una firme oposición a los que se realizaban en la primera década del siglo XXI. </w:t>
      </w:r>
    </w:p>
    <w:p w14:paraId="0E65485B" w14:textId="77777777" w:rsidR="00161034" w:rsidRPr="006A0544" w:rsidRDefault="00161034" w:rsidP="00161034">
      <w:pPr>
        <w:pStyle w:val="Textoindependiente"/>
        <w:spacing w:after="0" w:line="480" w:lineRule="auto"/>
        <w:jc w:val="both"/>
        <w:rPr>
          <w:rFonts w:cstheme="minorHAnsi"/>
          <w:sz w:val="24"/>
          <w:szCs w:val="24"/>
        </w:rPr>
      </w:pPr>
      <w:r w:rsidRPr="006A0544">
        <w:rPr>
          <w:rFonts w:cstheme="minorHAnsi"/>
          <w:sz w:val="24"/>
          <w:szCs w:val="24"/>
        </w:rPr>
        <w:t>Los procesos de regularización de trabajadores extranjeros vienen determinados por la existencia de economía sumergida y trabajo irregular y está generalmente aceptado</w:t>
      </w:r>
      <w:r w:rsidRPr="006A0544">
        <w:rPr>
          <w:rStyle w:val="Refdenotaalpie"/>
          <w:rFonts w:cstheme="minorHAnsi"/>
          <w:sz w:val="24"/>
          <w:szCs w:val="24"/>
        </w:rPr>
        <w:footnoteReference w:id="16"/>
      </w:r>
      <w:r w:rsidRPr="006A0544">
        <w:rPr>
          <w:rFonts w:cstheme="minorHAnsi"/>
          <w:sz w:val="24"/>
          <w:szCs w:val="24"/>
        </w:rPr>
        <w:t>, a pesar de que las cifras no pasan de ser meras estimaciones, que las economías de los países del Sur de Europa presentan tasas superiores a los del centro y los países nórdicos. Por ello no sorprende que en Francia se hayan llevado a cabo cuatro procesos de regularización; en Italia, seis; en Portugal, cuatro; en Grecia, dos y en España, ocho.</w:t>
      </w:r>
      <w:r w:rsidRPr="006A0544">
        <w:rPr>
          <w:rStyle w:val="Refdenotaalpie"/>
          <w:rFonts w:cstheme="minorHAnsi"/>
          <w:sz w:val="24"/>
          <w:szCs w:val="24"/>
        </w:rPr>
        <w:footnoteReference w:id="17"/>
      </w:r>
      <w:r w:rsidRPr="006A0544">
        <w:rPr>
          <w:rFonts w:cstheme="minorHAnsi"/>
          <w:sz w:val="24"/>
          <w:szCs w:val="24"/>
        </w:rPr>
        <w:t xml:space="preserve"> </w:t>
      </w:r>
    </w:p>
    <w:p w14:paraId="5E958EA4" w14:textId="77777777" w:rsidR="00161034" w:rsidRPr="006A0544" w:rsidRDefault="00161034" w:rsidP="00161034">
      <w:pPr>
        <w:pStyle w:val="Textoindependiente"/>
        <w:spacing w:after="0" w:line="480" w:lineRule="auto"/>
        <w:jc w:val="both"/>
        <w:rPr>
          <w:rFonts w:cstheme="minorHAnsi"/>
          <w:sz w:val="24"/>
          <w:szCs w:val="24"/>
        </w:rPr>
      </w:pPr>
      <w:r w:rsidRPr="006A0544">
        <w:rPr>
          <w:rFonts w:cstheme="minorHAnsi"/>
          <w:sz w:val="24"/>
          <w:szCs w:val="24"/>
        </w:rPr>
        <w:t>El principal reproche que se formula en relación con los procesos de regularización es el denominado “</w:t>
      </w:r>
      <w:r w:rsidRPr="006A0544">
        <w:rPr>
          <w:rFonts w:cstheme="minorHAnsi"/>
          <w:b/>
          <w:bCs/>
          <w:sz w:val="24"/>
          <w:szCs w:val="24"/>
        </w:rPr>
        <w:t>efecto llamada</w:t>
      </w:r>
      <w:r w:rsidRPr="006A0544">
        <w:rPr>
          <w:rFonts w:cstheme="minorHAnsi"/>
          <w:sz w:val="24"/>
          <w:szCs w:val="24"/>
        </w:rPr>
        <w:t>”, ya que atraen a nuevos inmigrantes cuando se anuncian, con lo que el número de irregulares aumenta, a pesar de que una de las principales medidas suele consistir en que no pueden acogerse al mismo quienes no residieran en el país con anterioridad.</w:t>
      </w:r>
    </w:p>
    <w:p w14:paraId="0B1BD568" w14:textId="77777777" w:rsidR="00A1391C" w:rsidRPr="006A0544" w:rsidRDefault="00A1391C" w:rsidP="00A1391C">
      <w:pPr>
        <w:pStyle w:val="Textoindependiente"/>
        <w:spacing w:after="0" w:line="480" w:lineRule="auto"/>
        <w:jc w:val="both"/>
        <w:rPr>
          <w:rFonts w:cstheme="minorHAnsi"/>
          <w:sz w:val="24"/>
          <w:szCs w:val="24"/>
        </w:rPr>
      </w:pPr>
      <w:r w:rsidRPr="006A0544">
        <w:rPr>
          <w:rFonts w:cstheme="minorHAnsi"/>
          <w:sz w:val="24"/>
          <w:szCs w:val="24"/>
        </w:rPr>
        <w:t xml:space="preserve">La OCDE considera que la falta de eficacia de los procesos de regularización depende de la forma en que se articulen. Cuanto más se asemejen a los procesos generales de autorización, tanto </w:t>
      </w:r>
      <w:r>
        <w:rPr>
          <w:rFonts w:cstheme="minorHAnsi"/>
          <w:sz w:val="24"/>
          <w:szCs w:val="24"/>
        </w:rPr>
        <w:t>para probar</w:t>
      </w:r>
      <w:r w:rsidRPr="006A0544">
        <w:rPr>
          <w:rFonts w:cstheme="minorHAnsi"/>
          <w:sz w:val="24"/>
          <w:szCs w:val="24"/>
        </w:rPr>
        <w:t xml:space="preserve"> la relación laboral como en los requisitos y duración de los permisos, mayor es el riesgo de que se limiten las posibilidades de beneficiarse de él o que los beneficiarios </w:t>
      </w:r>
      <w:r w:rsidRPr="008A45C3">
        <w:rPr>
          <w:rFonts w:cstheme="minorHAnsi"/>
          <w:color w:val="000000" w:themeColor="text1"/>
          <w:sz w:val="24"/>
          <w:szCs w:val="24"/>
        </w:rPr>
        <w:t>re</w:t>
      </w:r>
      <w:r w:rsidRPr="006A0544">
        <w:rPr>
          <w:rFonts w:cstheme="minorHAnsi"/>
          <w:sz w:val="24"/>
          <w:szCs w:val="24"/>
        </w:rPr>
        <w:t xml:space="preserve">caigan en el futuro en situación de irregularidad, provocada por la pérdida de atractivo para ser contratados frente a nuevos inmigrantes en situación irregular. </w:t>
      </w:r>
      <w:r w:rsidRPr="006A0544">
        <w:rPr>
          <w:rStyle w:val="Refdenotaalpie"/>
          <w:rFonts w:cstheme="minorHAnsi"/>
          <w:sz w:val="24"/>
          <w:szCs w:val="24"/>
        </w:rPr>
        <w:footnoteReference w:id="18"/>
      </w:r>
    </w:p>
    <w:p w14:paraId="347D5BFD" w14:textId="77777777" w:rsidR="00D0348C" w:rsidRPr="006A0544" w:rsidRDefault="00D0348C" w:rsidP="00D0348C">
      <w:pPr>
        <w:pStyle w:val="Textoindependiente"/>
        <w:spacing w:after="0" w:line="480" w:lineRule="auto"/>
        <w:jc w:val="both"/>
        <w:rPr>
          <w:rFonts w:cstheme="minorHAnsi"/>
          <w:sz w:val="24"/>
          <w:szCs w:val="24"/>
        </w:rPr>
      </w:pPr>
      <w:r w:rsidRPr="006A0544">
        <w:rPr>
          <w:rFonts w:cstheme="minorHAnsi"/>
          <w:sz w:val="24"/>
          <w:szCs w:val="24"/>
        </w:rPr>
        <w:lastRenderedPageBreak/>
        <w:t>Entre 1985, fecha de la aprobación de la LOE y el año 2000, en el que se aprueba la LO 4/2000, sobre derechos y libertades de los extranjeros en España y su integración social (LOEIS) tuvieron lugar en España</w:t>
      </w:r>
      <w:r>
        <w:rPr>
          <w:rFonts w:cstheme="minorHAnsi"/>
          <w:sz w:val="24"/>
          <w:szCs w:val="24"/>
        </w:rPr>
        <w:t xml:space="preserve"> tres procesos de regularización, si bien el segundo, se desdobló y cuyos resultados se muestran en la tabla siguiente:</w:t>
      </w:r>
    </w:p>
    <w:p w14:paraId="17F48A49" w14:textId="5F1A7A4F" w:rsidR="007A31C0" w:rsidRPr="006A0544" w:rsidRDefault="007A31C0" w:rsidP="007A31C0">
      <w:pPr>
        <w:pStyle w:val="Textoindependiente"/>
        <w:spacing w:after="0" w:line="480" w:lineRule="auto"/>
        <w:jc w:val="both"/>
        <w:rPr>
          <w:rFonts w:cstheme="minorHAnsi"/>
          <w:sz w:val="24"/>
          <w:szCs w:val="24"/>
        </w:rPr>
      </w:pPr>
      <w:r w:rsidRPr="006A0544">
        <w:rPr>
          <w:rFonts w:cstheme="minorHAnsi"/>
          <w:sz w:val="24"/>
          <w:szCs w:val="24"/>
        </w:rPr>
        <w:t xml:space="preserve">Tabla I: Resumen de los tres primeros procesos de regularización </w:t>
      </w:r>
    </w:p>
    <w:tbl>
      <w:tblPr>
        <w:tblStyle w:val="Tablaconcuadrcula"/>
        <w:tblW w:w="9351" w:type="dxa"/>
        <w:tblLook w:val="04A0" w:firstRow="1" w:lastRow="0" w:firstColumn="1" w:lastColumn="0" w:noHBand="0" w:noVBand="1"/>
      </w:tblPr>
      <w:tblGrid>
        <w:gridCol w:w="2122"/>
        <w:gridCol w:w="1134"/>
        <w:gridCol w:w="1248"/>
        <w:gridCol w:w="1161"/>
        <w:gridCol w:w="1261"/>
        <w:gridCol w:w="1292"/>
        <w:gridCol w:w="1133"/>
      </w:tblGrid>
      <w:tr w:rsidR="007A31C0" w:rsidRPr="006A0544" w14:paraId="5C1ABB94" w14:textId="77777777" w:rsidTr="00E3628C">
        <w:trPr>
          <w:trHeight w:hRule="exact" w:val="340"/>
        </w:trPr>
        <w:tc>
          <w:tcPr>
            <w:tcW w:w="2122" w:type="dxa"/>
          </w:tcPr>
          <w:p w14:paraId="1B69C985" w14:textId="77777777" w:rsidR="007A31C0" w:rsidRPr="006A0544" w:rsidRDefault="007A31C0" w:rsidP="00E3628C">
            <w:pPr>
              <w:spacing w:line="480" w:lineRule="auto"/>
              <w:jc w:val="both"/>
              <w:rPr>
                <w:rFonts w:cstheme="minorHAnsi"/>
                <w:sz w:val="24"/>
                <w:szCs w:val="24"/>
              </w:rPr>
            </w:pPr>
            <w:r w:rsidRPr="006A0544">
              <w:rPr>
                <w:rFonts w:cstheme="minorHAnsi"/>
                <w:sz w:val="24"/>
                <w:szCs w:val="24"/>
              </w:rPr>
              <w:t>Número/Fecha</w:t>
            </w:r>
          </w:p>
        </w:tc>
        <w:tc>
          <w:tcPr>
            <w:tcW w:w="1134" w:type="dxa"/>
          </w:tcPr>
          <w:p w14:paraId="4464B33B" w14:textId="77777777" w:rsidR="007A31C0" w:rsidRPr="006A0544" w:rsidRDefault="007A31C0" w:rsidP="00E3628C">
            <w:pPr>
              <w:spacing w:line="480" w:lineRule="auto"/>
              <w:jc w:val="both"/>
              <w:rPr>
                <w:rFonts w:cstheme="minorHAnsi"/>
                <w:sz w:val="24"/>
                <w:szCs w:val="24"/>
              </w:rPr>
            </w:pPr>
            <w:r w:rsidRPr="006A0544">
              <w:rPr>
                <w:rFonts w:cstheme="minorHAnsi"/>
                <w:sz w:val="24"/>
                <w:szCs w:val="24"/>
              </w:rPr>
              <w:t>Solicitud.</w:t>
            </w:r>
          </w:p>
        </w:tc>
        <w:tc>
          <w:tcPr>
            <w:tcW w:w="1248" w:type="dxa"/>
          </w:tcPr>
          <w:p w14:paraId="663CB5F3" w14:textId="77777777" w:rsidR="007A31C0" w:rsidRPr="006A0544" w:rsidRDefault="007A31C0" w:rsidP="00E3628C">
            <w:pPr>
              <w:spacing w:line="480" w:lineRule="auto"/>
              <w:jc w:val="both"/>
              <w:rPr>
                <w:rFonts w:cstheme="minorHAnsi"/>
                <w:sz w:val="24"/>
                <w:szCs w:val="24"/>
              </w:rPr>
            </w:pPr>
            <w:r w:rsidRPr="006A0544">
              <w:rPr>
                <w:rFonts w:cstheme="minorHAnsi"/>
                <w:sz w:val="24"/>
                <w:szCs w:val="24"/>
              </w:rPr>
              <w:t>Conced.</w:t>
            </w:r>
          </w:p>
        </w:tc>
        <w:tc>
          <w:tcPr>
            <w:tcW w:w="1161" w:type="dxa"/>
          </w:tcPr>
          <w:p w14:paraId="421D0B1C" w14:textId="77777777" w:rsidR="007A31C0" w:rsidRPr="006A0544" w:rsidRDefault="007A31C0" w:rsidP="00E3628C">
            <w:pPr>
              <w:spacing w:line="480" w:lineRule="auto"/>
              <w:jc w:val="both"/>
              <w:rPr>
                <w:rFonts w:cstheme="minorHAnsi"/>
                <w:sz w:val="24"/>
                <w:szCs w:val="24"/>
              </w:rPr>
            </w:pPr>
            <w:r w:rsidRPr="006A0544">
              <w:rPr>
                <w:rFonts w:cstheme="minorHAnsi"/>
                <w:sz w:val="24"/>
                <w:szCs w:val="24"/>
              </w:rPr>
              <w:t>Residenc.</w:t>
            </w:r>
          </w:p>
        </w:tc>
        <w:tc>
          <w:tcPr>
            <w:tcW w:w="1261" w:type="dxa"/>
          </w:tcPr>
          <w:p w14:paraId="6F401739" w14:textId="77777777" w:rsidR="007A31C0" w:rsidRPr="006A0544" w:rsidRDefault="007A31C0" w:rsidP="00E3628C">
            <w:pPr>
              <w:spacing w:line="480" w:lineRule="auto"/>
              <w:jc w:val="both"/>
              <w:rPr>
                <w:rFonts w:cstheme="minorHAnsi"/>
                <w:sz w:val="24"/>
                <w:szCs w:val="24"/>
              </w:rPr>
            </w:pPr>
            <w:r w:rsidRPr="006A0544">
              <w:rPr>
                <w:rFonts w:cstheme="minorHAnsi"/>
                <w:sz w:val="24"/>
                <w:szCs w:val="24"/>
              </w:rPr>
              <w:t>Trabajo</w:t>
            </w:r>
          </w:p>
        </w:tc>
        <w:tc>
          <w:tcPr>
            <w:tcW w:w="1292" w:type="dxa"/>
          </w:tcPr>
          <w:p w14:paraId="08C7CEAF" w14:textId="77777777" w:rsidR="007A31C0" w:rsidRPr="006A0544" w:rsidRDefault="007A31C0" w:rsidP="00E3628C">
            <w:pPr>
              <w:spacing w:line="480" w:lineRule="auto"/>
              <w:jc w:val="both"/>
              <w:rPr>
                <w:rFonts w:cstheme="minorHAnsi"/>
                <w:sz w:val="24"/>
                <w:szCs w:val="24"/>
              </w:rPr>
            </w:pPr>
            <w:r w:rsidRPr="006A0544">
              <w:rPr>
                <w:rFonts w:cstheme="minorHAnsi"/>
                <w:sz w:val="24"/>
                <w:szCs w:val="24"/>
              </w:rPr>
              <w:t>Denegadas</w:t>
            </w:r>
          </w:p>
        </w:tc>
        <w:tc>
          <w:tcPr>
            <w:tcW w:w="1133" w:type="dxa"/>
          </w:tcPr>
          <w:p w14:paraId="7450D57B" w14:textId="77777777" w:rsidR="007A31C0" w:rsidRPr="006E00D6" w:rsidRDefault="007A31C0" w:rsidP="00E3628C">
            <w:pPr>
              <w:spacing w:line="480" w:lineRule="auto"/>
              <w:jc w:val="both"/>
              <w:rPr>
                <w:rFonts w:cstheme="minorHAnsi"/>
                <w:color w:val="FF0000"/>
                <w:sz w:val="24"/>
                <w:szCs w:val="24"/>
              </w:rPr>
            </w:pPr>
            <w:r w:rsidRPr="006A0544">
              <w:rPr>
                <w:rFonts w:cstheme="minorHAnsi"/>
                <w:sz w:val="24"/>
                <w:szCs w:val="24"/>
              </w:rPr>
              <w:t>Otras</w:t>
            </w:r>
            <w:r>
              <w:rPr>
                <w:rFonts w:cstheme="minorHAnsi"/>
                <w:sz w:val="24"/>
                <w:szCs w:val="24"/>
              </w:rPr>
              <w:t xml:space="preserve"> </w:t>
            </w:r>
            <w:r>
              <w:rPr>
                <w:rFonts w:cstheme="minorHAnsi"/>
                <w:color w:val="FF0000"/>
                <w:sz w:val="24"/>
                <w:szCs w:val="24"/>
              </w:rPr>
              <w:t>*</w:t>
            </w:r>
          </w:p>
        </w:tc>
      </w:tr>
      <w:tr w:rsidR="007A31C0" w:rsidRPr="006A0544" w14:paraId="72E2C6F9" w14:textId="77777777" w:rsidTr="00E3628C">
        <w:trPr>
          <w:trHeight w:hRule="exact" w:val="340"/>
        </w:trPr>
        <w:tc>
          <w:tcPr>
            <w:tcW w:w="2122" w:type="dxa"/>
          </w:tcPr>
          <w:p w14:paraId="089B0C30" w14:textId="77777777" w:rsidR="007A31C0" w:rsidRPr="006A0544" w:rsidRDefault="007A31C0" w:rsidP="00E3628C">
            <w:pPr>
              <w:spacing w:line="480" w:lineRule="auto"/>
              <w:jc w:val="both"/>
              <w:rPr>
                <w:rFonts w:cstheme="minorHAnsi"/>
                <w:sz w:val="24"/>
                <w:szCs w:val="24"/>
              </w:rPr>
            </w:pPr>
            <w:r w:rsidRPr="006A0544">
              <w:rPr>
                <w:rFonts w:cstheme="minorHAnsi"/>
                <w:sz w:val="24"/>
                <w:szCs w:val="24"/>
              </w:rPr>
              <w:t xml:space="preserve">Iº </w:t>
            </w:r>
            <w:r>
              <w:rPr>
                <w:rFonts w:cstheme="minorHAnsi"/>
                <w:sz w:val="24"/>
                <w:szCs w:val="24"/>
              </w:rPr>
              <w:t xml:space="preserve">: </w:t>
            </w:r>
            <w:r w:rsidRPr="006A0544">
              <w:rPr>
                <w:rFonts w:cstheme="minorHAnsi"/>
                <w:sz w:val="24"/>
                <w:szCs w:val="24"/>
              </w:rPr>
              <w:t>1985-86</w:t>
            </w:r>
          </w:p>
        </w:tc>
        <w:tc>
          <w:tcPr>
            <w:tcW w:w="1134" w:type="dxa"/>
          </w:tcPr>
          <w:p w14:paraId="3F2F44BC" w14:textId="77777777" w:rsidR="007A31C0" w:rsidRPr="006A0544" w:rsidRDefault="007A31C0" w:rsidP="00E3628C">
            <w:pPr>
              <w:spacing w:line="480" w:lineRule="auto"/>
              <w:jc w:val="both"/>
              <w:rPr>
                <w:rFonts w:cstheme="minorHAnsi"/>
                <w:sz w:val="24"/>
                <w:szCs w:val="24"/>
              </w:rPr>
            </w:pPr>
            <w:r w:rsidRPr="006A0544">
              <w:rPr>
                <w:rFonts w:cstheme="minorHAnsi"/>
                <w:sz w:val="24"/>
                <w:szCs w:val="24"/>
              </w:rPr>
              <w:t>43.815</w:t>
            </w:r>
          </w:p>
        </w:tc>
        <w:tc>
          <w:tcPr>
            <w:tcW w:w="1248" w:type="dxa"/>
          </w:tcPr>
          <w:p w14:paraId="136CBC16" w14:textId="77777777" w:rsidR="007A31C0" w:rsidRPr="006A0544" w:rsidRDefault="007A31C0" w:rsidP="00E3628C">
            <w:pPr>
              <w:spacing w:line="480" w:lineRule="auto"/>
              <w:jc w:val="both"/>
              <w:rPr>
                <w:rFonts w:cstheme="minorHAnsi"/>
                <w:sz w:val="24"/>
                <w:szCs w:val="24"/>
              </w:rPr>
            </w:pPr>
            <w:r w:rsidRPr="006A0544">
              <w:rPr>
                <w:rFonts w:cstheme="minorHAnsi"/>
                <w:sz w:val="24"/>
                <w:szCs w:val="24"/>
              </w:rPr>
              <w:t>38.178</w:t>
            </w:r>
          </w:p>
        </w:tc>
        <w:tc>
          <w:tcPr>
            <w:tcW w:w="1161" w:type="dxa"/>
          </w:tcPr>
          <w:p w14:paraId="4D785F06" w14:textId="77777777" w:rsidR="007A31C0" w:rsidRPr="006A0544" w:rsidRDefault="007A31C0" w:rsidP="00E3628C">
            <w:pPr>
              <w:spacing w:line="480" w:lineRule="auto"/>
              <w:jc w:val="both"/>
              <w:rPr>
                <w:rFonts w:cstheme="minorHAnsi"/>
                <w:sz w:val="24"/>
                <w:szCs w:val="24"/>
              </w:rPr>
            </w:pPr>
            <w:r w:rsidRPr="006A0544">
              <w:rPr>
                <w:rFonts w:cstheme="minorHAnsi"/>
                <w:sz w:val="24"/>
                <w:szCs w:val="24"/>
              </w:rPr>
              <w:t>19.452</w:t>
            </w:r>
          </w:p>
        </w:tc>
        <w:tc>
          <w:tcPr>
            <w:tcW w:w="1261" w:type="dxa"/>
          </w:tcPr>
          <w:p w14:paraId="1DE24A84" w14:textId="77777777" w:rsidR="007A31C0" w:rsidRPr="006A0544" w:rsidRDefault="007A31C0" w:rsidP="00E3628C">
            <w:pPr>
              <w:spacing w:line="480" w:lineRule="auto"/>
              <w:jc w:val="both"/>
              <w:rPr>
                <w:rFonts w:cstheme="minorHAnsi"/>
                <w:sz w:val="24"/>
                <w:szCs w:val="24"/>
              </w:rPr>
            </w:pPr>
            <w:r w:rsidRPr="006A0544">
              <w:rPr>
                <w:rFonts w:cstheme="minorHAnsi"/>
                <w:sz w:val="24"/>
                <w:szCs w:val="24"/>
              </w:rPr>
              <w:t>18.726</w:t>
            </w:r>
          </w:p>
        </w:tc>
        <w:tc>
          <w:tcPr>
            <w:tcW w:w="1292" w:type="dxa"/>
          </w:tcPr>
          <w:p w14:paraId="0D515B8F" w14:textId="77777777" w:rsidR="007A31C0" w:rsidRPr="006A0544" w:rsidRDefault="007A31C0" w:rsidP="00E3628C">
            <w:pPr>
              <w:spacing w:line="480" w:lineRule="auto"/>
              <w:jc w:val="both"/>
              <w:rPr>
                <w:rFonts w:cstheme="minorHAnsi"/>
                <w:sz w:val="24"/>
                <w:szCs w:val="24"/>
              </w:rPr>
            </w:pPr>
            <w:r w:rsidRPr="006A0544">
              <w:rPr>
                <w:rFonts w:cstheme="minorHAnsi"/>
                <w:sz w:val="24"/>
                <w:szCs w:val="24"/>
              </w:rPr>
              <w:t>5.634</w:t>
            </w:r>
          </w:p>
        </w:tc>
        <w:tc>
          <w:tcPr>
            <w:tcW w:w="1133" w:type="dxa"/>
          </w:tcPr>
          <w:p w14:paraId="053239DF" w14:textId="77777777" w:rsidR="007A31C0" w:rsidRPr="006A0544" w:rsidRDefault="007A31C0" w:rsidP="00E3628C">
            <w:pPr>
              <w:spacing w:line="480" w:lineRule="auto"/>
              <w:jc w:val="both"/>
              <w:rPr>
                <w:rFonts w:cstheme="minorHAnsi"/>
                <w:sz w:val="24"/>
                <w:szCs w:val="24"/>
              </w:rPr>
            </w:pPr>
          </w:p>
        </w:tc>
      </w:tr>
      <w:tr w:rsidR="007A31C0" w:rsidRPr="006A0544" w14:paraId="4733CD69" w14:textId="77777777" w:rsidTr="00E3628C">
        <w:trPr>
          <w:trHeight w:hRule="exact" w:val="340"/>
        </w:trPr>
        <w:tc>
          <w:tcPr>
            <w:tcW w:w="2122" w:type="dxa"/>
          </w:tcPr>
          <w:p w14:paraId="00F829AF" w14:textId="77777777" w:rsidR="007A31C0" w:rsidRPr="006A0544" w:rsidRDefault="007A31C0" w:rsidP="00E3628C">
            <w:pPr>
              <w:spacing w:line="480" w:lineRule="auto"/>
              <w:jc w:val="both"/>
              <w:rPr>
                <w:rFonts w:cstheme="minorHAnsi"/>
                <w:sz w:val="24"/>
                <w:szCs w:val="24"/>
              </w:rPr>
            </w:pPr>
            <w:r w:rsidRPr="006A0544">
              <w:rPr>
                <w:rFonts w:cstheme="minorHAnsi"/>
                <w:sz w:val="24"/>
                <w:szCs w:val="24"/>
              </w:rPr>
              <w:t>IIº a)</w:t>
            </w:r>
            <w:r>
              <w:rPr>
                <w:rFonts w:cstheme="minorHAnsi"/>
                <w:sz w:val="24"/>
                <w:szCs w:val="24"/>
              </w:rPr>
              <w:t xml:space="preserve"> </w:t>
            </w:r>
            <w:r w:rsidRPr="006A0544">
              <w:rPr>
                <w:rFonts w:cstheme="minorHAnsi"/>
                <w:sz w:val="24"/>
                <w:szCs w:val="24"/>
              </w:rPr>
              <w:t>1991</w:t>
            </w:r>
          </w:p>
        </w:tc>
        <w:tc>
          <w:tcPr>
            <w:tcW w:w="1134" w:type="dxa"/>
          </w:tcPr>
          <w:p w14:paraId="4B63CF5A" w14:textId="77777777" w:rsidR="007A31C0" w:rsidRPr="006A0544" w:rsidRDefault="007A31C0" w:rsidP="00E3628C">
            <w:pPr>
              <w:spacing w:line="480" w:lineRule="auto"/>
              <w:jc w:val="both"/>
              <w:rPr>
                <w:rFonts w:cstheme="minorHAnsi"/>
                <w:sz w:val="24"/>
                <w:szCs w:val="24"/>
              </w:rPr>
            </w:pPr>
            <w:r w:rsidRPr="006A0544">
              <w:rPr>
                <w:rFonts w:cstheme="minorHAnsi"/>
                <w:sz w:val="24"/>
                <w:szCs w:val="24"/>
              </w:rPr>
              <w:t>135.393</w:t>
            </w:r>
          </w:p>
        </w:tc>
        <w:tc>
          <w:tcPr>
            <w:tcW w:w="1248" w:type="dxa"/>
          </w:tcPr>
          <w:p w14:paraId="4F16930D" w14:textId="77777777" w:rsidR="007A31C0" w:rsidRPr="006A0544" w:rsidRDefault="007A31C0" w:rsidP="00E3628C">
            <w:pPr>
              <w:spacing w:line="480" w:lineRule="auto"/>
              <w:jc w:val="both"/>
              <w:rPr>
                <w:rFonts w:cstheme="minorHAnsi"/>
                <w:sz w:val="24"/>
                <w:szCs w:val="24"/>
              </w:rPr>
            </w:pPr>
            <w:r w:rsidRPr="006A0544">
              <w:rPr>
                <w:rFonts w:cstheme="minorHAnsi"/>
                <w:sz w:val="24"/>
                <w:szCs w:val="24"/>
              </w:rPr>
              <w:t>130.406</w:t>
            </w:r>
          </w:p>
        </w:tc>
        <w:tc>
          <w:tcPr>
            <w:tcW w:w="1161" w:type="dxa"/>
          </w:tcPr>
          <w:p w14:paraId="3014397B" w14:textId="77777777" w:rsidR="007A31C0" w:rsidRPr="006A0544" w:rsidRDefault="007A31C0" w:rsidP="00E3628C">
            <w:pPr>
              <w:spacing w:line="480" w:lineRule="auto"/>
              <w:jc w:val="both"/>
              <w:rPr>
                <w:rFonts w:cstheme="minorHAnsi"/>
                <w:sz w:val="24"/>
                <w:szCs w:val="24"/>
              </w:rPr>
            </w:pPr>
          </w:p>
        </w:tc>
        <w:tc>
          <w:tcPr>
            <w:tcW w:w="1261" w:type="dxa"/>
          </w:tcPr>
          <w:p w14:paraId="12EE02C5" w14:textId="77777777" w:rsidR="007A31C0" w:rsidRPr="006A0544" w:rsidRDefault="007A31C0" w:rsidP="00E3628C">
            <w:pPr>
              <w:spacing w:line="480" w:lineRule="auto"/>
              <w:jc w:val="both"/>
              <w:rPr>
                <w:rFonts w:cstheme="minorHAnsi"/>
                <w:sz w:val="24"/>
                <w:szCs w:val="24"/>
              </w:rPr>
            </w:pPr>
            <w:r w:rsidRPr="006A0544">
              <w:rPr>
                <w:rFonts w:cstheme="minorHAnsi"/>
                <w:sz w:val="24"/>
                <w:szCs w:val="24"/>
              </w:rPr>
              <w:t>109.135</w:t>
            </w:r>
          </w:p>
        </w:tc>
        <w:tc>
          <w:tcPr>
            <w:tcW w:w="1292" w:type="dxa"/>
          </w:tcPr>
          <w:p w14:paraId="4FED064C" w14:textId="77777777" w:rsidR="007A31C0" w:rsidRPr="006A0544" w:rsidRDefault="007A31C0" w:rsidP="00E3628C">
            <w:pPr>
              <w:spacing w:line="480" w:lineRule="auto"/>
              <w:jc w:val="both"/>
              <w:rPr>
                <w:rFonts w:cstheme="minorHAnsi"/>
                <w:sz w:val="24"/>
                <w:szCs w:val="24"/>
              </w:rPr>
            </w:pPr>
            <w:r w:rsidRPr="006A0544">
              <w:rPr>
                <w:rFonts w:cstheme="minorHAnsi"/>
                <w:sz w:val="24"/>
                <w:szCs w:val="24"/>
              </w:rPr>
              <w:t>22.085</w:t>
            </w:r>
          </w:p>
        </w:tc>
        <w:tc>
          <w:tcPr>
            <w:tcW w:w="1133" w:type="dxa"/>
          </w:tcPr>
          <w:p w14:paraId="53177D6E" w14:textId="77777777" w:rsidR="007A31C0" w:rsidRPr="006A0544" w:rsidRDefault="007A31C0" w:rsidP="00E3628C">
            <w:pPr>
              <w:spacing w:line="480" w:lineRule="auto"/>
              <w:jc w:val="both"/>
              <w:rPr>
                <w:rFonts w:cstheme="minorHAnsi"/>
                <w:color w:val="FF0000"/>
                <w:sz w:val="24"/>
                <w:szCs w:val="24"/>
              </w:rPr>
            </w:pPr>
            <w:r w:rsidRPr="006A0544">
              <w:rPr>
                <w:rFonts w:cstheme="minorHAnsi"/>
                <w:sz w:val="24"/>
                <w:szCs w:val="24"/>
              </w:rPr>
              <w:t>7.325</w:t>
            </w:r>
          </w:p>
        </w:tc>
      </w:tr>
      <w:tr w:rsidR="007A31C0" w:rsidRPr="006A0544" w14:paraId="159AC5EE" w14:textId="77777777" w:rsidTr="00E3628C">
        <w:trPr>
          <w:trHeight w:hRule="exact" w:val="340"/>
        </w:trPr>
        <w:tc>
          <w:tcPr>
            <w:tcW w:w="2122" w:type="dxa"/>
          </w:tcPr>
          <w:p w14:paraId="295C16ED" w14:textId="77777777" w:rsidR="007A31C0" w:rsidRPr="006A0544" w:rsidRDefault="007A31C0" w:rsidP="00E3628C">
            <w:pPr>
              <w:spacing w:line="480" w:lineRule="auto"/>
              <w:jc w:val="both"/>
              <w:rPr>
                <w:rFonts w:cstheme="minorHAnsi"/>
                <w:sz w:val="24"/>
                <w:szCs w:val="24"/>
              </w:rPr>
            </w:pPr>
            <w:r w:rsidRPr="006A0544">
              <w:rPr>
                <w:rFonts w:cstheme="minorHAnsi"/>
                <w:sz w:val="24"/>
                <w:szCs w:val="24"/>
              </w:rPr>
              <w:t>IIº b)</w:t>
            </w:r>
            <w:r>
              <w:rPr>
                <w:rFonts w:cstheme="minorHAnsi"/>
                <w:sz w:val="24"/>
                <w:szCs w:val="24"/>
              </w:rPr>
              <w:t xml:space="preserve"> </w:t>
            </w:r>
            <w:r w:rsidRPr="006A0544">
              <w:rPr>
                <w:rFonts w:cstheme="minorHAnsi"/>
                <w:sz w:val="24"/>
                <w:szCs w:val="24"/>
              </w:rPr>
              <w:t>1991-92</w:t>
            </w:r>
          </w:p>
        </w:tc>
        <w:tc>
          <w:tcPr>
            <w:tcW w:w="1134" w:type="dxa"/>
          </w:tcPr>
          <w:p w14:paraId="4CE85D82" w14:textId="77777777" w:rsidR="007A31C0" w:rsidRPr="006A0544" w:rsidRDefault="007A31C0" w:rsidP="00E3628C">
            <w:pPr>
              <w:spacing w:line="480" w:lineRule="auto"/>
              <w:jc w:val="both"/>
              <w:rPr>
                <w:rFonts w:cstheme="minorHAnsi"/>
                <w:sz w:val="24"/>
                <w:szCs w:val="24"/>
              </w:rPr>
            </w:pPr>
            <w:r w:rsidRPr="006A0544">
              <w:rPr>
                <w:rFonts w:cstheme="minorHAnsi"/>
                <w:color w:val="000000"/>
                <w:sz w:val="24"/>
                <w:szCs w:val="24"/>
              </w:rPr>
              <w:t>6.777</w:t>
            </w:r>
          </w:p>
        </w:tc>
        <w:tc>
          <w:tcPr>
            <w:tcW w:w="1248" w:type="dxa"/>
          </w:tcPr>
          <w:p w14:paraId="09583526" w14:textId="77777777" w:rsidR="007A31C0" w:rsidRPr="006A0544" w:rsidRDefault="007A31C0" w:rsidP="00E3628C">
            <w:pPr>
              <w:spacing w:line="480" w:lineRule="auto"/>
              <w:jc w:val="both"/>
              <w:rPr>
                <w:rFonts w:cstheme="minorHAnsi"/>
                <w:sz w:val="24"/>
                <w:szCs w:val="24"/>
              </w:rPr>
            </w:pPr>
          </w:p>
        </w:tc>
        <w:tc>
          <w:tcPr>
            <w:tcW w:w="1161" w:type="dxa"/>
          </w:tcPr>
          <w:p w14:paraId="17FB9C05" w14:textId="77777777" w:rsidR="007A31C0" w:rsidRPr="006A0544" w:rsidRDefault="007A31C0" w:rsidP="00E3628C">
            <w:pPr>
              <w:spacing w:line="480" w:lineRule="auto"/>
              <w:jc w:val="both"/>
              <w:rPr>
                <w:rFonts w:cstheme="minorHAnsi"/>
                <w:sz w:val="24"/>
                <w:szCs w:val="24"/>
              </w:rPr>
            </w:pPr>
            <w:r w:rsidRPr="006A0544">
              <w:rPr>
                <w:rFonts w:cstheme="minorHAnsi"/>
                <w:color w:val="000000"/>
                <w:sz w:val="24"/>
                <w:szCs w:val="24"/>
              </w:rPr>
              <w:t>5.889</w:t>
            </w:r>
          </w:p>
        </w:tc>
        <w:tc>
          <w:tcPr>
            <w:tcW w:w="1261" w:type="dxa"/>
          </w:tcPr>
          <w:p w14:paraId="2A9D1B8C" w14:textId="77777777" w:rsidR="007A31C0" w:rsidRPr="006A0544" w:rsidRDefault="007A31C0" w:rsidP="00E3628C">
            <w:pPr>
              <w:spacing w:line="480" w:lineRule="auto"/>
              <w:jc w:val="both"/>
              <w:rPr>
                <w:rFonts w:cstheme="minorHAnsi"/>
                <w:sz w:val="24"/>
                <w:szCs w:val="24"/>
              </w:rPr>
            </w:pPr>
          </w:p>
        </w:tc>
        <w:tc>
          <w:tcPr>
            <w:tcW w:w="1292" w:type="dxa"/>
          </w:tcPr>
          <w:p w14:paraId="68369862" w14:textId="77777777" w:rsidR="007A31C0" w:rsidRPr="006A0544" w:rsidRDefault="007A31C0" w:rsidP="00E3628C">
            <w:pPr>
              <w:spacing w:line="480" w:lineRule="auto"/>
              <w:jc w:val="both"/>
              <w:rPr>
                <w:rFonts w:cstheme="minorHAnsi"/>
                <w:sz w:val="24"/>
                <w:szCs w:val="24"/>
              </w:rPr>
            </w:pPr>
            <w:r w:rsidRPr="006A0544">
              <w:rPr>
                <w:rFonts w:cstheme="minorHAnsi"/>
                <w:color w:val="000000"/>
                <w:sz w:val="24"/>
                <w:szCs w:val="24"/>
              </w:rPr>
              <w:t>104</w:t>
            </w:r>
          </w:p>
        </w:tc>
        <w:tc>
          <w:tcPr>
            <w:tcW w:w="1133" w:type="dxa"/>
          </w:tcPr>
          <w:p w14:paraId="1180CF3B" w14:textId="77777777" w:rsidR="007A31C0" w:rsidRPr="006A0544" w:rsidRDefault="007A31C0" w:rsidP="00E3628C">
            <w:pPr>
              <w:spacing w:line="480" w:lineRule="auto"/>
              <w:jc w:val="both"/>
              <w:rPr>
                <w:rFonts w:cstheme="minorHAnsi"/>
                <w:sz w:val="24"/>
                <w:szCs w:val="24"/>
              </w:rPr>
            </w:pPr>
            <w:r w:rsidRPr="006A0544">
              <w:rPr>
                <w:rFonts w:cstheme="minorHAnsi"/>
                <w:color w:val="000000"/>
                <w:sz w:val="24"/>
                <w:szCs w:val="24"/>
              </w:rPr>
              <w:t>784</w:t>
            </w:r>
          </w:p>
        </w:tc>
      </w:tr>
      <w:tr w:rsidR="007A31C0" w:rsidRPr="006A0544" w14:paraId="07068433" w14:textId="77777777" w:rsidTr="00E3628C">
        <w:trPr>
          <w:trHeight w:hRule="exact" w:val="340"/>
        </w:trPr>
        <w:tc>
          <w:tcPr>
            <w:tcW w:w="2122" w:type="dxa"/>
          </w:tcPr>
          <w:p w14:paraId="6DA7F77A" w14:textId="77777777" w:rsidR="007A31C0" w:rsidRPr="006A0544" w:rsidRDefault="007A31C0" w:rsidP="00E3628C">
            <w:pPr>
              <w:spacing w:line="480" w:lineRule="auto"/>
              <w:jc w:val="both"/>
              <w:rPr>
                <w:rFonts w:cstheme="minorHAnsi"/>
                <w:sz w:val="24"/>
                <w:szCs w:val="24"/>
              </w:rPr>
            </w:pPr>
            <w:r w:rsidRPr="006A0544">
              <w:rPr>
                <w:rFonts w:cstheme="minorHAnsi"/>
                <w:sz w:val="24"/>
                <w:szCs w:val="24"/>
              </w:rPr>
              <w:t>IIIº</w:t>
            </w:r>
            <w:r>
              <w:rPr>
                <w:rFonts w:cstheme="minorHAnsi"/>
                <w:sz w:val="24"/>
                <w:szCs w:val="24"/>
              </w:rPr>
              <w:t xml:space="preserve">: </w:t>
            </w:r>
            <w:r w:rsidRPr="006A0544">
              <w:rPr>
                <w:rFonts w:cstheme="minorHAnsi"/>
                <w:sz w:val="24"/>
                <w:szCs w:val="24"/>
              </w:rPr>
              <w:t>1996</w:t>
            </w:r>
          </w:p>
        </w:tc>
        <w:tc>
          <w:tcPr>
            <w:tcW w:w="1134" w:type="dxa"/>
          </w:tcPr>
          <w:p w14:paraId="5FCDF01D" w14:textId="77777777" w:rsidR="007A31C0" w:rsidRPr="006A0544" w:rsidRDefault="007A31C0" w:rsidP="00E3628C">
            <w:pPr>
              <w:spacing w:line="480" w:lineRule="auto"/>
              <w:jc w:val="both"/>
              <w:rPr>
                <w:rFonts w:cstheme="minorHAnsi"/>
                <w:sz w:val="24"/>
                <w:szCs w:val="24"/>
              </w:rPr>
            </w:pPr>
            <w:r w:rsidRPr="006A0544">
              <w:rPr>
                <w:rFonts w:cstheme="minorHAnsi"/>
                <w:sz w:val="24"/>
                <w:szCs w:val="24"/>
              </w:rPr>
              <w:t>29.333</w:t>
            </w:r>
          </w:p>
        </w:tc>
        <w:tc>
          <w:tcPr>
            <w:tcW w:w="1248" w:type="dxa"/>
          </w:tcPr>
          <w:p w14:paraId="7A817ED8" w14:textId="77777777" w:rsidR="007A31C0" w:rsidRPr="006A0544" w:rsidRDefault="007A31C0" w:rsidP="00E3628C">
            <w:pPr>
              <w:spacing w:line="480" w:lineRule="auto"/>
              <w:jc w:val="both"/>
              <w:rPr>
                <w:rFonts w:cstheme="minorHAnsi"/>
                <w:sz w:val="24"/>
                <w:szCs w:val="24"/>
              </w:rPr>
            </w:pPr>
            <w:r w:rsidRPr="006A0544">
              <w:rPr>
                <w:rFonts w:cstheme="minorHAnsi"/>
                <w:sz w:val="24"/>
                <w:szCs w:val="24"/>
              </w:rPr>
              <w:t>24.691</w:t>
            </w:r>
          </w:p>
        </w:tc>
        <w:tc>
          <w:tcPr>
            <w:tcW w:w="1161" w:type="dxa"/>
          </w:tcPr>
          <w:p w14:paraId="54EC1D67" w14:textId="77777777" w:rsidR="007A31C0" w:rsidRPr="006A0544" w:rsidRDefault="007A31C0" w:rsidP="00E3628C">
            <w:pPr>
              <w:spacing w:line="480" w:lineRule="auto"/>
              <w:jc w:val="both"/>
              <w:rPr>
                <w:rFonts w:cstheme="minorHAnsi"/>
                <w:sz w:val="24"/>
                <w:szCs w:val="24"/>
              </w:rPr>
            </w:pPr>
            <w:r w:rsidRPr="006A0544">
              <w:rPr>
                <w:rFonts w:cstheme="minorHAnsi"/>
                <w:sz w:val="24"/>
                <w:szCs w:val="24"/>
              </w:rPr>
              <w:t>7.876</w:t>
            </w:r>
          </w:p>
        </w:tc>
        <w:tc>
          <w:tcPr>
            <w:tcW w:w="1261" w:type="dxa"/>
          </w:tcPr>
          <w:p w14:paraId="0130D8DB" w14:textId="77777777" w:rsidR="007A31C0" w:rsidRPr="006A0544" w:rsidRDefault="007A31C0" w:rsidP="00E3628C">
            <w:pPr>
              <w:spacing w:line="480" w:lineRule="auto"/>
              <w:jc w:val="both"/>
              <w:rPr>
                <w:rFonts w:cstheme="minorHAnsi"/>
                <w:sz w:val="24"/>
                <w:szCs w:val="24"/>
              </w:rPr>
            </w:pPr>
            <w:r w:rsidRPr="006A0544">
              <w:rPr>
                <w:rFonts w:cstheme="minorHAnsi"/>
                <w:sz w:val="24"/>
                <w:szCs w:val="24"/>
              </w:rPr>
              <w:t>17.676</w:t>
            </w:r>
          </w:p>
        </w:tc>
        <w:tc>
          <w:tcPr>
            <w:tcW w:w="1292" w:type="dxa"/>
          </w:tcPr>
          <w:p w14:paraId="49FBF444" w14:textId="77777777" w:rsidR="007A31C0" w:rsidRPr="006A0544" w:rsidRDefault="007A31C0" w:rsidP="00E3628C">
            <w:pPr>
              <w:spacing w:line="480" w:lineRule="auto"/>
              <w:jc w:val="both"/>
              <w:rPr>
                <w:rFonts w:cstheme="minorHAnsi"/>
                <w:sz w:val="24"/>
                <w:szCs w:val="24"/>
              </w:rPr>
            </w:pPr>
            <w:r w:rsidRPr="006A0544">
              <w:rPr>
                <w:rFonts w:cstheme="minorHAnsi"/>
                <w:sz w:val="24"/>
                <w:szCs w:val="24"/>
              </w:rPr>
              <w:t>3.834</w:t>
            </w:r>
          </w:p>
        </w:tc>
        <w:tc>
          <w:tcPr>
            <w:tcW w:w="1133" w:type="dxa"/>
          </w:tcPr>
          <w:p w14:paraId="61D6C312" w14:textId="77777777" w:rsidR="007A31C0" w:rsidRPr="006A0544" w:rsidRDefault="007A31C0" w:rsidP="00E3628C">
            <w:pPr>
              <w:spacing w:line="480" w:lineRule="auto"/>
              <w:jc w:val="both"/>
              <w:rPr>
                <w:rFonts w:cstheme="minorHAnsi"/>
                <w:sz w:val="24"/>
                <w:szCs w:val="24"/>
              </w:rPr>
            </w:pPr>
            <w:r w:rsidRPr="006A0544">
              <w:rPr>
                <w:rFonts w:cstheme="minorHAnsi"/>
                <w:sz w:val="24"/>
                <w:szCs w:val="24"/>
              </w:rPr>
              <w:t>808</w:t>
            </w:r>
          </w:p>
        </w:tc>
      </w:tr>
    </w:tbl>
    <w:p w14:paraId="0526DB7A" w14:textId="77777777" w:rsidR="00572641" w:rsidRDefault="00572641" w:rsidP="00572641">
      <w:pPr>
        <w:pStyle w:val="Descripcin"/>
        <w:spacing w:after="0" w:line="360" w:lineRule="auto"/>
        <w:jc w:val="both"/>
        <w:rPr>
          <w:rFonts w:cstheme="minorHAnsi"/>
          <w:i w:val="0"/>
          <w:iCs w:val="0"/>
          <w:color w:val="000000" w:themeColor="text1"/>
          <w:sz w:val="22"/>
          <w:szCs w:val="22"/>
          <w:lang w:eastAsia="es-ES"/>
        </w:rPr>
      </w:pPr>
      <w:r w:rsidRPr="005A63B1">
        <w:rPr>
          <w:rFonts w:cstheme="minorHAnsi"/>
          <w:i w:val="0"/>
          <w:iCs w:val="0"/>
          <w:color w:val="000000" w:themeColor="text1"/>
          <w:sz w:val="22"/>
          <w:szCs w:val="22"/>
          <w:lang w:eastAsia="es-ES"/>
        </w:rPr>
        <w:t xml:space="preserve">Fuente: Anuarios de Migraciones. Elaboración propia. </w:t>
      </w:r>
    </w:p>
    <w:p w14:paraId="200A5945" w14:textId="2D24D9B3" w:rsidR="007A31C0" w:rsidRPr="00ED3DF0" w:rsidRDefault="00572641" w:rsidP="007A31C0">
      <w:pPr>
        <w:pStyle w:val="Textoindependiente"/>
        <w:spacing w:after="0" w:line="240" w:lineRule="auto"/>
        <w:jc w:val="both"/>
        <w:rPr>
          <w:rFonts w:cstheme="minorHAnsi"/>
        </w:rPr>
      </w:pPr>
      <w:r>
        <w:rPr>
          <w:rFonts w:cstheme="minorHAnsi"/>
        </w:rPr>
        <w:t>F</w:t>
      </w:r>
      <w:r w:rsidR="007A31C0" w:rsidRPr="00ED3DF0">
        <w:rPr>
          <w:rFonts w:cstheme="minorHAnsi"/>
        </w:rPr>
        <w:t xml:space="preserve">uentes: Ministerio del Interior y Dirección General del IEE, para el primero. ARAGÓN, R.- CHOZAS, J.  </w:t>
      </w:r>
      <w:r w:rsidR="007A31C0" w:rsidRPr="00ED3DF0">
        <w:rPr>
          <w:rFonts w:cstheme="minorHAnsi"/>
          <w:i/>
          <w:iCs/>
        </w:rPr>
        <w:t>La regularización de inmigrantes durante 1991-1992.</w:t>
      </w:r>
      <w:r w:rsidR="007A31C0" w:rsidRPr="00ED3DF0">
        <w:rPr>
          <w:rFonts w:cstheme="minorHAnsi"/>
        </w:rPr>
        <w:t xml:space="preserve">  Madrid Ministerio de Trabajo y Seguridad Social 1993,</w:t>
      </w:r>
      <w:r w:rsidR="007A31C0" w:rsidRPr="00ED3DF0">
        <w:rPr>
          <w:rFonts w:cstheme="minorHAnsi"/>
          <w:i/>
          <w:iCs/>
        </w:rPr>
        <w:t xml:space="preserve"> </w:t>
      </w:r>
      <w:r w:rsidR="007A31C0" w:rsidRPr="00ED3DF0">
        <w:rPr>
          <w:rFonts w:cstheme="minorHAnsi"/>
        </w:rPr>
        <w:t>para el segundo</w:t>
      </w:r>
      <w:r w:rsidR="007A31C0" w:rsidRPr="00ED3DF0">
        <w:rPr>
          <w:rFonts w:cstheme="minorHAnsi"/>
          <w:i/>
          <w:iCs/>
        </w:rPr>
        <w:t xml:space="preserve"> y</w:t>
      </w:r>
      <w:r w:rsidR="007A31C0" w:rsidRPr="00ED3DF0">
        <w:rPr>
          <w:rFonts w:cstheme="minorHAnsi"/>
        </w:rPr>
        <w:t xml:space="preserve"> Anuario de Migraciones 1997, para el tercero. Elaboración propia</w:t>
      </w:r>
    </w:p>
    <w:p w14:paraId="480F5D25" w14:textId="1EA12646" w:rsidR="007A31C0" w:rsidRPr="00ED3DF0" w:rsidRDefault="00B45307" w:rsidP="00B45307">
      <w:pPr>
        <w:pStyle w:val="Listaconvietas"/>
        <w:numPr>
          <w:ilvl w:val="0"/>
          <w:numId w:val="0"/>
        </w:numPr>
        <w:spacing w:before="240" w:line="480" w:lineRule="auto"/>
        <w:ind w:left="76" w:hanging="76"/>
        <w:jc w:val="both"/>
        <w:rPr>
          <w:rFonts w:cstheme="minorHAnsi"/>
          <w:i/>
        </w:rPr>
      </w:pPr>
      <w:r>
        <w:rPr>
          <w:rFonts w:cstheme="minorHAnsi"/>
          <w:iCs/>
          <w:color w:val="C00000"/>
        </w:rPr>
        <w:t>*</w:t>
      </w:r>
      <w:r w:rsidR="007A31C0" w:rsidRPr="00ED3DF0">
        <w:rPr>
          <w:rFonts w:cstheme="minorHAnsi"/>
          <w:iCs/>
        </w:rPr>
        <w:t>Bajo este epígrafe figuran tanto las inadmitidas como las archivadas.</w:t>
      </w:r>
    </w:p>
    <w:p w14:paraId="185D9AD0" w14:textId="77777777" w:rsidR="00280E7B" w:rsidRPr="006A0544" w:rsidRDefault="00280E7B" w:rsidP="00280E7B">
      <w:pPr>
        <w:pStyle w:val="Textoindependiente"/>
        <w:spacing w:after="0" w:line="480" w:lineRule="auto"/>
        <w:ind w:left="74"/>
        <w:jc w:val="both"/>
        <w:rPr>
          <w:rFonts w:cstheme="minorHAnsi"/>
          <w:sz w:val="24"/>
          <w:szCs w:val="24"/>
        </w:rPr>
      </w:pPr>
      <w:r w:rsidRPr="006A0544">
        <w:rPr>
          <w:rFonts w:cstheme="minorHAnsi"/>
          <w:sz w:val="24"/>
          <w:szCs w:val="24"/>
        </w:rPr>
        <w:t>De todos los procesos de regularización del que se tiene un conocimiento más profundo fue el segundo, gestionado por el Ministerio de Trabajo desde el Instituto Español de Emigración (IEE), en su deriva hacia la Dirección General de Migraciones.</w:t>
      </w:r>
    </w:p>
    <w:p w14:paraId="5A08CA12" w14:textId="3E5158A3" w:rsidR="00280E7B" w:rsidRPr="006A0544" w:rsidRDefault="00280E7B" w:rsidP="00280E7B">
      <w:pPr>
        <w:pStyle w:val="Textoindependiente"/>
        <w:spacing w:after="0" w:line="480" w:lineRule="auto"/>
        <w:jc w:val="both"/>
        <w:rPr>
          <w:rFonts w:cstheme="minorHAnsi"/>
          <w:sz w:val="24"/>
          <w:szCs w:val="24"/>
        </w:rPr>
      </w:pPr>
      <w:r w:rsidRPr="006A0544">
        <w:rPr>
          <w:rFonts w:cstheme="minorHAnsi"/>
          <w:sz w:val="24"/>
          <w:szCs w:val="24"/>
        </w:rPr>
        <w:t xml:space="preserve">Sus resultados muestran que </w:t>
      </w:r>
      <w:r>
        <w:rPr>
          <w:rFonts w:cstheme="minorHAnsi"/>
          <w:sz w:val="24"/>
          <w:szCs w:val="24"/>
        </w:rPr>
        <w:t>resultó eficaz</w:t>
      </w:r>
      <w:r w:rsidRPr="006A0544">
        <w:rPr>
          <w:rFonts w:cstheme="minorHAnsi"/>
          <w:sz w:val="24"/>
          <w:szCs w:val="24"/>
        </w:rPr>
        <w:t>, no sólo por el número de personas que se acogieron a él, sino por el origen de los regularizados.</w:t>
      </w:r>
    </w:p>
    <w:p w14:paraId="73232299" w14:textId="77777777" w:rsidR="003A241E" w:rsidRPr="006A0544" w:rsidRDefault="003A241E" w:rsidP="003A241E">
      <w:pPr>
        <w:pStyle w:val="Textoindependiente"/>
        <w:spacing w:before="120" w:after="0" w:line="480" w:lineRule="auto"/>
        <w:jc w:val="both"/>
        <w:rPr>
          <w:rFonts w:cstheme="minorHAnsi"/>
          <w:sz w:val="24"/>
          <w:szCs w:val="24"/>
        </w:rPr>
      </w:pPr>
      <w:r w:rsidRPr="006A0544">
        <w:rPr>
          <w:rFonts w:cstheme="minorHAnsi"/>
          <w:noProof/>
          <w:color w:val="C00000"/>
          <w:sz w:val="24"/>
          <w:szCs w:val="24"/>
          <w:lang w:eastAsia="es-ES"/>
        </w:rPr>
        <w:lastRenderedPageBreak/>
        <w:drawing>
          <wp:anchor distT="0" distB="0" distL="114300" distR="114300" simplePos="0" relativeHeight="251659264" behindDoc="0" locked="0" layoutInCell="1" allowOverlap="1" wp14:anchorId="7FA8AC1D" wp14:editId="04DFC694">
            <wp:simplePos x="0" y="0"/>
            <wp:positionH relativeFrom="margin">
              <wp:posOffset>259715</wp:posOffset>
            </wp:positionH>
            <wp:positionV relativeFrom="paragraph">
              <wp:posOffset>461478</wp:posOffset>
            </wp:positionV>
            <wp:extent cx="5456555" cy="3444240"/>
            <wp:effectExtent l="0" t="0" r="0" b="3810"/>
            <wp:wrapThrough wrapText="bothSides">
              <wp:wrapPolygon edited="0">
                <wp:start x="226" y="0"/>
                <wp:lineTo x="226" y="21504"/>
                <wp:lineTo x="20587" y="21504"/>
                <wp:lineTo x="20587" y="0"/>
                <wp:lineTo x="226" y="0"/>
              </wp:wrapPolygon>
            </wp:wrapThrough>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56555" cy="3444240"/>
                    </a:xfrm>
                    <a:prstGeom prst="rect">
                      <a:avLst/>
                    </a:prstGeom>
                    <a:noFill/>
                  </pic:spPr>
                </pic:pic>
              </a:graphicData>
            </a:graphic>
          </wp:anchor>
        </w:drawing>
      </w:r>
      <w:r w:rsidRPr="006A0544">
        <w:rPr>
          <w:rFonts w:cstheme="minorHAnsi"/>
          <w:sz w:val="24"/>
          <w:szCs w:val="24"/>
        </w:rPr>
        <w:t>Gráfico I</w:t>
      </w:r>
      <w:r>
        <w:rPr>
          <w:rFonts w:cstheme="minorHAnsi"/>
          <w:sz w:val="24"/>
          <w:szCs w:val="24"/>
        </w:rPr>
        <w:t>II</w:t>
      </w:r>
      <w:r w:rsidRPr="006A0544">
        <w:rPr>
          <w:rFonts w:cstheme="minorHAnsi"/>
          <w:sz w:val="24"/>
          <w:szCs w:val="24"/>
        </w:rPr>
        <w:t xml:space="preserve">: Distribución por continentes de los regularizados </w:t>
      </w:r>
    </w:p>
    <w:p w14:paraId="25F33E45" w14:textId="77777777" w:rsidR="003A241E" w:rsidRPr="003A241E" w:rsidRDefault="003A241E" w:rsidP="003A241E">
      <w:pPr>
        <w:pStyle w:val="Textoindependiente"/>
        <w:spacing w:after="0" w:line="240" w:lineRule="auto"/>
        <w:jc w:val="both"/>
        <w:rPr>
          <w:rFonts w:cstheme="minorHAnsi"/>
          <w:color w:val="FF0000"/>
        </w:rPr>
      </w:pPr>
      <w:r w:rsidRPr="003A241E">
        <w:rPr>
          <w:rFonts w:cstheme="minorHAnsi"/>
        </w:rPr>
        <w:t xml:space="preserve">Fuente: ARAGÓN, R.- CHOZAS, J.  </w:t>
      </w:r>
      <w:r w:rsidRPr="003A241E">
        <w:rPr>
          <w:rFonts w:cstheme="minorHAnsi"/>
          <w:i/>
          <w:iCs/>
        </w:rPr>
        <w:t>La regularización de inmigrantes durante 1991-1992.</w:t>
      </w:r>
      <w:r w:rsidRPr="003A241E">
        <w:rPr>
          <w:rFonts w:cstheme="minorHAnsi"/>
        </w:rPr>
        <w:t xml:space="preserve"> Madrid Ministerio de Trabajo y Seguridad Social 1993, p.88</w:t>
      </w:r>
      <w:r w:rsidRPr="003A241E">
        <w:rPr>
          <w:rFonts w:cstheme="minorHAnsi"/>
          <w:color w:val="FF0000"/>
        </w:rPr>
        <w:t xml:space="preserve"> </w:t>
      </w:r>
    </w:p>
    <w:p w14:paraId="5640C8D4" w14:textId="77777777" w:rsidR="00161034" w:rsidRPr="006A0544" w:rsidRDefault="00161034" w:rsidP="00E83483">
      <w:pPr>
        <w:pStyle w:val="Textoindependiente"/>
        <w:spacing w:after="0" w:line="480" w:lineRule="auto"/>
        <w:jc w:val="both"/>
        <w:rPr>
          <w:rFonts w:cstheme="minorHAnsi"/>
          <w:color w:val="FF0000"/>
          <w:sz w:val="24"/>
          <w:szCs w:val="24"/>
        </w:rPr>
      </w:pPr>
    </w:p>
    <w:p w14:paraId="239FE298" w14:textId="66C34003" w:rsidR="00B842B4" w:rsidRPr="006A0544" w:rsidRDefault="00B842B4" w:rsidP="00B842B4">
      <w:pPr>
        <w:pStyle w:val="Textoindependiente"/>
        <w:spacing w:after="0" w:line="480" w:lineRule="auto"/>
        <w:jc w:val="both"/>
        <w:rPr>
          <w:rFonts w:cstheme="minorHAnsi"/>
          <w:sz w:val="24"/>
          <w:szCs w:val="24"/>
        </w:rPr>
      </w:pPr>
      <w:r w:rsidRPr="006A0544">
        <w:rPr>
          <w:rFonts w:cstheme="minorHAnsi"/>
          <w:sz w:val="24"/>
          <w:szCs w:val="24"/>
        </w:rPr>
        <w:t>La “</w:t>
      </w:r>
      <w:r w:rsidRPr="006A0544">
        <w:rPr>
          <w:rFonts w:cstheme="minorHAnsi"/>
          <w:i/>
          <w:iCs/>
          <w:sz w:val="24"/>
          <w:szCs w:val="24"/>
        </w:rPr>
        <w:t>plena integración de los inmigrantes en la sociedad española</w:t>
      </w:r>
      <w:r w:rsidRPr="006A0544">
        <w:rPr>
          <w:rFonts w:cstheme="minorHAnsi"/>
          <w:sz w:val="24"/>
          <w:szCs w:val="24"/>
        </w:rPr>
        <w:t>” señalada como objetivo en la Proposición no de Ley se compadecía mal con la visión individual del inmigrante como trabajador</w:t>
      </w:r>
      <w:r>
        <w:rPr>
          <w:rFonts w:cstheme="minorHAnsi"/>
          <w:sz w:val="24"/>
          <w:szCs w:val="24"/>
        </w:rPr>
        <w:t>,</w:t>
      </w:r>
      <w:r w:rsidRPr="006A0544">
        <w:rPr>
          <w:rFonts w:cstheme="minorHAnsi"/>
          <w:sz w:val="24"/>
          <w:szCs w:val="24"/>
        </w:rPr>
        <w:t xml:space="preserve"> sin tener en cuenta su dimensión familiar, por lo que, como continuación del proceso de regularización de trabajadores, se articuló </w:t>
      </w:r>
      <w:r>
        <w:rPr>
          <w:rFonts w:cstheme="minorHAnsi"/>
          <w:sz w:val="24"/>
          <w:szCs w:val="24"/>
        </w:rPr>
        <w:t>el</w:t>
      </w:r>
      <w:r w:rsidRPr="006A0544">
        <w:rPr>
          <w:rFonts w:cstheme="minorHAnsi"/>
          <w:sz w:val="24"/>
          <w:szCs w:val="24"/>
        </w:rPr>
        <w:t xml:space="preserve"> proceso</w:t>
      </w:r>
      <w:r>
        <w:rPr>
          <w:rFonts w:cstheme="minorHAnsi"/>
          <w:sz w:val="24"/>
          <w:szCs w:val="24"/>
        </w:rPr>
        <w:t xml:space="preserve"> II</w:t>
      </w:r>
      <w:r w:rsidR="00396773">
        <w:rPr>
          <w:rFonts w:cstheme="minorHAnsi"/>
          <w:sz w:val="24"/>
          <w:szCs w:val="24"/>
        </w:rPr>
        <w:t>º</w:t>
      </w:r>
      <w:r>
        <w:rPr>
          <w:rFonts w:cstheme="minorHAnsi"/>
          <w:sz w:val="24"/>
          <w:szCs w:val="24"/>
        </w:rPr>
        <w:t xml:space="preserve"> </w:t>
      </w:r>
      <w:r w:rsidR="00E62267">
        <w:rPr>
          <w:rFonts w:cstheme="minorHAnsi"/>
          <w:sz w:val="24"/>
          <w:szCs w:val="24"/>
        </w:rPr>
        <w:t xml:space="preserve">b) </w:t>
      </w:r>
      <w:r w:rsidR="00E62267" w:rsidRPr="006A0544">
        <w:rPr>
          <w:rFonts w:cstheme="minorHAnsi"/>
          <w:sz w:val="24"/>
          <w:szCs w:val="24"/>
        </w:rPr>
        <w:t>para</w:t>
      </w:r>
      <w:r w:rsidRPr="006A0544">
        <w:rPr>
          <w:rFonts w:cstheme="minorHAnsi"/>
          <w:sz w:val="24"/>
          <w:szCs w:val="24"/>
        </w:rPr>
        <w:t xml:space="preserve"> la regularización de familiares.</w:t>
      </w:r>
    </w:p>
    <w:p w14:paraId="5AB23B86" w14:textId="5B5F5489" w:rsidR="003172C2" w:rsidRDefault="00E62267" w:rsidP="00AB42D8">
      <w:pPr>
        <w:spacing w:before="360" w:after="0" w:line="480" w:lineRule="auto"/>
        <w:jc w:val="both"/>
        <w:rPr>
          <w:rFonts w:eastAsia="Times New Roman" w:cstheme="minorHAnsi"/>
          <w:color w:val="000000"/>
          <w:sz w:val="24"/>
          <w:szCs w:val="24"/>
          <w:lang w:eastAsia="es-ES"/>
        </w:rPr>
      </w:pPr>
      <w:r w:rsidRPr="006A0544">
        <w:rPr>
          <w:rFonts w:cstheme="minorHAnsi"/>
          <w:sz w:val="24"/>
          <w:szCs w:val="24"/>
        </w:rPr>
        <w:t xml:space="preserve">El tercer proceso de regularización se llevó a cabo en 1996, tras la aprobación del RD 155/1996, de 2 de febrero, segundo Reglamento de la Ley Orgánica 7/1985, en cuya </w:t>
      </w:r>
      <w:r w:rsidRPr="006A0544">
        <w:rPr>
          <w:rFonts w:eastAsia="Times New Roman" w:cstheme="minorHAnsi"/>
          <w:color w:val="000000"/>
          <w:sz w:val="24"/>
          <w:szCs w:val="24"/>
          <w:lang w:eastAsia="es-ES"/>
        </w:rPr>
        <w:t>Disposición transitoria tercera, relativa a la documentación de extranjeros en situación irregular, se disponía la puesta en marcha de un nuevo proceso</w:t>
      </w:r>
      <w:r>
        <w:rPr>
          <w:rFonts w:eastAsia="Times New Roman" w:cstheme="minorHAnsi"/>
          <w:color w:val="000000"/>
          <w:sz w:val="24"/>
          <w:szCs w:val="24"/>
          <w:lang w:eastAsia="es-ES"/>
        </w:rPr>
        <w:t>.</w:t>
      </w:r>
    </w:p>
    <w:p w14:paraId="366A3DEA" w14:textId="77777777" w:rsidR="00CC3A8A" w:rsidRDefault="00F041C8" w:rsidP="00394DD4">
      <w:pPr>
        <w:pStyle w:val="Textoindependiente"/>
        <w:spacing w:after="0" w:line="480" w:lineRule="auto"/>
        <w:jc w:val="both"/>
        <w:rPr>
          <w:rFonts w:cstheme="minorHAnsi"/>
          <w:sz w:val="24"/>
          <w:szCs w:val="24"/>
          <w:lang w:eastAsia="es-ES"/>
        </w:rPr>
      </w:pPr>
      <w:r w:rsidRPr="006A0544">
        <w:rPr>
          <w:rFonts w:cstheme="minorHAnsi"/>
          <w:sz w:val="24"/>
          <w:szCs w:val="24"/>
          <w:shd w:val="clear" w:color="auto" w:fill="FFFFFF"/>
        </w:rPr>
        <w:t xml:space="preserve">La posición mayoritaria en la Administración </w:t>
      </w:r>
      <w:r>
        <w:rPr>
          <w:rFonts w:cstheme="minorHAnsi"/>
          <w:sz w:val="24"/>
          <w:szCs w:val="24"/>
          <w:shd w:val="clear" w:color="auto" w:fill="FFFFFF"/>
        </w:rPr>
        <w:t>era</w:t>
      </w:r>
      <w:r w:rsidRPr="006A0544">
        <w:rPr>
          <w:rFonts w:cstheme="minorHAnsi"/>
          <w:sz w:val="24"/>
          <w:szCs w:val="24"/>
          <w:shd w:val="clear" w:color="auto" w:fill="FFFFFF"/>
        </w:rPr>
        <w:t xml:space="preserve"> contraria a la realización de un nuevo proceso de regularización, tanto por el temor creciente al “efecto</w:t>
      </w:r>
      <w:r w:rsidR="00CC3A8A">
        <w:rPr>
          <w:rFonts w:cstheme="minorHAnsi"/>
          <w:sz w:val="24"/>
          <w:szCs w:val="24"/>
          <w:shd w:val="clear" w:color="auto" w:fill="FFFFFF"/>
        </w:rPr>
        <w:t xml:space="preserve"> </w:t>
      </w:r>
      <w:r w:rsidRPr="006A0544">
        <w:rPr>
          <w:rFonts w:cstheme="minorHAnsi"/>
          <w:sz w:val="24"/>
          <w:szCs w:val="24"/>
          <w:shd w:val="clear" w:color="auto" w:fill="FFFFFF"/>
        </w:rPr>
        <w:t xml:space="preserve">llamada”, que </w:t>
      </w:r>
      <w:r w:rsidRPr="006A0544">
        <w:rPr>
          <w:rFonts w:cstheme="minorHAnsi"/>
          <w:sz w:val="24"/>
          <w:szCs w:val="24"/>
          <w:shd w:val="clear" w:color="auto" w:fill="FFFFFF"/>
        </w:rPr>
        <w:lastRenderedPageBreak/>
        <w:t>comenzaba a generalizarse en el ámbito político, como porque se convirtiese en una medida endémica del sistema migratorio</w:t>
      </w:r>
      <w:r w:rsidR="00394DD4">
        <w:rPr>
          <w:rFonts w:cstheme="minorHAnsi"/>
          <w:sz w:val="24"/>
          <w:szCs w:val="24"/>
          <w:shd w:val="clear" w:color="auto" w:fill="FFFFFF"/>
        </w:rPr>
        <w:t>.</w:t>
      </w:r>
      <w:r w:rsidR="00394DD4" w:rsidRPr="00394DD4">
        <w:rPr>
          <w:rFonts w:cstheme="minorHAnsi"/>
          <w:sz w:val="24"/>
          <w:szCs w:val="24"/>
          <w:lang w:eastAsia="es-ES"/>
        </w:rPr>
        <w:t xml:space="preserve"> </w:t>
      </w:r>
    </w:p>
    <w:p w14:paraId="2CA3316E" w14:textId="77777777" w:rsidR="001A4A03" w:rsidRDefault="00CC3A8A" w:rsidP="00572C20">
      <w:pPr>
        <w:pStyle w:val="parrafo"/>
        <w:shd w:val="clear" w:color="auto" w:fill="FFFFFF"/>
        <w:spacing w:before="0" w:beforeAutospacing="0" w:after="0" w:afterAutospacing="0" w:line="480" w:lineRule="auto"/>
        <w:jc w:val="both"/>
        <w:rPr>
          <w:rFonts w:cstheme="minorHAnsi"/>
          <w:color w:val="000000"/>
        </w:rPr>
      </w:pPr>
      <w:r>
        <w:rPr>
          <w:rFonts w:cstheme="minorHAnsi"/>
        </w:rPr>
        <w:t>Una</w:t>
      </w:r>
      <w:r w:rsidR="00394DD4" w:rsidRPr="006A0544">
        <w:rPr>
          <w:rFonts w:cstheme="minorHAnsi"/>
        </w:rPr>
        <w:t xml:space="preserve"> de las peculiaridades del proceso es que, como consecuencia del cambio de Gobierno, los responsables de la Administración, encargados de gestionarlo, fueron distintos de quienes habían contribuido a su aprobación. Asimismo, se produjeron cambios sustanciales en la estructura administrativa, incluso algunas de las Direcciones Generales, como la de Migraciones, fueron suprimidas y otras, tanto en el Ministerio del Interior como en el de Asuntos Exteriores, experimentaron modificaciones en sus competencias. Estas circunstancias subyacen al hecho de que este proceso de regularización, o de “documentación de extranjeros”, como formalmente se denominó, tuviese escaso impulso y limitados resultados.</w:t>
      </w:r>
      <w:r w:rsidR="00572C20" w:rsidRPr="00572C20">
        <w:rPr>
          <w:rFonts w:cstheme="minorHAnsi"/>
          <w:color w:val="000000"/>
        </w:rPr>
        <w:t xml:space="preserve"> </w:t>
      </w:r>
    </w:p>
    <w:p w14:paraId="3767A0FD" w14:textId="54D339ED" w:rsidR="00572C20" w:rsidRDefault="00572C20" w:rsidP="00572C20">
      <w:pPr>
        <w:pStyle w:val="parrafo"/>
        <w:shd w:val="clear" w:color="auto" w:fill="FFFFFF"/>
        <w:spacing w:before="0" w:beforeAutospacing="0" w:after="0" w:afterAutospacing="0" w:line="480" w:lineRule="auto"/>
        <w:jc w:val="both"/>
        <w:rPr>
          <w:rFonts w:asciiTheme="minorHAnsi" w:hAnsiTheme="minorHAnsi" w:cstheme="minorHAnsi"/>
          <w:color w:val="000000"/>
          <w:shd w:val="clear" w:color="auto" w:fill="FFFFFF"/>
        </w:rPr>
      </w:pPr>
      <w:r w:rsidRPr="006A0544">
        <w:rPr>
          <w:rFonts w:asciiTheme="minorHAnsi" w:hAnsiTheme="minorHAnsi" w:cstheme="minorHAnsi"/>
          <w:color w:val="000000"/>
        </w:rPr>
        <w:t>Dadas las circunstancias, ninguna justificación del proceso de regularización se encuentra en el RD de aprobación del Reglamento, salvo la alusión al “</w:t>
      </w:r>
      <w:r w:rsidRPr="006A0544">
        <w:rPr>
          <w:rFonts w:asciiTheme="minorHAnsi" w:hAnsiTheme="minorHAnsi" w:cstheme="minorHAnsi"/>
          <w:color w:val="000000"/>
          <w:shd w:val="clear" w:color="auto" w:fill="FFFFFF"/>
        </w:rPr>
        <w:t>incremento de la población extranjera residente en España”</w:t>
      </w:r>
      <w:r w:rsidRPr="006A0544">
        <w:rPr>
          <w:rStyle w:val="Refdenotaalpie"/>
          <w:rFonts w:asciiTheme="minorHAnsi" w:eastAsiaTheme="majorEastAsia" w:hAnsiTheme="minorHAnsi" w:cstheme="minorHAnsi"/>
          <w:color w:val="000000"/>
          <w:shd w:val="clear" w:color="auto" w:fill="FFFFFF"/>
        </w:rPr>
        <w:footnoteReference w:id="19"/>
      </w:r>
      <w:r w:rsidRPr="006A0544">
        <w:rPr>
          <w:rFonts w:asciiTheme="minorHAnsi" w:hAnsiTheme="minorHAnsi" w:cstheme="minorHAnsi"/>
          <w:color w:val="000000"/>
          <w:shd w:val="clear" w:color="auto" w:fill="FFFFFF"/>
        </w:rPr>
        <w:t>, por lo que las razones hay que buscarlas en la creciente presión tanto de los agentes sociales como de las asociaciones de inmigrantes y organizaciones no gubernamentales del sector, representadas en los órganos de consulta y participación creados, y que fue mencionada en la justificación del acuerdo del Consejo de Ministros para la aprobación de las normas de su ejecución.</w:t>
      </w:r>
      <w:r w:rsidRPr="006A0544">
        <w:rPr>
          <w:rStyle w:val="Refdenotaalpie"/>
          <w:rFonts w:asciiTheme="minorHAnsi" w:eastAsiaTheme="majorEastAsia" w:hAnsiTheme="minorHAnsi" w:cstheme="minorHAnsi"/>
          <w:color w:val="000000"/>
          <w:shd w:val="clear" w:color="auto" w:fill="FFFFFF"/>
        </w:rPr>
        <w:footnoteReference w:id="20"/>
      </w:r>
      <w:r w:rsidRPr="006A0544">
        <w:rPr>
          <w:rFonts w:asciiTheme="minorHAnsi" w:hAnsiTheme="minorHAnsi" w:cstheme="minorHAnsi"/>
          <w:color w:val="000000"/>
          <w:shd w:val="clear" w:color="auto" w:fill="FFFFFF"/>
        </w:rPr>
        <w:t xml:space="preserve">  En el mismo acuerdo se alude a las esperanzas suscitadas con la aprobación del nuevo Reglamento, que vendría a representar un nuevo punto de partida, que evitaría nuevas </w:t>
      </w:r>
      <w:r w:rsidRPr="006A0544">
        <w:rPr>
          <w:rFonts w:asciiTheme="minorHAnsi" w:hAnsiTheme="minorHAnsi" w:cstheme="minorHAnsi"/>
          <w:color w:val="000000"/>
          <w:shd w:val="clear" w:color="auto" w:fill="FFFFFF"/>
        </w:rPr>
        <w:lastRenderedPageBreak/>
        <w:t>situaciones de irregularidad y permitiría la integración social de los inmigrantes,  siguiendo las líneas marcadas en el Plan para la Integración Social de los Inmigrantes.</w:t>
      </w:r>
      <w:r w:rsidRPr="006A0544">
        <w:rPr>
          <w:rStyle w:val="Refdenotaalpie"/>
          <w:rFonts w:asciiTheme="minorHAnsi" w:eastAsiaTheme="majorEastAsia" w:hAnsiTheme="minorHAnsi" w:cstheme="minorHAnsi"/>
          <w:color w:val="000000"/>
          <w:shd w:val="clear" w:color="auto" w:fill="FFFFFF"/>
        </w:rPr>
        <w:footnoteReference w:id="21"/>
      </w:r>
      <w:r w:rsidRPr="006A0544">
        <w:rPr>
          <w:rFonts w:asciiTheme="minorHAnsi" w:hAnsiTheme="minorHAnsi" w:cstheme="minorHAnsi"/>
          <w:color w:val="000000"/>
          <w:shd w:val="clear" w:color="auto" w:fill="FFFFFF"/>
        </w:rPr>
        <w:t xml:space="preserve"> </w:t>
      </w:r>
    </w:p>
    <w:p w14:paraId="3B329639" w14:textId="77777777" w:rsidR="00674663" w:rsidRPr="006A0544" w:rsidRDefault="00674663" w:rsidP="00674663">
      <w:pPr>
        <w:pStyle w:val="Textoindependiente"/>
        <w:spacing w:after="0" w:line="480" w:lineRule="auto"/>
        <w:jc w:val="both"/>
        <w:rPr>
          <w:rFonts w:cstheme="minorHAnsi"/>
          <w:color w:val="FF0000"/>
          <w:sz w:val="24"/>
          <w:szCs w:val="24"/>
        </w:rPr>
      </w:pPr>
      <w:r w:rsidRPr="006A0544">
        <w:rPr>
          <w:rFonts w:cstheme="minorHAnsi"/>
          <w:sz w:val="24"/>
          <w:szCs w:val="24"/>
        </w:rPr>
        <w:t xml:space="preserve">La escasa respuesta obtenida no debe interpretarse como una disminución en la presión migratoria, ya que el número de extranjeros en España va a experimentar en los últimos años del siglo XX un incremento mayor que en el quinquenio precedente hasta el punto de llegar a casi duplicar su número a principios del siglo XXI. </w:t>
      </w:r>
    </w:p>
    <w:p w14:paraId="40598D10" w14:textId="0B6D514B" w:rsidR="0066754A" w:rsidRPr="006A0544" w:rsidRDefault="0066754A" w:rsidP="0066754A">
      <w:pPr>
        <w:pStyle w:val="Prrafodelista"/>
        <w:numPr>
          <w:ilvl w:val="0"/>
          <w:numId w:val="3"/>
        </w:numPr>
        <w:shd w:val="clear" w:color="auto" w:fill="FFFFFF"/>
        <w:spacing w:before="360" w:after="0" w:line="480" w:lineRule="auto"/>
        <w:jc w:val="both"/>
        <w:rPr>
          <w:rFonts w:eastAsia="Times New Roman" w:cstheme="minorHAnsi"/>
          <w:sz w:val="24"/>
          <w:szCs w:val="24"/>
          <w:lang w:eastAsia="es-ES"/>
        </w:rPr>
      </w:pPr>
      <w:r w:rsidRPr="006A0544">
        <w:rPr>
          <w:rFonts w:cstheme="minorHAnsi"/>
          <w:sz w:val="24"/>
          <w:szCs w:val="24"/>
        </w:rPr>
        <w:t>La fijación de</w:t>
      </w:r>
      <w:r w:rsidRPr="006A0544">
        <w:rPr>
          <w:rFonts w:eastAsia="Times New Roman" w:cstheme="minorHAnsi"/>
          <w:sz w:val="24"/>
          <w:szCs w:val="24"/>
          <w:lang w:eastAsia="es-ES"/>
        </w:rPr>
        <w:t xml:space="preserve"> contingente</w:t>
      </w:r>
      <w:r>
        <w:rPr>
          <w:rFonts w:eastAsia="Times New Roman" w:cstheme="minorHAnsi"/>
          <w:sz w:val="24"/>
          <w:szCs w:val="24"/>
          <w:lang w:eastAsia="es-ES"/>
        </w:rPr>
        <w:t>s</w:t>
      </w:r>
      <w:r w:rsidRPr="006A0544">
        <w:rPr>
          <w:rFonts w:eastAsia="Times New Roman" w:cstheme="minorHAnsi"/>
          <w:sz w:val="24"/>
          <w:szCs w:val="24"/>
          <w:lang w:eastAsia="es-ES"/>
        </w:rPr>
        <w:t xml:space="preserve"> durant</w:t>
      </w:r>
      <w:r>
        <w:rPr>
          <w:rFonts w:eastAsia="Times New Roman" w:cstheme="minorHAnsi"/>
          <w:sz w:val="24"/>
          <w:szCs w:val="24"/>
          <w:lang w:eastAsia="es-ES"/>
        </w:rPr>
        <w:t>e la década de los noventa</w:t>
      </w:r>
    </w:p>
    <w:p w14:paraId="4685707C" w14:textId="77777777" w:rsidR="0066754A" w:rsidRPr="006A0544" w:rsidRDefault="0066754A" w:rsidP="0066754A">
      <w:pPr>
        <w:pStyle w:val="Textoindependiente"/>
        <w:spacing w:after="0" w:line="480" w:lineRule="auto"/>
        <w:jc w:val="both"/>
        <w:rPr>
          <w:rFonts w:cstheme="minorHAnsi"/>
          <w:sz w:val="24"/>
          <w:szCs w:val="24"/>
          <w:lang w:eastAsia="es-ES"/>
        </w:rPr>
      </w:pPr>
      <w:r w:rsidRPr="006A0544">
        <w:rPr>
          <w:rFonts w:cstheme="minorHAnsi"/>
          <w:sz w:val="24"/>
          <w:szCs w:val="24"/>
          <w:lang w:eastAsia="es-ES"/>
        </w:rPr>
        <w:t>La configuración y gestión del “contingente” se enfrentó desde el primer momento a numerosos obstáculos hasta el punto de parecer un esfuerzo voluntarista condenado al fracaso. Para demostrar su viabilidad se optó por limitar de forma drástica el número de autorizaciones en relación con la demanda existente, circunscribiéndose a aquellas profesiones y sectores en los que se presumía una importante presencia de trabajadores extranjeros en situación irregular.</w:t>
      </w:r>
      <w:r w:rsidRPr="006A0544">
        <w:rPr>
          <w:rStyle w:val="Refdenotaalpie"/>
          <w:rFonts w:eastAsia="Times New Roman" w:cstheme="minorHAnsi"/>
          <w:sz w:val="24"/>
          <w:szCs w:val="24"/>
          <w:lang w:eastAsia="es-ES"/>
        </w:rPr>
        <w:footnoteReference w:id="22"/>
      </w:r>
      <w:r w:rsidRPr="006A0544">
        <w:rPr>
          <w:rFonts w:cstheme="minorHAnsi"/>
          <w:sz w:val="24"/>
          <w:szCs w:val="24"/>
          <w:lang w:eastAsia="es-ES"/>
        </w:rPr>
        <w:t xml:space="preserve">  </w:t>
      </w:r>
    </w:p>
    <w:p w14:paraId="08391E71" w14:textId="2D26B640" w:rsidR="0066754A" w:rsidRDefault="0066754A" w:rsidP="0066754A">
      <w:pPr>
        <w:pStyle w:val="Textoindependiente"/>
        <w:spacing w:after="0" w:line="480" w:lineRule="auto"/>
        <w:jc w:val="both"/>
        <w:rPr>
          <w:rFonts w:cstheme="minorHAnsi"/>
          <w:sz w:val="24"/>
          <w:szCs w:val="24"/>
          <w:lang w:eastAsia="es-ES"/>
        </w:rPr>
      </w:pPr>
      <w:r w:rsidRPr="006A0544">
        <w:rPr>
          <w:rFonts w:cstheme="minorHAnsi"/>
          <w:sz w:val="24"/>
          <w:szCs w:val="24"/>
          <w:lang w:eastAsia="es-ES"/>
        </w:rPr>
        <w:t>El procedimiento de aprobación y publicación del “contingente” anual resultó en sus comienzos una tarea administrativamente ardua, dadas las diferentes posiciones de los Ministerios, y su largo proceso de aprobación: acuerdo del Consejo de ministros, desarrollado posteriormente por una Instrucción conjunta de las Direcciones Generales intervinientes, lo que demoraba su puesta en marcha.</w:t>
      </w:r>
    </w:p>
    <w:p w14:paraId="7A476103" w14:textId="12387F7A" w:rsidR="00EC2626" w:rsidRPr="006A0544" w:rsidRDefault="00EC2626" w:rsidP="00EC2626">
      <w:pPr>
        <w:pStyle w:val="Textoindependiente"/>
        <w:spacing w:after="0" w:line="480" w:lineRule="auto"/>
        <w:jc w:val="both"/>
        <w:rPr>
          <w:rFonts w:cstheme="minorHAnsi"/>
          <w:sz w:val="24"/>
          <w:szCs w:val="24"/>
          <w:lang w:eastAsia="es-ES"/>
        </w:rPr>
      </w:pPr>
      <w:r w:rsidRPr="006A0544">
        <w:rPr>
          <w:rFonts w:cstheme="minorHAnsi"/>
          <w:sz w:val="24"/>
          <w:szCs w:val="24"/>
          <w:lang w:eastAsia="es-ES"/>
        </w:rPr>
        <w:t>El primero, establecido en 1993, cifró en 20.600 los puestos de trabajo, desglosados por clases de permisos, sectores de actividad y zonas geográficas.</w:t>
      </w:r>
      <w:r w:rsidRPr="006A0544">
        <w:rPr>
          <w:rStyle w:val="Refdenotaalpie"/>
          <w:rFonts w:eastAsia="Times New Roman" w:cstheme="minorHAnsi"/>
          <w:sz w:val="24"/>
          <w:szCs w:val="24"/>
          <w:lang w:eastAsia="es-ES"/>
        </w:rPr>
        <w:footnoteReference w:id="23"/>
      </w:r>
      <w:r w:rsidRPr="006A0544">
        <w:rPr>
          <w:rFonts w:cstheme="minorHAnsi"/>
          <w:sz w:val="24"/>
          <w:szCs w:val="24"/>
          <w:lang w:eastAsia="es-ES"/>
        </w:rPr>
        <w:t xml:space="preserve">Su elaboración y </w:t>
      </w:r>
      <w:r w:rsidRPr="006A0544">
        <w:rPr>
          <w:rFonts w:cstheme="minorHAnsi"/>
          <w:sz w:val="24"/>
          <w:szCs w:val="24"/>
          <w:lang w:eastAsia="es-ES"/>
        </w:rPr>
        <w:lastRenderedPageBreak/>
        <w:t>publicación se demoró tanto que había transcurrido medio año cuando pudo iniciarse su gestión, por lo que, al final del ejercicio, apenas se habían gestionado la mitad de las plazas ofertadas</w:t>
      </w:r>
      <w:r>
        <w:rPr>
          <w:rFonts w:cstheme="minorHAnsi"/>
          <w:sz w:val="24"/>
          <w:szCs w:val="24"/>
          <w:lang w:eastAsia="es-ES"/>
        </w:rPr>
        <w:t>;</w:t>
      </w:r>
      <w:r w:rsidRPr="006A0544">
        <w:rPr>
          <w:rFonts w:cstheme="minorHAnsi"/>
          <w:sz w:val="24"/>
          <w:szCs w:val="24"/>
          <w:lang w:eastAsia="es-ES"/>
        </w:rPr>
        <w:t xml:space="preserve"> sin embargo, dado que el número de  demandas era muy  superior se optó no sólo por mantener el año siguiente -1994- el mismo número de plazas ofertadas (20.600) para el año siguiente, aunque con diferente distribución geográfica, sino incorporar las que no se habían podido gestionar en 2003.</w:t>
      </w:r>
    </w:p>
    <w:p w14:paraId="1F619C24" w14:textId="40EDA427" w:rsidR="00EC2626" w:rsidRDefault="00EC2626" w:rsidP="00EC2626">
      <w:pPr>
        <w:pStyle w:val="Textoindependiente"/>
        <w:spacing w:after="0" w:line="480" w:lineRule="auto"/>
        <w:jc w:val="both"/>
        <w:rPr>
          <w:rFonts w:cstheme="minorHAnsi"/>
          <w:sz w:val="24"/>
          <w:szCs w:val="24"/>
          <w:lang w:eastAsia="es-ES"/>
        </w:rPr>
      </w:pPr>
      <w:r w:rsidRPr="006A0544">
        <w:rPr>
          <w:rFonts w:cstheme="minorHAnsi"/>
          <w:sz w:val="24"/>
          <w:szCs w:val="24"/>
          <w:lang w:eastAsia="es-ES"/>
        </w:rPr>
        <w:t>El transcurso de los años y la implicación del Ministerio de la Presidencia lograron reducir las tensiones y acortar los plazos, aunque hasta 1997 no se consiguió que se iniciase su gestión antes de finalizar el primer trimestre del año.</w:t>
      </w:r>
    </w:p>
    <w:p w14:paraId="77BF36CB" w14:textId="3D51BF84" w:rsidR="002317B3" w:rsidRPr="006A0544" w:rsidRDefault="002317B3" w:rsidP="00EC2626">
      <w:pPr>
        <w:pStyle w:val="Textoindependiente"/>
        <w:spacing w:after="0" w:line="480" w:lineRule="auto"/>
        <w:jc w:val="both"/>
        <w:rPr>
          <w:rFonts w:cstheme="minorHAnsi"/>
          <w:sz w:val="24"/>
          <w:szCs w:val="24"/>
          <w:lang w:eastAsia="es-ES"/>
        </w:rPr>
      </w:pPr>
      <w:r>
        <w:rPr>
          <w:rFonts w:cstheme="minorHAnsi"/>
          <w:sz w:val="24"/>
          <w:szCs w:val="24"/>
          <w:lang w:eastAsia="es-ES"/>
        </w:rPr>
        <w:t>Su evolución resultados se reflejan en la tabla siguiente:</w:t>
      </w:r>
    </w:p>
    <w:p w14:paraId="596E75BA" w14:textId="5E179725" w:rsidR="002317B3" w:rsidRPr="006A0544" w:rsidRDefault="002317B3" w:rsidP="002317B3">
      <w:pPr>
        <w:autoSpaceDE w:val="0"/>
        <w:autoSpaceDN w:val="0"/>
        <w:adjustRightInd w:val="0"/>
        <w:spacing w:after="240" w:line="240" w:lineRule="auto"/>
        <w:jc w:val="both"/>
        <w:rPr>
          <w:rFonts w:cstheme="minorHAnsi"/>
          <w:sz w:val="24"/>
          <w:szCs w:val="24"/>
        </w:rPr>
      </w:pPr>
      <w:r w:rsidRPr="006A0544">
        <w:rPr>
          <w:rFonts w:cstheme="minorHAnsi"/>
          <w:sz w:val="24"/>
          <w:szCs w:val="24"/>
        </w:rPr>
        <w:t>Tabla I</w:t>
      </w:r>
      <w:r w:rsidR="00572641">
        <w:rPr>
          <w:rFonts w:cstheme="minorHAnsi"/>
          <w:sz w:val="24"/>
          <w:szCs w:val="24"/>
        </w:rPr>
        <w:t>I</w:t>
      </w:r>
      <w:r w:rsidRPr="006A0544">
        <w:rPr>
          <w:rFonts w:cstheme="minorHAnsi"/>
          <w:sz w:val="24"/>
          <w:szCs w:val="24"/>
        </w:rPr>
        <w:t>:  Resultados de los contingentes: 1993-1999</w:t>
      </w:r>
    </w:p>
    <w:tbl>
      <w:tblPr>
        <w:tblStyle w:val="Tablaconcuadrcula"/>
        <w:tblW w:w="0" w:type="auto"/>
        <w:tblLook w:val="04A0" w:firstRow="1" w:lastRow="0" w:firstColumn="1" w:lastColumn="0" w:noHBand="0" w:noVBand="1"/>
      </w:tblPr>
      <w:tblGrid>
        <w:gridCol w:w="825"/>
        <w:gridCol w:w="1547"/>
        <w:gridCol w:w="1274"/>
        <w:gridCol w:w="1334"/>
        <w:gridCol w:w="833"/>
        <w:gridCol w:w="1292"/>
        <w:gridCol w:w="1389"/>
      </w:tblGrid>
      <w:tr w:rsidR="002317B3" w:rsidRPr="006A0544" w14:paraId="0610739D" w14:textId="77777777" w:rsidTr="00E3628C">
        <w:tc>
          <w:tcPr>
            <w:tcW w:w="826" w:type="dxa"/>
          </w:tcPr>
          <w:p w14:paraId="7DA752FB" w14:textId="77777777" w:rsidR="002317B3" w:rsidRPr="006A0544" w:rsidRDefault="002317B3" w:rsidP="00E3628C">
            <w:pPr>
              <w:jc w:val="both"/>
              <w:rPr>
                <w:rFonts w:cstheme="minorHAnsi"/>
                <w:sz w:val="24"/>
                <w:szCs w:val="24"/>
              </w:rPr>
            </w:pPr>
            <w:r w:rsidRPr="006A0544">
              <w:rPr>
                <w:rFonts w:cstheme="minorHAnsi"/>
                <w:sz w:val="24"/>
                <w:szCs w:val="24"/>
              </w:rPr>
              <w:t>Año</w:t>
            </w:r>
          </w:p>
        </w:tc>
        <w:tc>
          <w:tcPr>
            <w:tcW w:w="1579" w:type="dxa"/>
          </w:tcPr>
          <w:p w14:paraId="17277566" w14:textId="77777777" w:rsidR="002317B3" w:rsidRPr="006A0544" w:rsidRDefault="002317B3" w:rsidP="00E3628C">
            <w:pPr>
              <w:jc w:val="both"/>
              <w:rPr>
                <w:rFonts w:cstheme="minorHAnsi"/>
                <w:sz w:val="24"/>
                <w:szCs w:val="24"/>
              </w:rPr>
            </w:pPr>
            <w:r w:rsidRPr="006A0544">
              <w:rPr>
                <w:rFonts w:cstheme="minorHAnsi"/>
                <w:sz w:val="24"/>
                <w:szCs w:val="24"/>
              </w:rPr>
              <w:t>Contingente</w:t>
            </w:r>
          </w:p>
        </w:tc>
        <w:tc>
          <w:tcPr>
            <w:tcW w:w="1276" w:type="dxa"/>
          </w:tcPr>
          <w:p w14:paraId="5FCF9A9A" w14:textId="77777777" w:rsidR="002317B3" w:rsidRPr="006A0544" w:rsidRDefault="002317B3" w:rsidP="00E3628C">
            <w:pPr>
              <w:jc w:val="both"/>
              <w:rPr>
                <w:rFonts w:cstheme="minorHAnsi"/>
                <w:sz w:val="24"/>
                <w:szCs w:val="24"/>
              </w:rPr>
            </w:pPr>
            <w:r w:rsidRPr="006A0544">
              <w:rPr>
                <w:rFonts w:cstheme="minorHAnsi"/>
                <w:sz w:val="24"/>
                <w:szCs w:val="24"/>
              </w:rPr>
              <w:t>Solicitudes</w:t>
            </w:r>
          </w:p>
        </w:tc>
        <w:tc>
          <w:tcPr>
            <w:tcW w:w="1276" w:type="dxa"/>
          </w:tcPr>
          <w:p w14:paraId="3A6AE9E6" w14:textId="77777777" w:rsidR="002317B3" w:rsidRPr="006A0544" w:rsidRDefault="002317B3" w:rsidP="00E3628C">
            <w:pPr>
              <w:jc w:val="both"/>
              <w:rPr>
                <w:rFonts w:cstheme="minorHAnsi"/>
                <w:sz w:val="24"/>
                <w:szCs w:val="24"/>
              </w:rPr>
            </w:pPr>
            <w:r w:rsidRPr="006A0544">
              <w:rPr>
                <w:rFonts w:cstheme="minorHAnsi"/>
                <w:sz w:val="24"/>
                <w:szCs w:val="24"/>
              </w:rPr>
              <w:t>Concedidas</w:t>
            </w:r>
          </w:p>
        </w:tc>
        <w:tc>
          <w:tcPr>
            <w:tcW w:w="850" w:type="dxa"/>
          </w:tcPr>
          <w:p w14:paraId="329C023C" w14:textId="77777777" w:rsidR="002317B3" w:rsidRPr="006A0544" w:rsidRDefault="002317B3" w:rsidP="00E3628C">
            <w:pPr>
              <w:jc w:val="both"/>
              <w:rPr>
                <w:rFonts w:cstheme="minorHAnsi"/>
                <w:sz w:val="24"/>
                <w:szCs w:val="24"/>
              </w:rPr>
            </w:pPr>
            <w:r w:rsidRPr="006A0544">
              <w:rPr>
                <w:rFonts w:cstheme="minorHAnsi"/>
                <w:sz w:val="24"/>
                <w:szCs w:val="24"/>
              </w:rPr>
              <w:t>%</w:t>
            </w:r>
          </w:p>
        </w:tc>
        <w:tc>
          <w:tcPr>
            <w:tcW w:w="1276" w:type="dxa"/>
          </w:tcPr>
          <w:p w14:paraId="260E7DEF" w14:textId="77777777" w:rsidR="002317B3" w:rsidRPr="006A0544" w:rsidRDefault="002317B3" w:rsidP="00E3628C">
            <w:pPr>
              <w:jc w:val="both"/>
              <w:rPr>
                <w:rFonts w:cstheme="minorHAnsi"/>
                <w:sz w:val="24"/>
                <w:szCs w:val="24"/>
              </w:rPr>
            </w:pPr>
            <w:r w:rsidRPr="006A0544">
              <w:rPr>
                <w:rFonts w:cstheme="minorHAnsi"/>
                <w:sz w:val="24"/>
                <w:szCs w:val="24"/>
              </w:rPr>
              <w:t>Denegadas</w:t>
            </w:r>
          </w:p>
        </w:tc>
        <w:tc>
          <w:tcPr>
            <w:tcW w:w="1411" w:type="dxa"/>
          </w:tcPr>
          <w:p w14:paraId="1501EDE7" w14:textId="77777777" w:rsidR="002317B3" w:rsidRPr="006A0544" w:rsidRDefault="002317B3" w:rsidP="00E3628C">
            <w:pPr>
              <w:jc w:val="both"/>
              <w:rPr>
                <w:rFonts w:cstheme="minorHAnsi"/>
                <w:sz w:val="24"/>
                <w:szCs w:val="24"/>
              </w:rPr>
            </w:pPr>
            <w:r w:rsidRPr="006A0544">
              <w:rPr>
                <w:rFonts w:cstheme="minorHAnsi"/>
                <w:sz w:val="24"/>
                <w:szCs w:val="24"/>
              </w:rPr>
              <w:t>Pend./Otra</w:t>
            </w:r>
          </w:p>
        </w:tc>
      </w:tr>
      <w:tr w:rsidR="002317B3" w:rsidRPr="006A0544" w14:paraId="04E24F28" w14:textId="77777777" w:rsidTr="00E3628C">
        <w:tc>
          <w:tcPr>
            <w:tcW w:w="826" w:type="dxa"/>
          </w:tcPr>
          <w:p w14:paraId="40300675" w14:textId="77777777" w:rsidR="002317B3" w:rsidRPr="006A0544" w:rsidRDefault="002317B3" w:rsidP="00E3628C">
            <w:pPr>
              <w:jc w:val="both"/>
              <w:rPr>
                <w:rFonts w:cstheme="minorHAnsi"/>
                <w:sz w:val="24"/>
                <w:szCs w:val="24"/>
              </w:rPr>
            </w:pPr>
            <w:r w:rsidRPr="006A0544">
              <w:rPr>
                <w:rFonts w:cstheme="minorHAnsi"/>
                <w:sz w:val="24"/>
                <w:szCs w:val="24"/>
              </w:rPr>
              <w:t>1993</w:t>
            </w:r>
          </w:p>
        </w:tc>
        <w:tc>
          <w:tcPr>
            <w:tcW w:w="1579" w:type="dxa"/>
          </w:tcPr>
          <w:p w14:paraId="0D7487BB" w14:textId="77777777" w:rsidR="002317B3" w:rsidRPr="006A0544" w:rsidRDefault="002317B3" w:rsidP="00E3628C">
            <w:pPr>
              <w:jc w:val="center"/>
              <w:rPr>
                <w:rFonts w:cstheme="minorHAnsi"/>
                <w:sz w:val="24"/>
                <w:szCs w:val="24"/>
              </w:rPr>
            </w:pPr>
            <w:r w:rsidRPr="006A0544">
              <w:rPr>
                <w:rFonts w:cstheme="minorHAnsi"/>
                <w:sz w:val="24"/>
                <w:szCs w:val="24"/>
              </w:rPr>
              <w:t>20.600</w:t>
            </w:r>
          </w:p>
        </w:tc>
        <w:tc>
          <w:tcPr>
            <w:tcW w:w="1276" w:type="dxa"/>
          </w:tcPr>
          <w:p w14:paraId="4A87C083" w14:textId="77777777" w:rsidR="002317B3" w:rsidRPr="006A0544" w:rsidRDefault="002317B3" w:rsidP="00E3628C">
            <w:pPr>
              <w:jc w:val="center"/>
              <w:rPr>
                <w:rFonts w:cstheme="minorHAnsi"/>
                <w:sz w:val="24"/>
                <w:szCs w:val="24"/>
              </w:rPr>
            </w:pPr>
            <w:r w:rsidRPr="006A0544">
              <w:rPr>
                <w:rFonts w:cstheme="minorHAnsi"/>
                <w:sz w:val="24"/>
                <w:szCs w:val="24"/>
              </w:rPr>
              <w:t>6.000</w:t>
            </w:r>
          </w:p>
        </w:tc>
        <w:tc>
          <w:tcPr>
            <w:tcW w:w="1276" w:type="dxa"/>
          </w:tcPr>
          <w:p w14:paraId="54F1488A" w14:textId="77777777" w:rsidR="002317B3" w:rsidRPr="006A0544" w:rsidRDefault="002317B3" w:rsidP="00E3628C">
            <w:pPr>
              <w:jc w:val="center"/>
              <w:rPr>
                <w:rFonts w:cstheme="minorHAnsi"/>
                <w:sz w:val="24"/>
                <w:szCs w:val="24"/>
              </w:rPr>
            </w:pPr>
            <w:r w:rsidRPr="006A0544">
              <w:rPr>
                <w:rFonts w:cstheme="minorHAnsi"/>
                <w:sz w:val="24"/>
                <w:szCs w:val="24"/>
              </w:rPr>
              <w:t>5.220</w:t>
            </w:r>
          </w:p>
        </w:tc>
        <w:tc>
          <w:tcPr>
            <w:tcW w:w="850" w:type="dxa"/>
          </w:tcPr>
          <w:p w14:paraId="4778C600" w14:textId="77777777" w:rsidR="002317B3" w:rsidRPr="006A0544" w:rsidRDefault="002317B3" w:rsidP="00E3628C">
            <w:pPr>
              <w:jc w:val="center"/>
              <w:rPr>
                <w:rFonts w:cstheme="minorHAnsi"/>
                <w:sz w:val="24"/>
                <w:szCs w:val="24"/>
              </w:rPr>
            </w:pPr>
            <w:r w:rsidRPr="006A0544">
              <w:rPr>
                <w:rFonts w:cstheme="minorHAnsi"/>
                <w:sz w:val="24"/>
                <w:szCs w:val="24"/>
              </w:rPr>
              <w:t>87,00</w:t>
            </w:r>
          </w:p>
        </w:tc>
        <w:tc>
          <w:tcPr>
            <w:tcW w:w="1276" w:type="dxa"/>
          </w:tcPr>
          <w:p w14:paraId="7F50CF1B" w14:textId="77777777" w:rsidR="002317B3" w:rsidRPr="006A0544" w:rsidRDefault="002317B3" w:rsidP="00E3628C">
            <w:pPr>
              <w:jc w:val="center"/>
              <w:rPr>
                <w:rFonts w:cstheme="minorHAnsi"/>
                <w:sz w:val="24"/>
                <w:szCs w:val="24"/>
              </w:rPr>
            </w:pPr>
            <w:r w:rsidRPr="006A0544">
              <w:rPr>
                <w:rFonts w:cstheme="minorHAnsi"/>
                <w:sz w:val="24"/>
                <w:szCs w:val="24"/>
              </w:rPr>
              <w:t>Sin datos</w:t>
            </w:r>
          </w:p>
        </w:tc>
        <w:tc>
          <w:tcPr>
            <w:tcW w:w="1411" w:type="dxa"/>
          </w:tcPr>
          <w:p w14:paraId="5A26283B" w14:textId="77777777" w:rsidR="002317B3" w:rsidRPr="006A0544" w:rsidRDefault="002317B3" w:rsidP="00E3628C">
            <w:pPr>
              <w:jc w:val="center"/>
              <w:rPr>
                <w:rFonts w:cstheme="minorHAnsi"/>
                <w:sz w:val="24"/>
                <w:szCs w:val="24"/>
              </w:rPr>
            </w:pPr>
            <w:r w:rsidRPr="006A0544">
              <w:rPr>
                <w:rFonts w:cstheme="minorHAnsi"/>
                <w:sz w:val="24"/>
                <w:szCs w:val="24"/>
              </w:rPr>
              <w:t>Sin datos</w:t>
            </w:r>
          </w:p>
        </w:tc>
      </w:tr>
      <w:tr w:rsidR="002317B3" w:rsidRPr="006A0544" w14:paraId="56563952" w14:textId="77777777" w:rsidTr="00E3628C">
        <w:tc>
          <w:tcPr>
            <w:tcW w:w="826" w:type="dxa"/>
          </w:tcPr>
          <w:p w14:paraId="79035E56" w14:textId="77777777" w:rsidR="002317B3" w:rsidRPr="006A0544" w:rsidRDefault="002317B3" w:rsidP="00E3628C">
            <w:pPr>
              <w:jc w:val="both"/>
              <w:rPr>
                <w:rFonts w:cstheme="minorHAnsi"/>
                <w:sz w:val="24"/>
                <w:szCs w:val="24"/>
              </w:rPr>
            </w:pPr>
            <w:r w:rsidRPr="006A0544">
              <w:rPr>
                <w:rFonts w:cstheme="minorHAnsi"/>
                <w:sz w:val="24"/>
                <w:szCs w:val="24"/>
              </w:rPr>
              <w:t>1994</w:t>
            </w:r>
          </w:p>
        </w:tc>
        <w:tc>
          <w:tcPr>
            <w:tcW w:w="1579" w:type="dxa"/>
          </w:tcPr>
          <w:p w14:paraId="1146FAE9" w14:textId="77777777" w:rsidR="002317B3" w:rsidRPr="006A0544" w:rsidRDefault="002317B3" w:rsidP="00E3628C">
            <w:pPr>
              <w:jc w:val="center"/>
              <w:rPr>
                <w:rFonts w:cstheme="minorHAnsi"/>
                <w:sz w:val="24"/>
                <w:szCs w:val="24"/>
              </w:rPr>
            </w:pPr>
            <w:r w:rsidRPr="006A0544">
              <w:rPr>
                <w:rFonts w:cstheme="minorHAnsi"/>
                <w:sz w:val="24"/>
                <w:szCs w:val="24"/>
              </w:rPr>
              <w:t>20.600</w:t>
            </w:r>
          </w:p>
        </w:tc>
        <w:tc>
          <w:tcPr>
            <w:tcW w:w="1276" w:type="dxa"/>
          </w:tcPr>
          <w:p w14:paraId="6B14853F" w14:textId="77777777" w:rsidR="002317B3" w:rsidRPr="006A0544" w:rsidRDefault="002317B3" w:rsidP="00E3628C">
            <w:pPr>
              <w:jc w:val="center"/>
              <w:rPr>
                <w:rFonts w:cstheme="minorHAnsi"/>
                <w:sz w:val="24"/>
                <w:szCs w:val="24"/>
              </w:rPr>
            </w:pPr>
            <w:r w:rsidRPr="006A0544">
              <w:rPr>
                <w:rFonts w:cstheme="minorHAnsi"/>
                <w:sz w:val="24"/>
                <w:szCs w:val="24"/>
              </w:rPr>
              <w:t>37.093</w:t>
            </w:r>
          </w:p>
        </w:tc>
        <w:tc>
          <w:tcPr>
            <w:tcW w:w="1276" w:type="dxa"/>
          </w:tcPr>
          <w:p w14:paraId="0D48C278" w14:textId="77777777" w:rsidR="002317B3" w:rsidRPr="006A0544" w:rsidRDefault="002317B3" w:rsidP="00E3628C">
            <w:pPr>
              <w:jc w:val="center"/>
              <w:rPr>
                <w:rFonts w:cstheme="minorHAnsi"/>
                <w:sz w:val="24"/>
                <w:szCs w:val="24"/>
              </w:rPr>
            </w:pPr>
            <w:r w:rsidRPr="006A0544">
              <w:rPr>
                <w:rFonts w:cstheme="minorHAnsi"/>
                <w:sz w:val="24"/>
                <w:szCs w:val="24"/>
              </w:rPr>
              <w:t>25.604</w:t>
            </w:r>
          </w:p>
        </w:tc>
        <w:tc>
          <w:tcPr>
            <w:tcW w:w="850" w:type="dxa"/>
          </w:tcPr>
          <w:p w14:paraId="3B591D62" w14:textId="77777777" w:rsidR="002317B3" w:rsidRPr="006A0544" w:rsidRDefault="002317B3" w:rsidP="00E3628C">
            <w:pPr>
              <w:jc w:val="center"/>
              <w:rPr>
                <w:rFonts w:cstheme="minorHAnsi"/>
                <w:sz w:val="24"/>
                <w:szCs w:val="24"/>
              </w:rPr>
            </w:pPr>
            <w:r w:rsidRPr="006A0544">
              <w:rPr>
                <w:rFonts w:cstheme="minorHAnsi"/>
                <w:sz w:val="24"/>
                <w:szCs w:val="24"/>
              </w:rPr>
              <w:t>87,23</w:t>
            </w:r>
          </w:p>
        </w:tc>
        <w:tc>
          <w:tcPr>
            <w:tcW w:w="1276" w:type="dxa"/>
          </w:tcPr>
          <w:p w14:paraId="64C8FD62" w14:textId="77777777" w:rsidR="002317B3" w:rsidRPr="006A0544" w:rsidRDefault="002317B3" w:rsidP="00E3628C">
            <w:pPr>
              <w:jc w:val="center"/>
              <w:rPr>
                <w:rFonts w:cstheme="minorHAnsi"/>
                <w:sz w:val="24"/>
                <w:szCs w:val="24"/>
              </w:rPr>
            </w:pPr>
            <w:r w:rsidRPr="006A0544">
              <w:rPr>
                <w:rFonts w:cstheme="minorHAnsi"/>
                <w:sz w:val="24"/>
                <w:szCs w:val="24"/>
              </w:rPr>
              <w:t>10.859</w:t>
            </w:r>
          </w:p>
        </w:tc>
        <w:tc>
          <w:tcPr>
            <w:tcW w:w="1411" w:type="dxa"/>
          </w:tcPr>
          <w:p w14:paraId="0DAD8F11" w14:textId="77777777" w:rsidR="002317B3" w:rsidRPr="006A0544" w:rsidRDefault="002317B3" w:rsidP="00E3628C">
            <w:pPr>
              <w:jc w:val="center"/>
              <w:rPr>
                <w:rFonts w:cstheme="minorHAnsi"/>
                <w:sz w:val="24"/>
                <w:szCs w:val="24"/>
              </w:rPr>
            </w:pPr>
            <w:r w:rsidRPr="006A0544">
              <w:rPr>
                <w:rFonts w:cstheme="minorHAnsi"/>
                <w:sz w:val="24"/>
                <w:szCs w:val="24"/>
              </w:rPr>
              <w:t>16.677</w:t>
            </w:r>
          </w:p>
        </w:tc>
      </w:tr>
      <w:tr w:rsidR="002317B3" w:rsidRPr="006A0544" w14:paraId="42586B75" w14:textId="77777777" w:rsidTr="00E3628C">
        <w:tc>
          <w:tcPr>
            <w:tcW w:w="826" w:type="dxa"/>
          </w:tcPr>
          <w:p w14:paraId="44E1D6D4" w14:textId="77777777" w:rsidR="002317B3" w:rsidRPr="006A0544" w:rsidRDefault="002317B3" w:rsidP="00E3628C">
            <w:pPr>
              <w:jc w:val="both"/>
              <w:rPr>
                <w:rFonts w:cstheme="minorHAnsi"/>
                <w:sz w:val="24"/>
                <w:szCs w:val="24"/>
              </w:rPr>
            </w:pPr>
            <w:r w:rsidRPr="006A0544">
              <w:rPr>
                <w:rFonts w:cstheme="minorHAnsi"/>
                <w:sz w:val="24"/>
                <w:szCs w:val="24"/>
              </w:rPr>
              <w:t>1995</w:t>
            </w:r>
          </w:p>
        </w:tc>
        <w:tc>
          <w:tcPr>
            <w:tcW w:w="1579" w:type="dxa"/>
          </w:tcPr>
          <w:p w14:paraId="26FB6D44" w14:textId="77777777" w:rsidR="002317B3" w:rsidRPr="006A0544" w:rsidRDefault="002317B3" w:rsidP="00E3628C">
            <w:pPr>
              <w:jc w:val="center"/>
              <w:rPr>
                <w:rFonts w:cstheme="minorHAnsi"/>
                <w:sz w:val="24"/>
                <w:szCs w:val="24"/>
              </w:rPr>
            </w:pPr>
            <w:r w:rsidRPr="006A0544">
              <w:rPr>
                <w:rFonts w:cstheme="minorHAnsi"/>
                <w:sz w:val="24"/>
                <w:szCs w:val="24"/>
              </w:rPr>
              <w:t>35.000</w:t>
            </w:r>
          </w:p>
        </w:tc>
        <w:tc>
          <w:tcPr>
            <w:tcW w:w="1276" w:type="dxa"/>
          </w:tcPr>
          <w:p w14:paraId="169B92E9" w14:textId="77777777" w:rsidR="002317B3" w:rsidRPr="006A0544" w:rsidRDefault="002317B3" w:rsidP="00E3628C">
            <w:pPr>
              <w:jc w:val="center"/>
              <w:rPr>
                <w:rFonts w:cstheme="minorHAnsi"/>
                <w:sz w:val="24"/>
                <w:szCs w:val="24"/>
              </w:rPr>
            </w:pPr>
            <w:r w:rsidRPr="006A0544">
              <w:rPr>
                <w:rFonts w:cstheme="minorHAnsi"/>
                <w:sz w:val="24"/>
                <w:szCs w:val="24"/>
              </w:rPr>
              <w:t>37.214</w:t>
            </w:r>
          </w:p>
        </w:tc>
        <w:tc>
          <w:tcPr>
            <w:tcW w:w="1276" w:type="dxa"/>
          </w:tcPr>
          <w:p w14:paraId="695FB9E0" w14:textId="77777777" w:rsidR="002317B3" w:rsidRPr="006A0544" w:rsidRDefault="002317B3" w:rsidP="00E3628C">
            <w:pPr>
              <w:jc w:val="center"/>
              <w:rPr>
                <w:rFonts w:cstheme="minorHAnsi"/>
                <w:sz w:val="24"/>
                <w:szCs w:val="24"/>
              </w:rPr>
            </w:pPr>
            <w:r w:rsidRPr="006A0544">
              <w:rPr>
                <w:rFonts w:cstheme="minorHAnsi"/>
                <w:sz w:val="24"/>
                <w:szCs w:val="24"/>
              </w:rPr>
              <w:t>19.946</w:t>
            </w:r>
          </w:p>
        </w:tc>
        <w:tc>
          <w:tcPr>
            <w:tcW w:w="850" w:type="dxa"/>
          </w:tcPr>
          <w:p w14:paraId="186AC049" w14:textId="77777777" w:rsidR="002317B3" w:rsidRPr="006A0544" w:rsidRDefault="002317B3" w:rsidP="00E3628C">
            <w:pPr>
              <w:jc w:val="center"/>
              <w:rPr>
                <w:rFonts w:cstheme="minorHAnsi"/>
                <w:sz w:val="24"/>
                <w:szCs w:val="24"/>
              </w:rPr>
            </w:pPr>
            <w:r w:rsidRPr="006A0544">
              <w:rPr>
                <w:rFonts w:cstheme="minorHAnsi"/>
                <w:sz w:val="24"/>
                <w:szCs w:val="24"/>
              </w:rPr>
              <w:t>53,59</w:t>
            </w:r>
          </w:p>
        </w:tc>
        <w:tc>
          <w:tcPr>
            <w:tcW w:w="1276" w:type="dxa"/>
          </w:tcPr>
          <w:p w14:paraId="525F784D" w14:textId="77777777" w:rsidR="002317B3" w:rsidRPr="006A0544" w:rsidRDefault="002317B3" w:rsidP="00E3628C">
            <w:pPr>
              <w:jc w:val="center"/>
              <w:rPr>
                <w:rFonts w:cstheme="minorHAnsi"/>
                <w:sz w:val="24"/>
                <w:szCs w:val="24"/>
              </w:rPr>
            </w:pPr>
            <w:r w:rsidRPr="006A0544">
              <w:rPr>
                <w:rFonts w:cstheme="minorHAnsi"/>
                <w:sz w:val="24"/>
                <w:szCs w:val="24"/>
              </w:rPr>
              <w:t>15.388</w:t>
            </w:r>
          </w:p>
        </w:tc>
        <w:tc>
          <w:tcPr>
            <w:tcW w:w="1411" w:type="dxa"/>
          </w:tcPr>
          <w:p w14:paraId="3396FC43" w14:textId="77777777" w:rsidR="002317B3" w:rsidRPr="006A0544" w:rsidRDefault="002317B3" w:rsidP="00E3628C">
            <w:pPr>
              <w:jc w:val="center"/>
              <w:rPr>
                <w:rFonts w:cstheme="minorHAnsi"/>
                <w:sz w:val="24"/>
                <w:szCs w:val="24"/>
              </w:rPr>
            </w:pPr>
            <w:r w:rsidRPr="006A0544">
              <w:rPr>
                <w:rFonts w:cstheme="minorHAnsi"/>
                <w:sz w:val="24"/>
                <w:szCs w:val="24"/>
              </w:rPr>
              <w:t>1.968</w:t>
            </w:r>
          </w:p>
        </w:tc>
      </w:tr>
      <w:tr w:rsidR="002317B3" w:rsidRPr="006A0544" w14:paraId="59719417" w14:textId="77777777" w:rsidTr="00E3628C">
        <w:tc>
          <w:tcPr>
            <w:tcW w:w="826" w:type="dxa"/>
          </w:tcPr>
          <w:p w14:paraId="551F4E88" w14:textId="77777777" w:rsidR="002317B3" w:rsidRPr="006A0544" w:rsidRDefault="002317B3" w:rsidP="00E3628C">
            <w:pPr>
              <w:jc w:val="both"/>
              <w:rPr>
                <w:rFonts w:cstheme="minorHAnsi"/>
                <w:sz w:val="24"/>
                <w:szCs w:val="24"/>
              </w:rPr>
            </w:pPr>
            <w:r w:rsidRPr="006A0544">
              <w:rPr>
                <w:rFonts w:cstheme="minorHAnsi"/>
                <w:sz w:val="24"/>
                <w:szCs w:val="24"/>
              </w:rPr>
              <w:t>1996</w:t>
            </w:r>
            <w:r w:rsidRPr="006A0544">
              <w:rPr>
                <w:rFonts w:cstheme="minorHAnsi"/>
                <w:color w:val="C00000"/>
                <w:sz w:val="24"/>
                <w:szCs w:val="24"/>
              </w:rPr>
              <w:t>*</w:t>
            </w:r>
          </w:p>
        </w:tc>
        <w:tc>
          <w:tcPr>
            <w:tcW w:w="1579" w:type="dxa"/>
          </w:tcPr>
          <w:p w14:paraId="2D1487E1" w14:textId="77777777" w:rsidR="002317B3" w:rsidRPr="006A0544" w:rsidRDefault="002317B3" w:rsidP="00E3628C">
            <w:pPr>
              <w:jc w:val="center"/>
              <w:rPr>
                <w:rFonts w:cstheme="minorHAnsi"/>
                <w:sz w:val="24"/>
                <w:szCs w:val="24"/>
              </w:rPr>
            </w:pPr>
            <w:r w:rsidRPr="006A0544">
              <w:rPr>
                <w:rFonts w:cstheme="minorHAnsi"/>
                <w:sz w:val="24"/>
                <w:szCs w:val="24"/>
              </w:rPr>
              <w:t>-----</w:t>
            </w:r>
          </w:p>
        </w:tc>
        <w:tc>
          <w:tcPr>
            <w:tcW w:w="1276" w:type="dxa"/>
          </w:tcPr>
          <w:p w14:paraId="07AD9FBA" w14:textId="77777777" w:rsidR="002317B3" w:rsidRPr="006A0544" w:rsidRDefault="002317B3" w:rsidP="00E3628C">
            <w:pPr>
              <w:jc w:val="center"/>
              <w:rPr>
                <w:rFonts w:cstheme="minorHAnsi"/>
                <w:sz w:val="24"/>
                <w:szCs w:val="24"/>
              </w:rPr>
            </w:pPr>
            <w:r w:rsidRPr="006A0544">
              <w:rPr>
                <w:rFonts w:cstheme="minorHAnsi"/>
                <w:sz w:val="24"/>
                <w:szCs w:val="24"/>
              </w:rPr>
              <w:t>-------</w:t>
            </w:r>
          </w:p>
        </w:tc>
        <w:tc>
          <w:tcPr>
            <w:tcW w:w="1276" w:type="dxa"/>
          </w:tcPr>
          <w:p w14:paraId="2AD56602" w14:textId="77777777" w:rsidR="002317B3" w:rsidRPr="006A0544" w:rsidRDefault="002317B3" w:rsidP="00E3628C">
            <w:pPr>
              <w:jc w:val="center"/>
              <w:rPr>
                <w:rFonts w:cstheme="minorHAnsi"/>
                <w:sz w:val="24"/>
                <w:szCs w:val="24"/>
              </w:rPr>
            </w:pPr>
            <w:r w:rsidRPr="006A0544">
              <w:rPr>
                <w:rFonts w:cstheme="minorHAnsi"/>
                <w:sz w:val="24"/>
                <w:szCs w:val="24"/>
              </w:rPr>
              <w:t>-------</w:t>
            </w:r>
          </w:p>
        </w:tc>
        <w:tc>
          <w:tcPr>
            <w:tcW w:w="850" w:type="dxa"/>
          </w:tcPr>
          <w:p w14:paraId="57B7207C" w14:textId="77777777" w:rsidR="002317B3" w:rsidRPr="006A0544" w:rsidRDefault="002317B3" w:rsidP="00E3628C">
            <w:pPr>
              <w:jc w:val="center"/>
              <w:rPr>
                <w:rFonts w:cstheme="minorHAnsi"/>
                <w:sz w:val="24"/>
                <w:szCs w:val="24"/>
              </w:rPr>
            </w:pPr>
            <w:r w:rsidRPr="006A0544">
              <w:rPr>
                <w:rFonts w:cstheme="minorHAnsi"/>
                <w:sz w:val="24"/>
                <w:szCs w:val="24"/>
              </w:rPr>
              <w:t>------</w:t>
            </w:r>
          </w:p>
        </w:tc>
        <w:tc>
          <w:tcPr>
            <w:tcW w:w="1276" w:type="dxa"/>
          </w:tcPr>
          <w:p w14:paraId="27661302" w14:textId="77777777" w:rsidR="002317B3" w:rsidRPr="006A0544" w:rsidRDefault="002317B3" w:rsidP="00E3628C">
            <w:pPr>
              <w:jc w:val="center"/>
              <w:rPr>
                <w:rFonts w:cstheme="minorHAnsi"/>
                <w:sz w:val="24"/>
                <w:szCs w:val="24"/>
              </w:rPr>
            </w:pPr>
            <w:r w:rsidRPr="006A0544">
              <w:rPr>
                <w:rFonts w:cstheme="minorHAnsi"/>
                <w:sz w:val="24"/>
                <w:szCs w:val="24"/>
              </w:rPr>
              <w:t>--------</w:t>
            </w:r>
          </w:p>
        </w:tc>
        <w:tc>
          <w:tcPr>
            <w:tcW w:w="1411" w:type="dxa"/>
          </w:tcPr>
          <w:p w14:paraId="11F40507" w14:textId="77777777" w:rsidR="002317B3" w:rsidRPr="006A0544" w:rsidRDefault="002317B3" w:rsidP="00E3628C">
            <w:pPr>
              <w:jc w:val="center"/>
              <w:rPr>
                <w:rFonts w:cstheme="minorHAnsi"/>
                <w:sz w:val="24"/>
                <w:szCs w:val="24"/>
              </w:rPr>
            </w:pPr>
            <w:r w:rsidRPr="006A0544">
              <w:rPr>
                <w:rFonts w:cstheme="minorHAnsi"/>
                <w:sz w:val="24"/>
                <w:szCs w:val="24"/>
              </w:rPr>
              <w:t>-------</w:t>
            </w:r>
          </w:p>
        </w:tc>
      </w:tr>
      <w:tr w:rsidR="002317B3" w:rsidRPr="006A0544" w14:paraId="01AFFC65" w14:textId="77777777" w:rsidTr="00E3628C">
        <w:tc>
          <w:tcPr>
            <w:tcW w:w="826" w:type="dxa"/>
          </w:tcPr>
          <w:p w14:paraId="754B192F" w14:textId="77777777" w:rsidR="002317B3" w:rsidRPr="006A0544" w:rsidRDefault="002317B3" w:rsidP="00E3628C">
            <w:pPr>
              <w:jc w:val="both"/>
              <w:rPr>
                <w:rFonts w:cstheme="minorHAnsi"/>
                <w:sz w:val="24"/>
                <w:szCs w:val="24"/>
              </w:rPr>
            </w:pPr>
            <w:r w:rsidRPr="006A0544">
              <w:rPr>
                <w:rFonts w:cstheme="minorHAnsi"/>
                <w:sz w:val="24"/>
                <w:szCs w:val="24"/>
              </w:rPr>
              <w:t>1997</w:t>
            </w:r>
          </w:p>
        </w:tc>
        <w:tc>
          <w:tcPr>
            <w:tcW w:w="1579" w:type="dxa"/>
          </w:tcPr>
          <w:p w14:paraId="5D121051" w14:textId="77777777" w:rsidR="002317B3" w:rsidRPr="006A0544" w:rsidRDefault="002317B3" w:rsidP="00E3628C">
            <w:pPr>
              <w:jc w:val="center"/>
              <w:rPr>
                <w:rFonts w:cstheme="minorHAnsi"/>
                <w:sz w:val="24"/>
                <w:szCs w:val="24"/>
              </w:rPr>
            </w:pPr>
            <w:r w:rsidRPr="006A0544">
              <w:rPr>
                <w:rFonts w:cstheme="minorHAnsi"/>
                <w:sz w:val="24"/>
                <w:szCs w:val="24"/>
              </w:rPr>
              <w:t>24.690</w:t>
            </w:r>
          </w:p>
        </w:tc>
        <w:tc>
          <w:tcPr>
            <w:tcW w:w="1276" w:type="dxa"/>
          </w:tcPr>
          <w:p w14:paraId="1908D12A" w14:textId="77777777" w:rsidR="002317B3" w:rsidRPr="006A0544" w:rsidRDefault="002317B3" w:rsidP="00E3628C">
            <w:pPr>
              <w:jc w:val="center"/>
              <w:rPr>
                <w:rFonts w:cstheme="minorHAnsi"/>
                <w:sz w:val="24"/>
                <w:szCs w:val="24"/>
              </w:rPr>
            </w:pPr>
            <w:r w:rsidRPr="006A0544">
              <w:rPr>
                <w:rFonts w:cstheme="minorHAnsi"/>
                <w:sz w:val="24"/>
                <w:szCs w:val="24"/>
              </w:rPr>
              <w:t>70.839</w:t>
            </w:r>
          </w:p>
        </w:tc>
        <w:tc>
          <w:tcPr>
            <w:tcW w:w="1276" w:type="dxa"/>
          </w:tcPr>
          <w:p w14:paraId="024CF4A7" w14:textId="77777777" w:rsidR="002317B3" w:rsidRPr="006A0544" w:rsidRDefault="002317B3" w:rsidP="00E3628C">
            <w:pPr>
              <w:jc w:val="center"/>
              <w:rPr>
                <w:rFonts w:cstheme="minorHAnsi"/>
                <w:sz w:val="24"/>
                <w:szCs w:val="24"/>
              </w:rPr>
            </w:pPr>
            <w:r w:rsidRPr="006A0544">
              <w:rPr>
                <w:rFonts w:cstheme="minorHAnsi"/>
                <w:sz w:val="24"/>
                <w:szCs w:val="24"/>
              </w:rPr>
              <w:t>24.647</w:t>
            </w:r>
          </w:p>
        </w:tc>
        <w:tc>
          <w:tcPr>
            <w:tcW w:w="850" w:type="dxa"/>
          </w:tcPr>
          <w:p w14:paraId="5D526D94" w14:textId="77777777" w:rsidR="002317B3" w:rsidRPr="006A0544" w:rsidRDefault="002317B3" w:rsidP="00E3628C">
            <w:pPr>
              <w:jc w:val="center"/>
              <w:rPr>
                <w:rFonts w:cstheme="minorHAnsi"/>
                <w:sz w:val="24"/>
                <w:szCs w:val="24"/>
              </w:rPr>
            </w:pPr>
            <w:r w:rsidRPr="006A0544">
              <w:rPr>
                <w:rFonts w:cstheme="minorHAnsi"/>
                <w:sz w:val="24"/>
                <w:szCs w:val="24"/>
              </w:rPr>
              <w:t>34,79</w:t>
            </w:r>
          </w:p>
        </w:tc>
        <w:tc>
          <w:tcPr>
            <w:tcW w:w="1276" w:type="dxa"/>
          </w:tcPr>
          <w:p w14:paraId="3E42A87A" w14:textId="77777777" w:rsidR="002317B3" w:rsidRPr="006A0544" w:rsidRDefault="002317B3" w:rsidP="00E3628C">
            <w:pPr>
              <w:jc w:val="center"/>
              <w:rPr>
                <w:rFonts w:cstheme="minorHAnsi"/>
                <w:sz w:val="24"/>
                <w:szCs w:val="24"/>
              </w:rPr>
            </w:pPr>
            <w:r w:rsidRPr="006A0544">
              <w:rPr>
                <w:rFonts w:cstheme="minorHAnsi"/>
                <w:sz w:val="24"/>
                <w:szCs w:val="24"/>
              </w:rPr>
              <w:t>34.683</w:t>
            </w:r>
          </w:p>
        </w:tc>
        <w:tc>
          <w:tcPr>
            <w:tcW w:w="1411" w:type="dxa"/>
          </w:tcPr>
          <w:p w14:paraId="1E461568" w14:textId="77777777" w:rsidR="002317B3" w:rsidRPr="006A0544" w:rsidRDefault="002317B3" w:rsidP="00E3628C">
            <w:pPr>
              <w:jc w:val="center"/>
              <w:rPr>
                <w:rFonts w:cstheme="minorHAnsi"/>
                <w:sz w:val="24"/>
                <w:szCs w:val="24"/>
              </w:rPr>
            </w:pPr>
            <w:r w:rsidRPr="006A0544">
              <w:rPr>
                <w:rFonts w:cstheme="minorHAnsi"/>
                <w:sz w:val="24"/>
                <w:szCs w:val="24"/>
              </w:rPr>
              <w:t>1.865</w:t>
            </w:r>
          </w:p>
        </w:tc>
      </w:tr>
      <w:tr w:rsidR="002317B3" w:rsidRPr="006A0544" w14:paraId="34BA3F49" w14:textId="77777777" w:rsidTr="00E3628C">
        <w:tc>
          <w:tcPr>
            <w:tcW w:w="826" w:type="dxa"/>
          </w:tcPr>
          <w:p w14:paraId="5772585A" w14:textId="77777777" w:rsidR="002317B3" w:rsidRPr="006A0544" w:rsidRDefault="002317B3" w:rsidP="00E3628C">
            <w:pPr>
              <w:jc w:val="both"/>
              <w:rPr>
                <w:rFonts w:cstheme="minorHAnsi"/>
                <w:sz w:val="24"/>
                <w:szCs w:val="24"/>
              </w:rPr>
            </w:pPr>
            <w:r w:rsidRPr="006A0544">
              <w:rPr>
                <w:rFonts w:cstheme="minorHAnsi"/>
                <w:sz w:val="24"/>
                <w:szCs w:val="24"/>
              </w:rPr>
              <w:t>1998</w:t>
            </w:r>
          </w:p>
        </w:tc>
        <w:tc>
          <w:tcPr>
            <w:tcW w:w="1579" w:type="dxa"/>
          </w:tcPr>
          <w:p w14:paraId="58B44E3C" w14:textId="77777777" w:rsidR="002317B3" w:rsidRPr="006A0544" w:rsidRDefault="002317B3" w:rsidP="00E3628C">
            <w:pPr>
              <w:jc w:val="center"/>
              <w:rPr>
                <w:rFonts w:cstheme="minorHAnsi"/>
                <w:sz w:val="24"/>
                <w:szCs w:val="24"/>
              </w:rPr>
            </w:pPr>
            <w:r w:rsidRPr="006A0544">
              <w:rPr>
                <w:rFonts w:cstheme="minorHAnsi"/>
                <w:sz w:val="24"/>
                <w:szCs w:val="24"/>
              </w:rPr>
              <w:t>28.000</w:t>
            </w:r>
          </w:p>
        </w:tc>
        <w:tc>
          <w:tcPr>
            <w:tcW w:w="1276" w:type="dxa"/>
          </w:tcPr>
          <w:p w14:paraId="182A46F7" w14:textId="77777777" w:rsidR="002317B3" w:rsidRPr="006A0544" w:rsidRDefault="002317B3" w:rsidP="00E3628C">
            <w:pPr>
              <w:jc w:val="center"/>
              <w:rPr>
                <w:rFonts w:cstheme="minorHAnsi"/>
                <w:sz w:val="24"/>
                <w:szCs w:val="24"/>
              </w:rPr>
            </w:pPr>
            <w:r w:rsidRPr="006A0544">
              <w:rPr>
                <w:rFonts w:cstheme="minorHAnsi"/>
                <w:sz w:val="24"/>
                <w:szCs w:val="24"/>
              </w:rPr>
              <w:t>62.697</w:t>
            </w:r>
          </w:p>
        </w:tc>
        <w:tc>
          <w:tcPr>
            <w:tcW w:w="1276" w:type="dxa"/>
          </w:tcPr>
          <w:p w14:paraId="28F12C2D" w14:textId="77777777" w:rsidR="002317B3" w:rsidRPr="006A0544" w:rsidRDefault="002317B3" w:rsidP="00E3628C">
            <w:pPr>
              <w:jc w:val="center"/>
              <w:rPr>
                <w:rFonts w:cstheme="minorHAnsi"/>
                <w:sz w:val="24"/>
                <w:szCs w:val="24"/>
              </w:rPr>
            </w:pPr>
            <w:r w:rsidRPr="006A0544">
              <w:rPr>
                <w:rFonts w:cstheme="minorHAnsi"/>
                <w:sz w:val="24"/>
                <w:szCs w:val="24"/>
              </w:rPr>
              <w:t>28.095</w:t>
            </w:r>
          </w:p>
        </w:tc>
        <w:tc>
          <w:tcPr>
            <w:tcW w:w="850" w:type="dxa"/>
          </w:tcPr>
          <w:p w14:paraId="473887E6" w14:textId="77777777" w:rsidR="002317B3" w:rsidRPr="006A0544" w:rsidRDefault="002317B3" w:rsidP="00E3628C">
            <w:pPr>
              <w:jc w:val="center"/>
              <w:rPr>
                <w:rFonts w:cstheme="minorHAnsi"/>
                <w:sz w:val="24"/>
                <w:szCs w:val="24"/>
              </w:rPr>
            </w:pPr>
            <w:r w:rsidRPr="006A0544">
              <w:rPr>
                <w:rFonts w:cstheme="minorHAnsi"/>
                <w:sz w:val="24"/>
                <w:szCs w:val="24"/>
              </w:rPr>
              <w:t>44,81</w:t>
            </w:r>
          </w:p>
        </w:tc>
        <w:tc>
          <w:tcPr>
            <w:tcW w:w="1276" w:type="dxa"/>
          </w:tcPr>
          <w:p w14:paraId="5EC25C51" w14:textId="77777777" w:rsidR="002317B3" w:rsidRPr="006A0544" w:rsidRDefault="002317B3" w:rsidP="00E3628C">
            <w:pPr>
              <w:jc w:val="center"/>
              <w:rPr>
                <w:rFonts w:cstheme="minorHAnsi"/>
                <w:sz w:val="24"/>
                <w:szCs w:val="24"/>
              </w:rPr>
            </w:pPr>
            <w:r w:rsidRPr="006A0544">
              <w:rPr>
                <w:rFonts w:cstheme="minorHAnsi"/>
                <w:sz w:val="24"/>
                <w:szCs w:val="24"/>
              </w:rPr>
              <w:t>32.030</w:t>
            </w:r>
          </w:p>
        </w:tc>
        <w:tc>
          <w:tcPr>
            <w:tcW w:w="1411" w:type="dxa"/>
          </w:tcPr>
          <w:p w14:paraId="615C807E" w14:textId="77777777" w:rsidR="002317B3" w:rsidRPr="006A0544" w:rsidRDefault="002317B3" w:rsidP="00E3628C">
            <w:pPr>
              <w:jc w:val="center"/>
              <w:rPr>
                <w:rFonts w:cstheme="minorHAnsi"/>
                <w:sz w:val="24"/>
                <w:szCs w:val="24"/>
              </w:rPr>
            </w:pPr>
            <w:r w:rsidRPr="006A0544">
              <w:rPr>
                <w:rFonts w:cstheme="minorHAnsi"/>
                <w:sz w:val="24"/>
                <w:szCs w:val="24"/>
              </w:rPr>
              <w:t>2.572</w:t>
            </w:r>
          </w:p>
        </w:tc>
      </w:tr>
      <w:tr w:rsidR="002317B3" w:rsidRPr="006A0544" w14:paraId="1FD3B642" w14:textId="77777777" w:rsidTr="00E3628C">
        <w:tc>
          <w:tcPr>
            <w:tcW w:w="826" w:type="dxa"/>
          </w:tcPr>
          <w:p w14:paraId="681AA15E" w14:textId="77777777" w:rsidR="002317B3" w:rsidRPr="006A0544" w:rsidRDefault="002317B3" w:rsidP="00E3628C">
            <w:pPr>
              <w:jc w:val="both"/>
              <w:rPr>
                <w:rFonts w:cstheme="minorHAnsi"/>
                <w:sz w:val="24"/>
                <w:szCs w:val="24"/>
              </w:rPr>
            </w:pPr>
            <w:r w:rsidRPr="006A0544">
              <w:rPr>
                <w:rFonts w:cstheme="minorHAnsi"/>
                <w:sz w:val="24"/>
                <w:szCs w:val="24"/>
              </w:rPr>
              <w:t>1999</w:t>
            </w:r>
          </w:p>
        </w:tc>
        <w:tc>
          <w:tcPr>
            <w:tcW w:w="1579" w:type="dxa"/>
          </w:tcPr>
          <w:p w14:paraId="60AD88C9" w14:textId="77777777" w:rsidR="002317B3" w:rsidRPr="006A0544" w:rsidRDefault="002317B3" w:rsidP="00E3628C">
            <w:pPr>
              <w:jc w:val="center"/>
              <w:rPr>
                <w:rFonts w:cstheme="minorHAnsi"/>
                <w:sz w:val="24"/>
                <w:szCs w:val="24"/>
              </w:rPr>
            </w:pPr>
            <w:r w:rsidRPr="006A0544">
              <w:rPr>
                <w:rFonts w:cstheme="minorHAnsi"/>
                <w:sz w:val="24"/>
                <w:szCs w:val="24"/>
              </w:rPr>
              <w:t>30.000</w:t>
            </w:r>
          </w:p>
        </w:tc>
        <w:tc>
          <w:tcPr>
            <w:tcW w:w="1276" w:type="dxa"/>
          </w:tcPr>
          <w:p w14:paraId="7C656799" w14:textId="77777777" w:rsidR="002317B3" w:rsidRPr="006A0544" w:rsidRDefault="002317B3" w:rsidP="00E3628C">
            <w:pPr>
              <w:jc w:val="center"/>
              <w:rPr>
                <w:rFonts w:cstheme="minorHAnsi"/>
                <w:sz w:val="24"/>
                <w:szCs w:val="24"/>
              </w:rPr>
            </w:pPr>
            <w:r w:rsidRPr="006A0544">
              <w:rPr>
                <w:rFonts w:cstheme="minorHAnsi"/>
                <w:sz w:val="24"/>
                <w:szCs w:val="24"/>
              </w:rPr>
              <w:t>97.028</w:t>
            </w:r>
          </w:p>
        </w:tc>
        <w:tc>
          <w:tcPr>
            <w:tcW w:w="1276" w:type="dxa"/>
          </w:tcPr>
          <w:p w14:paraId="59445DF4" w14:textId="77777777" w:rsidR="002317B3" w:rsidRPr="006A0544" w:rsidRDefault="002317B3" w:rsidP="00E3628C">
            <w:pPr>
              <w:jc w:val="center"/>
              <w:rPr>
                <w:rFonts w:cstheme="minorHAnsi"/>
                <w:sz w:val="24"/>
                <w:szCs w:val="24"/>
              </w:rPr>
            </w:pPr>
            <w:r w:rsidRPr="006A0544">
              <w:rPr>
                <w:rFonts w:cstheme="minorHAnsi"/>
                <w:sz w:val="24"/>
                <w:szCs w:val="24"/>
              </w:rPr>
              <w:t>39.711</w:t>
            </w:r>
          </w:p>
        </w:tc>
        <w:tc>
          <w:tcPr>
            <w:tcW w:w="850" w:type="dxa"/>
          </w:tcPr>
          <w:p w14:paraId="2ED53FC5" w14:textId="77777777" w:rsidR="002317B3" w:rsidRPr="006A0544" w:rsidRDefault="002317B3" w:rsidP="00E3628C">
            <w:pPr>
              <w:jc w:val="center"/>
              <w:rPr>
                <w:rFonts w:cstheme="minorHAnsi"/>
                <w:sz w:val="24"/>
                <w:szCs w:val="24"/>
              </w:rPr>
            </w:pPr>
            <w:r w:rsidRPr="006A0544">
              <w:rPr>
                <w:rFonts w:cstheme="minorHAnsi"/>
                <w:sz w:val="24"/>
                <w:szCs w:val="24"/>
              </w:rPr>
              <w:t>40,92</w:t>
            </w:r>
          </w:p>
        </w:tc>
        <w:tc>
          <w:tcPr>
            <w:tcW w:w="1276" w:type="dxa"/>
          </w:tcPr>
          <w:p w14:paraId="45FC3225" w14:textId="77777777" w:rsidR="002317B3" w:rsidRPr="006A0544" w:rsidRDefault="002317B3" w:rsidP="00E3628C">
            <w:pPr>
              <w:jc w:val="center"/>
              <w:rPr>
                <w:rFonts w:cstheme="minorHAnsi"/>
                <w:sz w:val="24"/>
                <w:szCs w:val="24"/>
              </w:rPr>
            </w:pPr>
            <w:r w:rsidRPr="006A0544">
              <w:rPr>
                <w:rFonts w:cstheme="minorHAnsi"/>
                <w:sz w:val="24"/>
                <w:szCs w:val="24"/>
              </w:rPr>
              <w:t>41.511</w:t>
            </w:r>
          </w:p>
        </w:tc>
        <w:tc>
          <w:tcPr>
            <w:tcW w:w="1411" w:type="dxa"/>
          </w:tcPr>
          <w:p w14:paraId="771C9D84" w14:textId="77777777" w:rsidR="002317B3" w:rsidRPr="006A0544" w:rsidRDefault="002317B3" w:rsidP="00E3628C">
            <w:pPr>
              <w:jc w:val="center"/>
              <w:rPr>
                <w:rFonts w:cstheme="minorHAnsi"/>
                <w:sz w:val="24"/>
                <w:szCs w:val="24"/>
              </w:rPr>
            </w:pPr>
            <w:r w:rsidRPr="006A0544">
              <w:rPr>
                <w:rFonts w:cstheme="minorHAnsi"/>
                <w:sz w:val="24"/>
                <w:szCs w:val="24"/>
              </w:rPr>
              <w:t>15.806</w:t>
            </w:r>
          </w:p>
        </w:tc>
      </w:tr>
    </w:tbl>
    <w:p w14:paraId="1803CBA2" w14:textId="764ED945" w:rsidR="002317B3" w:rsidRDefault="002317B3" w:rsidP="002317B3">
      <w:pPr>
        <w:pStyle w:val="Descripcin"/>
        <w:spacing w:after="0" w:line="360" w:lineRule="auto"/>
        <w:jc w:val="both"/>
        <w:rPr>
          <w:rFonts w:cstheme="minorHAnsi"/>
          <w:i w:val="0"/>
          <w:iCs w:val="0"/>
          <w:color w:val="000000" w:themeColor="text1"/>
          <w:sz w:val="22"/>
          <w:szCs w:val="22"/>
          <w:lang w:eastAsia="es-ES"/>
        </w:rPr>
      </w:pPr>
      <w:r w:rsidRPr="005A63B1">
        <w:rPr>
          <w:rFonts w:cstheme="minorHAnsi"/>
          <w:i w:val="0"/>
          <w:iCs w:val="0"/>
          <w:color w:val="FF0000"/>
          <w:sz w:val="22"/>
          <w:szCs w:val="22"/>
          <w:lang w:eastAsia="es-ES"/>
        </w:rPr>
        <w:t>*</w:t>
      </w:r>
      <w:r w:rsidRPr="005A63B1">
        <w:rPr>
          <w:rFonts w:cstheme="minorHAnsi"/>
          <w:i w:val="0"/>
          <w:iCs w:val="0"/>
          <w:color w:val="000000" w:themeColor="text1"/>
          <w:sz w:val="22"/>
          <w:szCs w:val="22"/>
          <w:lang w:eastAsia="es-ES"/>
        </w:rPr>
        <w:t>En 1996, al coincidir con el IV proceso de regularización, no se aprobó contingente.</w:t>
      </w:r>
    </w:p>
    <w:p w14:paraId="6B373DC6" w14:textId="77777777" w:rsidR="00572641" w:rsidRDefault="00572641" w:rsidP="00572641">
      <w:pPr>
        <w:pStyle w:val="Descripcin"/>
        <w:spacing w:after="0" w:line="360" w:lineRule="auto"/>
        <w:jc w:val="both"/>
        <w:rPr>
          <w:rFonts w:cstheme="minorHAnsi"/>
          <w:i w:val="0"/>
          <w:iCs w:val="0"/>
          <w:color w:val="000000" w:themeColor="text1"/>
          <w:sz w:val="22"/>
          <w:szCs w:val="22"/>
          <w:lang w:eastAsia="es-ES"/>
        </w:rPr>
      </w:pPr>
      <w:r w:rsidRPr="005A63B1">
        <w:rPr>
          <w:rFonts w:cstheme="minorHAnsi"/>
          <w:i w:val="0"/>
          <w:iCs w:val="0"/>
          <w:color w:val="000000" w:themeColor="text1"/>
          <w:sz w:val="22"/>
          <w:szCs w:val="22"/>
          <w:lang w:eastAsia="es-ES"/>
        </w:rPr>
        <w:t xml:space="preserve">Fuente: Anuarios de Migraciones. Elaboración propia. </w:t>
      </w:r>
    </w:p>
    <w:p w14:paraId="49F23064" w14:textId="77777777" w:rsidR="00572641" w:rsidRPr="00572641" w:rsidRDefault="00572641" w:rsidP="00572641">
      <w:pPr>
        <w:rPr>
          <w:lang w:eastAsia="es-ES"/>
        </w:rPr>
      </w:pPr>
    </w:p>
    <w:p w14:paraId="2EDC6D9A" w14:textId="2A8DEAE4" w:rsidR="000A3B89" w:rsidRDefault="000A3B89" w:rsidP="000A3B89">
      <w:pPr>
        <w:pStyle w:val="Textoindependiente"/>
        <w:spacing w:before="120" w:after="0" w:line="480" w:lineRule="auto"/>
        <w:jc w:val="both"/>
        <w:rPr>
          <w:rFonts w:cstheme="minorHAnsi"/>
          <w:sz w:val="24"/>
          <w:szCs w:val="24"/>
          <w:lang w:eastAsia="es-ES"/>
        </w:rPr>
      </w:pPr>
      <w:r w:rsidRPr="006A0544">
        <w:rPr>
          <w:rFonts w:cstheme="minorHAnsi"/>
          <w:sz w:val="24"/>
          <w:szCs w:val="24"/>
          <w:lang w:eastAsia="es-ES"/>
        </w:rPr>
        <w:t>En total en el periodo se concedieron 143.223 autorizaciones para trabajar en España, predominantemente en ocupaciones permanentes (servicio doméstico) o temporales (faenas agrícolas), un volumen insuficiente para hacer frente a las demandas de los empleadores cifradas en más de 300.000</w:t>
      </w:r>
      <w:r w:rsidRPr="006A0544">
        <w:rPr>
          <w:rStyle w:val="Refdenotaalpie"/>
          <w:rFonts w:eastAsia="Times New Roman" w:cstheme="minorHAnsi"/>
          <w:sz w:val="24"/>
          <w:szCs w:val="24"/>
          <w:lang w:eastAsia="es-ES"/>
        </w:rPr>
        <w:footnoteReference w:id="24"/>
      </w:r>
      <w:r w:rsidR="00324DE7">
        <w:rPr>
          <w:rFonts w:cstheme="minorHAnsi"/>
          <w:sz w:val="24"/>
          <w:szCs w:val="24"/>
          <w:lang w:eastAsia="es-ES"/>
        </w:rPr>
        <w:t xml:space="preserve">, lo que provocó que las </w:t>
      </w:r>
      <w:r w:rsidR="008E18E5">
        <w:rPr>
          <w:rFonts w:cstheme="minorHAnsi"/>
          <w:sz w:val="24"/>
          <w:szCs w:val="24"/>
          <w:lang w:eastAsia="es-ES"/>
        </w:rPr>
        <w:t xml:space="preserve">necesidades de mano </w:t>
      </w:r>
      <w:r w:rsidR="008E18E5">
        <w:rPr>
          <w:rFonts w:cstheme="minorHAnsi"/>
          <w:sz w:val="24"/>
          <w:szCs w:val="24"/>
          <w:lang w:eastAsia="es-ES"/>
        </w:rPr>
        <w:lastRenderedPageBreak/>
        <w:t>de obra se cubriesen de forma irregular y diesen lugar a n</w:t>
      </w:r>
      <w:r w:rsidR="00313E2D">
        <w:rPr>
          <w:rFonts w:cstheme="minorHAnsi"/>
          <w:sz w:val="24"/>
          <w:szCs w:val="24"/>
          <w:lang w:eastAsia="es-ES"/>
        </w:rPr>
        <w:t>u</w:t>
      </w:r>
      <w:r w:rsidR="008E18E5">
        <w:rPr>
          <w:rFonts w:cstheme="minorHAnsi"/>
          <w:sz w:val="24"/>
          <w:szCs w:val="24"/>
          <w:lang w:eastAsia="es-ES"/>
        </w:rPr>
        <w:t>evos procesos de reg</w:t>
      </w:r>
      <w:r w:rsidR="00313E2D">
        <w:rPr>
          <w:rFonts w:cstheme="minorHAnsi"/>
          <w:sz w:val="24"/>
          <w:szCs w:val="24"/>
          <w:lang w:eastAsia="es-ES"/>
        </w:rPr>
        <w:t>u</w:t>
      </w:r>
      <w:r w:rsidR="008E18E5">
        <w:rPr>
          <w:rFonts w:cstheme="minorHAnsi"/>
          <w:sz w:val="24"/>
          <w:szCs w:val="24"/>
          <w:lang w:eastAsia="es-ES"/>
        </w:rPr>
        <w:t>larización.</w:t>
      </w:r>
    </w:p>
    <w:p w14:paraId="37F3C2F8" w14:textId="16AAF466" w:rsidR="00313E2D" w:rsidRPr="00313E2D" w:rsidRDefault="00313E2D" w:rsidP="00313E2D">
      <w:pPr>
        <w:pStyle w:val="Prrafodelista"/>
        <w:numPr>
          <w:ilvl w:val="0"/>
          <w:numId w:val="3"/>
        </w:numPr>
        <w:shd w:val="clear" w:color="auto" w:fill="FFFFFF"/>
        <w:spacing w:after="0" w:line="480" w:lineRule="auto"/>
        <w:jc w:val="both"/>
        <w:rPr>
          <w:rFonts w:eastAsia="Times New Roman" w:cstheme="minorHAnsi"/>
          <w:sz w:val="24"/>
          <w:szCs w:val="24"/>
          <w:lang w:eastAsia="es-ES"/>
        </w:rPr>
      </w:pPr>
      <w:r w:rsidRPr="00313E2D">
        <w:rPr>
          <w:rFonts w:eastAsia="Times New Roman" w:cstheme="minorHAnsi"/>
          <w:sz w:val="24"/>
          <w:szCs w:val="24"/>
          <w:lang w:eastAsia="es-ES"/>
        </w:rPr>
        <w:t>Reforma de la estructura administrativa: Oficinas de Extranjería</w:t>
      </w:r>
    </w:p>
    <w:p w14:paraId="1CFCC19C" w14:textId="2697BC1D" w:rsidR="006901CA" w:rsidRPr="006A0544" w:rsidRDefault="00313E2D" w:rsidP="006901CA">
      <w:pPr>
        <w:pStyle w:val="Textoindependiente"/>
        <w:spacing w:after="0" w:line="480" w:lineRule="auto"/>
        <w:jc w:val="both"/>
        <w:rPr>
          <w:rFonts w:cstheme="minorHAnsi"/>
          <w:sz w:val="24"/>
          <w:szCs w:val="24"/>
          <w:lang w:eastAsia="es-ES"/>
        </w:rPr>
      </w:pPr>
      <w:r w:rsidRPr="006A0544">
        <w:rPr>
          <w:rFonts w:cstheme="minorHAnsi"/>
          <w:sz w:val="24"/>
          <w:szCs w:val="24"/>
          <w:lang w:eastAsia="es-ES"/>
        </w:rPr>
        <w:t>La octava de las medidas de la Proposición no de Ley estaba orientada a conseguir la reforma y modernización de la estructura administrativa. Esta posición fue aprovechada para crear en el Ministerio de Trabajo la Dirección General de Migraciones</w:t>
      </w:r>
      <w:r w:rsidRPr="006A0544">
        <w:rPr>
          <w:rStyle w:val="Refdenotaalpie"/>
          <w:rFonts w:eastAsia="Times New Roman" w:cstheme="minorHAnsi"/>
          <w:sz w:val="24"/>
          <w:szCs w:val="24"/>
          <w:lang w:eastAsia="es-ES"/>
        </w:rPr>
        <w:footnoteReference w:id="25"/>
      </w:r>
      <w:r w:rsidRPr="006A0544">
        <w:rPr>
          <w:rFonts w:cstheme="minorHAnsi"/>
          <w:sz w:val="24"/>
          <w:szCs w:val="24"/>
          <w:lang w:eastAsia="es-ES"/>
        </w:rPr>
        <w:t xml:space="preserve"> en sustitución del IEE, así como actualizar la estructura de las Direcciones Generales de Asuntos Consulares y de Política Interior, pero la principal innovación consistió, en la</w:t>
      </w:r>
      <w:r w:rsidR="006901CA" w:rsidRPr="006901CA">
        <w:rPr>
          <w:rFonts w:cstheme="minorHAnsi"/>
          <w:sz w:val="24"/>
          <w:szCs w:val="24"/>
          <w:lang w:eastAsia="es-ES"/>
        </w:rPr>
        <w:t xml:space="preserve"> </w:t>
      </w:r>
      <w:r w:rsidR="006901CA" w:rsidRPr="006A0544">
        <w:rPr>
          <w:rFonts w:cstheme="minorHAnsi"/>
          <w:sz w:val="24"/>
          <w:szCs w:val="24"/>
          <w:lang w:eastAsia="es-ES"/>
        </w:rPr>
        <w:t>creación de las Oficinas de Extranjería, dependientes orgánicamente de las Delegaciones o Subdelegaciones del Gobierno.</w:t>
      </w:r>
      <w:r w:rsidR="006901CA" w:rsidRPr="006A0544">
        <w:rPr>
          <w:rStyle w:val="Refdenotaalpie"/>
          <w:rFonts w:eastAsia="Times New Roman" w:cstheme="minorHAnsi"/>
          <w:sz w:val="24"/>
          <w:szCs w:val="24"/>
          <w:lang w:eastAsia="es-ES"/>
        </w:rPr>
        <w:footnoteReference w:id="26"/>
      </w:r>
    </w:p>
    <w:p w14:paraId="1ECE179E" w14:textId="77777777" w:rsidR="00A43DC5" w:rsidRPr="006A0544" w:rsidRDefault="00A43DC5" w:rsidP="00A43DC5">
      <w:pPr>
        <w:pStyle w:val="Textoindependiente"/>
        <w:spacing w:after="0" w:line="480" w:lineRule="auto"/>
        <w:jc w:val="both"/>
        <w:rPr>
          <w:rFonts w:cstheme="minorHAnsi"/>
          <w:sz w:val="24"/>
          <w:szCs w:val="24"/>
          <w:lang w:eastAsia="es-ES"/>
        </w:rPr>
      </w:pPr>
      <w:r w:rsidRPr="006A0544">
        <w:rPr>
          <w:rFonts w:cstheme="minorHAnsi"/>
          <w:sz w:val="24"/>
          <w:szCs w:val="24"/>
          <w:lang w:eastAsia="es-ES"/>
        </w:rPr>
        <w:t xml:space="preserve">El título de Oficinas Únicas tenía como objetivo que los procedimientos de documentación de los extranjeros se resolviesen en una única dependencia, evitando el </w:t>
      </w:r>
      <w:r>
        <w:rPr>
          <w:rFonts w:cstheme="minorHAnsi"/>
          <w:sz w:val="24"/>
          <w:szCs w:val="24"/>
          <w:lang w:eastAsia="es-ES"/>
        </w:rPr>
        <w:t>traslado</w:t>
      </w:r>
      <w:r w:rsidRPr="006A0544">
        <w:rPr>
          <w:rFonts w:cstheme="minorHAnsi"/>
          <w:sz w:val="24"/>
          <w:szCs w:val="24"/>
          <w:lang w:eastAsia="es-ES"/>
        </w:rPr>
        <w:t xml:space="preserve"> de los expedientes de un departamento a otro, para ello el personal de las oficinas de extranjeros de las Direcciones Provinciales de Trabajo se integraron en las nuevas dependencias mientras que el personal dependiente de la Comisaria General de Documentación (Interior) mantuvo el estatus de adscripción funcional.</w:t>
      </w:r>
    </w:p>
    <w:p w14:paraId="66359E1D" w14:textId="77777777" w:rsidR="00585D83" w:rsidRDefault="00A43DC5" w:rsidP="000C04A5">
      <w:pPr>
        <w:pStyle w:val="Textoindependiente"/>
        <w:spacing w:after="0" w:line="480" w:lineRule="auto"/>
        <w:jc w:val="both"/>
        <w:rPr>
          <w:rFonts w:cstheme="minorHAnsi"/>
          <w:sz w:val="24"/>
          <w:szCs w:val="24"/>
          <w:lang w:eastAsia="es-ES"/>
        </w:rPr>
      </w:pPr>
      <w:r w:rsidRPr="006A0544">
        <w:rPr>
          <w:rFonts w:cstheme="minorHAnsi"/>
          <w:sz w:val="24"/>
          <w:szCs w:val="24"/>
          <w:lang w:eastAsia="es-ES"/>
        </w:rPr>
        <w:t xml:space="preserve">La pugna por la dependencia orgánica de estas nuevas dependencias entre los Ministerios de Trabajo e Interior se saldó, como había ocurrido algunas veces en la historia, con su adscripción al Ministerio para las Administraciones Públicas. Esta decisión ha dado como resultado que los departamentos competentes por razón de la materia -Trabajo e Interior- no consideren entre sus prioridades la dotación adecuada </w:t>
      </w:r>
      <w:r w:rsidRPr="006A0544">
        <w:rPr>
          <w:rFonts w:cstheme="minorHAnsi"/>
          <w:sz w:val="24"/>
          <w:szCs w:val="24"/>
          <w:lang w:eastAsia="es-ES"/>
        </w:rPr>
        <w:lastRenderedPageBreak/>
        <w:t xml:space="preserve">de medios personales y materiales a estas dependencias y el Ministerio para las Administraciones Públicas se sienta poco concernido por una problemática ajena a sus prioridades. </w:t>
      </w:r>
    </w:p>
    <w:p w14:paraId="37F1C2EF" w14:textId="2569C84B" w:rsidR="000C04A5" w:rsidRDefault="000C04A5" w:rsidP="000C04A5">
      <w:pPr>
        <w:pStyle w:val="Textoindependiente"/>
        <w:spacing w:after="0" w:line="480" w:lineRule="auto"/>
        <w:jc w:val="both"/>
        <w:rPr>
          <w:rFonts w:cstheme="minorHAnsi"/>
          <w:sz w:val="24"/>
          <w:szCs w:val="24"/>
          <w:lang w:eastAsia="es-ES"/>
        </w:rPr>
      </w:pPr>
      <w:r w:rsidRPr="006A0544">
        <w:rPr>
          <w:rFonts w:cstheme="minorHAnsi"/>
          <w:sz w:val="24"/>
          <w:szCs w:val="24"/>
          <w:lang w:eastAsia="es-ES"/>
        </w:rPr>
        <w:t>A pesar de que los sucesivos intentos por acortar los procedimientos administrativos, la realidad es que la ampliación de supuestos y el incremento en el número de solici</w:t>
      </w:r>
      <w:r>
        <w:rPr>
          <w:rFonts w:cstheme="minorHAnsi"/>
          <w:sz w:val="24"/>
          <w:szCs w:val="24"/>
          <w:lang w:eastAsia="es-ES"/>
        </w:rPr>
        <w:t xml:space="preserve">tudes </w:t>
      </w:r>
      <w:r w:rsidRPr="006A0544">
        <w:rPr>
          <w:rFonts w:cstheme="minorHAnsi"/>
          <w:sz w:val="24"/>
          <w:szCs w:val="24"/>
          <w:lang w:eastAsia="es-ES"/>
        </w:rPr>
        <w:t>ha provocado con frecuencia situaciones cercanas al colapso en aquellas provincias en las que el número de extranjeros es más elevado.</w:t>
      </w:r>
    </w:p>
    <w:p w14:paraId="2E7B4DD0" w14:textId="25367ABD" w:rsidR="00585D83" w:rsidRDefault="00585D83" w:rsidP="00585D83">
      <w:pPr>
        <w:pStyle w:val="Textoindependiente"/>
        <w:numPr>
          <w:ilvl w:val="0"/>
          <w:numId w:val="2"/>
        </w:numPr>
        <w:spacing w:after="0" w:line="480" w:lineRule="auto"/>
        <w:jc w:val="both"/>
        <w:rPr>
          <w:rFonts w:cstheme="minorHAnsi"/>
          <w:sz w:val="24"/>
          <w:szCs w:val="24"/>
          <w:lang w:eastAsia="es-ES"/>
        </w:rPr>
      </w:pPr>
      <w:r w:rsidRPr="006A0544">
        <w:rPr>
          <w:rFonts w:cstheme="minorHAnsi"/>
          <w:sz w:val="24"/>
          <w:szCs w:val="24"/>
          <w:lang w:eastAsia="es-ES"/>
        </w:rPr>
        <w:t xml:space="preserve">POLÍTICA INMIGRATORIA DURANTE </w:t>
      </w:r>
      <w:r>
        <w:rPr>
          <w:rFonts w:cstheme="minorHAnsi"/>
          <w:sz w:val="24"/>
          <w:szCs w:val="24"/>
          <w:lang w:eastAsia="es-ES"/>
        </w:rPr>
        <w:t>LA PRIMERA DECADA DEL SIGLO XXI</w:t>
      </w:r>
    </w:p>
    <w:p w14:paraId="4B64FF4D" w14:textId="0C2E93E5" w:rsidR="00585D83" w:rsidRDefault="00585D83" w:rsidP="00585D83">
      <w:pPr>
        <w:spacing w:after="0" w:line="480" w:lineRule="auto"/>
        <w:jc w:val="both"/>
        <w:rPr>
          <w:rFonts w:cstheme="minorHAnsi"/>
          <w:sz w:val="24"/>
          <w:szCs w:val="24"/>
        </w:rPr>
      </w:pPr>
      <w:r w:rsidRPr="006A0544">
        <w:rPr>
          <w:rFonts w:cstheme="minorHAnsi"/>
          <w:sz w:val="24"/>
          <w:szCs w:val="24"/>
        </w:rPr>
        <w:t>El comienzo del siglo XXI constituye un momento clave en la política inmigratoria española. Por una parte, la LOEIS representa la culminación de la política activa de inmigración y por otro, aunque va a ser reformada de manera inmediata, se consolida como la estructura de la normativa que, a pesar de las sucesivas reformas, se va mantener hasta el momento presente.</w:t>
      </w:r>
    </w:p>
    <w:p w14:paraId="179A7D66" w14:textId="77777777" w:rsidR="00074267" w:rsidRPr="006A0544" w:rsidRDefault="00074267" w:rsidP="00074267">
      <w:pPr>
        <w:spacing w:after="0" w:line="480" w:lineRule="auto"/>
        <w:jc w:val="both"/>
        <w:rPr>
          <w:rFonts w:cstheme="minorHAnsi"/>
          <w:sz w:val="24"/>
          <w:szCs w:val="24"/>
        </w:rPr>
      </w:pPr>
      <w:r w:rsidRPr="006A0544">
        <w:rPr>
          <w:rFonts w:cstheme="minorHAnsi"/>
          <w:sz w:val="24"/>
          <w:szCs w:val="24"/>
        </w:rPr>
        <w:t>El perfil del flujo inmigratorio en España durante los veinte primeros años del siglo XXI queda perfectamente representado en la gráfica del INE sobre el número de extranjeros empadronados en España.</w:t>
      </w:r>
    </w:p>
    <w:p w14:paraId="1CC960BD" w14:textId="40A2DC1E" w:rsidR="00074267" w:rsidRDefault="00074267" w:rsidP="00074267">
      <w:pPr>
        <w:pStyle w:val="Prrafodelista"/>
        <w:spacing w:after="0" w:line="480" w:lineRule="auto"/>
        <w:ind w:left="1080" w:hanging="796"/>
        <w:jc w:val="both"/>
        <w:rPr>
          <w:rFonts w:cstheme="minorHAnsi"/>
          <w:sz w:val="24"/>
          <w:szCs w:val="24"/>
        </w:rPr>
      </w:pPr>
      <w:r>
        <w:rPr>
          <w:noProof/>
          <w:lang w:eastAsia="es-ES"/>
        </w:rPr>
        <w:drawing>
          <wp:anchor distT="0" distB="0" distL="114300" distR="114300" simplePos="0" relativeHeight="251661312" behindDoc="0" locked="0" layoutInCell="1" allowOverlap="1" wp14:anchorId="76C833A6" wp14:editId="79726A5A">
            <wp:simplePos x="0" y="0"/>
            <wp:positionH relativeFrom="margin">
              <wp:align>left</wp:align>
            </wp:positionH>
            <wp:positionV relativeFrom="paragraph">
              <wp:posOffset>315595</wp:posOffset>
            </wp:positionV>
            <wp:extent cx="5835015" cy="2371090"/>
            <wp:effectExtent l="0" t="0" r="0" b="0"/>
            <wp:wrapThrough wrapText="bothSides">
              <wp:wrapPolygon edited="0">
                <wp:start x="0" y="0"/>
                <wp:lineTo x="0" y="21345"/>
                <wp:lineTo x="21508" y="21345"/>
                <wp:lineTo x="21508" y="0"/>
                <wp:lineTo x="0" y="0"/>
              </wp:wrapPolygon>
            </wp:wrapThrough>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835015" cy="2371090"/>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sz w:val="24"/>
          <w:szCs w:val="24"/>
        </w:rPr>
        <w:t xml:space="preserve">Gráfico </w:t>
      </w:r>
      <w:r w:rsidR="002F4D48">
        <w:rPr>
          <w:rFonts w:cstheme="minorHAnsi"/>
          <w:sz w:val="24"/>
          <w:szCs w:val="24"/>
        </w:rPr>
        <w:t>IV</w:t>
      </w:r>
      <w:r>
        <w:rPr>
          <w:rFonts w:cstheme="minorHAnsi"/>
          <w:sz w:val="24"/>
          <w:szCs w:val="24"/>
        </w:rPr>
        <w:t>: Extranjeros en España 2000- 2021</w:t>
      </w:r>
    </w:p>
    <w:p w14:paraId="7490EC5A" w14:textId="77777777" w:rsidR="00074267" w:rsidRPr="006A0544" w:rsidRDefault="00074267" w:rsidP="00074267">
      <w:pPr>
        <w:pStyle w:val="Prrafodelista"/>
        <w:spacing w:after="0" w:line="480" w:lineRule="auto"/>
        <w:ind w:left="1080" w:hanging="796"/>
        <w:jc w:val="both"/>
        <w:rPr>
          <w:rFonts w:cstheme="minorHAnsi"/>
          <w:sz w:val="24"/>
          <w:szCs w:val="24"/>
        </w:rPr>
      </w:pPr>
      <w:r w:rsidRPr="006A0544">
        <w:rPr>
          <w:rFonts w:cstheme="minorHAnsi"/>
          <w:sz w:val="24"/>
          <w:szCs w:val="24"/>
        </w:rPr>
        <w:lastRenderedPageBreak/>
        <w:t xml:space="preserve">Fuente: INE. Estadísticas del Padrón Continuo. </w:t>
      </w:r>
    </w:p>
    <w:p w14:paraId="1D7A1804" w14:textId="6F91BBCA" w:rsidR="00CC02F8" w:rsidRPr="006A0544" w:rsidRDefault="00CC02F8" w:rsidP="00CC02F8">
      <w:pPr>
        <w:pStyle w:val="Textoindependienteprimerasangra2"/>
        <w:spacing w:before="240" w:after="0" w:line="480" w:lineRule="auto"/>
        <w:ind w:left="0" w:firstLine="0"/>
        <w:jc w:val="both"/>
        <w:rPr>
          <w:rFonts w:cstheme="minorHAnsi"/>
          <w:sz w:val="24"/>
          <w:szCs w:val="24"/>
        </w:rPr>
      </w:pPr>
      <w:r w:rsidRPr="006A0544">
        <w:rPr>
          <w:rFonts w:cstheme="minorHAnsi"/>
          <w:sz w:val="24"/>
          <w:szCs w:val="24"/>
        </w:rPr>
        <w:t xml:space="preserve">En este periodo parece conveniente </w:t>
      </w:r>
      <w:r>
        <w:rPr>
          <w:rFonts w:cstheme="minorHAnsi"/>
          <w:sz w:val="24"/>
          <w:szCs w:val="24"/>
        </w:rPr>
        <w:t>valorar</w:t>
      </w:r>
      <w:r w:rsidRPr="006A0544">
        <w:rPr>
          <w:rFonts w:cstheme="minorHAnsi"/>
          <w:sz w:val="24"/>
          <w:szCs w:val="24"/>
        </w:rPr>
        <w:t xml:space="preserve"> </w:t>
      </w:r>
      <w:r>
        <w:rPr>
          <w:rFonts w:cstheme="minorHAnsi"/>
          <w:sz w:val="24"/>
          <w:szCs w:val="24"/>
        </w:rPr>
        <w:t>la evolución</w:t>
      </w:r>
      <w:r w:rsidRPr="006A0544">
        <w:rPr>
          <w:rFonts w:cstheme="minorHAnsi"/>
          <w:sz w:val="24"/>
          <w:szCs w:val="24"/>
        </w:rPr>
        <w:t xml:space="preserve"> en función tanto de la situación política - cambios de Gobierno- como de la situación económica con objeto de analizar los factores concurrentes y su incidencia en los flujos.</w:t>
      </w:r>
    </w:p>
    <w:p w14:paraId="7B88F310" w14:textId="77777777" w:rsidR="00FC07B6" w:rsidRPr="006A0544" w:rsidRDefault="00FC07B6" w:rsidP="00FC07B6">
      <w:pPr>
        <w:pStyle w:val="Textoindependienteprimerasangra2"/>
        <w:spacing w:after="0" w:line="480" w:lineRule="auto"/>
        <w:ind w:left="0" w:firstLine="0"/>
        <w:jc w:val="both"/>
        <w:rPr>
          <w:rFonts w:cstheme="minorHAnsi"/>
          <w:sz w:val="24"/>
          <w:szCs w:val="24"/>
        </w:rPr>
      </w:pPr>
      <w:r>
        <w:rPr>
          <w:rFonts w:cstheme="minorHAnsi"/>
          <w:sz w:val="24"/>
          <w:szCs w:val="24"/>
        </w:rPr>
        <w:t xml:space="preserve">Hay un punto de inflexión en </w:t>
      </w:r>
      <w:r w:rsidRPr="006A0544">
        <w:rPr>
          <w:rFonts w:cstheme="minorHAnsi"/>
          <w:sz w:val="24"/>
          <w:szCs w:val="24"/>
        </w:rPr>
        <w:t>2008</w:t>
      </w:r>
      <w:r>
        <w:rPr>
          <w:rFonts w:cstheme="minorHAnsi"/>
          <w:sz w:val="24"/>
          <w:szCs w:val="24"/>
        </w:rPr>
        <w:t>, al dejarse</w:t>
      </w:r>
      <w:r w:rsidRPr="006A0544">
        <w:rPr>
          <w:rFonts w:cstheme="minorHAnsi"/>
          <w:sz w:val="24"/>
          <w:szCs w:val="24"/>
        </w:rPr>
        <w:t xml:space="preserve"> sentir en España el impacto de la crisis financiera, con un</w:t>
      </w:r>
      <w:r>
        <w:rPr>
          <w:rFonts w:cstheme="minorHAnsi"/>
          <w:sz w:val="24"/>
          <w:szCs w:val="24"/>
        </w:rPr>
        <w:t xml:space="preserve"> aplanamiento de la curva </w:t>
      </w:r>
      <w:r w:rsidRPr="006A0544">
        <w:rPr>
          <w:rFonts w:cstheme="minorHAnsi"/>
          <w:sz w:val="24"/>
          <w:szCs w:val="24"/>
        </w:rPr>
        <w:t xml:space="preserve">de extranjeros empadronados, </w:t>
      </w:r>
      <w:r>
        <w:rPr>
          <w:rFonts w:cstheme="minorHAnsi"/>
          <w:sz w:val="24"/>
          <w:szCs w:val="24"/>
        </w:rPr>
        <w:t xml:space="preserve">provocado tanto por la reducción del </w:t>
      </w:r>
      <w:r w:rsidRPr="006A0544">
        <w:rPr>
          <w:rFonts w:cstheme="minorHAnsi"/>
          <w:sz w:val="24"/>
          <w:szCs w:val="24"/>
        </w:rPr>
        <w:t>flujo de llegada</w:t>
      </w:r>
      <w:r>
        <w:rPr>
          <w:rFonts w:cstheme="minorHAnsi"/>
          <w:sz w:val="24"/>
          <w:szCs w:val="24"/>
        </w:rPr>
        <w:t xml:space="preserve">s como por el </w:t>
      </w:r>
      <w:r w:rsidRPr="006A0544">
        <w:rPr>
          <w:rFonts w:cstheme="minorHAnsi"/>
          <w:sz w:val="24"/>
          <w:szCs w:val="24"/>
        </w:rPr>
        <w:t>incremento de retorno</w:t>
      </w:r>
      <w:r>
        <w:rPr>
          <w:rFonts w:cstheme="minorHAnsi"/>
          <w:sz w:val="24"/>
          <w:szCs w:val="24"/>
        </w:rPr>
        <w:t>s</w:t>
      </w:r>
      <w:r w:rsidRPr="006A0544">
        <w:rPr>
          <w:rStyle w:val="Refdenotaalpie"/>
          <w:rFonts w:cstheme="minorHAnsi"/>
          <w:sz w:val="24"/>
          <w:szCs w:val="24"/>
        </w:rPr>
        <w:footnoteReference w:id="27"/>
      </w:r>
      <w:r w:rsidRPr="006A0544">
        <w:rPr>
          <w:rFonts w:cstheme="minorHAnsi"/>
          <w:sz w:val="24"/>
          <w:szCs w:val="24"/>
        </w:rPr>
        <w:t>. A lo largo de la segunda década las consecuencias de la “gran crisis”</w:t>
      </w:r>
      <w:r>
        <w:rPr>
          <w:rFonts w:cstheme="minorHAnsi"/>
          <w:sz w:val="24"/>
          <w:szCs w:val="24"/>
        </w:rPr>
        <w:t xml:space="preserve"> produce una inversión en el sentido de los flujos, tanto en el inmigratorio como en el migratorio, no produciéndose un repunte hasta casi el final de la década.</w:t>
      </w:r>
    </w:p>
    <w:p w14:paraId="384B51D8" w14:textId="77777777" w:rsidR="00D4626E" w:rsidRPr="006A0544" w:rsidRDefault="00D4626E" w:rsidP="00D4626E">
      <w:pPr>
        <w:pStyle w:val="Prrafodelista"/>
        <w:numPr>
          <w:ilvl w:val="0"/>
          <w:numId w:val="11"/>
        </w:numPr>
        <w:shd w:val="clear" w:color="auto" w:fill="FFFFFF"/>
        <w:spacing w:after="0" w:line="480" w:lineRule="auto"/>
        <w:jc w:val="both"/>
        <w:rPr>
          <w:rFonts w:eastAsia="Times New Roman" w:cstheme="minorHAnsi"/>
          <w:sz w:val="24"/>
          <w:szCs w:val="24"/>
          <w:lang w:eastAsia="es-ES"/>
        </w:rPr>
      </w:pPr>
      <w:r w:rsidRPr="006A0544">
        <w:rPr>
          <w:rFonts w:eastAsia="Times New Roman" w:cstheme="minorHAnsi"/>
          <w:sz w:val="24"/>
          <w:szCs w:val="24"/>
          <w:lang w:eastAsia="es-ES"/>
        </w:rPr>
        <w:t>Las sucesivas leyes de inmigración: los vaivenes normativos</w:t>
      </w:r>
    </w:p>
    <w:p w14:paraId="3C8F96D9" w14:textId="30638C6A" w:rsidR="00D4626E" w:rsidRDefault="00D4626E" w:rsidP="00D4626E">
      <w:pPr>
        <w:pStyle w:val="Textoindependiente"/>
        <w:spacing w:after="0" w:line="480" w:lineRule="auto"/>
        <w:jc w:val="both"/>
        <w:rPr>
          <w:rFonts w:cstheme="minorHAnsi"/>
          <w:sz w:val="24"/>
          <w:szCs w:val="24"/>
          <w:lang w:eastAsia="es-ES"/>
        </w:rPr>
      </w:pPr>
      <w:r w:rsidRPr="006A0544">
        <w:rPr>
          <w:rFonts w:cstheme="minorHAnsi"/>
          <w:sz w:val="24"/>
          <w:szCs w:val="24"/>
          <w:lang w:eastAsia="es-ES"/>
        </w:rPr>
        <w:t>A pesar de que pueda resultar sorprendente, la última medida de la Proposición no de Ley de 1991 fue la aprobación a comienzos de la década siguiente de una nueva Ley de Extranjería.</w:t>
      </w:r>
    </w:p>
    <w:p w14:paraId="29BAD736" w14:textId="56D0AC89" w:rsidR="00947873" w:rsidRDefault="00947873" w:rsidP="00947873">
      <w:pPr>
        <w:pStyle w:val="Textoindependiente"/>
        <w:spacing w:after="0" w:line="480" w:lineRule="auto"/>
        <w:jc w:val="both"/>
        <w:rPr>
          <w:rFonts w:cstheme="minorHAnsi"/>
          <w:sz w:val="24"/>
          <w:szCs w:val="24"/>
          <w:lang w:eastAsia="es-ES"/>
        </w:rPr>
      </w:pPr>
      <w:r w:rsidRPr="006A0544">
        <w:rPr>
          <w:rFonts w:cstheme="minorHAnsi"/>
          <w:sz w:val="24"/>
          <w:szCs w:val="24"/>
          <w:lang w:eastAsia="es-ES"/>
        </w:rPr>
        <w:t>Las numerosas y, en ocasiones, contradictorias reformas en los órganos de gestión de la inmigración</w:t>
      </w:r>
      <w:r w:rsidRPr="006A0544">
        <w:rPr>
          <w:rStyle w:val="Refdenotaalpie"/>
          <w:rFonts w:eastAsia="Times New Roman" w:cstheme="minorHAnsi"/>
          <w:sz w:val="24"/>
          <w:szCs w:val="24"/>
          <w:lang w:eastAsia="es-ES"/>
        </w:rPr>
        <w:footnoteReference w:id="28"/>
      </w:r>
      <w:r w:rsidRPr="006A0544">
        <w:rPr>
          <w:rFonts w:cstheme="minorHAnsi"/>
          <w:sz w:val="24"/>
          <w:szCs w:val="24"/>
          <w:lang w:eastAsia="es-ES"/>
        </w:rPr>
        <w:t>, junto con un incremento en el número de residentes superior al 10 por 100 anual, una respuesta insuficiente por parte de los mecanismos de regularización -contingentes y procesos extraordinarios de documentación</w:t>
      </w:r>
      <w:r>
        <w:rPr>
          <w:rFonts w:cstheme="minorHAnsi"/>
          <w:sz w:val="24"/>
          <w:szCs w:val="24"/>
          <w:lang w:eastAsia="es-ES"/>
        </w:rPr>
        <w:t>-</w:t>
      </w:r>
      <w:r w:rsidRPr="006A0544">
        <w:rPr>
          <w:rFonts w:cstheme="minorHAnsi"/>
          <w:sz w:val="24"/>
          <w:szCs w:val="24"/>
          <w:lang w:eastAsia="es-ES"/>
        </w:rPr>
        <w:t>,</w:t>
      </w:r>
      <w:r>
        <w:rPr>
          <w:rFonts w:cstheme="minorHAnsi"/>
          <w:sz w:val="24"/>
          <w:szCs w:val="24"/>
          <w:lang w:eastAsia="es-ES"/>
        </w:rPr>
        <w:t xml:space="preserve"> y</w:t>
      </w:r>
      <w:r w:rsidRPr="006A0544">
        <w:rPr>
          <w:rFonts w:cstheme="minorHAnsi"/>
          <w:sz w:val="24"/>
          <w:szCs w:val="24"/>
          <w:lang w:eastAsia="es-ES"/>
        </w:rPr>
        <w:t xml:space="preserve"> la presión de los colectivos relacionados con los inmigrantes llegó hasta los partidos políticos y </w:t>
      </w:r>
      <w:r w:rsidRPr="006A0544">
        <w:rPr>
          <w:rFonts w:cstheme="minorHAnsi"/>
          <w:sz w:val="24"/>
          <w:szCs w:val="24"/>
          <w:lang w:eastAsia="es-ES"/>
        </w:rPr>
        <w:lastRenderedPageBreak/>
        <w:t xml:space="preserve">desencadenó un proceso normativo de aprobación y reforma de la normativa  de extranjería que constituye uno de los signos característicos de la época.  </w:t>
      </w:r>
    </w:p>
    <w:p w14:paraId="4E16C504" w14:textId="77777777" w:rsidR="00F3262A" w:rsidRPr="006A0544" w:rsidRDefault="00F3262A" w:rsidP="00F3262A">
      <w:pPr>
        <w:pStyle w:val="Textoindependiente"/>
        <w:spacing w:after="0" w:line="480" w:lineRule="auto"/>
        <w:jc w:val="both"/>
        <w:rPr>
          <w:rFonts w:cstheme="minorHAnsi"/>
          <w:sz w:val="24"/>
          <w:szCs w:val="24"/>
        </w:rPr>
      </w:pPr>
      <w:bookmarkStart w:id="4" w:name="_Hlk114765121"/>
      <w:r>
        <w:rPr>
          <w:rFonts w:cstheme="minorHAnsi"/>
          <w:sz w:val="24"/>
          <w:szCs w:val="24"/>
        </w:rPr>
        <w:t>Una</w:t>
      </w:r>
      <w:r w:rsidRPr="006A0544">
        <w:rPr>
          <w:rFonts w:cstheme="minorHAnsi"/>
          <w:sz w:val="24"/>
          <w:szCs w:val="24"/>
        </w:rPr>
        <w:t xml:space="preserve"> posición favorable a modificar la Ley Orgánica 7/1985 se refleja en la una moción del Pleno del Congreso de los Diputados de octubre de 1997 y en las conclusiones del “Informe de la Comisión de Política Social y Ocupación del Congreso sobre la situación de los españoles que viven fuera y de los inmigrantes y refugiados que han llegado a España”, de junio 1998.</w:t>
      </w:r>
      <w:r w:rsidRPr="006A0544">
        <w:rPr>
          <w:rStyle w:val="Refdenotaalpie"/>
          <w:rFonts w:cstheme="minorHAnsi"/>
          <w:sz w:val="24"/>
          <w:szCs w:val="24"/>
        </w:rPr>
        <w:footnoteReference w:id="29"/>
      </w:r>
    </w:p>
    <w:p w14:paraId="5A9118F9" w14:textId="77777777" w:rsidR="00F3262A" w:rsidRPr="006A0544" w:rsidRDefault="00F3262A" w:rsidP="00F3262A">
      <w:pPr>
        <w:pStyle w:val="Textoindependiente"/>
        <w:spacing w:after="0" w:line="480" w:lineRule="auto"/>
        <w:jc w:val="both"/>
        <w:rPr>
          <w:rFonts w:cstheme="minorHAnsi"/>
          <w:sz w:val="24"/>
          <w:szCs w:val="24"/>
        </w:rPr>
      </w:pPr>
      <w:r w:rsidRPr="006A0544">
        <w:rPr>
          <w:rFonts w:cstheme="minorHAnsi"/>
          <w:sz w:val="24"/>
          <w:szCs w:val="24"/>
        </w:rPr>
        <w:t xml:space="preserve">Aunque tanto la moción como el informe fueron aprobadas por unanimidad, las diferencias se hicieron públicas con la presentación de tres proposiciones de ley distintas, un texto alternativo  y enmiendas de los restantes Grupos Parlamentarios, </w:t>
      </w:r>
      <w:r w:rsidRPr="006A0544">
        <w:rPr>
          <w:rStyle w:val="Refdenotaalpie"/>
          <w:rFonts w:cstheme="minorHAnsi"/>
          <w:sz w:val="24"/>
          <w:szCs w:val="24"/>
        </w:rPr>
        <w:footnoteReference w:id="30"/>
      </w:r>
      <w:r w:rsidRPr="006A0544">
        <w:rPr>
          <w:rFonts w:cstheme="minorHAnsi"/>
          <w:sz w:val="24"/>
          <w:szCs w:val="24"/>
        </w:rPr>
        <w:t xml:space="preserve"> sin que los intentos por conseguir aunar las distintas propuestas presentadas y alcanzar un acuerdo para aprobar una nueva Ley con el respaldo de todos los grupos políticos diesen resultado al </w:t>
      </w:r>
      <w:r>
        <w:rPr>
          <w:rFonts w:cstheme="minorHAnsi"/>
          <w:sz w:val="24"/>
          <w:szCs w:val="24"/>
        </w:rPr>
        <w:t>n</w:t>
      </w:r>
      <w:r w:rsidRPr="006A0544">
        <w:rPr>
          <w:rFonts w:cstheme="minorHAnsi"/>
          <w:sz w:val="24"/>
          <w:szCs w:val="24"/>
        </w:rPr>
        <w:t xml:space="preserve">o aceptarse las enmiendas del  Partido Popular, que respaldaba al Gobierno, lo que provocó </w:t>
      </w:r>
      <w:r>
        <w:rPr>
          <w:rFonts w:cstheme="minorHAnsi"/>
          <w:sz w:val="24"/>
          <w:szCs w:val="24"/>
        </w:rPr>
        <w:t>una</w:t>
      </w:r>
      <w:r w:rsidRPr="006A0544">
        <w:rPr>
          <w:rFonts w:cstheme="minorHAnsi"/>
          <w:sz w:val="24"/>
          <w:szCs w:val="24"/>
        </w:rPr>
        <w:t xml:space="preserve"> ruptura del consenso político básico que había caracterizado la política migratoria.</w:t>
      </w:r>
      <w:r w:rsidRPr="006A0544">
        <w:rPr>
          <w:rStyle w:val="Refdenotaalpie"/>
          <w:rFonts w:cstheme="minorHAnsi"/>
          <w:sz w:val="24"/>
          <w:szCs w:val="24"/>
        </w:rPr>
        <w:footnoteReference w:id="31"/>
      </w:r>
      <w:r w:rsidRPr="006A0544">
        <w:rPr>
          <w:rFonts w:cstheme="minorHAnsi"/>
          <w:sz w:val="24"/>
          <w:szCs w:val="24"/>
        </w:rPr>
        <w:t xml:space="preserve"> </w:t>
      </w:r>
    </w:p>
    <w:bookmarkEnd w:id="4"/>
    <w:p w14:paraId="781BD112" w14:textId="77777777" w:rsidR="00524B34" w:rsidRPr="006A0544" w:rsidRDefault="00524B34" w:rsidP="00524B34">
      <w:pPr>
        <w:pStyle w:val="Textoindependiente"/>
        <w:spacing w:after="0" w:line="480" w:lineRule="auto"/>
        <w:jc w:val="both"/>
        <w:rPr>
          <w:rFonts w:cstheme="minorHAnsi"/>
          <w:sz w:val="24"/>
          <w:szCs w:val="24"/>
        </w:rPr>
      </w:pPr>
      <w:r w:rsidRPr="006A0544">
        <w:rPr>
          <w:rFonts w:cstheme="minorHAnsi"/>
          <w:sz w:val="24"/>
          <w:szCs w:val="24"/>
        </w:rPr>
        <w:t xml:space="preserve">La Ley Orgánica 4/2000, de 11 de enero, sobre derechos y libertades de los extranjeros en España y su integración social, (LOEIS), representaba un planteamiento innovador en la materia, no sólo en nuestra normativa sino también en la comunitaria, al </w:t>
      </w:r>
      <w:r>
        <w:rPr>
          <w:rFonts w:cstheme="minorHAnsi"/>
          <w:sz w:val="24"/>
          <w:szCs w:val="24"/>
        </w:rPr>
        <w:t>incluir</w:t>
      </w:r>
      <w:r w:rsidRPr="006A0544">
        <w:rPr>
          <w:rFonts w:cstheme="minorHAnsi"/>
          <w:sz w:val="24"/>
          <w:szCs w:val="24"/>
        </w:rPr>
        <w:t xml:space="preserve"> en su </w:t>
      </w:r>
      <w:r w:rsidRPr="006A0544">
        <w:rPr>
          <w:rFonts w:cstheme="minorHAnsi"/>
          <w:sz w:val="24"/>
          <w:szCs w:val="24"/>
        </w:rPr>
        <w:lastRenderedPageBreak/>
        <w:t>planteamiento a la integración social, si bien de forma programática y sin concretar el modelo.</w:t>
      </w:r>
    </w:p>
    <w:p w14:paraId="4388E25A" w14:textId="77777777" w:rsidR="00524B34" w:rsidRPr="006A0544" w:rsidRDefault="00524B34" w:rsidP="00524B34">
      <w:pPr>
        <w:pStyle w:val="Textoindependiente"/>
        <w:spacing w:after="0" w:line="480" w:lineRule="auto"/>
        <w:jc w:val="both"/>
        <w:rPr>
          <w:rFonts w:cstheme="minorHAnsi"/>
          <w:sz w:val="24"/>
          <w:szCs w:val="24"/>
        </w:rPr>
      </w:pPr>
      <w:r w:rsidRPr="006A0544">
        <w:rPr>
          <w:rFonts w:cstheme="minorHAnsi"/>
          <w:sz w:val="24"/>
          <w:szCs w:val="24"/>
        </w:rPr>
        <w:t>La LOEIS se publicó huérfana de un preámbulo que señalase su justificación y destacase los aspectos más importantes de su contenido, reflejo de las controversias en su elaboración</w:t>
      </w:r>
      <w:r>
        <w:rPr>
          <w:rFonts w:cstheme="minorHAnsi"/>
          <w:sz w:val="24"/>
          <w:szCs w:val="24"/>
        </w:rPr>
        <w:t>.</w:t>
      </w:r>
    </w:p>
    <w:p w14:paraId="48BBACF5" w14:textId="77777777" w:rsidR="000B6543" w:rsidRPr="006A0544" w:rsidRDefault="000B6543" w:rsidP="000B6543">
      <w:pPr>
        <w:pStyle w:val="Textoindependiente"/>
        <w:spacing w:after="0" w:line="480" w:lineRule="auto"/>
        <w:jc w:val="both"/>
        <w:rPr>
          <w:rFonts w:cstheme="minorHAnsi"/>
          <w:sz w:val="24"/>
          <w:szCs w:val="24"/>
        </w:rPr>
      </w:pPr>
      <w:r w:rsidRPr="006A0544">
        <w:rPr>
          <w:rFonts w:cstheme="minorHAnsi"/>
          <w:sz w:val="24"/>
          <w:szCs w:val="24"/>
        </w:rPr>
        <w:t xml:space="preserve">Su origen parlamentario puede apreciarse en el impulso por favorecer la participación ciudadana, aunque no política, de los extranjeros empadronados, permitiendo la elección por y entre ellos de representantes con objeto de participar en los debates y decisiones municipales que les afecten. </w:t>
      </w:r>
      <w:r w:rsidRPr="006A0544">
        <w:rPr>
          <w:rStyle w:val="Refdenotaalpie"/>
          <w:rFonts w:cstheme="minorHAnsi"/>
          <w:color w:val="000000"/>
          <w:sz w:val="24"/>
          <w:szCs w:val="24"/>
        </w:rPr>
        <w:footnoteReference w:id="32"/>
      </w:r>
    </w:p>
    <w:p w14:paraId="62E70712" w14:textId="77777777" w:rsidR="000B6543" w:rsidRPr="006A0544" w:rsidRDefault="000B6543" w:rsidP="000B6543">
      <w:pPr>
        <w:pStyle w:val="Textoindependiente"/>
        <w:spacing w:after="0" w:line="480" w:lineRule="auto"/>
        <w:jc w:val="both"/>
        <w:rPr>
          <w:rFonts w:cstheme="minorHAnsi"/>
          <w:sz w:val="24"/>
          <w:szCs w:val="24"/>
        </w:rPr>
      </w:pPr>
      <w:r w:rsidRPr="006A0544">
        <w:rPr>
          <w:rFonts w:cstheme="minorHAnsi"/>
          <w:sz w:val="24"/>
          <w:szCs w:val="24"/>
        </w:rPr>
        <w:t xml:space="preserve">En el ámbito laboral se impone al Gobierno la exigencia de </w:t>
      </w:r>
      <w:r w:rsidRPr="006A0544">
        <w:rPr>
          <w:rFonts w:cstheme="minorHAnsi"/>
          <w:sz w:val="24"/>
          <w:szCs w:val="24"/>
          <w:shd w:val="clear" w:color="auto" w:fill="FFFFFF"/>
        </w:rPr>
        <w:t>establecer</w:t>
      </w:r>
      <w:r w:rsidRPr="006A0544">
        <w:rPr>
          <w:rFonts w:cstheme="minorHAnsi"/>
          <w:i/>
          <w:iCs/>
          <w:sz w:val="24"/>
          <w:szCs w:val="24"/>
          <w:shd w:val="clear" w:color="auto" w:fill="FFFFFF"/>
        </w:rPr>
        <w:t xml:space="preserve"> </w:t>
      </w:r>
      <w:r w:rsidRPr="006A0544">
        <w:rPr>
          <w:rFonts w:cstheme="minorHAnsi"/>
          <w:sz w:val="24"/>
          <w:szCs w:val="24"/>
          <w:shd w:val="clear" w:color="auto" w:fill="FFFFFF"/>
        </w:rPr>
        <w:t xml:space="preserve">un contingente anual, </w:t>
      </w:r>
      <w:r w:rsidRPr="006A0544">
        <w:rPr>
          <w:rFonts w:cstheme="minorHAnsi"/>
          <w:sz w:val="24"/>
          <w:szCs w:val="24"/>
        </w:rPr>
        <w:t>así como un régimen especial para los trabajadores de temporada. El contingente, como medida proactiva para evitar la situación de irregularidad, se compaginaba con otra actuación de carácter reactivo, consistente en regularizar a los que ya se encontrasen en España.</w:t>
      </w:r>
      <w:r w:rsidRPr="006A0544">
        <w:rPr>
          <w:rStyle w:val="Refdenotaalpie"/>
          <w:rFonts w:cstheme="minorHAnsi"/>
          <w:color w:val="000000"/>
          <w:sz w:val="24"/>
          <w:szCs w:val="24"/>
        </w:rPr>
        <w:footnoteReference w:id="33"/>
      </w:r>
    </w:p>
    <w:p w14:paraId="252F988A" w14:textId="61708E76" w:rsidR="000925F8" w:rsidRDefault="000B6543" w:rsidP="000925F8">
      <w:pPr>
        <w:pStyle w:val="Textoindependiente"/>
        <w:spacing w:after="0" w:line="480" w:lineRule="auto"/>
        <w:jc w:val="both"/>
        <w:rPr>
          <w:rFonts w:cstheme="minorHAnsi"/>
          <w:sz w:val="24"/>
          <w:szCs w:val="24"/>
        </w:rPr>
      </w:pPr>
      <w:r w:rsidRPr="006A0544">
        <w:rPr>
          <w:rFonts w:cstheme="minorHAnsi"/>
          <w:sz w:val="24"/>
          <w:szCs w:val="24"/>
        </w:rPr>
        <w:t>Aunque la Ley mandataba al Gobierno para que llevase a cabo su desarrollo reglamentario en el plazo de seis meses</w:t>
      </w:r>
      <w:r w:rsidRPr="006A0544">
        <w:rPr>
          <w:rStyle w:val="Refdenotaalpie"/>
          <w:rFonts w:cstheme="minorHAnsi"/>
          <w:color w:val="000000"/>
          <w:sz w:val="24"/>
          <w:szCs w:val="24"/>
        </w:rPr>
        <w:footnoteReference w:id="34"/>
      </w:r>
      <w:r w:rsidRPr="006A0544">
        <w:rPr>
          <w:rFonts w:cstheme="minorHAnsi"/>
          <w:sz w:val="24"/>
          <w:szCs w:val="24"/>
        </w:rPr>
        <w:t>, éste tomó la decisión de sustituir el mandato por la elaboración de una nueva Ley.</w:t>
      </w:r>
      <w:r w:rsidR="000925F8" w:rsidRPr="000925F8">
        <w:rPr>
          <w:rFonts w:cstheme="minorHAnsi"/>
          <w:sz w:val="24"/>
          <w:szCs w:val="24"/>
        </w:rPr>
        <w:t xml:space="preserve"> </w:t>
      </w:r>
      <w:r w:rsidR="000925F8" w:rsidRPr="006A0544">
        <w:rPr>
          <w:rFonts w:cstheme="minorHAnsi"/>
          <w:sz w:val="24"/>
          <w:szCs w:val="24"/>
        </w:rPr>
        <w:t>Se consideró que la LO 8/2000 más que una ley de reforma era una contrarreforma de la LO 4/2000, a pesar de mantener su estructura formal.</w:t>
      </w:r>
      <w:r w:rsidR="000925F8" w:rsidRPr="006A0544">
        <w:rPr>
          <w:rStyle w:val="Refdenotaalpie"/>
          <w:rFonts w:cstheme="minorHAnsi"/>
          <w:color w:val="000000"/>
          <w:sz w:val="24"/>
          <w:szCs w:val="24"/>
        </w:rPr>
        <w:footnoteReference w:id="35"/>
      </w:r>
      <w:r w:rsidR="000925F8" w:rsidRPr="006A0544">
        <w:rPr>
          <w:rFonts w:cstheme="minorHAnsi"/>
          <w:sz w:val="24"/>
          <w:szCs w:val="24"/>
        </w:rPr>
        <w:t xml:space="preserve"> Incluso podría calificarse como</w:t>
      </w:r>
      <w:r w:rsidR="000925F8">
        <w:rPr>
          <w:rFonts w:cstheme="minorHAnsi"/>
          <w:sz w:val="24"/>
          <w:szCs w:val="24"/>
        </w:rPr>
        <w:t xml:space="preserve"> </w:t>
      </w:r>
      <w:r w:rsidR="000925F8" w:rsidRPr="00E80623">
        <w:rPr>
          <w:rFonts w:cstheme="minorHAnsi"/>
          <w:color w:val="000000" w:themeColor="text1"/>
          <w:sz w:val="24"/>
          <w:szCs w:val="24"/>
        </w:rPr>
        <w:t>una</w:t>
      </w:r>
      <w:r w:rsidR="000925F8" w:rsidRPr="006A0544">
        <w:rPr>
          <w:rFonts w:cstheme="minorHAnsi"/>
          <w:sz w:val="24"/>
          <w:szCs w:val="24"/>
        </w:rPr>
        <w:t xml:space="preserve"> “ley de revancha”, ya que su objetivo era </w:t>
      </w:r>
      <w:r w:rsidR="000925F8" w:rsidRPr="006A0544">
        <w:rPr>
          <w:rFonts w:cstheme="minorHAnsi"/>
          <w:sz w:val="24"/>
          <w:szCs w:val="24"/>
        </w:rPr>
        <w:lastRenderedPageBreak/>
        <w:t xml:space="preserve">legalizar aquellos elementos que el Partido Popular planteó como enmiendas durante la tramitación parlamentaria de la LOEIS. </w:t>
      </w:r>
    </w:p>
    <w:p w14:paraId="2D0A4015" w14:textId="55498884" w:rsidR="00353139" w:rsidRPr="006A0544" w:rsidRDefault="00353139" w:rsidP="00353139">
      <w:pPr>
        <w:pStyle w:val="Textoindependiente"/>
        <w:spacing w:after="0" w:line="480" w:lineRule="auto"/>
        <w:jc w:val="both"/>
        <w:rPr>
          <w:rFonts w:cstheme="minorHAnsi"/>
          <w:sz w:val="24"/>
          <w:szCs w:val="24"/>
          <w:lang w:eastAsia="es-ES"/>
        </w:rPr>
      </w:pPr>
      <w:r w:rsidRPr="006A0544">
        <w:rPr>
          <w:rFonts w:cstheme="minorHAnsi"/>
          <w:sz w:val="24"/>
          <w:szCs w:val="24"/>
          <w:lang w:eastAsia="es-ES"/>
        </w:rPr>
        <w:t>La promulgación de la Ley no sólo provocó una oleada de críticas en el ámbito social, de forma que varios centenares de entidades solicitaron al Defensor del Pueblo que la recurriera por considerar contrarios a la Constituci</w:t>
      </w:r>
      <w:r>
        <w:rPr>
          <w:rFonts w:cstheme="minorHAnsi"/>
          <w:sz w:val="24"/>
          <w:szCs w:val="24"/>
          <w:lang w:eastAsia="es-ES"/>
        </w:rPr>
        <w:t>ón</w:t>
      </w:r>
      <w:r w:rsidRPr="006A0544">
        <w:rPr>
          <w:rFonts w:cstheme="minorHAnsi"/>
          <w:sz w:val="24"/>
          <w:szCs w:val="24"/>
          <w:lang w:eastAsia="es-ES"/>
        </w:rPr>
        <w:t xml:space="preserve"> determinados preceptos sino que dos Comunidades Autónomas (Andalucía y Aragón) y otros dos Parlamentos (Navarra y País Vasco) presentaron recursos ante el Tribunal Constitucional, que fueron parcialmente estimados, </w:t>
      </w:r>
      <w:r>
        <w:rPr>
          <w:rFonts w:cstheme="minorHAnsi"/>
          <w:sz w:val="24"/>
          <w:szCs w:val="24"/>
          <w:lang w:eastAsia="es-ES"/>
        </w:rPr>
        <w:t xml:space="preserve">en </w:t>
      </w:r>
      <w:r w:rsidRPr="006A0544">
        <w:rPr>
          <w:rFonts w:cstheme="minorHAnsi"/>
          <w:sz w:val="24"/>
          <w:szCs w:val="24"/>
          <w:lang w:eastAsia="es-ES"/>
        </w:rPr>
        <w:t xml:space="preserve">las sentencias </w:t>
      </w:r>
      <w:r>
        <w:rPr>
          <w:rFonts w:cstheme="minorHAnsi"/>
          <w:sz w:val="24"/>
          <w:szCs w:val="24"/>
          <w:lang w:eastAsia="es-ES"/>
        </w:rPr>
        <w:t xml:space="preserve">dictadas </w:t>
      </w:r>
      <w:r w:rsidRPr="006A0544">
        <w:rPr>
          <w:rFonts w:cstheme="minorHAnsi"/>
          <w:sz w:val="24"/>
          <w:szCs w:val="24"/>
          <w:lang w:eastAsia="es-ES"/>
        </w:rPr>
        <w:t xml:space="preserve">en noviembre de 2007.  </w:t>
      </w:r>
    </w:p>
    <w:p w14:paraId="7CEF5C28" w14:textId="328DC36D" w:rsidR="001E51D7" w:rsidRPr="006A0544" w:rsidRDefault="0082141B" w:rsidP="001E51D7">
      <w:pPr>
        <w:pStyle w:val="Textoindependiente"/>
        <w:spacing w:after="0" w:line="480" w:lineRule="auto"/>
        <w:jc w:val="both"/>
        <w:rPr>
          <w:rFonts w:cstheme="minorHAnsi"/>
          <w:sz w:val="24"/>
          <w:szCs w:val="24"/>
        </w:rPr>
      </w:pPr>
      <w:r w:rsidRPr="006A0544">
        <w:rPr>
          <w:rFonts w:cstheme="minorHAnsi"/>
          <w:sz w:val="24"/>
          <w:szCs w:val="24"/>
          <w:lang w:eastAsia="es-ES"/>
        </w:rPr>
        <w:t xml:space="preserve">La Disposición final segunda de la L.O. 8/2000 establecía un plazo de seis meses para que el Gobierno aprobase su reglamento. Y en esta ocasión, el Gobierno, casi en el plazo establecido, aprobó el Reglamento de la Ley, mediante la publicación del RD </w:t>
      </w:r>
      <w:r w:rsidRPr="006A0544">
        <w:rPr>
          <w:rFonts w:cstheme="minorHAnsi"/>
          <w:sz w:val="24"/>
          <w:szCs w:val="24"/>
        </w:rPr>
        <w:t>864/2001, de 20 de julio</w:t>
      </w:r>
      <w:r>
        <w:rPr>
          <w:rFonts w:cstheme="minorHAnsi"/>
          <w:sz w:val="24"/>
          <w:szCs w:val="24"/>
        </w:rPr>
        <w:t>.</w:t>
      </w:r>
      <w:r w:rsidR="00E016EB">
        <w:rPr>
          <w:rStyle w:val="Refdenotaalpie"/>
          <w:rFonts w:cstheme="minorHAnsi"/>
          <w:sz w:val="24"/>
          <w:szCs w:val="24"/>
        </w:rPr>
        <w:footnoteReference w:id="36"/>
      </w:r>
      <w:r w:rsidR="001E51D7" w:rsidRPr="001E51D7">
        <w:rPr>
          <w:rFonts w:cstheme="minorHAnsi"/>
          <w:sz w:val="24"/>
          <w:szCs w:val="24"/>
        </w:rPr>
        <w:t xml:space="preserve"> </w:t>
      </w:r>
      <w:r w:rsidR="001E51D7" w:rsidRPr="006A0544">
        <w:rPr>
          <w:rFonts w:cstheme="minorHAnsi"/>
          <w:sz w:val="24"/>
          <w:szCs w:val="24"/>
        </w:rPr>
        <w:t>El Reglamento persigue los objetivos de la Ley de reforma, reforzando el papel de los visados como elemento orientador de la política de inmigración, el refuerzo de los controles en fronteras y el endurecimiento del estatus jurídico de los inmigrantes en situación irregular, tanto mediante la negación de derechos como facilitando su expulsión.</w:t>
      </w:r>
    </w:p>
    <w:p w14:paraId="056E6A6A" w14:textId="77777777" w:rsidR="001E51D7" w:rsidRPr="006A0544" w:rsidRDefault="001E51D7" w:rsidP="001E51D7">
      <w:pPr>
        <w:pStyle w:val="Textoindependiente"/>
        <w:spacing w:after="0" w:line="480" w:lineRule="auto"/>
        <w:jc w:val="both"/>
        <w:rPr>
          <w:rFonts w:cstheme="minorHAnsi"/>
          <w:sz w:val="24"/>
          <w:szCs w:val="24"/>
        </w:rPr>
      </w:pPr>
      <w:r w:rsidRPr="006A0544">
        <w:rPr>
          <w:rFonts w:cstheme="minorHAnsi"/>
          <w:sz w:val="24"/>
          <w:szCs w:val="24"/>
        </w:rPr>
        <w:t>No deja de resultar sorprendente que en los momentos en que más se endurece la normativa de extranjería contra la inmigración irregular mayor sea el volumen de los flujos. Esta contradicción, que no pasa desapercibida a la opinión pública, no sólo representa una desautorización</w:t>
      </w:r>
      <w:r>
        <w:rPr>
          <w:rFonts w:cstheme="minorHAnsi"/>
          <w:sz w:val="24"/>
          <w:szCs w:val="24"/>
        </w:rPr>
        <w:t xml:space="preserve"> </w:t>
      </w:r>
      <w:r w:rsidRPr="006A0544">
        <w:rPr>
          <w:rFonts w:cstheme="minorHAnsi"/>
          <w:sz w:val="24"/>
          <w:szCs w:val="24"/>
        </w:rPr>
        <w:t>de la política de inmigración, sino que tiende a caracterizar al colectivo de inmigrantes como incumplidores de la legalidad.</w:t>
      </w:r>
    </w:p>
    <w:p w14:paraId="456A4A5F" w14:textId="09B17AB0" w:rsidR="008C4F09" w:rsidRPr="006A0544" w:rsidRDefault="008C4F09" w:rsidP="008C4F09">
      <w:pPr>
        <w:pStyle w:val="Textoindependiente"/>
        <w:spacing w:after="0" w:line="480" w:lineRule="auto"/>
        <w:jc w:val="both"/>
        <w:rPr>
          <w:rFonts w:cstheme="minorHAnsi"/>
          <w:sz w:val="24"/>
          <w:szCs w:val="24"/>
          <w:shd w:val="clear" w:color="auto" w:fill="FFFFFF"/>
        </w:rPr>
      </w:pPr>
      <w:r w:rsidRPr="006A0544">
        <w:rPr>
          <w:rFonts w:cstheme="minorHAnsi"/>
          <w:sz w:val="24"/>
          <w:szCs w:val="24"/>
          <w:shd w:val="clear" w:color="auto" w:fill="FFFFFF"/>
        </w:rPr>
        <w:lastRenderedPageBreak/>
        <w:t xml:space="preserve">La aprobación del Reglamento provocó un rechazo social no menor </w:t>
      </w:r>
      <w:r>
        <w:rPr>
          <w:rFonts w:cstheme="minorHAnsi"/>
          <w:sz w:val="24"/>
          <w:szCs w:val="24"/>
          <w:shd w:val="clear" w:color="auto" w:fill="FFFFFF"/>
        </w:rPr>
        <w:t>a</w:t>
      </w:r>
      <w:r w:rsidRPr="006A0544">
        <w:rPr>
          <w:rFonts w:cstheme="minorHAnsi"/>
          <w:sz w:val="24"/>
          <w:szCs w:val="24"/>
          <w:shd w:val="clear" w:color="auto" w:fill="FFFFFF"/>
        </w:rPr>
        <w:t>l que había originado la Ley. En este caso, fueron las organizaciones sociales</w:t>
      </w:r>
      <w:r w:rsidRPr="006A0544">
        <w:rPr>
          <w:rStyle w:val="Refdenotaalpie"/>
          <w:rFonts w:cstheme="minorHAnsi"/>
          <w:color w:val="000000"/>
          <w:sz w:val="24"/>
          <w:szCs w:val="24"/>
          <w:shd w:val="clear" w:color="auto" w:fill="FFFFFF"/>
        </w:rPr>
        <w:footnoteReference w:id="37"/>
      </w:r>
      <w:r w:rsidRPr="006A0544">
        <w:rPr>
          <w:rFonts w:cstheme="minorHAnsi"/>
          <w:sz w:val="24"/>
          <w:szCs w:val="24"/>
          <w:shd w:val="clear" w:color="auto" w:fill="FFFFFF"/>
        </w:rPr>
        <w:t xml:space="preserve"> quienes recurrieron al Tribunal Supremo diversos preceptos del Reglamento, basado principalmente en el carácter “contra legem” de los mismos.</w:t>
      </w:r>
      <w:r w:rsidR="00FD36FF">
        <w:rPr>
          <w:rStyle w:val="Refdenotaalpie"/>
          <w:rFonts w:cstheme="minorHAnsi"/>
          <w:sz w:val="24"/>
          <w:szCs w:val="24"/>
          <w:shd w:val="clear" w:color="auto" w:fill="FFFFFF"/>
        </w:rPr>
        <w:footnoteReference w:id="38"/>
      </w:r>
      <w:r w:rsidR="00210CD7">
        <w:rPr>
          <w:rFonts w:cstheme="minorHAnsi"/>
          <w:sz w:val="24"/>
          <w:szCs w:val="24"/>
          <w:shd w:val="clear" w:color="auto" w:fill="FFFFFF"/>
        </w:rPr>
        <w:t xml:space="preserve"> </w:t>
      </w:r>
    </w:p>
    <w:p w14:paraId="210458A6" w14:textId="55B9612E" w:rsidR="00210CD7" w:rsidRPr="006A0544" w:rsidRDefault="00FD36FF" w:rsidP="00210CD7">
      <w:pPr>
        <w:pStyle w:val="Textoindependiente"/>
        <w:spacing w:after="0" w:line="480" w:lineRule="auto"/>
        <w:jc w:val="both"/>
        <w:rPr>
          <w:rFonts w:cstheme="minorHAnsi"/>
          <w:sz w:val="24"/>
          <w:szCs w:val="24"/>
          <w:shd w:val="clear" w:color="auto" w:fill="FFFFFF"/>
        </w:rPr>
      </w:pPr>
      <w:r>
        <w:rPr>
          <w:rFonts w:cstheme="minorHAnsi"/>
          <w:sz w:val="24"/>
          <w:szCs w:val="24"/>
        </w:rPr>
        <w:t>Como reacción a la sentencia</w:t>
      </w:r>
      <w:r w:rsidR="00210CD7">
        <w:rPr>
          <w:rFonts w:cstheme="minorHAnsi"/>
          <w:sz w:val="24"/>
          <w:szCs w:val="24"/>
        </w:rPr>
        <w:t>, la reacción del Gobierno no</w:t>
      </w:r>
      <w:r w:rsidR="00210CD7" w:rsidRPr="00210CD7">
        <w:rPr>
          <w:rFonts w:cstheme="minorHAnsi"/>
          <w:sz w:val="24"/>
          <w:szCs w:val="24"/>
          <w:shd w:val="clear" w:color="auto" w:fill="FFFFFF"/>
        </w:rPr>
        <w:t xml:space="preserve"> </w:t>
      </w:r>
      <w:r w:rsidR="00210CD7" w:rsidRPr="006A0544">
        <w:rPr>
          <w:rFonts w:cstheme="minorHAnsi"/>
          <w:sz w:val="24"/>
          <w:szCs w:val="24"/>
          <w:shd w:val="clear" w:color="auto" w:fill="FFFFFF"/>
        </w:rPr>
        <w:t>fue rehacer el Reglamento para adecuarlo a la Ley sino hacer una nueva Ley para legalizar el Reglamento.</w:t>
      </w:r>
    </w:p>
    <w:p w14:paraId="5782E293" w14:textId="77777777" w:rsidR="00494506" w:rsidRPr="006A0544" w:rsidRDefault="00494506" w:rsidP="00494506">
      <w:pPr>
        <w:pStyle w:val="Textoindependiente"/>
        <w:spacing w:after="0" w:line="480" w:lineRule="auto"/>
        <w:jc w:val="both"/>
        <w:rPr>
          <w:rFonts w:cstheme="minorHAnsi"/>
          <w:sz w:val="24"/>
          <w:szCs w:val="24"/>
        </w:rPr>
      </w:pPr>
      <w:r w:rsidRPr="006A0544">
        <w:rPr>
          <w:rFonts w:cstheme="minorHAnsi"/>
          <w:sz w:val="24"/>
          <w:szCs w:val="24"/>
          <w:shd w:val="clear" w:color="auto" w:fill="FFFFFF"/>
        </w:rPr>
        <w:t xml:space="preserve">Esta decisión se plasma en dos normas. En primer lugar, la </w:t>
      </w:r>
      <w:bookmarkStart w:id="6" w:name="_Hlk108977664"/>
      <w:r w:rsidRPr="006A0544">
        <w:rPr>
          <w:rFonts w:cstheme="minorHAnsi"/>
          <w:sz w:val="24"/>
          <w:szCs w:val="24"/>
        </w:rPr>
        <w:t>Ley Orgánica 11/2003, de 29 de septiembre, de medidas concretas en materia de seguridad ciudadana, violencia doméstica e integración social de los extranjeros</w:t>
      </w:r>
      <w:bookmarkEnd w:id="6"/>
      <w:r w:rsidRPr="006A0544">
        <w:rPr>
          <w:rFonts w:cstheme="minorHAnsi"/>
          <w:sz w:val="24"/>
          <w:szCs w:val="24"/>
        </w:rPr>
        <w:t xml:space="preserve">, en la que se contemplan medidas para facilitar la expulsión de los inmigrantes en situación irregular que cometen delitos, estableciendo un procedimiento especialmente ágil y urgente de autorización judicial de la expulsión. </w:t>
      </w:r>
      <w:r w:rsidRPr="006A0544">
        <w:rPr>
          <w:rFonts w:cstheme="minorHAnsi"/>
          <w:sz w:val="24"/>
          <w:szCs w:val="24"/>
          <w:shd w:val="clear" w:color="auto" w:fill="FFFFFF"/>
        </w:rPr>
        <w:t xml:space="preserve">En segundo lugar, se plasmó en la Ley </w:t>
      </w:r>
      <w:r w:rsidRPr="006A0544">
        <w:rPr>
          <w:rFonts w:cstheme="minorHAnsi"/>
          <w:sz w:val="24"/>
          <w:szCs w:val="24"/>
        </w:rPr>
        <w:t>Orgánica 14/2003, de 20 de noviembre, que reforma no sólo la LOEIS y su modificación (LO 8/2000), sino la Ley de Bases del Régimen Local, la Ley de Régimen Jurídico de la Administraciones Públicas (RJPAC) y la Ley 3/1991, de Competencia Desleal, convirtiéndose en una especie de “ley ómnibus” que busca adaptar leyes orientadas a regular otras materias a la situación inmigratoria.</w:t>
      </w:r>
    </w:p>
    <w:p w14:paraId="30072E99" w14:textId="77777777" w:rsidR="00494506" w:rsidRPr="006A0544" w:rsidRDefault="00494506" w:rsidP="00494506">
      <w:pPr>
        <w:pStyle w:val="Textoindependiente"/>
        <w:spacing w:after="0" w:line="480" w:lineRule="auto"/>
        <w:jc w:val="both"/>
        <w:rPr>
          <w:rFonts w:cstheme="minorHAnsi"/>
          <w:sz w:val="24"/>
          <w:szCs w:val="24"/>
        </w:rPr>
      </w:pPr>
      <w:r w:rsidRPr="006A0544">
        <w:rPr>
          <w:rFonts w:cstheme="minorHAnsi"/>
          <w:sz w:val="24"/>
          <w:szCs w:val="24"/>
        </w:rPr>
        <w:t>La ley mantuvo el clima de división social y política, por lo que al producirse un cambio en la orientación del Gobierno en la primavera de 2004 se planteó una nueva reforma de la normativa de extranjería, aunque finalmente se optó por no reformar la Ley sino elaborar un nuevo Reglamento</w:t>
      </w:r>
      <w:r w:rsidRPr="006A0544">
        <w:rPr>
          <w:rStyle w:val="Refdenotaalpie"/>
          <w:rFonts w:cstheme="minorHAnsi"/>
          <w:color w:val="000000"/>
          <w:sz w:val="24"/>
          <w:szCs w:val="24"/>
        </w:rPr>
        <w:footnoteReference w:id="39"/>
      </w:r>
      <w:r w:rsidRPr="006A0544">
        <w:rPr>
          <w:rFonts w:cstheme="minorHAnsi"/>
          <w:sz w:val="24"/>
          <w:szCs w:val="24"/>
        </w:rPr>
        <w:t xml:space="preserve">, que, tanto por su extensión, como por el énfasis en resaltar la nueva orientación de la política inmigratoria, rescatada para el Ministerio de </w:t>
      </w:r>
      <w:r w:rsidRPr="006A0544">
        <w:rPr>
          <w:rFonts w:cstheme="minorHAnsi"/>
          <w:sz w:val="24"/>
          <w:szCs w:val="24"/>
        </w:rPr>
        <w:lastRenderedPageBreak/>
        <w:t>Trabajo a través de la creada Secretaría de Estado de Inmigración y Emigración, se atribuye el carácter de punto de partida.</w:t>
      </w:r>
    </w:p>
    <w:p w14:paraId="4EFAD95A" w14:textId="77777777" w:rsidR="00FA52D2" w:rsidRPr="006A0544" w:rsidRDefault="00FA52D2" w:rsidP="00FA52D2">
      <w:pPr>
        <w:pStyle w:val="Textoindependiente"/>
        <w:spacing w:after="0" w:line="480" w:lineRule="auto"/>
        <w:jc w:val="both"/>
        <w:rPr>
          <w:rFonts w:cstheme="minorHAnsi"/>
          <w:sz w:val="24"/>
          <w:szCs w:val="24"/>
          <w:shd w:val="clear" w:color="auto" w:fill="FFFFFF"/>
        </w:rPr>
      </w:pPr>
      <w:r w:rsidRPr="006A0544">
        <w:rPr>
          <w:rFonts w:cstheme="minorHAnsi"/>
          <w:sz w:val="24"/>
          <w:szCs w:val="24"/>
        </w:rPr>
        <w:t xml:space="preserve">El Reglamento, en línea con las últimas normas, traspone al derecho interno las Directivas europeas en la materia, en este caso la </w:t>
      </w:r>
      <w:r w:rsidRPr="006A0544">
        <w:rPr>
          <w:rFonts w:cstheme="minorHAnsi"/>
          <w:sz w:val="24"/>
          <w:szCs w:val="24"/>
          <w:shd w:val="clear" w:color="auto" w:fill="FFFFFF"/>
        </w:rPr>
        <w:t>Directiva 2003/9/CE del Consejo, de 27 de enero de 2003, marcando la pauta en lo que será a partir de este momento la principal característica de la política y normativa española en materia inmigratoria que vendrá condicionada por la normativa comunitaria y los acuerdos y decisiones de los Consejos Europeos, situación que se consolidará con el Acuerdo de Lisboa cuando se “comunitariza” la cuestión migratoria al haberse integrado en los Tratados constitutivos de la UE el “acervo Schengen”.</w:t>
      </w:r>
    </w:p>
    <w:p w14:paraId="472269D2" w14:textId="77777777" w:rsidR="00F767A0" w:rsidRPr="006A0544" w:rsidRDefault="00F767A0" w:rsidP="00F767A0">
      <w:pPr>
        <w:pStyle w:val="Textoindependiente"/>
        <w:spacing w:after="0" w:line="480" w:lineRule="auto"/>
        <w:jc w:val="both"/>
        <w:rPr>
          <w:rFonts w:cstheme="minorHAnsi"/>
          <w:color w:val="FF0000"/>
          <w:sz w:val="24"/>
          <w:szCs w:val="24"/>
        </w:rPr>
      </w:pPr>
      <w:r w:rsidRPr="006A0544">
        <w:rPr>
          <w:rFonts w:cstheme="minorHAnsi"/>
          <w:sz w:val="24"/>
          <w:szCs w:val="24"/>
        </w:rPr>
        <w:t>El punto de equilibrio legislativo, tanto en el ámbito político como en el jurídico, no se alcanza hasta la Ley 2/2009, de 11 de diciembre</w:t>
      </w:r>
      <w:r w:rsidRPr="006A0544">
        <w:rPr>
          <w:rStyle w:val="Refdenotaalpie"/>
          <w:rFonts w:cstheme="minorHAnsi"/>
          <w:sz w:val="24"/>
          <w:szCs w:val="24"/>
        </w:rPr>
        <w:footnoteReference w:id="40"/>
      </w:r>
      <w:r w:rsidRPr="006A0544">
        <w:rPr>
          <w:rFonts w:cstheme="minorHAnsi"/>
          <w:sz w:val="24"/>
          <w:szCs w:val="24"/>
        </w:rPr>
        <w:t>, resultado de incorporar a nuestro ordenamiento la doctrina jurisprudencial sobre las libertades y derechos de los extranjeros</w:t>
      </w:r>
      <w:r w:rsidRPr="006A0544">
        <w:rPr>
          <w:rFonts w:cstheme="minorHAnsi"/>
          <w:sz w:val="24"/>
          <w:szCs w:val="24"/>
          <w:shd w:val="clear" w:color="auto" w:fill="FFFFFF"/>
        </w:rPr>
        <w:t>,</w:t>
      </w:r>
      <w:r w:rsidRPr="006A0544">
        <w:rPr>
          <w:rFonts w:cstheme="minorHAnsi"/>
          <w:sz w:val="24"/>
          <w:szCs w:val="24"/>
        </w:rPr>
        <w:t xml:space="preserve"> así como las diversas directivas que conformaban la política de la Unión en materia inmigratoria</w:t>
      </w:r>
      <w:r w:rsidRPr="006A0544">
        <w:rPr>
          <w:rStyle w:val="Refdenotaalpie"/>
          <w:rFonts w:cstheme="minorHAnsi"/>
          <w:sz w:val="24"/>
          <w:szCs w:val="24"/>
        </w:rPr>
        <w:footnoteReference w:id="41"/>
      </w:r>
      <w:r w:rsidRPr="006A0544">
        <w:rPr>
          <w:rFonts w:cstheme="minorHAnsi"/>
          <w:sz w:val="24"/>
          <w:szCs w:val="24"/>
        </w:rPr>
        <w:t>.</w:t>
      </w:r>
    </w:p>
    <w:p w14:paraId="54073619" w14:textId="712CDD8D" w:rsidR="000B6543" w:rsidRDefault="00F767A0" w:rsidP="00F767A0">
      <w:pPr>
        <w:pStyle w:val="Textoindependiente"/>
        <w:spacing w:after="0" w:line="480" w:lineRule="auto"/>
        <w:jc w:val="both"/>
        <w:rPr>
          <w:rFonts w:cstheme="minorHAnsi"/>
          <w:sz w:val="24"/>
          <w:szCs w:val="24"/>
        </w:rPr>
      </w:pPr>
      <w:r w:rsidRPr="006A0544">
        <w:rPr>
          <w:rFonts w:cstheme="minorHAnsi"/>
          <w:sz w:val="24"/>
          <w:szCs w:val="24"/>
        </w:rPr>
        <w:t xml:space="preserve">La forma en que se aprobó y promulgó la LO 2/2009 mediante un artículo único de reforma la Ley 4/2000, la originaria, que da nueva redacción y numeración a artículos que habían reformados por las leyes intermedias, hace que su lectura y comprensión resulten arduas. La técnica parece haberse importado de la forma en que han sido elaborados los tratados constitutivos de la UE, aunque hubiese sido mucho más </w:t>
      </w:r>
      <w:r w:rsidRPr="006A0544">
        <w:rPr>
          <w:rFonts w:cstheme="minorHAnsi"/>
          <w:sz w:val="24"/>
          <w:szCs w:val="24"/>
        </w:rPr>
        <w:lastRenderedPageBreak/>
        <w:t>apropiado y conforme con nuestra tradición normativa, dado el consenso político existente y su vocación de pervivencia, haber procedido a elaborar un texto refundido de la norma</w:t>
      </w:r>
      <w:r w:rsidR="001C52BD">
        <w:rPr>
          <w:rFonts w:cstheme="minorHAnsi"/>
          <w:sz w:val="24"/>
          <w:szCs w:val="24"/>
        </w:rPr>
        <w:t>.</w:t>
      </w:r>
    </w:p>
    <w:p w14:paraId="65A36B27" w14:textId="77777777" w:rsidR="001C52BD" w:rsidRPr="006A0544" w:rsidRDefault="001C52BD" w:rsidP="001C52BD">
      <w:pPr>
        <w:pStyle w:val="Textoindependiente"/>
        <w:spacing w:after="0" w:line="480" w:lineRule="auto"/>
        <w:jc w:val="both"/>
        <w:rPr>
          <w:rFonts w:cstheme="minorHAnsi"/>
          <w:sz w:val="24"/>
          <w:szCs w:val="24"/>
        </w:rPr>
      </w:pPr>
      <w:r w:rsidRPr="006A0544">
        <w:rPr>
          <w:rFonts w:cstheme="minorHAnsi"/>
          <w:sz w:val="24"/>
          <w:szCs w:val="24"/>
        </w:rPr>
        <w:t>La legislación sobre extranjería ha experimentado desde la aprobación de la LO 2/2009 cinco modificaciones de mayor calado político que jurídico, salvo la regulación del derecho a la asistencia sanitaria de los extranjeros en situación irregular, restringido en 2012</w:t>
      </w:r>
      <w:r w:rsidRPr="006A0544">
        <w:rPr>
          <w:rStyle w:val="Refdenotaalpie"/>
          <w:rFonts w:cstheme="minorHAnsi"/>
          <w:color w:val="000000"/>
          <w:sz w:val="24"/>
          <w:szCs w:val="24"/>
        </w:rPr>
        <w:footnoteReference w:id="42"/>
      </w:r>
      <w:r w:rsidRPr="006A0544">
        <w:rPr>
          <w:rFonts w:cstheme="minorHAnsi"/>
          <w:sz w:val="24"/>
          <w:szCs w:val="24"/>
          <w:shd w:val="clear" w:color="auto" w:fill="FFFFFF"/>
        </w:rPr>
        <w:t xml:space="preserve">  y  revertido en 2018</w:t>
      </w:r>
      <w:r w:rsidRPr="006A0544">
        <w:rPr>
          <w:rStyle w:val="Refdenotaalpie"/>
          <w:rFonts w:cstheme="minorHAnsi"/>
          <w:color w:val="000000"/>
          <w:sz w:val="24"/>
          <w:szCs w:val="24"/>
          <w:shd w:val="clear" w:color="auto" w:fill="FFFFFF"/>
        </w:rPr>
        <w:footnoteReference w:id="43"/>
      </w:r>
      <w:r w:rsidRPr="006A0544">
        <w:rPr>
          <w:rFonts w:cstheme="minorHAnsi"/>
          <w:sz w:val="24"/>
          <w:szCs w:val="24"/>
          <w:shd w:val="clear" w:color="auto" w:fill="FFFFFF"/>
        </w:rPr>
        <w:t xml:space="preserve">, alcanzando con la reforma operada por la </w:t>
      </w:r>
      <w:r w:rsidRPr="006A0544">
        <w:rPr>
          <w:rFonts w:cstheme="minorHAnsi"/>
          <w:sz w:val="24"/>
          <w:szCs w:val="24"/>
        </w:rPr>
        <w:t>LO 10/2011 de 27 de julio, el final de un tortuoso trayecto normativo, tanto en el plano legal como reglamentario.</w:t>
      </w:r>
    </w:p>
    <w:p w14:paraId="44A27874" w14:textId="77777777" w:rsidR="00D43F3B" w:rsidRDefault="00556D59" w:rsidP="00556D59">
      <w:pPr>
        <w:pStyle w:val="Textoindependiente"/>
        <w:spacing w:after="0" w:line="480" w:lineRule="auto"/>
        <w:jc w:val="both"/>
        <w:rPr>
          <w:rFonts w:cstheme="minorHAnsi"/>
          <w:sz w:val="24"/>
          <w:szCs w:val="24"/>
        </w:rPr>
      </w:pPr>
      <w:r w:rsidRPr="006A0544">
        <w:rPr>
          <w:rFonts w:cstheme="minorHAnsi"/>
          <w:sz w:val="24"/>
          <w:szCs w:val="24"/>
          <w:shd w:val="clear" w:color="auto" w:fill="FFFFFF"/>
        </w:rPr>
        <w:t xml:space="preserve">La Disposición final tercera de la LO 2/2009, contenía una habilitación general para su aplicación y desarrollo. A su amparo se publicó el </w:t>
      </w:r>
      <w:r w:rsidRPr="006A0544">
        <w:rPr>
          <w:rFonts w:cstheme="minorHAnsi"/>
          <w:sz w:val="24"/>
          <w:szCs w:val="24"/>
        </w:rPr>
        <w:t>RD 557/2011, de 20 de abril</w:t>
      </w:r>
      <w:r w:rsidR="00FB1D39">
        <w:rPr>
          <w:rStyle w:val="Refdenotaalpie"/>
          <w:rFonts w:cstheme="minorHAnsi"/>
          <w:sz w:val="24"/>
          <w:szCs w:val="24"/>
        </w:rPr>
        <w:footnoteReference w:id="44"/>
      </w:r>
      <w:r w:rsidRPr="006A0544">
        <w:rPr>
          <w:rFonts w:cstheme="minorHAnsi"/>
          <w:sz w:val="24"/>
          <w:szCs w:val="24"/>
        </w:rPr>
        <w:t xml:space="preserve">, </w:t>
      </w:r>
      <w:r w:rsidR="00FB1D39" w:rsidRPr="006A0544">
        <w:rPr>
          <w:rFonts w:cstheme="minorHAnsi"/>
          <w:sz w:val="24"/>
          <w:szCs w:val="24"/>
        </w:rPr>
        <w:t>que aprueba</w:t>
      </w:r>
      <w:r w:rsidRPr="006A0544">
        <w:rPr>
          <w:rFonts w:cstheme="minorHAnsi"/>
          <w:sz w:val="24"/>
          <w:szCs w:val="24"/>
        </w:rPr>
        <w:t xml:space="preserve"> </w:t>
      </w:r>
      <w:r w:rsidRPr="00E80623">
        <w:rPr>
          <w:rFonts w:cstheme="minorHAnsi"/>
          <w:color w:val="000000" w:themeColor="text1"/>
          <w:sz w:val="24"/>
          <w:szCs w:val="24"/>
        </w:rPr>
        <w:t>su Reglamento</w:t>
      </w:r>
      <w:r w:rsidR="00AB7A79">
        <w:rPr>
          <w:rFonts w:cstheme="minorHAnsi"/>
          <w:sz w:val="24"/>
          <w:szCs w:val="24"/>
        </w:rPr>
        <w:t>,</w:t>
      </w:r>
      <w:r w:rsidR="004F39E4">
        <w:rPr>
          <w:rFonts w:cstheme="minorHAnsi"/>
          <w:sz w:val="24"/>
          <w:szCs w:val="24"/>
        </w:rPr>
        <w:t xml:space="preserve"> y que </w:t>
      </w:r>
      <w:r w:rsidRPr="006A0544">
        <w:rPr>
          <w:rFonts w:cstheme="minorHAnsi"/>
          <w:sz w:val="24"/>
          <w:szCs w:val="24"/>
        </w:rPr>
        <w:t>apenas si ha sido objeto de modificaciones</w:t>
      </w:r>
      <w:r w:rsidR="00204B59">
        <w:rPr>
          <w:rFonts w:cstheme="minorHAnsi"/>
          <w:sz w:val="24"/>
          <w:szCs w:val="24"/>
        </w:rPr>
        <w:t xml:space="preserve"> sustanciales</w:t>
      </w:r>
      <w:r w:rsidRPr="006A0544">
        <w:rPr>
          <w:rFonts w:cstheme="minorHAnsi"/>
          <w:sz w:val="24"/>
          <w:szCs w:val="24"/>
        </w:rPr>
        <w:t xml:space="preserve">, salvo las derivadas de dos sentencias del Tribunal Supremo de 12 de marzo y 11 de junio de 2013, las </w:t>
      </w:r>
      <w:r w:rsidRPr="00E80623">
        <w:rPr>
          <w:rFonts w:cstheme="minorHAnsi"/>
          <w:color w:val="000000" w:themeColor="text1"/>
          <w:sz w:val="24"/>
          <w:szCs w:val="24"/>
        </w:rPr>
        <w:t xml:space="preserve">inducidas por </w:t>
      </w:r>
      <w:r w:rsidRPr="006A0544">
        <w:rPr>
          <w:rFonts w:cstheme="minorHAnsi"/>
          <w:sz w:val="24"/>
          <w:szCs w:val="24"/>
        </w:rPr>
        <w:t>su adaptación a la normativa comunitaria, y las producidas recientemente por los RR.DD 903/2021, de 9 de octubre y 629/2022, de 26 de julio, siendo este último objeto de</w:t>
      </w:r>
      <w:r>
        <w:rPr>
          <w:rFonts w:cstheme="minorHAnsi"/>
          <w:sz w:val="24"/>
          <w:szCs w:val="24"/>
        </w:rPr>
        <w:t xml:space="preserve"> especial</w:t>
      </w:r>
      <w:r w:rsidRPr="006A0544">
        <w:rPr>
          <w:rFonts w:cstheme="minorHAnsi"/>
          <w:sz w:val="24"/>
          <w:szCs w:val="24"/>
        </w:rPr>
        <w:t xml:space="preserve"> análisis </w:t>
      </w:r>
      <w:r w:rsidR="00204B59">
        <w:rPr>
          <w:rFonts w:cstheme="minorHAnsi"/>
          <w:sz w:val="24"/>
          <w:szCs w:val="24"/>
        </w:rPr>
        <w:t>más adelante</w:t>
      </w:r>
    </w:p>
    <w:p w14:paraId="27F3E537" w14:textId="71B3033B" w:rsidR="00D43F3B" w:rsidRPr="009D248C" w:rsidRDefault="00D43F3B" w:rsidP="009D248C">
      <w:pPr>
        <w:pStyle w:val="Prrafodelista"/>
        <w:numPr>
          <w:ilvl w:val="0"/>
          <w:numId w:val="11"/>
        </w:numPr>
        <w:shd w:val="clear" w:color="auto" w:fill="FFFFFF"/>
        <w:spacing w:before="120" w:after="0" w:line="480" w:lineRule="auto"/>
        <w:jc w:val="both"/>
        <w:rPr>
          <w:rFonts w:cstheme="minorHAnsi"/>
          <w:color w:val="000000"/>
          <w:sz w:val="24"/>
          <w:szCs w:val="24"/>
        </w:rPr>
      </w:pPr>
      <w:r w:rsidRPr="009D248C">
        <w:rPr>
          <w:rFonts w:cstheme="minorHAnsi"/>
          <w:color w:val="000000"/>
          <w:sz w:val="24"/>
          <w:szCs w:val="24"/>
        </w:rPr>
        <w:t>Variaciones de la estructura administrativa</w:t>
      </w:r>
    </w:p>
    <w:p w14:paraId="5A4E6ECD" w14:textId="6A9BE722" w:rsidR="00D43F3B" w:rsidRPr="006A0544" w:rsidRDefault="00D43F3B" w:rsidP="00D43F3B">
      <w:pPr>
        <w:pStyle w:val="Textoindependiente"/>
        <w:spacing w:after="0" w:line="480" w:lineRule="auto"/>
        <w:jc w:val="both"/>
        <w:rPr>
          <w:rFonts w:cstheme="minorHAnsi"/>
          <w:sz w:val="24"/>
          <w:szCs w:val="24"/>
        </w:rPr>
      </w:pPr>
      <w:r w:rsidRPr="006A0544">
        <w:rPr>
          <w:rFonts w:cstheme="minorHAnsi"/>
          <w:sz w:val="24"/>
          <w:szCs w:val="24"/>
        </w:rPr>
        <w:t>De forma paralela a la orientación de las leyes de extranjería, la estructura administrativa experimenta una</w:t>
      </w:r>
      <w:r>
        <w:rPr>
          <w:rFonts w:cstheme="minorHAnsi"/>
          <w:sz w:val="24"/>
          <w:szCs w:val="24"/>
        </w:rPr>
        <w:t xml:space="preserve"> importante</w:t>
      </w:r>
      <w:r w:rsidRPr="006A0544">
        <w:rPr>
          <w:rFonts w:cstheme="minorHAnsi"/>
          <w:sz w:val="24"/>
          <w:szCs w:val="24"/>
        </w:rPr>
        <w:t xml:space="preserve"> evolución</w:t>
      </w:r>
      <w:r>
        <w:rPr>
          <w:rFonts w:cstheme="minorHAnsi"/>
          <w:sz w:val="24"/>
          <w:szCs w:val="24"/>
        </w:rPr>
        <w:t>.</w:t>
      </w:r>
      <w:r w:rsidRPr="006A0544">
        <w:rPr>
          <w:rFonts w:cstheme="minorHAnsi"/>
          <w:sz w:val="24"/>
          <w:szCs w:val="24"/>
        </w:rPr>
        <w:t xml:space="preserve"> La supresión de la Dirección General de Migraciones en 199</w:t>
      </w:r>
      <w:r>
        <w:rPr>
          <w:rFonts w:cstheme="minorHAnsi"/>
          <w:sz w:val="24"/>
          <w:szCs w:val="24"/>
        </w:rPr>
        <w:t>6</w:t>
      </w:r>
      <w:r w:rsidRPr="006A0544">
        <w:rPr>
          <w:rFonts w:cstheme="minorHAnsi"/>
          <w:sz w:val="24"/>
          <w:szCs w:val="24"/>
        </w:rPr>
        <w:t xml:space="preserve">, y su integración en la Dirección General de Trabajo, </w:t>
      </w:r>
      <w:r w:rsidRPr="006A0544">
        <w:rPr>
          <w:rFonts w:cstheme="minorHAnsi"/>
          <w:sz w:val="24"/>
          <w:szCs w:val="24"/>
        </w:rPr>
        <w:lastRenderedPageBreak/>
        <w:t xml:space="preserve">situación que guarda paralelismo con la </w:t>
      </w:r>
      <w:r>
        <w:rPr>
          <w:rFonts w:cstheme="minorHAnsi"/>
          <w:sz w:val="24"/>
          <w:szCs w:val="24"/>
        </w:rPr>
        <w:t>producida en 1942</w:t>
      </w:r>
      <w:r>
        <w:rPr>
          <w:rStyle w:val="Refdenotaalpie"/>
          <w:rFonts w:cstheme="minorHAnsi"/>
          <w:sz w:val="24"/>
          <w:szCs w:val="24"/>
        </w:rPr>
        <w:footnoteReference w:id="45"/>
      </w:r>
      <w:r w:rsidRPr="006A0544">
        <w:rPr>
          <w:rFonts w:cstheme="minorHAnsi"/>
          <w:sz w:val="24"/>
          <w:szCs w:val="24"/>
        </w:rPr>
        <w:t>, hace que, cuando es recreada bajo la denominación de Dirección General de Ordenación de las Migraciones, haya perdido su iniciativa y capacidad de influencia tanto ante los órganos superiores -Secretaría General de Empleo- y de gestión, como el INEM, del Ministerio de Trabajo.</w:t>
      </w:r>
    </w:p>
    <w:p w14:paraId="3F454813" w14:textId="677391D3" w:rsidR="009D248C" w:rsidRPr="006A0544" w:rsidRDefault="00556D59" w:rsidP="009D248C">
      <w:pPr>
        <w:pStyle w:val="Textoindependiente"/>
        <w:spacing w:after="0" w:line="480" w:lineRule="auto"/>
        <w:jc w:val="both"/>
        <w:rPr>
          <w:rFonts w:cstheme="minorHAnsi"/>
          <w:sz w:val="24"/>
          <w:szCs w:val="24"/>
        </w:rPr>
      </w:pPr>
      <w:r w:rsidRPr="006A0544">
        <w:rPr>
          <w:rFonts w:cstheme="minorHAnsi"/>
          <w:sz w:val="24"/>
          <w:szCs w:val="24"/>
        </w:rPr>
        <w:t>.</w:t>
      </w:r>
      <w:r w:rsidR="009D248C" w:rsidRPr="009D248C">
        <w:rPr>
          <w:rFonts w:cstheme="minorHAnsi"/>
          <w:sz w:val="24"/>
          <w:szCs w:val="24"/>
        </w:rPr>
        <w:t xml:space="preserve"> </w:t>
      </w:r>
      <w:r w:rsidR="009D248C" w:rsidRPr="006A0544">
        <w:rPr>
          <w:rFonts w:cstheme="minorHAnsi"/>
          <w:sz w:val="24"/>
          <w:szCs w:val="24"/>
        </w:rPr>
        <w:t xml:space="preserve">Por otra parte, en el Decreto de creación de la Dirección General de Ordenación de las Migraciones se limita su actuación al </w:t>
      </w:r>
      <w:r w:rsidR="009D248C" w:rsidRPr="006A0544">
        <w:rPr>
          <w:rFonts w:cstheme="minorHAnsi"/>
          <w:i/>
          <w:iCs/>
          <w:sz w:val="24"/>
          <w:szCs w:val="24"/>
        </w:rPr>
        <w:t>“marco de las competencias del Ministerio de Trabajo y Asuntos Sociales</w:t>
      </w:r>
      <w:r w:rsidR="009D248C" w:rsidRPr="006A0544">
        <w:rPr>
          <w:rFonts w:cstheme="minorHAnsi"/>
          <w:sz w:val="24"/>
          <w:szCs w:val="24"/>
        </w:rPr>
        <w:t>”</w:t>
      </w:r>
      <w:r w:rsidR="009D248C" w:rsidRPr="006A0544">
        <w:rPr>
          <w:rStyle w:val="Refdenotaalpie"/>
          <w:rFonts w:cstheme="minorHAnsi"/>
          <w:sz w:val="24"/>
          <w:szCs w:val="24"/>
        </w:rPr>
        <w:footnoteReference w:id="46"/>
      </w:r>
      <w:r w:rsidR="009D248C" w:rsidRPr="006A0544">
        <w:rPr>
          <w:rFonts w:cstheme="minorHAnsi"/>
          <w:sz w:val="24"/>
          <w:szCs w:val="24"/>
        </w:rPr>
        <w:t>, que debe ser interpretado como la cesión del protagonismo en materia de extranjería al Ministerio del Interior, cuyo papel se ve robustecido por su participación en los Grupos de Schengen.</w:t>
      </w:r>
    </w:p>
    <w:p w14:paraId="5FEAC995" w14:textId="77777777" w:rsidR="009D248C" w:rsidRPr="006A0544" w:rsidRDefault="009D248C" w:rsidP="009D248C">
      <w:pPr>
        <w:pStyle w:val="Sinespaciado"/>
        <w:spacing w:line="480" w:lineRule="auto"/>
        <w:jc w:val="both"/>
        <w:rPr>
          <w:rFonts w:cstheme="minorHAnsi"/>
          <w:i/>
          <w:iCs/>
          <w:color w:val="000000"/>
          <w:sz w:val="24"/>
          <w:szCs w:val="24"/>
        </w:rPr>
      </w:pPr>
      <w:r w:rsidRPr="006A0544">
        <w:rPr>
          <w:rFonts w:cstheme="minorHAnsi"/>
          <w:sz w:val="24"/>
          <w:szCs w:val="24"/>
        </w:rPr>
        <w:t xml:space="preserve">Esta posición de predominio del Ministerio del Interior cristaliza en la creación de la Delegación del Gobierno para la Extranjería </w:t>
      </w:r>
      <w:r w:rsidRPr="00E80623">
        <w:rPr>
          <w:rFonts w:cstheme="minorHAnsi"/>
          <w:color w:val="000000" w:themeColor="text1"/>
          <w:sz w:val="24"/>
          <w:szCs w:val="24"/>
        </w:rPr>
        <w:t xml:space="preserve">y la </w:t>
      </w:r>
      <w:r w:rsidRPr="006A0544">
        <w:rPr>
          <w:rFonts w:cstheme="minorHAnsi"/>
          <w:sz w:val="24"/>
          <w:szCs w:val="24"/>
        </w:rPr>
        <w:t>Inmigración</w:t>
      </w:r>
      <w:r w:rsidRPr="006A0544">
        <w:rPr>
          <w:rStyle w:val="Refdenotaalpie"/>
          <w:rFonts w:cstheme="minorHAnsi"/>
          <w:sz w:val="24"/>
          <w:szCs w:val="24"/>
        </w:rPr>
        <w:footnoteReference w:id="47"/>
      </w:r>
      <w:r w:rsidRPr="006A0544">
        <w:rPr>
          <w:rFonts w:cstheme="minorHAnsi"/>
          <w:sz w:val="24"/>
          <w:szCs w:val="24"/>
        </w:rPr>
        <w:t xml:space="preserve"> en mayo del año 2000.   A su titular, con rango de secretario de Estado y dependencia directa del ministro -dos viejas y recurrentes reivindicaciones mantenidas en los ámbitos de los Ministerios de Trabajo e Interior- le corresponde “</w:t>
      </w:r>
      <w:r w:rsidRPr="006A0544">
        <w:rPr>
          <w:rFonts w:cstheme="minorHAnsi"/>
          <w:i/>
          <w:iCs/>
          <w:color w:val="000000"/>
          <w:sz w:val="24"/>
          <w:szCs w:val="24"/>
        </w:rPr>
        <w:t>formular la política del Gobierno en relación con la extranjería, la inmigración y el derecho de asilo, así como coordinar e impulsar todas las actuaciones que se realicen en dicha materia”</w:t>
      </w:r>
      <w:r w:rsidRPr="006A0544">
        <w:rPr>
          <w:rStyle w:val="Refdenotaalpie"/>
          <w:rFonts w:cstheme="minorHAnsi"/>
          <w:color w:val="000000"/>
          <w:sz w:val="24"/>
          <w:szCs w:val="24"/>
        </w:rPr>
        <w:footnoteReference w:id="48"/>
      </w:r>
      <w:r w:rsidRPr="006A0544">
        <w:rPr>
          <w:rFonts w:cstheme="minorHAnsi"/>
          <w:i/>
          <w:iCs/>
          <w:color w:val="000000"/>
          <w:sz w:val="24"/>
          <w:szCs w:val="24"/>
        </w:rPr>
        <w:t>.</w:t>
      </w:r>
    </w:p>
    <w:p w14:paraId="2578B790" w14:textId="77777777" w:rsidR="00816413" w:rsidRPr="00754179" w:rsidRDefault="00816413" w:rsidP="00816413">
      <w:pPr>
        <w:pStyle w:val="Textoindependiente"/>
        <w:spacing w:after="0" w:line="480" w:lineRule="auto"/>
        <w:jc w:val="both"/>
        <w:rPr>
          <w:rFonts w:cstheme="minorHAnsi"/>
          <w:strike/>
          <w:sz w:val="24"/>
          <w:szCs w:val="24"/>
          <w:lang w:eastAsia="es-ES"/>
        </w:rPr>
      </w:pPr>
      <w:r w:rsidRPr="006A0544">
        <w:rPr>
          <w:rFonts w:cstheme="minorHAnsi"/>
          <w:sz w:val="24"/>
          <w:szCs w:val="24"/>
          <w:lang w:eastAsia="es-ES"/>
        </w:rPr>
        <w:t xml:space="preserve">El cambio de orientación política, que se produce como consecuencia de las elecciones de 2004, hace que desde la primera norma que regula la estructura administrativa básica </w:t>
      </w:r>
      <w:r w:rsidRPr="006A0544">
        <w:rPr>
          <w:rFonts w:cstheme="minorHAnsi"/>
          <w:sz w:val="24"/>
          <w:szCs w:val="24"/>
          <w:lang w:eastAsia="es-ES"/>
        </w:rPr>
        <w:lastRenderedPageBreak/>
        <w:t>de los departamentos ministeriales la dirección de la política migratoria se residencie en el Ministerio de Trabajo y Asuntos Sociales</w:t>
      </w:r>
      <w:r w:rsidRPr="006A0544">
        <w:rPr>
          <w:rStyle w:val="Refdenotaalpie"/>
          <w:rFonts w:eastAsia="Times New Roman" w:cstheme="minorHAnsi"/>
          <w:color w:val="000000"/>
          <w:sz w:val="24"/>
          <w:szCs w:val="24"/>
          <w:lang w:eastAsia="es-ES"/>
        </w:rPr>
        <w:footnoteReference w:id="49"/>
      </w:r>
      <w:r>
        <w:rPr>
          <w:rFonts w:cstheme="minorHAnsi"/>
          <w:sz w:val="24"/>
          <w:szCs w:val="24"/>
          <w:lang w:eastAsia="es-ES"/>
        </w:rPr>
        <w:t xml:space="preserve">. </w:t>
      </w:r>
    </w:p>
    <w:p w14:paraId="2326CCFB" w14:textId="77777777" w:rsidR="00816413" w:rsidRPr="006A0544" w:rsidRDefault="00816413" w:rsidP="00816413">
      <w:pPr>
        <w:pStyle w:val="Textoindependiente"/>
        <w:spacing w:after="0" w:line="480" w:lineRule="auto"/>
        <w:jc w:val="both"/>
        <w:rPr>
          <w:rFonts w:cstheme="minorHAnsi"/>
          <w:sz w:val="24"/>
          <w:szCs w:val="24"/>
        </w:rPr>
      </w:pPr>
      <w:r w:rsidRPr="006A0544">
        <w:rPr>
          <w:rFonts w:cstheme="minorHAnsi"/>
          <w:sz w:val="24"/>
          <w:szCs w:val="24"/>
        </w:rPr>
        <w:t>En su articulado no sólo se suprimen la Delegación del Gobierno para la Extranjería e Inmigración y la Dirección General de ella dependiente, sino que sus competencias se atribuyen a la nueva Secretaría de Estado de Inmigración y Emigración, de la que dependen todas las Direcciones Generales competentes en la materia, con independencia de que se hallasen en el Ministerio de Trabajo o en el de Interior.</w:t>
      </w:r>
      <w:r w:rsidRPr="006A0544">
        <w:rPr>
          <w:rStyle w:val="Refdenotaalpie"/>
          <w:rFonts w:cstheme="minorHAnsi"/>
          <w:color w:val="000000"/>
          <w:sz w:val="24"/>
          <w:szCs w:val="24"/>
        </w:rPr>
        <w:footnoteReference w:id="50"/>
      </w:r>
    </w:p>
    <w:p w14:paraId="22927F78" w14:textId="77777777" w:rsidR="00816413" w:rsidRPr="00E80623" w:rsidRDefault="00816413" w:rsidP="00816413">
      <w:pPr>
        <w:pStyle w:val="Textoindependiente"/>
        <w:spacing w:after="0" w:line="480" w:lineRule="auto"/>
        <w:jc w:val="both"/>
        <w:rPr>
          <w:rFonts w:cstheme="minorHAnsi"/>
          <w:color w:val="000000" w:themeColor="text1"/>
          <w:sz w:val="24"/>
          <w:szCs w:val="24"/>
          <w:lang w:eastAsia="es-ES"/>
        </w:rPr>
      </w:pPr>
      <w:r w:rsidRPr="006A0544">
        <w:rPr>
          <w:rFonts w:cstheme="minorHAnsi"/>
          <w:sz w:val="24"/>
          <w:szCs w:val="24"/>
          <w:lang w:eastAsia="es-ES"/>
        </w:rPr>
        <w:t>La creación de un órgano de nivel superior al de Dirección General, el ejercicio de cuyas competencias provocaba frecuentes discrepancias con órganos análogos en los Ministerios de Asuntos Exteriores e Interior, ubicado en el Ministerio de Trabajo, con la misión de “</w:t>
      </w:r>
      <w:r w:rsidRPr="006A0544">
        <w:rPr>
          <w:rFonts w:cstheme="minorHAnsi"/>
          <w:i/>
          <w:iCs/>
          <w:sz w:val="24"/>
          <w:szCs w:val="24"/>
          <w:lang w:eastAsia="es-ES"/>
        </w:rPr>
        <w:t>desarrollar la política del Gobierno en materia de extranjería e inmigración</w:t>
      </w:r>
      <w:r w:rsidRPr="006A0544">
        <w:rPr>
          <w:rFonts w:cstheme="minorHAnsi"/>
          <w:sz w:val="24"/>
          <w:szCs w:val="24"/>
          <w:lang w:eastAsia="es-ES"/>
        </w:rPr>
        <w:t>”</w:t>
      </w:r>
      <w:r w:rsidRPr="006A0544">
        <w:rPr>
          <w:rStyle w:val="Refdenotaalpie"/>
          <w:rFonts w:eastAsia="Times New Roman" w:cstheme="minorHAnsi"/>
          <w:color w:val="000000"/>
          <w:sz w:val="24"/>
          <w:szCs w:val="24"/>
          <w:lang w:eastAsia="es-ES"/>
        </w:rPr>
        <w:footnoteReference w:id="51"/>
      </w:r>
      <w:r w:rsidRPr="006A0544">
        <w:rPr>
          <w:rFonts w:cstheme="minorHAnsi"/>
          <w:sz w:val="24"/>
          <w:szCs w:val="24"/>
          <w:lang w:eastAsia="es-ES"/>
        </w:rPr>
        <w:t xml:space="preserve"> significaba alcanzar un objetivo perseguido </w:t>
      </w:r>
      <w:r w:rsidRPr="00E80623">
        <w:rPr>
          <w:rFonts w:cstheme="minorHAnsi"/>
          <w:color w:val="000000" w:themeColor="text1"/>
          <w:sz w:val="24"/>
          <w:szCs w:val="24"/>
          <w:lang w:eastAsia="es-ES"/>
        </w:rPr>
        <w:t>desde 1995 y que se vio frustrada por el cambio de Gobierno de 1996.</w:t>
      </w:r>
    </w:p>
    <w:p w14:paraId="7E2CB9E4" w14:textId="77777777" w:rsidR="008C729C" w:rsidRPr="006A0544" w:rsidRDefault="008C729C" w:rsidP="008C729C">
      <w:pPr>
        <w:pStyle w:val="Textoindependiente"/>
        <w:spacing w:after="0" w:line="480" w:lineRule="auto"/>
        <w:jc w:val="both"/>
        <w:rPr>
          <w:rFonts w:cstheme="minorHAnsi"/>
          <w:sz w:val="24"/>
          <w:szCs w:val="24"/>
          <w:shd w:val="clear" w:color="auto" w:fill="FFFFFF"/>
        </w:rPr>
      </w:pPr>
      <w:r w:rsidRPr="006A0544">
        <w:rPr>
          <w:rFonts w:eastAsia="Times New Roman" w:cstheme="minorHAnsi"/>
          <w:sz w:val="24"/>
          <w:szCs w:val="24"/>
          <w:lang w:eastAsia="es-ES"/>
        </w:rPr>
        <w:t>Esta situación volvió a modificarse en el</w:t>
      </w:r>
      <w:r w:rsidRPr="006A0544">
        <w:rPr>
          <w:rFonts w:cstheme="minorHAnsi"/>
          <w:sz w:val="24"/>
          <w:szCs w:val="24"/>
          <w:shd w:val="clear" w:color="auto" w:fill="FFFFFF"/>
        </w:rPr>
        <w:t xml:space="preserve"> siguiente cambio de orientación política en 2011. Las razones, como es habitual, fueron las de “austeridad y eficacia en la acción”,</w:t>
      </w:r>
      <w:r w:rsidRPr="006A0544">
        <w:rPr>
          <w:rStyle w:val="Refdenotaalpie"/>
          <w:rFonts w:cstheme="minorHAnsi"/>
          <w:color w:val="000000"/>
          <w:sz w:val="24"/>
          <w:szCs w:val="24"/>
          <w:shd w:val="clear" w:color="auto" w:fill="FFFFFF"/>
        </w:rPr>
        <w:footnoteReference w:id="52"/>
      </w:r>
      <w:r w:rsidRPr="006A0544">
        <w:rPr>
          <w:rFonts w:cstheme="minorHAnsi"/>
          <w:sz w:val="24"/>
          <w:szCs w:val="24"/>
          <w:shd w:val="clear" w:color="auto" w:fill="FFFFFF"/>
        </w:rPr>
        <w:t xml:space="preserve"> llevaron a rebajar su nivel, pasando del estatus político, como órgano superior del Gobierno, al administrativo, al convertirla en Secretaría General.</w:t>
      </w:r>
    </w:p>
    <w:p w14:paraId="14E44D14" w14:textId="77777777" w:rsidR="008C729C" w:rsidRPr="006A0544" w:rsidRDefault="008C729C" w:rsidP="008C729C">
      <w:pPr>
        <w:pStyle w:val="Textoindependiente"/>
        <w:spacing w:after="0" w:line="480" w:lineRule="auto"/>
        <w:jc w:val="both"/>
        <w:rPr>
          <w:rFonts w:cstheme="minorHAnsi"/>
          <w:sz w:val="24"/>
          <w:szCs w:val="24"/>
          <w:shd w:val="clear" w:color="auto" w:fill="FFFFFF"/>
        </w:rPr>
      </w:pPr>
      <w:r w:rsidRPr="006A0544">
        <w:rPr>
          <w:rFonts w:cstheme="minorHAnsi"/>
          <w:sz w:val="24"/>
          <w:szCs w:val="24"/>
          <w:shd w:val="clear" w:color="auto" w:fill="FFFFFF"/>
        </w:rPr>
        <w:lastRenderedPageBreak/>
        <w:t>El afán de austeridad difícilmente resultaba compatible con el de eficacia administrativa, al hacer depender de la Secretaría General una sola Dirección General,</w:t>
      </w:r>
      <w:r w:rsidRPr="006A0544">
        <w:rPr>
          <w:rStyle w:val="Refdenotaalpie"/>
          <w:rFonts w:cstheme="minorHAnsi"/>
          <w:color w:val="000000"/>
          <w:sz w:val="24"/>
          <w:szCs w:val="24"/>
          <w:shd w:val="clear" w:color="auto" w:fill="FFFFFF"/>
        </w:rPr>
        <w:footnoteReference w:id="53"/>
      </w:r>
      <w:r w:rsidRPr="006A0544">
        <w:rPr>
          <w:rFonts w:cstheme="minorHAnsi"/>
          <w:sz w:val="24"/>
          <w:szCs w:val="24"/>
          <w:shd w:val="clear" w:color="auto" w:fill="FFFFFF"/>
        </w:rPr>
        <w:t xml:space="preserve"> en contra del principio de organización administrativa de que de un órgano superior no debe depender un solo órgano de nivel inferior, ya que se deduce que uno de los dos resulta superfluo, al solaparse sus competencias.</w:t>
      </w:r>
    </w:p>
    <w:p w14:paraId="38A58592" w14:textId="6CA7FB25" w:rsidR="00382DA2" w:rsidRPr="006A0544" w:rsidRDefault="00382DA2" w:rsidP="00625E06">
      <w:pPr>
        <w:pStyle w:val="Textoindependiente"/>
        <w:numPr>
          <w:ilvl w:val="0"/>
          <w:numId w:val="11"/>
        </w:numPr>
        <w:spacing w:after="0" w:line="480" w:lineRule="auto"/>
        <w:jc w:val="both"/>
        <w:rPr>
          <w:rFonts w:cstheme="minorHAnsi"/>
          <w:sz w:val="24"/>
          <w:szCs w:val="24"/>
        </w:rPr>
      </w:pPr>
      <w:r w:rsidRPr="006A0544">
        <w:rPr>
          <w:rFonts w:cstheme="minorHAnsi"/>
          <w:sz w:val="24"/>
          <w:szCs w:val="24"/>
        </w:rPr>
        <w:t>Últimos procesos de regularización</w:t>
      </w:r>
    </w:p>
    <w:p w14:paraId="41021578" w14:textId="77777777" w:rsidR="00382DA2" w:rsidRPr="006A0544" w:rsidRDefault="00382DA2" w:rsidP="00382DA2">
      <w:pPr>
        <w:pStyle w:val="Textoindependiente"/>
        <w:spacing w:after="0" w:line="480" w:lineRule="auto"/>
        <w:jc w:val="both"/>
        <w:rPr>
          <w:rFonts w:cstheme="minorHAnsi"/>
          <w:sz w:val="24"/>
          <w:szCs w:val="24"/>
        </w:rPr>
      </w:pPr>
      <w:r w:rsidRPr="006A0544">
        <w:rPr>
          <w:rFonts w:cstheme="minorHAnsi"/>
          <w:sz w:val="24"/>
          <w:szCs w:val="24"/>
        </w:rPr>
        <w:t>Como existe la tradición de que cualquier cambio normativo que se precie y, que, a juicio de sus autores, represente el punto de partida de una nueva política migratoria, debe remediar los problemas preexistentes, entre ellos las situaciones de irregularidad, se recurre de forma habitual a la aprobación simultánea de un procedimiento extraordinario de regularización.</w:t>
      </w:r>
    </w:p>
    <w:p w14:paraId="36BEBA8E" w14:textId="4CE0A98E" w:rsidR="00556D59" w:rsidRDefault="00382DA2" w:rsidP="00382DA2">
      <w:pPr>
        <w:pStyle w:val="Textoindependiente"/>
        <w:spacing w:after="0" w:line="480" w:lineRule="auto"/>
        <w:jc w:val="both"/>
        <w:rPr>
          <w:rFonts w:cstheme="minorHAnsi"/>
          <w:sz w:val="24"/>
          <w:szCs w:val="24"/>
        </w:rPr>
      </w:pPr>
      <w:r w:rsidRPr="006A0544">
        <w:rPr>
          <w:rFonts w:cstheme="minorHAnsi"/>
          <w:sz w:val="24"/>
          <w:szCs w:val="24"/>
        </w:rPr>
        <w:t xml:space="preserve">Durante los primeros años del siglo XXI se mantuvo la práctica de recurrir a regularizaciones extraordinarias, con mayor frecuencia que en la década anterior, y </w:t>
      </w:r>
      <w:r w:rsidR="00DB3565" w:rsidRPr="006A0544">
        <w:rPr>
          <w:rFonts w:cstheme="minorHAnsi"/>
          <w:sz w:val="24"/>
          <w:szCs w:val="24"/>
        </w:rPr>
        <w:t xml:space="preserve">con </w:t>
      </w:r>
      <w:r w:rsidR="00DB3565">
        <w:rPr>
          <w:rFonts w:cstheme="minorHAnsi"/>
          <w:sz w:val="24"/>
          <w:szCs w:val="24"/>
        </w:rPr>
        <w:t>difícil</w:t>
      </w:r>
      <w:r w:rsidRPr="006A0544">
        <w:rPr>
          <w:rFonts w:cstheme="minorHAnsi"/>
          <w:sz w:val="24"/>
          <w:szCs w:val="24"/>
        </w:rPr>
        <w:t xml:space="preserve"> encaje en la política de endurecimiento frente a las situaciones de irregularidad.</w:t>
      </w:r>
    </w:p>
    <w:p w14:paraId="1DF90FB9" w14:textId="3883F916" w:rsidR="00D75026" w:rsidRDefault="00D75026" w:rsidP="00D75026">
      <w:pPr>
        <w:pStyle w:val="Textoindependiente"/>
        <w:spacing w:after="0" w:line="480" w:lineRule="auto"/>
        <w:jc w:val="both"/>
        <w:rPr>
          <w:rFonts w:cstheme="minorHAnsi"/>
          <w:sz w:val="24"/>
          <w:szCs w:val="24"/>
        </w:rPr>
      </w:pPr>
      <w:r w:rsidRPr="006A0544">
        <w:rPr>
          <w:rFonts w:cstheme="minorHAnsi"/>
          <w:sz w:val="24"/>
          <w:szCs w:val="24"/>
        </w:rPr>
        <w:t>El cuarto proceso de regularización, llevado a cabo en el año 2000 en circunstancias no muy diferentes a las del proceso anterior, por mandato de la Disposición transitoria primera de la LOEIS, que mandató al Gobierno para que estableciera, mediante R</w:t>
      </w:r>
      <w:r w:rsidR="00DB3565">
        <w:rPr>
          <w:rFonts w:cstheme="minorHAnsi"/>
          <w:sz w:val="24"/>
          <w:szCs w:val="24"/>
        </w:rPr>
        <w:t>D</w:t>
      </w:r>
      <w:r w:rsidR="00DB3565">
        <w:rPr>
          <w:rStyle w:val="Refdenotaalpie"/>
          <w:rFonts w:cstheme="minorHAnsi"/>
          <w:sz w:val="24"/>
          <w:szCs w:val="24"/>
        </w:rPr>
        <w:footnoteReference w:id="54"/>
      </w:r>
      <w:r w:rsidRPr="006A0544">
        <w:rPr>
          <w:rFonts w:cstheme="minorHAnsi"/>
          <w:sz w:val="24"/>
          <w:szCs w:val="24"/>
        </w:rPr>
        <w:t>, el procedimiento para la regularización de los extranjeros que se encontrasen en territorio español antes del día 1 de junio de 1999 y que acreditasen haber solicitado en alguna ocasión permiso de residencia o trabajo o haberlo tenido en los últimos tres años.</w:t>
      </w:r>
      <w:r w:rsidRPr="006A0544">
        <w:rPr>
          <w:rStyle w:val="Refdenotaalpie"/>
          <w:rFonts w:cstheme="minorHAnsi"/>
          <w:sz w:val="24"/>
          <w:szCs w:val="24"/>
        </w:rPr>
        <w:footnoteReference w:id="55"/>
      </w:r>
    </w:p>
    <w:p w14:paraId="66F97D38" w14:textId="311C49E9" w:rsidR="00EC1A6D" w:rsidRDefault="00EC1A6D" w:rsidP="00EC1A6D">
      <w:pPr>
        <w:pStyle w:val="Textoindependiente"/>
        <w:spacing w:after="0" w:line="480" w:lineRule="auto"/>
        <w:jc w:val="both"/>
        <w:rPr>
          <w:rFonts w:cstheme="minorHAnsi"/>
          <w:sz w:val="24"/>
          <w:szCs w:val="24"/>
        </w:rPr>
      </w:pPr>
      <w:r w:rsidRPr="006A0544">
        <w:rPr>
          <w:rFonts w:cstheme="minorHAnsi"/>
          <w:sz w:val="24"/>
          <w:szCs w:val="24"/>
        </w:rPr>
        <w:lastRenderedPageBreak/>
        <w:t>A pesar de que el plazo fue relativamente breve -cuatro meses y diez días- y no fue objeto de prórroga, la experiencia de procesos anteriores, con una Administración mejor dotada de medios, y la presión de inmigrantes en situación irregular hizo que se acogiese</w:t>
      </w:r>
      <w:r w:rsidR="00ED1438">
        <w:rPr>
          <w:rFonts w:cstheme="minorHAnsi"/>
          <w:sz w:val="24"/>
          <w:szCs w:val="24"/>
        </w:rPr>
        <w:t>n</w:t>
      </w:r>
      <w:r w:rsidRPr="006A0544">
        <w:rPr>
          <w:rFonts w:cstheme="minorHAnsi"/>
          <w:sz w:val="24"/>
          <w:szCs w:val="24"/>
        </w:rPr>
        <w:t xml:space="preserve"> un número de solicitantes que duplicaba a los del proceso de 1991. Sin embargo, los resultados fueron menos favorables que en procesos anteriores, al producirse una resolución favorable solamente en seis de cada diez casos.</w:t>
      </w:r>
    </w:p>
    <w:p w14:paraId="6DB5924E" w14:textId="0E3DA564" w:rsidR="00CC6865" w:rsidRDefault="00D8169D" w:rsidP="00CC6865">
      <w:pPr>
        <w:pStyle w:val="Textoindependiente"/>
        <w:spacing w:after="0" w:line="480" w:lineRule="auto"/>
        <w:jc w:val="both"/>
        <w:rPr>
          <w:rFonts w:cstheme="minorHAnsi"/>
          <w:sz w:val="24"/>
          <w:szCs w:val="24"/>
        </w:rPr>
      </w:pPr>
      <w:r w:rsidRPr="00E80623">
        <w:rPr>
          <w:rFonts w:cstheme="minorHAnsi"/>
          <w:color w:val="000000" w:themeColor="text1"/>
          <w:sz w:val="24"/>
          <w:szCs w:val="24"/>
        </w:rPr>
        <w:t>A</w:t>
      </w:r>
      <w:r w:rsidRPr="006A0544">
        <w:rPr>
          <w:rFonts w:cstheme="minorHAnsi"/>
          <w:sz w:val="24"/>
          <w:szCs w:val="24"/>
        </w:rPr>
        <w:t>nte el elevado número de denegaciones producidas en el proceso anterior, el Gobierno decidió abrir un nuevo proceso de regularización,</w:t>
      </w:r>
      <w:r w:rsidRPr="006A0544">
        <w:rPr>
          <w:rStyle w:val="Refdenotaalpie"/>
          <w:rFonts w:cstheme="minorHAnsi"/>
          <w:sz w:val="24"/>
          <w:szCs w:val="24"/>
        </w:rPr>
        <w:footnoteReference w:id="56"/>
      </w:r>
      <w:r w:rsidRPr="006A0544">
        <w:rPr>
          <w:rFonts w:cstheme="minorHAnsi"/>
          <w:sz w:val="24"/>
          <w:szCs w:val="24"/>
        </w:rPr>
        <w:t xml:space="preserve"> con objeto de revisar las solicitudes denegadas y rectificar aquellas en las que la denegación se basase exclusivamente en no acreditar el plazo de residencia previa exigido</w:t>
      </w:r>
      <w:r w:rsidR="00DF43FE">
        <w:rPr>
          <w:rStyle w:val="Refdenotaalpie"/>
          <w:rFonts w:cstheme="minorHAnsi"/>
          <w:sz w:val="24"/>
          <w:szCs w:val="24"/>
        </w:rPr>
        <w:footnoteReference w:id="57"/>
      </w:r>
      <w:r w:rsidRPr="006A0544">
        <w:rPr>
          <w:rFonts w:cstheme="minorHAnsi"/>
          <w:sz w:val="24"/>
          <w:szCs w:val="24"/>
        </w:rPr>
        <w:t xml:space="preserve">. </w:t>
      </w:r>
      <w:r w:rsidR="00CC6865" w:rsidRPr="006A0544">
        <w:rPr>
          <w:rFonts w:cstheme="minorHAnsi"/>
          <w:sz w:val="24"/>
          <w:szCs w:val="24"/>
        </w:rPr>
        <w:t>E</w:t>
      </w:r>
      <w:r w:rsidR="00CC6865">
        <w:rPr>
          <w:rFonts w:cstheme="minorHAnsi"/>
          <w:sz w:val="24"/>
          <w:szCs w:val="24"/>
        </w:rPr>
        <w:t xml:space="preserve">ste proceso, el </w:t>
      </w:r>
      <w:r w:rsidR="00CC6865" w:rsidRPr="006A0544">
        <w:rPr>
          <w:rFonts w:cstheme="minorHAnsi"/>
          <w:sz w:val="24"/>
          <w:szCs w:val="24"/>
        </w:rPr>
        <w:t xml:space="preserve">quinto, derivado de la L.O. 8/2000, de 22 de diciembre, de reforma de la L.O. 4/2000, representaba, como hemos visto, la plasmación de la verdadera política en materia inmigratoria del Gobierno, </w:t>
      </w:r>
      <w:r w:rsidR="00CC6865" w:rsidRPr="00E80623">
        <w:rPr>
          <w:rFonts w:cstheme="minorHAnsi"/>
          <w:sz w:val="24"/>
          <w:szCs w:val="24"/>
        </w:rPr>
        <w:t xml:space="preserve">y </w:t>
      </w:r>
      <w:r w:rsidR="00CC6865" w:rsidRPr="006A0544">
        <w:rPr>
          <w:rFonts w:cstheme="minorHAnsi"/>
          <w:sz w:val="24"/>
          <w:szCs w:val="24"/>
        </w:rPr>
        <w:t xml:space="preserve">reviste la peculiaridad, desde el punto de vista </w:t>
      </w:r>
      <w:r w:rsidR="00CC6865">
        <w:rPr>
          <w:rFonts w:cstheme="minorHAnsi"/>
          <w:sz w:val="24"/>
          <w:szCs w:val="24"/>
        </w:rPr>
        <w:t>jurídico</w:t>
      </w:r>
      <w:r w:rsidR="00CC6865" w:rsidRPr="006A0544">
        <w:rPr>
          <w:rFonts w:cstheme="minorHAnsi"/>
          <w:sz w:val="24"/>
          <w:szCs w:val="24"/>
        </w:rPr>
        <w:t>, de que se trata de una revisión “de</w:t>
      </w:r>
      <w:r w:rsidR="00CC6865">
        <w:rPr>
          <w:rFonts w:cstheme="minorHAnsi"/>
          <w:sz w:val="24"/>
          <w:szCs w:val="24"/>
        </w:rPr>
        <w:t xml:space="preserve"> oficio” de una decisión administrativa</w:t>
      </w:r>
      <w:r w:rsidR="00CC6865" w:rsidRPr="006A0544">
        <w:rPr>
          <w:rFonts w:cstheme="minorHAnsi"/>
          <w:sz w:val="24"/>
          <w:szCs w:val="24"/>
        </w:rPr>
        <w:t xml:space="preserve"> previa con fundamento en una disposición legal</w:t>
      </w:r>
      <w:r w:rsidR="00CC6865" w:rsidRPr="006A0544">
        <w:rPr>
          <w:rStyle w:val="Refdenotaalpie"/>
          <w:rFonts w:cstheme="minorHAnsi"/>
          <w:sz w:val="24"/>
          <w:szCs w:val="24"/>
        </w:rPr>
        <w:footnoteReference w:id="58"/>
      </w:r>
      <w:r w:rsidR="00CC6865">
        <w:rPr>
          <w:rFonts w:cstheme="minorHAnsi"/>
          <w:sz w:val="24"/>
          <w:szCs w:val="24"/>
        </w:rPr>
        <w:t>.</w:t>
      </w:r>
      <w:r w:rsidR="00CC6865" w:rsidRPr="006A0544">
        <w:rPr>
          <w:rFonts w:cstheme="minorHAnsi"/>
          <w:sz w:val="24"/>
          <w:szCs w:val="24"/>
        </w:rPr>
        <w:t xml:space="preserve"> </w:t>
      </w:r>
    </w:p>
    <w:p w14:paraId="2DE71C9F" w14:textId="01071F60" w:rsidR="00114FB6" w:rsidRPr="006A0544" w:rsidRDefault="00114FB6" w:rsidP="00114FB6">
      <w:pPr>
        <w:pStyle w:val="Textoindependiente"/>
        <w:spacing w:after="0" w:line="480" w:lineRule="auto"/>
        <w:jc w:val="both"/>
        <w:rPr>
          <w:rFonts w:cstheme="minorHAnsi"/>
          <w:sz w:val="24"/>
          <w:szCs w:val="24"/>
        </w:rPr>
      </w:pPr>
      <w:r w:rsidRPr="006A0544">
        <w:rPr>
          <w:rFonts w:cstheme="minorHAnsi"/>
          <w:sz w:val="24"/>
          <w:szCs w:val="24"/>
        </w:rPr>
        <w:t>El sexto proceso de regularización, específico para inmigrantes ecuatorianos, como consecuencia de que el día 3 de enero de 2001 doce inmigrantes de nacionalidad ecuatoriana fallecieron al ser arrollada la furgoneta en la que se dirigían a realizar tareas agrícolas por un tren de cercanías en Lorca (Murcia).</w:t>
      </w:r>
      <w:r w:rsidR="006C7DA1">
        <w:rPr>
          <w:rFonts w:cstheme="minorHAnsi"/>
          <w:sz w:val="24"/>
          <w:szCs w:val="24"/>
        </w:rPr>
        <w:t xml:space="preserve"> </w:t>
      </w:r>
      <w:r w:rsidRPr="006A0544">
        <w:rPr>
          <w:rFonts w:cstheme="minorHAnsi"/>
          <w:sz w:val="24"/>
          <w:szCs w:val="24"/>
        </w:rPr>
        <w:t xml:space="preserve">Todos los inmigrantes accidentados se hallaban en situación irregular. Asociaciones de inmigrantes estimaron que el número </w:t>
      </w:r>
      <w:r w:rsidRPr="006A0544">
        <w:rPr>
          <w:rFonts w:cstheme="minorHAnsi"/>
          <w:sz w:val="24"/>
          <w:szCs w:val="24"/>
        </w:rPr>
        <w:lastRenderedPageBreak/>
        <w:t>de trabajadores extranjeros en situación irregular en la zona oscilaba entre las diez mil y doce mil personas.</w:t>
      </w:r>
    </w:p>
    <w:p w14:paraId="47C9C642" w14:textId="576D6E50" w:rsidR="00114FB6" w:rsidRDefault="00114FB6" w:rsidP="00114FB6">
      <w:pPr>
        <w:pStyle w:val="Textoindependiente"/>
        <w:spacing w:after="0" w:line="480" w:lineRule="auto"/>
        <w:jc w:val="both"/>
        <w:rPr>
          <w:rFonts w:cstheme="minorHAnsi"/>
          <w:sz w:val="24"/>
          <w:szCs w:val="24"/>
        </w:rPr>
      </w:pPr>
      <w:r w:rsidRPr="006A0544">
        <w:rPr>
          <w:rFonts w:cstheme="minorHAnsi"/>
          <w:sz w:val="24"/>
          <w:szCs w:val="24"/>
        </w:rPr>
        <w:t xml:space="preserve">El impacto producido en la opinión pública llevó al Gobierno a tomar la decisión de regularizar todos los trabajadores ecuatorianos </w:t>
      </w:r>
      <w:r>
        <w:rPr>
          <w:rFonts w:cstheme="minorHAnsi"/>
          <w:sz w:val="24"/>
          <w:szCs w:val="24"/>
        </w:rPr>
        <w:t xml:space="preserve">que se hallasen </w:t>
      </w:r>
      <w:r w:rsidRPr="006A0544">
        <w:rPr>
          <w:rFonts w:cstheme="minorHAnsi"/>
          <w:sz w:val="24"/>
          <w:szCs w:val="24"/>
        </w:rPr>
        <w:t xml:space="preserve">en España, para ello formalizó un acuerdo entre ambos países </w:t>
      </w:r>
      <w:r w:rsidRPr="006A0544">
        <w:rPr>
          <w:rFonts w:cstheme="minorHAnsi"/>
          <w:color w:val="000000"/>
          <w:sz w:val="24"/>
          <w:szCs w:val="24"/>
        </w:rPr>
        <w:t>relativo a la regulación y ordenación de los flujos migratorios.</w:t>
      </w:r>
      <w:r w:rsidRPr="006A0544">
        <w:rPr>
          <w:rStyle w:val="Refdenotaalpie"/>
          <w:rFonts w:cstheme="minorHAnsi"/>
          <w:color w:val="000000"/>
          <w:sz w:val="24"/>
          <w:szCs w:val="24"/>
        </w:rPr>
        <w:footnoteReference w:id="59"/>
      </w:r>
      <w:r w:rsidRPr="006A0544">
        <w:rPr>
          <w:rFonts w:cstheme="minorHAnsi"/>
          <w:color w:val="000000"/>
          <w:sz w:val="24"/>
          <w:szCs w:val="24"/>
        </w:rPr>
        <w:t xml:space="preserve"> </w:t>
      </w:r>
      <w:r w:rsidRPr="006A0544">
        <w:rPr>
          <w:rFonts w:cstheme="minorHAnsi"/>
          <w:sz w:val="24"/>
          <w:szCs w:val="24"/>
        </w:rPr>
        <w:t>Estos buenos propósitos se vieron frustrados por el procedimiento establecido para su articulación, ya que se optó inicialmente por el retorno de los inmigrantes ecuatorianos a su país con objeto de que regresasen a España una vez documentados.</w:t>
      </w:r>
      <w:r w:rsidR="00BA2E61">
        <w:rPr>
          <w:rFonts w:cstheme="minorHAnsi"/>
          <w:sz w:val="24"/>
          <w:szCs w:val="24"/>
        </w:rPr>
        <w:t xml:space="preserve"> </w:t>
      </w:r>
      <w:r w:rsidRPr="006A0544">
        <w:rPr>
          <w:rFonts w:cstheme="minorHAnsi"/>
          <w:sz w:val="24"/>
          <w:szCs w:val="24"/>
        </w:rPr>
        <w:t>Esta opción fue seguida por unos 4.000 inmigrantes ecuatorianos en situación irregular, de ellos regresaron a España unos 2.000. Lo complejo del procedimiento, ya que muchas de las ofertas de trabajo eran cubiertas en España y los costes económicos del traslado, aconsejó a regularizarlos en España, sin necesidad de viajar a su país.</w:t>
      </w:r>
    </w:p>
    <w:p w14:paraId="23CCEF15" w14:textId="77777777" w:rsidR="00BA2E61" w:rsidRPr="006A0544" w:rsidRDefault="00BA2E61" w:rsidP="00BA2E61">
      <w:pPr>
        <w:pStyle w:val="Textoindependiente"/>
        <w:spacing w:after="0" w:line="480" w:lineRule="auto"/>
        <w:jc w:val="both"/>
        <w:rPr>
          <w:rFonts w:cstheme="minorHAnsi"/>
          <w:sz w:val="24"/>
          <w:szCs w:val="24"/>
        </w:rPr>
      </w:pPr>
      <w:r>
        <w:rPr>
          <w:rFonts w:cstheme="minorHAnsi"/>
          <w:color w:val="000000" w:themeColor="text1"/>
          <w:sz w:val="24"/>
          <w:szCs w:val="24"/>
        </w:rPr>
        <w:t>El</w:t>
      </w:r>
      <w:r w:rsidRPr="006A0544">
        <w:rPr>
          <w:rFonts w:cstheme="minorHAnsi"/>
          <w:sz w:val="24"/>
          <w:szCs w:val="24"/>
        </w:rPr>
        <w:t xml:space="preserve"> séptimo proceso, caracterizado por la regularización por arraigo, tiene su causa en l</w:t>
      </w:r>
      <w:r>
        <w:rPr>
          <w:rFonts w:cstheme="minorHAnsi"/>
          <w:sz w:val="24"/>
          <w:szCs w:val="24"/>
        </w:rPr>
        <w:t>a insatisfacción</w:t>
      </w:r>
      <w:r w:rsidRPr="006A0544">
        <w:rPr>
          <w:rFonts w:cstheme="minorHAnsi"/>
          <w:sz w:val="24"/>
          <w:szCs w:val="24"/>
        </w:rPr>
        <w:t xml:space="preserve"> provocada por no abrir un nuevo plazo para presentar solicitudes por parte de </w:t>
      </w:r>
      <w:r w:rsidRPr="00E80623">
        <w:rPr>
          <w:rFonts w:cstheme="minorHAnsi"/>
          <w:color w:val="000000" w:themeColor="text1"/>
          <w:sz w:val="24"/>
          <w:szCs w:val="24"/>
        </w:rPr>
        <w:t xml:space="preserve">inmigrantes de otras nacionalidades que se </w:t>
      </w:r>
      <w:r w:rsidRPr="006A0544">
        <w:rPr>
          <w:rFonts w:cstheme="minorHAnsi"/>
          <w:sz w:val="24"/>
          <w:szCs w:val="24"/>
        </w:rPr>
        <w:t xml:space="preserve">encontraban en España, </w:t>
      </w:r>
      <w:r>
        <w:rPr>
          <w:rFonts w:cstheme="minorHAnsi"/>
          <w:sz w:val="24"/>
          <w:szCs w:val="24"/>
        </w:rPr>
        <w:t xml:space="preserve">que </w:t>
      </w:r>
      <w:r w:rsidRPr="006A0544">
        <w:rPr>
          <w:rFonts w:cstheme="minorHAnsi"/>
          <w:sz w:val="24"/>
          <w:szCs w:val="24"/>
        </w:rPr>
        <w:t xml:space="preserve">generó manifestaciones de protesta y encierros en algunas iglesias, especialmente en Andalucía y Cataluña. </w:t>
      </w:r>
    </w:p>
    <w:p w14:paraId="07FCCE33" w14:textId="77777777" w:rsidR="00BA2E61" w:rsidRPr="006A0544" w:rsidRDefault="00BA2E61" w:rsidP="00BA2E61">
      <w:pPr>
        <w:pStyle w:val="Textoindependiente"/>
        <w:spacing w:after="0" w:line="480" w:lineRule="auto"/>
        <w:jc w:val="both"/>
        <w:rPr>
          <w:rFonts w:cstheme="minorHAnsi"/>
          <w:sz w:val="24"/>
          <w:szCs w:val="24"/>
        </w:rPr>
      </w:pPr>
      <w:r w:rsidRPr="006A0544">
        <w:rPr>
          <w:rFonts w:cstheme="minorHAnsi"/>
          <w:sz w:val="24"/>
          <w:szCs w:val="24"/>
        </w:rPr>
        <w:t>La intervención del Defensor del Pueblo consiguió que el Ministerio del Interior diese instrucciones para tramitar y resolver favorablemente las solicitudes de los inmigrantes que acreditasen hallarse en España con anterioridad al 23 de enero de 2001.</w:t>
      </w:r>
    </w:p>
    <w:p w14:paraId="1748043A" w14:textId="77777777" w:rsidR="00DD6CA2" w:rsidRPr="006A0544" w:rsidRDefault="00DD6CA2" w:rsidP="00DD6CA2">
      <w:pPr>
        <w:pStyle w:val="Textoindependiente"/>
        <w:spacing w:after="0" w:line="480" w:lineRule="auto"/>
        <w:jc w:val="both"/>
        <w:rPr>
          <w:rFonts w:cstheme="minorHAnsi"/>
          <w:sz w:val="24"/>
          <w:szCs w:val="24"/>
        </w:rPr>
      </w:pPr>
      <w:r w:rsidRPr="006A0544">
        <w:rPr>
          <w:rFonts w:cstheme="minorHAnsi"/>
          <w:sz w:val="24"/>
          <w:szCs w:val="24"/>
        </w:rPr>
        <w:t xml:space="preserve">Este proceso oficialmente no fue calificado como “procedimiento extraordinario de regularización” sino de mera interpretación flexible de la figura del arraigo, contemplada </w:t>
      </w:r>
      <w:r w:rsidRPr="006A0544">
        <w:rPr>
          <w:rFonts w:cstheme="minorHAnsi"/>
          <w:sz w:val="24"/>
          <w:szCs w:val="24"/>
        </w:rPr>
        <w:lastRenderedPageBreak/>
        <w:t>en el artículo 31.3 de la LOEIS, a pesar de que dicha disposición no se había utilizado hasta entonces de forma colectiva.</w:t>
      </w:r>
    </w:p>
    <w:p w14:paraId="40D6DD57" w14:textId="77777777" w:rsidR="00DD6CA2" w:rsidRPr="006A0544" w:rsidRDefault="00DD6CA2" w:rsidP="00DD6CA2">
      <w:pPr>
        <w:pStyle w:val="Textoindependiente"/>
        <w:spacing w:after="0" w:line="480" w:lineRule="auto"/>
        <w:jc w:val="both"/>
        <w:rPr>
          <w:rFonts w:cstheme="minorHAnsi"/>
          <w:sz w:val="24"/>
          <w:szCs w:val="24"/>
        </w:rPr>
      </w:pPr>
      <w:r w:rsidRPr="006A0544">
        <w:rPr>
          <w:rFonts w:cstheme="minorHAnsi"/>
          <w:sz w:val="24"/>
          <w:szCs w:val="24"/>
        </w:rPr>
        <w:t>Aunque no hay cifras oficiales desglosadas del procedimiento por arraigo, se estima que se acogieron al mismo unos 240.000 inmigrantes, siendo resueltas favorablemente unas 163.000 solicitudes.</w:t>
      </w:r>
    </w:p>
    <w:p w14:paraId="61D322F7" w14:textId="50AB91A0" w:rsidR="001E6F51" w:rsidRDefault="001E6F51" w:rsidP="001E6F51">
      <w:pPr>
        <w:pStyle w:val="Textoindependiente"/>
        <w:spacing w:after="0" w:line="480" w:lineRule="auto"/>
        <w:jc w:val="both"/>
        <w:rPr>
          <w:rFonts w:cstheme="minorHAnsi"/>
          <w:spacing w:val="-2"/>
          <w:sz w:val="24"/>
          <w:szCs w:val="24"/>
        </w:rPr>
      </w:pPr>
      <w:r w:rsidRPr="0024338B">
        <w:rPr>
          <w:rFonts w:cstheme="minorHAnsi"/>
          <w:spacing w:val="-2"/>
          <w:sz w:val="24"/>
          <w:szCs w:val="24"/>
        </w:rPr>
        <w:t>El octavo y último proceso de regularización</w:t>
      </w:r>
      <w:r w:rsidR="004961D7">
        <w:rPr>
          <w:rFonts w:cstheme="minorHAnsi"/>
          <w:spacing w:val="-2"/>
          <w:sz w:val="24"/>
          <w:szCs w:val="24"/>
        </w:rPr>
        <w:t xml:space="preserve">, basado en </w:t>
      </w:r>
      <w:r w:rsidR="00775719" w:rsidRPr="006A0544">
        <w:rPr>
          <w:rFonts w:cstheme="minorHAnsi"/>
          <w:sz w:val="24"/>
          <w:szCs w:val="24"/>
        </w:rPr>
        <w:t xml:space="preserve">la Disposición transitoria tercera –“proceso de normalización”- del Real Decreto </w:t>
      </w:r>
      <w:r w:rsidR="00775719" w:rsidRPr="006A0544">
        <w:rPr>
          <w:rFonts w:cstheme="minorHAnsi"/>
          <w:color w:val="000000"/>
          <w:sz w:val="24"/>
          <w:szCs w:val="24"/>
        </w:rPr>
        <w:t>2393/2004, de 30 de diciembre</w:t>
      </w:r>
      <w:r w:rsidR="00E32E0B">
        <w:rPr>
          <w:rStyle w:val="Refdenotaalpie"/>
          <w:rFonts w:cstheme="minorHAnsi"/>
          <w:color w:val="000000"/>
          <w:sz w:val="24"/>
          <w:szCs w:val="24"/>
        </w:rPr>
        <w:footnoteReference w:id="60"/>
      </w:r>
      <w:r w:rsidR="00775719">
        <w:rPr>
          <w:rFonts w:cstheme="minorHAnsi"/>
          <w:spacing w:val="-2"/>
          <w:sz w:val="24"/>
          <w:szCs w:val="24"/>
        </w:rPr>
        <w:t xml:space="preserve">, </w:t>
      </w:r>
      <w:r w:rsidRPr="0024338B">
        <w:rPr>
          <w:rFonts w:cstheme="minorHAnsi"/>
          <w:spacing w:val="-2"/>
          <w:sz w:val="24"/>
          <w:szCs w:val="24"/>
        </w:rPr>
        <w:t xml:space="preserve">fue el más importante desde el punto de vista cuantitativo, y  </w:t>
      </w:r>
      <w:r w:rsidR="00307D48">
        <w:rPr>
          <w:rFonts w:cstheme="minorHAnsi"/>
          <w:spacing w:val="-2"/>
          <w:sz w:val="24"/>
          <w:szCs w:val="24"/>
        </w:rPr>
        <w:t>se diferenció de</w:t>
      </w:r>
      <w:r w:rsidRPr="0024338B">
        <w:rPr>
          <w:rFonts w:cstheme="minorHAnsi"/>
          <w:spacing w:val="-2"/>
          <w:sz w:val="24"/>
          <w:szCs w:val="24"/>
        </w:rPr>
        <w:t xml:space="preserve"> los anteriores, tanto por su </w:t>
      </w:r>
      <w:r w:rsidR="00307D48">
        <w:rPr>
          <w:rFonts w:cstheme="minorHAnsi"/>
          <w:spacing w:val="-2"/>
          <w:sz w:val="24"/>
          <w:szCs w:val="24"/>
        </w:rPr>
        <w:t>denominación -</w:t>
      </w:r>
      <w:r w:rsidRPr="0024338B">
        <w:rPr>
          <w:rFonts w:cstheme="minorHAnsi"/>
          <w:spacing w:val="-2"/>
          <w:sz w:val="24"/>
          <w:szCs w:val="24"/>
        </w:rPr>
        <w:t xml:space="preserve"> “proceso normalización”</w:t>
      </w:r>
      <w:r w:rsidR="00307D48">
        <w:rPr>
          <w:rFonts w:cstheme="minorHAnsi"/>
          <w:spacing w:val="-2"/>
          <w:sz w:val="24"/>
          <w:szCs w:val="24"/>
        </w:rPr>
        <w:t>-</w:t>
      </w:r>
      <w:r w:rsidRPr="0024338B">
        <w:rPr>
          <w:rFonts w:cstheme="minorHAnsi"/>
          <w:spacing w:val="-2"/>
          <w:sz w:val="24"/>
          <w:szCs w:val="24"/>
        </w:rPr>
        <w:t xml:space="preserve">, forzando </w:t>
      </w:r>
      <w:r w:rsidR="00EE0AF0">
        <w:rPr>
          <w:rFonts w:cstheme="minorHAnsi"/>
          <w:spacing w:val="-2"/>
          <w:sz w:val="24"/>
          <w:szCs w:val="24"/>
        </w:rPr>
        <w:t xml:space="preserve"> la utilización </w:t>
      </w:r>
      <w:r w:rsidRPr="0024338B">
        <w:rPr>
          <w:rFonts w:cstheme="minorHAnsi"/>
          <w:spacing w:val="-2"/>
          <w:sz w:val="24"/>
          <w:szCs w:val="24"/>
        </w:rPr>
        <w:t>de un</w:t>
      </w:r>
      <w:r w:rsidR="00E83DB1">
        <w:rPr>
          <w:rFonts w:cstheme="minorHAnsi"/>
          <w:spacing w:val="-2"/>
          <w:sz w:val="24"/>
          <w:szCs w:val="24"/>
        </w:rPr>
        <w:t>a</w:t>
      </w:r>
      <w:r w:rsidRPr="0024338B">
        <w:rPr>
          <w:rFonts w:cstheme="minorHAnsi"/>
          <w:spacing w:val="-2"/>
          <w:sz w:val="24"/>
          <w:szCs w:val="24"/>
        </w:rPr>
        <w:t xml:space="preserve"> </w:t>
      </w:r>
      <w:r w:rsidR="00E83DB1">
        <w:rPr>
          <w:rFonts w:cstheme="minorHAnsi"/>
          <w:spacing w:val="-2"/>
          <w:sz w:val="24"/>
          <w:szCs w:val="24"/>
        </w:rPr>
        <w:t>calificación</w:t>
      </w:r>
      <w:r w:rsidRPr="0024338B">
        <w:rPr>
          <w:rFonts w:cstheme="minorHAnsi"/>
          <w:spacing w:val="-2"/>
          <w:sz w:val="24"/>
          <w:szCs w:val="24"/>
        </w:rPr>
        <w:t xml:space="preserve"> utilizad</w:t>
      </w:r>
      <w:r w:rsidR="00E83DB1">
        <w:rPr>
          <w:rFonts w:cstheme="minorHAnsi"/>
          <w:spacing w:val="-2"/>
          <w:sz w:val="24"/>
          <w:szCs w:val="24"/>
        </w:rPr>
        <w:t>a</w:t>
      </w:r>
      <w:r w:rsidRPr="0024338B">
        <w:rPr>
          <w:rFonts w:cstheme="minorHAnsi"/>
          <w:spacing w:val="-2"/>
          <w:sz w:val="24"/>
          <w:szCs w:val="24"/>
        </w:rPr>
        <w:t xml:space="preserve"> de forma dubitativa con anterioridad, sin duda para trata de sortear las reservas existentes</w:t>
      </w:r>
      <w:r w:rsidR="00E83DB1">
        <w:rPr>
          <w:rFonts w:cstheme="minorHAnsi"/>
          <w:spacing w:val="-2"/>
          <w:sz w:val="24"/>
          <w:szCs w:val="24"/>
        </w:rPr>
        <w:t xml:space="preserve"> </w:t>
      </w:r>
      <w:r w:rsidRPr="0024338B">
        <w:rPr>
          <w:rFonts w:cstheme="minorHAnsi"/>
          <w:spacing w:val="-2"/>
          <w:sz w:val="24"/>
          <w:szCs w:val="24"/>
        </w:rPr>
        <w:t xml:space="preserve">en una gran parte de los países europeos, que enfatizaban que la decisión de regularizar extranjeros tenía, en virtud de Schengen, alcance comunitario y no nacional, </w:t>
      </w:r>
      <w:r w:rsidRPr="0024338B">
        <w:rPr>
          <w:rStyle w:val="Refdenotaalpie"/>
          <w:rFonts w:eastAsiaTheme="majorEastAsia" w:cstheme="minorHAnsi"/>
          <w:spacing w:val="-2"/>
          <w:sz w:val="24"/>
          <w:szCs w:val="24"/>
        </w:rPr>
        <w:footnoteReference w:id="61"/>
      </w:r>
      <w:r w:rsidRPr="0024338B">
        <w:rPr>
          <w:rFonts w:cstheme="minorHAnsi"/>
          <w:spacing w:val="-2"/>
          <w:sz w:val="24"/>
          <w:szCs w:val="24"/>
        </w:rPr>
        <w:t xml:space="preserve">, como por las alternativas que </w:t>
      </w:r>
      <w:r w:rsidR="0087143E">
        <w:rPr>
          <w:rFonts w:cstheme="minorHAnsi"/>
          <w:spacing w:val="-2"/>
          <w:sz w:val="24"/>
          <w:szCs w:val="24"/>
        </w:rPr>
        <w:t>crea para evitar nuevos</w:t>
      </w:r>
      <w:r w:rsidRPr="0024338B">
        <w:rPr>
          <w:rFonts w:cstheme="minorHAnsi"/>
          <w:spacing w:val="-2"/>
          <w:sz w:val="24"/>
          <w:szCs w:val="24"/>
        </w:rPr>
        <w:t xml:space="preserve"> procesos de regularización </w:t>
      </w:r>
      <w:r w:rsidR="0087143E">
        <w:rPr>
          <w:rFonts w:cstheme="minorHAnsi"/>
          <w:spacing w:val="-2"/>
          <w:sz w:val="24"/>
          <w:szCs w:val="24"/>
        </w:rPr>
        <w:t>en el futuro.</w:t>
      </w:r>
    </w:p>
    <w:p w14:paraId="37493572" w14:textId="29ACBF1E" w:rsidR="000B44AF" w:rsidRPr="006A0544" w:rsidRDefault="000B44AF" w:rsidP="000B44AF">
      <w:pPr>
        <w:pStyle w:val="Textoindependiente"/>
        <w:spacing w:before="120" w:line="264" w:lineRule="auto"/>
        <w:jc w:val="both"/>
        <w:rPr>
          <w:rFonts w:cstheme="minorHAnsi"/>
          <w:sz w:val="24"/>
          <w:szCs w:val="24"/>
        </w:rPr>
      </w:pPr>
      <w:r w:rsidRPr="006A0544">
        <w:rPr>
          <w:rFonts w:cstheme="minorHAnsi"/>
          <w:sz w:val="24"/>
          <w:szCs w:val="24"/>
        </w:rPr>
        <w:t xml:space="preserve">TABLA </w:t>
      </w:r>
      <w:r w:rsidR="002F4D48">
        <w:rPr>
          <w:rFonts w:cstheme="minorHAnsi"/>
          <w:sz w:val="24"/>
          <w:szCs w:val="24"/>
        </w:rPr>
        <w:t>III</w:t>
      </w:r>
      <w:r w:rsidRPr="006A0544">
        <w:rPr>
          <w:rFonts w:cstheme="minorHAnsi"/>
          <w:sz w:val="24"/>
          <w:szCs w:val="24"/>
        </w:rPr>
        <w:t xml:space="preserve">: resumen de los últimos cinco procesos de regularización </w:t>
      </w:r>
    </w:p>
    <w:tbl>
      <w:tblPr>
        <w:tblStyle w:val="Tablaconcuadrcula"/>
        <w:tblW w:w="8642" w:type="dxa"/>
        <w:tblLook w:val="04A0" w:firstRow="1" w:lastRow="0" w:firstColumn="1" w:lastColumn="0" w:noHBand="0" w:noVBand="1"/>
      </w:tblPr>
      <w:tblGrid>
        <w:gridCol w:w="1504"/>
        <w:gridCol w:w="1183"/>
        <w:gridCol w:w="1267"/>
        <w:gridCol w:w="1149"/>
        <w:gridCol w:w="1122"/>
        <w:gridCol w:w="1292"/>
        <w:gridCol w:w="1125"/>
      </w:tblGrid>
      <w:tr w:rsidR="000B44AF" w:rsidRPr="006A0544" w14:paraId="3CC52EA9" w14:textId="77777777" w:rsidTr="006019E0">
        <w:tc>
          <w:tcPr>
            <w:tcW w:w="1504" w:type="dxa"/>
          </w:tcPr>
          <w:p w14:paraId="0E942A7D" w14:textId="77777777" w:rsidR="000B44AF" w:rsidRPr="006A0544" w:rsidRDefault="000B44AF" w:rsidP="006019E0">
            <w:pPr>
              <w:spacing w:line="264" w:lineRule="auto"/>
              <w:jc w:val="both"/>
              <w:rPr>
                <w:rFonts w:cstheme="minorHAnsi"/>
                <w:sz w:val="24"/>
                <w:szCs w:val="24"/>
              </w:rPr>
            </w:pPr>
            <w:r w:rsidRPr="006A0544">
              <w:rPr>
                <w:rFonts w:cstheme="minorHAnsi"/>
                <w:sz w:val="24"/>
                <w:szCs w:val="24"/>
              </w:rPr>
              <w:t>Número/Año</w:t>
            </w:r>
          </w:p>
        </w:tc>
        <w:tc>
          <w:tcPr>
            <w:tcW w:w="1183" w:type="dxa"/>
          </w:tcPr>
          <w:p w14:paraId="652EA93E" w14:textId="77777777" w:rsidR="000B44AF" w:rsidRPr="006A0544" w:rsidRDefault="000B44AF" w:rsidP="006019E0">
            <w:pPr>
              <w:spacing w:line="264" w:lineRule="auto"/>
              <w:jc w:val="center"/>
              <w:rPr>
                <w:rFonts w:cstheme="minorHAnsi"/>
                <w:sz w:val="24"/>
                <w:szCs w:val="24"/>
              </w:rPr>
            </w:pPr>
            <w:r w:rsidRPr="006A0544">
              <w:rPr>
                <w:rFonts w:cstheme="minorHAnsi"/>
                <w:sz w:val="24"/>
                <w:szCs w:val="24"/>
              </w:rPr>
              <w:t>Solicitud.</w:t>
            </w:r>
          </w:p>
        </w:tc>
        <w:tc>
          <w:tcPr>
            <w:tcW w:w="1267" w:type="dxa"/>
          </w:tcPr>
          <w:p w14:paraId="4A1F9354" w14:textId="77777777" w:rsidR="000B44AF" w:rsidRPr="006A0544" w:rsidRDefault="000B44AF" w:rsidP="006019E0">
            <w:pPr>
              <w:spacing w:line="264" w:lineRule="auto"/>
              <w:jc w:val="center"/>
              <w:rPr>
                <w:rFonts w:cstheme="minorHAnsi"/>
                <w:sz w:val="24"/>
                <w:szCs w:val="24"/>
              </w:rPr>
            </w:pPr>
            <w:r w:rsidRPr="006A0544">
              <w:rPr>
                <w:rFonts w:cstheme="minorHAnsi"/>
                <w:sz w:val="24"/>
                <w:szCs w:val="24"/>
              </w:rPr>
              <w:t>Conced.</w:t>
            </w:r>
          </w:p>
        </w:tc>
        <w:tc>
          <w:tcPr>
            <w:tcW w:w="1149" w:type="dxa"/>
          </w:tcPr>
          <w:p w14:paraId="3863D542" w14:textId="77777777" w:rsidR="000B44AF" w:rsidRPr="006A0544" w:rsidRDefault="000B44AF" w:rsidP="006019E0">
            <w:pPr>
              <w:spacing w:line="264" w:lineRule="auto"/>
              <w:jc w:val="center"/>
              <w:rPr>
                <w:rFonts w:cstheme="minorHAnsi"/>
                <w:sz w:val="24"/>
                <w:szCs w:val="24"/>
              </w:rPr>
            </w:pPr>
            <w:r w:rsidRPr="006A0544">
              <w:rPr>
                <w:rFonts w:cstheme="minorHAnsi"/>
                <w:sz w:val="24"/>
                <w:szCs w:val="24"/>
              </w:rPr>
              <w:t>Residenc.</w:t>
            </w:r>
          </w:p>
        </w:tc>
        <w:tc>
          <w:tcPr>
            <w:tcW w:w="1122" w:type="dxa"/>
          </w:tcPr>
          <w:p w14:paraId="68F91359" w14:textId="77777777" w:rsidR="000B44AF" w:rsidRPr="006A0544" w:rsidRDefault="000B44AF" w:rsidP="006019E0">
            <w:pPr>
              <w:spacing w:line="264" w:lineRule="auto"/>
              <w:jc w:val="center"/>
              <w:rPr>
                <w:rFonts w:cstheme="minorHAnsi"/>
                <w:sz w:val="24"/>
                <w:szCs w:val="24"/>
              </w:rPr>
            </w:pPr>
            <w:r w:rsidRPr="006A0544">
              <w:rPr>
                <w:rFonts w:cstheme="minorHAnsi"/>
                <w:sz w:val="24"/>
                <w:szCs w:val="24"/>
              </w:rPr>
              <w:t>Trabajo</w:t>
            </w:r>
          </w:p>
        </w:tc>
        <w:tc>
          <w:tcPr>
            <w:tcW w:w="1292" w:type="dxa"/>
          </w:tcPr>
          <w:p w14:paraId="36683D63" w14:textId="77777777" w:rsidR="000B44AF" w:rsidRPr="006A0544" w:rsidRDefault="000B44AF" w:rsidP="006019E0">
            <w:pPr>
              <w:spacing w:line="264" w:lineRule="auto"/>
              <w:jc w:val="center"/>
              <w:rPr>
                <w:rFonts w:cstheme="minorHAnsi"/>
                <w:sz w:val="24"/>
                <w:szCs w:val="24"/>
              </w:rPr>
            </w:pPr>
            <w:r w:rsidRPr="006A0544">
              <w:rPr>
                <w:rFonts w:cstheme="minorHAnsi"/>
                <w:sz w:val="24"/>
                <w:szCs w:val="24"/>
              </w:rPr>
              <w:t>Denegadas</w:t>
            </w:r>
          </w:p>
        </w:tc>
        <w:tc>
          <w:tcPr>
            <w:tcW w:w="1125" w:type="dxa"/>
          </w:tcPr>
          <w:p w14:paraId="5807C2B3" w14:textId="77777777" w:rsidR="000B44AF" w:rsidRPr="006A0544" w:rsidRDefault="000B44AF" w:rsidP="006019E0">
            <w:pPr>
              <w:spacing w:line="264" w:lineRule="auto"/>
              <w:jc w:val="center"/>
              <w:rPr>
                <w:rFonts w:cstheme="minorHAnsi"/>
                <w:sz w:val="24"/>
                <w:szCs w:val="24"/>
              </w:rPr>
            </w:pPr>
            <w:r w:rsidRPr="006A0544">
              <w:rPr>
                <w:rFonts w:cstheme="minorHAnsi"/>
                <w:sz w:val="24"/>
                <w:szCs w:val="24"/>
              </w:rPr>
              <w:t>Otras</w:t>
            </w:r>
          </w:p>
        </w:tc>
      </w:tr>
      <w:tr w:rsidR="000B44AF" w:rsidRPr="006A0544" w14:paraId="122523ED" w14:textId="77777777" w:rsidTr="006019E0">
        <w:tc>
          <w:tcPr>
            <w:tcW w:w="1504" w:type="dxa"/>
          </w:tcPr>
          <w:p w14:paraId="739BD6DE" w14:textId="77777777" w:rsidR="000B44AF" w:rsidRPr="006A0544" w:rsidRDefault="000B44AF" w:rsidP="006019E0">
            <w:pPr>
              <w:jc w:val="both"/>
              <w:rPr>
                <w:rFonts w:cstheme="minorHAnsi"/>
                <w:sz w:val="24"/>
                <w:szCs w:val="24"/>
              </w:rPr>
            </w:pPr>
            <w:r w:rsidRPr="006A0544">
              <w:rPr>
                <w:rFonts w:cstheme="minorHAnsi"/>
                <w:sz w:val="24"/>
                <w:szCs w:val="24"/>
              </w:rPr>
              <w:t xml:space="preserve">IVº </w:t>
            </w:r>
            <w:r>
              <w:rPr>
                <w:rFonts w:cstheme="minorHAnsi"/>
                <w:sz w:val="24"/>
                <w:szCs w:val="24"/>
              </w:rPr>
              <w:t xml:space="preserve">- </w:t>
            </w:r>
            <w:r w:rsidRPr="006A0544">
              <w:rPr>
                <w:rFonts w:cstheme="minorHAnsi"/>
                <w:sz w:val="24"/>
                <w:szCs w:val="24"/>
              </w:rPr>
              <w:t>2000</w:t>
            </w:r>
          </w:p>
        </w:tc>
        <w:tc>
          <w:tcPr>
            <w:tcW w:w="1183" w:type="dxa"/>
          </w:tcPr>
          <w:p w14:paraId="3C8EFBCF" w14:textId="77777777" w:rsidR="000B44AF" w:rsidRPr="006A0544" w:rsidRDefault="000B44AF" w:rsidP="006019E0">
            <w:pPr>
              <w:jc w:val="center"/>
              <w:rPr>
                <w:rFonts w:cstheme="minorHAnsi"/>
                <w:sz w:val="24"/>
                <w:szCs w:val="24"/>
              </w:rPr>
            </w:pPr>
            <w:r w:rsidRPr="006A0544">
              <w:rPr>
                <w:rFonts w:cstheme="minorHAnsi"/>
                <w:sz w:val="24"/>
                <w:szCs w:val="24"/>
              </w:rPr>
              <w:t>353.294</w:t>
            </w:r>
          </w:p>
        </w:tc>
        <w:tc>
          <w:tcPr>
            <w:tcW w:w="1267" w:type="dxa"/>
          </w:tcPr>
          <w:p w14:paraId="545F0319" w14:textId="77777777" w:rsidR="000B44AF" w:rsidRPr="006A0544" w:rsidRDefault="000B44AF" w:rsidP="006019E0">
            <w:pPr>
              <w:jc w:val="center"/>
              <w:rPr>
                <w:rFonts w:cstheme="minorHAnsi"/>
                <w:sz w:val="24"/>
                <w:szCs w:val="24"/>
              </w:rPr>
            </w:pPr>
            <w:r w:rsidRPr="006A0544">
              <w:rPr>
                <w:rFonts w:cstheme="minorHAnsi"/>
                <w:sz w:val="24"/>
                <w:szCs w:val="24"/>
              </w:rPr>
              <w:t>245.392</w:t>
            </w:r>
          </w:p>
        </w:tc>
        <w:tc>
          <w:tcPr>
            <w:tcW w:w="1149" w:type="dxa"/>
          </w:tcPr>
          <w:p w14:paraId="5C06BA2F" w14:textId="77777777" w:rsidR="000B44AF" w:rsidRPr="006A0544" w:rsidRDefault="000B44AF" w:rsidP="006019E0">
            <w:pPr>
              <w:jc w:val="center"/>
              <w:rPr>
                <w:rFonts w:cstheme="minorHAnsi"/>
                <w:sz w:val="24"/>
                <w:szCs w:val="24"/>
              </w:rPr>
            </w:pPr>
            <w:r w:rsidRPr="006A0544">
              <w:rPr>
                <w:rFonts w:cstheme="minorHAnsi"/>
                <w:sz w:val="24"/>
                <w:szCs w:val="24"/>
              </w:rPr>
              <w:t>21.953</w:t>
            </w:r>
          </w:p>
        </w:tc>
        <w:tc>
          <w:tcPr>
            <w:tcW w:w="1122" w:type="dxa"/>
          </w:tcPr>
          <w:p w14:paraId="092190B1" w14:textId="77777777" w:rsidR="000B44AF" w:rsidRPr="006A0544" w:rsidRDefault="000B44AF" w:rsidP="006019E0">
            <w:pPr>
              <w:jc w:val="center"/>
              <w:rPr>
                <w:rFonts w:cstheme="minorHAnsi"/>
                <w:sz w:val="24"/>
                <w:szCs w:val="24"/>
              </w:rPr>
            </w:pPr>
            <w:r w:rsidRPr="006A0544">
              <w:rPr>
                <w:rFonts w:cstheme="minorHAnsi"/>
                <w:sz w:val="24"/>
                <w:szCs w:val="24"/>
              </w:rPr>
              <w:t>223.439</w:t>
            </w:r>
          </w:p>
        </w:tc>
        <w:tc>
          <w:tcPr>
            <w:tcW w:w="1292" w:type="dxa"/>
          </w:tcPr>
          <w:p w14:paraId="67B89431" w14:textId="77777777" w:rsidR="000B44AF" w:rsidRPr="006A0544" w:rsidRDefault="000B44AF" w:rsidP="006019E0">
            <w:pPr>
              <w:jc w:val="center"/>
              <w:rPr>
                <w:rFonts w:cstheme="minorHAnsi"/>
                <w:sz w:val="24"/>
                <w:szCs w:val="24"/>
              </w:rPr>
            </w:pPr>
            <w:r w:rsidRPr="006A0544">
              <w:rPr>
                <w:rFonts w:cstheme="minorHAnsi"/>
                <w:sz w:val="24"/>
                <w:szCs w:val="24"/>
              </w:rPr>
              <w:t>84.810</w:t>
            </w:r>
          </w:p>
        </w:tc>
        <w:tc>
          <w:tcPr>
            <w:tcW w:w="1125" w:type="dxa"/>
          </w:tcPr>
          <w:p w14:paraId="2F19F6FD" w14:textId="77777777" w:rsidR="000B44AF" w:rsidRPr="006A0544" w:rsidRDefault="000B44AF" w:rsidP="006019E0">
            <w:pPr>
              <w:jc w:val="center"/>
              <w:rPr>
                <w:rFonts w:cstheme="minorHAnsi"/>
                <w:sz w:val="24"/>
                <w:szCs w:val="24"/>
              </w:rPr>
            </w:pPr>
            <w:r w:rsidRPr="006A0544">
              <w:rPr>
                <w:rFonts w:cstheme="minorHAnsi"/>
                <w:sz w:val="24"/>
                <w:szCs w:val="24"/>
              </w:rPr>
              <w:t>23.092</w:t>
            </w:r>
          </w:p>
        </w:tc>
      </w:tr>
      <w:tr w:rsidR="000B44AF" w:rsidRPr="006A0544" w14:paraId="70C5DDAD" w14:textId="77777777" w:rsidTr="006019E0">
        <w:tc>
          <w:tcPr>
            <w:tcW w:w="1504" w:type="dxa"/>
          </w:tcPr>
          <w:p w14:paraId="35DFF0AC" w14:textId="77777777" w:rsidR="000B44AF" w:rsidRPr="006A0544" w:rsidRDefault="000B44AF" w:rsidP="006019E0">
            <w:pPr>
              <w:jc w:val="both"/>
              <w:rPr>
                <w:rFonts w:cstheme="minorHAnsi"/>
                <w:sz w:val="24"/>
                <w:szCs w:val="24"/>
              </w:rPr>
            </w:pPr>
            <w:r w:rsidRPr="006A0544">
              <w:rPr>
                <w:rFonts w:cstheme="minorHAnsi"/>
                <w:sz w:val="24"/>
                <w:szCs w:val="24"/>
              </w:rPr>
              <w:t xml:space="preserve">Vº </w:t>
            </w:r>
            <w:r>
              <w:rPr>
                <w:rFonts w:cstheme="minorHAnsi"/>
                <w:sz w:val="24"/>
                <w:szCs w:val="24"/>
              </w:rPr>
              <w:t xml:space="preserve">- </w:t>
            </w:r>
            <w:r w:rsidRPr="006A0544">
              <w:rPr>
                <w:rFonts w:cstheme="minorHAnsi"/>
                <w:sz w:val="24"/>
                <w:szCs w:val="24"/>
              </w:rPr>
              <w:t>2001</w:t>
            </w:r>
          </w:p>
        </w:tc>
        <w:tc>
          <w:tcPr>
            <w:tcW w:w="1183" w:type="dxa"/>
          </w:tcPr>
          <w:p w14:paraId="6B20CB73" w14:textId="77777777" w:rsidR="000B44AF" w:rsidRPr="006A0544" w:rsidRDefault="000B44AF" w:rsidP="006019E0">
            <w:pPr>
              <w:jc w:val="center"/>
              <w:rPr>
                <w:rFonts w:cstheme="minorHAnsi"/>
                <w:sz w:val="24"/>
                <w:szCs w:val="24"/>
              </w:rPr>
            </w:pPr>
            <w:r w:rsidRPr="006A0544">
              <w:rPr>
                <w:rFonts w:cstheme="minorHAnsi"/>
                <w:sz w:val="24"/>
                <w:szCs w:val="24"/>
              </w:rPr>
              <w:t>57.000</w:t>
            </w:r>
          </w:p>
        </w:tc>
        <w:tc>
          <w:tcPr>
            <w:tcW w:w="1267" w:type="dxa"/>
          </w:tcPr>
          <w:p w14:paraId="6429FA3A" w14:textId="48616E3E" w:rsidR="000B44AF" w:rsidRPr="006A0544" w:rsidRDefault="000B44AF" w:rsidP="006019E0">
            <w:pPr>
              <w:jc w:val="center"/>
              <w:rPr>
                <w:rFonts w:cstheme="minorHAnsi"/>
                <w:color w:val="C00000"/>
                <w:sz w:val="24"/>
                <w:szCs w:val="24"/>
              </w:rPr>
            </w:pPr>
            <w:r w:rsidRPr="006A0544">
              <w:rPr>
                <w:rFonts w:cstheme="minorHAnsi"/>
                <w:sz w:val="24"/>
                <w:szCs w:val="24"/>
              </w:rPr>
              <w:t>40.000</w:t>
            </w:r>
            <w:r>
              <w:rPr>
                <w:rFonts w:cstheme="minorHAnsi"/>
                <w:sz w:val="24"/>
                <w:szCs w:val="24"/>
              </w:rPr>
              <w:t xml:space="preserve"> </w:t>
            </w:r>
            <w:r w:rsidRPr="006A0544">
              <w:rPr>
                <w:rFonts w:cstheme="minorHAnsi"/>
                <w:color w:val="C00000"/>
                <w:sz w:val="24"/>
                <w:szCs w:val="24"/>
              </w:rPr>
              <w:t>*</w:t>
            </w:r>
          </w:p>
        </w:tc>
        <w:tc>
          <w:tcPr>
            <w:tcW w:w="1149" w:type="dxa"/>
          </w:tcPr>
          <w:p w14:paraId="39718239" w14:textId="0243AA95" w:rsidR="000B44AF" w:rsidRPr="00805819" w:rsidRDefault="00696784" w:rsidP="006019E0">
            <w:pPr>
              <w:jc w:val="center"/>
              <w:rPr>
                <w:rFonts w:cstheme="minorHAnsi"/>
                <w:sz w:val="24"/>
                <w:szCs w:val="24"/>
              </w:rPr>
            </w:pPr>
            <w:r>
              <w:rPr>
                <w:rFonts w:cstheme="minorHAnsi"/>
                <w:sz w:val="24"/>
                <w:szCs w:val="24"/>
              </w:rPr>
              <w:t>-----</w:t>
            </w:r>
          </w:p>
        </w:tc>
        <w:tc>
          <w:tcPr>
            <w:tcW w:w="1122" w:type="dxa"/>
          </w:tcPr>
          <w:p w14:paraId="529DA7E9" w14:textId="7039B149" w:rsidR="000B44AF" w:rsidRPr="00696784" w:rsidRDefault="00696784" w:rsidP="006019E0">
            <w:pPr>
              <w:jc w:val="center"/>
              <w:rPr>
                <w:rFonts w:cstheme="minorHAnsi"/>
                <w:sz w:val="24"/>
                <w:szCs w:val="24"/>
              </w:rPr>
            </w:pPr>
            <w:r>
              <w:rPr>
                <w:rFonts w:cstheme="minorHAnsi"/>
                <w:sz w:val="24"/>
                <w:szCs w:val="24"/>
              </w:rPr>
              <w:t>-----</w:t>
            </w:r>
          </w:p>
        </w:tc>
        <w:tc>
          <w:tcPr>
            <w:tcW w:w="1292" w:type="dxa"/>
          </w:tcPr>
          <w:p w14:paraId="053F825F" w14:textId="75BE7C85" w:rsidR="000B44AF" w:rsidRPr="00696784" w:rsidRDefault="00696784" w:rsidP="006019E0">
            <w:pPr>
              <w:jc w:val="center"/>
              <w:rPr>
                <w:rFonts w:cstheme="minorHAnsi"/>
                <w:sz w:val="24"/>
                <w:szCs w:val="24"/>
              </w:rPr>
            </w:pPr>
            <w:r>
              <w:rPr>
                <w:rFonts w:cstheme="minorHAnsi"/>
                <w:sz w:val="24"/>
                <w:szCs w:val="24"/>
              </w:rPr>
              <w:t>-----</w:t>
            </w:r>
          </w:p>
        </w:tc>
        <w:tc>
          <w:tcPr>
            <w:tcW w:w="1125" w:type="dxa"/>
          </w:tcPr>
          <w:p w14:paraId="70791920" w14:textId="3278A1AF" w:rsidR="000B44AF" w:rsidRPr="00696784" w:rsidRDefault="00696784" w:rsidP="006019E0">
            <w:pPr>
              <w:jc w:val="center"/>
              <w:rPr>
                <w:rFonts w:cstheme="minorHAnsi"/>
                <w:sz w:val="24"/>
                <w:szCs w:val="24"/>
              </w:rPr>
            </w:pPr>
            <w:r>
              <w:rPr>
                <w:rFonts w:cstheme="minorHAnsi"/>
                <w:sz w:val="24"/>
                <w:szCs w:val="24"/>
              </w:rPr>
              <w:t>-----</w:t>
            </w:r>
          </w:p>
        </w:tc>
      </w:tr>
      <w:tr w:rsidR="000B44AF" w:rsidRPr="006A0544" w14:paraId="3531063B" w14:textId="77777777" w:rsidTr="006019E0">
        <w:tc>
          <w:tcPr>
            <w:tcW w:w="1504" w:type="dxa"/>
          </w:tcPr>
          <w:p w14:paraId="71D63C31" w14:textId="77777777" w:rsidR="000B44AF" w:rsidRPr="006A0544" w:rsidRDefault="000B44AF" w:rsidP="006019E0">
            <w:pPr>
              <w:jc w:val="both"/>
              <w:rPr>
                <w:rFonts w:cstheme="minorHAnsi"/>
                <w:sz w:val="24"/>
                <w:szCs w:val="24"/>
              </w:rPr>
            </w:pPr>
            <w:r w:rsidRPr="006A0544">
              <w:rPr>
                <w:rFonts w:cstheme="minorHAnsi"/>
                <w:sz w:val="24"/>
                <w:szCs w:val="24"/>
              </w:rPr>
              <w:t xml:space="preserve">VIº </w:t>
            </w:r>
            <w:r>
              <w:rPr>
                <w:rFonts w:cstheme="minorHAnsi"/>
                <w:sz w:val="24"/>
                <w:szCs w:val="24"/>
              </w:rPr>
              <w:t xml:space="preserve"> - </w:t>
            </w:r>
            <w:r w:rsidRPr="006A0544">
              <w:rPr>
                <w:rFonts w:cstheme="minorHAnsi"/>
                <w:sz w:val="24"/>
                <w:szCs w:val="24"/>
              </w:rPr>
              <w:t>2001</w:t>
            </w:r>
          </w:p>
        </w:tc>
        <w:tc>
          <w:tcPr>
            <w:tcW w:w="1183" w:type="dxa"/>
          </w:tcPr>
          <w:p w14:paraId="42D017DD" w14:textId="5CCF211B" w:rsidR="000B44AF" w:rsidRPr="006A0544" w:rsidRDefault="000B44AF" w:rsidP="006019E0">
            <w:pPr>
              <w:jc w:val="center"/>
              <w:rPr>
                <w:rFonts w:cstheme="minorHAnsi"/>
                <w:color w:val="C00000"/>
                <w:sz w:val="24"/>
                <w:szCs w:val="24"/>
              </w:rPr>
            </w:pPr>
            <w:r w:rsidRPr="006A0544">
              <w:rPr>
                <w:rFonts w:cstheme="minorHAnsi"/>
                <w:sz w:val="24"/>
                <w:szCs w:val="24"/>
              </w:rPr>
              <w:t xml:space="preserve">20.000 </w:t>
            </w:r>
            <w:r w:rsidRPr="006A0544">
              <w:rPr>
                <w:rFonts w:cstheme="minorHAnsi"/>
                <w:color w:val="C00000"/>
                <w:sz w:val="24"/>
                <w:szCs w:val="24"/>
              </w:rPr>
              <w:t>*</w:t>
            </w:r>
          </w:p>
        </w:tc>
        <w:tc>
          <w:tcPr>
            <w:tcW w:w="1267" w:type="dxa"/>
          </w:tcPr>
          <w:p w14:paraId="44306110" w14:textId="77777777" w:rsidR="000B44AF" w:rsidRPr="006A0544" w:rsidRDefault="000B44AF" w:rsidP="006019E0">
            <w:pPr>
              <w:jc w:val="center"/>
              <w:rPr>
                <w:rFonts w:cstheme="minorHAnsi"/>
                <w:sz w:val="24"/>
                <w:szCs w:val="24"/>
              </w:rPr>
            </w:pPr>
            <w:r w:rsidRPr="006A0544">
              <w:rPr>
                <w:rFonts w:cstheme="minorHAnsi"/>
                <w:sz w:val="24"/>
                <w:szCs w:val="24"/>
              </w:rPr>
              <w:t>18.000</w:t>
            </w:r>
          </w:p>
        </w:tc>
        <w:tc>
          <w:tcPr>
            <w:tcW w:w="1149" w:type="dxa"/>
          </w:tcPr>
          <w:p w14:paraId="0F086C3F" w14:textId="3BB5626C" w:rsidR="000B44AF" w:rsidRPr="00696784" w:rsidRDefault="00696784" w:rsidP="006019E0">
            <w:pPr>
              <w:jc w:val="center"/>
              <w:rPr>
                <w:rFonts w:cstheme="minorHAnsi"/>
                <w:sz w:val="24"/>
                <w:szCs w:val="24"/>
              </w:rPr>
            </w:pPr>
            <w:r>
              <w:rPr>
                <w:rFonts w:cstheme="minorHAnsi"/>
                <w:sz w:val="24"/>
                <w:szCs w:val="24"/>
              </w:rPr>
              <w:t>-----</w:t>
            </w:r>
          </w:p>
        </w:tc>
        <w:tc>
          <w:tcPr>
            <w:tcW w:w="1122" w:type="dxa"/>
          </w:tcPr>
          <w:p w14:paraId="512D60A9" w14:textId="1949559F" w:rsidR="000B44AF" w:rsidRPr="00696784" w:rsidRDefault="00696784" w:rsidP="006019E0">
            <w:pPr>
              <w:jc w:val="center"/>
              <w:rPr>
                <w:rFonts w:cstheme="minorHAnsi"/>
                <w:sz w:val="24"/>
                <w:szCs w:val="24"/>
              </w:rPr>
            </w:pPr>
            <w:r>
              <w:rPr>
                <w:rFonts w:cstheme="minorHAnsi"/>
                <w:sz w:val="24"/>
                <w:szCs w:val="24"/>
              </w:rPr>
              <w:t>-----</w:t>
            </w:r>
          </w:p>
        </w:tc>
        <w:tc>
          <w:tcPr>
            <w:tcW w:w="1292" w:type="dxa"/>
          </w:tcPr>
          <w:p w14:paraId="54E220F0" w14:textId="38DB46B5" w:rsidR="000B44AF" w:rsidRPr="00696784" w:rsidRDefault="00696784" w:rsidP="006019E0">
            <w:pPr>
              <w:jc w:val="center"/>
              <w:rPr>
                <w:rFonts w:cstheme="minorHAnsi"/>
                <w:sz w:val="24"/>
                <w:szCs w:val="24"/>
              </w:rPr>
            </w:pPr>
            <w:r>
              <w:rPr>
                <w:rFonts w:cstheme="minorHAnsi"/>
                <w:sz w:val="24"/>
                <w:szCs w:val="24"/>
              </w:rPr>
              <w:t>-----</w:t>
            </w:r>
          </w:p>
        </w:tc>
        <w:tc>
          <w:tcPr>
            <w:tcW w:w="1125" w:type="dxa"/>
          </w:tcPr>
          <w:p w14:paraId="02168676" w14:textId="5ACF97D4" w:rsidR="000B44AF" w:rsidRPr="0040250B" w:rsidRDefault="0040250B" w:rsidP="006019E0">
            <w:pPr>
              <w:jc w:val="center"/>
              <w:rPr>
                <w:rFonts w:cstheme="minorHAnsi"/>
                <w:sz w:val="24"/>
                <w:szCs w:val="24"/>
              </w:rPr>
            </w:pPr>
            <w:r>
              <w:rPr>
                <w:rFonts w:cstheme="minorHAnsi"/>
                <w:sz w:val="24"/>
                <w:szCs w:val="24"/>
              </w:rPr>
              <w:t>-----</w:t>
            </w:r>
          </w:p>
        </w:tc>
      </w:tr>
      <w:tr w:rsidR="000B44AF" w:rsidRPr="006A0544" w14:paraId="60E558B1" w14:textId="77777777" w:rsidTr="006019E0">
        <w:tc>
          <w:tcPr>
            <w:tcW w:w="1504" w:type="dxa"/>
          </w:tcPr>
          <w:p w14:paraId="34C8C31A" w14:textId="77777777" w:rsidR="000B44AF" w:rsidRPr="006A0544" w:rsidRDefault="000B44AF" w:rsidP="006019E0">
            <w:pPr>
              <w:jc w:val="both"/>
              <w:rPr>
                <w:rFonts w:cstheme="minorHAnsi"/>
                <w:sz w:val="24"/>
                <w:szCs w:val="24"/>
              </w:rPr>
            </w:pPr>
            <w:r w:rsidRPr="006A0544">
              <w:rPr>
                <w:rFonts w:cstheme="minorHAnsi"/>
                <w:sz w:val="24"/>
                <w:szCs w:val="24"/>
              </w:rPr>
              <w:t>VIIº</w:t>
            </w:r>
            <w:r>
              <w:rPr>
                <w:rFonts w:cstheme="minorHAnsi"/>
                <w:sz w:val="24"/>
                <w:szCs w:val="24"/>
              </w:rPr>
              <w:t xml:space="preserve"> - </w:t>
            </w:r>
            <w:r w:rsidRPr="006A0544">
              <w:rPr>
                <w:rFonts w:cstheme="minorHAnsi"/>
                <w:sz w:val="24"/>
                <w:szCs w:val="24"/>
              </w:rPr>
              <w:t>2001</w:t>
            </w:r>
          </w:p>
        </w:tc>
        <w:tc>
          <w:tcPr>
            <w:tcW w:w="1183" w:type="dxa"/>
          </w:tcPr>
          <w:p w14:paraId="14F199BC" w14:textId="77777777" w:rsidR="000B44AF" w:rsidRPr="006A0544" w:rsidRDefault="000B44AF" w:rsidP="006019E0">
            <w:pPr>
              <w:jc w:val="center"/>
              <w:rPr>
                <w:rFonts w:cstheme="minorHAnsi"/>
                <w:color w:val="C00000"/>
                <w:sz w:val="24"/>
                <w:szCs w:val="24"/>
              </w:rPr>
            </w:pPr>
            <w:r w:rsidRPr="006A0544">
              <w:rPr>
                <w:rFonts w:cstheme="minorHAnsi"/>
                <w:sz w:val="24"/>
                <w:szCs w:val="24"/>
              </w:rPr>
              <w:t xml:space="preserve">240.000 </w:t>
            </w:r>
            <w:r w:rsidRPr="006A0544">
              <w:rPr>
                <w:rFonts w:cstheme="minorHAnsi"/>
                <w:color w:val="C00000"/>
                <w:sz w:val="24"/>
                <w:szCs w:val="24"/>
              </w:rPr>
              <w:t>*</w:t>
            </w:r>
          </w:p>
        </w:tc>
        <w:tc>
          <w:tcPr>
            <w:tcW w:w="1267" w:type="dxa"/>
          </w:tcPr>
          <w:p w14:paraId="13A37A3F" w14:textId="77777777" w:rsidR="000B44AF" w:rsidRPr="006A0544" w:rsidRDefault="000B44AF" w:rsidP="006019E0">
            <w:pPr>
              <w:jc w:val="center"/>
              <w:rPr>
                <w:rFonts w:cstheme="minorHAnsi"/>
                <w:sz w:val="24"/>
                <w:szCs w:val="24"/>
              </w:rPr>
            </w:pPr>
            <w:r w:rsidRPr="006A0544">
              <w:rPr>
                <w:rFonts w:cstheme="minorHAnsi"/>
                <w:sz w:val="24"/>
                <w:szCs w:val="24"/>
              </w:rPr>
              <w:t>163.000</w:t>
            </w:r>
          </w:p>
        </w:tc>
        <w:tc>
          <w:tcPr>
            <w:tcW w:w="1149" w:type="dxa"/>
          </w:tcPr>
          <w:p w14:paraId="0195782A" w14:textId="322A0CF4" w:rsidR="000B44AF" w:rsidRPr="0040250B" w:rsidRDefault="0040250B" w:rsidP="006019E0">
            <w:pPr>
              <w:jc w:val="center"/>
              <w:rPr>
                <w:rFonts w:cstheme="minorHAnsi"/>
                <w:sz w:val="24"/>
                <w:szCs w:val="24"/>
              </w:rPr>
            </w:pPr>
            <w:r>
              <w:rPr>
                <w:rFonts w:cstheme="minorHAnsi"/>
                <w:sz w:val="24"/>
                <w:szCs w:val="24"/>
              </w:rPr>
              <w:t>-----</w:t>
            </w:r>
          </w:p>
        </w:tc>
        <w:tc>
          <w:tcPr>
            <w:tcW w:w="1122" w:type="dxa"/>
          </w:tcPr>
          <w:p w14:paraId="5E2F9C5A" w14:textId="590E381E" w:rsidR="000B44AF" w:rsidRPr="0040250B" w:rsidRDefault="0040250B" w:rsidP="006019E0">
            <w:pPr>
              <w:jc w:val="center"/>
              <w:rPr>
                <w:rFonts w:cstheme="minorHAnsi"/>
                <w:sz w:val="24"/>
                <w:szCs w:val="24"/>
              </w:rPr>
            </w:pPr>
            <w:r>
              <w:rPr>
                <w:rFonts w:cstheme="minorHAnsi"/>
                <w:sz w:val="24"/>
                <w:szCs w:val="24"/>
              </w:rPr>
              <w:t>-----</w:t>
            </w:r>
          </w:p>
        </w:tc>
        <w:tc>
          <w:tcPr>
            <w:tcW w:w="1292" w:type="dxa"/>
          </w:tcPr>
          <w:p w14:paraId="638E1245" w14:textId="77777777" w:rsidR="000B44AF" w:rsidRPr="006A0544" w:rsidRDefault="000B44AF" w:rsidP="006019E0">
            <w:pPr>
              <w:jc w:val="center"/>
              <w:rPr>
                <w:rFonts w:cstheme="minorHAnsi"/>
                <w:sz w:val="24"/>
                <w:szCs w:val="24"/>
              </w:rPr>
            </w:pPr>
            <w:r w:rsidRPr="006A0544">
              <w:rPr>
                <w:rFonts w:cstheme="minorHAnsi"/>
                <w:sz w:val="24"/>
                <w:szCs w:val="24"/>
              </w:rPr>
              <w:t>77.000</w:t>
            </w:r>
          </w:p>
        </w:tc>
        <w:tc>
          <w:tcPr>
            <w:tcW w:w="1125" w:type="dxa"/>
          </w:tcPr>
          <w:p w14:paraId="5C5FC3BF" w14:textId="4DA2FE11" w:rsidR="000B44AF" w:rsidRPr="0040250B" w:rsidRDefault="0040250B" w:rsidP="006019E0">
            <w:pPr>
              <w:jc w:val="center"/>
              <w:rPr>
                <w:rFonts w:cstheme="minorHAnsi"/>
                <w:sz w:val="24"/>
                <w:szCs w:val="24"/>
              </w:rPr>
            </w:pPr>
            <w:r>
              <w:rPr>
                <w:rFonts w:cstheme="minorHAnsi"/>
                <w:sz w:val="24"/>
                <w:szCs w:val="24"/>
              </w:rPr>
              <w:t>-----</w:t>
            </w:r>
          </w:p>
        </w:tc>
      </w:tr>
      <w:tr w:rsidR="000B44AF" w:rsidRPr="006A0544" w14:paraId="0729C086" w14:textId="77777777" w:rsidTr="006019E0">
        <w:tc>
          <w:tcPr>
            <w:tcW w:w="1504" w:type="dxa"/>
          </w:tcPr>
          <w:p w14:paraId="59886421" w14:textId="77777777" w:rsidR="000B44AF" w:rsidRPr="006A0544" w:rsidRDefault="000B44AF" w:rsidP="006019E0">
            <w:pPr>
              <w:jc w:val="both"/>
              <w:rPr>
                <w:rFonts w:cstheme="minorHAnsi"/>
                <w:sz w:val="24"/>
                <w:szCs w:val="24"/>
              </w:rPr>
            </w:pPr>
            <w:r w:rsidRPr="006A0544">
              <w:rPr>
                <w:rFonts w:cstheme="minorHAnsi"/>
                <w:sz w:val="24"/>
                <w:szCs w:val="24"/>
              </w:rPr>
              <w:t>VIIIº</w:t>
            </w:r>
            <w:r>
              <w:rPr>
                <w:rFonts w:cstheme="minorHAnsi"/>
                <w:sz w:val="24"/>
                <w:szCs w:val="24"/>
              </w:rPr>
              <w:t xml:space="preserve"> - </w:t>
            </w:r>
            <w:r w:rsidRPr="006A0544">
              <w:rPr>
                <w:rFonts w:cstheme="minorHAnsi"/>
                <w:sz w:val="24"/>
                <w:szCs w:val="24"/>
              </w:rPr>
              <w:t>2005</w:t>
            </w:r>
          </w:p>
        </w:tc>
        <w:tc>
          <w:tcPr>
            <w:tcW w:w="1183" w:type="dxa"/>
          </w:tcPr>
          <w:p w14:paraId="60761A0E" w14:textId="77777777" w:rsidR="000B44AF" w:rsidRPr="006A0544" w:rsidRDefault="000B44AF" w:rsidP="006019E0">
            <w:pPr>
              <w:jc w:val="center"/>
              <w:rPr>
                <w:rFonts w:cstheme="minorHAnsi"/>
                <w:sz w:val="24"/>
                <w:szCs w:val="24"/>
              </w:rPr>
            </w:pPr>
            <w:r w:rsidRPr="006A0544">
              <w:rPr>
                <w:rFonts w:cstheme="minorHAnsi"/>
                <w:sz w:val="24"/>
                <w:szCs w:val="24"/>
              </w:rPr>
              <w:t>691.655</w:t>
            </w:r>
          </w:p>
        </w:tc>
        <w:tc>
          <w:tcPr>
            <w:tcW w:w="1267" w:type="dxa"/>
          </w:tcPr>
          <w:p w14:paraId="2DD283A6" w14:textId="77777777" w:rsidR="000B44AF" w:rsidRPr="006A0544" w:rsidRDefault="000B44AF" w:rsidP="006019E0">
            <w:pPr>
              <w:jc w:val="center"/>
              <w:rPr>
                <w:rFonts w:cstheme="minorHAnsi"/>
                <w:sz w:val="24"/>
                <w:szCs w:val="24"/>
              </w:rPr>
            </w:pPr>
            <w:r w:rsidRPr="006A0544">
              <w:rPr>
                <w:rFonts w:cstheme="minorHAnsi"/>
                <w:sz w:val="24"/>
                <w:szCs w:val="24"/>
              </w:rPr>
              <w:t>578.375</w:t>
            </w:r>
          </w:p>
        </w:tc>
        <w:tc>
          <w:tcPr>
            <w:tcW w:w="1149" w:type="dxa"/>
          </w:tcPr>
          <w:p w14:paraId="001134C0" w14:textId="682B1D32" w:rsidR="000B44AF" w:rsidRPr="006A0544" w:rsidRDefault="000B44AF" w:rsidP="006019E0">
            <w:pPr>
              <w:jc w:val="center"/>
              <w:rPr>
                <w:rFonts w:cstheme="minorHAnsi"/>
                <w:color w:val="FF0000"/>
                <w:sz w:val="24"/>
                <w:szCs w:val="24"/>
              </w:rPr>
            </w:pPr>
            <w:r w:rsidRPr="006A0544">
              <w:rPr>
                <w:rFonts w:cstheme="minorHAnsi"/>
                <w:color w:val="FF0000"/>
                <w:sz w:val="24"/>
                <w:szCs w:val="24"/>
              </w:rPr>
              <w:t>**</w:t>
            </w:r>
          </w:p>
        </w:tc>
        <w:tc>
          <w:tcPr>
            <w:tcW w:w="1122" w:type="dxa"/>
          </w:tcPr>
          <w:p w14:paraId="2F215B21" w14:textId="44BE4B97" w:rsidR="000B44AF" w:rsidRPr="006A0544" w:rsidRDefault="000B44AF" w:rsidP="006019E0">
            <w:pPr>
              <w:jc w:val="center"/>
              <w:rPr>
                <w:rFonts w:cstheme="minorHAnsi"/>
                <w:sz w:val="24"/>
                <w:szCs w:val="24"/>
              </w:rPr>
            </w:pPr>
            <w:r w:rsidRPr="006A0544">
              <w:rPr>
                <w:rFonts w:cstheme="minorHAnsi"/>
                <w:color w:val="C00000"/>
                <w:sz w:val="24"/>
                <w:szCs w:val="24"/>
              </w:rPr>
              <w:t>**</w:t>
            </w:r>
          </w:p>
        </w:tc>
        <w:tc>
          <w:tcPr>
            <w:tcW w:w="1292" w:type="dxa"/>
          </w:tcPr>
          <w:p w14:paraId="2DB1CF5E" w14:textId="77777777" w:rsidR="000B44AF" w:rsidRPr="006A0544" w:rsidRDefault="000B44AF" w:rsidP="006019E0">
            <w:pPr>
              <w:jc w:val="center"/>
              <w:rPr>
                <w:rFonts w:cstheme="minorHAnsi"/>
                <w:sz w:val="24"/>
                <w:szCs w:val="24"/>
              </w:rPr>
            </w:pPr>
            <w:r w:rsidRPr="006A0544">
              <w:rPr>
                <w:rFonts w:cstheme="minorHAnsi"/>
                <w:sz w:val="24"/>
                <w:szCs w:val="24"/>
              </w:rPr>
              <w:t>44.457</w:t>
            </w:r>
          </w:p>
        </w:tc>
        <w:tc>
          <w:tcPr>
            <w:tcW w:w="1125" w:type="dxa"/>
          </w:tcPr>
          <w:p w14:paraId="196D0A1D" w14:textId="77777777" w:rsidR="000B44AF" w:rsidRPr="006A0544" w:rsidRDefault="000B44AF" w:rsidP="006019E0">
            <w:pPr>
              <w:jc w:val="center"/>
              <w:rPr>
                <w:rFonts w:cstheme="minorHAnsi"/>
                <w:sz w:val="24"/>
                <w:szCs w:val="24"/>
              </w:rPr>
            </w:pPr>
            <w:r w:rsidRPr="006A0544">
              <w:rPr>
                <w:rFonts w:cstheme="minorHAnsi"/>
                <w:sz w:val="24"/>
                <w:szCs w:val="24"/>
              </w:rPr>
              <w:t>68.823</w:t>
            </w:r>
          </w:p>
        </w:tc>
      </w:tr>
    </w:tbl>
    <w:p w14:paraId="67CB7AD1" w14:textId="52BCB028" w:rsidR="000B44AF" w:rsidRPr="006A0544" w:rsidRDefault="000B44AF" w:rsidP="000B44AF">
      <w:pPr>
        <w:pStyle w:val="Listaconvietas"/>
        <w:numPr>
          <w:ilvl w:val="0"/>
          <w:numId w:val="0"/>
        </w:numPr>
        <w:spacing w:line="360" w:lineRule="auto"/>
        <w:ind w:left="76" w:hanging="76"/>
        <w:jc w:val="both"/>
        <w:rPr>
          <w:rFonts w:cstheme="minorHAnsi"/>
          <w:sz w:val="24"/>
          <w:szCs w:val="24"/>
        </w:rPr>
      </w:pPr>
      <w:r w:rsidRPr="006A0544">
        <w:rPr>
          <w:rFonts w:cstheme="minorHAnsi"/>
          <w:color w:val="C00000"/>
          <w:sz w:val="24"/>
          <w:szCs w:val="24"/>
        </w:rPr>
        <w:t>**</w:t>
      </w:r>
      <w:r w:rsidRPr="006A0544">
        <w:rPr>
          <w:rFonts w:cstheme="minorHAnsi"/>
          <w:sz w:val="24"/>
          <w:szCs w:val="24"/>
        </w:rPr>
        <w:t xml:space="preserve"> No se dispone de fuentes oficiales sino de informaciones periodísticas</w:t>
      </w:r>
    </w:p>
    <w:p w14:paraId="490A5BBE" w14:textId="00DAF421" w:rsidR="000B44AF" w:rsidRDefault="000B44AF" w:rsidP="00482CE8">
      <w:pPr>
        <w:pStyle w:val="Listaconvietas"/>
        <w:numPr>
          <w:ilvl w:val="0"/>
          <w:numId w:val="0"/>
        </w:numPr>
        <w:spacing w:line="360" w:lineRule="auto"/>
        <w:ind w:left="74" w:hanging="74"/>
        <w:jc w:val="both"/>
        <w:rPr>
          <w:rFonts w:cstheme="minorHAnsi"/>
          <w:sz w:val="24"/>
          <w:szCs w:val="24"/>
        </w:rPr>
      </w:pPr>
      <w:r w:rsidRPr="006A0544">
        <w:rPr>
          <w:rFonts w:cstheme="minorHAnsi"/>
          <w:color w:val="C00000"/>
          <w:sz w:val="24"/>
          <w:szCs w:val="24"/>
        </w:rPr>
        <w:t xml:space="preserve">** </w:t>
      </w:r>
      <w:r w:rsidRPr="006A0544">
        <w:rPr>
          <w:rFonts w:cstheme="minorHAnsi"/>
          <w:sz w:val="24"/>
          <w:szCs w:val="24"/>
        </w:rPr>
        <w:t>No se desglosan las autorizaciones correspondientes</w:t>
      </w:r>
      <w:r w:rsidR="002854FF">
        <w:rPr>
          <w:rFonts w:cstheme="minorHAnsi"/>
          <w:sz w:val="24"/>
          <w:szCs w:val="24"/>
        </w:rPr>
        <w:t xml:space="preserve"> permisos de trabajo sino</w:t>
      </w:r>
      <w:r w:rsidRPr="006A0544">
        <w:rPr>
          <w:rFonts w:cstheme="minorHAnsi"/>
          <w:sz w:val="24"/>
          <w:szCs w:val="24"/>
        </w:rPr>
        <w:t xml:space="preserve"> </w:t>
      </w:r>
      <w:r w:rsidR="00D75472">
        <w:rPr>
          <w:rFonts w:cstheme="minorHAnsi"/>
          <w:sz w:val="24"/>
          <w:szCs w:val="24"/>
        </w:rPr>
        <w:t>únicamente de residencia.</w:t>
      </w:r>
    </w:p>
    <w:p w14:paraId="6B2A81E3" w14:textId="77777777" w:rsidR="00EB0B27" w:rsidRDefault="00EB0B27" w:rsidP="00EB0B27">
      <w:pPr>
        <w:pStyle w:val="Listaconvietas"/>
        <w:numPr>
          <w:ilvl w:val="0"/>
          <w:numId w:val="0"/>
        </w:numPr>
        <w:jc w:val="both"/>
        <w:rPr>
          <w:rFonts w:cstheme="minorHAnsi"/>
          <w:color w:val="C00000"/>
          <w:sz w:val="24"/>
          <w:szCs w:val="24"/>
        </w:rPr>
      </w:pPr>
      <w:r w:rsidRPr="006A0544">
        <w:rPr>
          <w:rFonts w:cstheme="minorHAnsi"/>
          <w:sz w:val="24"/>
          <w:szCs w:val="24"/>
        </w:rPr>
        <w:t>Fuentes: Anuarios de Extranjería 2000 y 2001, respectivamente, para los dos primeros Anuario Estadístico de Inmigración 2005</w:t>
      </w:r>
      <w:r>
        <w:rPr>
          <w:rFonts w:cstheme="minorHAnsi"/>
          <w:sz w:val="24"/>
          <w:szCs w:val="24"/>
        </w:rPr>
        <w:t>.</w:t>
      </w:r>
    </w:p>
    <w:p w14:paraId="6AD43CB9" w14:textId="77777777" w:rsidR="00EB0B27" w:rsidRDefault="00EB0B27" w:rsidP="00482CE8">
      <w:pPr>
        <w:pStyle w:val="Listaconvietas"/>
        <w:numPr>
          <w:ilvl w:val="0"/>
          <w:numId w:val="0"/>
        </w:numPr>
        <w:spacing w:line="360" w:lineRule="auto"/>
        <w:ind w:left="74" w:hanging="74"/>
        <w:jc w:val="both"/>
        <w:rPr>
          <w:rFonts w:cstheme="minorHAnsi"/>
          <w:sz w:val="24"/>
          <w:szCs w:val="24"/>
        </w:rPr>
      </w:pPr>
    </w:p>
    <w:p w14:paraId="6B1A3BD4" w14:textId="77777777" w:rsidR="001B13BB" w:rsidRPr="006A0544" w:rsidRDefault="001B13BB" w:rsidP="001B13BB">
      <w:pPr>
        <w:pStyle w:val="Listaconvietas"/>
        <w:numPr>
          <w:ilvl w:val="0"/>
          <w:numId w:val="0"/>
        </w:numPr>
        <w:spacing w:line="480" w:lineRule="auto"/>
        <w:ind w:left="76" w:hanging="76"/>
        <w:jc w:val="both"/>
        <w:rPr>
          <w:rFonts w:cstheme="minorHAnsi"/>
          <w:sz w:val="24"/>
          <w:szCs w:val="24"/>
        </w:rPr>
      </w:pPr>
      <w:r w:rsidRPr="006A0544">
        <w:rPr>
          <w:rFonts w:cstheme="minorHAnsi"/>
          <w:sz w:val="24"/>
          <w:szCs w:val="24"/>
        </w:rPr>
        <w:t xml:space="preserve">Dada la diversidad de fuentes, y, sobre todo, las diferencias en la metodología y presentación de los datos, resulta complicado determinar el impacto que tuvieron en el volumen de la población y, en particular, en el mercado de trabajo. Un buen indicador era el número de permisos de trabajo en vigor, </w:t>
      </w:r>
      <w:r>
        <w:rPr>
          <w:rFonts w:cstheme="minorHAnsi"/>
          <w:sz w:val="24"/>
          <w:szCs w:val="24"/>
        </w:rPr>
        <w:t>preferible al</w:t>
      </w:r>
      <w:r w:rsidRPr="00395A91">
        <w:rPr>
          <w:rFonts w:cstheme="minorHAnsi"/>
          <w:color w:val="000000" w:themeColor="text1"/>
          <w:sz w:val="24"/>
          <w:szCs w:val="24"/>
        </w:rPr>
        <w:t xml:space="preserve"> número de </w:t>
      </w:r>
      <w:r>
        <w:rPr>
          <w:rFonts w:cstheme="minorHAnsi"/>
          <w:sz w:val="24"/>
          <w:szCs w:val="24"/>
        </w:rPr>
        <w:t xml:space="preserve">concesiones </w:t>
      </w:r>
      <w:r w:rsidRPr="006A0544">
        <w:rPr>
          <w:rFonts w:cstheme="minorHAnsi"/>
          <w:sz w:val="24"/>
          <w:szCs w:val="24"/>
        </w:rPr>
        <w:t>anual</w:t>
      </w:r>
      <w:r>
        <w:rPr>
          <w:rFonts w:cstheme="minorHAnsi"/>
          <w:sz w:val="24"/>
          <w:szCs w:val="24"/>
        </w:rPr>
        <w:t>es</w:t>
      </w:r>
      <w:r w:rsidRPr="006A0544">
        <w:rPr>
          <w:rFonts w:cstheme="minorHAnsi"/>
          <w:sz w:val="24"/>
          <w:szCs w:val="24"/>
        </w:rPr>
        <w:t xml:space="preserve">, aunque </w:t>
      </w:r>
      <w:r>
        <w:rPr>
          <w:rFonts w:cstheme="minorHAnsi"/>
          <w:sz w:val="24"/>
          <w:szCs w:val="24"/>
        </w:rPr>
        <w:t xml:space="preserve">excluyese </w:t>
      </w:r>
      <w:r w:rsidRPr="006A0544">
        <w:rPr>
          <w:rFonts w:cstheme="minorHAnsi"/>
          <w:sz w:val="24"/>
          <w:szCs w:val="24"/>
        </w:rPr>
        <w:t>a los residentes del Espacio Único Europeo, pero esta serie estadística dejo de publicarse a partir de 2002.</w:t>
      </w:r>
    </w:p>
    <w:p w14:paraId="55C4376A" w14:textId="3ABF33C7" w:rsidR="00AB6858" w:rsidRPr="006A0544" w:rsidRDefault="00AB6858" w:rsidP="00AB6858">
      <w:pPr>
        <w:pStyle w:val="Listaconvietas"/>
        <w:numPr>
          <w:ilvl w:val="0"/>
          <w:numId w:val="0"/>
        </w:numPr>
        <w:spacing w:line="480" w:lineRule="auto"/>
        <w:ind w:left="76" w:hanging="76"/>
        <w:jc w:val="both"/>
        <w:rPr>
          <w:rFonts w:cstheme="minorHAnsi"/>
          <w:sz w:val="24"/>
          <w:szCs w:val="24"/>
        </w:rPr>
      </w:pPr>
      <w:r>
        <w:rPr>
          <w:rFonts w:cstheme="minorHAnsi"/>
          <w:sz w:val="24"/>
          <w:szCs w:val="24"/>
        </w:rPr>
        <w:t>Otro indicador</w:t>
      </w:r>
      <w:r w:rsidRPr="006A0544">
        <w:rPr>
          <w:rFonts w:cstheme="minorHAnsi"/>
          <w:sz w:val="24"/>
          <w:szCs w:val="24"/>
        </w:rPr>
        <w:t xml:space="preserve"> que se mantiene a lo largo del tiempo es el número de trabajadores extranjeros en situación de alta en la Seguridad Social. Con estos datos y el del número de residentes se ha </w:t>
      </w:r>
      <w:r w:rsidRPr="00395A91">
        <w:rPr>
          <w:rFonts w:cstheme="minorHAnsi"/>
          <w:color w:val="000000" w:themeColor="text1"/>
          <w:sz w:val="24"/>
          <w:szCs w:val="24"/>
        </w:rPr>
        <w:t>elaborado</w:t>
      </w:r>
      <w:r w:rsidRPr="006A0544">
        <w:rPr>
          <w:rFonts w:cstheme="minorHAnsi"/>
          <w:sz w:val="24"/>
          <w:szCs w:val="24"/>
        </w:rPr>
        <w:t xml:space="preserve"> la siguiente tabla, sobre la evolución del colectivo entre los años 2000 y 200</w:t>
      </w:r>
      <w:r w:rsidR="00CB7DF4">
        <w:rPr>
          <w:rFonts w:cstheme="minorHAnsi"/>
          <w:sz w:val="24"/>
          <w:szCs w:val="24"/>
        </w:rPr>
        <w:t>6</w:t>
      </w:r>
      <w:r w:rsidRPr="006A0544">
        <w:rPr>
          <w:rFonts w:cstheme="minorHAnsi"/>
          <w:sz w:val="24"/>
          <w:szCs w:val="24"/>
        </w:rPr>
        <w:t>, durante los cuales se llevaron a cabo cuatro procesos de regularización y valorar el impacto que tuvieron en cuanto a la concesión de permisos de trabajo y altas en la Seguridad Social.</w:t>
      </w:r>
    </w:p>
    <w:p w14:paraId="5B8C9784" w14:textId="3CB9A59F" w:rsidR="00AB6858" w:rsidRDefault="00AB6858" w:rsidP="00AB6858">
      <w:pPr>
        <w:pStyle w:val="parrafo"/>
        <w:spacing w:before="240" w:beforeAutospacing="0" w:after="240" w:afterAutospacing="0"/>
        <w:jc w:val="both"/>
        <w:rPr>
          <w:rFonts w:asciiTheme="minorHAnsi" w:hAnsiTheme="minorHAnsi" w:cstheme="minorHAnsi"/>
        </w:rPr>
      </w:pPr>
      <w:r w:rsidRPr="006A0544">
        <w:rPr>
          <w:rFonts w:asciiTheme="minorHAnsi" w:hAnsiTheme="minorHAnsi" w:cstheme="minorHAnsi"/>
        </w:rPr>
        <w:t xml:space="preserve">Tabla </w:t>
      </w:r>
      <w:r w:rsidR="004E0989">
        <w:rPr>
          <w:rFonts w:asciiTheme="minorHAnsi" w:hAnsiTheme="minorHAnsi" w:cstheme="minorHAnsi"/>
        </w:rPr>
        <w:t>I</w:t>
      </w:r>
      <w:r w:rsidRPr="006A0544">
        <w:rPr>
          <w:rFonts w:asciiTheme="minorHAnsi" w:hAnsiTheme="minorHAnsi" w:cstheme="minorHAnsi"/>
        </w:rPr>
        <w:t>V: Impacto de los procesos de regularización 2000-2001</w:t>
      </w:r>
      <w:r>
        <w:rPr>
          <w:rFonts w:asciiTheme="minorHAnsi" w:hAnsiTheme="minorHAnsi" w:cstheme="minorHAnsi"/>
        </w:rPr>
        <w:t xml:space="preserve"> </w:t>
      </w:r>
      <w:r w:rsidRPr="006A0544">
        <w:rPr>
          <w:rFonts w:asciiTheme="minorHAnsi" w:hAnsiTheme="minorHAnsi" w:cstheme="minorHAnsi"/>
        </w:rPr>
        <w:t>(datos a 31 de diciembre de cada año)</w:t>
      </w:r>
    </w:p>
    <w:tbl>
      <w:tblPr>
        <w:tblStyle w:val="Tablaconcuadrcula"/>
        <w:tblW w:w="8642" w:type="dxa"/>
        <w:tblLook w:val="04A0" w:firstRow="1" w:lastRow="0" w:firstColumn="1" w:lastColumn="0" w:noHBand="0" w:noVBand="1"/>
      </w:tblPr>
      <w:tblGrid>
        <w:gridCol w:w="823"/>
        <w:gridCol w:w="1245"/>
        <w:gridCol w:w="1407"/>
        <w:gridCol w:w="1390"/>
        <w:gridCol w:w="1457"/>
        <w:gridCol w:w="1189"/>
        <w:gridCol w:w="1131"/>
      </w:tblGrid>
      <w:tr w:rsidR="00AB6858" w:rsidRPr="006A0544" w14:paraId="0E1DA7D0" w14:textId="77777777" w:rsidTr="00430584">
        <w:tc>
          <w:tcPr>
            <w:tcW w:w="832" w:type="dxa"/>
          </w:tcPr>
          <w:p w14:paraId="3B9D858F" w14:textId="77777777" w:rsidR="00AB6858" w:rsidRPr="006A0544" w:rsidRDefault="00AB6858" w:rsidP="00430584">
            <w:pPr>
              <w:pStyle w:val="parrafo"/>
              <w:spacing w:before="0" w:beforeAutospacing="0" w:after="0" w:afterAutospacing="0"/>
              <w:jc w:val="both"/>
              <w:rPr>
                <w:rFonts w:asciiTheme="minorHAnsi" w:hAnsiTheme="minorHAnsi" w:cstheme="minorHAnsi"/>
              </w:rPr>
            </w:pPr>
            <w:r w:rsidRPr="006A0544">
              <w:rPr>
                <w:rFonts w:asciiTheme="minorHAnsi" w:hAnsiTheme="minorHAnsi" w:cstheme="minorHAnsi"/>
              </w:rPr>
              <w:t>Años</w:t>
            </w:r>
          </w:p>
        </w:tc>
        <w:tc>
          <w:tcPr>
            <w:tcW w:w="1250" w:type="dxa"/>
          </w:tcPr>
          <w:p w14:paraId="25199A4A" w14:textId="77777777" w:rsidR="00AB6858" w:rsidRPr="006A0544" w:rsidRDefault="00AB6858" w:rsidP="00430584">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Resid.</w:t>
            </w:r>
          </w:p>
          <w:p w14:paraId="6240CC77" w14:textId="77777777" w:rsidR="00AB6858" w:rsidRPr="006A0544" w:rsidRDefault="00AB6858" w:rsidP="00430584">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Rég. Gen.</w:t>
            </w:r>
          </w:p>
        </w:tc>
        <w:tc>
          <w:tcPr>
            <w:tcW w:w="1411" w:type="dxa"/>
          </w:tcPr>
          <w:p w14:paraId="6AF0EB49" w14:textId="77777777" w:rsidR="00AB6858" w:rsidRPr="006A0544" w:rsidRDefault="00AB6858" w:rsidP="00430584">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Incremento</w:t>
            </w:r>
          </w:p>
          <w:p w14:paraId="377F4B9A" w14:textId="77777777" w:rsidR="00AB6858" w:rsidRPr="006A0544" w:rsidRDefault="00AB6858" w:rsidP="00430584">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Residentes</w:t>
            </w:r>
          </w:p>
        </w:tc>
        <w:tc>
          <w:tcPr>
            <w:tcW w:w="1390" w:type="dxa"/>
          </w:tcPr>
          <w:p w14:paraId="298424FE" w14:textId="77777777" w:rsidR="00AB6858" w:rsidRPr="006A0544" w:rsidRDefault="00AB6858" w:rsidP="00430584">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Autoriz.</w:t>
            </w:r>
          </w:p>
          <w:p w14:paraId="4D8BFA24" w14:textId="77777777" w:rsidR="00AB6858" w:rsidRPr="006A0544" w:rsidRDefault="00AB6858" w:rsidP="00430584">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contingente</w:t>
            </w:r>
          </w:p>
        </w:tc>
        <w:tc>
          <w:tcPr>
            <w:tcW w:w="1479" w:type="dxa"/>
          </w:tcPr>
          <w:p w14:paraId="0E081711" w14:textId="77777777" w:rsidR="00AB6858" w:rsidRPr="006A0544" w:rsidRDefault="00AB6858" w:rsidP="00430584">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Permisos de trabajo en vigor</w:t>
            </w:r>
          </w:p>
        </w:tc>
        <w:tc>
          <w:tcPr>
            <w:tcW w:w="1139" w:type="dxa"/>
          </w:tcPr>
          <w:p w14:paraId="67698E70" w14:textId="77777777" w:rsidR="00AB6858" w:rsidRPr="006A0544" w:rsidRDefault="00AB6858" w:rsidP="00430584">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Altas en Seg. Soc.</w:t>
            </w:r>
          </w:p>
        </w:tc>
        <w:tc>
          <w:tcPr>
            <w:tcW w:w="1141" w:type="dxa"/>
          </w:tcPr>
          <w:p w14:paraId="578A3F6B" w14:textId="77777777" w:rsidR="00AB6858" w:rsidRPr="006A0544" w:rsidRDefault="00AB6858" w:rsidP="00430584">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Increm.</w:t>
            </w:r>
          </w:p>
          <w:p w14:paraId="6DAFD8D0" w14:textId="77777777" w:rsidR="00AB6858" w:rsidRPr="006A0544" w:rsidRDefault="00AB6858" w:rsidP="00430584">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altas</w:t>
            </w:r>
          </w:p>
        </w:tc>
      </w:tr>
      <w:tr w:rsidR="00AB6858" w:rsidRPr="006A0544" w14:paraId="6AA848B2" w14:textId="77777777" w:rsidTr="00430584">
        <w:tc>
          <w:tcPr>
            <w:tcW w:w="832" w:type="dxa"/>
          </w:tcPr>
          <w:p w14:paraId="22BBA0F8" w14:textId="77777777" w:rsidR="00AB6858" w:rsidRPr="006A0544" w:rsidRDefault="00AB6858" w:rsidP="00430584">
            <w:pPr>
              <w:pStyle w:val="parrafo"/>
              <w:spacing w:before="0" w:beforeAutospacing="0" w:after="0" w:afterAutospacing="0"/>
              <w:jc w:val="both"/>
              <w:rPr>
                <w:rFonts w:asciiTheme="minorHAnsi" w:hAnsiTheme="minorHAnsi" w:cstheme="minorHAnsi"/>
              </w:rPr>
            </w:pPr>
            <w:r w:rsidRPr="006A0544">
              <w:rPr>
                <w:rFonts w:asciiTheme="minorHAnsi" w:hAnsiTheme="minorHAnsi" w:cstheme="minorHAnsi"/>
              </w:rPr>
              <w:t>1999</w:t>
            </w:r>
          </w:p>
        </w:tc>
        <w:tc>
          <w:tcPr>
            <w:tcW w:w="1250" w:type="dxa"/>
          </w:tcPr>
          <w:p w14:paraId="131B0BBC" w14:textId="77777777" w:rsidR="00AB6858" w:rsidRPr="006A0544" w:rsidRDefault="00AB6858" w:rsidP="00430584">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382.955</w:t>
            </w:r>
          </w:p>
        </w:tc>
        <w:tc>
          <w:tcPr>
            <w:tcW w:w="1411" w:type="dxa"/>
          </w:tcPr>
          <w:p w14:paraId="0F9DE346" w14:textId="49AA21DC" w:rsidR="00AB6858" w:rsidRPr="006A0544" w:rsidRDefault="00AB6858" w:rsidP="00430584">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w:t>
            </w:r>
          </w:p>
        </w:tc>
        <w:tc>
          <w:tcPr>
            <w:tcW w:w="1390" w:type="dxa"/>
          </w:tcPr>
          <w:p w14:paraId="37249BD8" w14:textId="578F42F8" w:rsidR="00AB6858" w:rsidRPr="006A0544" w:rsidRDefault="00AB6858" w:rsidP="00430584">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w:t>
            </w:r>
          </w:p>
        </w:tc>
        <w:tc>
          <w:tcPr>
            <w:tcW w:w="1479" w:type="dxa"/>
          </w:tcPr>
          <w:p w14:paraId="127B75C7" w14:textId="77777777" w:rsidR="00AB6858" w:rsidRPr="006A0544" w:rsidRDefault="00AB6858" w:rsidP="00430584">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199.753</w:t>
            </w:r>
          </w:p>
        </w:tc>
        <w:tc>
          <w:tcPr>
            <w:tcW w:w="1139" w:type="dxa"/>
          </w:tcPr>
          <w:p w14:paraId="256211A3" w14:textId="77777777" w:rsidR="00AB6858" w:rsidRPr="006A0544" w:rsidRDefault="00AB6858" w:rsidP="00430584">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347.976</w:t>
            </w:r>
          </w:p>
        </w:tc>
        <w:tc>
          <w:tcPr>
            <w:tcW w:w="1141" w:type="dxa"/>
          </w:tcPr>
          <w:p w14:paraId="3E4B527D" w14:textId="2E08FF0F" w:rsidR="00AB6858" w:rsidRPr="006A0544" w:rsidRDefault="00AB6858" w:rsidP="00430584">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w:t>
            </w:r>
            <w:r w:rsidR="007D7C0D">
              <w:rPr>
                <w:rFonts w:asciiTheme="minorHAnsi" w:hAnsiTheme="minorHAnsi" w:cstheme="minorHAnsi"/>
              </w:rPr>
              <w:t>-</w:t>
            </w:r>
          </w:p>
        </w:tc>
      </w:tr>
      <w:tr w:rsidR="00AB6858" w:rsidRPr="006A0544" w14:paraId="4A527A87" w14:textId="77777777" w:rsidTr="00430584">
        <w:tc>
          <w:tcPr>
            <w:tcW w:w="832" w:type="dxa"/>
          </w:tcPr>
          <w:p w14:paraId="54F9B2D9" w14:textId="77777777" w:rsidR="00AB6858" w:rsidRPr="006A0544" w:rsidRDefault="00AB6858" w:rsidP="00430584">
            <w:pPr>
              <w:pStyle w:val="parrafo"/>
              <w:spacing w:before="0" w:beforeAutospacing="0" w:after="0" w:afterAutospacing="0"/>
              <w:jc w:val="both"/>
              <w:rPr>
                <w:rFonts w:asciiTheme="minorHAnsi" w:hAnsiTheme="minorHAnsi" w:cstheme="minorHAnsi"/>
              </w:rPr>
            </w:pPr>
            <w:r w:rsidRPr="006A0544">
              <w:rPr>
                <w:rFonts w:asciiTheme="minorHAnsi" w:hAnsiTheme="minorHAnsi" w:cstheme="minorHAnsi"/>
              </w:rPr>
              <w:t>2000</w:t>
            </w:r>
          </w:p>
        </w:tc>
        <w:tc>
          <w:tcPr>
            <w:tcW w:w="1250" w:type="dxa"/>
          </w:tcPr>
          <w:p w14:paraId="0A4F150A" w14:textId="77777777" w:rsidR="00AB6858" w:rsidRPr="006A0544" w:rsidRDefault="00AB6858" w:rsidP="00430584">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475.846</w:t>
            </w:r>
          </w:p>
        </w:tc>
        <w:tc>
          <w:tcPr>
            <w:tcW w:w="1411" w:type="dxa"/>
          </w:tcPr>
          <w:p w14:paraId="16E6CAD2" w14:textId="77777777" w:rsidR="00AB6858" w:rsidRPr="006A0544" w:rsidRDefault="00AB6858" w:rsidP="00430584">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92.891</w:t>
            </w:r>
          </w:p>
        </w:tc>
        <w:tc>
          <w:tcPr>
            <w:tcW w:w="1390" w:type="dxa"/>
          </w:tcPr>
          <w:p w14:paraId="2EFF97E2" w14:textId="77777777" w:rsidR="00AB6858" w:rsidRPr="006A0544" w:rsidRDefault="00AB6858" w:rsidP="00430584">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245.392</w:t>
            </w:r>
          </w:p>
        </w:tc>
        <w:tc>
          <w:tcPr>
            <w:tcW w:w="1479" w:type="dxa"/>
          </w:tcPr>
          <w:p w14:paraId="1E72786B" w14:textId="77777777" w:rsidR="00AB6858" w:rsidRPr="006A0544" w:rsidRDefault="00AB6858" w:rsidP="00430584">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292.120</w:t>
            </w:r>
          </w:p>
        </w:tc>
        <w:tc>
          <w:tcPr>
            <w:tcW w:w="1139" w:type="dxa"/>
          </w:tcPr>
          <w:p w14:paraId="28826701" w14:textId="77777777" w:rsidR="00AB6858" w:rsidRPr="006A0544" w:rsidRDefault="00AB6858" w:rsidP="00430584">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454.571</w:t>
            </w:r>
          </w:p>
        </w:tc>
        <w:tc>
          <w:tcPr>
            <w:tcW w:w="1141" w:type="dxa"/>
          </w:tcPr>
          <w:p w14:paraId="2DB66BCE" w14:textId="77777777" w:rsidR="00AB6858" w:rsidRPr="006A0544" w:rsidRDefault="00AB6858" w:rsidP="00430584">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106.595</w:t>
            </w:r>
          </w:p>
        </w:tc>
      </w:tr>
      <w:tr w:rsidR="00AB6858" w:rsidRPr="006A0544" w14:paraId="79D0FB2A" w14:textId="77777777" w:rsidTr="00430584">
        <w:tc>
          <w:tcPr>
            <w:tcW w:w="832" w:type="dxa"/>
          </w:tcPr>
          <w:p w14:paraId="59336BD3" w14:textId="77777777" w:rsidR="00AB6858" w:rsidRPr="006A0544" w:rsidRDefault="00AB6858" w:rsidP="00430584">
            <w:pPr>
              <w:pStyle w:val="parrafo"/>
              <w:spacing w:before="0" w:beforeAutospacing="0" w:after="0" w:afterAutospacing="0"/>
              <w:jc w:val="both"/>
              <w:rPr>
                <w:rFonts w:asciiTheme="minorHAnsi" w:hAnsiTheme="minorHAnsi" w:cstheme="minorHAnsi"/>
              </w:rPr>
            </w:pPr>
            <w:r w:rsidRPr="006A0544">
              <w:rPr>
                <w:rFonts w:asciiTheme="minorHAnsi" w:hAnsiTheme="minorHAnsi" w:cstheme="minorHAnsi"/>
              </w:rPr>
              <w:t>2001</w:t>
            </w:r>
          </w:p>
        </w:tc>
        <w:tc>
          <w:tcPr>
            <w:tcW w:w="1250" w:type="dxa"/>
          </w:tcPr>
          <w:p w14:paraId="24BC753D" w14:textId="77777777" w:rsidR="00AB6858" w:rsidRPr="006A0544" w:rsidRDefault="00AB6858" w:rsidP="00430584">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695.179</w:t>
            </w:r>
          </w:p>
        </w:tc>
        <w:tc>
          <w:tcPr>
            <w:tcW w:w="1411" w:type="dxa"/>
          </w:tcPr>
          <w:p w14:paraId="6CEA7B1A" w14:textId="77777777" w:rsidR="00AB6858" w:rsidRPr="006A0544" w:rsidRDefault="00AB6858" w:rsidP="00430584">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183.333</w:t>
            </w:r>
          </w:p>
        </w:tc>
        <w:tc>
          <w:tcPr>
            <w:tcW w:w="1390" w:type="dxa"/>
          </w:tcPr>
          <w:p w14:paraId="7A817B65" w14:textId="77777777" w:rsidR="00AB6858" w:rsidRPr="006A0544" w:rsidRDefault="00AB6858" w:rsidP="00430584">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221.000</w:t>
            </w:r>
          </w:p>
        </w:tc>
        <w:tc>
          <w:tcPr>
            <w:tcW w:w="1479" w:type="dxa"/>
          </w:tcPr>
          <w:p w14:paraId="5467C1B5" w14:textId="77777777" w:rsidR="00AB6858" w:rsidRPr="006A0544" w:rsidRDefault="00AB6858" w:rsidP="00430584">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426.762</w:t>
            </w:r>
          </w:p>
        </w:tc>
        <w:tc>
          <w:tcPr>
            <w:tcW w:w="1139" w:type="dxa"/>
          </w:tcPr>
          <w:p w14:paraId="2B7F2BE0" w14:textId="77777777" w:rsidR="00AB6858" w:rsidRPr="006A0544" w:rsidRDefault="00AB6858" w:rsidP="00430584">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607.235</w:t>
            </w:r>
          </w:p>
        </w:tc>
        <w:tc>
          <w:tcPr>
            <w:tcW w:w="1141" w:type="dxa"/>
          </w:tcPr>
          <w:p w14:paraId="48C2F229" w14:textId="77777777" w:rsidR="00AB6858" w:rsidRPr="006A0544" w:rsidRDefault="00AB6858" w:rsidP="00430584">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152.664</w:t>
            </w:r>
          </w:p>
        </w:tc>
      </w:tr>
      <w:tr w:rsidR="00AB6858" w:rsidRPr="006A0544" w14:paraId="72AE43A9" w14:textId="77777777" w:rsidTr="00430584">
        <w:tc>
          <w:tcPr>
            <w:tcW w:w="832" w:type="dxa"/>
          </w:tcPr>
          <w:p w14:paraId="61406627" w14:textId="77777777" w:rsidR="00AB6858" w:rsidRPr="006A0544" w:rsidRDefault="00AB6858" w:rsidP="00430584">
            <w:pPr>
              <w:pStyle w:val="parrafo"/>
              <w:spacing w:before="0" w:beforeAutospacing="0" w:after="0" w:afterAutospacing="0"/>
              <w:jc w:val="both"/>
              <w:rPr>
                <w:rFonts w:asciiTheme="minorHAnsi" w:hAnsiTheme="minorHAnsi" w:cstheme="minorHAnsi"/>
              </w:rPr>
            </w:pPr>
            <w:r w:rsidRPr="006A0544">
              <w:rPr>
                <w:rFonts w:asciiTheme="minorHAnsi" w:hAnsiTheme="minorHAnsi" w:cstheme="minorHAnsi"/>
              </w:rPr>
              <w:t>2002</w:t>
            </w:r>
          </w:p>
        </w:tc>
        <w:tc>
          <w:tcPr>
            <w:tcW w:w="1250" w:type="dxa"/>
          </w:tcPr>
          <w:p w14:paraId="7E9BD595" w14:textId="77777777" w:rsidR="00AB6858" w:rsidRPr="006A0544" w:rsidRDefault="00AB6858" w:rsidP="00430584">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826.956</w:t>
            </w:r>
          </w:p>
        </w:tc>
        <w:tc>
          <w:tcPr>
            <w:tcW w:w="1411" w:type="dxa"/>
          </w:tcPr>
          <w:p w14:paraId="3B5DB927" w14:textId="77777777" w:rsidR="00AB6858" w:rsidRPr="006A0544" w:rsidRDefault="00AB6858" w:rsidP="00430584">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167,777</w:t>
            </w:r>
          </w:p>
        </w:tc>
        <w:tc>
          <w:tcPr>
            <w:tcW w:w="1390" w:type="dxa"/>
          </w:tcPr>
          <w:p w14:paraId="1594E91C" w14:textId="34CE94E3" w:rsidR="00AB6858" w:rsidRPr="006A0544" w:rsidRDefault="00AB6858" w:rsidP="00430584">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w:t>
            </w:r>
          </w:p>
        </w:tc>
        <w:tc>
          <w:tcPr>
            <w:tcW w:w="1479" w:type="dxa"/>
          </w:tcPr>
          <w:p w14:paraId="0CBF85C8" w14:textId="77777777" w:rsidR="00AB6858" w:rsidRPr="006A0544" w:rsidRDefault="00AB6858" w:rsidP="00430584">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409.298</w:t>
            </w:r>
          </w:p>
        </w:tc>
        <w:tc>
          <w:tcPr>
            <w:tcW w:w="1139" w:type="dxa"/>
          </w:tcPr>
          <w:p w14:paraId="2A7BFC62" w14:textId="77777777" w:rsidR="00AB6858" w:rsidRPr="006A0544" w:rsidRDefault="00AB6858" w:rsidP="00430584">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851.658</w:t>
            </w:r>
          </w:p>
        </w:tc>
        <w:tc>
          <w:tcPr>
            <w:tcW w:w="1141" w:type="dxa"/>
          </w:tcPr>
          <w:p w14:paraId="718E1450" w14:textId="77777777" w:rsidR="00AB6858" w:rsidRPr="006A0544" w:rsidRDefault="00AB6858" w:rsidP="00430584">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224.423</w:t>
            </w:r>
          </w:p>
        </w:tc>
      </w:tr>
      <w:tr w:rsidR="007D7C0D" w:rsidRPr="006A0544" w14:paraId="3FAFE55F" w14:textId="77777777" w:rsidTr="00430584">
        <w:tc>
          <w:tcPr>
            <w:tcW w:w="832" w:type="dxa"/>
          </w:tcPr>
          <w:p w14:paraId="0CFEB404" w14:textId="6CDA5E83" w:rsidR="007D7C0D" w:rsidRPr="006A0544" w:rsidRDefault="007D7C0D" w:rsidP="007D7C0D">
            <w:pPr>
              <w:pStyle w:val="parrafo"/>
              <w:spacing w:before="0" w:beforeAutospacing="0" w:after="0" w:afterAutospacing="0"/>
              <w:jc w:val="both"/>
              <w:rPr>
                <w:rFonts w:asciiTheme="minorHAnsi" w:hAnsiTheme="minorHAnsi" w:cstheme="minorHAnsi"/>
              </w:rPr>
            </w:pPr>
            <w:r>
              <w:rPr>
                <w:rFonts w:asciiTheme="minorHAnsi" w:hAnsiTheme="minorHAnsi" w:cstheme="minorHAnsi"/>
              </w:rPr>
              <w:t>2003</w:t>
            </w:r>
          </w:p>
        </w:tc>
        <w:tc>
          <w:tcPr>
            <w:tcW w:w="1250" w:type="dxa"/>
          </w:tcPr>
          <w:p w14:paraId="224CBF48" w14:textId="1457BE5D" w:rsidR="007D7C0D" w:rsidRPr="006A0544" w:rsidRDefault="007D7C0D" w:rsidP="007D7C0D">
            <w:pPr>
              <w:pStyle w:val="parrafo"/>
              <w:spacing w:before="0" w:beforeAutospacing="0" w:after="0" w:afterAutospacing="0"/>
              <w:jc w:val="center"/>
              <w:rPr>
                <w:rFonts w:asciiTheme="minorHAnsi" w:hAnsiTheme="minorHAnsi" w:cstheme="minorHAnsi"/>
              </w:rPr>
            </w:pPr>
            <w:r>
              <w:rPr>
                <w:rFonts w:asciiTheme="minorHAnsi" w:hAnsiTheme="minorHAnsi" w:cstheme="minorHAnsi"/>
              </w:rPr>
              <w:t>1.217.429</w:t>
            </w:r>
          </w:p>
        </w:tc>
        <w:tc>
          <w:tcPr>
            <w:tcW w:w="1411" w:type="dxa"/>
          </w:tcPr>
          <w:p w14:paraId="7552E35D" w14:textId="052EADFC" w:rsidR="007D7C0D" w:rsidRPr="006A0544" w:rsidRDefault="007D7C0D" w:rsidP="007D7C0D">
            <w:pPr>
              <w:pStyle w:val="parrafo"/>
              <w:spacing w:before="0" w:beforeAutospacing="0" w:after="0" w:afterAutospacing="0"/>
              <w:jc w:val="center"/>
              <w:rPr>
                <w:rFonts w:asciiTheme="minorHAnsi" w:hAnsiTheme="minorHAnsi" w:cstheme="minorHAnsi"/>
              </w:rPr>
            </w:pPr>
            <w:r>
              <w:rPr>
                <w:rFonts w:asciiTheme="minorHAnsi" w:hAnsiTheme="minorHAnsi" w:cstheme="minorHAnsi"/>
              </w:rPr>
              <w:t>390.473</w:t>
            </w:r>
          </w:p>
        </w:tc>
        <w:tc>
          <w:tcPr>
            <w:tcW w:w="1390" w:type="dxa"/>
          </w:tcPr>
          <w:p w14:paraId="07E963CF" w14:textId="39EFE43F" w:rsidR="007D7C0D" w:rsidRPr="006A0544" w:rsidRDefault="007D7C0D" w:rsidP="007D7C0D">
            <w:pPr>
              <w:pStyle w:val="parrafo"/>
              <w:spacing w:before="0" w:beforeAutospacing="0" w:after="0" w:afterAutospacing="0"/>
              <w:jc w:val="center"/>
              <w:rPr>
                <w:rFonts w:asciiTheme="minorHAnsi" w:hAnsiTheme="minorHAnsi" w:cstheme="minorHAnsi"/>
              </w:rPr>
            </w:pPr>
            <w:r>
              <w:rPr>
                <w:rFonts w:asciiTheme="minorHAnsi" w:hAnsiTheme="minorHAnsi" w:cstheme="minorHAnsi"/>
              </w:rPr>
              <w:t>-----</w:t>
            </w:r>
          </w:p>
        </w:tc>
        <w:tc>
          <w:tcPr>
            <w:tcW w:w="1479" w:type="dxa"/>
          </w:tcPr>
          <w:p w14:paraId="1FA69F31" w14:textId="15BEF898" w:rsidR="007D7C0D" w:rsidRPr="006A0544" w:rsidRDefault="007D7C0D" w:rsidP="007D7C0D">
            <w:pPr>
              <w:pStyle w:val="parrafo"/>
              <w:spacing w:before="0" w:beforeAutospacing="0" w:after="0" w:afterAutospacing="0"/>
              <w:jc w:val="center"/>
              <w:rPr>
                <w:rFonts w:asciiTheme="minorHAnsi" w:hAnsiTheme="minorHAnsi" w:cstheme="minorHAnsi"/>
              </w:rPr>
            </w:pPr>
            <w:r>
              <w:rPr>
                <w:rFonts w:asciiTheme="minorHAnsi" w:hAnsiTheme="minorHAnsi" w:cstheme="minorHAnsi"/>
              </w:rPr>
              <w:t>465.251</w:t>
            </w:r>
          </w:p>
        </w:tc>
        <w:tc>
          <w:tcPr>
            <w:tcW w:w="1139" w:type="dxa"/>
          </w:tcPr>
          <w:p w14:paraId="5635EDF8" w14:textId="5A539EAF" w:rsidR="007D7C0D" w:rsidRPr="006A0544" w:rsidRDefault="007D7C0D" w:rsidP="007D7C0D">
            <w:pPr>
              <w:pStyle w:val="parrafo"/>
              <w:spacing w:before="0" w:beforeAutospacing="0" w:after="0" w:afterAutospacing="0"/>
              <w:jc w:val="center"/>
              <w:rPr>
                <w:rFonts w:asciiTheme="minorHAnsi" w:hAnsiTheme="minorHAnsi" w:cstheme="minorHAnsi"/>
              </w:rPr>
            </w:pPr>
            <w:r>
              <w:rPr>
                <w:rFonts w:asciiTheme="minorHAnsi" w:hAnsiTheme="minorHAnsi" w:cstheme="minorHAnsi"/>
              </w:rPr>
              <w:t>925.280</w:t>
            </w:r>
          </w:p>
        </w:tc>
        <w:tc>
          <w:tcPr>
            <w:tcW w:w="1141" w:type="dxa"/>
          </w:tcPr>
          <w:p w14:paraId="6DF734C2" w14:textId="54FB73A5" w:rsidR="007D7C0D" w:rsidRPr="006A0544" w:rsidRDefault="007D7C0D" w:rsidP="007D7C0D">
            <w:pPr>
              <w:pStyle w:val="parrafo"/>
              <w:spacing w:before="0" w:beforeAutospacing="0" w:after="0" w:afterAutospacing="0"/>
              <w:jc w:val="center"/>
              <w:rPr>
                <w:rFonts w:asciiTheme="minorHAnsi" w:hAnsiTheme="minorHAnsi" w:cstheme="minorHAnsi"/>
              </w:rPr>
            </w:pPr>
            <w:r>
              <w:rPr>
                <w:rFonts w:asciiTheme="minorHAnsi" w:hAnsiTheme="minorHAnsi" w:cstheme="minorHAnsi"/>
              </w:rPr>
              <w:t>100.622</w:t>
            </w:r>
          </w:p>
        </w:tc>
      </w:tr>
      <w:tr w:rsidR="007D7C0D" w:rsidRPr="006A0544" w14:paraId="00885EC8" w14:textId="77777777" w:rsidTr="00430584">
        <w:tc>
          <w:tcPr>
            <w:tcW w:w="832" w:type="dxa"/>
          </w:tcPr>
          <w:p w14:paraId="53203626" w14:textId="69E532F0" w:rsidR="007D7C0D" w:rsidRDefault="007D7C0D" w:rsidP="007D7C0D">
            <w:pPr>
              <w:pStyle w:val="parrafo"/>
              <w:spacing w:before="0" w:beforeAutospacing="0" w:after="0" w:afterAutospacing="0"/>
              <w:jc w:val="both"/>
              <w:rPr>
                <w:rFonts w:asciiTheme="minorHAnsi" w:hAnsiTheme="minorHAnsi" w:cstheme="minorHAnsi"/>
              </w:rPr>
            </w:pPr>
            <w:r>
              <w:rPr>
                <w:rFonts w:asciiTheme="minorHAnsi" w:hAnsiTheme="minorHAnsi" w:cstheme="minorHAnsi"/>
              </w:rPr>
              <w:t>2004</w:t>
            </w:r>
          </w:p>
        </w:tc>
        <w:tc>
          <w:tcPr>
            <w:tcW w:w="1250" w:type="dxa"/>
          </w:tcPr>
          <w:p w14:paraId="15CA247A" w14:textId="4D905323" w:rsidR="007D7C0D" w:rsidRPr="006A0544" w:rsidRDefault="007D7C0D" w:rsidP="007D7C0D">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1.305.041</w:t>
            </w:r>
          </w:p>
        </w:tc>
        <w:tc>
          <w:tcPr>
            <w:tcW w:w="1411" w:type="dxa"/>
          </w:tcPr>
          <w:p w14:paraId="06E6198A" w14:textId="34D24985" w:rsidR="007D7C0D" w:rsidRPr="006A0544" w:rsidRDefault="007D7C0D" w:rsidP="007D7C0D">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274.059</w:t>
            </w:r>
          </w:p>
        </w:tc>
        <w:tc>
          <w:tcPr>
            <w:tcW w:w="1390" w:type="dxa"/>
          </w:tcPr>
          <w:p w14:paraId="446E85F8" w14:textId="43140BC5" w:rsidR="007D7C0D" w:rsidRPr="006A0544" w:rsidRDefault="007D7C0D" w:rsidP="007D7C0D">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w:t>
            </w:r>
          </w:p>
        </w:tc>
        <w:tc>
          <w:tcPr>
            <w:tcW w:w="1479" w:type="dxa"/>
          </w:tcPr>
          <w:p w14:paraId="5F1655D5" w14:textId="035B4CD4" w:rsidR="007D7C0D" w:rsidRPr="006A0544" w:rsidRDefault="007D7C0D" w:rsidP="007D7C0D">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542.208</w:t>
            </w:r>
          </w:p>
        </w:tc>
        <w:tc>
          <w:tcPr>
            <w:tcW w:w="1139" w:type="dxa"/>
          </w:tcPr>
          <w:p w14:paraId="76E7A4F1" w14:textId="609F1458" w:rsidR="007D7C0D" w:rsidRPr="006A0544" w:rsidRDefault="007D7C0D" w:rsidP="007D7C0D">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1.140.426</w:t>
            </w:r>
          </w:p>
        </w:tc>
        <w:tc>
          <w:tcPr>
            <w:tcW w:w="1141" w:type="dxa"/>
          </w:tcPr>
          <w:p w14:paraId="2FAFA637" w14:textId="51DC4EB2" w:rsidR="007D7C0D" w:rsidRPr="006A0544" w:rsidRDefault="007D7C0D" w:rsidP="007D7C0D">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158.061</w:t>
            </w:r>
          </w:p>
        </w:tc>
      </w:tr>
      <w:tr w:rsidR="007D7C0D" w:rsidRPr="006A0544" w14:paraId="75D4A637" w14:textId="77777777" w:rsidTr="00430584">
        <w:tc>
          <w:tcPr>
            <w:tcW w:w="832" w:type="dxa"/>
          </w:tcPr>
          <w:p w14:paraId="4242191A" w14:textId="567E931A" w:rsidR="007D7C0D" w:rsidRDefault="007D7C0D" w:rsidP="007D7C0D">
            <w:pPr>
              <w:pStyle w:val="parrafo"/>
              <w:spacing w:before="0" w:beforeAutospacing="0" w:after="0" w:afterAutospacing="0"/>
              <w:jc w:val="both"/>
              <w:rPr>
                <w:rFonts w:asciiTheme="minorHAnsi" w:hAnsiTheme="minorHAnsi" w:cstheme="minorHAnsi"/>
              </w:rPr>
            </w:pPr>
            <w:r>
              <w:rPr>
                <w:rFonts w:asciiTheme="minorHAnsi" w:hAnsiTheme="minorHAnsi" w:cstheme="minorHAnsi"/>
              </w:rPr>
              <w:t>2005</w:t>
            </w:r>
          </w:p>
        </w:tc>
        <w:tc>
          <w:tcPr>
            <w:tcW w:w="1250" w:type="dxa"/>
          </w:tcPr>
          <w:p w14:paraId="7CC9DD6C" w14:textId="0BC3F250" w:rsidR="007D7C0D" w:rsidRPr="006A0544" w:rsidRDefault="007D7C0D" w:rsidP="007D7C0D">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1.958.091</w:t>
            </w:r>
          </w:p>
        </w:tc>
        <w:tc>
          <w:tcPr>
            <w:tcW w:w="1411" w:type="dxa"/>
          </w:tcPr>
          <w:p w14:paraId="67407669" w14:textId="77338CE6" w:rsidR="007D7C0D" w:rsidRPr="006A0544" w:rsidRDefault="007D7C0D" w:rsidP="007D7C0D">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653.059</w:t>
            </w:r>
          </w:p>
        </w:tc>
        <w:tc>
          <w:tcPr>
            <w:tcW w:w="1390" w:type="dxa"/>
          </w:tcPr>
          <w:p w14:paraId="2F0B95DA" w14:textId="0FB14958" w:rsidR="007D7C0D" w:rsidRPr="006A0544" w:rsidRDefault="007D7C0D" w:rsidP="007D7C0D">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578.375</w:t>
            </w:r>
          </w:p>
        </w:tc>
        <w:tc>
          <w:tcPr>
            <w:tcW w:w="1479" w:type="dxa"/>
          </w:tcPr>
          <w:p w14:paraId="6A80A1C3" w14:textId="1F577D21" w:rsidR="007D7C0D" w:rsidRPr="006A0544" w:rsidRDefault="007D7C0D" w:rsidP="007D7C0D">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1.030.944</w:t>
            </w:r>
          </w:p>
        </w:tc>
        <w:tc>
          <w:tcPr>
            <w:tcW w:w="1139" w:type="dxa"/>
          </w:tcPr>
          <w:p w14:paraId="63CAA050" w14:textId="7A680B64" w:rsidR="007D7C0D" w:rsidRPr="006A0544" w:rsidRDefault="007D7C0D" w:rsidP="007D7C0D">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1.757.081</w:t>
            </w:r>
          </w:p>
        </w:tc>
        <w:tc>
          <w:tcPr>
            <w:tcW w:w="1141" w:type="dxa"/>
          </w:tcPr>
          <w:p w14:paraId="6F74FB2B" w14:textId="0489E235" w:rsidR="007D7C0D" w:rsidRPr="006A0544" w:rsidRDefault="007D7C0D" w:rsidP="007D7C0D">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616.655</w:t>
            </w:r>
          </w:p>
        </w:tc>
      </w:tr>
      <w:tr w:rsidR="007D7C0D" w:rsidRPr="006A0544" w14:paraId="6E12D0C0" w14:textId="77777777" w:rsidTr="00430584">
        <w:tc>
          <w:tcPr>
            <w:tcW w:w="832" w:type="dxa"/>
          </w:tcPr>
          <w:p w14:paraId="32A9EDB4" w14:textId="576A10D5" w:rsidR="007D7C0D" w:rsidRDefault="007D7C0D" w:rsidP="007D7C0D">
            <w:pPr>
              <w:pStyle w:val="parrafo"/>
              <w:spacing w:before="0" w:beforeAutospacing="0" w:after="0" w:afterAutospacing="0"/>
              <w:jc w:val="both"/>
              <w:rPr>
                <w:rFonts w:asciiTheme="minorHAnsi" w:hAnsiTheme="minorHAnsi" w:cstheme="minorHAnsi"/>
              </w:rPr>
            </w:pPr>
            <w:r>
              <w:rPr>
                <w:rFonts w:asciiTheme="minorHAnsi" w:hAnsiTheme="minorHAnsi" w:cstheme="minorHAnsi"/>
              </w:rPr>
              <w:t>2006</w:t>
            </w:r>
          </w:p>
        </w:tc>
        <w:tc>
          <w:tcPr>
            <w:tcW w:w="1250" w:type="dxa"/>
          </w:tcPr>
          <w:p w14:paraId="3C10EA82" w14:textId="38B7CDDE" w:rsidR="007D7C0D" w:rsidRPr="006A0544" w:rsidRDefault="007D7C0D" w:rsidP="007D7C0D">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2.092.095</w:t>
            </w:r>
          </w:p>
        </w:tc>
        <w:tc>
          <w:tcPr>
            <w:tcW w:w="1411" w:type="dxa"/>
          </w:tcPr>
          <w:p w14:paraId="70014814" w14:textId="7E61837A" w:rsidR="007D7C0D" w:rsidRPr="006A0544" w:rsidRDefault="007D7C0D" w:rsidP="007D7C0D">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134.004</w:t>
            </w:r>
          </w:p>
        </w:tc>
        <w:tc>
          <w:tcPr>
            <w:tcW w:w="1390" w:type="dxa"/>
          </w:tcPr>
          <w:p w14:paraId="7C3712B6" w14:textId="0BE08353" w:rsidR="007D7C0D" w:rsidRPr="006A0544" w:rsidRDefault="007D7C0D" w:rsidP="007D7C0D">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w:t>
            </w:r>
          </w:p>
        </w:tc>
        <w:tc>
          <w:tcPr>
            <w:tcW w:w="1479" w:type="dxa"/>
          </w:tcPr>
          <w:p w14:paraId="67D5BC3D" w14:textId="111E564A" w:rsidR="007D7C0D" w:rsidRPr="006A0544" w:rsidRDefault="007D7C0D" w:rsidP="007D7C0D">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857.052</w:t>
            </w:r>
          </w:p>
        </w:tc>
        <w:tc>
          <w:tcPr>
            <w:tcW w:w="1139" w:type="dxa"/>
          </w:tcPr>
          <w:p w14:paraId="0DA34E33" w14:textId="53E112D9" w:rsidR="007D7C0D" w:rsidRPr="006A0544" w:rsidRDefault="007D7C0D" w:rsidP="007D7C0D">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1.930.266</w:t>
            </w:r>
          </w:p>
        </w:tc>
        <w:tc>
          <w:tcPr>
            <w:tcW w:w="1141" w:type="dxa"/>
          </w:tcPr>
          <w:p w14:paraId="4CFBAC6E" w14:textId="7C9CF0FC" w:rsidR="007D7C0D" w:rsidRPr="006A0544" w:rsidRDefault="007D7C0D" w:rsidP="007D7C0D">
            <w:pPr>
              <w:pStyle w:val="parrafo"/>
              <w:spacing w:before="0" w:beforeAutospacing="0" w:after="0" w:afterAutospacing="0"/>
              <w:jc w:val="center"/>
              <w:rPr>
                <w:rFonts w:asciiTheme="minorHAnsi" w:hAnsiTheme="minorHAnsi" w:cstheme="minorHAnsi"/>
              </w:rPr>
            </w:pPr>
            <w:r w:rsidRPr="006A0544">
              <w:rPr>
                <w:rFonts w:asciiTheme="minorHAnsi" w:hAnsiTheme="minorHAnsi" w:cstheme="minorHAnsi"/>
              </w:rPr>
              <w:t>173.185</w:t>
            </w:r>
          </w:p>
        </w:tc>
      </w:tr>
    </w:tbl>
    <w:p w14:paraId="22669B50" w14:textId="77777777" w:rsidR="00AB6858" w:rsidRPr="006A0544" w:rsidRDefault="00AB6858" w:rsidP="00AB6858">
      <w:pPr>
        <w:pStyle w:val="Textoindependiente"/>
        <w:spacing w:before="120" w:after="0" w:line="240" w:lineRule="auto"/>
        <w:jc w:val="both"/>
        <w:rPr>
          <w:rFonts w:cstheme="minorHAnsi"/>
          <w:sz w:val="24"/>
          <w:szCs w:val="24"/>
        </w:rPr>
      </w:pPr>
      <w:r w:rsidRPr="006A0544">
        <w:rPr>
          <w:rFonts w:cstheme="minorHAnsi"/>
          <w:sz w:val="24"/>
          <w:szCs w:val="24"/>
        </w:rPr>
        <w:t>Fuente Anuarios Estadísticos de Extranjería del Ministerio del Interior y Boletín de Estadísticas Laborales. (BEL) del Ministerio de Trabajo (Elaboración propia)</w:t>
      </w:r>
    </w:p>
    <w:p w14:paraId="554034BF" w14:textId="27DF979F" w:rsidR="00966F6B" w:rsidRDefault="00966F6B" w:rsidP="00966F6B">
      <w:pPr>
        <w:pStyle w:val="parrafo"/>
        <w:spacing w:before="360" w:beforeAutospacing="0" w:after="0" w:afterAutospacing="0" w:line="480" w:lineRule="auto"/>
        <w:contextualSpacing/>
        <w:jc w:val="both"/>
        <w:rPr>
          <w:rFonts w:asciiTheme="minorHAnsi" w:hAnsiTheme="minorHAnsi" w:cstheme="minorHAnsi"/>
        </w:rPr>
      </w:pPr>
      <w:r w:rsidRPr="006A0544">
        <w:rPr>
          <w:rFonts w:asciiTheme="minorHAnsi" w:hAnsiTheme="minorHAnsi" w:cstheme="minorHAnsi"/>
        </w:rPr>
        <w:t xml:space="preserve">Como se deduce de la comparación de las cifras correspondientes </w:t>
      </w:r>
      <w:r>
        <w:rPr>
          <w:rFonts w:asciiTheme="minorHAnsi" w:hAnsiTheme="minorHAnsi" w:cstheme="minorHAnsi"/>
        </w:rPr>
        <w:t xml:space="preserve"> a los años</w:t>
      </w:r>
      <w:r w:rsidRPr="006A0544">
        <w:rPr>
          <w:rFonts w:asciiTheme="minorHAnsi" w:hAnsiTheme="minorHAnsi" w:cstheme="minorHAnsi"/>
        </w:rPr>
        <w:t xml:space="preserve"> en que se llevó a cabo la regularización y </w:t>
      </w:r>
      <w:r>
        <w:rPr>
          <w:rFonts w:asciiTheme="minorHAnsi" w:hAnsiTheme="minorHAnsi" w:cstheme="minorHAnsi"/>
        </w:rPr>
        <w:t xml:space="preserve"> su comparación con los anteriores y posteriores, </w:t>
      </w:r>
      <w:r w:rsidRPr="006A0544">
        <w:rPr>
          <w:rFonts w:asciiTheme="minorHAnsi" w:hAnsiTheme="minorHAnsi" w:cstheme="minorHAnsi"/>
        </w:rPr>
        <w:t xml:space="preserve"> resulta </w:t>
      </w:r>
      <w:r w:rsidRPr="006A0544">
        <w:rPr>
          <w:rFonts w:asciiTheme="minorHAnsi" w:hAnsiTheme="minorHAnsi" w:cstheme="minorHAnsi"/>
        </w:rPr>
        <w:lastRenderedPageBreak/>
        <w:t xml:space="preserve">evidente el incremento en el número de residentes extranjeros de régimen general, </w:t>
      </w:r>
      <w:r>
        <w:rPr>
          <w:rFonts w:asciiTheme="minorHAnsi" w:hAnsiTheme="minorHAnsi" w:cstheme="minorHAnsi"/>
        </w:rPr>
        <w:t xml:space="preserve"> destacando el impacto del proceso de 2005, a resultas del cual </w:t>
      </w:r>
      <w:r w:rsidRPr="006A0544">
        <w:rPr>
          <w:rFonts w:asciiTheme="minorHAnsi" w:hAnsiTheme="minorHAnsi" w:cstheme="minorHAnsi"/>
        </w:rPr>
        <w:t xml:space="preserve">llega a casi duplicarse su número respecto a 2004 y </w:t>
      </w:r>
      <w:r>
        <w:rPr>
          <w:rFonts w:asciiTheme="minorHAnsi" w:hAnsiTheme="minorHAnsi" w:cstheme="minorHAnsi"/>
        </w:rPr>
        <w:t>se reduce</w:t>
      </w:r>
      <w:r w:rsidRPr="006A0544">
        <w:rPr>
          <w:rFonts w:asciiTheme="minorHAnsi" w:hAnsiTheme="minorHAnsi" w:cstheme="minorHAnsi"/>
        </w:rPr>
        <w:t xml:space="preserve"> a casi una quinta parte en el año siguiente, por lo que desde este punto de vista se consiguió </w:t>
      </w:r>
      <w:r>
        <w:rPr>
          <w:rFonts w:asciiTheme="minorHAnsi" w:hAnsiTheme="minorHAnsi" w:cstheme="minorHAnsi"/>
        </w:rPr>
        <w:t>el</w:t>
      </w:r>
      <w:r w:rsidRPr="006A0544">
        <w:rPr>
          <w:rFonts w:asciiTheme="minorHAnsi" w:hAnsiTheme="minorHAnsi" w:cstheme="minorHAnsi"/>
        </w:rPr>
        <w:t xml:space="preserve"> objetivo de regular</w:t>
      </w:r>
      <w:r>
        <w:rPr>
          <w:rFonts w:asciiTheme="minorHAnsi" w:hAnsiTheme="minorHAnsi" w:cstheme="minorHAnsi"/>
        </w:rPr>
        <w:t>izar</w:t>
      </w:r>
      <w:r w:rsidRPr="006A0544">
        <w:rPr>
          <w:rFonts w:asciiTheme="minorHAnsi" w:hAnsiTheme="minorHAnsi" w:cstheme="minorHAnsi"/>
        </w:rPr>
        <w:t xml:space="preserve"> a un gran número de trabajadores extranjeros a lo que contribuyo la   aplicación de criterios flexibles.</w:t>
      </w:r>
    </w:p>
    <w:p w14:paraId="7058EE34" w14:textId="24AD1744" w:rsidR="00966F6B" w:rsidRPr="006A0544" w:rsidRDefault="00966F6B" w:rsidP="00966F6B">
      <w:pPr>
        <w:pStyle w:val="parrafo"/>
        <w:spacing w:before="0" w:beforeAutospacing="0" w:after="0" w:afterAutospacing="0" w:line="480" w:lineRule="auto"/>
        <w:jc w:val="both"/>
        <w:rPr>
          <w:rFonts w:asciiTheme="minorHAnsi" w:hAnsiTheme="minorHAnsi" w:cstheme="minorHAnsi"/>
        </w:rPr>
      </w:pPr>
      <w:r w:rsidRPr="006A0544">
        <w:rPr>
          <w:rFonts w:asciiTheme="minorHAnsi" w:hAnsiTheme="minorHAnsi" w:cstheme="minorHAnsi"/>
        </w:rPr>
        <w:t>Los otros dos registros- número de permisos de trabajo y altas en Seguridad Social- presentan también valores compatibles con los resultados del proceso. La diferencia en el número de altas en relación con el número de permisos de trabajo puede explicarse porque los trabajadores extranjeros comunitarios no necesitan permiso de trabajo, pero s</w:t>
      </w:r>
      <w:r w:rsidR="005A4A2D">
        <w:rPr>
          <w:rFonts w:asciiTheme="minorHAnsi" w:hAnsiTheme="minorHAnsi" w:cstheme="minorHAnsi"/>
        </w:rPr>
        <w:t>í</w:t>
      </w:r>
      <w:r w:rsidRPr="006A0544">
        <w:rPr>
          <w:rFonts w:asciiTheme="minorHAnsi" w:hAnsiTheme="minorHAnsi" w:cstheme="minorHAnsi"/>
        </w:rPr>
        <w:t xml:space="preserve"> ser dados de alta en la Seguridad Social.</w:t>
      </w:r>
    </w:p>
    <w:p w14:paraId="0B759B41" w14:textId="25D90CFE" w:rsidR="005A4A2D" w:rsidRDefault="005A4A2D" w:rsidP="00AE7213">
      <w:pPr>
        <w:pStyle w:val="Prrafodelista"/>
        <w:numPr>
          <w:ilvl w:val="0"/>
          <w:numId w:val="11"/>
        </w:numPr>
        <w:shd w:val="clear" w:color="auto" w:fill="FFFFFF"/>
        <w:spacing w:before="120" w:after="0" w:line="480" w:lineRule="auto"/>
        <w:jc w:val="both"/>
        <w:rPr>
          <w:rFonts w:cstheme="minorHAnsi"/>
          <w:color w:val="000000"/>
          <w:sz w:val="24"/>
          <w:szCs w:val="24"/>
        </w:rPr>
      </w:pPr>
      <w:r>
        <w:rPr>
          <w:rFonts w:cstheme="minorHAnsi"/>
          <w:color w:val="000000"/>
          <w:sz w:val="24"/>
          <w:szCs w:val="24"/>
        </w:rPr>
        <w:t>Evolución del contingente</w:t>
      </w:r>
    </w:p>
    <w:p w14:paraId="74CF34B3" w14:textId="14F9C8E5" w:rsidR="00AE7213" w:rsidRDefault="00AE7213" w:rsidP="004F25B1">
      <w:pPr>
        <w:pStyle w:val="Textoindependiente"/>
        <w:spacing w:after="0" w:line="480" w:lineRule="auto"/>
        <w:jc w:val="both"/>
        <w:rPr>
          <w:rFonts w:cstheme="minorHAnsi"/>
        </w:rPr>
      </w:pPr>
      <w:r w:rsidRPr="006A0544">
        <w:rPr>
          <w:rFonts w:cstheme="minorHAnsi"/>
          <w:sz w:val="24"/>
          <w:szCs w:val="24"/>
        </w:rPr>
        <w:t>A pesar de que el establecimiento de contingentes alcanza el mayor rango legal en este periodo, al establecerse su existencia y configuración como vía prioritaria de acceso al mercado de trabajo (art. 37 de la LOEIS)</w:t>
      </w:r>
      <w:r w:rsidRPr="006A0544">
        <w:rPr>
          <w:rStyle w:val="Refdenotaalpie"/>
          <w:rFonts w:cstheme="minorHAnsi"/>
          <w:color w:val="000000"/>
          <w:sz w:val="24"/>
          <w:szCs w:val="24"/>
        </w:rPr>
        <w:footnoteReference w:id="62"/>
      </w:r>
      <w:r w:rsidRPr="006A0544">
        <w:rPr>
          <w:rFonts w:cstheme="minorHAnsi"/>
          <w:sz w:val="24"/>
          <w:szCs w:val="24"/>
        </w:rPr>
        <w:t>, resultó muy pronto cuestionado al no gozar del apoyo del Gobierno, que</w:t>
      </w:r>
      <w:r>
        <w:rPr>
          <w:rFonts w:cstheme="minorHAnsi"/>
          <w:sz w:val="24"/>
          <w:szCs w:val="24"/>
        </w:rPr>
        <w:t xml:space="preserve"> giró</w:t>
      </w:r>
      <w:r w:rsidRPr="006A0544">
        <w:rPr>
          <w:rFonts w:cstheme="minorHAnsi"/>
          <w:sz w:val="24"/>
          <w:szCs w:val="24"/>
        </w:rPr>
        <w:t xml:space="preserve"> su política hacia un enfoque de “extranjería” en lugar de “inmigración”.</w:t>
      </w:r>
      <w:r>
        <w:rPr>
          <w:rFonts w:cstheme="minorHAnsi"/>
          <w:sz w:val="24"/>
          <w:szCs w:val="24"/>
        </w:rPr>
        <w:t xml:space="preserve"> </w:t>
      </w:r>
      <w:r w:rsidRPr="006A0544">
        <w:rPr>
          <w:rFonts w:cstheme="minorHAnsi"/>
        </w:rPr>
        <w:t>La Ley 8/2000, de reforma de la LOEIS, dispone en su artículo 39 que el establecimiento del contingente quede condicionado a la existencia de “</w:t>
      </w:r>
      <w:r w:rsidRPr="006A0544">
        <w:rPr>
          <w:rFonts w:cstheme="minorHAnsi"/>
          <w:i/>
          <w:iCs/>
        </w:rPr>
        <w:t>necesidad de mano de obra”</w:t>
      </w:r>
      <w:r w:rsidRPr="006A0544">
        <w:rPr>
          <w:rFonts w:cstheme="minorHAnsi"/>
        </w:rPr>
        <w:t>, tomando en consideración la situación nacional de empleo, las propuestas de las Comunidades Autónomas, previa audiencia del Consejo Superior de Política de Inmigración y de las organizaciones sindicales y empresariales más representativas.</w:t>
      </w:r>
      <w:r w:rsidR="004F25B1">
        <w:rPr>
          <w:rFonts w:cstheme="minorHAnsi"/>
        </w:rPr>
        <w:t xml:space="preserve"> </w:t>
      </w:r>
      <w:r w:rsidRPr="006A0544">
        <w:rPr>
          <w:rFonts w:cstheme="minorHAnsi"/>
        </w:rPr>
        <w:t xml:space="preserve">Estas reticencias permitan </w:t>
      </w:r>
      <w:r w:rsidRPr="006A0544">
        <w:rPr>
          <w:rFonts w:cstheme="minorHAnsi"/>
        </w:rPr>
        <w:lastRenderedPageBreak/>
        <w:t xml:space="preserve">adivinar que la posición del Gobierno era </w:t>
      </w:r>
      <w:r w:rsidRPr="00395A91">
        <w:rPr>
          <w:rFonts w:cstheme="minorHAnsi"/>
          <w:color w:val="000000" w:themeColor="text1"/>
        </w:rPr>
        <w:t>contraria</w:t>
      </w:r>
      <w:r>
        <w:rPr>
          <w:rFonts w:cstheme="minorHAnsi"/>
          <w:color w:val="C00000"/>
        </w:rPr>
        <w:t xml:space="preserve"> </w:t>
      </w:r>
      <w:r w:rsidRPr="006A0544">
        <w:rPr>
          <w:rFonts w:cstheme="minorHAnsi"/>
        </w:rPr>
        <w:t xml:space="preserve">al establecimiento de contingentes, como se refleja en la LO 14/2003 y su Reglamento. </w:t>
      </w:r>
    </w:p>
    <w:p w14:paraId="105F195D" w14:textId="2E1921E9" w:rsidR="004F25B1" w:rsidRDefault="004F25B1" w:rsidP="004F25B1">
      <w:pPr>
        <w:pStyle w:val="parrafo"/>
        <w:shd w:val="clear" w:color="auto" w:fill="FFFFFF"/>
        <w:spacing w:before="0" w:beforeAutospacing="0" w:after="0" w:afterAutospacing="0" w:line="480" w:lineRule="auto"/>
        <w:jc w:val="both"/>
        <w:rPr>
          <w:rFonts w:asciiTheme="minorHAnsi" w:hAnsiTheme="minorHAnsi" w:cstheme="minorHAnsi"/>
        </w:rPr>
      </w:pPr>
      <w:r w:rsidRPr="006A0544">
        <w:rPr>
          <w:rFonts w:asciiTheme="minorHAnsi" w:hAnsiTheme="minorHAnsi" w:cstheme="minorHAnsi"/>
        </w:rPr>
        <w:t xml:space="preserve">La deriva que se sigue es la siguiente: por una parte, las plazas ofertadas en el contingente, a pesar de no ser ésta la </w:t>
      </w:r>
      <w:r>
        <w:rPr>
          <w:rFonts w:asciiTheme="minorHAnsi" w:hAnsiTheme="minorHAnsi" w:cstheme="minorHAnsi"/>
        </w:rPr>
        <w:t>finalidad</w:t>
      </w:r>
      <w:r w:rsidRPr="006A0544">
        <w:rPr>
          <w:rFonts w:asciiTheme="minorHAnsi" w:hAnsiTheme="minorHAnsi" w:cstheme="minorHAnsi"/>
        </w:rPr>
        <w:t xml:space="preserve"> originaria, se orientarán preferentemente hacia los trabajos de temporada, para los que se  establece un régimen especial, regulado en el artículo 41.1</w:t>
      </w:r>
      <w:r w:rsidRPr="006A0544">
        <w:rPr>
          <w:rStyle w:val="Refdenotaalpie"/>
          <w:rFonts w:asciiTheme="minorHAnsi" w:eastAsiaTheme="majorEastAsia" w:hAnsiTheme="minorHAnsi" w:cstheme="minorHAnsi"/>
        </w:rPr>
        <w:footnoteReference w:id="63"/>
      </w:r>
      <w:r w:rsidRPr="006A0544">
        <w:rPr>
          <w:rFonts w:asciiTheme="minorHAnsi" w:hAnsiTheme="minorHAnsi" w:cstheme="minorHAnsi"/>
        </w:rPr>
        <w:t xml:space="preserve"> de la propia Ley, cuyo precedente inmediato eran las actividades de guías turísticos o profesores de idiomas extranjeros y más remotamente las emigraciones “golondrina” a Cuba o a Argelia de principios del siglo XX</w:t>
      </w:r>
      <w:r>
        <w:rPr>
          <w:rFonts w:asciiTheme="minorHAnsi" w:hAnsiTheme="minorHAnsi" w:cstheme="minorHAnsi"/>
        </w:rPr>
        <w:t xml:space="preserve">, </w:t>
      </w:r>
      <w:r w:rsidRPr="006A0544">
        <w:rPr>
          <w:rFonts w:asciiTheme="minorHAnsi" w:hAnsiTheme="minorHAnsi" w:cstheme="minorHAnsi"/>
        </w:rPr>
        <w:t xml:space="preserve">por otra, se mantiene la práctica de no establecer contingentes los años coincidentes con los procesos de regularización, </w:t>
      </w:r>
      <w:r w:rsidR="007B5B6D">
        <w:rPr>
          <w:rFonts w:asciiTheme="minorHAnsi" w:hAnsiTheme="minorHAnsi" w:cstheme="minorHAnsi"/>
        </w:rPr>
        <w:t xml:space="preserve">por lo que </w:t>
      </w:r>
      <w:r w:rsidRPr="006A0544">
        <w:rPr>
          <w:rFonts w:asciiTheme="minorHAnsi" w:hAnsiTheme="minorHAnsi" w:cstheme="minorHAnsi"/>
        </w:rPr>
        <w:t xml:space="preserve">no se hará  en 2000,  2001 y  2005. </w:t>
      </w:r>
    </w:p>
    <w:p w14:paraId="32CF49CB" w14:textId="77777777" w:rsidR="00C25702" w:rsidRPr="006A0544" w:rsidRDefault="00C25702" w:rsidP="00C25702">
      <w:pPr>
        <w:pStyle w:val="parrafo"/>
        <w:shd w:val="clear" w:color="auto" w:fill="FFFFFF"/>
        <w:spacing w:before="0" w:beforeAutospacing="0" w:after="0" w:afterAutospacing="0" w:line="480" w:lineRule="auto"/>
        <w:jc w:val="both"/>
        <w:rPr>
          <w:rFonts w:asciiTheme="minorHAnsi" w:hAnsiTheme="minorHAnsi" w:cstheme="minorHAnsi"/>
        </w:rPr>
      </w:pPr>
      <w:r w:rsidRPr="006A0544">
        <w:rPr>
          <w:rFonts w:asciiTheme="minorHAnsi" w:hAnsiTheme="minorHAnsi" w:cstheme="minorHAnsi"/>
        </w:rPr>
        <w:t>Pero la transformación decisiva que, en la práctica conducirá a su inviabilidad, consiste en establecer un procedimiento largo y complejo, lo que impedía atender de forma eficiente las ofertas de los empleadores, y, sobre todo confiar la gestión a los servicios públicos de empleo, cuando era evidente su limitada eficacia en la gestión de las ofertas de colocación.</w:t>
      </w:r>
    </w:p>
    <w:p w14:paraId="554EC6EA" w14:textId="77777777" w:rsidR="00C25702" w:rsidRPr="006A0544" w:rsidRDefault="00C25702" w:rsidP="00C25702">
      <w:pPr>
        <w:pStyle w:val="parrafo"/>
        <w:shd w:val="clear" w:color="auto" w:fill="FFFFFF"/>
        <w:spacing w:before="0" w:beforeAutospacing="0" w:after="0" w:afterAutospacing="0" w:line="480" w:lineRule="auto"/>
        <w:jc w:val="both"/>
        <w:rPr>
          <w:rFonts w:asciiTheme="minorHAnsi" w:hAnsiTheme="minorHAnsi" w:cstheme="minorHAnsi"/>
        </w:rPr>
      </w:pPr>
      <w:r w:rsidRPr="006A0544">
        <w:rPr>
          <w:rFonts w:asciiTheme="minorHAnsi" w:hAnsiTheme="minorHAnsi" w:cstheme="minorHAnsi"/>
        </w:rPr>
        <w:t xml:space="preserve">Debilitada la Dirección General de Ordenación de las Migraciones por el predominio del Ministerio del Interior, respaldado por el enfoque de la UE, la Secretaría de Estado de Empleo, prevaliéndose de su superior rango y de la valoración política del empleo, reivindica la competencia para gestionar las demandas de mano de obra extranjera. </w:t>
      </w:r>
    </w:p>
    <w:p w14:paraId="4A31D480" w14:textId="3029F274" w:rsidR="00C25702" w:rsidRDefault="00C25702" w:rsidP="00C25702">
      <w:pPr>
        <w:pStyle w:val="parrafo"/>
        <w:shd w:val="clear" w:color="auto" w:fill="FFFFFF"/>
        <w:spacing w:before="0" w:beforeAutospacing="0" w:after="0" w:afterAutospacing="0" w:line="480" w:lineRule="auto"/>
        <w:jc w:val="both"/>
        <w:rPr>
          <w:rFonts w:asciiTheme="minorHAnsi" w:hAnsiTheme="minorHAnsi" w:cstheme="minorHAnsi"/>
        </w:rPr>
      </w:pPr>
      <w:r w:rsidRPr="006A0544">
        <w:rPr>
          <w:rFonts w:asciiTheme="minorHAnsi" w:hAnsiTheme="minorHAnsi" w:cstheme="minorHAnsi"/>
        </w:rPr>
        <w:t xml:space="preserve">La continuidad en la gestión administrativa y la demanda creciente de mano de obra dieron como resultado que, si bien no llegase a cuestionarse su existencia, su </w:t>
      </w:r>
      <w:r w:rsidRPr="006A0544">
        <w:rPr>
          <w:rFonts w:asciiTheme="minorHAnsi" w:hAnsiTheme="minorHAnsi" w:cstheme="minorHAnsi"/>
        </w:rPr>
        <w:lastRenderedPageBreak/>
        <w:t>configuración dificultaba que pudiese cumplir la función de llegar a ser “</w:t>
      </w:r>
      <w:r w:rsidRPr="006A0544">
        <w:rPr>
          <w:rFonts w:asciiTheme="minorHAnsi" w:hAnsiTheme="minorHAnsi" w:cstheme="minorHAnsi"/>
          <w:i/>
          <w:iCs/>
        </w:rPr>
        <w:t>un mecanismo idóneo para ordenar los flujos migratorios laborales</w:t>
      </w:r>
      <w:r w:rsidRPr="006A0544">
        <w:rPr>
          <w:rFonts w:asciiTheme="minorHAnsi" w:hAnsiTheme="minorHAnsi" w:cstheme="minorHAnsi"/>
        </w:rPr>
        <w:t>” y permitir “</w:t>
      </w:r>
      <w:r w:rsidRPr="006A0544">
        <w:rPr>
          <w:rFonts w:asciiTheme="minorHAnsi" w:hAnsiTheme="minorHAnsi" w:cstheme="minorHAnsi"/>
          <w:i/>
          <w:iCs/>
        </w:rPr>
        <w:t>la incorporación sistemática y gradual de los trabajadores extranjeros que requiere nuestro mercado laboral</w:t>
      </w:r>
      <w:r w:rsidRPr="006A0544">
        <w:rPr>
          <w:rFonts w:asciiTheme="minorHAnsi" w:hAnsiTheme="minorHAnsi" w:cstheme="minorHAnsi"/>
        </w:rPr>
        <w:t>”</w:t>
      </w:r>
      <w:r>
        <w:rPr>
          <w:rFonts w:asciiTheme="minorHAnsi" w:hAnsiTheme="minorHAnsi" w:cstheme="minorHAnsi"/>
        </w:rPr>
        <w:t>.</w:t>
      </w:r>
    </w:p>
    <w:p w14:paraId="447B2E8B" w14:textId="77777777" w:rsidR="00C25702" w:rsidRPr="006A0544" w:rsidRDefault="00C25702" w:rsidP="00C25702">
      <w:pPr>
        <w:pStyle w:val="parrafo"/>
        <w:spacing w:before="0" w:beforeAutospacing="0" w:after="0" w:afterAutospacing="0" w:line="480" w:lineRule="auto"/>
        <w:jc w:val="both"/>
        <w:rPr>
          <w:rFonts w:asciiTheme="minorHAnsi" w:hAnsiTheme="minorHAnsi" w:cstheme="minorHAnsi"/>
        </w:rPr>
      </w:pPr>
      <w:r w:rsidRPr="006A0544">
        <w:rPr>
          <w:rFonts w:asciiTheme="minorHAnsi" w:hAnsiTheme="minorHAnsi" w:cstheme="minorHAnsi"/>
          <w:color w:val="000000"/>
        </w:rPr>
        <w:t>Antes de la fijación de un nuevo contingente, correspondiente al año 2002, se había publicado el RD 864/2001</w:t>
      </w:r>
      <w:r w:rsidRPr="006A0544">
        <w:rPr>
          <w:rFonts w:asciiTheme="minorHAnsi" w:hAnsiTheme="minorHAnsi" w:cstheme="minorHAnsi"/>
        </w:rPr>
        <w:t xml:space="preserve">, de 20 de julio, por el que se aprueba el Reglamento de ejecución de la </w:t>
      </w:r>
      <w:r w:rsidRPr="00395A91">
        <w:rPr>
          <w:rFonts w:asciiTheme="minorHAnsi" w:hAnsiTheme="minorHAnsi" w:cstheme="minorHAnsi"/>
          <w:color w:val="000000" w:themeColor="text1"/>
        </w:rPr>
        <w:t>LOEIS,</w:t>
      </w:r>
      <w:r>
        <w:rPr>
          <w:rFonts w:asciiTheme="minorHAnsi" w:hAnsiTheme="minorHAnsi" w:cstheme="minorHAnsi"/>
          <w:color w:val="C00000"/>
        </w:rPr>
        <w:t xml:space="preserve"> </w:t>
      </w:r>
      <w:r w:rsidRPr="006A0544">
        <w:rPr>
          <w:rFonts w:asciiTheme="minorHAnsi" w:hAnsiTheme="minorHAnsi" w:cstheme="minorHAnsi"/>
        </w:rPr>
        <w:t xml:space="preserve">reformada por Ley Orgánica 8/2000, de 22 de diciembre.  </w:t>
      </w:r>
    </w:p>
    <w:p w14:paraId="44B55B6B" w14:textId="77777777" w:rsidR="00C25702" w:rsidRPr="006A0544" w:rsidRDefault="00C25702" w:rsidP="00C25702">
      <w:pPr>
        <w:pStyle w:val="Textoindependiente"/>
        <w:spacing w:after="0" w:line="480" w:lineRule="auto"/>
        <w:jc w:val="both"/>
        <w:rPr>
          <w:rFonts w:cstheme="minorHAnsi"/>
          <w:sz w:val="24"/>
          <w:szCs w:val="24"/>
        </w:rPr>
      </w:pPr>
      <w:r w:rsidRPr="006A0544">
        <w:rPr>
          <w:rFonts w:cstheme="minorHAnsi"/>
          <w:sz w:val="24"/>
          <w:szCs w:val="24"/>
        </w:rPr>
        <w:t>El Reglamento puede ser considerado un ejemplo de hiperinflación administrativa, en la que la falta de impulso político se ve compensada por el exceso burocrático. Un ejemplo de ello se halla precisamente en la regulación del “contingente de trabajadores extranjeros”.</w:t>
      </w:r>
      <w:r w:rsidRPr="006A0544">
        <w:rPr>
          <w:rFonts w:cstheme="minorHAnsi"/>
          <w:color w:val="FF0000"/>
          <w:sz w:val="24"/>
          <w:szCs w:val="24"/>
        </w:rPr>
        <w:t xml:space="preserve"> </w:t>
      </w:r>
      <w:r w:rsidRPr="006A0544">
        <w:rPr>
          <w:rFonts w:cstheme="minorHAnsi"/>
          <w:sz w:val="24"/>
          <w:szCs w:val="24"/>
        </w:rPr>
        <w:t>De los 11 puntos que contiene el largo y farragoso artículo 65, lo esencial se halla en su punto 2.</w:t>
      </w:r>
      <w:r w:rsidRPr="006A0544">
        <w:rPr>
          <w:rStyle w:val="Refdenotaalpie"/>
          <w:rFonts w:cstheme="minorHAnsi"/>
          <w:sz w:val="24"/>
          <w:szCs w:val="24"/>
        </w:rPr>
        <w:footnoteReference w:id="64"/>
      </w:r>
      <w:r w:rsidRPr="006A0544">
        <w:rPr>
          <w:rFonts w:cstheme="minorHAnsi"/>
          <w:sz w:val="24"/>
          <w:szCs w:val="24"/>
        </w:rPr>
        <w:t xml:space="preserve"> </w:t>
      </w:r>
    </w:p>
    <w:p w14:paraId="7C80F84D" w14:textId="77777777" w:rsidR="00C25702" w:rsidRPr="006A0544" w:rsidRDefault="00C25702" w:rsidP="00C25702">
      <w:pPr>
        <w:pStyle w:val="Textoindependiente"/>
        <w:spacing w:after="0" w:line="480" w:lineRule="auto"/>
        <w:jc w:val="both"/>
        <w:rPr>
          <w:rFonts w:cstheme="minorHAnsi"/>
          <w:sz w:val="24"/>
          <w:szCs w:val="24"/>
        </w:rPr>
      </w:pPr>
      <w:r w:rsidRPr="006A0544">
        <w:rPr>
          <w:rFonts w:cstheme="minorHAnsi"/>
          <w:sz w:val="24"/>
          <w:szCs w:val="24"/>
        </w:rPr>
        <w:t>La competencia para determinar el “contingente” se atribuye al INEM, revirtiéndose la situación producida en 1985, cuando se atribuyó a la desaparecida Dirección General del IEE la competencia en materia de trabajo de extranjeros. La vieja pugna mantenida en materia migratoria con la antigua Dirección General de Empleo se salda ahora de forma contundente, e incluso un poco sarcástica, ya que a la Dirección General de Ordenación de las Migraciones se le posibilita que participe en las reuniones decisorias “</w:t>
      </w:r>
      <w:r w:rsidRPr="006A0544">
        <w:rPr>
          <w:rFonts w:cstheme="minorHAnsi"/>
          <w:i/>
          <w:iCs/>
          <w:sz w:val="24"/>
          <w:szCs w:val="24"/>
        </w:rPr>
        <w:t>con voz, pero sin voto</w:t>
      </w:r>
      <w:r w:rsidRPr="006A0544">
        <w:rPr>
          <w:rFonts w:cstheme="minorHAnsi"/>
          <w:sz w:val="24"/>
          <w:szCs w:val="24"/>
        </w:rPr>
        <w:t>”.</w:t>
      </w:r>
    </w:p>
    <w:p w14:paraId="251E61C1" w14:textId="77777777" w:rsidR="009A624B" w:rsidRPr="006A0544" w:rsidRDefault="009A624B" w:rsidP="009A624B">
      <w:pPr>
        <w:pStyle w:val="parrafo"/>
        <w:spacing w:before="0" w:beforeAutospacing="0" w:after="0" w:afterAutospacing="0" w:line="480" w:lineRule="auto"/>
        <w:jc w:val="both"/>
        <w:rPr>
          <w:rFonts w:asciiTheme="minorHAnsi" w:hAnsiTheme="minorHAnsi" w:cstheme="minorHAnsi"/>
          <w:color w:val="000000"/>
        </w:rPr>
      </w:pPr>
      <w:r w:rsidRPr="006A0544">
        <w:rPr>
          <w:rFonts w:asciiTheme="minorHAnsi" w:hAnsiTheme="minorHAnsi" w:cstheme="minorHAnsi"/>
          <w:color w:val="000000"/>
        </w:rPr>
        <w:lastRenderedPageBreak/>
        <w:t>El procedimiento, defendible desde el punto de vista teórico, carecía de elementos esenciales para su eficacia. El primero, la señalada escasa eficacia de los servicios públicos de empleo en la intermediación laboral; en segundo lugar, dado el carácter personal del contrato laboral, la gestión administrativa no era capaz de vencer la desconfianza en la contratación de un trabajador del que se carecía de referencias.</w:t>
      </w:r>
    </w:p>
    <w:p w14:paraId="1998E356" w14:textId="77777777" w:rsidR="009A624B" w:rsidRPr="006A0544" w:rsidRDefault="009A624B" w:rsidP="009A624B">
      <w:pPr>
        <w:pStyle w:val="parrafo"/>
        <w:spacing w:before="0" w:beforeAutospacing="0" w:after="0" w:afterAutospacing="0" w:line="480" w:lineRule="auto"/>
        <w:jc w:val="both"/>
        <w:rPr>
          <w:rFonts w:asciiTheme="minorHAnsi" w:hAnsiTheme="minorHAnsi" w:cstheme="minorHAnsi"/>
          <w:color w:val="000000"/>
        </w:rPr>
      </w:pPr>
      <w:r w:rsidRPr="006A0544">
        <w:rPr>
          <w:rFonts w:asciiTheme="minorHAnsi" w:hAnsiTheme="minorHAnsi" w:cstheme="minorHAnsi"/>
          <w:color w:val="000000"/>
        </w:rPr>
        <w:t xml:space="preserve">Esta falta de información podía suplirse cuando inmigrantes residentes en España facilitaban a empresarios datos de familiares o conocidos, de características similares a las suyas, dispuestos a cubrir las necesidades de mano de obra. </w:t>
      </w:r>
    </w:p>
    <w:p w14:paraId="195612E4" w14:textId="77777777" w:rsidR="009A624B" w:rsidRPr="006A0544" w:rsidRDefault="009A624B" w:rsidP="009A624B">
      <w:pPr>
        <w:pStyle w:val="Textoindependiente"/>
        <w:spacing w:after="0" w:line="480" w:lineRule="auto"/>
        <w:jc w:val="both"/>
        <w:rPr>
          <w:rFonts w:eastAsia="Times New Roman" w:cstheme="minorHAnsi"/>
          <w:color w:val="C00000"/>
          <w:sz w:val="24"/>
          <w:szCs w:val="24"/>
          <w:lang w:eastAsia="es-ES"/>
        </w:rPr>
      </w:pPr>
      <w:r w:rsidRPr="006A0544">
        <w:rPr>
          <w:rFonts w:cstheme="minorHAnsi"/>
          <w:sz w:val="24"/>
          <w:szCs w:val="24"/>
        </w:rPr>
        <w:t xml:space="preserve">Esta situación se ponía especialmente de manifiesto en una relación de trabajo de carácter especial, como la de servicio del hogar familiar, en la que se valora de forma destacada la confianza entre empleador y trabajador, y en la que el INEM pasa a desempeñar unas funciones atípicas, como solicitante de trabajadores (organización empresarial) para mediante un programa de intermediación </w:t>
      </w:r>
      <w:r w:rsidRPr="00395A91">
        <w:rPr>
          <w:rFonts w:cstheme="minorHAnsi"/>
          <w:color w:val="000000" w:themeColor="text1"/>
          <w:sz w:val="24"/>
          <w:szCs w:val="24"/>
        </w:rPr>
        <w:t xml:space="preserve">y formación </w:t>
      </w:r>
      <w:r w:rsidRPr="006A0544">
        <w:rPr>
          <w:rFonts w:cstheme="minorHAnsi"/>
          <w:sz w:val="24"/>
          <w:szCs w:val="24"/>
        </w:rPr>
        <w:t>conseguir el objetivo de inserción en el ámbito provincial o autonómico.</w:t>
      </w:r>
      <w:r w:rsidRPr="006A0544">
        <w:rPr>
          <w:rStyle w:val="Refdenotaalpie"/>
          <w:rFonts w:cstheme="minorHAnsi"/>
          <w:color w:val="000000"/>
          <w:sz w:val="24"/>
          <w:szCs w:val="24"/>
        </w:rPr>
        <w:footnoteReference w:id="65"/>
      </w:r>
      <w:r w:rsidRPr="006A0544">
        <w:rPr>
          <w:rFonts w:cstheme="minorHAnsi"/>
          <w:sz w:val="24"/>
          <w:szCs w:val="24"/>
        </w:rPr>
        <w:t xml:space="preserve"> </w:t>
      </w:r>
    </w:p>
    <w:p w14:paraId="161F7498" w14:textId="77777777" w:rsidR="009A624B" w:rsidRPr="006A0544" w:rsidRDefault="009A624B" w:rsidP="009A624B">
      <w:pPr>
        <w:pStyle w:val="Textoindependiente"/>
        <w:spacing w:after="0" w:line="480" w:lineRule="auto"/>
        <w:jc w:val="both"/>
        <w:rPr>
          <w:rFonts w:cstheme="minorHAnsi"/>
          <w:sz w:val="24"/>
          <w:szCs w:val="24"/>
          <w:lang w:eastAsia="es-ES"/>
        </w:rPr>
      </w:pPr>
      <w:r w:rsidRPr="006A0544">
        <w:rPr>
          <w:rFonts w:cstheme="minorHAnsi"/>
          <w:sz w:val="24"/>
          <w:szCs w:val="24"/>
          <w:lang w:eastAsia="es-ES"/>
        </w:rPr>
        <w:t>Una carencia no menos importante era la inexistencia de una estructura en el exterior, en el ámbito de las Embajadas (Consejerías Laborales) o Consulados (Secci</w:t>
      </w:r>
      <w:r>
        <w:rPr>
          <w:rFonts w:cstheme="minorHAnsi"/>
          <w:sz w:val="24"/>
          <w:szCs w:val="24"/>
          <w:lang w:eastAsia="es-ES"/>
        </w:rPr>
        <w:t>ones Laborales), que facilitase</w:t>
      </w:r>
      <w:r w:rsidRPr="006A0544">
        <w:rPr>
          <w:rFonts w:cstheme="minorHAnsi"/>
          <w:sz w:val="24"/>
          <w:szCs w:val="24"/>
          <w:lang w:eastAsia="es-ES"/>
        </w:rPr>
        <w:t xml:space="preserve"> la contratación y documentación de los candidatos. Estaba aún reciente el proceso de desaparición de la estructura del IEE, para iniciar la creación de una estructura análoga para inmigración.</w:t>
      </w:r>
    </w:p>
    <w:p w14:paraId="048EBC8D" w14:textId="77777777" w:rsidR="009A624B" w:rsidRPr="006A0544" w:rsidRDefault="009A624B" w:rsidP="009A624B">
      <w:pPr>
        <w:pStyle w:val="parrafo"/>
        <w:spacing w:before="0" w:beforeAutospacing="0" w:after="0" w:afterAutospacing="0" w:line="480" w:lineRule="auto"/>
        <w:jc w:val="both"/>
        <w:rPr>
          <w:rFonts w:asciiTheme="minorHAnsi" w:hAnsiTheme="minorHAnsi" w:cstheme="minorHAnsi"/>
        </w:rPr>
      </w:pPr>
      <w:r w:rsidRPr="006A0544">
        <w:rPr>
          <w:rFonts w:asciiTheme="minorHAnsi" w:hAnsiTheme="minorHAnsi" w:cstheme="minorHAnsi"/>
        </w:rPr>
        <w:t xml:space="preserve">La LO 14/2003 introduce algunas variaciones tanto en el procedimiento, como la intervención de las Corporaciones locales en la determinación de las ofertas de trabajo </w:t>
      </w:r>
      <w:r w:rsidRPr="006A0544">
        <w:rPr>
          <w:rFonts w:asciiTheme="minorHAnsi" w:hAnsiTheme="minorHAnsi" w:cstheme="minorHAnsi"/>
        </w:rPr>
        <w:lastRenderedPageBreak/>
        <w:t>temporales (art. 42.5) o la posibilidad de acumulación de ofertas genéricas y nominativas (art.39.6), como de contenido creando la figura de los visados para la búsqueda de empleo tanto con carácter general (art.39.4), como los reservados a hijos o nietos de españoles (arts. 39.3 y 42.4)</w:t>
      </w:r>
    </w:p>
    <w:p w14:paraId="72E41B60" w14:textId="77777777" w:rsidR="009A624B" w:rsidRPr="006A0544" w:rsidRDefault="009A624B" w:rsidP="009A624B">
      <w:pPr>
        <w:pStyle w:val="parrafo"/>
        <w:spacing w:before="0" w:beforeAutospacing="0" w:after="0" w:afterAutospacing="0" w:line="480" w:lineRule="auto"/>
        <w:jc w:val="both"/>
        <w:rPr>
          <w:rFonts w:asciiTheme="minorHAnsi" w:hAnsiTheme="minorHAnsi" w:cstheme="minorHAnsi"/>
        </w:rPr>
      </w:pPr>
      <w:r w:rsidRPr="006A0544">
        <w:rPr>
          <w:rFonts w:asciiTheme="minorHAnsi" w:hAnsiTheme="minorHAnsi" w:cstheme="minorHAnsi"/>
        </w:rPr>
        <w:t>Esta orientación sobre el contingente no se quiebra en el Reglamento, aprobado en 2004, de desarrollo de la LO 14/2003,</w:t>
      </w:r>
      <w:r w:rsidRPr="006A0544">
        <w:rPr>
          <w:rStyle w:val="Refdenotaalpie"/>
          <w:rFonts w:asciiTheme="minorHAnsi" w:hAnsiTheme="minorHAnsi" w:cstheme="minorHAnsi"/>
        </w:rPr>
        <w:footnoteReference w:id="66"/>
      </w:r>
      <w:r w:rsidRPr="006A0544">
        <w:rPr>
          <w:rFonts w:asciiTheme="minorHAnsi" w:hAnsiTheme="minorHAnsi" w:cstheme="minorHAnsi"/>
        </w:rPr>
        <w:t xml:space="preserve"> que supuso un cambio de orientación en la política inmigratoria. En su regulación, a la que dedica el título V -arts. 77 a 83, inclusive- mantiene su carácter opcional (art.77),</w:t>
      </w:r>
      <w:r>
        <w:rPr>
          <w:rFonts w:asciiTheme="minorHAnsi" w:hAnsiTheme="minorHAnsi" w:cstheme="minorHAnsi"/>
          <w:color w:val="C00000"/>
        </w:rPr>
        <w:t xml:space="preserve"> </w:t>
      </w:r>
      <w:r w:rsidRPr="00395A91">
        <w:rPr>
          <w:rFonts w:asciiTheme="minorHAnsi" w:hAnsiTheme="minorHAnsi" w:cstheme="minorHAnsi"/>
          <w:color w:val="000000" w:themeColor="text1"/>
        </w:rPr>
        <w:t xml:space="preserve">crea la figura del </w:t>
      </w:r>
      <w:r w:rsidRPr="006A0544">
        <w:rPr>
          <w:rFonts w:asciiTheme="minorHAnsi" w:hAnsiTheme="minorHAnsi" w:cstheme="minorHAnsi"/>
        </w:rPr>
        <w:t>visado para la búsqueda de empleo (art. 78.2, 82 y 83), el elemento básico sigue siendo la información suministrada por el Servicio Público de Empleo Estatal (SEPE), sucesor del INEM (art. 79), y el procedimiento no reduce su complejidad (art. 80).</w:t>
      </w:r>
    </w:p>
    <w:p w14:paraId="3A60E853" w14:textId="77777777" w:rsidR="00782C28" w:rsidRPr="006A0544" w:rsidRDefault="00782C28" w:rsidP="00782C28">
      <w:pPr>
        <w:pStyle w:val="parrafo"/>
        <w:spacing w:before="0" w:beforeAutospacing="0" w:after="0" w:afterAutospacing="0" w:line="480" w:lineRule="auto"/>
        <w:jc w:val="both"/>
        <w:rPr>
          <w:rFonts w:asciiTheme="minorHAnsi" w:hAnsiTheme="minorHAnsi" w:cstheme="minorHAnsi"/>
        </w:rPr>
      </w:pPr>
      <w:r w:rsidRPr="006A0544">
        <w:rPr>
          <w:rFonts w:asciiTheme="minorHAnsi" w:hAnsiTheme="minorHAnsi" w:cstheme="minorHAnsi"/>
        </w:rPr>
        <w:t>Desde entonces el referido catálogo, publicado con periodicidad trimestral, ha venido ofreciendo unas ofertas imposibles de cubrir no sólo en el mercado de trabajo nacional sino internacional, con lo que realmente se ha convertido en un cuello de botella</w:t>
      </w:r>
      <w:r>
        <w:rPr>
          <w:rFonts w:asciiTheme="minorHAnsi" w:hAnsiTheme="minorHAnsi" w:cstheme="minorHAnsi"/>
        </w:rPr>
        <w:t xml:space="preserve">, </w:t>
      </w:r>
      <w:r w:rsidRPr="00395A91">
        <w:rPr>
          <w:rFonts w:asciiTheme="minorHAnsi" w:hAnsiTheme="minorHAnsi" w:cstheme="minorHAnsi"/>
          <w:color w:val="000000" w:themeColor="text1"/>
        </w:rPr>
        <w:t>o por utilizar una expresión novísima un “embudo”</w:t>
      </w:r>
      <w:r>
        <w:rPr>
          <w:rFonts w:asciiTheme="minorHAnsi" w:hAnsiTheme="minorHAnsi" w:cstheme="minorHAnsi"/>
        </w:rPr>
        <w:t>,</w:t>
      </w:r>
      <w:r w:rsidRPr="00AD15C4">
        <w:rPr>
          <w:rFonts w:asciiTheme="minorHAnsi" w:hAnsiTheme="minorHAnsi" w:cstheme="minorHAnsi"/>
        </w:rPr>
        <w:t xml:space="preserve"> </w:t>
      </w:r>
      <w:r w:rsidRPr="006A0544">
        <w:rPr>
          <w:rFonts w:asciiTheme="minorHAnsi" w:hAnsiTheme="minorHAnsi" w:cstheme="minorHAnsi"/>
        </w:rPr>
        <w:t>para una gestión eficiente de las necesidades del mercado de trabajo.</w:t>
      </w:r>
    </w:p>
    <w:p w14:paraId="5340B63E" w14:textId="77777777" w:rsidR="00DC4029" w:rsidRPr="006A0544" w:rsidRDefault="00DC4029" w:rsidP="00DC4029">
      <w:pPr>
        <w:pStyle w:val="parrafo"/>
        <w:spacing w:before="0" w:beforeAutospacing="0" w:after="0" w:afterAutospacing="0" w:line="480" w:lineRule="auto"/>
        <w:jc w:val="both"/>
        <w:rPr>
          <w:rFonts w:asciiTheme="minorHAnsi" w:hAnsiTheme="minorHAnsi" w:cstheme="minorHAnsi"/>
        </w:rPr>
      </w:pPr>
      <w:r w:rsidRPr="006A0544">
        <w:rPr>
          <w:rFonts w:asciiTheme="minorHAnsi" w:hAnsiTheme="minorHAnsi" w:cstheme="minorHAnsi"/>
        </w:rPr>
        <w:t xml:space="preserve">El artículo 80 del mismo Reglamento contemplaba la posibilidad de impartir cursos de formación a los trabajadores seleccionados para trabajar en España, aunque sin especificar el contenido ni la financiación de los mismos. </w:t>
      </w:r>
    </w:p>
    <w:p w14:paraId="749C5564" w14:textId="77777777" w:rsidR="00DC4029" w:rsidRPr="006A0544" w:rsidRDefault="00DC4029" w:rsidP="00DC4029">
      <w:pPr>
        <w:pStyle w:val="parrafo"/>
        <w:shd w:val="clear" w:color="auto" w:fill="FFFFFF"/>
        <w:spacing w:before="0" w:beforeAutospacing="0" w:after="0" w:afterAutospacing="0" w:line="480" w:lineRule="auto"/>
        <w:jc w:val="both"/>
        <w:rPr>
          <w:rFonts w:asciiTheme="minorHAnsi" w:hAnsiTheme="minorHAnsi" w:cstheme="minorHAnsi"/>
        </w:rPr>
      </w:pPr>
      <w:r w:rsidRPr="006A0544">
        <w:rPr>
          <w:rFonts w:asciiTheme="minorHAnsi" w:hAnsiTheme="minorHAnsi" w:cstheme="minorHAnsi"/>
          <w:color w:val="000000"/>
        </w:rPr>
        <w:t>Por último, al amparo de lo dispuesto en el art. 31.3 de la Ley Orgánica 4/2000, que autoriza la concesión de una autorización de residencia temporal, por circunstancias excepcionales</w:t>
      </w:r>
      <w:r w:rsidRPr="006A0544">
        <w:rPr>
          <w:rStyle w:val="Refdenotaalpie"/>
          <w:rFonts w:asciiTheme="minorHAnsi" w:eastAsiaTheme="majorEastAsia" w:hAnsiTheme="minorHAnsi" w:cstheme="minorHAnsi"/>
          <w:color w:val="000000"/>
        </w:rPr>
        <w:footnoteReference w:id="67"/>
      </w:r>
      <w:r>
        <w:rPr>
          <w:rFonts w:asciiTheme="minorHAnsi" w:hAnsiTheme="minorHAnsi" w:cstheme="minorHAnsi"/>
          <w:color w:val="000000"/>
        </w:rPr>
        <w:t>,</w:t>
      </w:r>
      <w:r w:rsidRPr="006A0544">
        <w:rPr>
          <w:rFonts w:asciiTheme="minorHAnsi" w:hAnsiTheme="minorHAnsi" w:cstheme="minorHAnsi"/>
          <w:color w:val="000000"/>
        </w:rPr>
        <w:t xml:space="preserve"> el Reglamento desarrolla la institución de “autorización por arraigo”, </w:t>
      </w:r>
      <w:r w:rsidRPr="006A0544">
        <w:rPr>
          <w:rFonts w:asciiTheme="minorHAnsi" w:hAnsiTheme="minorHAnsi" w:cstheme="minorHAnsi"/>
          <w:color w:val="000000"/>
        </w:rPr>
        <w:lastRenderedPageBreak/>
        <w:t>bajo una doble modalidad: arraigo laboral (dos años), arraigo social (tres años), que se mantendrá hasta la actualidad</w:t>
      </w:r>
      <w:r w:rsidRPr="006A0544">
        <w:rPr>
          <w:rStyle w:val="Refdenotaalpie"/>
          <w:rFonts w:asciiTheme="minorHAnsi" w:eastAsiaTheme="majorEastAsia" w:hAnsiTheme="minorHAnsi" w:cstheme="minorHAnsi"/>
          <w:color w:val="000000"/>
        </w:rPr>
        <w:footnoteReference w:id="68"/>
      </w:r>
      <w:r>
        <w:rPr>
          <w:rFonts w:asciiTheme="minorHAnsi" w:hAnsiTheme="minorHAnsi" w:cstheme="minorHAnsi"/>
          <w:color w:val="000000"/>
        </w:rPr>
        <w:t>.</w:t>
      </w:r>
      <w:r w:rsidRPr="006A0544">
        <w:rPr>
          <w:rFonts w:asciiTheme="minorHAnsi" w:hAnsiTheme="minorHAnsi" w:cstheme="minorHAnsi"/>
          <w:color w:val="000000"/>
        </w:rPr>
        <w:t xml:space="preserve"> Ambas</w:t>
      </w:r>
      <w:r w:rsidRPr="006A0544">
        <w:rPr>
          <w:rFonts w:asciiTheme="minorHAnsi" w:hAnsiTheme="minorHAnsi" w:cstheme="minorHAnsi"/>
        </w:rPr>
        <w:t xml:space="preserve"> autorizaciones, para las que no </w:t>
      </w:r>
      <w:r>
        <w:rPr>
          <w:rFonts w:asciiTheme="minorHAnsi" w:hAnsiTheme="minorHAnsi" w:cstheme="minorHAnsi"/>
        </w:rPr>
        <w:t xml:space="preserve">es </w:t>
      </w:r>
      <w:r w:rsidRPr="006A0544">
        <w:rPr>
          <w:rFonts w:asciiTheme="minorHAnsi" w:hAnsiTheme="minorHAnsi" w:cstheme="minorHAnsi"/>
        </w:rPr>
        <w:t>exigible visado, al hallarse la persona en España, conllevan autorización para trabajar.</w:t>
      </w:r>
      <w:r w:rsidRPr="006A0544">
        <w:rPr>
          <w:rStyle w:val="Refdenotaalpie"/>
          <w:rFonts w:asciiTheme="minorHAnsi" w:eastAsiaTheme="majorEastAsia" w:hAnsiTheme="minorHAnsi" w:cstheme="minorHAnsi"/>
        </w:rPr>
        <w:footnoteReference w:id="69"/>
      </w:r>
    </w:p>
    <w:p w14:paraId="6EDD5C02" w14:textId="38590DE0" w:rsidR="00DC4029" w:rsidRPr="00005433" w:rsidRDefault="00DC4029" w:rsidP="00005433">
      <w:pPr>
        <w:pStyle w:val="Prrafodelista"/>
        <w:numPr>
          <w:ilvl w:val="0"/>
          <w:numId w:val="2"/>
        </w:numPr>
        <w:shd w:val="clear" w:color="auto" w:fill="FFFFFF"/>
        <w:spacing w:before="120" w:after="0" w:line="480" w:lineRule="auto"/>
        <w:jc w:val="both"/>
        <w:rPr>
          <w:rFonts w:eastAsia="Times New Roman" w:cstheme="minorHAnsi"/>
          <w:sz w:val="24"/>
          <w:szCs w:val="24"/>
          <w:lang w:eastAsia="es-ES"/>
        </w:rPr>
      </w:pPr>
      <w:r w:rsidRPr="00005433">
        <w:rPr>
          <w:rFonts w:eastAsia="Times New Roman" w:cstheme="minorHAnsi"/>
          <w:sz w:val="24"/>
          <w:szCs w:val="24"/>
          <w:lang w:eastAsia="es-ES"/>
        </w:rPr>
        <w:t>POLÍTICA INMIGRATORIA DESDE 2011 HASTA LA ACTUALIDAD</w:t>
      </w:r>
    </w:p>
    <w:p w14:paraId="3D1FA9DE" w14:textId="77777777" w:rsidR="00DC4029" w:rsidRPr="006A0544" w:rsidRDefault="00DC4029" w:rsidP="00DC4029">
      <w:pPr>
        <w:pStyle w:val="Textoindependiente"/>
        <w:spacing w:after="0" w:line="480" w:lineRule="auto"/>
        <w:jc w:val="both"/>
        <w:rPr>
          <w:rFonts w:cstheme="minorHAnsi"/>
          <w:sz w:val="24"/>
          <w:szCs w:val="24"/>
          <w:lang w:eastAsia="es-ES"/>
        </w:rPr>
      </w:pPr>
      <w:r w:rsidRPr="006A0544">
        <w:rPr>
          <w:rFonts w:cstheme="minorHAnsi"/>
          <w:sz w:val="24"/>
          <w:szCs w:val="24"/>
          <w:lang w:eastAsia="es-ES"/>
        </w:rPr>
        <w:t>Frente a la “política activa de inmigración” característica de la última década del siglo XX y los constantes  cambios, tanto en el plano normativo como en el  de gestión, que caracterizaron la primera década del siglo XX, a partir de 2011 se produce una situación de sosiego, o quizás mejor, de “pasividad”, en los distintos ámbitos, en la que los únicos cambios se producen sobre todo en el ámbito organizativo, que obedecen más a razones de orientación política o de la propia inercia administrativa que a requerimientos de la situación inmigratoria.</w:t>
      </w:r>
    </w:p>
    <w:p w14:paraId="78B39425" w14:textId="77777777" w:rsidR="00923627" w:rsidRPr="006A0544" w:rsidRDefault="00923627" w:rsidP="00923627">
      <w:pPr>
        <w:pStyle w:val="Textoindependiente"/>
        <w:spacing w:after="0" w:line="480" w:lineRule="auto"/>
        <w:jc w:val="both"/>
        <w:rPr>
          <w:rFonts w:cstheme="minorHAnsi"/>
          <w:sz w:val="24"/>
          <w:szCs w:val="24"/>
          <w:lang w:eastAsia="es-ES"/>
        </w:rPr>
      </w:pPr>
      <w:r w:rsidRPr="006A0544">
        <w:rPr>
          <w:rFonts w:cstheme="minorHAnsi"/>
          <w:sz w:val="24"/>
          <w:szCs w:val="24"/>
          <w:lang w:eastAsia="es-ES"/>
        </w:rPr>
        <w:t xml:space="preserve">A ello no es ajeno el hecho de que, por una parte, la iniciativa se le delega en la Unión Europea, limitándose nuestro país a llevar a cabo </w:t>
      </w:r>
      <w:r w:rsidRPr="00AD070D">
        <w:rPr>
          <w:rFonts w:cstheme="minorHAnsi"/>
          <w:sz w:val="24"/>
          <w:szCs w:val="24"/>
          <w:lang w:eastAsia="es-ES"/>
        </w:rPr>
        <w:t>aquellas</w:t>
      </w:r>
      <w:r>
        <w:rPr>
          <w:rFonts w:cstheme="minorHAnsi"/>
          <w:color w:val="C00000"/>
          <w:sz w:val="24"/>
          <w:szCs w:val="24"/>
          <w:lang w:eastAsia="es-ES"/>
        </w:rPr>
        <w:t xml:space="preserve"> </w:t>
      </w:r>
      <w:r w:rsidRPr="006A0544">
        <w:rPr>
          <w:rFonts w:cstheme="minorHAnsi"/>
          <w:sz w:val="24"/>
          <w:szCs w:val="24"/>
          <w:lang w:eastAsia="es-ES"/>
        </w:rPr>
        <w:t>reformas normativas derivadas de la obligación de transponer directivas o reglamentos comunitarios.</w:t>
      </w:r>
    </w:p>
    <w:p w14:paraId="1C474262" w14:textId="77777777" w:rsidR="00923627" w:rsidRPr="006A0544" w:rsidRDefault="00923627" w:rsidP="00923627">
      <w:pPr>
        <w:pStyle w:val="Textoindependiente"/>
        <w:spacing w:after="0" w:line="480" w:lineRule="auto"/>
        <w:jc w:val="both"/>
        <w:rPr>
          <w:rFonts w:cstheme="minorHAnsi"/>
          <w:sz w:val="24"/>
          <w:szCs w:val="24"/>
          <w:lang w:eastAsia="es-ES"/>
        </w:rPr>
      </w:pPr>
      <w:r w:rsidRPr="006A0544">
        <w:rPr>
          <w:rFonts w:cstheme="minorHAnsi"/>
          <w:sz w:val="24"/>
          <w:szCs w:val="24"/>
          <w:lang w:eastAsia="es-ES"/>
        </w:rPr>
        <w:t xml:space="preserve">Por otra parte, España no se ve gravemente afectada por las crisis derivadas de la “primavera árabe”, ya que en Marruecos, principal país del Magreb origen de los flujos, apenas si dejan notarse sus efectos, ni de la guerra de Siria, por lo que la cuestión migratoria llegará a la opinión pública a través de las imágenes de las llegadas en pateras y rescates en alta mar a través de la ruta mediterránea occidental, que si bien </w:t>
      </w:r>
      <w:r w:rsidRPr="006A0544">
        <w:rPr>
          <w:rFonts w:cstheme="minorHAnsi"/>
          <w:sz w:val="24"/>
          <w:szCs w:val="24"/>
          <w:lang w:eastAsia="es-ES"/>
        </w:rPr>
        <w:lastRenderedPageBreak/>
        <w:t>numéricamente siguen siendo poco significativas en relación con el número total de llegadas, su dramatismo producen un impacto en la opinión pública susceptible de ser rentabilizado electoralmente por partidos con discursos xenófobos.</w:t>
      </w:r>
    </w:p>
    <w:p w14:paraId="3EF239A2" w14:textId="77777777" w:rsidR="00211292" w:rsidRPr="006A0544" w:rsidRDefault="00211292" w:rsidP="00211292">
      <w:pPr>
        <w:pStyle w:val="Prrafodelista"/>
        <w:numPr>
          <w:ilvl w:val="0"/>
          <w:numId w:val="17"/>
        </w:numPr>
        <w:shd w:val="clear" w:color="auto" w:fill="FFFFFF"/>
        <w:spacing w:before="120" w:after="0" w:line="480" w:lineRule="auto"/>
        <w:ind w:left="714" w:hanging="357"/>
        <w:jc w:val="both"/>
        <w:rPr>
          <w:rFonts w:cstheme="minorHAnsi"/>
          <w:sz w:val="24"/>
          <w:szCs w:val="24"/>
        </w:rPr>
      </w:pPr>
      <w:r w:rsidRPr="006A0544">
        <w:rPr>
          <w:rFonts w:eastAsia="Times New Roman" w:cstheme="minorHAnsi"/>
          <w:sz w:val="24"/>
          <w:szCs w:val="24"/>
          <w:lang w:eastAsia="es-ES"/>
        </w:rPr>
        <w:t>ámbito normativo:</w:t>
      </w:r>
      <w:r w:rsidRPr="006A0544">
        <w:rPr>
          <w:rFonts w:cstheme="minorHAnsi"/>
          <w:sz w:val="24"/>
          <w:szCs w:val="24"/>
        </w:rPr>
        <w:t xml:space="preserve">  las reformas de la LO 2/2009 y el Reglamento de 2011.</w:t>
      </w:r>
    </w:p>
    <w:p w14:paraId="6D99CB6C" w14:textId="77777777" w:rsidR="00211292" w:rsidRPr="006A0544" w:rsidRDefault="00211292" w:rsidP="00211292">
      <w:pPr>
        <w:pStyle w:val="Textoindependiente"/>
        <w:spacing w:after="0" w:line="480" w:lineRule="auto"/>
        <w:jc w:val="both"/>
        <w:rPr>
          <w:rFonts w:cstheme="minorHAnsi"/>
          <w:sz w:val="24"/>
          <w:szCs w:val="24"/>
        </w:rPr>
      </w:pPr>
      <w:r w:rsidRPr="006A0544">
        <w:rPr>
          <w:rFonts w:cstheme="minorHAnsi"/>
          <w:sz w:val="24"/>
          <w:szCs w:val="24"/>
        </w:rPr>
        <w:t>Si la LO 2/2009, de 11 de diciembre, significa una posición de estabilidad tras las repetidas e improvisadas reformas que generó la LOEIS al comienzo de la década, su Reglamento</w:t>
      </w:r>
      <w:r w:rsidRPr="006A0544">
        <w:rPr>
          <w:rStyle w:val="Refdenotaalpie"/>
          <w:rFonts w:cstheme="minorHAnsi"/>
          <w:sz w:val="24"/>
          <w:szCs w:val="24"/>
        </w:rPr>
        <w:footnoteReference w:id="70"/>
      </w:r>
      <w:r w:rsidRPr="006A0544">
        <w:rPr>
          <w:rFonts w:cstheme="minorHAnsi"/>
          <w:sz w:val="24"/>
          <w:szCs w:val="24"/>
        </w:rPr>
        <w:t xml:space="preserve"> ha seguido la misma senda.</w:t>
      </w:r>
    </w:p>
    <w:p w14:paraId="56C156E6" w14:textId="067A11B4" w:rsidR="00211292" w:rsidRDefault="00211292" w:rsidP="00211292">
      <w:pPr>
        <w:pStyle w:val="parrafo"/>
        <w:spacing w:before="0" w:beforeAutospacing="0" w:after="0" w:afterAutospacing="0" w:line="480" w:lineRule="auto"/>
        <w:jc w:val="both"/>
        <w:rPr>
          <w:rFonts w:asciiTheme="minorHAnsi" w:hAnsiTheme="minorHAnsi" w:cstheme="minorHAnsi"/>
          <w:color w:val="C00000"/>
        </w:rPr>
      </w:pPr>
      <w:r w:rsidRPr="006A0544">
        <w:rPr>
          <w:rFonts w:asciiTheme="minorHAnsi" w:hAnsiTheme="minorHAnsi" w:cstheme="minorHAnsi"/>
        </w:rPr>
        <w:t>La única modificación, con alcance social y significación política, guarda relación, en un contexto de restricción de gasto público, con la limitación del derecho de los inmigrantes a la asistencia sanitaria.</w:t>
      </w:r>
      <w:r w:rsidRPr="006A0544">
        <w:rPr>
          <w:rFonts w:asciiTheme="minorHAnsi" w:hAnsiTheme="minorHAnsi" w:cstheme="minorHAnsi"/>
          <w:color w:val="000000"/>
        </w:rPr>
        <w:t xml:space="preserve"> </w:t>
      </w:r>
      <w:r>
        <w:rPr>
          <w:rFonts w:asciiTheme="minorHAnsi" w:hAnsiTheme="minorHAnsi" w:cstheme="minorHAnsi"/>
          <w:color w:val="000000"/>
        </w:rPr>
        <w:t xml:space="preserve"> Con objeto de</w:t>
      </w:r>
      <w:r w:rsidRPr="006A0544">
        <w:rPr>
          <w:rFonts w:asciiTheme="minorHAnsi" w:hAnsiTheme="minorHAnsi" w:cstheme="minorHAnsi"/>
          <w:color w:val="000000"/>
        </w:rPr>
        <w:t xml:space="preserve"> garantizar la sostenibilidad del Sistema Nacional de Salud y mejorar la calidad y seguridad de sus prestaciones</w:t>
      </w:r>
      <w:r w:rsidR="00765AF1">
        <w:rPr>
          <w:rFonts w:asciiTheme="minorHAnsi" w:hAnsiTheme="minorHAnsi" w:cstheme="minorHAnsi"/>
          <w:color w:val="000000"/>
        </w:rPr>
        <w:t xml:space="preserve"> se </w:t>
      </w:r>
      <w:r w:rsidRPr="006A0544">
        <w:rPr>
          <w:rFonts w:asciiTheme="minorHAnsi" w:hAnsiTheme="minorHAnsi" w:cstheme="minorHAnsi"/>
          <w:color w:val="000000"/>
        </w:rPr>
        <w:t>restringe el derecho de los extranjeros no registrados ni autorizados a permanecer en España a recibir atención sanitaria de urgencia en caso de enfermedad grave o accidente hasta el alta y a la asistencia al embarazo, parto y postparto</w:t>
      </w:r>
      <w:r w:rsidR="00765AF1">
        <w:rPr>
          <w:rStyle w:val="Refdenotaalpie"/>
          <w:rFonts w:asciiTheme="minorHAnsi" w:hAnsiTheme="minorHAnsi" w:cstheme="minorHAnsi"/>
          <w:color w:val="000000"/>
        </w:rPr>
        <w:footnoteReference w:id="71"/>
      </w:r>
      <w:r w:rsidR="00353400">
        <w:rPr>
          <w:rFonts w:asciiTheme="minorHAnsi" w:hAnsiTheme="minorHAnsi" w:cstheme="minorHAnsi"/>
          <w:color w:val="000000"/>
        </w:rPr>
        <w:t xml:space="preserve">, situación que se revierte </w:t>
      </w:r>
      <w:r w:rsidRPr="006A0544">
        <w:rPr>
          <w:rFonts w:asciiTheme="minorHAnsi" w:hAnsiTheme="minorHAnsi" w:cstheme="minorHAnsi"/>
          <w:color w:val="000000"/>
        </w:rPr>
        <w:t>mediante el RD-ley 7/2018, de 27 de julio, sobre el acceso universal al Sistema Nacional de Salud</w:t>
      </w:r>
      <w:r w:rsidRPr="00D634C1">
        <w:rPr>
          <w:rStyle w:val="Refdenotaalpie"/>
          <w:rFonts w:asciiTheme="minorHAnsi" w:hAnsiTheme="minorHAnsi" w:cstheme="minorHAnsi"/>
        </w:rPr>
        <w:footnoteReference w:id="72"/>
      </w:r>
      <w:r w:rsidRPr="00D634C1">
        <w:rPr>
          <w:rFonts w:asciiTheme="minorHAnsi" w:hAnsiTheme="minorHAnsi" w:cstheme="minorHAnsi"/>
        </w:rPr>
        <w:t>.</w:t>
      </w:r>
      <w:r w:rsidRPr="00DA1EBE">
        <w:rPr>
          <w:rFonts w:asciiTheme="minorHAnsi" w:hAnsiTheme="minorHAnsi" w:cstheme="minorHAnsi"/>
          <w:color w:val="C00000"/>
        </w:rPr>
        <w:t xml:space="preserve"> </w:t>
      </w:r>
    </w:p>
    <w:p w14:paraId="3F9AEA49" w14:textId="77777777" w:rsidR="001C1E7F" w:rsidRPr="006A0544" w:rsidRDefault="001C1E7F" w:rsidP="001C1E7F">
      <w:pPr>
        <w:pStyle w:val="Textoindependiente"/>
        <w:spacing w:after="0" w:line="480" w:lineRule="auto"/>
        <w:jc w:val="both"/>
        <w:rPr>
          <w:rFonts w:cstheme="minorHAnsi"/>
          <w:sz w:val="24"/>
          <w:szCs w:val="24"/>
        </w:rPr>
      </w:pPr>
      <w:r w:rsidRPr="006A0544">
        <w:rPr>
          <w:rFonts w:cstheme="minorHAnsi"/>
          <w:sz w:val="24"/>
          <w:szCs w:val="24"/>
          <w:shd w:val="clear" w:color="auto" w:fill="FFFFFF"/>
        </w:rPr>
        <w:t xml:space="preserve">La Disposición final tercera de la LO 2/2009 contenía una habilitación general para su aplicación y desarrollo. A su amparo se publicó el </w:t>
      </w:r>
      <w:r w:rsidRPr="006A0544">
        <w:rPr>
          <w:rFonts w:cstheme="minorHAnsi"/>
          <w:sz w:val="24"/>
          <w:szCs w:val="24"/>
        </w:rPr>
        <w:t>RD 557/2011, que aprueba el Reglamento de la Ley.</w:t>
      </w:r>
    </w:p>
    <w:p w14:paraId="35C75CE9" w14:textId="77777777" w:rsidR="001C1E7F" w:rsidRPr="006A0544" w:rsidRDefault="001C1E7F" w:rsidP="001C1E7F">
      <w:pPr>
        <w:pStyle w:val="Textoindependiente"/>
        <w:spacing w:after="0" w:line="480" w:lineRule="auto"/>
        <w:jc w:val="both"/>
        <w:rPr>
          <w:rFonts w:cstheme="minorHAnsi"/>
          <w:sz w:val="24"/>
          <w:szCs w:val="24"/>
          <w:shd w:val="clear" w:color="auto" w:fill="FFFFFF"/>
        </w:rPr>
      </w:pPr>
      <w:r w:rsidRPr="006A0544">
        <w:rPr>
          <w:rFonts w:cstheme="minorHAnsi"/>
          <w:sz w:val="24"/>
          <w:szCs w:val="24"/>
        </w:rPr>
        <w:t>Uno de los objetivos que el Reglamento plantea es una vez más “</w:t>
      </w:r>
      <w:r w:rsidRPr="006A0544">
        <w:rPr>
          <w:rFonts w:cstheme="minorHAnsi"/>
          <w:i/>
          <w:iCs/>
          <w:sz w:val="24"/>
          <w:szCs w:val="24"/>
          <w:shd w:val="clear" w:color="auto" w:fill="FFFFFF"/>
        </w:rPr>
        <w:t xml:space="preserve">clarificar, simplificar y ordenar procedimientos complejos, cuya tramitación puede ser mejorada desde la </w:t>
      </w:r>
      <w:r w:rsidRPr="006A0544">
        <w:rPr>
          <w:rFonts w:cstheme="minorHAnsi"/>
          <w:i/>
          <w:iCs/>
          <w:sz w:val="24"/>
          <w:szCs w:val="24"/>
          <w:shd w:val="clear" w:color="auto" w:fill="FFFFFF"/>
        </w:rPr>
        <w:lastRenderedPageBreak/>
        <w:t>perspectiva de la agilidad y seguridad jurídica</w:t>
      </w:r>
      <w:r w:rsidRPr="006A0544">
        <w:rPr>
          <w:rFonts w:cstheme="minorHAnsi"/>
          <w:sz w:val="24"/>
          <w:szCs w:val="24"/>
          <w:shd w:val="clear" w:color="auto" w:fill="FFFFFF"/>
        </w:rPr>
        <w:t xml:space="preserve">”, sin que exista unanimidad tanto entre la doctrina como entre los encargados de su aplicación de haberlo conseguido. </w:t>
      </w:r>
    </w:p>
    <w:p w14:paraId="25F17E37" w14:textId="21A48489" w:rsidR="0053301C" w:rsidRPr="00695A4F" w:rsidRDefault="0053301C" w:rsidP="0053301C">
      <w:pPr>
        <w:pStyle w:val="parrafo"/>
        <w:numPr>
          <w:ilvl w:val="0"/>
          <w:numId w:val="17"/>
        </w:numPr>
        <w:shd w:val="clear" w:color="auto" w:fill="FFFFFF"/>
        <w:spacing w:before="120" w:beforeAutospacing="0" w:after="0" w:afterAutospacing="0" w:line="480" w:lineRule="auto"/>
        <w:jc w:val="both"/>
        <w:rPr>
          <w:rFonts w:cstheme="minorHAnsi"/>
        </w:rPr>
      </w:pPr>
      <w:r w:rsidRPr="00695A4F">
        <w:rPr>
          <w:rFonts w:asciiTheme="minorHAnsi" w:hAnsiTheme="minorHAnsi" w:cstheme="minorHAnsi"/>
        </w:rPr>
        <w:t xml:space="preserve">ámbito organizativo: Secretaría General o Secretaría de Estado. </w:t>
      </w:r>
    </w:p>
    <w:p w14:paraId="3C83C039" w14:textId="37D7BBF6" w:rsidR="0053301C" w:rsidRDefault="0053301C" w:rsidP="0053301C">
      <w:pPr>
        <w:pStyle w:val="parrafo"/>
        <w:shd w:val="clear" w:color="auto" w:fill="FFFFFF"/>
        <w:spacing w:before="120" w:beforeAutospacing="0" w:after="0" w:afterAutospacing="0" w:line="480" w:lineRule="auto"/>
        <w:jc w:val="both"/>
        <w:rPr>
          <w:rFonts w:cstheme="minorHAnsi"/>
        </w:rPr>
      </w:pPr>
      <w:r w:rsidRPr="00695A4F">
        <w:rPr>
          <w:rFonts w:cstheme="minorHAnsi"/>
        </w:rPr>
        <w:t>Las modificaciones de la estructura administrativa encargada de la dirección y gestión de la inmigración se mantienen al margen de la legislación material, situándose en el ámbito de la orientación política. Si bien es cierto que durante toda la década mantiene su ubicación en el ámbito del Ministerio de Trabajo, al final del periodo se traslada a otro Departamento</w:t>
      </w:r>
      <w:r w:rsidRPr="006A0544">
        <w:rPr>
          <w:rStyle w:val="Refdenotaalpie"/>
          <w:rFonts w:cstheme="minorHAnsi"/>
        </w:rPr>
        <w:footnoteReference w:id="73"/>
      </w:r>
      <w:r w:rsidRPr="00695A4F">
        <w:rPr>
          <w:rFonts w:cstheme="minorHAnsi"/>
        </w:rPr>
        <w:t>.</w:t>
      </w:r>
    </w:p>
    <w:p w14:paraId="7D6EEB90" w14:textId="77777777" w:rsidR="00474436" w:rsidRPr="006A0544" w:rsidRDefault="00474436" w:rsidP="00474436">
      <w:pPr>
        <w:pStyle w:val="Textoindependiente"/>
        <w:spacing w:after="0" w:line="480" w:lineRule="auto"/>
        <w:jc w:val="both"/>
        <w:rPr>
          <w:rFonts w:cstheme="minorHAnsi"/>
          <w:sz w:val="24"/>
          <w:szCs w:val="24"/>
          <w:shd w:val="clear" w:color="auto" w:fill="FFFFFF"/>
        </w:rPr>
      </w:pPr>
      <w:r w:rsidRPr="006A0544">
        <w:rPr>
          <w:rFonts w:cstheme="minorHAnsi"/>
          <w:sz w:val="24"/>
          <w:szCs w:val="24"/>
          <w:shd w:val="clear" w:color="auto" w:fill="FFFFFF"/>
        </w:rPr>
        <w:t>La elevación</w:t>
      </w:r>
      <w:r>
        <w:rPr>
          <w:rFonts w:cstheme="minorHAnsi"/>
          <w:sz w:val="24"/>
          <w:szCs w:val="24"/>
          <w:shd w:val="clear" w:color="auto" w:fill="FFFFFF"/>
        </w:rPr>
        <w:t xml:space="preserve"> </w:t>
      </w:r>
      <w:r w:rsidRPr="00D634C1">
        <w:rPr>
          <w:rFonts w:cstheme="minorHAnsi"/>
          <w:sz w:val="24"/>
          <w:szCs w:val="24"/>
          <w:shd w:val="clear" w:color="auto" w:fill="FFFFFF"/>
        </w:rPr>
        <w:t xml:space="preserve">en </w:t>
      </w:r>
      <w:r w:rsidRPr="00946A34">
        <w:rPr>
          <w:rFonts w:cstheme="minorHAnsi"/>
          <w:bCs/>
          <w:sz w:val="24"/>
          <w:szCs w:val="24"/>
          <w:shd w:val="clear" w:color="auto" w:fill="FFFFFF"/>
        </w:rPr>
        <w:t>2004</w:t>
      </w:r>
      <w:r w:rsidRPr="00D634C1">
        <w:rPr>
          <w:rFonts w:cstheme="minorHAnsi"/>
          <w:sz w:val="24"/>
          <w:szCs w:val="24"/>
          <w:shd w:val="clear" w:color="auto" w:fill="FFFFFF"/>
        </w:rPr>
        <w:t xml:space="preserve"> de </w:t>
      </w:r>
      <w:r w:rsidRPr="006A0544">
        <w:rPr>
          <w:rFonts w:cstheme="minorHAnsi"/>
          <w:sz w:val="24"/>
          <w:szCs w:val="24"/>
          <w:shd w:val="clear" w:color="auto" w:fill="FFFFFF"/>
        </w:rPr>
        <w:t>rango</w:t>
      </w:r>
      <w:r>
        <w:rPr>
          <w:rFonts w:cstheme="minorHAnsi"/>
          <w:sz w:val="24"/>
          <w:szCs w:val="24"/>
          <w:shd w:val="clear" w:color="auto" w:fill="FFFFFF"/>
        </w:rPr>
        <w:t>,</w:t>
      </w:r>
      <w:r w:rsidRPr="006A0544">
        <w:rPr>
          <w:rFonts w:cstheme="minorHAnsi"/>
          <w:sz w:val="24"/>
          <w:szCs w:val="24"/>
          <w:shd w:val="clear" w:color="auto" w:fill="FFFFFF"/>
        </w:rPr>
        <w:t xml:space="preserve"> como Secretaría de Estado</w:t>
      </w:r>
      <w:r>
        <w:rPr>
          <w:rFonts w:cstheme="minorHAnsi"/>
          <w:sz w:val="24"/>
          <w:szCs w:val="24"/>
          <w:shd w:val="clear" w:color="auto" w:fill="FFFFFF"/>
        </w:rPr>
        <w:t>,</w:t>
      </w:r>
      <w:r w:rsidRPr="006A0544">
        <w:rPr>
          <w:rFonts w:cstheme="minorHAnsi"/>
          <w:sz w:val="24"/>
          <w:szCs w:val="24"/>
          <w:shd w:val="clear" w:color="auto" w:fill="FFFFFF"/>
        </w:rPr>
        <w:t xml:space="preserve"> al órgano encargado de dirigir y desarrollar la política del Gobierno en materia de extranjería y migración resultó cuestionad</w:t>
      </w:r>
      <w:r>
        <w:rPr>
          <w:rFonts w:cstheme="minorHAnsi"/>
          <w:sz w:val="24"/>
          <w:szCs w:val="24"/>
          <w:shd w:val="clear" w:color="auto" w:fill="FFFFFF"/>
        </w:rPr>
        <w:t>a</w:t>
      </w:r>
      <w:r w:rsidRPr="006A0544">
        <w:rPr>
          <w:rFonts w:cstheme="minorHAnsi"/>
          <w:sz w:val="24"/>
          <w:szCs w:val="24"/>
          <w:shd w:val="clear" w:color="auto" w:fill="FFFFFF"/>
        </w:rPr>
        <w:t xml:space="preserve"> en el cambio de orientación política producido en 2011. Las razones, como es habitual, fueron las de “austeridad y eficacia en la acción”,</w:t>
      </w:r>
      <w:r w:rsidRPr="006A0544">
        <w:rPr>
          <w:rStyle w:val="Refdenotaalpie"/>
          <w:rFonts w:cstheme="minorHAnsi"/>
          <w:color w:val="000000"/>
          <w:sz w:val="24"/>
          <w:szCs w:val="24"/>
          <w:shd w:val="clear" w:color="auto" w:fill="FFFFFF"/>
        </w:rPr>
        <w:footnoteReference w:id="74"/>
      </w:r>
      <w:r w:rsidRPr="006A0544">
        <w:rPr>
          <w:rFonts w:cstheme="minorHAnsi"/>
          <w:sz w:val="24"/>
          <w:szCs w:val="24"/>
          <w:shd w:val="clear" w:color="auto" w:fill="FFFFFF"/>
        </w:rPr>
        <w:t xml:space="preserve">  y condujeron a rebajar en un grado su nivel, al convertirla en   Secretaría General.</w:t>
      </w:r>
    </w:p>
    <w:p w14:paraId="1E4E5D8C" w14:textId="77777777" w:rsidR="00474436" w:rsidRPr="006A0544" w:rsidRDefault="00474436" w:rsidP="00474436">
      <w:pPr>
        <w:pStyle w:val="parrafo"/>
        <w:shd w:val="clear" w:color="auto" w:fill="FFFFFF"/>
        <w:spacing w:before="0" w:beforeAutospacing="0" w:after="0" w:afterAutospacing="0" w:line="480" w:lineRule="auto"/>
        <w:jc w:val="both"/>
        <w:rPr>
          <w:rFonts w:asciiTheme="minorHAnsi" w:hAnsiTheme="minorHAnsi" w:cstheme="minorHAnsi"/>
          <w:color w:val="000000"/>
        </w:rPr>
      </w:pPr>
      <w:r w:rsidRPr="006A0544">
        <w:rPr>
          <w:rFonts w:asciiTheme="minorHAnsi" w:hAnsiTheme="minorHAnsi" w:cstheme="minorHAnsi"/>
          <w:color w:val="000000"/>
        </w:rPr>
        <w:t xml:space="preserve">Cuando en </w:t>
      </w:r>
      <w:r>
        <w:rPr>
          <w:rFonts w:asciiTheme="minorHAnsi" w:hAnsiTheme="minorHAnsi" w:cstheme="minorHAnsi"/>
          <w:color w:val="000000"/>
        </w:rPr>
        <w:t>20</w:t>
      </w:r>
      <w:r w:rsidRPr="006A0544">
        <w:rPr>
          <w:rFonts w:asciiTheme="minorHAnsi" w:hAnsiTheme="minorHAnsi" w:cstheme="minorHAnsi"/>
          <w:color w:val="000000"/>
        </w:rPr>
        <w:t xml:space="preserve">18 vuelve a producirse una situación similar a </w:t>
      </w:r>
      <w:r>
        <w:rPr>
          <w:rFonts w:asciiTheme="minorHAnsi" w:hAnsiTheme="minorHAnsi" w:cstheme="minorHAnsi"/>
          <w:color w:val="000000"/>
        </w:rPr>
        <w:t xml:space="preserve">la </w:t>
      </w:r>
      <w:r w:rsidRPr="006A0544">
        <w:rPr>
          <w:rFonts w:asciiTheme="minorHAnsi" w:hAnsiTheme="minorHAnsi" w:cstheme="minorHAnsi"/>
          <w:color w:val="000000"/>
        </w:rPr>
        <w:t xml:space="preserve">ocurrida catorce años antes, se reproduce la estructura administrativa creada en aquel momento. Se recrea la Secretaría de Estado de </w:t>
      </w:r>
      <w:r w:rsidRPr="0007726C">
        <w:rPr>
          <w:rFonts w:asciiTheme="minorHAnsi" w:hAnsiTheme="minorHAnsi" w:cstheme="minorHAnsi"/>
          <w:color w:val="000000"/>
        </w:rPr>
        <w:t>Migraciones</w:t>
      </w:r>
      <w:r>
        <w:rPr>
          <w:rFonts w:asciiTheme="minorHAnsi" w:hAnsiTheme="minorHAnsi" w:cstheme="minorHAnsi"/>
          <w:color w:val="000000"/>
        </w:rPr>
        <w:t>,</w:t>
      </w:r>
      <w:r w:rsidRPr="006A0544">
        <w:rPr>
          <w:rFonts w:asciiTheme="minorHAnsi" w:hAnsiTheme="minorHAnsi" w:cstheme="minorHAnsi"/>
          <w:color w:val="000000"/>
        </w:rPr>
        <w:t xml:space="preserve"> reiterando la competencia del Ministerio de Trabajo, Migraciones y Seguridad Social para “</w:t>
      </w:r>
      <w:r w:rsidRPr="006A0544">
        <w:rPr>
          <w:rFonts w:asciiTheme="minorHAnsi" w:hAnsiTheme="minorHAnsi" w:cstheme="minorHAnsi"/>
          <w:i/>
          <w:iCs/>
          <w:color w:val="000000"/>
        </w:rPr>
        <w:t>el desarrollo de la política del Gobierno en materia de extranjería, inmigración y emigración”.</w:t>
      </w:r>
      <w:r w:rsidRPr="006A0544">
        <w:rPr>
          <w:rStyle w:val="Refdenotaalpie"/>
          <w:rFonts w:asciiTheme="minorHAnsi" w:eastAsiaTheme="majorEastAsia" w:hAnsiTheme="minorHAnsi" w:cstheme="minorHAnsi"/>
          <w:color w:val="000000"/>
        </w:rPr>
        <w:t xml:space="preserve"> </w:t>
      </w:r>
      <w:r w:rsidRPr="006A0544">
        <w:rPr>
          <w:rStyle w:val="Refdenotaalpie"/>
          <w:rFonts w:asciiTheme="minorHAnsi" w:eastAsiaTheme="majorEastAsia" w:hAnsiTheme="minorHAnsi" w:cstheme="minorHAnsi"/>
          <w:color w:val="000000"/>
        </w:rPr>
        <w:footnoteReference w:id="75"/>
      </w:r>
      <w:r w:rsidRPr="006A0544">
        <w:rPr>
          <w:rFonts w:asciiTheme="minorHAnsi" w:hAnsiTheme="minorHAnsi" w:cstheme="minorHAnsi"/>
          <w:color w:val="000000"/>
        </w:rPr>
        <w:t xml:space="preserve">  </w:t>
      </w:r>
    </w:p>
    <w:p w14:paraId="3F678A84" w14:textId="2B7B6F71" w:rsidR="00474436" w:rsidRDefault="00474436" w:rsidP="00474436">
      <w:pPr>
        <w:pStyle w:val="parrafo2"/>
        <w:shd w:val="clear" w:color="auto" w:fill="FFFFFF"/>
        <w:spacing w:before="0" w:beforeAutospacing="0" w:after="0" w:afterAutospacing="0" w:line="480" w:lineRule="auto"/>
        <w:jc w:val="both"/>
        <w:rPr>
          <w:rFonts w:asciiTheme="minorHAnsi" w:hAnsiTheme="minorHAnsi" w:cstheme="minorHAnsi"/>
          <w:color w:val="000000"/>
        </w:rPr>
      </w:pPr>
      <w:r w:rsidRPr="006A0544">
        <w:rPr>
          <w:rFonts w:asciiTheme="minorHAnsi" w:hAnsiTheme="minorHAnsi" w:cstheme="minorHAnsi"/>
          <w:color w:val="000000"/>
        </w:rPr>
        <w:t xml:space="preserve">Como la tendencia administrativa a mantener órganos preexistentes es irrefrenable, en lugar de suprimirla, se mantiene, subordinada a la Secretaría de Estado de Migraciones, </w:t>
      </w:r>
      <w:r w:rsidRPr="006A0544">
        <w:rPr>
          <w:rFonts w:asciiTheme="minorHAnsi" w:hAnsiTheme="minorHAnsi" w:cstheme="minorHAnsi"/>
          <w:color w:val="000000"/>
        </w:rPr>
        <w:lastRenderedPageBreak/>
        <w:t>la Secretaría General de Inmigración y Emigración,</w:t>
      </w:r>
      <w:r w:rsidRPr="006A0544">
        <w:rPr>
          <w:rStyle w:val="Refdenotaalpie"/>
          <w:rFonts w:asciiTheme="minorHAnsi" w:eastAsiaTheme="majorEastAsia" w:hAnsiTheme="minorHAnsi" w:cstheme="minorHAnsi"/>
          <w:color w:val="000000"/>
        </w:rPr>
        <w:footnoteReference w:id="76"/>
      </w:r>
      <w:r w:rsidRPr="006A0544">
        <w:rPr>
          <w:rFonts w:asciiTheme="minorHAnsi" w:hAnsiTheme="minorHAnsi" w:cstheme="minorHAnsi"/>
          <w:color w:val="000000"/>
        </w:rPr>
        <w:t xml:space="preserve">  de forma que se repite la mala práctica administrativa de “colgar” de un órgano superior un solo órgano inferior, configurando una estructura organizativa vertical. </w:t>
      </w:r>
    </w:p>
    <w:p w14:paraId="73B68C37" w14:textId="77777777" w:rsidR="00827C9F" w:rsidRPr="006A0544" w:rsidRDefault="00827C9F" w:rsidP="00827C9F">
      <w:pPr>
        <w:pStyle w:val="parrafo"/>
        <w:shd w:val="clear" w:color="auto" w:fill="FFFFFF"/>
        <w:spacing w:before="0" w:beforeAutospacing="0" w:after="0" w:afterAutospacing="0" w:line="480" w:lineRule="auto"/>
        <w:jc w:val="both"/>
        <w:rPr>
          <w:rFonts w:asciiTheme="minorHAnsi" w:hAnsiTheme="minorHAnsi" w:cstheme="minorHAnsi"/>
          <w:color w:val="000000"/>
        </w:rPr>
      </w:pPr>
      <w:r w:rsidRPr="006A0544">
        <w:rPr>
          <w:rFonts w:asciiTheme="minorHAnsi" w:hAnsiTheme="minorHAnsi" w:cstheme="minorHAnsi"/>
        </w:rPr>
        <w:t xml:space="preserve">La reforma de mayor rango se produce en 2020, cuando del Ministerio de Trabajo se desgajan las competencias tanto en Seguridad Social como en Migraciones, que se ubican en el nuevo Ministerio de </w:t>
      </w:r>
      <w:r w:rsidRPr="006A0544">
        <w:rPr>
          <w:rFonts w:asciiTheme="minorHAnsi" w:hAnsiTheme="minorHAnsi" w:cstheme="minorHAnsi"/>
          <w:color w:val="000000"/>
        </w:rPr>
        <w:t>Inclusión, Seguridad Social y Migraciones.</w:t>
      </w:r>
      <w:r w:rsidRPr="006A0544">
        <w:rPr>
          <w:rStyle w:val="Refdenotaalpie"/>
          <w:rFonts w:asciiTheme="minorHAnsi" w:hAnsiTheme="minorHAnsi" w:cstheme="minorHAnsi"/>
          <w:color w:val="000000"/>
        </w:rPr>
        <w:footnoteReference w:id="77"/>
      </w:r>
    </w:p>
    <w:p w14:paraId="3D2E208D" w14:textId="77777777" w:rsidR="00827C9F" w:rsidRPr="006A0544" w:rsidRDefault="00827C9F" w:rsidP="00827C9F">
      <w:pPr>
        <w:pStyle w:val="parrafo"/>
        <w:shd w:val="clear" w:color="auto" w:fill="FFFFFF"/>
        <w:spacing w:before="0" w:beforeAutospacing="0" w:after="0" w:afterAutospacing="0" w:line="480" w:lineRule="auto"/>
        <w:jc w:val="both"/>
        <w:rPr>
          <w:rFonts w:asciiTheme="minorHAnsi" w:hAnsiTheme="minorHAnsi" w:cstheme="minorHAnsi"/>
          <w:color w:val="000000"/>
        </w:rPr>
      </w:pPr>
      <w:r w:rsidRPr="006A0544">
        <w:rPr>
          <w:rFonts w:asciiTheme="minorHAnsi" w:hAnsiTheme="minorHAnsi" w:cstheme="minorHAnsi"/>
          <w:color w:val="000000"/>
        </w:rPr>
        <w:t>En la nueva estructura se mantiene el rango de Secretaría de Estado, desaparece la Secretar</w:t>
      </w:r>
      <w:r>
        <w:rPr>
          <w:rFonts w:asciiTheme="minorHAnsi" w:hAnsiTheme="minorHAnsi" w:cstheme="minorHAnsi"/>
          <w:color w:val="000000"/>
        </w:rPr>
        <w:t>í</w:t>
      </w:r>
      <w:r w:rsidRPr="006A0544">
        <w:rPr>
          <w:rFonts w:asciiTheme="minorHAnsi" w:hAnsiTheme="minorHAnsi" w:cstheme="minorHAnsi"/>
          <w:color w:val="000000"/>
        </w:rPr>
        <w:t>a General de Inmigración y Emigración, y se conservan las direcciones generales de Migraciones e Inclusión y Atención Humanitaria.</w:t>
      </w:r>
      <w:r w:rsidRPr="006A0544">
        <w:rPr>
          <w:rStyle w:val="Refdenotaalpie"/>
          <w:rFonts w:asciiTheme="minorHAnsi" w:hAnsiTheme="minorHAnsi" w:cstheme="minorHAnsi"/>
          <w:color w:val="000000"/>
        </w:rPr>
        <w:footnoteReference w:id="78"/>
      </w:r>
    </w:p>
    <w:p w14:paraId="535C172E" w14:textId="15B394F1" w:rsidR="00827C9F" w:rsidRPr="00827C9F" w:rsidRDefault="00827C9F" w:rsidP="00827C9F">
      <w:pPr>
        <w:pStyle w:val="Prrafodelista"/>
        <w:numPr>
          <w:ilvl w:val="0"/>
          <w:numId w:val="17"/>
        </w:numPr>
        <w:shd w:val="clear" w:color="auto" w:fill="FFFFFF"/>
        <w:spacing w:before="120" w:after="0" w:line="480" w:lineRule="auto"/>
        <w:jc w:val="both"/>
        <w:rPr>
          <w:rFonts w:cstheme="minorHAnsi"/>
          <w:sz w:val="24"/>
          <w:szCs w:val="24"/>
        </w:rPr>
      </w:pPr>
      <w:r w:rsidRPr="00827C9F">
        <w:rPr>
          <w:rFonts w:cstheme="minorHAnsi"/>
          <w:sz w:val="24"/>
          <w:szCs w:val="24"/>
        </w:rPr>
        <w:t>Contingentes y autorizaciones por arraigo</w:t>
      </w:r>
    </w:p>
    <w:p w14:paraId="0EF213A2" w14:textId="5A62FCC1" w:rsidR="00827C9F" w:rsidRDefault="00827C9F" w:rsidP="00827C9F">
      <w:pPr>
        <w:pStyle w:val="Textoindependiente"/>
        <w:spacing w:after="0" w:line="480" w:lineRule="auto"/>
        <w:jc w:val="both"/>
        <w:rPr>
          <w:rFonts w:cstheme="minorHAnsi"/>
          <w:sz w:val="24"/>
          <w:szCs w:val="24"/>
          <w:shd w:val="clear" w:color="auto" w:fill="FFFFFF"/>
        </w:rPr>
      </w:pPr>
      <w:r w:rsidRPr="006A0544">
        <w:rPr>
          <w:rFonts w:cstheme="minorHAnsi"/>
          <w:sz w:val="24"/>
          <w:szCs w:val="24"/>
        </w:rPr>
        <w:t>El artículo 39 de la LOEIS, reformado por la LO 2/2009, establece la posibilidad de que el Gobierno apruebe “</w:t>
      </w:r>
      <w:r w:rsidRPr="008351FF">
        <w:rPr>
          <w:rFonts w:cstheme="minorHAnsi"/>
          <w:i/>
          <w:iCs/>
          <w:sz w:val="24"/>
          <w:szCs w:val="24"/>
        </w:rPr>
        <w:t xml:space="preserve">una </w:t>
      </w:r>
      <w:r w:rsidRPr="008351FF">
        <w:rPr>
          <w:rFonts w:cstheme="minorHAnsi"/>
          <w:i/>
          <w:iCs/>
          <w:sz w:val="24"/>
          <w:szCs w:val="24"/>
          <w:shd w:val="clear" w:color="auto" w:fill="FFFFFF"/>
        </w:rPr>
        <w:t>previsión anual de las ocupaciones y, en su caso, de las cifras previstas de empleos que se puedan cubrir a través de la gestión colectiva de contrataciones en origen</w:t>
      </w:r>
      <w:r w:rsidRPr="006A0544">
        <w:rPr>
          <w:rFonts w:cstheme="minorHAnsi"/>
          <w:sz w:val="24"/>
          <w:szCs w:val="24"/>
          <w:shd w:val="clear" w:color="auto" w:fill="FFFFFF"/>
        </w:rPr>
        <w:t>”. Asimismo, mantiene la posibilidad de establecer un número de visados para la búsqueda de empleo reservados a hijos o nietos de españoles de origen.</w:t>
      </w:r>
    </w:p>
    <w:p w14:paraId="3DA4A0B3" w14:textId="77777777" w:rsidR="00597B69" w:rsidRPr="006A0544" w:rsidRDefault="00597B69" w:rsidP="00597B69">
      <w:pPr>
        <w:pStyle w:val="Textoindependiente"/>
        <w:spacing w:after="0" w:line="480" w:lineRule="auto"/>
        <w:jc w:val="both"/>
        <w:rPr>
          <w:rFonts w:cstheme="minorHAnsi"/>
          <w:sz w:val="24"/>
          <w:szCs w:val="24"/>
          <w:shd w:val="clear" w:color="auto" w:fill="FFFFFF"/>
        </w:rPr>
      </w:pPr>
      <w:r w:rsidRPr="006A0544">
        <w:rPr>
          <w:rFonts w:cstheme="minorHAnsi"/>
          <w:sz w:val="24"/>
          <w:szCs w:val="24"/>
          <w:shd w:val="clear" w:color="auto" w:fill="FFFFFF"/>
        </w:rPr>
        <w:t>Estos propósitos se dieron de bruces con la realidad, de forma que en las OO.MM. que fijaron las contrataciones en origen para los dos años siguientes 2010</w:t>
      </w:r>
      <w:r w:rsidRPr="006A0544">
        <w:rPr>
          <w:rStyle w:val="Refdenotaalpie"/>
          <w:rFonts w:cstheme="minorHAnsi"/>
          <w:color w:val="000000"/>
          <w:sz w:val="24"/>
          <w:szCs w:val="24"/>
          <w:shd w:val="clear" w:color="auto" w:fill="FFFFFF"/>
        </w:rPr>
        <w:footnoteReference w:id="79"/>
      </w:r>
      <w:r w:rsidRPr="006A0544">
        <w:rPr>
          <w:rFonts w:cstheme="minorHAnsi"/>
          <w:sz w:val="24"/>
          <w:szCs w:val="24"/>
          <w:shd w:val="clear" w:color="auto" w:fill="FFFFFF"/>
        </w:rPr>
        <w:t xml:space="preserve"> y 2011</w:t>
      </w:r>
      <w:r w:rsidRPr="006A0544">
        <w:rPr>
          <w:rStyle w:val="Refdenotaalpie"/>
          <w:rFonts w:cstheme="minorHAnsi"/>
          <w:color w:val="000000"/>
          <w:sz w:val="24"/>
          <w:szCs w:val="24"/>
          <w:shd w:val="clear" w:color="auto" w:fill="FFFFFF"/>
        </w:rPr>
        <w:footnoteReference w:id="80"/>
      </w:r>
      <w:r w:rsidRPr="006A0544">
        <w:rPr>
          <w:rFonts w:cstheme="minorHAnsi"/>
          <w:sz w:val="24"/>
          <w:szCs w:val="24"/>
          <w:shd w:val="clear" w:color="auto" w:fill="FFFFFF"/>
        </w:rPr>
        <w:t xml:space="preserve">, las cifras resultaron numéricamente irrelevantes: 136 y 14 ofertas, respectivamente. En </w:t>
      </w:r>
      <w:r w:rsidRPr="006A0544">
        <w:rPr>
          <w:rFonts w:cstheme="minorHAnsi"/>
          <w:sz w:val="24"/>
          <w:szCs w:val="24"/>
          <w:shd w:val="clear" w:color="auto" w:fill="FFFFFF"/>
        </w:rPr>
        <w:lastRenderedPageBreak/>
        <w:t>ninguno de ambos ejercicios se establecieron visados para búsqueda de empleo de hijos o nietos de españoles.</w:t>
      </w:r>
    </w:p>
    <w:p w14:paraId="37481897" w14:textId="77777777" w:rsidR="00632148" w:rsidRPr="006A0544" w:rsidRDefault="00632148" w:rsidP="00632148">
      <w:pPr>
        <w:pStyle w:val="Textoindependiente"/>
        <w:spacing w:after="0" w:line="480" w:lineRule="auto"/>
        <w:jc w:val="both"/>
        <w:rPr>
          <w:rFonts w:cstheme="minorHAnsi"/>
          <w:sz w:val="24"/>
          <w:szCs w:val="24"/>
          <w:shd w:val="clear" w:color="auto" w:fill="FFFFFF"/>
        </w:rPr>
      </w:pPr>
      <w:r w:rsidRPr="006A0544">
        <w:rPr>
          <w:rFonts w:cstheme="minorHAnsi"/>
          <w:sz w:val="24"/>
          <w:szCs w:val="24"/>
          <w:shd w:val="clear" w:color="auto" w:fill="FFFFFF"/>
        </w:rPr>
        <w:t>Por último, el Reglamento, según la interpretación reflejada en la exposición de motivos de la O. ESS/1/2012, de 5 de enero, por la que se regula la gestión colectiva de contrataciones en origen para 2012, prevé que, en atención a la situación nacional de empleo, “</w:t>
      </w:r>
      <w:r w:rsidRPr="006A0544">
        <w:rPr>
          <w:rFonts w:cstheme="minorHAnsi"/>
          <w:i/>
          <w:iCs/>
          <w:sz w:val="24"/>
          <w:szCs w:val="24"/>
          <w:shd w:val="clear" w:color="auto" w:fill="FFFFFF"/>
        </w:rPr>
        <w:t>no se establezca cifra de puestos de trabajo a cubrir ni determinación de las ocupaciones laborales para las contrataciones estables, pudiendo emitirse una Orden del titular del actual Ministerio de Empleo y  Seguridad Social exclusivamente dirigida a establecer las particularidades del procedimiento de contratación de trabajadores de temporada o por obra o servicio”</w:t>
      </w:r>
      <w:r w:rsidRPr="006A0544">
        <w:rPr>
          <w:rFonts w:cstheme="minorHAnsi"/>
          <w:sz w:val="24"/>
          <w:szCs w:val="24"/>
          <w:shd w:val="clear" w:color="auto" w:fill="FFFFFF"/>
        </w:rPr>
        <w:t>.</w:t>
      </w:r>
    </w:p>
    <w:p w14:paraId="63E43C95" w14:textId="77777777" w:rsidR="00632148" w:rsidRPr="006A0544" w:rsidRDefault="00632148" w:rsidP="00632148">
      <w:pPr>
        <w:pStyle w:val="parrafo"/>
        <w:shd w:val="clear" w:color="auto" w:fill="FFFFFF"/>
        <w:spacing w:before="0" w:beforeAutospacing="0" w:after="0" w:afterAutospacing="0" w:line="480" w:lineRule="auto"/>
        <w:jc w:val="both"/>
        <w:rPr>
          <w:rFonts w:asciiTheme="minorHAnsi" w:hAnsiTheme="minorHAnsi" w:cstheme="minorHAnsi"/>
          <w:color w:val="000000"/>
          <w:shd w:val="clear" w:color="auto" w:fill="FFFFFF"/>
        </w:rPr>
      </w:pPr>
      <w:r w:rsidRPr="006A0544">
        <w:rPr>
          <w:rFonts w:asciiTheme="minorHAnsi" w:hAnsiTheme="minorHAnsi" w:cstheme="minorHAnsi"/>
          <w:color w:val="000000"/>
          <w:shd w:val="clear" w:color="auto" w:fill="FFFFFF"/>
        </w:rPr>
        <w:t xml:space="preserve">Esta posibilidad, formalizada en el art. 1º de la indicada O.ESS/2012 se adopta no solamente para 2012, en cuyo artículo 1º solamente se regula la presentación de ofertas para la realización de trabajos de carácter temporal, </w:t>
      </w:r>
      <w:r w:rsidRPr="00D634C1">
        <w:rPr>
          <w:rFonts w:asciiTheme="minorHAnsi" w:hAnsiTheme="minorHAnsi" w:cstheme="minorHAnsi"/>
          <w:shd w:val="clear" w:color="auto" w:fill="FFFFFF"/>
        </w:rPr>
        <w:t xml:space="preserve">sino que </w:t>
      </w:r>
      <w:r w:rsidRPr="006A0544">
        <w:rPr>
          <w:rFonts w:asciiTheme="minorHAnsi" w:hAnsiTheme="minorHAnsi" w:cstheme="minorHAnsi"/>
          <w:color w:val="000000"/>
          <w:shd w:val="clear" w:color="auto" w:fill="FFFFFF"/>
        </w:rPr>
        <w:t>es prorrogada en los mismos términos, incluida la no concesión de visados para la búsqueda de empleo tanto de carácter general como para descendientes de españoles, durante los seis años siguientes mediante sucesivas órdenes anuales</w:t>
      </w:r>
      <w:r w:rsidRPr="006A0544">
        <w:rPr>
          <w:rStyle w:val="Refdenotaalpie"/>
          <w:rFonts w:asciiTheme="minorHAnsi" w:hAnsiTheme="minorHAnsi" w:cstheme="minorHAnsi"/>
          <w:color w:val="000000"/>
          <w:shd w:val="clear" w:color="auto" w:fill="FFFFFF"/>
        </w:rPr>
        <w:footnoteReference w:id="81"/>
      </w:r>
      <w:r w:rsidRPr="006A0544">
        <w:rPr>
          <w:rFonts w:asciiTheme="minorHAnsi" w:hAnsiTheme="minorHAnsi" w:cstheme="minorHAnsi"/>
          <w:color w:val="000000"/>
          <w:shd w:val="clear" w:color="auto" w:fill="FFFFFF"/>
        </w:rPr>
        <w:t xml:space="preserve">. </w:t>
      </w:r>
    </w:p>
    <w:p w14:paraId="22875A6C" w14:textId="2EE19BFB" w:rsidR="00597B69" w:rsidRDefault="00632148" w:rsidP="00827C9F">
      <w:pPr>
        <w:pStyle w:val="Textoindependiente"/>
        <w:spacing w:after="0" w:line="480" w:lineRule="auto"/>
        <w:jc w:val="both"/>
        <w:rPr>
          <w:rFonts w:cstheme="minorHAnsi"/>
          <w:color w:val="000000"/>
        </w:rPr>
      </w:pPr>
      <w:r>
        <w:rPr>
          <w:rFonts w:cstheme="minorHAnsi"/>
          <w:sz w:val="24"/>
          <w:szCs w:val="24"/>
          <w:shd w:val="clear" w:color="auto" w:fill="FFFFFF"/>
        </w:rPr>
        <w:t xml:space="preserve">Un ligero cambio de orientación se produce </w:t>
      </w:r>
      <w:r w:rsidRPr="006A0544">
        <w:rPr>
          <w:rFonts w:cstheme="minorHAnsi"/>
          <w:color w:val="000000"/>
          <w:shd w:val="clear" w:color="auto" w:fill="FFFFFF"/>
        </w:rPr>
        <w:t xml:space="preserve">a finales de 2018, mediante la O. </w:t>
      </w:r>
      <w:r w:rsidRPr="006A0544">
        <w:rPr>
          <w:rFonts w:cstheme="minorHAnsi"/>
          <w:color w:val="000000"/>
        </w:rPr>
        <w:t>TMS/1426/2018, de 26 de diciembre, por la que se regula la gestión colectiva de contrataciones en origen para 2019, en la que se contempla la gestión de ofertas de empleo no solo temporal sino también estable, tanto genéricas como nominativas, así como la concesión de visados para la búsqueda de empleo dirigidos a hijos y nietos de español de origen.</w:t>
      </w:r>
      <w:r w:rsidRPr="006A0544">
        <w:rPr>
          <w:rStyle w:val="Refdenotaalpie"/>
          <w:rFonts w:cstheme="minorHAnsi"/>
          <w:color w:val="000000"/>
        </w:rPr>
        <w:footnoteReference w:id="82"/>
      </w:r>
    </w:p>
    <w:p w14:paraId="7AD2E60D" w14:textId="77777777" w:rsidR="00F839E6" w:rsidRPr="00E05415" w:rsidRDefault="00F839E6" w:rsidP="00F839E6">
      <w:pPr>
        <w:pStyle w:val="Textoindependiente"/>
        <w:spacing w:after="0" w:line="480" w:lineRule="auto"/>
        <w:jc w:val="both"/>
        <w:rPr>
          <w:rFonts w:cstheme="minorHAnsi"/>
          <w:color w:val="C00000"/>
          <w:sz w:val="24"/>
          <w:szCs w:val="24"/>
        </w:rPr>
      </w:pPr>
      <w:r w:rsidRPr="006A0544">
        <w:rPr>
          <w:rFonts w:cstheme="minorHAnsi"/>
          <w:sz w:val="24"/>
          <w:szCs w:val="24"/>
        </w:rPr>
        <w:lastRenderedPageBreak/>
        <w:t>La misma orientación sigue la O.</w:t>
      </w:r>
      <w:r w:rsidRPr="006A0544">
        <w:rPr>
          <w:rFonts w:cstheme="minorHAnsi"/>
          <w:b/>
          <w:bCs/>
          <w:sz w:val="24"/>
          <w:szCs w:val="24"/>
        </w:rPr>
        <w:t xml:space="preserve"> </w:t>
      </w:r>
      <w:r w:rsidRPr="006A0544">
        <w:rPr>
          <w:rFonts w:cstheme="minorHAnsi"/>
          <w:sz w:val="24"/>
          <w:szCs w:val="24"/>
        </w:rPr>
        <w:t>TMS/1277/2019, de 23 de diciembre, por la que se regula la gestión colectiva de contrataciones en origen para 2020</w:t>
      </w:r>
      <w:r>
        <w:rPr>
          <w:rStyle w:val="Refdenotaalpie"/>
          <w:rFonts w:cstheme="minorHAnsi"/>
          <w:sz w:val="24"/>
          <w:szCs w:val="24"/>
        </w:rPr>
        <w:footnoteReference w:id="83"/>
      </w:r>
      <w:r w:rsidRPr="006A0544">
        <w:rPr>
          <w:rFonts w:cstheme="minorHAnsi"/>
          <w:sz w:val="24"/>
          <w:szCs w:val="24"/>
        </w:rPr>
        <w:t xml:space="preserve">, que sigue manteniendo la misma motivación -laboral y demográfica- aunque con </w:t>
      </w:r>
      <w:r w:rsidRPr="00D634C1">
        <w:rPr>
          <w:rFonts w:cstheme="minorHAnsi"/>
          <w:sz w:val="24"/>
          <w:szCs w:val="24"/>
        </w:rPr>
        <w:t xml:space="preserve">una formulación </w:t>
      </w:r>
      <w:r w:rsidRPr="006A0544">
        <w:rPr>
          <w:rFonts w:cstheme="minorHAnsi"/>
          <w:sz w:val="24"/>
          <w:szCs w:val="24"/>
        </w:rPr>
        <w:t>menos retóric</w:t>
      </w:r>
      <w:r>
        <w:rPr>
          <w:rFonts w:cstheme="minorHAnsi"/>
          <w:sz w:val="24"/>
          <w:szCs w:val="24"/>
        </w:rPr>
        <w:t>a.</w:t>
      </w:r>
    </w:p>
    <w:p w14:paraId="0B8958ED" w14:textId="77777777" w:rsidR="00F72F80" w:rsidRPr="006A0544" w:rsidRDefault="00F72F80" w:rsidP="00F72F80">
      <w:pPr>
        <w:pStyle w:val="parrafo"/>
        <w:numPr>
          <w:ilvl w:val="0"/>
          <w:numId w:val="17"/>
        </w:numPr>
        <w:shd w:val="clear" w:color="auto" w:fill="FFFFFF"/>
        <w:spacing w:before="0" w:beforeAutospacing="0" w:after="0" w:afterAutospacing="0" w:line="480" w:lineRule="auto"/>
        <w:jc w:val="both"/>
        <w:rPr>
          <w:rFonts w:asciiTheme="minorHAnsi" w:hAnsiTheme="minorHAnsi" w:cstheme="minorHAnsi"/>
          <w:color w:val="000000"/>
        </w:rPr>
      </w:pPr>
      <w:r w:rsidRPr="006A0544">
        <w:rPr>
          <w:rFonts w:asciiTheme="minorHAnsi" w:hAnsiTheme="minorHAnsi" w:cstheme="minorHAnsi"/>
          <w:color w:val="000000"/>
        </w:rPr>
        <w:t>El Ministerio de Inclusión, Migraciones y Seguridad Socia</w:t>
      </w:r>
      <w:r>
        <w:rPr>
          <w:rFonts w:asciiTheme="minorHAnsi" w:hAnsiTheme="minorHAnsi" w:cstheme="minorHAnsi"/>
          <w:color w:val="000000"/>
        </w:rPr>
        <w:t>l: creación y medidas adoptadas</w:t>
      </w:r>
    </w:p>
    <w:p w14:paraId="1A0BF823" w14:textId="6F2A8721" w:rsidR="004C6791" w:rsidRDefault="00F72F80" w:rsidP="004C6791">
      <w:pPr>
        <w:pStyle w:val="Textoindependiente"/>
        <w:spacing w:after="0" w:line="480" w:lineRule="auto"/>
        <w:jc w:val="both"/>
        <w:rPr>
          <w:rFonts w:cstheme="minorHAnsi"/>
          <w:sz w:val="24"/>
          <w:szCs w:val="24"/>
        </w:rPr>
      </w:pPr>
      <w:r w:rsidRPr="006A0544">
        <w:rPr>
          <w:rFonts w:cstheme="minorHAnsi"/>
          <w:sz w:val="24"/>
          <w:szCs w:val="24"/>
        </w:rPr>
        <w:t>En enero de 2020 se crea el Ministerio de Inclusión, Seguridad Social y Migraciones</w:t>
      </w:r>
      <w:r w:rsidRPr="006A0544">
        <w:rPr>
          <w:rStyle w:val="Refdenotaalpie"/>
          <w:rFonts w:cstheme="minorHAnsi"/>
          <w:sz w:val="24"/>
          <w:szCs w:val="24"/>
        </w:rPr>
        <w:footnoteReference w:id="84"/>
      </w:r>
      <w:r w:rsidRPr="006A0544">
        <w:rPr>
          <w:rFonts w:cstheme="minorHAnsi"/>
          <w:sz w:val="24"/>
          <w:szCs w:val="24"/>
        </w:rPr>
        <w:t>. Dadas las circunstancias concurrentes en la formación del Gobierno resulta complejo adivinar las razones de la configuración del nuevo Departamento y determinar si obedece a una lógica política o de gestión.</w:t>
      </w:r>
      <w:r w:rsidR="004C6791" w:rsidRPr="004C6791">
        <w:rPr>
          <w:rFonts w:cstheme="minorHAnsi"/>
          <w:sz w:val="24"/>
          <w:szCs w:val="24"/>
        </w:rPr>
        <w:t xml:space="preserve"> </w:t>
      </w:r>
      <w:r w:rsidR="004C6791">
        <w:rPr>
          <w:rFonts w:cstheme="minorHAnsi"/>
          <w:sz w:val="24"/>
          <w:szCs w:val="24"/>
        </w:rPr>
        <w:t xml:space="preserve">Cierta </w:t>
      </w:r>
      <w:r w:rsidR="004C6791" w:rsidRPr="006A0544">
        <w:rPr>
          <w:rFonts w:cstheme="minorHAnsi"/>
          <w:sz w:val="24"/>
          <w:szCs w:val="24"/>
        </w:rPr>
        <w:t>clarificación podemos obtener de las medidas adoptadas por el Ministerio en materia inmigratoria. Para ello, se analizará en primer lugar la orientación seguida en relación con actuaciones previas, y, en segundo, con las medidas de carácter innovador.</w:t>
      </w:r>
    </w:p>
    <w:p w14:paraId="4D702F0B" w14:textId="6AB2144B" w:rsidR="00F72F80" w:rsidRDefault="003C058D" w:rsidP="004C6791">
      <w:pPr>
        <w:pStyle w:val="Textoindependiente"/>
        <w:numPr>
          <w:ilvl w:val="0"/>
          <w:numId w:val="21"/>
        </w:numPr>
        <w:spacing w:after="0" w:line="480" w:lineRule="auto"/>
        <w:jc w:val="both"/>
        <w:rPr>
          <w:rFonts w:cstheme="minorHAnsi"/>
          <w:sz w:val="24"/>
          <w:szCs w:val="24"/>
        </w:rPr>
      </w:pPr>
      <w:r>
        <w:rPr>
          <w:rFonts w:cstheme="minorHAnsi"/>
          <w:sz w:val="24"/>
          <w:szCs w:val="24"/>
        </w:rPr>
        <w:t>Regulación de las contrataciones en orig</w:t>
      </w:r>
      <w:r w:rsidR="004B67B9">
        <w:rPr>
          <w:rFonts w:cstheme="minorHAnsi"/>
          <w:sz w:val="24"/>
          <w:szCs w:val="24"/>
        </w:rPr>
        <w:t>e</w:t>
      </w:r>
      <w:r>
        <w:rPr>
          <w:rFonts w:cstheme="minorHAnsi"/>
          <w:sz w:val="24"/>
          <w:szCs w:val="24"/>
        </w:rPr>
        <w:t>n</w:t>
      </w:r>
    </w:p>
    <w:p w14:paraId="7C9CD292" w14:textId="3DFB834A" w:rsidR="003C058D" w:rsidRDefault="001559B0" w:rsidP="001559B0">
      <w:pPr>
        <w:pStyle w:val="Textoindependiente"/>
        <w:spacing w:after="0" w:line="480" w:lineRule="auto"/>
        <w:jc w:val="both"/>
        <w:rPr>
          <w:rFonts w:cstheme="minorHAnsi"/>
          <w:sz w:val="24"/>
          <w:szCs w:val="24"/>
        </w:rPr>
      </w:pPr>
      <w:r w:rsidRPr="006A0544">
        <w:rPr>
          <w:rFonts w:cstheme="minorHAnsi"/>
          <w:sz w:val="24"/>
          <w:szCs w:val="24"/>
        </w:rPr>
        <w:t>Son dos las OO.MM. publicadas: la O. ISM/1289/2020, de 28 de diciembre, por la que se regula la gestión colectiva de contrataciones en origen para 2021</w:t>
      </w:r>
      <w:r>
        <w:rPr>
          <w:rStyle w:val="Refdenotaalpie"/>
          <w:rFonts w:cstheme="minorHAnsi"/>
          <w:sz w:val="24"/>
          <w:szCs w:val="24"/>
        </w:rPr>
        <w:footnoteReference w:id="85"/>
      </w:r>
      <w:r w:rsidRPr="006A0544">
        <w:rPr>
          <w:rFonts w:cstheme="minorHAnsi"/>
          <w:sz w:val="24"/>
          <w:szCs w:val="24"/>
        </w:rPr>
        <w:t xml:space="preserve"> y la O. </w:t>
      </w:r>
      <w:r w:rsidRPr="006A0544">
        <w:rPr>
          <w:rFonts w:cstheme="minorHAnsi"/>
          <w:color w:val="000000"/>
          <w:sz w:val="24"/>
          <w:szCs w:val="24"/>
        </w:rPr>
        <w:t>ISM/1485/2021, de 24 de diciembre, por la que se regula la gestión colectiva de contrataciones en origen para 2022</w:t>
      </w:r>
      <w:r>
        <w:rPr>
          <w:rStyle w:val="Refdenotaalpie"/>
          <w:rFonts w:cstheme="minorHAnsi"/>
          <w:color w:val="000000"/>
          <w:sz w:val="24"/>
          <w:szCs w:val="24"/>
        </w:rPr>
        <w:footnoteReference w:id="86"/>
      </w:r>
      <w:r w:rsidRPr="006A0544">
        <w:rPr>
          <w:rFonts w:cstheme="minorHAnsi"/>
          <w:color w:val="000000"/>
          <w:sz w:val="24"/>
          <w:szCs w:val="24"/>
        </w:rPr>
        <w:t>.</w:t>
      </w:r>
      <w:r>
        <w:rPr>
          <w:rFonts w:cstheme="minorHAnsi"/>
          <w:color w:val="000000"/>
          <w:sz w:val="24"/>
          <w:szCs w:val="24"/>
        </w:rPr>
        <w:t xml:space="preserve"> </w:t>
      </w:r>
      <w:r w:rsidRPr="006A0544">
        <w:rPr>
          <w:rFonts w:cstheme="minorHAnsi"/>
          <w:color w:val="000000"/>
          <w:sz w:val="24"/>
          <w:szCs w:val="24"/>
        </w:rPr>
        <w:t xml:space="preserve">Ambas, influenciadas por las exigencias derivadas de la prevención y control de la pandemia del SARS-COVID-2, , no se apartan de la línea </w:t>
      </w:r>
      <w:r w:rsidRPr="006A0544">
        <w:rPr>
          <w:rFonts w:cstheme="minorHAnsi"/>
          <w:color w:val="000000"/>
          <w:sz w:val="24"/>
          <w:szCs w:val="24"/>
        </w:rPr>
        <w:lastRenderedPageBreak/>
        <w:t>iniciada en 2012: no aprobación de contrataciones para puestos de trabajo estable ni concesión de visados para búsqueda de empleo en ninguna de sus dos modalidades</w:t>
      </w:r>
      <w:r>
        <w:rPr>
          <w:rFonts w:cstheme="minorHAnsi"/>
          <w:color w:val="000000"/>
          <w:sz w:val="24"/>
          <w:szCs w:val="24"/>
        </w:rPr>
        <w:t>.</w:t>
      </w:r>
    </w:p>
    <w:p w14:paraId="7A9594D2" w14:textId="2C6F9B05" w:rsidR="00C511AB" w:rsidRPr="00760897" w:rsidRDefault="00C511AB" w:rsidP="00C511AB">
      <w:pPr>
        <w:pStyle w:val="Textoindependiente"/>
        <w:numPr>
          <w:ilvl w:val="0"/>
          <w:numId w:val="21"/>
        </w:numPr>
        <w:spacing w:after="0" w:line="480" w:lineRule="auto"/>
        <w:jc w:val="both"/>
        <w:rPr>
          <w:rFonts w:cstheme="minorHAnsi"/>
          <w:strike/>
          <w:color w:val="000000"/>
          <w:sz w:val="24"/>
          <w:szCs w:val="24"/>
        </w:rPr>
      </w:pPr>
      <w:r>
        <w:rPr>
          <w:rFonts w:cstheme="minorHAnsi"/>
          <w:color w:val="000000"/>
          <w:sz w:val="24"/>
          <w:szCs w:val="24"/>
        </w:rPr>
        <w:t>modificación del Reglamento</w:t>
      </w:r>
    </w:p>
    <w:p w14:paraId="54FC38BA" w14:textId="525DF201" w:rsidR="00873E2A" w:rsidRDefault="00873E2A" w:rsidP="00873E2A">
      <w:pPr>
        <w:pStyle w:val="Textoindependiente"/>
        <w:spacing w:after="0" w:line="480" w:lineRule="auto"/>
        <w:jc w:val="both"/>
        <w:rPr>
          <w:rFonts w:cstheme="minorHAnsi"/>
          <w:sz w:val="24"/>
          <w:szCs w:val="24"/>
        </w:rPr>
      </w:pPr>
      <w:r w:rsidRPr="006A0544">
        <w:rPr>
          <w:rFonts w:cstheme="minorHAnsi"/>
          <w:color w:val="000000"/>
          <w:sz w:val="24"/>
          <w:szCs w:val="24"/>
        </w:rPr>
        <w:t>Las iniciativas de mayor calado se produjeron en 2021</w:t>
      </w:r>
      <w:r>
        <w:rPr>
          <w:rFonts w:cstheme="minorHAnsi"/>
          <w:color w:val="000000"/>
          <w:sz w:val="24"/>
          <w:szCs w:val="24"/>
        </w:rPr>
        <w:t xml:space="preserve"> </w:t>
      </w:r>
      <w:r w:rsidRPr="000977ED">
        <w:rPr>
          <w:rFonts w:cstheme="minorHAnsi"/>
          <w:sz w:val="24"/>
          <w:szCs w:val="24"/>
        </w:rPr>
        <w:t xml:space="preserve">y 2022. </w:t>
      </w:r>
      <w:r w:rsidRPr="006A0544">
        <w:rPr>
          <w:rFonts w:cstheme="minorHAnsi"/>
          <w:color w:val="000000"/>
          <w:sz w:val="24"/>
          <w:szCs w:val="24"/>
        </w:rPr>
        <w:t>Su trascendencia se puso de manifiesto cuando por una parte provocó el rechazo de otros Departamentos, en el particular el de Interior, que recurrió a los tópicos tradicionales, en especial, al “</w:t>
      </w:r>
      <w:r w:rsidRPr="00F646D7">
        <w:rPr>
          <w:rFonts w:cstheme="minorHAnsi"/>
          <w:b/>
          <w:bCs/>
          <w:color w:val="000000"/>
          <w:sz w:val="24"/>
          <w:szCs w:val="24"/>
        </w:rPr>
        <w:t>efecto llamada”</w:t>
      </w:r>
      <w:r w:rsidRPr="006A0544">
        <w:rPr>
          <w:rFonts w:cstheme="minorHAnsi"/>
          <w:color w:val="000000"/>
          <w:sz w:val="24"/>
          <w:szCs w:val="24"/>
        </w:rPr>
        <w:t>,</w:t>
      </w:r>
      <w:r w:rsidRPr="006A0544">
        <w:rPr>
          <w:rStyle w:val="Refdenotaalpie"/>
          <w:rFonts w:cstheme="minorHAnsi"/>
          <w:color w:val="000000"/>
          <w:sz w:val="24"/>
          <w:szCs w:val="24"/>
        </w:rPr>
        <w:footnoteReference w:id="87"/>
      </w:r>
      <w:r w:rsidRPr="006A0544">
        <w:rPr>
          <w:rFonts w:cstheme="minorHAnsi"/>
          <w:color w:val="000000"/>
          <w:sz w:val="24"/>
          <w:szCs w:val="24"/>
        </w:rPr>
        <w:t xml:space="preserve"> </w:t>
      </w:r>
      <w:r w:rsidRPr="006A0544">
        <w:rPr>
          <w:rFonts w:cstheme="minorHAnsi"/>
          <w:sz w:val="24"/>
          <w:szCs w:val="24"/>
        </w:rPr>
        <w:t>y, por otra,</w:t>
      </w:r>
      <w:r>
        <w:rPr>
          <w:rFonts w:cstheme="minorHAnsi"/>
          <w:sz w:val="24"/>
          <w:szCs w:val="24"/>
        </w:rPr>
        <w:t xml:space="preserve"> </w:t>
      </w:r>
      <w:r w:rsidRPr="000977ED">
        <w:rPr>
          <w:rFonts w:cstheme="minorHAnsi"/>
          <w:sz w:val="24"/>
          <w:szCs w:val="24"/>
        </w:rPr>
        <w:t xml:space="preserve">han requerido </w:t>
      </w:r>
      <w:r w:rsidRPr="006A0544">
        <w:rPr>
          <w:rFonts w:cstheme="minorHAnsi"/>
          <w:sz w:val="24"/>
          <w:szCs w:val="24"/>
        </w:rPr>
        <w:t>la reforma del Reglamento de la LOEI</w:t>
      </w:r>
      <w:r>
        <w:rPr>
          <w:rFonts w:cstheme="minorHAnsi"/>
          <w:sz w:val="24"/>
          <w:szCs w:val="24"/>
        </w:rPr>
        <w:t>S.</w:t>
      </w:r>
    </w:p>
    <w:p w14:paraId="5F913351" w14:textId="77777777" w:rsidR="001D4AB0" w:rsidRPr="001D4AB0" w:rsidRDefault="00D436A4" w:rsidP="001D4AB0">
      <w:pPr>
        <w:pStyle w:val="Textoindependiente"/>
        <w:numPr>
          <w:ilvl w:val="0"/>
          <w:numId w:val="23"/>
        </w:numPr>
        <w:spacing w:after="0" w:line="480" w:lineRule="auto"/>
        <w:ind w:left="360"/>
        <w:jc w:val="both"/>
        <w:rPr>
          <w:rFonts w:cstheme="minorHAnsi"/>
          <w:sz w:val="24"/>
          <w:szCs w:val="24"/>
        </w:rPr>
      </w:pPr>
      <w:r w:rsidRPr="001D4AB0">
        <w:rPr>
          <w:rFonts w:cstheme="minorHAnsi"/>
          <w:sz w:val="24"/>
          <w:szCs w:val="24"/>
        </w:rPr>
        <w:t xml:space="preserve">RD 903/2021, </w:t>
      </w:r>
      <w:r w:rsidRPr="001D4AB0">
        <w:rPr>
          <w:rFonts w:cstheme="minorHAnsi"/>
          <w:color w:val="000000"/>
          <w:sz w:val="24"/>
          <w:szCs w:val="24"/>
        </w:rPr>
        <w:t xml:space="preserve">de 19 de octubre, por el que se modifica el Reglamento de la Ley Orgánica 4/2000, sobre derechos y libertades de los extranjeros en España y su integración social, tras su reforma por Ley Orgánica 2/2009, aprobado por el Real </w:t>
      </w:r>
    </w:p>
    <w:p w14:paraId="62380040" w14:textId="54AF2E54" w:rsidR="001D4AB0" w:rsidRPr="001D4AB0" w:rsidRDefault="00A64D17" w:rsidP="001D4AB0">
      <w:pPr>
        <w:pStyle w:val="Textoindependiente"/>
        <w:spacing w:after="0" w:line="480" w:lineRule="auto"/>
        <w:jc w:val="both"/>
        <w:rPr>
          <w:rFonts w:cstheme="minorHAnsi"/>
          <w:sz w:val="24"/>
          <w:szCs w:val="24"/>
        </w:rPr>
      </w:pPr>
      <w:r w:rsidRPr="001D4AB0">
        <w:rPr>
          <w:rFonts w:cstheme="minorHAnsi"/>
          <w:sz w:val="24"/>
          <w:szCs w:val="24"/>
        </w:rPr>
        <w:t>La norma tiene una orientación relacionada con la inclusión social de un colectivo, el de los menores y jóvenes extranjeros no acompañados (MENA) tutelados, atenuando los obstáculos, en buena parte burocráticos, para la regularización de su situación a efectos de residencia e inserción laboral</w:t>
      </w:r>
      <w:r w:rsidR="001D4AB0" w:rsidRPr="001D4AB0">
        <w:rPr>
          <w:rFonts w:cstheme="minorHAnsi"/>
          <w:sz w:val="24"/>
          <w:szCs w:val="24"/>
        </w:rPr>
        <w:t xml:space="preserve">. </w:t>
      </w:r>
    </w:p>
    <w:p w14:paraId="656E7069" w14:textId="606A8C5B" w:rsidR="001D4AB0" w:rsidRPr="001D4AB0" w:rsidRDefault="001D4AB0" w:rsidP="001D4AB0">
      <w:pPr>
        <w:pStyle w:val="Textoindependiente"/>
        <w:numPr>
          <w:ilvl w:val="0"/>
          <w:numId w:val="23"/>
        </w:numPr>
        <w:spacing w:after="0" w:line="480" w:lineRule="auto"/>
        <w:jc w:val="both"/>
        <w:rPr>
          <w:rFonts w:cstheme="minorHAnsi"/>
          <w:sz w:val="24"/>
          <w:szCs w:val="24"/>
        </w:rPr>
      </w:pPr>
      <w:r w:rsidRPr="006A0544">
        <w:rPr>
          <w:rFonts w:cstheme="minorHAnsi"/>
          <w:sz w:val="24"/>
          <w:szCs w:val="24"/>
        </w:rPr>
        <w:t>RD 629/2022, de 26 de julio</w:t>
      </w:r>
      <w:r>
        <w:rPr>
          <w:rFonts w:cstheme="minorHAnsi"/>
          <w:sz w:val="24"/>
          <w:szCs w:val="24"/>
        </w:rPr>
        <w:t>,</w:t>
      </w:r>
      <w:r w:rsidRPr="006B0A31">
        <w:rPr>
          <w:rFonts w:cstheme="minorHAnsi"/>
          <w:color w:val="000000"/>
          <w:sz w:val="24"/>
          <w:szCs w:val="24"/>
        </w:rPr>
        <w:t xml:space="preserve"> </w:t>
      </w:r>
      <w:r w:rsidRPr="006130B2">
        <w:rPr>
          <w:rFonts w:cstheme="minorHAnsi"/>
          <w:color w:val="000000"/>
          <w:sz w:val="24"/>
          <w:szCs w:val="24"/>
        </w:rPr>
        <w:t>por el que se modifica el Reglamento de la Ley Orgánica 4/2000, sobre derechos y libertades de los extranjeros en España y su integración social, tras su reforma por Ley Orgánica 2/2009, aprobado por el Real Decreto 557/2011, de 20 de</w:t>
      </w:r>
      <w:r>
        <w:rPr>
          <w:rFonts w:cstheme="minorHAnsi"/>
          <w:color w:val="000000"/>
          <w:sz w:val="24"/>
          <w:szCs w:val="24"/>
        </w:rPr>
        <w:t xml:space="preserve"> abril</w:t>
      </w:r>
      <w:r>
        <w:rPr>
          <w:rStyle w:val="Refdenotaalpie"/>
          <w:rFonts w:cstheme="minorHAnsi"/>
          <w:color w:val="000000"/>
          <w:sz w:val="24"/>
          <w:szCs w:val="24"/>
        </w:rPr>
        <w:footnoteReference w:id="88"/>
      </w:r>
    </w:p>
    <w:p w14:paraId="393F9693" w14:textId="77777777" w:rsidR="001158BB" w:rsidRPr="00C26382" w:rsidRDefault="001158BB" w:rsidP="001158BB">
      <w:pPr>
        <w:pStyle w:val="Textoindependiente"/>
        <w:spacing w:after="0" w:line="480" w:lineRule="auto"/>
        <w:jc w:val="both"/>
        <w:rPr>
          <w:rFonts w:cstheme="minorHAnsi"/>
          <w:color w:val="000000"/>
          <w:spacing w:val="-2"/>
          <w:sz w:val="24"/>
          <w:szCs w:val="24"/>
        </w:rPr>
      </w:pPr>
      <w:r w:rsidRPr="00C26382">
        <w:rPr>
          <w:rFonts w:cstheme="minorHAnsi"/>
          <w:color w:val="000000"/>
          <w:spacing w:val="-2"/>
          <w:sz w:val="24"/>
          <w:szCs w:val="24"/>
        </w:rPr>
        <w:t xml:space="preserve">El preámbulo del RD se hace eco de las limitaciones de una política de inmigración de carácter reactivo, centrada de forma preferente en obstaculizar nuevas llegadas y agilizar las expulsiones, orientación </w:t>
      </w:r>
      <w:r w:rsidRPr="00C26382">
        <w:rPr>
          <w:rFonts w:cstheme="minorHAnsi"/>
          <w:spacing w:val="-2"/>
          <w:sz w:val="24"/>
          <w:szCs w:val="24"/>
        </w:rPr>
        <w:t>que</w:t>
      </w:r>
      <w:r w:rsidRPr="00C26382">
        <w:rPr>
          <w:rFonts w:cstheme="minorHAnsi"/>
          <w:color w:val="C00000"/>
          <w:spacing w:val="-2"/>
          <w:sz w:val="24"/>
          <w:szCs w:val="24"/>
        </w:rPr>
        <w:t xml:space="preserve"> </w:t>
      </w:r>
      <w:r w:rsidRPr="00C26382">
        <w:rPr>
          <w:rFonts w:cstheme="minorHAnsi"/>
          <w:color w:val="000000"/>
          <w:spacing w:val="-2"/>
          <w:sz w:val="24"/>
          <w:szCs w:val="24"/>
        </w:rPr>
        <w:t xml:space="preserve">es compartida y, en cierto modo, impuesta por la UE. </w:t>
      </w:r>
    </w:p>
    <w:p w14:paraId="57805533" w14:textId="748B4BC2" w:rsidR="001158BB" w:rsidRDefault="001158BB" w:rsidP="001158BB">
      <w:pPr>
        <w:pStyle w:val="Textoindependiente"/>
        <w:spacing w:after="0" w:line="480" w:lineRule="auto"/>
        <w:jc w:val="both"/>
        <w:rPr>
          <w:rFonts w:cstheme="minorHAnsi"/>
          <w:i/>
          <w:iCs/>
          <w:color w:val="000000"/>
          <w:sz w:val="24"/>
          <w:szCs w:val="24"/>
          <w:shd w:val="clear" w:color="auto" w:fill="FFFFFF"/>
        </w:rPr>
      </w:pPr>
      <w:r w:rsidRPr="006A0544">
        <w:rPr>
          <w:rFonts w:cstheme="minorHAnsi"/>
          <w:color w:val="000000"/>
          <w:sz w:val="24"/>
          <w:szCs w:val="24"/>
        </w:rPr>
        <w:lastRenderedPageBreak/>
        <w:t>A pesar de que pueda cuestionarse la afirmación de que “</w:t>
      </w:r>
      <w:r w:rsidRPr="006A0544">
        <w:rPr>
          <w:rFonts w:cstheme="minorHAnsi"/>
          <w:i/>
          <w:iCs/>
          <w:color w:val="000000"/>
          <w:sz w:val="24"/>
          <w:szCs w:val="24"/>
        </w:rPr>
        <w:t>nos encontremos en un marco de reactivación económica global tras la pandemia</w:t>
      </w:r>
      <w:r w:rsidRPr="006A0544">
        <w:rPr>
          <w:rFonts w:cstheme="minorHAnsi"/>
          <w:color w:val="000000"/>
          <w:sz w:val="24"/>
          <w:szCs w:val="24"/>
        </w:rPr>
        <w:t xml:space="preserve">”, </w:t>
      </w:r>
      <w:r>
        <w:rPr>
          <w:rFonts w:cstheme="minorHAnsi"/>
          <w:color w:val="000000"/>
          <w:sz w:val="24"/>
          <w:szCs w:val="24"/>
        </w:rPr>
        <w:t>puede compartirse el diagnóstico de</w:t>
      </w:r>
      <w:r w:rsidRPr="006A0544">
        <w:rPr>
          <w:rFonts w:cstheme="minorHAnsi"/>
          <w:color w:val="000000"/>
          <w:sz w:val="24"/>
          <w:szCs w:val="24"/>
        </w:rPr>
        <w:t xml:space="preserve"> que “</w:t>
      </w:r>
      <w:r w:rsidRPr="006A0544">
        <w:rPr>
          <w:rFonts w:cstheme="minorHAnsi"/>
          <w:i/>
          <w:iCs/>
          <w:color w:val="000000"/>
          <w:sz w:val="24"/>
          <w:szCs w:val="24"/>
          <w:shd w:val="clear" w:color="auto" w:fill="FFFFFF"/>
        </w:rPr>
        <w:t>el modelo migratorio español no solo carece de agilidad en la capacidad de dar respuesta a los retos del mercado laboral, sino que incluye importantes ineficiencias y genera el desarrollo de prácticas de economía informal que tienen elevados costes humanos, económicos, sociales y de gestión”.</w:t>
      </w:r>
      <w:r w:rsidRPr="006A0544">
        <w:rPr>
          <w:rStyle w:val="Refdenotaalpie"/>
          <w:rFonts w:cstheme="minorHAnsi"/>
          <w:i/>
          <w:iCs/>
          <w:color w:val="000000"/>
          <w:sz w:val="24"/>
          <w:szCs w:val="24"/>
          <w:shd w:val="clear" w:color="auto" w:fill="FFFFFF"/>
        </w:rPr>
        <w:footnoteReference w:id="89"/>
      </w:r>
    </w:p>
    <w:p w14:paraId="062E62A6" w14:textId="77777777" w:rsidR="004342A3" w:rsidRPr="006A0544" w:rsidRDefault="004342A3" w:rsidP="004342A3">
      <w:pPr>
        <w:pStyle w:val="Textoindependiente"/>
        <w:spacing w:after="0" w:line="480" w:lineRule="auto"/>
        <w:jc w:val="both"/>
        <w:rPr>
          <w:rFonts w:cstheme="minorHAnsi"/>
          <w:color w:val="000000"/>
          <w:sz w:val="24"/>
          <w:szCs w:val="24"/>
          <w:shd w:val="clear" w:color="auto" w:fill="FFFFFF"/>
        </w:rPr>
      </w:pPr>
      <w:r w:rsidRPr="006A0544">
        <w:rPr>
          <w:rFonts w:cstheme="minorHAnsi"/>
          <w:color w:val="000000"/>
          <w:sz w:val="24"/>
          <w:szCs w:val="24"/>
          <w:shd w:val="clear" w:color="auto" w:fill="FFFFFF"/>
        </w:rPr>
        <w:t xml:space="preserve">Es desde estos planteamientos como deben valorarse si las reformas introducidas en el Reglamento de 2011 son adecuadas y suficientes para conseguir los objetivos pretendidos, consistentes en hacer frente </w:t>
      </w:r>
      <w:r w:rsidRPr="006A0544">
        <w:rPr>
          <w:rFonts w:cstheme="minorHAnsi"/>
          <w:i/>
          <w:iCs/>
          <w:color w:val="000000"/>
          <w:sz w:val="24"/>
          <w:szCs w:val="24"/>
          <w:shd w:val="clear" w:color="auto" w:fill="FFFFFF"/>
        </w:rPr>
        <w:t xml:space="preserve">“a la escasez de mano de obra desde el ámbito migratorio” </w:t>
      </w:r>
      <w:r w:rsidRPr="006A0544">
        <w:rPr>
          <w:rFonts w:cstheme="minorHAnsi"/>
          <w:color w:val="000000"/>
          <w:sz w:val="24"/>
          <w:szCs w:val="24"/>
          <w:shd w:val="clear" w:color="auto" w:fill="FFFFFF"/>
        </w:rPr>
        <w:t xml:space="preserve">y </w:t>
      </w:r>
      <w:r w:rsidRPr="006A0544">
        <w:rPr>
          <w:rFonts w:cstheme="minorHAnsi"/>
          <w:i/>
          <w:iCs/>
          <w:color w:val="000000"/>
          <w:sz w:val="24"/>
          <w:szCs w:val="24"/>
          <w:shd w:val="clear" w:color="auto" w:fill="FFFFFF"/>
        </w:rPr>
        <w:t>“dar respuesta a situaciones preexistentes no resueltas con la actual normativa reglamentaria</w:t>
      </w:r>
      <w:r w:rsidRPr="006A0544">
        <w:rPr>
          <w:rFonts w:cstheme="minorHAnsi"/>
          <w:color w:val="000000"/>
          <w:sz w:val="24"/>
          <w:szCs w:val="24"/>
          <w:shd w:val="clear" w:color="auto" w:fill="FFFFFF"/>
        </w:rPr>
        <w:t>”</w:t>
      </w:r>
      <w:r w:rsidRPr="006A0544">
        <w:rPr>
          <w:rStyle w:val="Refdenotaalpie"/>
          <w:rFonts w:cstheme="minorHAnsi"/>
          <w:color w:val="000000"/>
          <w:sz w:val="24"/>
          <w:szCs w:val="24"/>
          <w:shd w:val="clear" w:color="auto" w:fill="FFFFFF"/>
        </w:rPr>
        <w:footnoteReference w:id="90"/>
      </w:r>
      <w:r w:rsidRPr="006A0544">
        <w:rPr>
          <w:rFonts w:cstheme="minorHAnsi"/>
          <w:color w:val="000000"/>
          <w:sz w:val="24"/>
          <w:szCs w:val="24"/>
          <w:shd w:val="clear" w:color="auto" w:fill="FFFFFF"/>
        </w:rPr>
        <w:t>, motivos no muy alejados de los que inspiraron la “política activa de inmigración” impulsada por la Proposición no de Ley de 1991.</w:t>
      </w:r>
    </w:p>
    <w:p w14:paraId="3C8B1D39" w14:textId="77777777" w:rsidR="004342A3" w:rsidRPr="006A0544" w:rsidRDefault="004342A3" w:rsidP="004342A3">
      <w:pPr>
        <w:pStyle w:val="Textoindependiente"/>
        <w:spacing w:after="0" w:line="480" w:lineRule="auto"/>
        <w:jc w:val="both"/>
        <w:rPr>
          <w:rFonts w:cstheme="minorHAnsi"/>
          <w:color w:val="000000"/>
          <w:sz w:val="24"/>
          <w:szCs w:val="24"/>
          <w:shd w:val="clear" w:color="auto" w:fill="FFFFFF"/>
        </w:rPr>
      </w:pPr>
      <w:r w:rsidRPr="006A0544">
        <w:rPr>
          <w:rFonts w:cstheme="minorHAnsi"/>
          <w:color w:val="000000"/>
          <w:sz w:val="24"/>
          <w:szCs w:val="24"/>
          <w:shd w:val="clear" w:color="auto" w:fill="FFFFFF"/>
        </w:rPr>
        <w:t>Ante un diagnóstico tan claro y rotundo de la situación, los elementos fundamentales serían: reformar la conformación de la situación nacional de empleo, que viene determinada por el Catálogo de Ocupaciones de Difícil Cobertura</w:t>
      </w:r>
      <w:r>
        <w:rPr>
          <w:rFonts w:cstheme="minorHAnsi"/>
          <w:color w:val="000000"/>
          <w:sz w:val="24"/>
          <w:szCs w:val="24"/>
          <w:shd w:val="clear" w:color="auto" w:fill="FFFFFF"/>
        </w:rPr>
        <w:t xml:space="preserve">, </w:t>
      </w:r>
      <w:r w:rsidRPr="00A15E4D">
        <w:rPr>
          <w:rFonts w:cstheme="minorHAnsi"/>
          <w:sz w:val="24"/>
          <w:szCs w:val="24"/>
          <w:shd w:val="clear" w:color="auto" w:fill="FFFFFF"/>
        </w:rPr>
        <w:t>con objeto de evitar el “</w:t>
      </w:r>
      <w:r w:rsidRPr="00A15E4D">
        <w:rPr>
          <w:rFonts w:cstheme="minorHAnsi"/>
          <w:b/>
          <w:bCs/>
          <w:sz w:val="24"/>
          <w:szCs w:val="24"/>
          <w:u w:val="single"/>
          <w:shd w:val="clear" w:color="auto" w:fill="FFFFFF"/>
        </w:rPr>
        <w:t>efecto embudo</w:t>
      </w:r>
      <w:r w:rsidRPr="00A15E4D">
        <w:rPr>
          <w:rFonts w:cstheme="minorHAnsi"/>
          <w:sz w:val="24"/>
          <w:szCs w:val="24"/>
          <w:shd w:val="clear" w:color="auto" w:fill="FFFFFF"/>
        </w:rPr>
        <w:t>”</w:t>
      </w:r>
      <w:r w:rsidRPr="00A15E4D">
        <w:rPr>
          <w:rFonts w:cstheme="minorHAnsi"/>
          <w:b/>
          <w:bCs/>
          <w:sz w:val="24"/>
          <w:szCs w:val="24"/>
          <w:shd w:val="clear" w:color="auto" w:fill="FFFFFF"/>
        </w:rPr>
        <w:t xml:space="preserve">   </w:t>
      </w:r>
      <w:r w:rsidRPr="00A15E4D">
        <w:rPr>
          <w:rFonts w:cstheme="minorHAnsi"/>
          <w:sz w:val="24"/>
          <w:szCs w:val="24"/>
          <w:shd w:val="clear" w:color="auto" w:fill="FFFFFF"/>
        </w:rPr>
        <w:t>que impide atender las necesidades de mano de obra planteadas por los empleadores</w:t>
      </w:r>
      <w:r w:rsidRPr="006A0544">
        <w:rPr>
          <w:rFonts w:cstheme="minorHAnsi"/>
          <w:color w:val="000000"/>
          <w:sz w:val="24"/>
          <w:szCs w:val="24"/>
          <w:shd w:val="clear" w:color="auto" w:fill="FFFFFF"/>
        </w:rPr>
        <w:t>; adecuación de los requisitos para los tres tipos de arraigos existentes -laboral, social y familiar- y creación de uno nuevo: arraigo por formación. El último aspecto de calado es la creación de una unidad centralizada de apoyo a las Oficinas de Extranjería.</w:t>
      </w:r>
      <w:r w:rsidRPr="00152F3D">
        <w:rPr>
          <w:rFonts w:ascii="Verdana" w:hAnsi="Verdana"/>
          <w:color w:val="000000"/>
          <w:shd w:val="clear" w:color="auto" w:fill="FFFFFF"/>
        </w:rPr>
        <w:t xml:space="preserve"> </w:t>
      </w:r>
    </w:p>
    <w:p w14:paraId="3E63F1DC" w14:textId="77777777" w:rsidR="00E10CE4" w:rsidRPr="006A0544" w:rsidRDefault="00E10CE4" w:rsidP="00E10CE4">
      <w:pPr>
        <w:pStyle w:val="Textoindependiente"/>
        <w:spacing w:after="0" w:line="480" w:lineRule="auto"/>
        <w:jc w:val="both"/>
        <w:rPr>
          <w:rFonts w:cstheme="minorHAnsi"/>
          <w:color w:val="000000"/>
          <w:sz w:val="24"/>
          <w:szCs w:val="24"/>
          <w:shd w:val="clear" w:color="auto" w:fill="FFFFFF"/>
        </w:rPr>
      </w:pPr>
      <w:r w:rsidRPr="006A0544">
        <w:rPr>
          <w:rFonts w:cstheme="minorHAnsi"/>
          <w:color w:val="000000"/>
          <w:sz w:val="24"/>
          <w:szCs w:val="24"/>
          <w:shd w:val="clear" w:color="auto" w:fill="FFFFFF"/>
        </w:rPr>
        <w:t xml:space="preserve">Es desde estos planteamientos como deben valorarse si las reformas introducidas en el Reglamento de 2011 son adecuadas y suficientes para conseguir los objetivos </w:t>
      </w:r>
      <w:r w:rsidRPr="006A0544">
        <w:rPr>
          <w:rFonts w:cstheme="minorHAnsi"/>
          <w:color w:val="000000"/>
          <w:sz w:val="24"/>
          <w:szCs w:val="24"/>
          <w:shd w:val="clear" w:color="auto" w:fill="FFFFFF"/>
        </w:rPr>
        <w:lastRenderedPageBreak/>
        <w:t xml:space="preserve">pretendidos, consistentes en hacer frente </w:t>
      </w:r>
      <w:r w:rsidRPr="006A0544">
        <w:rPr>
          <w:rFonts w:cstheme="minorHAnsi"/>
          <w:i/>
          <w:iCs/>
          <w:color w:val="000000"/>
          <w:sz w:val="24"/>
          <w:szCs w:val="24"/>
          <w:shd w:val="clear" w:color="auto" w:fill="FFFFFF"/>
        </w:rPr>
        <w:t xml:space="preserve">“a la escasez de mano de obra desde el ámbito migratorio” </w:t>
      </w:r>
      <w:r w:rsidRPr="006A0544">
        <w:rPr>
          <w:rFonts w:cstheme="minorHAnsi"/>
          <w:color w:val="000000"/>
          <w:sz w:val="24"/>
          <w:szCs w:val="24"/>
          <w:shd w:val="clear" w:color="auto" w:fill="FFFFFF"/>
        </w:rPr>
        <w:t xml:space="preserve">y </w:t>
      </w:r>
      <w:r w:rsidRPr="006A0544">
        <w:rPr>
          <w:rFonts w:cstheme="minorHAnsi"/>
          <w:i/>
          <w:iCs/>
          <w:color w:val="000000"/>
          <w:sz w:val="24"/>
          <w:szCs w:val="24"/>
          <w:shd w:val="clear" w:color="auto" w:fill="FFFFFF"/>
        </w:rPr>
        <w:t>“dar respuesta a situaciones preexistentes no resueltas con la actual normativa reglamentaria</w:t>
      </w:r>
      <w:r w:rsidRPr="006A0544">
        <w:rPr>
          <w:rFonts w:cstheme="minorHAnsi"/>
          <w:color w:val="000000"/>
          <w:sz w:val="24"/>
          <w:szCs w:val="24"/>
          <w:shd w:val="clear" w:color="auto" w:fill="FFFFFF"/>
        </w:rPr>
        <w:t>”</w:t>
      </w:r>
      <w:r w:rsidRPr="006A0544">
        <w:rPr>
          <w:rStyle w:val="Refdenotaalpie"/>
          <w:rFonts w:cstheme="minorHAnsi"/>
          <w:color w:val="000000"/>
          <w:sz w:val="24"/>
          <w:szCs w:val="24"/>
          <w:shd w:val="clear" w:color="auto" w:fill="FFFFFF"/>
        </w:rPr>
        <w:footnoteReference w:id="91"/>
      </w:r>
      <w:r w:rsidRPr="006A0544">
        <w:rPr>
          <w:rFonts w:cstheme="minorHAnsi"/>
          <w:color w:val="000000"/>
          <w:sz w:val="24"/>
          <w:szCs w:val="24"/>
          <w:shd w:val="clear" w:color="auto" w:fill="FFFFFF"/>
        </w:rPr>
        <w:t>, motivos no muy alejados de los que inspiraron la “política activa de inmigración” impulsada por la Proposición no de Ley de 1991.</w:t>
      </w:r>
    </w:p>
    <w:p w14:paraId="1B425B21" w14:textId="77777777" w:rsidR="00E10CE4" w:rsidRPr="006A0544" w:rsidRDefault="00E10CE4" w:rsidP="00E10CE4">
      <w:pPr>
        <w:pStyle w:val="Textoindependiente"/>
        <w:spacing w:after="0" w:line="480" w:lineRule="auto"/>
        <w:jc w:val="both"/>
        <w:rPr>
          <w:rFonts w:cstheme="minorHAnsi"/>
          <w:color w:val="000000"/>
          <w:sz w:val="24"/>
          <w:szCs w:val="24"/>
          <w:shd w:val="clear" w:color="auto" w:fill="FFFFFF"/>
        </w:rPr>
      </w:pPr>
      <w:r w:rsidRPr="006A0544">
        <w:rPr>
          <w:rFonts w:cstheme="minorHAnsi"/>
          <w:color w:val="000000"/>
          <w:sz w:val="24"/>
          <w:szCs w:val="24"/>
          <w:shd w:val="clear" w:color="auto" w:fill="FFFFFF"/>
        </w:rPr>
        <w:t>Ante un diagnóstico tan claro y rotundo de la situación, los elementos fundamentales serían: reformar la conformación de la situación nacional de empleo, que viene determinada por el Catálogo de Ocupaciones de Difícil Cobertura</w:t>
      </w:r>
      <w:r>
        <w:rPr>
          <w:rFonts w:cstheme="minorHAnsi"/>
          <w:color w:val="000000"/>
          <w:sz w:val="24"/>
          <w:szCs w:val="24"/>
          <w:shd w:val="clear" w:color="auto" w:fill="FFFFFF"/>
        </w:rPr>
        <w:t xml:space="preserve">, </w:t>
      </w:r>
      <w:r w:rsidRPr="00A15E4D">
        <w:rPr>
          <w:rFonts w:cstheme="minorHAnsi"/>
          <w:sz w:val="24"/>
          <w:szCs w:val="24"/>
          <w:shd w:val="clear" w:color="auto" w:fill="FFFFFF"/>
        </w:rPr>
        <w:t>con objeto de evitar el “</w:t>
      </w:r>
      <w:r w:rsidRPr="00A15E4D">
        <w:rPr>
          <w:rFonts w:cstheme="minorHAnsi"/>
          <w:b/>
          <w:bCs/>
          <w:sz w:val="24"/>
          <w:szCs w:val="24"/>
          <w:u w:val="single"/>
          <w:shd w:val="clear" w:color="auto" w:fill="FFFFFF"/>
        </w:rPr>
        <w:t>efecto embudo</w:t>
      </w:r>
      <w:r w:rsidRPr="00A15E4D">
        <w:rPr>
          <w:rFonts w:cstheme="minorHAnsi"/>
          <w:sz w:val="24"/>
          <w:szCs w:val="24"/>
          <w:shd w:val="clear" w:color="auto" w:fill="FFFFFF"/>
        </w:rPr>
        <w:t>”</w:t>
      </w:r>
      <w:r w:rsidRPr="00A15E4D">
        <w:rPr>
          <w:rFonts w:cstheme="minorHAnsi"/>
          <w:b/>
          <w:bCs/>
          <w:sz w:val="24"/>
          <w:szCs w:val="24"/>
          <w:shd w:val="clear" w:color="auto" w:fill="FFFFFF"/>
        </w:rPr>
        <w:t xml:space="preserve">   </w:t>
      </w:r>
      <w:r w:rsidRPr="00A15E4D">
        <w:rPr>
          <w:rFonts w:cstheme="minorHAnsi"/>
          <w:sz w:val="24"/>
          <w:szCs w:val="24"/>
          <w:shd w:val="clear" w:color="auto" w:fill="FFFFFF"/>
        </w:rPr>
        <w:t>que impide atender las necesidades de mano de obra planteadas por los empleadores</w:t>
      </w:r>
      <w:r w:rsidRPr="006A0544">
        <w:rPr>
          <w:rFonts w:cstheme="minorHAnsi"/>
          <w:color w:val="000000"/>
          <w:sz w:val="24"/>
          <w:szCs w:val="24"/>
          <w:shd w:val="clear" w:color="auto" w:fill="FFFFFF"/>
        </w:rPr>
        <w:t>; adecuación de los requisitos para los tres tipos de arraigos existentes -laboral, social y familiar- y creación de uno nuevo: arraigo por formación. El último aspecto de calado es la creación de una unidad centralizada de apoyo a las Oficinas de Extranjería.</w:t>
      </w:r>
      <w:r w:rsidRPr="00152F3D">
        <w:rPr>
          <w:rFonts w:ascii="Verdana" w:hAnsi="Verdana"/>
          <w:color w:val="000000"/>
          <w:shd w:val="clear" w:color="auto" w:fill="FFFFFF"/>
        </w:rPr>
        <w:t xml:space="preserve"> </w:t>
      </w:r>
    </w:p>
    <w:p w14:paraId="50A20AD5" w14:textId="33233486" w:rsidR="00795E8B" w:rsidRDefault="00795E8B" w:rsidP="00795E8B">
      <w:pPr>
        <w:pStyle w:val="Textoindependiente"/>
        <w:spacing w:after="0" w:line="480" w:lineRule="auto"/>
        <w:jc w:val="both"/>
        <w:rPr>
          <w:rFonts w:cstheme="minorHAnsi"/>
          <w:sz w:val="24"/>
          <w:szCs w:val="24"/>
        </w:rPr>
      </w:pPr>
      <w:r w:rsidRPr="006A0544">
        <w:rPr>
          <w:rFonts w:cstheme="minorHAnsi"/>
          <w:color w:val="000000"/>
          <w:sz w:val="24"/>
          <w:szCs w:val="24"/>
          <w:shd w:val="clear" w:color="auto" w:fill="FFFFFF"/>
        </w:rPr>
        <w:t>La valoración positiva del proyecto que hace el Consejo de Estado se basa, entre otros motivos, en que permite</w:t>
      </w:r>
      <w:r w:rsidRPr="006A0544">
        <w:rPr>
          <w:rFonts w:cstheme="minorHAnsi"/>
          <w:color w:val="000000"/>
          <w:sz w:val="24"/>
          <w:szCs w:val="24"/>
        </w:rPr>
        <w:t xml:space="preserve"> “incorporar al mercado laboral a personas que se encuentran trabajando de manera precaria o directamente irregular"</w:t>
      </w:r>
      <w:r w:rsidRPr="006A0544">
        <w:rPr>
          <w:rStyle w:val="Refdenotaalpie"/>
          <w:rFonts w:cstheme="minorHAnsi"/>
          <w:sz w:val="24"/>
          <w:szCs w:val="24"/>
        </w:rPr>
        <w:footnoteReference w:id="92"/>
      </w:r>
      <w:r>
        <w:rPr>
          <w:rFonts w:cstheme="minorHAnsi"/>
          <w:sz w:val="24"/>
          <w:szCs w:val="24"/>
        </w:rPr>
        <w:t>, es decir, regularizar su situación.</w:t>
      </w:r>
      <w:r w:rsidR="00961BDD">
        <w:rPr>
          <w:rFonts w:cstheme="minorHAnsi"/>
          <w:sz w:val="24"/>
          <w:szCs w:val="24"/>
        </w:rPr>
        <w:t xml:space="preserve"> Asimismo, se </w:t>
      </w:r>
      <w:r w:rsidR="00961BDD" w:rsidRPr="006A0544">
        <w:rPr>
          <w:rFonts w:cstheme="minorHAnsi"/>
          <w:sz w:val="24"/>
          <w:szCs w:val="24"/>
        </w:rPr>
        <w:t xml:space="preserve">hace eco de las reticencias existentes sobre la creación de </w:t>
      </w:r>
      <w:r w:rsidR="00961BDD">
        <w:rPr>
          <w:rFonts w:cstheme="minorHAnsi"/>
          <w:sz w:val="24"/>
          <w:szCs w:val="24"/>
        </w:rPr>
        <w:t xml:space="preserve">la nueva </w:t>
      </w:r>
      <w:r w:rsidR="00961BDD" w:rsidRPr="006A0544">
        <w:rPr>
          <w:rFonts w:cstheme="minorHAnsi"/>
          <w:sz w:val="24"/>
          <w:szCs w:val="24"/>
        </w:rPr>
        <w:t>Unidad</w:t>
      </w:r>
      <w:r w:rsidR="00961BDD">
        <w:rPr>
          <w:rFonts w:cstheme="minorHAnsi"/>
          <w:sz w:val="24"/>
          <w:szCs w:val="24"/>
        </w:rPr>
        <w:t xml:space="preserve"> </w:t>
      </w:r>
      <w:r w:rsidR="00961BDD" w:rsidRPr="006A0544">
        <w:rPr>
          <w:rFonts w:cstheme="minorHAnsi"/>
          <w:sz w:val="24"/>
          <w:szCs w:val="24"/>
        </w:rPr>
        <w:t xml:space="preserve">de Tramitación de Expedientes de Extranjería, lo que dado el plazo fijado puede plantear dudas razonables sobre su </w:t>
      </w:r>
      <w:r w:rsidR="00961BDD">
        <w:rPr>
          <w:rFonts w:cstheme="minorHAnsi"/>
          <w:sz w:val="24"/>
          <w:szCs w:val="24"/>
        </w:rPr>
        <w:t>configuración</w:t>
      </w:r>
      <w:r w:rsidR="00961BDD" w:rsidRPr="006A0544">
        <w:rPr>
          <w:rFonts w:cstheme="minorHAnsi"/>
          <w:sz w:val="24"/>
          <w:szCs w:val="24"/>
        </w:rPr>
        <w:t>.</w:t>
      </w:r>
    </w:p>
    <w:p w14:paraId="46037190" w14:textId="37ABF3E0" w:rsidR="00BF62A5" w:rsidRPr="006A0544" w:rsidRDefault="00BF62A5" w:rsidP="00BF62A5">
      <w:pPr>
        <w:pStyle w:val="Textoindependiente"/>
        <w:numPr>
          <w:ilvl w:val="0"/>
          <w:numId w:val="2"/>
        </w:numPr>
        <w:spacing w:after="0" w:line="480" w:lineRule="auto"/>
        <w:jc w:val="both"/>
        <w:rPr>
          <w:rFonts w:cstheme="minorHAnsi"/>
          <w:sz w:val="24"/>
          <w:szCs w:val="24"/>
        </w:rPr>
      </w:pPr>
      <w:r w:rsidRPr="006A0544">
        <w:rPr>
          <w:rFonts w:cstheme="minorHAnsi"/>
          <w:sz w:val="24"/>
          <w:szCs w:val="24"/>
        </w:rPr>
        <w:t>CONCLUSIONES</w:t>
      </w:r>
    </w:p>
    <w:p w14:paraId="0D2875C3" w14:textId="77777777" w:rsidR="00BF62A5" w:rsidRPr="006A0544" w:rsidRDefault="00BF62A5" w:rsidP="00BF62A5">
      <w:pPr>
        <w:pStyle w:val="Textoindependiente"/>
        <w:spacing w:after="0" w:line="480" w:lineRule="auto"/>
        <w:jc w:val="both"/>
        <w:rPr>
          <w:rFonts w:cstheme="minorHAnsi"/>
          <w:sz w:val="24"/>
          <w:szCs w:val="24"/>
        </w:rPr>
      </w:pPr>
      <w:r w:rsidRPr="006A0544">
        <w:rPr>
          <w:rFonts w:cstheme="minorHAnsi"/>
          <w:sz w:val="24"/>
          <w:szCs w:val="24"/>
        </w:rPr>
        <w:t xml:space="preserve"> La política de inmigración, tanto en el plano normativo como en el organizativo, se remonta</w:t>
      </w:r>
      <w:r w:rsidRPr="0006032F">
        <w:rPr>
          <w:rFonts w:cstheme="minorHAnsi"/>
          <w:sz w:val="24"/>
          <w:szCs w:val="24"/>
        </w:rPr>
        <w:t xml:space="preserve"> </w:t>
      </w:r>
      <w:r w:rsidRPr="006A0544">
        <w:rPr>
          <w:rFonts w:cstheme="minorHAnsi"/>
          <w:sz w:val="24"/>
          <w:szCs w:val="24"/>
        </w:rPr>
        <w:t>en España a la Proposición no de Ley de 1991 y no, como con frecuencia se señala, a la LO 4/2000, (LOEIS) del año 2000.</w:t>
      </w:r>
    </w:p>
    <w:p w14:paraId="643A6226" w14:textId="4CC1687F" w:rsidR="00BF62A5" w:rsidRDefault="00BF62A5" w:rsidP="00BF62A5">
      <w:pPr>
        <w:spacing w:after="0" w:line="480" w:lineRule="auto"/>
        <w:jc w:val="both"/>
        <w:rPr>
          <w:rFonts w:cstheme="minorHAnsi"/>
          <w:sz w:val="24"/>
          <w:szCs w:val="24"/>
        </w:rPr>
      </w:pPr>
      <w:r w:rsidRPr="006A0544">
        <w:rPr>
          <w:rFonts w:cstheme="minorHAnsi"/>
          <w:sz w:val="24"/>
          <w:szCs w:val="24"/>
        </w:rPr>
        <w:lastRenderedPageBreak/>
        <w:t>Concebida como “política activa de inmigración”</w:t>
      </w:r>
      <w:r w:rsidR="004B67B9">
        <w:rPr>
          <w:rFonts w:cstheme="minorHAnsi"/>
          <w:sz w:val="24"/>
          <w:szCs w:val="24"/>
        </w:rPr>
        <w:t>,</w:t>
      </w:r>
      <w:r w:rsidRPr="006A0544">
        <w:rPr>
          <w:rFonts w:cstheme="minorHAnsi"/>
          <w:sz w:val="24"/>
          <w:szCs w:val="24"/>
        </w:rPr>
        <w:t xml:space="preserve"> adoptó diversas medidas para hacer frente a los desajustes del mercado de trabajo -contingentes- como </w:t>
      </w:r>
      <w:r>
        <w:rPr>
          <w:rFonts w:cstheme="minorHAnsi"/>
          <w:sz w:val="24"/>
          <w:szCs w:val="24"/>
        </w:rPr>
        <w:t>presencia</w:t>
      </w:r>
      <w:r w:rsidRPr="006A0544">
        <w:rPr>
          <w:rFonts w:cstheme="minorHAnsi"/>
          <w:sz w:val="24"/>
          <w:szCs w:val="24"/>
        </w:rPr>
        <w:t xml:space="preserve"> de inmigrantes en situación irregular -procesos extraordinarios de regularización, </w:t>
      </w:r>
      <w:r w:rsidR="007E4693">
        <w:rPr>
          <w:rFonts w:cstheme="minorHAnsi"/>
          <w:sz w:val="24"/>
          <w:szCs w:val="24"/>
        </w:rPr>
        <w:t>suspendidos</w:t>
      </w:r>
      <w:r w:rsidRPr="006A0544">
        <w:rPr>
          <w:rFonts w:cstheme="minorHAnsi"/>
          <w:sz w:val="24"/>
          <w:szCs w:val="24"/>
        </w:rPr>
        <w:t xml:space="preserve"> a partir de 2005 por la presión de algunos países de la UE en base a su “</w:t>
      </w:r>
      <w:r w:rsidRPr="00976A2C">
        <w:rPr>
          <w:rFonts w:cstheme="minorHAnsi"/>
          <w:b/>
          <w:bCs/>
          <w:sz w:val="24"/>
          <w:szCs w:val="24"/>
        </w:rPr>
        <w:t>efecto llamada</w:t>
      </w:r>
      <w:r>
        <w:rPr>
          <w:rFonts w:cstheme="minorHAnsi"/>
          <w:sz w:val="24"/>
          <w:szCs w:val="24"/>
        </w:rPr>
        <w:t>”</w:t>
      </w:r>
      <w:r w:rsidRPr="006A0544">
        <w:rPr>
          <w:rFonts w:cstheme="minorHAnsi"/>
          <w:sz w:val="24"/>
          <w:szCs w:val="24"/>
        </w:rPr>
        <w:t>.</w:t>
      </w:r>
    </w:p>
    <w:p w14:paraId="7D8EF70A" w14:textId="1B11AB63" w:rsidR="007E4693" w:rsidRPr="006A0544" w:rsidRDefault="007E4693" w:rsidP="007E4693">
      <w:pPr>
        <w:spacing w:after="0" w:line="480" w:lineRule="auto"/>
        <w:jc w:val="both"/>
        <w:rPr>
          <w:rFonts w:cstheme="minorHAnsi"/>
          <w:sz w:val="24"/>
          <w:szCs w:val="24"/>
        </w:rPr>
      </w:pPr>
      <w:r w:rsidRPr="006A0544">
        <w:rPr>
          <w:rFonts w:cstheme="minorHAnsi"/>
          <w:sz w:val="24"/>
          <w:szCs w:val="24"/>
        </w:rPr>
        <w:t xml:space="preserve">El impacto </w:t>
      </w:r>
      <w:r w:rsidR="0024641D">
        <w:rPr>
          <w:rFonts w:cstheme="minorHAnsi"/>
          <w:sz w:val="24"/>
          <w:szCs w:val="24"/>
        </w:rPr>
        <w:t xml:space="preserve">en el mercado de trabajo de los procesos de </w:t>
      </w:r>
      <w:r w:rsidR="00B709FE">
        <w:rPr>
          <w:rFonts w:cstheme="minorHAnsi"/>
          <w:sz w:val="24"/>
          <w:szCs w:val="24"/>
        </w:rPr>
        <w:t>regularización</w:t>
      </w:r>
      <w:r w:rsidRPr="006A0544">
        <w:rPr>
          <w:rFonts w:cstheme="minorHAnsi"/>
          <w:sz w:val="24"/>
          <w:szCs w:val="24"/>
        </w:rPr>
        <w:t xml:space="preserve"> ha sido mucho mayor que el de</w:t>
      </w:r>
      <w:r w:rsidR="00B709FE">
        <w:rPr>
          <w:rFonts w:cstheme="minorHAnsi"/>
          <w:sz w:val="24"/>
          <w:szCs w:val="24"/>
        </w:rPr>
        <w:t xml:space="preserve"> los contingentes</w:t>
      </w:r>
      <w:r w:rsidRPr="006A0544">
        <w:rPr>
          <w:rFonts w:cstheme="minorHAnsi"/>
          <w:sz w:val="24"/>
          <w:szCs w:val="24"/>
        </w:rPr>
        <w:t>. Amb</w:t>
      </w:r>
      <w:r w:rsidR="00B709FE">
        <w:rPr>
          <w:rFonts w:cstheme="minorHAnsi"/>
          <w:sz w:val="24"/>
          <w:szCs w:val="24"/>
        </w:rPr>
        <w:t>o</w:t>
      </w:r>
      <w:r w:rsidRPr="006A0544">
        <w:rPr>
          <w:rFonts w:cstheme="minorHAnsi"/>
          <w:sz w:val="24"/>
          <w:szCs w:val="24"/>
        </w:rPr>
        <w:t>s se utilizaron de forma reiterada hasta su transformación en las nuevas modalidades sustitutivas: contrataciones en origen y regularización por arraigo.</w:t>
      </w:r>
    </w:p>
    <w:p w14:paraId="70A829F9" w14:textId="7908BD57" w:rsidR="007E4693" w:rsidRDefault="007E4693" w:rsidP="007E4693">
      <w:pPr>
        <w:spacing w:after="0" w:line="480" w:lineRule="auto"/>
        <w:jc w:val="both"/>
        <w:rPr>
          <w:rFonts w:cstheme="minorHAnsi"/>
          <w:sz w:val="24"/>
          <w:szCs w:val="24"/>
        </w:rPr>
      </w:pPr>
      <w:r w:rsidRPr="006A0544">
        <w:rPr>
          <w:rFonts w:cstheme="minorHAnsi"/>
          <w:sz w:val="24"/>
          <w:szCs w:val="24"/>
        </w:rPr>
        <w:t xml:space="preserve">El principal obstáculo para gestionar una política de inmigración adaptada a las necesidades del mercado de trabajo ha consistido en el </w:t>
      </w:r>
      <w:r w:rsidR="00B62EA6">
        <w:rPr>
          <w:rFonts w:cstheme="minorHAnsi"/>
          <w:sz w:val="24"/>
          <w:szCs w:val="24"/>
        </w:rPr>
        <w:t>“</w:t>
      </w:r>
      <w:r w:rsidRPr="006A0544">
        <w:rPr>
          <w:rFonts w:cstheme="minorHAnsi"/>
          <w:sz w:val="24"/>
          <w:szCs w:val="24"/>
        </w:rPr>
        <w:t>Catálogo de Ocupaciones de Difícil Cobertura</w:t>
      </w:r>
      <w:r w:rsidR="00B62EA6">
        <w:rPr>
          <w:rFonts w:cstheme="minorHAnsi"/>
          <w:sz w:val="24"/>
          <w:szCs w:val="24"/>
        </w:rPr>
        <w:t>”</w:t>
      </w:r>
      <w:r w:rsidRPr="006A0544">
        <w:rPr>
          <w:rFonts w:cstheme="minorHAnsi"/>
          <w:sz w:val="24"/>
          <w:szCs w:val="24"/>
        </w:rPr>
        <w:t>, dada la</w:t>
      </w:r>
      <w:r>
        <w:rPr>
          <w:rFonts w:cstheme="minorHAnsi"/>
          <w:sz w:val="24"/>
          <w:szCs w:val="24"/>
        </w:rPr>
        <w:t xml:space="preserve"> rigidez de procedimiento y</w:t>
      </w:r>
      <w:r w:rsidRPr="006A0544">
        <w:rPr>
          <w:rFonts w:cstheme="minorHAnsi"/>
          <w:sz w:val="24"/>
          <w:szCs w:val="24"/>
        </w:rPr>
        <w:t xml:space="preserve"> </w:t>
      </w:r>
      <w:r>
        <w:rPr>
          <w:rFonts w:cstheme="minorHAnsi"/>
          <w:sz w:val="24"/>
          <w:szCs w:val="24"/>
        </w:rPr>
        <w:t>la limitada</w:t>
      </w:r>
      <w:r w:rsidRPr="006A0544">
        <w:rPr>
          <w:rFonts w:cstheme="minorHAnsi"/>
          <w:sz w:val="24"/>
          <w:szCs w:val="24"/>
        </w:rPr>
        <w:t xml:space="preserve"> eficacia de los servicios públicos de intermediación laboral.</w:t>
      </w:r>
    </w:p>
    <w:p w14:paraId="6E2F27FE" w14:textId="77777777" w:rsidR="0026490C" w:rsidRPr="006A0544" w:rsidRDefault="0026490C" w:rsidP="0026490C">
      <w:pPr>
        <w:spacing w:after="0" w:line="480" w:lineRule="auto"/>
        <w:jc w:val="both"/>
        <w:rPr>
          <w:rFonts w:cstheme="minorHAnsi"/>
          <w:sz w:val="24"/>
          <w:szCs w:val="24"/>
        </w:rPr>
      </w:pPr>
      <w:r w:rsidRPr="006A0544">
        <w:rPr>
          <w:rFonts w:cstheme="minorHAnsi"/>
          <w:sz w:val="24"/>
          <w:szCs w:val="24"/>
        </w:rPr>
        <w:t xml:space="preserve">El periodo de la inmigración en masa </w:t>
      </w:r>
      <w:r>
        <w:rPr>
          <w:rFonts w:cstheme="minorHAnsi"/>
          <w:sz w:val="24"/>
          <w:szCs w:val="24"/>
        </w:rPr>
        <w:t>(</w:t>
      </w:r>
      <w:r w:rsidRPr="006A0544">
        <w:rPr>
          <w:rFonts w:cstheme="minorHAnsi"/>
          <w:sz w:val="24"/>
          <w:szCs w:val="24"/>
        </w:rPr>
        <w:t>1996-2006</w:t>
      </w:r>
      <w:r>
        <w:rPr>
          <w:rFonts w:cstheme="minorHAnsi"/>
          <w:sz w:val="24"/>
          <w:szCs w:val="24"/>
        </w:rPr>
        <w:t>)</w:t>
      </w:r>
      <w:r w:rsidRPr="006A0544">
        <w:rPr>
          <w:rFonts w:cstheme="minorHAnsi"/>
          <w:sz w:val="24"/>
          <w:szCs w:val="24"/>
        </w:rPr>
        <w:t xml:space="preserve"> coincidió con un periodo de rechazo formal y de indefinición por las frecuentes reformas tanto normativas como administrativas.</w:t>
      </w:r>
    </w:p>
    <w:p w14:paraId="5E4D3A66" w14:textId="132D10ED" w:rsidR="00672815" w:rsidRPr="006A0544" w:rsidRDefault="00672815" w:rsidP="00672815">
      <w:pPr>
        <w:spacing w:after="0" w:line="480" w:lineRule="auto"/>
        <w:jc w:val="both"/>
        <w:rPr>
          <w:rFonts w:cstheme="minorHAnsi"/>
          <w:sz w:val="24"/>
          <w:szCs w:val="24"/>
        </w:rPr>
      </w:pPr>
      <w:r w:rsidRPr="006A0544">
        <w:rPr>
          <w:rFonts w:cstheme="minorHAnsi"/>
          <w:sz w:val="24"/>
          <w:szCs w:val="24"/>
        </w:rPr>
        <w:t>La orientación política del Gobierno se ve reflejad</w:t>
      </w:r>
      <w:r w:rsidR="00716FAB">
        <w:rPr>
          <w:rFonts w:cstheme="minorHAnsi"/>
          <w:sz w:val="24"/>
          <w:szCs w:val="24"/>
        </w:rPr>
        <w:t>a</w:t>
      </w:r>
      <w:r w:rsidRPr="006A0544">
        <w:rPr>
          <w:rFonts w:cstheme="minorHAnsi"/>
          <w:sz w:val="24"/>
          <w:szCs w:val="24"/>
        </w:rPr>
        <w:t xml:space="preserve"> en el énfasis puesto en la política de extranjería o de inmigración: Delegación del Gobierno para la Extranjería y la Inmigración o Secretaría de Estado para la Inmigración y Emigración, y su ubicación en el Ministerio de Interior o en el de Trabajo.</w:t>
      </w:r>
    </w:p>
    <w:p w14:paraId="7108804E" w14:textId="2BCEE68E" w:rsidR="0026490C" w:rsidRDefault="00672815" w:rsidP="00672815">
      <w:pPr>
        <w:spacing w:after="0" w:line="480" w:lineRule="auto"/>
        <w:jc w:val="both"/>
        <w:rPr>
          <w:rFonts w:cstheme="minorHAnsi"/>
          <w:sz w:val="24"/>
          <w:szCs w:val="24"/>
        </w:rPr>
      </w:pPr>
      <w:r w:rsidRPr="006A0544">
        <w:rPr>
          <w:rFonts w:cstheme="minorHAnsi"/>
          <w:sz w:val="24"/>
          <w:szCs w:val="24"/>
        </w:rPr>
        <w:t>La comunitarización de la política migratoria ha contribuido a crear una situación de sosiego normativo, al consistir las reformas en la transposición de directivas y reglamentos, pero ha robustecido su orientación reactiva y de control</w:t>
      </w:r>
      <w:r>
        <w:rPr>
          <w:rFonts w:cstheme="minorHAnsi"/>
          <w:sz w:val="24"/>
          <w:szCs w:val="24"/>
        </w:rPr>
        <w:t xml:space="preserve">, </w:t>
      </w:r>
      <w:r w:rsidRPr="0006032F">
        <w:rPr>
          <w:rFonts w:cstheme="minorHAnsi"/>
          <w:sz w:val="24"/>
          <w:szCs w:val="24"/>
        </w:rPr>
        <w:t xml:space="preserve">a pesar de lo cual, </w:t>
      </w:r>
      <w:r w:rsidR="00CF3E3D">
        <w:rPr>
          <w:rFonts w:cstheme="minorHAnsi"/>
          <w:sz w:val="24"/>
          <w:szCs w:val="24"/>
        </w:rPr>
        <w:lastRenderedPageBreak/>
        <w:t xml:space="preserve">parece </w:t>
      </w:r>
      <w:r w:rsidRPr="0006032F">
        <w:rPr>
          <w:rFonts w:cstheme="minorHAnsi"/>
          <w:sz w:val="24"/>
          <w:szCs w:val="24"/>
        </w:rPr>
        <w:t>exist</w:t>
      </w:r>
      <w:r w:rsidR="00CF3E3D">
        <w:rPr>
          <w:rFonts w:cstheme="minorHAnsi"/>
          <w:sz w:val="24"/>
          <w:szCs w:val="24"/>
        </w:rPr>
        <w:t>ir</w:t>
      </w:r>
      <w:r w:rsidRPr="0006032F">
        <w:rPr>
          <w:rFonts w:cstheme="minorHAnsi"/>
          <w:sz w:val="24"/>
          <w:szCs w:val="24"/>
        </w:rPr>
        <w:t xml:space="preserve"> margen para que el Gobierno pueda establecer criterios y procedimientos para favorecer </w:t>
      </w:r>
      <w:r w:rsidR="00B40A40">
        <w:rPr>
          <w:rFonts w:cstheme="minorHAnsi"/>
          <w:sz w:val="24"/>
          <w:szCs w:val="24"/>
        </w:rPr>
        <w:t>el acceso</w:t>
      </w:r>
      <w:r w:rsidRPr="0006032F">
        <w:rPr>
          <w:rFonts w:cstheme="minorHAnsi"/>
          <w:sz w:val="24"/>
          <w:szCs w:val="24"/>
        </w:rPr>
        <w:t xml:space="preserve"> de </w:t>
      </w:r>
      <w:r w:rsidR="00B40A40">
        <w:rPr>
          <w:rFonts w:cstheme="minorHAnsi"/>
          <w:sz w:val="24"/>
          <w:szCs w:val="24"/>
        </w:rPr>
        <w:t>trabajadores extranjeros al mercado de trabajo.</w:t>
      </w:r>
    </w:p>
    <w:p w14:paraId="5B63EAC7" w14:textId="77777777" w:rsidR="00CF3E3D" w:rsidRPr="004316F5" w:rsidRDefault="00CF3E3D" w:rsidP="00CF3E3D">
      <w:pPr>
        <w:spacing w:after="0" w:line="480" w:lineRule="auto"/>
        <w:jc w:val="both"/>
        <w:rPr>
          <w:rFonts w:cstheme="minorHAnsi"/>
          <w:spacing w:val="-4"/>
          <w:sz w:val="24"/>
          <w:szCs w:val="24"/>
        </w:rPr>
      </w:pPr>
      <w:r w:rsidRPr="004316F5">
        <w:rPr>
          <w:rFonts w:cstheme="minorHAnsi"/>
          <w:spacing w:val="-4"/>
          <w:sz w:val="24"/>
          <w:szCs w:val="24"/>
        </w:rPr>
        <w:t xml:space="preserve">A partir de 2011, con la aprobación del Reglamento de la LO 3/2009, la política de inmigración perdió relevancia, al degradarse el rango del </w:t>
      </w:r>
      <w:r>
        <w:rPr>
          <w:rFonts w:cstheme="minorHAnsi"/>
          <w:spacing w:val="-4"/>
          <w:sz w:val="24"/>
          <w:szCs w:val="24"/>
        </w:rPr>
        <w:t>ó</w:t>
      </w:r>
      <w:r w:rsidRPr="004316F5">
        <w:rPr>
          <w:rFonts w:cstheme="minorHAnsi"/>
          <w:spacing w:val="-4"/>
          <w:sz w:val="24"/>
          <w:szCs w:val="24"/>
        </w:rPr>
        <w:t>rgano encargado de su dirección y gestión, y limitarse su iniciativa a la repetitiva regulación de las migraciones temporales agrícolas.</w:t>
      </w:r>
    </w:p>
    <w:p w14:paraId="0AD66096" w14:textId="5F981C02" w:rsidR="003A4CBE" w:rsidRDefault="003A4CBE" w:rsidP="003A4CBE">
      <w:pPr>
        <w:spacing w:after="0" w:line="480" w:lineRule="auto"/>
        <w:jc w:val="both"/>
        <w:rPr>
          <w:rFonts w:cstheme="minorHAnsi"/>
          <w:sz w:val="24"/>
          <w:szCs w:val="24"/>
        </w:rPr>
      </w:pPr>
      <w:r w:rsidRPr="006A0544">
        <w:rPr>
          <w:rFonts w:cstheme="minorHAnsi"/>
          <w:sz w:val="24"/>
          <w:szCs w:val="24"/>
        </w:rPr>
        <w:t>La</w:t>
      </w:r>
      <w:r>
        <w:rPr>
          <w:rFonts w:cstheme="minorHAnsi"/>
          <w:sz w:val="24"/>
          <w:szCs w:val="24"/>
        </w:rPr>
        <w:t xml:space="preserve"> actual</w:t>
      </w:r>
      <w:r w:rsidRPr="006A0544">
        <w:rPr>
          <w:rFonts w:cstheme="minorHAnsi"/>
          <w:sz w:val="24"/>
          <w:szCs w:val="24"/>
        </w:rPr>
        <w:t xml:space="preserve"> ubicación de los órganos directivos y de gestión fuera del Ministerio de Trabajo (Empleo) produce el contrasentido de que medidas que afectan al mercado de trabajo, tanto las relativas a</w:t>
      </w:r>
      <w:r>
        <w:rPr>
          <w:rFonts w:cstheme="minorHAnsi"/>
          <w:sz w:val="24"/>
          <w:szCs w:val="24"/>
        </w:rPr>
        <w:t xml:space="preserve"> los</w:t>
      </w:r>
      <w:r w:rsidRPr="006A0544">
        <w:rPr>
          <w:rFonts w:cstheme="minorHAnsi"/>
          <w:sz w:val="24"/>
          <w:szCs w:val="24"/>
        </w:rPr>
        <w:t xml:space="preserve"> </w:t>
      </w:r>
      <w:r w:rsidR="00B40A40">
        <w:rPr>
          <w:rFonts w:cstheme="minorHAnsi"/>
          <w:sz w:val="24"/>
          <w:szCs w:val="24"/>
        </w:rPr>
        <w:t>“m</w:t>
      </w:r>
      <w:r w:rsidRPr="006A0544">
        <w:rPr>
          <w:rFonts w:cstheme="minorHAnsi"/>
          <w:sz w:val="24"/>
          <w:szCs w:val="24"/>
        </w:rPr>
        <w:t>ena</w:t>
      </w:r>
      <w:r w:rsidR="00863490">
        <w:rPr>
          <w:rFonts w:cstheme="minorHAnsi"/>
          <w:sz w:val="24"/>
          <w:szCs w:val="24"/>
        </w:rPr>
        <w:t>”</w:t>
      </w:r>
      <w:r w:rsidRPr="006A0544">
        <w:rPr>
          <w:rFonts w:cstheme="minorHAnsi"/>
          <w:sz w:val="24"/>
          <w:szCs w:val="24"/>
        </w:rPr>
        <w:t xml:space="preserve"> como </w:t>
      </w:r>
      <w:r w:rsidR="00863490">
        <w:rPr>
          <w:rFonts w:cstheme="minorHAnsi"/>
          <w:sz w:val="24"/>
          <w:szCs w:val="24"/>
        </w:rPr>
        <w:t xml:space="preserve">las </w:t>
      </w:r>
      <w:r w:rsidRPr="006A0544">
        <w:rPr>
          <w:rFonts w:cstheme="minorHAnsi"/>
          <w:sz w:val="24"/>
          <w:szCs w:val="24"/>
        </w:rPr>
        <w:t xml:space="preserve">nuevas formas de </w:t>
      </w:r>
      <w:r>
        <w:rPr>
          <w:rFonts w:cstheme="minorHAnsi"/>
          <w:sz w:val="24"/>
          <w:szCs w:val="24"/>
        </w:rPr>
        <w:t xml:space="preserve">arraigo, </w:t>
      </w:r>
      <w:r w:rsidRPr="006A0544">
        <w:rPr>
          <w:rFonts w:cstheme="minorHAnsi"/>
          <w:sz w:val="24"/>
          <w:szCs w:val="24"/>
        </w:rPr>
        <w:t>se realizan fuera de</w:t>
      </w:r>
      <w:r w:rsidR="00863490">
        <w:rPr>
          <w:rFonts w:cstheme="minorHAnsi"/>
          <w:sz w:val="24"/>
          <w:szCs w:val="24"/>
        </w:rPr>
        <w:t xml:space="preserve"> su ámbito.</w:t>
      </w:r>
    </w:p>
    <w:p w14:paraId="46EBC6F0" w14:textId="5FDD2A29" w:rsidR="001767D3" w:rsidRDefault="001767D3" w:rsidP="001767D3">
      <w:pPr>
        <w:spacing w:after="0" w:line="480" w:lineRule="auto"/>
        <w:jc w:val="both"/>
        <w:rPr>
          <w:rFonts w:cstheme="minorHAnsi"/>
          <w:sz w:val="24"/>
          <w:szCs w:val="24"/>
        </w:rPr>
      </w:pPr>
      <w:r w:rsidRPr="006A0544">
        <w:rPr>
          <w:rFonts w:cstheme="minorHAnsi"/>
          <w:sz w:val="24"/>
          <w:szCs w:val="24"/>
        </w:rPr>
        <w:t>El diagnóstico sobre las carencias del mercado de trabajo, la existencia de colectivos de extranjeros en situación irregular y las deficiencias en el funcionamiento de las Oficinas de Extranjería</w:t>
      </w:r>
      <w:r>
        <w:rPr>
          <w:rFonts w:cstheme="minorHAnsi"/>
          <w:sz w:val="24"/>
          <w:szCs w:val="24"/>
        </w:rPr>
        <w:t xml:space="preserve"> que </w:t>
      </w:r>
      <w:r w:rsidR="0089216A">
        <w:rPr>
          <w:rFonts w:cstheme="minorHAnsi"/>
          <w:sz w:val="24"/>
          <w:szCs w:val="24"/>
        </w:rPr>
        <w:t>plantea</w:t>
      </w:r>
      <w:r>
        <w:rPr>
          <w:rFonts w:cstheme="minorHAnsi"/>
          <w:sz w:val="24"/>
          <w:szCs w:val="24"/>
        </w:rPr>
        <w:t xml:space="preserve"> la última reforma del Reglamento</w:t>
      </w:r>
      <w:r w:rsidRPr="006A0544">
        <w:rPr>
          <w:rFonts w:cstheme="minorHAnsi"/>
          <w:sz w:val="24"/>
          <w:szCs w:val="24"/>
        </w:rPr>
        <w:t xml:space="preserve"> son correctas, sin embargo, las medidas p</w:t>
      </w:r>
      <w:r w:rsidR="0089216A">
        <w:rPr>
          <w:rFonts w:cstheme="minorHAnsi"/>
          <w:sz w:val="24"/>
          <w:szCs w:val="24"/>
        </w:rPr>
        <w:t>ropuestas</w:t>
      </w:r>
      <w:r w:rsidRPr="006A0544">
        <w:rPr>
          <w:rFonts w:cstheme="minorHAnsi"/>
          <w:sz w:val="24"/>
          <w:szCs w:val="24"/>
        </w:rPr>
        <w:t xml:space="preserve"> </w:t>
      </w:r>
      <w:r>
        <w:rPr>
          <w:rFonts w:cstheme="minorHAnsi"/>
          <w:sz w:val="24"/>
          <w:szCs w:val="24"/>
        </w:rPr>
        <w:t>parecen</w:t>
      </w:r>
      <w:r w:rsidRPr="006A0544">
        <w:rPr>
          <w:rFonts w:cstheme="minorHAnsi"/>
          <w:sz w:val="24"/>
          <w:szCs w:val="24"/>
        </w:rPr>
        <w:t xml:space="preserve"> insuficientes.</w:t>
      </w:r>
    </w:p>
    <w:p w14:paraId="5E3BCBD6" w14:textId="77777777" w:rsidR="001767D3" w:rsidRPr="0006032F" w:rsidRDefault="001767D3" w:rsidP="001767D3">
      <w:pPr>
        <w:spacing w:after="0" w:line="480" w:lineRule="auto"/>
        <w:jc w:val="both"/>
        <w:rPr>
          <w:rFonts w:cstheme="minorHAnsi"/>
          <w:sz w:val="24"/>
          <w:szCs w:val="24"/>
        </w:rPr>
      </w:pPr>
      <w:r w:rsidRPr="006A0544">
        <w:rPr>
          <w:rFonts w:cstheme="minorHAnsi"/>
          <w:sz w:val="24"/>
          <w:szCs w:val="24"/>
        </w:rPr>
        <w:t xml:space="preserve"> La raíz de su insuficiencia </w:t>
      </w:r>
      <w:r w:rsidRPr="0006032F">
        <w:rPr>
          <w:rFonts w:cstheme="minorHAnsi"/>
          <w:sz w:val="24"/>
          <w:szCs w:val="24"/>
        </w:rPr>
        <w:t xml:space="preserve">consiste en </w:t>
      </w:r>
      <w:r w:rsidRPr="006A0544">
        <w:rPr>
          <w:rFonts w:cstheme="minorHAnsi"/>
          <w:sz w:val="24"/>
          <w:szCs w:val="24"/>
        </w:rPr>
        <w:t>que el rango normativo</w:t>
      </w:r>
      <w:r>
        <w:rPr>
          <w:rFonts w:cstheme="minorHAnsi"/>
          <w:sz w:val="24"/>
          <w:szCs w:val="24"/>
        </w:rPr>
        <w:t xml:space="preserve"> es inadecuado, siendo necesario</w:t>
      </w:r>
      <w:r w:rsidRPr="006A0544">
        <w:rPr>
          <w:rFonts w:cstheme="minorHAnsi"/>
          <w:sz w:val="24"/>
          <w:szCs w:val="24"/>
        </w:rPr>
        <w:t xml:space="preserve"> </w:t>
      </w:r>
      <w:r w:rsidRPr="0006032F">
        <w:rPr>
          <w:rFonts w:cstheme="minorHAnsi"/>
          <w:sz w:val="24"/>
          <w:szCs w:val="24"/>
        </w:rPr>
        <w:t xml:space="preserve">reformar </w:t>
      </w:r>
      <w:r w:rsidRPr="006A0544">
        <w:rPr>
          <w:rFonts w:cstheme="minorHAnsi"/>
          <w:sz w:val="24"/>
          <w:szCs w:val="24"/>
        </w:rPr>
        <w:t>no el Reglamento sino la propia Ley</w:t>
      </w:r>
      <w:r>
        <w:rPr>
          <w:rFonts w:cstheme="minorHAnsi"/>
          <w:sz w:val="24"/>
          <w:szCs w:val="24"/>
        </w:rPr>
        <w:t xml:space="preserve">, </w:t>
      </w:r>
      <w:r w:rsidRPr="0006032F">
        <w:rPr>
          <w:rFonts w:cstheme="minorHAnsi"/>
          <w:sz w:val="24"/>
          <w:szCs w:val="24"/>
        </w:rPr>
        <w:t>o aprobar una nueva, siendo deseable que se haga con el consenso de la Proposición no de Ley de 1991.</w:t>
      </w:r>
    </w:p>
    <w:p w14:paraId="62E0034F" w14:textId="5DB5ED1E" w:rsidR="001767D3" w:rsidRDefault="001767D3" w:rsidP="003A4CBE">
      <w:pPr>
        <w:spacing w:after="0" w:line="480" w:lineRule="auto"/>
        <w:jc w:val="both"/>
        <w:rPr>
          <w:rFonts w:cstheme="minorHAnsi"/>
          <w:sz w:val="24"/>
          <w:szCs w:val="24"/>
        </w:rPr>
      </w:pPr>
    </w:p>
    <w:p w14:paraId="3CA376D2" w14:textId="77777777" w:rsidR="001767D3" w:rsidRDefault="001767D3" w:rsidP="001767D3">
      <w:pPr>
        <w:jc w:val="center"/>
        <w:rPr>
          <w:sz w:val="32"/>
          <w:szCs w:val="32"/>
        </w:rPr>
      </w:pPr>
      <w:r>
        <w:rPr>
          <w:sz w:val="32"/>
          <w:szCs w:val="32"/>
        </w:rPr>
        <w:t>BIBLIOGRAFÍA</w:t>
      </w:r>
    </w:p>
    <w:p w14:paraId="7EF9C364" w14:textId="77777777" w:rsidR="003471F7" w:rsidRPr="001F40CB" w:rsidRDefault="003471F7" w:rsidP="003471F7">
      <w:pPr>
        <w:spacing w:after="0" w:line="480" w:lineRule="auto"/>
        <w:jc w:val="both"/>
        <w:rPr>
          <w:rFonts w:cstheme="minorHAnsi"/>
          <w:sz w:val="24"/>
          <w:szCs w:val="24"/>
        </w:rPr>
      </w:pPr>
      <w:r w:rsidRPr="001F40CB">
        <w:rPr>
          <w:rFonts w:cstheme="minorHAnsi"/>
          <w:sz w:val="24"/>
          <w:szCs w:val="24"/>
        </w:rPr>
        <w:t>AJA, E</w:t>
      </w:r>
      <w:r w:rsidRPr="001F40CB">
        <w:rPr>
          <w:rFonts w:cstheme="minorHAnsi"/>
          <w:i/>
          <w:iCs/>
          <w:sz w:val="24"/>
          <w:szCs w:val="24"/>
        </w:rPr>
        <w:t xml:space="preserve">. </w:t>
      </w:r>
      <w:r w:rsidRPr="001F40CB">
        <w:rPr>
          <w:rFonts w:cstheme="minorHAnsi"/>
          <w:sz w:val="24"/>
          <w:szCs w:val="24"/>
        </w:rPr>
        <w:t xml:space="preserve">La evolución sobre la normativa sobre inmigración en Eliseo AJA y Joaquín ARANGO (eds.) </w:t>
      </w:r>
      <w:r w:rsidRPr="001F40CB">
        <w:rPr>
          <w:rFonts w:cstheme="minorHAnsi"/>
          <w:i/>
          <w:iCs/>
          <w:sz w:val="24"/>
          <w:szCs w:val="24"/>
        </w:rPr>
        <w:t xml:space="preserve">Veinte años de inmigración en España, perspectivas jurídica y sociológica (185-2004) </w:t>
      </w:r>
      <w:r w:rsidRPr="001F40CB">
        <w:rPr>
          <w:rFonts w:cstheme="minorHAnsi"/>
          <w:sz w:val="24"/>
          <w:szCs w:val="24"/>
        </w:rPr>
        <w:t>Barcelona: Fundación CIDOB 2006 ISSN: 1888-251X</w:t>
      </w:r>
    </w:p>
    <w:p w14:paraId="28DABB71" w14:textId="05E5EF74" w:rsidR="003471F7" w:rsidRPr="001F40CB" w:rsidRDefault="003471F7" w:rsidP="003471F7">
      <w:pPr>
        <w:spacing w:after="0" w:line="480" w:lineRule="auto"/>
        <w:jc w:val="both"/>
        <w:rPr>
          <w:rFonts w:cstheme="minorHAnsi"/>
          <w:sz w:val="24"/>
          <w:szCs w:val="24"/>
        </w:rPr>
      </w:pPr>
      <w:r w:rsidRPr="001F40CB">
        <w:rPr>
          <w:rFonts w:cstheme="minorHAnsi"/>
          <w:sz w:val="24"/>
          <w:szCs w:val="24"/>
        </w:rPr>
        <w:lastRenderedPageBreak/>
        <w:t>ARAGON BOMBÍN, R Hacia una política activa de inmigración.</w:t>
      </w:r>
      <w:r w:rsidRPr="001F40CB">
        <w:rPr>
          <w:rFonts w:cstheme="minorHAnsi"/>
          <w:i/>
          <w:iCs/>
          <w:sz w:val="24"/>
          <w:szCs w:val="24"/>
        </w:rPr>
        <w:t xml:space="preserve"> Revista Economía y Sociología del Trabajo. Los movimientos migratorios: La Inmigración</w:t>
      </w:r>
      <w:r w:rsidRPr="001F40CB">
        <w:rPr>
          <w:rFonts w:cstheme="minorHAnsi"/>
          <w:sz w:val="24"/>
          <w:szCs w:val="24"/>
        </w:rPr>
        <w:t>. Ministerio de Trabajo y Seguridad Social 1991 nº 11 ISSN: 0214-6029 pp.97-108</w:t>
      </w:r>
    </w:p>
    <w:p w14:paraId="398D48FC" w14:textId="77777777" w:rsidR="003471F7" w:rsidRPr="001F40CB" w:rsidRDefault="003471F7" w:rsidP="003471F7">
      <w:pPr>
        <w:spacing w:after="0" w:line="480" w:lineRule="auto"/>
        <w:jc w:val="both"/>
        <w:rPr>
          <w:rFonts w:cstheme="minorHAnsi"/>
          <w:sz w:val="24"/>
          <w:szCs w:val="24"/>
        </w:rPr>
      </w:pPr>
      <w:bookmarkStart w:id="9" w:name="_Hlk111483411"/>
      <w:r w:rsidRPr="001F40CB">
        <w:rPr>
          <w:rFonts w:cstheme="minorHAnsi"/>
          <w:sz w:val="24"/>
          <w:szCs w:val="24"/>
        </w:rPr>
        <w:t>ARAGON BOMBÍN, R., CHOZAS PEDRERO, J La regularización de inmigrantes durante 1991-1992.  Madrid Ministerio de Trabajo y Seguridad Social 1993</w:t>
      </w:r>
      <w:bookmarkEnd w:id="9"/>
      <w:r w:rsidRPr="001F40CB">
        <w:rPr>
          <w:rFonts w:cstheme="minorHAnsi"/>
          <w:sz w:val="24"/>
          <w:szCs w:val="24"/>
        </w:rPr>
        <w:t xml:space="preserve"> ISBN: 84-7434-822-6</w:t>
      </w:r>
    </w:p>
    <w:p w14:paraId="5EF12053" w14:textId="77777777" w:rsidR="0066609E" w:rsidRPr="001F40CB" w:rsidRDefault="0066609E" w:rsidP="0066609E">
      <w:pPr>
        <w:spacing w:after="0" w:line="480" w:lineRule="auto"/>
        <w:jc w:val="both"/>
        <w:rPr>
          <w:rFonts w:cstheme="minorHAnsi"/>
          <w:i/>
          <w:iCs/>
          <w:sz w:val="24"/>
          <w:szCs w:val="24"/>
        </w:rPr>
      </w:pPr>
      <w:r w:rsidRPr="001F40CB">
        <w:rPr>
          <w:rFonts w:cstheme="minorHAnsi"/>
          <w:sz w:val="24"/>
          <w:szCs w:val="24"/>
        </w:rPr>
        <w:t xml:space="preserve">COLECTIVO IOE </w:t>
      </w:r>
      <w:r w:rsidRPr="001F40CB">
        <w:rPr>
          <w:rFonts w:cstheme="minorHAnsi"/>
          <w:color w:val="4D5156"/>
          <w:sz w:val="24"/>
          <w:szCs w:val="24"/>
          <w:shd w:val="clear" w:color="auto" w:fill="FFFFFF"/>
        </w:rPr>
        <w:t>(Carlos Pereda, Walter Actis y Miguel Ángel de Prada</w:t>
      </w:r>
      <w:r w:rsidRPr="001F40CB">
        <w:rPr>
          <w:rFonts w:cstheme="minorHAnsi"/>
          <w:sz w:val="24"/>
          <w:szCs w:val="24"/>
        </w:rPr>
        <w:t>) Los inmigrantes en España</w:t>
      </w:r>
      <w:r w:rsidRPr="001F40CB">
        <w:rPr>
          <w:rFonts w:cstheme="minorHAnsi"/>
          <w:i/>
          <w:iCs/>
          <w:sz w:val="24"/>
          <w:szCs w:val="24"/>
        </w:rPr>
        <w:t xml:space="preserve">.  Caritas Documentación social, </w:t>
      </w:r>
      <w:r w:rsidRPr="001F40CB">
        <w:rPr>
          <w:rFonts w:cstheme="minorHAnsi"/>
          <w:sz w:val="24"/>
          <w:szCs w:val="24"/>
        </w:rPr>
        <w:t>1987 nº 66 ISSN: 0417-8106</w:t>
      </w:r>
    </w:p>
    <w:p w14:paraId="6371FE5F" w14:textId="03F5BF60" w:rsidR="0066609E" w:rsidRPr="001F40CB" w:rsidRDefault="0066609E" w:rsidP="0066609E">
      <w:pPr>
        <w:spacing w:after="0" w:line="480" w:lineRule="auto"/>
        <w:jc w:val="both"/>
        <w:rPr>
          <w:rFonts w:cstheme="minorHAnsi"/>
          <w:sz w:val="24"/>
          <w:szCs w:val="24"/>
        </w:rPr>
      </w:pPr>
      <w:r w:rsidRPr="001F40CB">
        <w:rPr>
          <w:rFonts w:cstheme="minorHAnsi"/>
          <w:sz w:val="24"/>
          <w:szCs w:val="24"/>
        </w:rPr>
        <w:t xml:space="preserve">COLOMBINI, E. Los programas de regularización migratoria en la Unión Europea (1974-2007 Características </w:t>
      </w:r>
      <w:r w:rsidR="00803E56">
        <w:rPr>
          <w:rFonts w:cstheme="minorHAnsi"/>
          <w:sz w:val="24"/>
          <w:szCs w:val="24"/>
        </w:rPr>
        <w:t>a</w:t>
      </w:r>
      <w:r w:rsidRPr="001F40CB">
        <w:rPr>
          <w:rFonts w:cstheme="minorHAnsi"/>
          <w:sz w:val="24"/>
          <w:szCs w:val="24"/>
        </w:rPr>
        <w:t>y debate acerca de su implementación</w:t>
      </w:r>
      <w:r w:rsidRPr="001F40CB">
        <w:rPr>
          <w:rFonts w:cstheme="minorHAnsi"/>
          <w:i/>
          <w:iCs/>
          <w:sz w:val="24"/>
          <w:szCs w:val="24"/>
        </w:rPr>
        <w:t xml:space="preserve"> Miradas en movimiento 2012 </w:t>
      </w:r>
      <w:r w:rsidRPr="001F40CB">
        <w:rPr>
          <w:rFonts w:cstheme="minorHAnsi"/>
          <w:sz w:val="24"/>
          <w:szCs w:val="24"/>
        </w:rPr>
        <w:t>Vol.6º ISSN: 1852-2173 pp.32-65</w:t>
      </w:r>
      <w:bookmarkStart w:id="10" w:name="_Hlk111478039"/>
    </w:p>
    <w:p w14:paraId="273863C5" w14:textId="611FF9B3" w:rsidR="0066609E" w:rsidRPr="001F40CB" w:rsidRDefault="00803E56" w:rsidP="0066609E">
      <w:pPr>
        <w:spacing w:after="0" w:line="480" w:lineRule="auto"/>
        <w:jc w:val="both"/>
        <w:rPr>
          <w:rFonts w:cstheme="minorHAnsi"/>
          <w:sz w:val="24"/>
          <w:szCs w:val="24"/>
        </w:rPr>
      </w:pPr>
      <w:r>
        <w:rPr>
          <w:rFonts w:cstheme="minorHAnsi"/>
          <w:sz w:val="24"/>
          <w:szCs w:val="24"/>
        </w:rPr>
        <w:t>COMUNICACIÓN DEL GOBIERNO a</w:t>
      </w:r>
      <w:r w:rsidR="0066609E" w:rsidRPr="001F40CB">
        <w:rPr>
          <w:rFonts w:cstheme="minorHAnsi"/>
          <w:sz w:val="24"/>
          <w:szCs w:val="24"/>
        </w:rPr>
        <w:t>l Congreso de los Diputados</w:t>
      </w:r>
      <w:r w:rsidR="0066609E" w:rsidRPr="001F40CB">
        <w:rPr>
          <w:rFonts w:cstheme="minorHAnsi"/>
          <w:i/>
          <w:iCs/>
          <w:sz w:val="24"/>
          <w:szCs w:val="24"/>
        </w:rPr>
        <w:t>. Revista Economía y Sociología del Trabajo. Los movimientos migratorios: La Inmigración</w:t>
      </w:r>
      <w:r w:rsidR="0066609E" w:rsidRPr="001F40CB">
        <w:rPr>
          <w:rFonts w:cstheme="minorHAnsi"/>
          <w:sz w:val="24"/>
          <w:szCs w:val="24"/>
        </w:rPr>
        <w:t>. Ministerio de Trabajo y Seguridad Social nº 1991 pp. 263-280</w:t>
      </w:r>
      <w:bookmarkEnd w:id="10"/>
    </w:p>
    <w:p w14:paraId="1A1320BD" w14:textId="77777777" w:rsidR="00166C3A" w:rsidRPr="001F40CB" w:rsidRDefault="00166C3A" w:rsidP="00166C3A">
      <w:pPr>
        <w:spacing w:after="0" w:line="480" w:lineRule="auto"/>
        <w:jc w:val="both"/>
        <w:rPr>
          <w:rFonts w:cstheme="minorHAnsi"/>
          <w:sz w:val="24"/>
          <w:szCs w:val="24"/>
          <w:shd w:val="clear" w:color="auto" w:fill="FFFFFF"/>
        </w:rPr>
      </w:pPr>
      <w:r w:rsidRPr="001F40CB">
        <w:rPr>
          <w:rFonts w:cstheme="minorHAnsi"/>
          <w:sz w:val="24"/>
          <w:szCs w:val="24"/>
          <w:shd w:val="clear" w:color="auto" w:fill="FFFFFF"/>
        </w:rPr>
        <w:t>CHARRO BAENA, P. y RUIZ DE HUIDOBRO DE CARLOS, J.M. La ley orgánica 4/2000: análisis técnico-jurídico de sus principales novedades. </w:t>
      </w:r>
      <w:r w:rsidRPr="001F40CB">
        <w:rPr>
          <w:rFonts w:cstheme="minorHAnsi"/>
          <w:i/>
          <w:iCs/>
          <w:sz w:val="24"/>
          <w:szCs w:val="24"/>
          <w:shd w:val="clear" w:color="auto" w:fill="FFFFFF"/>
        </w:rPr>
        <w:t>Migraciones. Publicación Del Instituto Universitario De Estudios Sobre Migraciones</w:t>
      </w:r>
      <w:r w:rsidRPr="001F40CB">
        <w:rPr>
          <w:rFonts w:cstheme="minorHAnsi"/>
          <w:sz w:val="24"/>
          <w:szCs w:val="24"/>
          <w:shd w:val="clear" w:color="auto" w:fill="FFFFFF"/>
        </w:rPr>
        <w:t>, 2000 nº 7 ISSN: 1138-5774 pp. 7-56</w:t>
      </w:r>
    </w:p>
    <w:p w14:paraId="084F015A" w14:textId="77777777" w:rsidR="00166C3A" w:rsidRPr="001F40CB" w:rsidRDefault="00166C3A" w:rsidP="00166C3A">
      <w:pPr>
        <w:spacing w:after="0" w:line="480" w:lineRule="auto"/>
        <w:jc w:val="both"/>
        <w:rPr>
          <w:rFonts w:cstheme="minorHAnsi"/>
          <w:sz w:val="24"/>
          <w:szCs w:val="24"/>
        </w:rPr>
      </w:pPr>
      <w:bookmarkStart w:id="11" w:name="_Hlk111486171"/>
      <w:r w:rsidRPr="001F40CB">
        <w:rPr>
          <w:rFonts w:cstheme="minorHAnsi"/>
          <w:sz w:val="24"/>
          <w:szCs w:val="24"/>
        </w:rPr>
        <w:t xml:space="preserve">FERRERO TURRION, R., PINYOL I JIMÉNEZ, G. </w:t>
      </w:r>
      <w:bookmarkEnd w:id="11"/>
      <w:r w:rsidRPr="001F40CB">
        <w:rPr>
          <w:rFonts w:cstheme="minorHAnsi"/>
          <w:sz w:val="24"/>
          <w:szCs w:val="24"/>
        </w:rPr>
        <w:t>¿</w:t>
      </w:r>
      <w:r w:rsidRPr="001F40CB">
        <w:rPr>
          <w:rFonts w:cstheme="minorHAnsi"/>
          <w:i/>
          <w:iCs/>
          <w:sz w:val="24"/>
          <w:szCs w:val="24"/>
        </w:rPr>
        <w:t xml:space="preserve">Cómo gestionar la inmigración irregular? Los procesos de regularización en la construcción de una política europea de inmigración Revista de Estudios Políticos </w:t>
      </w:r>
      <w:r w:rsidRPr="001F40CB">
        <w:rPr>
          <w:rFonts w:cstheme="minorHAnsi"/>
          <w:sz w:val="24"/>
          <w:szCs w:val="24"/>
        </w:rPr>
        <w:t>2008 nº 142,</w:t>
      </w:r>
      <w:r w:rsidRPr="001F40CB">
        <w:rPr>
          <w:rFonts w:cstheme="minorHAnsi"/>
          <w:i/>
          <w:iCs/>
          <w:sz w:val="24"/>
          <w:szCs w:val="24"/>
        </w:rPr>
        <w:t xml:space="preserve"> ISSN: 0048-7694 </w:t>
      </w:r>
      <w:r w:rsidRPr="001F40CB">
        <w:rPr>
          <w:rFonts w:cstheme="minorHAnsi"/>
          <w:sz w:val="24"/>
          <w:szCs w:val="24"/>
        </w:rPr>
        <w:t>pp.139-170</w:t>
      </w:r>
    </w:p>
    <w:p w14:paraId="356C2447" w14:textId="77777777" w:rsidR="00CD4367" w:rsidRPr="001F40CB" w:rsidRDefault="00CD4367" w:rsidP="00CD4367">
      <w:pPr>
        <w:spacing w:after="0" w:line="480" w:lineRule="auto"/>
        <w:jc w:val="both"/>
        <w:rPr>
          <w:rFonts w:cstheme="minorHAnsi"/>
          <w:sz w:val="24"/>
          <w:szCs w:val="24"/>
        </w:rPr>
      </w:pPr>
      <w:r w:rsidRPr="001F40CB">
        <w:rPr>
          <w:rFonts w:cstheme="minorHAnsi"/>
          <w:sz w:val="24"/>
          <w:szCs w:val="24"/>
        </w:rPr>
        <w:t xml:space="preserve">IZQUIERDO ESCRIBANO, A.  </w:t>
      </w:r>
      <w:bookmarkStart w:id="12" w:name="_Hlk111482559"/>
      <w:r w:rsidRPr="001F40CB">
        <w:rPr>
          <w:rFonts w:cstheme="minorHAnsi"/>
          <w:sz w:val="24"/>
          <w:szCs w:val="24"/>
        </w:rPr>
        <w:t>La inmigración ilegal en España (Análisis de la operación extraordinaria de regularización (1985-86</w:t>
      </w:r>
      <w:bookmarkEnd w:id="12"/>
      <w:r w:rsidRPr="001F40CB">
        <w:rPr>
          <w:rFonts w:cstheme="minorHAnsi"/>
          <w:sz w:val="24"/>
          <w:szCs w:val="24"/>
        </w:rPr>
        <w:t xml:space="preserve">) </w:t>
      </w:r>
      <w:r w:rsidRPr="001F40CB">
        <w:rPr>
          <w:rFonts w:cstheme="minorHAnsi"/>
          <w:i/>
          <w:iCs/>
          <w:sz w:val="24"/>
          <w:szCs w:val="24"/>
        </w:rPr>
        <w:t>Revista de Economía y Sociología del Trabajo</w:t>
      </w:r>
      <w:r w:rsidRPr="001F40CB">
        <w:rPr>
          <w:rFonts w:cstheme="minorHAnsi"/>
          <w:sz w:val="24"/>
          <w:szCs w:val="24"/>
        </w:rPr>
        <w:t>, “Los movimientos migratorios: la inmigración” Ministerio de Trabajo y Seguridad Social 1990 nº 11 ISSN: 0214-6029 pp. 18-38</w:t>
      </w:r>
    </w:p>
    <w:p w14:paraId="1649F797" w14:textId="77777777" w:rsidR="00CD4367" w:rsidRPr="001F40CB" w:rsidRDefault="00CD4367" w:rsidP="00CD4367">
      <w:pPr>
        <w:spacing w:after="0" w:line="480" w:lineRule="auto"/>
        <w:jc w:val="both"/>
        <w:rPr>
          <w:rFonts w:cstheme="minorHAnsi"/>
          <w:i/>
          <w:iCs/>
          <w:color w:val="000000"/>
          <w:sz w:val="24"/>
          <w:szCs w:val="24"/>
        </w:rPr>
      </w:pPr>
      <w:r w:rsidRPr="001F40CB">
        <w:rPr>
          <w:rFonts w:cstheme="minorHAnsi"/>
          <w:sz w:val="24"/>
          <w:szCs w:val="24"/>
        </w:rPr>
        <w:lastRenderedPageBreak/>
        <w:t xml:space="preserve">KOSTOVA KARABOYTCHEVA, M.  Una evaluación del último proceso de regularización de trabajadores extranjeros en España (febrero-mayo de 2005). Un año después </w:t>
      </w:r>
      <w:r w:rsidRPr="001F40CB">
        <w:rPr>
          <w:rFonts w:cstheme="minorHAnsi"/>
          <w:i/>
          <w:iCs/>
          <w:color w:val="000000"/>
          <w:sz w:val="24"/>
          <w:szCs w:val="24"/>
        </w:rPr>
        <w:t xml:space="preserve">Boletín Elcano </w:t>
      </w:r>
      <w:r w:rsidRPr="001F40CB">
        <w:rPr>
          <w:rFonts w:cstheme="minorHAnsi"/>
          <w:color w:val="000000"/>
          <w:sz w:val="24"/>
          <w:szCs w:val="24"/>
        </w:rPr>
        <w:t>2006 nº 84 ISSN: 1696:3326</w:t>
      </w:r>
      <w:r w:rsidRPr="001F40CB">
        <w:rPr>
          <w:rFonts w:cstheme="minorHAnsi"/>
          <w:i/>
          <w:iCs/>
          <w:color w:val="000000"/>
          <w:sz w:val="24"/>
          <w:szCs w:val="24"/>
        </w:rPr>
        <w:t xml:space="preserve"> </w:t>
      </w:r>
    </w:p>
    <w:p w14:paraId="2EAC0657" w14:textId="77777777" w:rsidR="00CD4367" w:rsidRPr="001F40CB" w:rsidRDefault="00CD4367" w:rsidP="00CD4367">
      <w:pPr>
        <w:spacing w:after="0" w:line="480" w:lineRule="auto"/>
        <w:jc w:val="both"/>
        <w:rPr>
          <w:rFonts w:cstheme="minorHAnsi"/>
          <w:sz w:val="24"/>
          <w:szCs w:val="24"/>
        </w:rPr>
      </w:pPr>
      <w:r w:rsidRPr="001F40CB">
        <w:rPr>
          <w:rFonts w:cstheme="minorHAnsi"/>
          <w:sz w:val="24"/>
          <w:szCs w:val="24"/>
        </w:rPr>
        <w:t xml:space="preserve">MARCOS de R. y ROJO ALCALDE, J.  Trabajadores Extranjeros en España, </w:t>
      </w:r>
      <w:bookmarkStart w:id="13" w:name="_Hlk111481588"/>
      <w:r w:rsidRPr="001F40CB">
        <w:rPr>
          <w:rFonts w:cstheme="minorHAnsi"/>
          <w:i/>
          <w:iCs/>
          <w:sz w:val="24"/>
          <w:szCs w:val="24"/>
        </w:rPr>
        <w:t>Revista de Economía y Sociología del Trabajo</w:t>
      </w:r>
      <w:r w:rsidRPr="001F40CB">
        <w:rPr>
          <w:rFonts w:cstheme="minorHAnsi"/>
          <w:sz w:val="24"/>
          <w:szCs w:val="24"/>
        </w:rPr>
        <w:t xml:space="preserve">, “Los movimientos migratorios: la inmigración” Ministerio de Trabajo y Seguridad Social 1990 nº 11 ISSN: 0214-6029 </w:t>
      </w:r>
      <w:bookmarkEnd w:id="13"/>
      <w:r w:rsidRPr="001F40CB">
        <w:rPr>
          <w:rFonts w:cstheme="minorHAnsi"/>
          <w:i/>
          <w:iCs/>
          <w:color w:val="000000"/>
          <w:sz w:val="24"/>
          <w:szCs w:val="24"/>
        </w:rPr>
        <w:t xml:space="preserve"> </w:t>
      </w:r>
      <w:r w:rsidRPr="001F40CB">
        <w:rPr>
          <w:rFonts w:cstheme="minorHAnsi"/>
          <w:sz w:val="24"/>
          <w:szCs w:val="24"/>
        </w:rPr>
        <w:t xml:space="preserve"> pp. 8-17</w:t>
      </w:r>
    </w:p>
    <w:p w14:paraId="28C248F0" w14:textId="77777777" w:rsidR="004710EA" w:rsidRPr="001F40CB" w:rsidRDefault="004710EA" w:rsidP="004710EA">
      <w:pPr>
        <w:spacing w:after="0" w:line="480" w:lineRule="auto"/>
        <w:jc w:val="both"/>
        <w:rPr>
          <w:rFonts w:cstheme="minorHAnsi"/>
          <w:sz w:val="24"/>
          <w:szCs w:val="24"/>
        </w:rPr>
      </w:pPr>
      <w:bookmarkStart w:id="14" w:name="_Hlk111720164"/>
      <w:r w:rsidRPr="001F40CB">
        <w:rPr>
          <w:rFonts w:cstheme="minorHAnsi"/>
          <w:sz w:val="24"/>
          <w:szCs w:val="24"/>
        </w:rPr>
        <w:t xml:space="preserve">OLESTI RAYO, A. Las políticas de la Unión Europea relativas al control en las fronteras, asilo e inmigración. </w:t>
      </w:r>
      <w:r w:rsidRPr="001F40CB">
        <w:rPr>
          <w:rFonts w:cstheme="minorHAnsi"/>
          <w:i/>
          <w:iCs/>
          <w:sz w:val="24"/>
          <w:szCs w:val="24"/>
        </w:rPr>
        <w:t>Revista de Derecho Constitucional Europeo (ReDCE</w:t>
      </w:r>
      <w:r w:rsidRPr="001F40CB">
        <w:rPr>
          <w:rFonts w:cstheme="minorHAnsi"/>
          <w:sz w:val="24"/>
          <w:szCs w:val="24"/>
        </w:rPr>
        <w:t xml:space="preserve">), 2008 nº 10, ISSN: 1697-7890 </w:t>
      </w:r>
      <w:bookmarkEnd w:id="14"/>
      <w:r w:rsidRPr="001F40CB">
        <w:rPr>
          <w:rFonts w:cstheme="minorHAnsi"/>
          <w:sz w:val="24"/>
          <w:szCs w:val="24"/>
        </w:rPr>
        <w:t>pp. 13-48</w:t>
      </w:r>
    </w:p>
    <w:p w14:paraId="77541B30" w14:textId="77777777" w:rsidR="004710EA" w:rsidRPr="001F40CB" w:rsidRDefault="004710EA" w:rsidP="004710EA">
      <w:pPr>
        <w:spacing w:after="0" w:line="480" w:lineRule="auto"/>
        <w:jc w:val="both"/>
        <w:rPr>
          <w:rFonts w:cstheme="minorHAnsi"/>
          <w:sz w:val="24"/>
          <w:szCs w:val="24"/>
        </w:rPr>
      </w:pPr>
      <w:r w:rsidRPr="001F40CB">
        <w:rPr>
          <w:rFonts w:cstheme="minorHAnsi"/>
          <w:sz w:val="24"/>
          <w:szCs w:val="24"/>
        </w:rPr>
        <w:t xml:space="preserve">PINYOL I JIMÉNEZ, G. La reforma del Reglamento de Extranjería, un paso necesario Agenda Pública, 29 de julio de 2022 </w:t>
      </w:r>
    </w:p>
    <w:p w14:paraId="7B9F404C" w14:textId="77777777" w:rsidR="0015425A" w:rsidRPr="001F40CB" w:rsidRDefault="0015425A" w:rsidP="0015425A">
      <w:pPr>
        <w:spacing w:after="0" w:line="480" w:lineRule="auto"/>
        <w:jc w:val="both"/>
        <w:rPr>
          <w:rFonts w:cstheme="minorHAnsi"/>
          <w:sz w:val="24"/>
          <w:szCs w:val="24"/>
        </w:rPr>
      </w:pPr>
      <w:r w:rsidRPr="001F40CB">
        <w:rPr>
          <w:rFonts w:cstheme="minorHAnsi"/>
          <w:sz w:val="24"/>
          <w:szCs w:val="24"/>
        </w:rPr>
        <w:t xml:space="preserve">REYNERI, E. Illegal immigration and the underground economy” </w:t>
      </w:r>
      <w:r w:rsidRPr="001F40CB">
        <w:rPr>
          <w:rFonts w:cstheme="minorHAnsi"/>
          <w:i/>
          <w:iCs/>
          <w:sz w:val="24"/>
          <w:szCs w:val="24"/>
        </w:rPr>
        <w:t>National Europe Centre Paper</w:t>
      </w:r>
      <w:r w:rsidRPr="001F40CB">
        <w:rPr>
          <w:rFonts w:cstheme="minorHAnsi"/>
          <w:sz w:val="24"/>
          <w:szCs w:val="24"/>
        </w:rPr>
        <w:t xml:space="preserve"> </w:t>
      </w:r>
      <w:r w:rsidRPr="001F40CB">
        <w:rPr>
          <w:rFonts w:cstheme="minorHAnsi"/>
          <w:i/>
          <w:iCs/>
          <w:sz w:val="24"/>
          <w:szCs w:val="24"/>
        </w:rPr>
        <w:t>presented to conference entitled The Challenges of Immigration and Integration in the European Union and Australia</w:t>
      </w:r>
      <w:r w:rsidRPr="001F40CB">
        <w:rPr>
          <w:rFonts w:cstheme="minorHAnsi"/>
          <w:sz w:val="24"/>
          <w:szCs w:val="24"/>
        </w:rPr>
        <w:t xml:space="preserve"> 2003 nº 68, pp. 1-21</w:t>
      </w:r>
    </w:p>
    <w:p w14:paraId="70967BD3" w14:textId="77777777" w:rsidR="0015425A" w:rsidRPr="001F40CB" w:rsidRDefault="0015425A" w:rsidP="0015425A">
      <w:pPr>
        <w:spacing w:after="0" w:line="480" w:lineRule="auto"/>
        <w:jc w:val="both"/>
        <w:rPr>
          <w:rFonts w:cstheme="minorHAnsi"/>
          <w:sz w:val="24"/>
          <w:szCs w:val="24"/>
        </w:rPr>
      </w:pPr>
      <w:r w:rsidRPr="001F40CB">
        <w:rPr>
          <w:rFonts w:cstheme="minorHAnsi"/>
          <w:sz w:val="24"/>
          <w:szCs w:val="24"/>
          <w:shd w:val="clear" w:color="auto" w:fill="FFFFFF"/>
        </w:rPr>
        <w:t>RUIZ DE HUIDOBRO DE CARLOS, J. M. El régimen legal de la inmigración en España: el continuo cambio. </w:t>
      </w:r>
      <w:r w:rsidRPr="001F40CB">
        <w:rPr>
          <w:rFonts w:cstheme="minorHAnsi"/>
          <w:i/>
          <w:iCs/>
          <w:sz w:val="24"/>
          <w:szCs w:val="24"/>
          <w:shd w:val="clear" w:color="auto" w:fill="FFFFFF"/>
        </w:rPr>
        <w:t>Migraciones. Publicación Del Instituto Universitario De Estudios Sobre Migraciones</w:t>
      </w:r>
      <w:r w:rsidRPr="001F40CB">
        <w:rPr>
          <w:rFonts w:cstheme="minorHAnsi"/>
          <w:sz w:val="24"/>
          <w:szCs w:val="24"/>
          <w:shd w:val="clear" w:color="auto" w:fill="FFFFFF"/>
        </w:rPr>
        <w:t>, 2001 nº 9</w:t>
      </w:r>
      <w:r w:rsidRPr="001F40CB">
        <w:rPr>
          <w:rFonts w:cstheme="minorHAnsi"/>
          <w:sz w:val="24"/>
          <w:szCs w:val="24"/>
        </w:rPr>
        <w:t xml:space="preserve"> ISSN: 1138-5774</w:t>
      </w:r>
      <w:r w:rsidRPr="001F40CB">
        <w:rPr>
          <w:rFonts w:cstheme="minorHAnsi"/>
          <w:sz w:val="24"/>
          <w:szCs w:val="24"/>
          <w:shd w:val="clear" w:color="auto" w:fill="FFFFFF"/>
        </w:rPr>
        <w:t>, pp. 69-103</w:t>
      </w:r>
    </w:p>
    <w:p w14:paraId="75205F54" w14:textId="77777777" w:rsidR="001766EA" w:rsidRPr="001F40CB" w:rsidRDefault="001766EA" w:rsidP="001766EA">
      <w:pPr>
        <w:spacing w:after="0" w:line="480" w:lineRule="auto"/>
        <w:jc w:val="both"/>
        <w:rPr>
          <w:rFonts w:cstheme="minorHAnsi"/>
          <w:i/>
          <w:iCs/>
          <w:sz w:val="24"/>
          <w:szCs w:val="24"/>
        </w:rPr>
      </w:pPr>
      <w:r w:rsidRPr="001F40CB">
        <w:rPr>
          <w:rFonts w:cstheme="minorHAnsi"/>
          <w:sz w:val="24"/>
          <w:szCs w:val="24"/>
        </w:rPr>
        <w:t xml:space="preserve">SANTI, S. La construcción de la política española sobre inmigración. Ideas, legislación y discursos desde 1969 a 1996. </w:t>
      </w:r>
      <w:r w:rsidRPr="001F40CB">
        <w:rPr>
          <w:rFonts w:cstheme="minorHAnsi"/>
          <w:i/>
          <w:iCs/>
          <w:sz w:val="24"/>
          <w:szCs w:val="24"/>
        </w:rPr>
        <w:t xml:space="preserve">Oñati Socio-legal Series </w:t>
      </w:r>
      <w:r w:rsidRPr="001F40CB">
        <w:rPr>
          <w:rFonts w:cstheme="minorHAnsi"/>
          <w:sz w:val="24"/>
          <w:szCs w:val="24"/>
        </w:rPr>
        <w:t>2018 vol.8 nº 7 ISSN: 2079-5971</w:t>
      </w:r>
      <w:r w:rsidRPr="001F40CB">
        <w:rPr>
          <w:rFonts w:cstheme="minorHAnsi"/>
          <w:i/>
          <w:iCs/>
          <w:sz w:val="24"/>
          <w:szCs w:val="24"/>
        </w:rPr>
        <w:t xml:space="preserve"> pp.1071-1092</w:t>
      </w:r>
    </w:p>
    <w:p w14:paraId="27568119" w14:textId="77777777" w:rsidR="001767D3" w:rsidRPr="006A0544" w:rsidRDefault="001767D3" w:rsidP="003A4CBE">
      <w:pPr>
        <w:spacing w:after="0" w:line="480" w:lineRule="auto"/>
        <w:jc w:val="both"/>
        <w:rPr>
          <w:rFonts w:cstheme="minorHAnsi"/>
          <w:sz w:val="24"/>
          <w:szCs w:val="24"/>
        </w:rPr>
      </w:pPr>
    </w:p>
    <w:sectPr w:rsidR="001767D3" w:rsidRPr="006A0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B3181" w14:textId="77777777" w:rsidR="006F0AF9" w:rsidRDefault="006F0AF9" w:rsidP="006D3084">
      <w:pPr>
        <w:spacing w:after="0" w:line="240" w:lineRule="auto"/>
      </w:pPr>
      <w:r>
        <w:separator/>
      </w:r>
    </w:p>
  </w:endnote>
  <w:endnote w:type="continuationSeparator" w:id="0">
    <w:p w14:paraId="236FDE34" w14:textId="77777777" w:rsidR="006F0AF9" w:rsidRDefault="006F0AF9" w:rsidP="006D30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Noto Sans">
    <w:altName w:val="Noto Sans"/>
    <w:charset w:val="00"/>
    <w:family w:val="swiss"/>
    <w:pitch w:val="variable"/>
    <w:sig w:usb0="E00082FF" w:usb1="400078FF" w:usb2="0000002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039754"/>
      <w:docPartObj>
        <w:docPartGallery w:val="Page Numbers (Bottom of Page)"/>
        <w:docPartUnique/>
      </w:docPartObj>
    </w:sdtPr>
    <w:sdtContent>
      <w:p w14:paraId="7E90B0C7" w14:textId="2BCBCDDA" w:rsidR="00620672" w:rsidRDefault="00620672">
        <w:pPr>
          <w:pStyle w:val="Piedepgina"/>
          <w:jc w:val="right"/>
        </w:pPr>
        <w:r>
          <w:fldChar w:fldCharType="begin"/>
        </w:r>
        <w:r>
          <w:instrText>PAGE   \* MERGEFORMAT</w:instrText>
        </w:r>
        <w:r>
          <w:fldChar w:fldCharType="separate"/>
        </w:r>
        <w:r>
          <w:t>2</w:t>
        </w:r>
        <w:r>
          <w:fldChar w:fldCharType="end"/>
        </w:r>
      </w:p>
    </w:sdtContent>
  </w:sdt>
  <w:p w14:paraId="08938A55" w14:textId="77777777" w:rsidR="00620672" w:rsidRDefault="006206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9B085" w14:textId="77777777" w:rsidR="006F0AF9" w:rsidRDefault="006F0AF9" w:rsidP="006D3084">
      <w:pPr>
        <w:spacing w:after="0" w:line="240" w:lineRule="auto"/>
      </w:pPr>
      <w:r>
        <w:separator/>
      </w:r>
    </w:p>
  </w:footnote>
  <w:footnote w:type="continuationSeparator" w:id="0">
    <w:p w14:paraId="36983E73" w14:textId="77777777" w:rsidR="006F0AF9" w:rsidRDefault="006F0AF9" w:rsidP="006D3084">
      <w:pPr>
        <w:spacing w:after="0" w:line="240" w:lineRule="auto"/>
      </w:pPr>
      <w:r>
        <w:continuationSeparator/>
      </w:r>
    </w:p>
  </w:footnote>
  <w:footnote w:id="1">
    <w:p w14:paraId="5C99B0F3" w14:textId="77777777" w:rsidR="006D3084" w:rsidRDefault="006D3084" w:rsidP="006D3084">
      <w:pPr>
        <w:pStyle w:val="Textonotapie"/>
      </w:pPr>
      <w:r>
        <w:rPr>
          <w:rStyle w:val="Refdenotaalpie"/>
        </w:rPr>
        <w:footnoteRef/>
      </w:r>
      <w:r>
        <w:t xml:space="preserve"> Quiebro: Movimiento que se hace con el cuerpo, doblando la cintura sin mover los pies de su sitio (Oxford Languages)</w:t>
      </w:r>
    </w:p>
  </w:footnote>
  <w:footnote w:id="2">
    <w:p w14:paraId="2BA65365" w14:textId="77777777" w:rsidR="00CA29FE" w:rsidRDefault="00CA29FE" w:rsidP="00CA29FE">
      <w:pPr>
        <w:pStyle w:val="Textonotapie"/>
        <w:jc w:val="both"/>
      </w:pPr>
      <w:r>
        <w:rPr>
          <w:rStyle w:val="Refdenotaalpie"/>
        </w:rPr>
        <w:footnoteRef/>
      </w:r>
      <w:r>
        <w:t xml:space="preserve"> El número de desempleados en las oficinas del SEPE se cifraba a finales de agosto de 2022 </w:t>
      </w:r>
      <w:r>
        <w:rPr>
          <w:rFonts w:cstheme="minorHAnsi"/>
        </w:rPr>
        <w:t xml:space="preserve">a </w:t>
      </w:r>
      <w:r w:rsidRPr="00133185">
        <w:rPr>
          <w:rFonts w:cstheme="minorHAnsi"/>
          <w:color w:val="202124"/>
          <w:shd w:val="clear" w:color="auto" w:fill="FFFFFF"/>
        </w:rPr>
        <w:t>2.924.240 persona</w:t>
      </w:r>
      <w:r>
        <w:rPr>
          <w:rFonts w:cstheme="minorHAnsi"/>
          <w:color w:val="202124"/>
          <w:shd w:val="clear" w:color="auto" w:fill="FFFFFF"/>
        </w:rPr>
        <w:t>s</w:t>
      </w:r>
    </w:p>
  </w:footnote>
  <w:footnote w:id="3">
    <w:p w14:paraId="26DA2688" w14:textId="77777777" w:rsidR="00CA29FE" w:rsidRDefault="00CA29FE" w:rsidP="00CA29FE">
      <w:pPr>
        <w:pStyle w:val="Ttulo1"/>
        <w:shd w:val="clear" w:color="auto" w:fill="FFFFFF"/>
        <w:spacing w:before="0"/>
        <w:jc w:val="both"/>
      </w:pPr>
      <w:r>
        <w:rPr>
          <w:rStyle w:val="Refdenotaalpie"/>
        </w:rPr>
        <w:footnoteRef/>
      </w:r>
      <w:r>
        <w:t xml:space="preserve"> </w:t>
      </w:r>
      <w:r w:rsidRPr="00A4343F">
        <w:rPr>
          <w:rFonts w:asciiTheme="minorHAnsi" w:hAnsiTheme="minorHAnsi" w:cstheme="minorHAnsi"/>
          <w:color w:val="0F1941"/>
          <w:sz w:val="20"/>
          <w:szCs w:val="20"/>
        </w:rPr>
        <w:t>CEPYME y Randstad alertan de la falta de trabajadores: 109.000 empleos sin cubrir sobre todo en pymes</w:t>
      </w:r>
      <w:r>
        <w:rPr>
          <w:rFonts w:asciiTheme="minorHAnsi" w:hAnsiTheme="minorHAnsi" w:cstheme="minorHAnsi"/>
          <w:color w:val="0F1941"/>
          <w:sz w:val="20"/>
          <w:szCs w:val="20"/>
        </w:rPr>
        <w:t>., que afectarían al 56 por 100 de estas empresas. Randstad prensa 19 de abril de 2022</w:t>
      </w:r>
    </w:p>
  </w:footnote>
  <w:footnote w:id="4">
    <w:p w14:paraId="1A04E4E8" w14:textId="61C706AC" w:rsidR="00CA29FE" w:rsidRDefault="00CA29FE" w:rsidP="00CA29FE">
      <w:pPr>
        <w:pStyle w:val="Textonotapie"/>
        <w:jc w:val="both"/>
      </w:pPr>
      <w:r>
        <w:rPr>
          <w:rStyle w:val="Refdenotaalpie"/>
        </w:rPr>
        <w:footnoteRef/>
      </w:r>
      <w:r>
        <w:t xml:space="preserve"> Art. 22.1 del RD 2/2020, de 12 de enero, por el que se reestructuran los departamentos ministeriales BOE del 13 </w:t>
      </w:r>
    </w:p>
  </w:footnote>
  <w:footnote w:id="5">
    <w:p w14:paraId="48CE6648" w14:textId="77777777" w:rsidR="00CA29FE" w:rsidRPr="008A45C3" w:rsidRDefault="00CA29FE" w:rsidP="00CA29FE">
      <w:pPr>
        <w:pStyle w:val="Textonotapie"/>
        <w:jc w:val="both"/>
        <w:rPr>
          <w:color w:val="000000" w:themeColor="text1"/>
        </w:rPr>
      </w:pPr>
      <w:r>
        <w:rPr>
          <w:rStyle w:val="Refdenotaalpie"/>
        </w:rPr>
        <w:footnoteRef/>
      </w:r>
      <w:r>
        <w:t xml:space="preserve"> En el número III del preámbulo del RD 629/2002 se dedican seis párrafos a detallar los diversos trámites informativos y consultivos de que fue objeto.</w:t>
      </w:r>
    </w:p>
  </w:footnote>
  <w:footnote w:id="6">
    <w:p w14:paraId="3136B55E" w14:textId="77777777" w:rsidR="00CA29FE" w:rsidRPr="00E246B4" w:rsidRDefault="00CA29FE" w:rsidP="00CA29FE">
      <w:pPr>
        <w:pStyle w:val="Textonotapie"/>
        <w:jc w:val="both"/>
        <w:rPr>
          <w:spacing w:val="-4"/>
        </w:rPr>
      </w:pPr>
      <w:r w:rsidRPr="008A45C3">
        <w:rPr>
          <w:rStyle w:val="Refdenotaalpie"/>
          <w:color w:val="000000" w:themeColor="text1"/>
        </w:rPr>
        <w:footnoteRef/>
      </w:r>
      <w:r w:rsidRPr="008A45C3">
        <w:rPr>
          <w:color w:val="000000" w:themeColor="text1"/>
        </w:rPr>
        <w:t xml:space="preserve">  El Gobierno aprueba la reforma para incorporar a extranjeros al mercado de trabajo. El País 26 de julio de 2022</w:t>
      </w:r>
    </w:p>
  </w:footnote>
  <w:footnote w:id="7">
    <w:p w14:paraId="1AD8AF7E" w14:textId="77777777" w:rsidR="00CA29FE" w:rsidRDefault="00CA29FE" w:rsidP="00CA29FE">
      <w:pPr>
        <w:pStyle w:val="Textonotapie"/>
      </w:pPr>
      <w:r>
        <w:rPr>
          <w:rStyle w:val="Refdenotaalpie"/>
        </w:rPr>
        <w:footnoteRef/>
      </w:r>
      <w:r>
        <w:t xml:space="preserve"> Párrafo 3º del preámbulo del RD 629/2022</w:t>
      </w:r>
    </w:p>
  </w:footnote>
  <w:footnote w:id="8">
    <w:p w14:paraId="05D12E2C" w14:textId="77777777" w:rsidR="00CA29FE" w:rsidRDefault="00CA29FE" w:rsidP="00CA29FE">
      <w:pPr>
        <w:jc w:val="both"/>
      </w:pPr>
      <w:r>
        <w:rPr>
          <w:rStyle w:val="Refdenotaalpie"/>
        </w:rPr>
        <w:footnoteRef/>
      </w:r>
      <w:r>
        <w:t xml:space="preserve"> “</w:t>
      </w:r>
      <w:r w:rsidRPr="00637053">
        <w:rPr>
          <w:rFonts w:cstheme="minorHAnsi"/>
          <w:i/>
          <w:iCs/>
          <w:sz w:val="20"/>
          <w:szCs w:val="20"/>
        </w:rPr>
        <w:t>la hipótesis de una inmigración cero parece tan irrealista como peligrosa”</w:t>
      </w:r>
      <w:r w:rsidRPr="00637053">
        <w:rPr>
          <w:rFonts w:cstheme="minorHAnsi"/>
          <w:sz w:val="20"/>
          <w:szCs w:val="20"/>
        </w:rPr>
        <w:t>.</w:t>
      </w:r>
      <w:r>
        <w:rPr>
          <w:sz w:val="28"/>
          <w:szCs w:val="28"/>
        </w:rPr>
        <w:t xml:space="preserve"> </w:t>
      </w:r>
      <w:r w:rsidRPr="006D631C">
        <w:rPr>
          <w:sz w:val="20"/>
          <w:szCs w:val="20"/>
        </w:rPr>
        <w:t>Introducción del Pacto Europeo sobre inmigración y asilo. Nota de la Presidencia del Consejo. Bruselas, 24 de septiembre de 2008. Nº de doc. 13189/08 ASIM 68.</w:t>
      </w:r>
    </w:p>
  </w:footnote>
  <w:footnote w:id="9">
    <w:p w14:paraId="51C637B0" w14:textId="77777777" w:rsidR="00E5273E" w:rsidRPr="00F05F9B" w:rsidRDefault="00E5273E" w:rsidP="00E5273E">
      <w:pPr>
        <w:pStyle w:val="Textonotapie"/>
      </w:pPr>
      <w:r>
        <w:rPr>
          <w:rStyle w:val="Refdenotaalpie"/>
        </w:rPr>
        <w:footnoteRef/>
      </w:r>
      <w:r>
        <w:t xml:space="preserve"> Antonio Izquierdo, nota de la tesis 886</w:t>
      </w:r>
      <w:r w:rsidRPr="00E66050">
        <w:rPr>
          <w:sz w:val="28"/>
          <w:szCs w:val="28"/>
        </w:rPr>
        <w:t xml:space="preserve"> </w:t>
      </w:r>
      <w:r w:rsidRPr="00F05F9B">
        <w:t>IZQUIERDO ESCRIBANO, A. La inmigración en España 1980-1990. Madrid: Ministerio de Trabajo y Seguridad Social 1992</w:t>
      </w:r>
    </w:p>
  </w:footnote>
  <w:footnote w:id="10">
    <w:p w14:paraId="3C532903" w14:textId="77777777" w:rsidR="00E5273E" w:rsidRDefault="00E5273E" w:rsidP="00E5273E">
      <w:pPr>
        <w:jc w:val="both"/>
      </w:pPr>
      <w:r>
        <w:rPr>
          <w:rStyle w:val="Refdenotaalpie"/>
        </w:rPr>
        <w:footnoteRef/>
      </w:r>
      <w:r>
        <w:t xml:space="preserve"> </w:t>
      </w:r>
      <w:r w:rsidRPr="00B97BED">
        <w:rPr>
          <w:sz w:val="20"/>
          <w:szCs w:val="20"/>
        </w:rPr>
        <w:t xml:space="preserve">COLECTIVO IOE (Carlos Pereda, Walter Actis y Miguel Ángel de Prada) Los inmigrantes en España. Caritas Española Documentación social, 1987 nº 66., p.96. </w:t>
      </w:r>
    </w:p>
  </w:footnote>
  <w:footnote w:id="11">
    <w:p w14:paraId="733AE2A2" w14:textId="77777777" w:rsidR="00994B2B" w:rsidRPr="00536343" w:rsidRDefault="00994B2B" w:rsidP="00994B2B">
      <w:pPr>
        <w:pStyle w:val="Textonotapie"/>
        <w:jc w:val="both"/>
      </w:pPr>
      <w:r>
        <w:rPr>
          <w:rStyle w:val="Refdenotaalpie"/>
        </w:rPr>
        <w:footnoteRef/>
      </w:r>
      <w:r>
        <w:t xml:space="preserve"> Aragón Bombín, R. Hacia una política activa de inmigración</w:t>
      </w:r>
      <w:r w:rsidRPr="00925680">
        <w:rPr>
          <w:rFonts w:cstheme="minorHAnsi"/>
          <w:sz w:val="24"/>
          <w:szCs w:val="24"/>
        </w:rPr>
        <w:t xml:space="preserve"> </w:t>
      </w:r>
      <w:r w:rsidRPr="00536343">
        <w:rPr>
          <w:rFonts w:cstheme="minorHAnsi"/>
        </w:rPr>
        <w:t xml:space="preserve">Revista Economía y Sociología del Trabajo. Los Movimientos Migratorios La Inmigración. Ministerio de Trabajo y Seguridad Social nº 11 1991 </w:t>
      </w:r>
      <w:r w:rsidRPr="00536343">
        <w:t xml:space="preserve"> p.100</w:t>
      </w:r>
    </w:p>
  </w:footnote>
  <w:footnote w:id="12">
    <w:p w14:paraId="4C8E4466" w14:textId="77777777" w:rsidR="00556FD1" w:rsidRPr="0098587B" w:rsidRDefault="00556FD1" w:rsidP="00556FD1">
      <w:pPr>
        <w:pStyle w:val="Textonotapie"/>
      </w:pPr>
      <w:r w:rsidRPr="0098587B">
        <w:rPr>
          <w:rStyle w:val="Refdenotaalpie"/>
        </w:rPr>
        <w:footnoteRef/>
      </w:r>
      <w:r w:rsidRPr="0098587B">
        <w:t xml:space="preserve"> Boletín del Congreso de los Diputados. Expediente nº 172/00003, de 13 de junio de 1990</w:t>
      </w:r>
    </w:p>
  </w:footnote>
  <w:footnote w:id="13">
    <w:p w14:paraId="78476D3F" w14:textId="77777777" w:rsidR="00E336BC" w:rsidRDefault="00E336BC" w:rsidP="00E336BC">
      <w:pPr>
        <w:pStyle w:val="Textonotapie"/>
        <w:jc w:val="both"/>
      </w:pPr>
      <w:r>
        <w:rPr>
          <w:rStyle w:val="Refdenotaalpie"/>
        </w:rPr>
        <w:footnoteRef/>
      </w:r>
      <w:r>
        <w:t xml:space="preserve"> </w:t>
      </w:r>
      <w:r w:rsidRPr="0007526E">
        <w:t>Boletín Oficial de Cortes Generales, IV Legislatura, Serie D Núm. 165 de 22 de marzo de 1991 Proposición no de Ley ante el Pleno 162/000107</w:t>
      </w:r>
    </w:p>
  </w:footnote>
  <w:footnote w:id="14">
    <w:p w14:paraId="24BD58C0" w14:textId="77777777" w:rsidR="00056931" w:rsidRDefault="00056931" w:rsidP="00056931">
      <w:pPr>
        <w:pStyle w:val="Textonotapie"/>
      </w:pPr>
      <w:r>
        <w:rPr>
          <w:rStyle w:val="Refdenotaalpie"/>
        </w:rPr>
        <w:footnoteRef/>
      </w:r>
      <w:r>
        <w:t xml:space="preserve"> SANTI, S. </w:t>
      </w:r>
      <w:r w:rsidRPr="00DE2B75">
        <w:t>La construcción de la política española sobre inmigración. Ideas, legislación y discursos desde 1969 a 1996</w:t>
      </w:r>
      <w:r>
        <w:t xml:space="preserve">. </w:t>
      </w:r>
      <w:r w:rsidRPr="00DE2B75">
        <w:rPr>
          <w:i/>
          <w:iCs/>
        </w:rPr>
        <w:t>Oñati Socio-legal Series</w:t>
      </w:r>
      <w:r>
        <w:t xml:space="preserve"> p.1.084</w:t>
      </w:r>
    </w:p>
  </w:footnote>
  <w:footnote w:id="15">
    <w:p w14:paraId="3066468D" w14:textId="77777777" w:rsidR="00E83483" w:rsidRDefault="00E83483" w:rsidP="00E83483">
      <w:pPr>
        <w:pStyle w:val="Textonotapie"/>
      </w:pPr>
      <w:r>
        <w:rPr>
          <w:rStyle w:val="Refdenotaalpie"/>
        </w:rPr>
        <w:footnoteRef/>
      </w:r>
      <w:r>
        <w:t xml:space="preserve"> </w:t>
      </w:r>
      <w:bookmarkStart w:id="0" w:name="_Hlk111479198"/>
      <w:r>
        <w:t>FERRERO TURRION, R., PINYOL I JIMÉNEZ, G. “</w:t>
      </w:r>
      <w:r>
        <w:rPr>
          <w:i/>
          <w:iCs/>
        </w:rPr>
        <w:t xml:space="preserve">Cómo gestionar la inmigración irregular? Los procesos de regularización en la construcción de una política europea de inmigración” </w:t>
      </w:r>
      <w:r w:rsidRPr="00546BCA">
        <w:rPr>
          <w:i/>
          <w:iCs/>
        </w:rPr>
        <w:t>Revista de Estudios Políticos (</w:t>
      </w:r>
      <w:r>
        <w:t xml:space="preserve">nueva época) 2008 nº 142, pp. </w:t>
      </w:r>
      <w:bookmarkEnd w:id="0"/>
      <w:r>
        <w:t>162-164</w:t>
      </w:r>
    </w:p>
  </w:footnote>
  <w:footnote w:id="16">
    <w:p w14:paraId="2A8E23A3" w14:textId="77777777" w:rsidR="00161034" w:rsidRDefault="00161034" w:rsidP="00161034">
      <w:pPr>
        <w:pStyle w:val="Textonotapie"/>
        <w:jc w:val="both"/>
      </w:pPr>
      <w:r>
        <w:rPr>
          <w:rStyle w:val="Refdenotaalpie"/>
        </w:rPr>
        <w:footnoteRef/>
      </w:r>
      <w:bookmarkStart w:id="1" w:name="_Hlk111479759"/>
      <w:r>
        <w:t xml:space="preserve">REYNERI, E. </w:t>
      </w:r>
      <w:r w:rsidRPr="008E0B4D">
        <w:t>Illegal immigration and the underground economy</w:t>
      </w:r>
      <w:r>
        <w:t>”</w:t>
      </w:r>
      <w:r w:rsidRPr="004A6515">
        <w:t xml:space="preserve"> </w:t>
      </w:r>
      <w:r w:rsidRPr="000A5FB3">
        <w:rPr>
          <w:i/>
          <w:iCs/>
        </w:rPr>
        <w:t>National Europe Centre Paper</w:t>
      </w:r>
      <w:r>
        <w:t xml:space="preserve"> </w:t>
      </w:r>
      <w:r w:rsidRPr="001B5D5E">
        <w:rPr>
          <w:i/>
          <w:iCs/>
        </w:rPr>
        <w:t>presented to conference entitled The Challenges of Immigration and Integration in the European Union and Australia</w:t>
      </w:r>
      <w:r>
        <w:t xml:space="preserve"> 2003 nº 68 p.</w:t>
      </w:r>
      <w:bookmarkEnd w:id="1"/>
      <w:r>
        <w:t xml:space="preserve"> 3</w:t>
      </w:r>
    </w:p>
  </w:footnote>
  <w:footnote w:id="17">
    <w:p w14:paraId="29F9F9EF" w14:textId="77777777" w:rsidR="00161034" w:rsidRPr="000A7FC6" w:rsidRDefault="00161034" w:rsidP="00161034">
      <w:pPr>
        <w:pStyle w:val="Textonotapie"/>
        <w:jc w:val="both"/>
      </w:pPr>
      <w:bookmarkStart w:id="2" w:name="_Hlk111480371"/>
      <w:r w:rsidRPr="001602B1">
        <w:rPr>
          <w:sz w:val="18"/>
          <w:szCs w:val="18"/>
        </w:rPr>
        <w:t>25. COLOMBINI</w:t>
      </w:r>
      <w:r w:rsidRPr="000A7FC6">
        <w:t>, E. Los programas de regularización migratoria en la Unión Europea (1974-2007 Características y debate acerca de su implementación</w:t>
      </w:r>
      <w:r w:rsidRPr="000A7FC6">
        <w:rPr>
          <w:i/>
          <w:iCs/>
        </w:rPr>
        <w:t xml:space="preserve"> Miradas en movimiento </w:t>
      </w:r>
      <w:r w:rsidRPr="000A7FC6">
        <w:t xml:space="preserve">2012 vol.6º p. 37 </w:t>
      </w:r>
      <w:bookmarkEnd w:id="2"/>
    </w:p>
  </w:footnote>
  <w:footnote w:id="18">
    <w:p w14:paraId="45D6A310" w14:textId="77777777" w:rsidR="00A1391C" w:rsidRDefault="00A1391C" w:rsidP="00A1391C">
      <w:pPr>
        <w:jc w:val="both"/>
      </w:pPr>
      <w:r>
        <w:rPr>
          <w:rStyle w:val="Refdenotaalpie"/>
        </w:rPr>
        <w:footnoteRef/>
      </w:r>
      <w:r>
        <w:t xml:space="preserve"> </w:t>
      </w:r>
      <w:bookmarkStart w:id="3" w:name="_Hlk111481156"/>
      <w:r>
        <w:t xml:space="preserve">OCDE </w:t>
      </w:r>
      <w:r w:rsidRPr="009C51C6">
        <w:rPr>
          <w:sz w:val="20"/>
          <w:szCs w:val="20"/>
        </w:rPr>
        <w:t xml:space="preserve">Main Trends in international migration, </w:t>
      </w:r>
      <w:r>
        <w:rPr>
          <w:rFonts w:cstheme="minorHAnsi"/>
          <w:sz w:val="20"/>
          <w:szCs w:val="20"/>
        </w:rPr>
        <w:t xml:space="preserve"> en Trends in International Migration  2003, Paris OECD Publishing 2004</w:t>
      </w:r>
      <w:bookmarkEnd w:id="3"/>
    </w:p>
  </w:footnote>
  <w:footnote w:id="19">
    <w:p w14:paraId="68875D38" w14:textId="77777777" w:rsidR="00572C20" w:rsidRDefault="00572C20" w:rsidP="00572C20">
      <w:pPr>
        <w:pStyle w:val="Textonotapie"/>
      </w:pPr>
      <w:r>
        <w:rPr>
          <w:rStyle w:val="Refdenotaalpie"/>
        </w:rPr>
        <w:footnoteRef/>
      </w:r>
      <w:r>
        <w:t xml:space="preserve">  Se evitó la publicidad excesiva para evitar el denostado “</w:t>
      </w:r>
      <w:r w:rsidRPr="00F433F5">
        <w:rPr>
          <w:b/>
          <w:bCs/>
        </w:rPr>
        <w:t>efecto llamada”</w:t>
      </w:r>
      <w:r>
        <w:t xml:space="preserve"> </w:t>
      </w:r>
    </w:p>
  </w:footnote>
  <w:footnote w:id="20">
    <w:p w14:paraId="2C102215" w14:textId="77777777" w:rsidR="00572C20" w:rsidRDefault="00572C20" w:rsidP="00572C20">
      <w:pPr>
        <w:pStyle w:val="Textonotapie"/>
      </w:pPr>
      <w:r>
        <w:rPr>
          <w:rStyle w:val="Refdenotaalpie"/>
        </w:rPr>
        <w:footnoteRef/>
      </w:r>
      <w:r>
        <w:t xml:space="preserve"> Resolución de 15 de abril de 1996. de la Subsecretaria. por la que se dispone la publicación del Acuerdo del Consejo de ministros de 12 de abril de 1996. por el que se desarrolla el proceso de documentación de extranjeros en situación irregular. previsto por el Real Decreto 155/1996. de 2 de febrero. por el que se aprueba el Reglamento de ejecuci6n de la Ley Orgánica 7/1985.BOE del 17</w:t>
      </w:r>
    </w:p>
  </w:footnote>
  <w:footnote w:id="21">
    <w:p w14:paraId="01F85952" w14:textId="77777777" w:rsidR="00572C20" w:rsidRDefault="00572C20" w:rsidP="00572C20">
      <w:pPr>
        <w:pStyle w:val="Textonotapie"/>
      </w:pPr>
      <w:r>
        <w:rPr>
          <w:rStyle w:val="Refdenotaalpie"/>
        </w:rPr>
        <w:footnoteRef/>
      </w:r>
      <w:r>
        <w:t xml:space="preserve"> El Plan fue aprobado por Acuerdo del Consejo de ministros de 2 de diciembre 1994</w:t>
      </w:r>
    </w:p>
  </w:footnote>
  <w:footnote w:id="22">
    <w:p w14:paraId="12517CEA" w14:textId="77777777" w:rsidR="0066754A" w:rsidRDefault="0066754A" w:rsidP="0066754A">
      <w:pPr>
        <w:shd w:val="clear" w:color="auto" w:fill="FFFFFF"/>
        <w:spacing w:after="0" w:line="240" w:lineRule="auto"/>
        <w:jc w:val="both"/>
      </w:pPr>
      <w:r>
        <w:rPr>
          <w:rStyle w:val="Refdenotaalpie"/>
        </w:rPr>
        <w:footnoteRef/>
      </w:r>
      <w:r>
        <w:t xml:space="preserve"> </w:t>
      </w:r>
      <w:r w:rsidRPr="00332699">
        <w:rPr>
          <w:rFonts w:eastAsia="Times New Roman" w:cstheme="minorHAnsi"/>
          <w:sz w:val="20"/>
          <w:szCs w:val="20"/>
          <w:lang w:eastAsia="es-ES"/>
        </w:rPr>
        <w:t>La razón alegada por los empleadores para ocuparlos era la imposibilidad de contratar a trabajadores españoles.</w:t>
      </w:r>
    </w:p>
  </w:footnote>
  <w:footnote w:id="23">
    <w:p w14:paraId="7EAFC1DA" w14:textId="77777777" w:rsidR="00EC2626" w:rsidRDefault="00EC2626" w:rsidP="00EC2626">
      <w:pPr>
        <w:pStyle w:val="Textonotapie"/>
        <w:jc w:val="both"/>
      </w:pPr>
      <w:r>
        <w:rPr>
          <w:rStyle w:val="Refdenotaalpie"/>
        </w:rPr>
        <w:footnoteRef/>
      </w:r>
      <w:r>
        <w:t xml:space="preserve"> </w:t>
      </w:r>
      <w:r w:rsidRPr="006C7181">
        <w:rPr>
          <w:rFonts w:eastAsia="Times New Roman" w:cstheme="minorHAnsi"/>
          <w:lang w:eastAsia="es-ES"/>
        </w:rPr>
        <w:t xml:space="preserve">Anexo I de la </w:t>
      </w:r>
      <w:r w:rsidRPr="006C7181">
        <w:rPr>
          <w:rFonts w:cstheme="minorHAnsi"/>
        </w:rPr>
        <w:t>Resolución de 4 de mayo de 1993 por la que se dictan instrucciones generales y de procedimiento sobre la determinación de un contingente de autorizaciones para trabajadores extranjeros para 1993 BOE del 17 de junio</w:t>
      </w:r>
    </w:p>
  </w:footnote>
  <w:footnote w:id="24">
    <w:p w14:paraId="5965673D" w14:textId="77777777" w:rsidR="000A3B89" w:rsidRPr="00853119" w:rsidRDefault="000A3B89" w:rsidP="000A3B89">
      <w:pPr>
        <w:pStyle w:val="Textonotapie"/>
        <w:rPr>
          <w:color w:val="C00000"/>
        </w:rPr>
      </w:pPr>
      <w:r>
        <w:rPr>
          <w:rStyle w:val="Refdenotaalpie"/>
        </w:rPr>
        <w:footnoteRef/>
      </w:r>
      <w:r>
        <w:t xml:space="preserve"> </w:t>
      </w:r>
      <w:r w:rsidRPr="00853119">
        <w:t xml:space="preserve">Exactamente </w:t>
      </w:r>
      <w:r w:rsidRPr="00853119">
        <w:rPr>
          <w:rFonts w:eastAsia="Times New Roman" w:cstheme="minorHAnsi"/>
          <w:lang w:eastAsia="es-ES"/>
        </w:rPr>
        <w:t>310.871 solicitudes presentadas en los seis años.</w:t>
      </w:r>
    </w:p>
  </w:footnote>
  <w:footnote w:id="25">
    <w:p w14:paraId="0C9BBDCA" w14:textId="77777777" w:rsidR="00313E2D" w:rsidRDefault="00313E2D" w:rsidP="00313E2D">
      <w:pPr>
        <w:pStyle w:val="Textonotapie"/>
      </w:pPr>
      <w:r>
        <w:rPr>
          <w:rStyle w:val="Refdenotaalpie"/>
        </w:rPr>
        <w:footnoteRef/>
      </w:r>
      <w:r>
        <w:t xml:space="preserve"> </w:t>
      </w:r>
      <w:r w:rsidRPr="007F133B">
        <w:rPr>
          <w:rFonts w:cstheme="minorHAnsi"/>
          <w:color w:val="000000"/>
        </w:rPr>
        <w:t>Real Decreto 1458/1991, de 11 de octubre, por el que se crea la Dirección General de Migraciones del Ministerio de Trabajo y Seguridad Social</w:t>
      </w:r>
      <w:r>
        <w:rPr>
          <w:rFonts w:cstheme="minorHAnsi"/>
          <w:color w:val="000000"/>
        </w:rPr>
        <w:t>. BOE del 12</w:t>
      </w:r>
    </w:p>
  </w:footnote>
  <w:footnote w:id="26">
    <w:p w14:paraId="31550B1A" w14:textId="7BBF09AC" w:rsidR="006901CA" w:rsidRDefault="006901CA" w:rsidP="006901CA">
      <w:pPr>
        <w:pStyle w:val="Textonotapie"/>
      </w:pPr>
      <w:r>
        <w:rPr>
          <w:rStyle w:val="Refdenotaalpie"/>
        </w:rPr>
        <w:footnoteRef/>
      </w:r>
      <w:r>
        <w:t xml:space="preserve"> RD 1521/1991, de 11 de octubre, sobre creación, competencias y funcionamiento de las Oficinas de Extranjeros BOE del 26 </w:t>
      </w:r>
    </w:p>
  </w:footnote>
  <w:footnote w:id="27">
    <w:p w14:paraId="4FE1A1ED" w14:textId="77777777" w:rsidR="00FC07B6" w:rsidRDefault="00FC07B6" w:rsidP="00FC07B6">
      <w:pPr>
        <w:pStyle w:val="Textonotapie"/>
        <w:jc w:val="both"/>
      </w:pPr>
      <w:r>
        <w:rPr>
          <w:rStyle w:val="Refdenotaalpie"/>
        </w:rPr>
        <w:footnoteRef/>
      </w:r>
      <w:r>
        <w:t xml:space="preserve"> En 2008 el Ministerio de Trabajo y Migraciones puso en marcha un plan incentivado de retorno voluntario, que según datos del INE no era una opción aceptada mayoritariamente por los extranjeros.</w:t>
      </w:r>
    </w:p>
  </w:footnote>
  <w:footnote w:id="28">
    <w:p w14:paraId="7FDF0077" w14:textId="77777777" w:rsidR="00947873" w:rsidRPr="00F66E1C" w:rsidRDefault="00947873" w:rsidP="00947873">
      <w:pPr>
        <w:pStyle w:val="Textonotapie"/>
        <w:jc w:val="both"/>
        <w:rPr>
          <w:color w:val="FF0000"/>
        </w:rPr>
      </w:pPr>
      <w:r>
        <w:rPr>
          <w:rStyle w:val="Refdenotaalpie"/>
        </w:rPr>
        <w:footnoteRef/>
      </w:r>
      <w:r>
        <w:t xml:space="preserve"> La Dirección General de Migraciones fue inicialmente suprimida (RD 839/1996, de 10 de mayo) para poco después recreada bajo la denominación de la Dirección General de Ordenación de las Migraciones, (RD 140/1997)</w:t>
      </w:r>
    </w:p>
  </w:footnote>
  <w:footnote w:id="29">
    <w:p w14:paraId="0B77DF3A" w14:textId="77777777" w:rsidR="00F3262A" w:rsidRDefault="00F3262A" w:rsidP="00F3262A">
      <w:pPr>
        <w:pStyle w:val="Textonotapie"/>
        <w:jc w:val="both"/>
      </w:pPr>
      <w:r>
        <w:rPr>
          <w:rStyle w:val="Refdenotaalpie"/>
        </w:rPr>
        <w:footnoteRef/>
      </w:r>
      <w:r>
        <w:t xml:space="preserve"> </w:t>
      </w:r>
      <w:bookmarkStart w:id="5" w:name="_Hlk111571489"/>
      <w:r>
        <w:t xml:space="preserve">RELAÑO PASTOR, E. </w:t>
      </w:r>
      <w:r w:rsidRPr="00371A23">
        <w:t>Los continuos cambios de la política de inmigración en España</w:t>
      </w:r>
      <w:r>
        <w:t xml:space="preserve"> </w:t>
      </w:r>
      <w:r>
        <w:rPr>
          <w:i/>
          <w:iCs/>
        </w:rPr>
        <w:t>Migraciones Internacionales</w:t>
      </w:r>
      <w:r>
        <w:t xml:space="preserve">, 2004 vol. 2, nº 3 </w:t>
      </w:r>
      <w:bookmarkEnd w:id="5"/>
      <w:r>
        <w:t>p..111</w:t>
      </w:r>
    </w:p>
  </w:footnote>
  <w:footnote w:id="30">
    <w:p w14:paraId="10BB7496" w14:textId="77777777" w:rsidR="00F3262A" w:rsidRPr="00BE1F9D" w:rsidRDefault="00F3262A" w:rsidP="00F3262A">
      <w:pPr>
        <w:pStyle w:val="Textonotapie"/>
        <w:jc w:val="both"/>
      </w:pPr>
      <w:r>
        <w:rPr>
          <w:rStyle w:val="Refdenotaalpie"/>
        </w:rPr>
        <w:footnoteRef/>
      </w:r>
      <w:r>
        <w:t xml:space="preserve"> Una información detallada de todo la tramitación parlamentaria y una valoración de su contenido se halla en </w:t>
      </w:r>
      <w:r w:rsidRPr="00403A6A">
        <w:t>R</w:t>
      </w:r>
      <w:r>
        <w:t xml:space="preserve">UIZ DE HUIDOBRO DE CARLOS, J.M. </w:t>
      </w:r>
      <w:r w:rsidRPr="002876F5">
        <w:t>Notas sobre el proceso de reforma legislativa en materia de extranjería e inmigración. Un relato detallado del proceso legislativo</w:t>
      </w:r>
      <w:r>
        <w:rPr>
          <w:i/>
          <w:iCs/>
        </w:rPr>
        <w:t xml:space="preserve"> </w:t>
      </w:r>
      <w:r>
        <w:t xml:space="preserve">  </w:t>
      </w:r>
      <w:r w:rsidRPr="005361BA">
        <w:rPr>
          <w:i/>
          <w:iCs/>
        </w:rPr>
        <w:t>Migraciones</w:t>
      </w:r>
      <w:r>
        <w:rPr>
          <w:i/>
          <w:iCs/>
        </w:rPr>
        <w:t>.</w:t>
      </w:r>
      <w:r>
        <w:t xml:space="preserve"> </w:t>
      </w:r>
      <w:r w:rsidRPr="005621EB">
        <w:rPr>
          <w:rFonts w:cstheme="minorHAnsi"/>
          <w:i/>
          <w:iCs/>
          <w:shd w:val="clear" w:color="auto" w:fill="FFFFFF"/>
        </w:rPr>
        <w:t>Publicación Del Instituto Universitario De Estudios Sobre Migraciones</w:t>
      </w:r>
      <w:r w:rsidRPr="005621EB">
        <w:rPr>
          <w:rFonts w:cstheme="minorHAnsi"/>
          <w:shd w:val="clear" w:color="auto" w:fill="FFFFFF"/>
        </w:rPr>
        <w:t>,</w:t>
      </w:r>
      <w:r>
        <w:rPr>
          <w:rFonts w:ascii="Noto Sans" w:hAnsi="Noto Sans" w:cs="Noto Sans"/>
          <w:shd w:val="clear" w:color="auto" w:fill="FFFFFF"/>
        </w:rPr>
        <w:t xml:space="preserve"> 1988 nº</w:t>
      </w:r>
      <w:r>
        <w:t xml:space="preserve"> 4, pp.275-297</w:t>
      </w:r>
    </w:p>
  </w:footnote>
  <w:footnote w:id="31">
    <w:p w14:paraId="02746108" w14:textId="77777777" w:rsidR="00F3262A" w:rsidRPr="005621EB" w:rsidRDefault="00F3262A" w:rsidP="00F3262A">
      <w:pPr>
        <w:pStyle w:val="Textonotapie"/>
        <w:jc w:val="both"/>
        <w:rPr>
          <w:rFonts w:cstheme="minorHAnsi"/>
          <w:i/>
          <w:iCs/>
        </w:rPr>
      </w:pPr>
      <w:r>
        <w:rPr>
          <w:rStyle w:val="Refdenotaalpie"/>
        </w:rPr>
        <w:footnoteRef/>
      </w:r>
      <w:r>
        <w:t xml:space="preserve"> </w:t>
      </w:r>
      <w:r w:rsidRPr="00815D81">
        <w:rPr>
          <w:rFonts w:cstheme="minorHAnsi"/>
        </w:rPr>
        <w:t>RUIZ DE HUIDOBRO DE CARLOS, J.M. La Ley Orgánica 4/2000: Historia de un desencuentro y razón de su desenfoque jurídico.</w:t>
      </w:r>
      <w:r w:rsidRPr="00815D81">
        <w:rPr>
          <w:rFonts w:cstheme="minorHAnsi"/>
          <w:i/>
          <w:iCs/>
          <w:shd w:val="clear" w:color="auto" w:fill="FFFFFF"/>
        </w:rPr>
        <w:t xml:space="preserve"> Migraciones. Publicación Del Instituto Universitario De Estudios Sobre Migraciones</w:t>
      </w:r>
      <w:r w:rsidRPr="00815D81">
        <w:rPr>
          <w:rFonts w:cstheme="minorHAnsi"/>
          <w:shd w:val="clear" w:color="auto" w:fill="FFFFFF"/>
        </w:rPr>
        <w:t>, 2000 nº 7, p</w:t>
      </w:r>
      <w:r w:rsidRPr="00815D81">
        <w:rPr>
          <w:rFonts w:cstheme="minorHAnsi"/>
        </w:rPr>
        <w:t>.58</w:t>
      </w:r>
    </w:p>
  </w:footnote>
  <w:footnote w:id="32">
    <w:p w14:paraId="33B340E3" w14:textId="77777777" w:rsidR="000B6543" w:rsidRDefault="000B6543" w:rsidP="000B6543">
      <w:pPr>
        <w:pStyle w:val="Textonotapie"/>
      </w:pPr>
      <w:r>
        <w:rPr>
          <w:rStyle w:val="Refdenotaalpie"/>
        </w:rPr>
        <w:footnoteRef/>
      </w:r>
      <w:r>
        <w:t xml:space="preserve"> Art 6,2 de la LOEIS</w:t>
      </w:r>
    </w:p>
  </w:footnote>
  <w:footnote w:id="33">
    <w:p w14:paraId="7ECD1C34" w14:textId="77777777" w:rsidR="000B6543" w:rsidRDefault="000B6543" w:rsidP="000B6543">
      <w:pPr>
        <w:pStyle w:val="Textonotapie"/>
      </w:pPr>
      <w:r>
        <w:rPr>
          <w:rStyle w:val="Refdenotaalpie"/>
        </w:rPr>
        <w:footnoteRef/>
      </w:r>
      <w:r>
        <w:t xml:space="preserve"> Disposición transitoria primera de la LOEIS</w:t>
      </w:r>
    </w:p>
  </w:footnote>
  <w:footnote w:id="34">
    <w:p w14:paraId="1DBFEBA2" w14:textId="77777777" w:rsidR="000B6543" w:rsidRDefault="000B6543" w:rsidP="000B6543">
      <w:pPr>
        <w:pStyle w:val="Textonotapie"/>
      </w:pPr>
      <w:r>
        <w:rPr>
          <w:rStyle w:val="Refdenotaalpie"/>
        </w:rPr>
        <w:footnoteRef/>
      </w:r>
      <w:r>
        <w:t xml:space="preserve"> Disposición final sexta. Reglamento de la Ley de la LOEIS</w:t>
      </w:r>
    </w:p>
  </w:footnote>
  <w:footnote w:id="35">
    <w:p w14:paraId="2BBBDF41" w14:textId="77777777" w:rsidR="000925F8" w:rsidRDefault="000925F8" w:rsidP="000925F8">
      <w:pPr>
        <w:pStyle w:val="Textonotapie"/>
        <w:jc w:val="both"/>
      </w:pPr>
      <w:r>
        <w:rPr>
          <w:rStyle w:val="Refdenotaalpie"/>
        </w:rPr>
        <w:footnoteRef/>
      </w:r>
      <w:r>
        <w:t xml:space="preserve"> </w:t>
      </w:r>
      <w:r w:rsidRPr="0044799F">
        <w:t>AJA, E</w:t>
      </w:r>
      <w:r w:rsidRPr="0044799F">
        <w:rPr>
          <w:i/>
          <w:iCs/>
        </w:rPr>
        <w:t xml:space="preserve">. </w:t>
      </w:r>
      <w:r w:rsidRPr="0044799F">
        <w:t xml:space="preserve">La evolución sobre la normativa sobre inmigración en Eliseo AJA y Joaquín ARANGO (eds.) </w:t>
      </w:r>
      <w:r w:rsidRPr="0044799F">
        <w:rPr>
          <w:i/>
          <w:iCs/>
        </w:rPr>
        <w:t xml:space="preserve">Veinte años de inmigración en España, perspectivas jurídica y sociológica (185-2004) </w:t>
      </w:r>
      <w:r w:rsidRPr="0044799F">
        <w:t>Barcelona: Fundación CIDOB 2006 p.</w:t>
      </w:r>
      <w:r>
        <w:t>.30</w:t>
      </w:r>
    </w:p>
  </w:footnote>
  <w:footnote w:id="36">
    <w:p w14:paraId="2CB692E9" w14:textId="6BDFF5E9" w:rsidR="00E016EB" w:rsidRDefault="00E016EB">
      <w:pPr>
        <w:pStyle w:val="Textonotapie"/>
      </w:pPr>
      <w:r>
        <w:rPr>
          <w:rStyle w:val="Refdenotaalpie"/>
        </w:rPr>
        <w:footnoteRef/>
      </w:r>
      <w:r>
        <w:t xml:space="preserve"> BOE del 21</w:t>
      </w:r>
    </w:p>
  </w:footnote>
  <w:footnote w:id="37">
    <w:p w14:paraId="19B3E612" w14:textId="7A82DEFD" w:rsidR="008C4F09" w:rsidRDefault="008C4F09" w:rsidP="008C4F09">
      <w:pPr>
        <w:pStyle w:val="Textonotapie"/>
      </w:pPr>
      <w:r>
        <w:rPr>
          <w:rStyle w:val="Refdenotaalpie"/>
        </w:rPr>
        <w:footnoteRef/>
      </w:r>
      <w:r>
        <w:t xml:space="preserve"> Andalucía Acoge</w:t>
      </w:r>
      <w:r w:rsidR="00210CD7">
        <w:t xml:space="preserve"> y</w:t>
      </w:r>
      <w:r>
        <w:t xml:space="preserve"> la Red Acoge </w:t>
      </w:r>
    </w:p>
  </w:footnote>
  <w:footnote w:id="38">
    <w:p w14:paraId="2800B6C3" w14:textId="58C21008" w:rsidR="00FD36FF" w:rsidRDefault="00FD36FF">
      <w:pPr>
        <w:pStyle w:val="Textonotapie"/>
      </w:pPr>
      <w:r>
        <w:rPr>
          <w:rStyle w:val="Refdenotaalpie"/>
        </w:rPr>
        <w:footnoteRef/>
      </w:r>
      <w:r>
        <w:t xml:space="preserve"> STS Sala 3ª BOE de 16 de mayo de 2003</w:t>
      </w:r>
    </w:p>
  </w:footnote>
  <w:footnote w:id="39">
    <w:p w14:paraId="1E937269" w14:textId="77777777" w:rsidR="00494506" w:rsidRDefault="00494506" w:rsidP="00494506">
      <w:pPr>
        <w:spacing w:after="0" w:line="240" w:lineRule="auto"/>
      </w:pPr>
      <w:r>
        <w:rPr>
          <w:rStyle w:val="Refdenotaalpie"/>
        </w:rPr>
        <w:footnoteRef/>
      </w:r>
      <w:r>
        <w:t xml:space="preserve"> </w:t>
      </w:r>
      <w:r w:rsidRPr="00ED04E7">
        <w:rPr>
          <w:rFonts w:cstheme="minorHAnsi"/>
          <w:color w:val="000000"/>
          <w:sz w:val="20"/>
          <w:szCs w:val="20"/>
        </w:rPr>
        <w:t>Real Decreto 2393/2004, de 30 de diciembre, BOE</w:t>
      </w:r>
      <w:r>
        <w:rPr>
          <w:rFonts w:cstheme="minorHAnsi"/>
          <w:color w:val="000000"/>
          <w:sz w:val="20"/>
          <w:szCs w:val="20"/>
        </w:rPr>
        <w:t xml:space="preserve"> </w:t>
      </w:r>
      <w:r w:rsidRPr="00ED04E7">
        <w:rPr>
          <w:rFonts w:cstheme="minorHAnsi"/>
          <w:color w:val="000000"/>
          <w:sz w:val="20"/>
          <w:szCs w:val="20"/>
        </w:rPr>
        <w:t>de 7 de enero</w:t>
      </w:r>
      <w:r>
        <w:rPr>
          <w:rFonts w:cstheme="minorHAnsi"/>
          <w:color w:val="000000"/>
          <w:sz w:val="20"/>
          <w:szCs w:val="20"/>
        </w:rPr>
        <w:t xml:space="preserve"> de 2005</w:t>
      </w:r>
    </w:p>
  </w:footnote>
  <w:footnote w:id="40">
    <w:p w14:paraId="25CFEAF3" w14:textId="77777777" w:rsidR="00F767A0" w:rsidRDefault="00F767A0" w:rsidP="00F767A0">
      <w:pPr>
        <w:pStyle w:val="Textoindependiente"/>
        <w:spacing w:after="0"/>
        <w:jc w:val="both"/>
      </w:pPr>
      <w:r>
        <w:rPr>
          <w:rStyle w:val="Refdenotaalpie"/>
        </w:rPr>
        <w:footnoteRef/>
      </w:r>
      <w:r>
        <w:t xml:space="preserve"> </w:t>
      </w:r>
      <w:r w:rsidRPr="00E36FF2">
        <w:rPr>
          <w:rFonts w:cstheme="minorHAnsi"/>
          <w:color w:val="000000"/>
          <w:sz w:val="20"/>
          <w:szCs w:val="20"/>
        </w:rPr>
        <w:t>Ley Orgánica 2/2009, de 11 de diciembre, de reforma de la Ley Orgánica 4/2000, de 11 de enero, sobre derechos y libertades de los extranjeros en España y su integración social</w:t>
      </w:r>
      <w:r>
        <w:rPr>
          <w:rFonts w:ascii="Verdana" w:hAnsi="Verdana"/>
          <w:b/>
          <w:bCs/>
          <w:color w:val="000000"/>
          <w:sz w:val="31"/>
          <w:szCs w:val="31"/>
        </w:rPr>
        <w:t xml:space="preserve"> </w:t>
      </w:r>
      <w:r>
        <w:rPr>
          <w:rFonts w:cstheme="minorHAnsi"/>
          <w:color w:val="000000"/>
          <w:sz w:val="20"/>
          <w:szCs w:val="20"/>
        </w:rPr>
        <w:t>BOE del 12</w:t>
      </w:r>
    </w:p>
  </w:footnote>
  <w:footnote w:id="41">
    <w:p w14:paraId="3475272C" w14:textId="77777777" w:rsidR="00F767A0" w:rsidRDefault="00F767A0" w:rsidP="00F767A0">
      <w:pPr>
        <w:pStyle w:val="Textonotapie"/>
        <w:jc w:val="both"/>
      </w:pPr>
      <w:r>
        <w:rPr>
          <w:rStyle w:val="Refdenotaalpie"/>
        </w:rPr>
        <w:footnoteRef/>
      </w:r>
      <w:r>
        <w:t xml:space="preserve"> En el preámbulo de la Ley se relacionan las nueve Directivas, fechadas entre 2003 y 2009, cuyo contenido se incorpora, así como las obligaciones derivadas del l Convenio del Consejo de Europa sobre la lucha contra la trata de seres humanos (Convenio n.º 197 del Consejo de Europa), hecho en Varsovia el 16 de mayo de 2005. </w:t>
      </w:r>
    </w:p>
  </w:footnote>
  <w:footnote w:id="42">
    <w:p w14:paraId="4952AADB" w14:textId="77777777" w:rsidR="001C52BD" w:rsidRPr="004E2D10" w:rsidRDefault="001C52BD" w:rsidP="001C52BD">
      <w:pPr>
        <w:pStyle w:val="Textonotapie"/>
        <w:jc w:val="both"/>
      </w:pPr>
      <w:r>
        <w:rPr>
          <w:rStyle w:val="Refdenotaalpie"/>
        </w:rPr>
        <w:footnoteRef/>
      </w:r>
      <w:r>
        <w:t xml:space="preserve"> RD-ley 16/2012, de 20 de abril</w:t>
      </w:r>
      <w:r w:rsidRPr="004E2D10">
        <w:rPr>
          <w:rFonts w:cstheme="minorHAnsi"/>
          <w:color w:val="000000"/>
          <w:sz w:val="28"/>
          <w:szCs w:val="28"/>
        </w:rPr>
        <w:t xml:space="preserve"> </w:t>
      </w:r>
      <w:r w:rsidRPr="004E2D10">
        <w:rPr>
          <w:rFonts w:cstheme="minorHAnsi"/>
          <w:color w:val="000000"/>
        </w:rPr>
        <w:t>de medidas urgentes para garantizar la sostenibilidad del Sistema Nacional de Salud y mejorar la calidad y seguridad de sus prestaciones,</w:t>
      </w:r>
      <w:r>
        <w:rPr>
          <w:rFonts w:cstheme="minorHAnsi"/>
          <w:color w:val="000000"/>
        </w:rPr>
        <w:t xml:space="preserve"> Disposición final tercera </w:t>
      </w:r>
      <w:r>
        <w:t>BOE del 24</w:t>
      </w:r>
    </w:p>
  </w:footnote>
  <w:footnote w:id="43">
    <w:p w14:paraId="03717EC9" w14:textId="77777777" w:rsidR="001C52BD" w:rsidRPr="009C72A0" w:rsidRDefault="001C52BD" w:rsidP="001C52BD">
      <w:pPr>
        <w:pStyle w:val="Textonotapie"/>
      </w:pPr>
      <w:r>
        <w:rPr>
          <w:rStyle w:val="Refdenotaalpie"/>
        </w:rPr>
        <w:footnoteRef/>
      </w:r>
      <w:r w:rsidRPr="009C72A0">
        <w:rPr>
          <w:rFonts w:cstheme="minorHAnsi"/>
          <w:color w:val="000000"/>
        </w:rPr>
        <w:t>RD-</w:t>
      </w:r>
      <w:r>
        <w:rPr>
          <w:rFonts w:cstheme="minorHAnsi"/>
          <w:color w:val="000000"/>
        </w:rPr>
        <w:t>l</w:t>
      </w:r>
      <w:r w:rsidRPr="009C72A0">
        <w:rPr>
          <w:rFonts w:cstheme="minorHAnsi"/>
          <w:color w:val="000000"/>
        </w:rPr>
        <w:t>ey 7/2018, de 27 de julio, sobre el acceso universal al Sistema Nacional de Salud</w:t>
      </w:r>
      <w:r>
        <w:rPr>
          <w:rFonts w:cstheme="minorHAnsi"/>
          <w:color w:val="000000"/>
        </w:rPr>
        <w:t xml:space="preserve"> Art. 3. Ter</w:t>
      </w:r>
      <w:r>
        <w:t xml:space="preserve"> BOE del 30</w:t>
      </w:r>
    </w:p>
  </w:footnote>
  <w:footnote w:id="44">
    <w:p w14:paraId="3AFF913F" w14:textId="2AD85B2E" w:rsidR="00FB1D39" w:rsidRDefault="00FB1D39">
      <w:pPr>
        <w:pStyle w:val="Textonotapie"/>
      </w:pPr>
      <w:r>
        <w:rPr>
          <w:rStyle w:val="Refdenotaalpie"/>
        </w:rPr>
        <w:footnoteRef/>
      </w:r>
      <w:r>
        <w:t xml:space="preserve"> BOE del 30</w:t>
      </w:r>
    </w:p>
  </w:footnote>
  <w:footnote w:id="45">
    <w:p w14:paraId="0DFD8624" w14:textId="77777777" w:rsidR="00D43F3B" w:rsidRDefault="00D43F3B" w:rsidP="00D43F3B">
      <w:pPr>
        <w:pStyle w:val="Textonotapie"/>
      </w:pPr>
      <w:r>
        <w:rPr>
          <w:rStyle w:val="Refdenotaalpie"/>
        </w:rPr>
        <w:footnoteRef/>
      </w:r>
      <w:r>
        <w:t xml:space="preserve"> Orden de 6 de febrero de 1942. BOE del 9</w:t>
      </w:r>
    </w:p>
  </w:footnote>
  <w:footnote w:id="46">
    <w:p w14:paraId="4D7DD917" w14:textId="77777777" w:rsidR="009D248C" w:rsidRDefault="009D248C" w:rsidP="009D248C">
      <w:pPr>
        <w:pStyle w:val="Textonotapie"/>
      </w:pPr>
      <w:r>
        <w:rPr>
          <w:rStyle w:val="Refdenotaalpie"/>
        </w:rPr>
        <w:footnoteRef/>
      </w:r>
      <w:r>
        <w:t xml:space="preserve"> Art. 12 2ª b y d) del RD 140/1997</w:t>
      </w:r>
    </w:p>
  </w:footnote>
  <w:footnote w:id="47">
    <w:p w14:paraId="6FFE32E0" w14:textId="77777777" w:rsidR="009D248C" w:rsidRDefault="009D248C" w:rsidP="009D248C">
      <w:pPr>
        <w:pStyle w:val="Sinespaciado"/>
        <w:jc w:val="both"/>
      </w:pPr>
      <w:r>
        <w:rPr>
          <w:rStyle w:val="Refdenotaalpie"/>
        </w:rPr>
        <w:footnoteRef/>
      </w:r>
      <w:r>
        <w:t xml:space="preserve">  </w:t>
      </w:r>
      <w:r w:rsidRPr="00A22441">
        <w:rPr>
          <w:rFonts w:cstheme="minorHAnsi"/>
          <w:color w:val="000000"/>
          <w:sz w:val="20"/>
          <w:szCs w:val="20"/>
        </w:rPr>
        <w:t>Real Decreto 683/2000, de 11 de mayo, por el que se modifica la estructura orgánica de los Ministerios de Asuntos Exteriores, Hacienda, Interior, Fomento y Economía.</w:t>
      </w:r>
      <w:r>
        <w:rPr>
          <w:rFonts w:cstheme="minorHAnsi"/>
          <w:color w:val="000000"/>
          <w:sz w:val="20"/>
          <w:szCs w:val="20"/>
        </w:rPr>
        <w:t xml:space="preserve"> BOE del 12</w:t>
      </w:r>
    </w:p>
  </w:footnote>
  <w:footnote w:id="48">
    <w:p w14:paraId="05F2AE52" w14:textId="77777777" w:rsidR="009D248C" w:rsidRDefault="009D248C" w:rsidP="009D248C">
      <w:pPr>
        <w:shd w:val="clear" w:color="auto" w:fill="FFFFFF"/>
        <w:spacing w:after="0" w:line="240" w:lineRule="auto"/>
        <w:jc w:val="both"/>
      </w:pPr>
      <w:r>
        <w:rPr>
          <w:rStyle w:val="Refdenotaalpie"/>
        </w:rPr>
        <w:footnoteRef/>
      </w:r>
      <w:r>
        <w:t xml:space="preserve"> </w:t>
      </w:r>
      <w:r w:rsidRPr="00652025">
        <w:rPr>
          <w:sz w:val="20"/>
          <w:szCs w:val="20"/>
        </w:rPr>
        <w:t xml:space="preserve">Art. 1.2 del citado RD 683/2000. Determinándose las </w:t>
      </w:r>
      <w:r w:rsidRPr="00652025">
        <w:rPr>
          <w:rFonts w:eastAsia="Times New Roman" w:cstheme="minorHAnsi"/>
          <w:color w:val="000000"/>
          <w:sz w:val="20"/>
          <w:szCs w:val="20"/>
          <w:lang w:eastAsia="es-ES"/>
        </w:rPr>
        <w:t>competencias se determinan en el Real Decreto 1449/2000, de 28 de julio, por el que se modifica y desarrolla la estructura orgánica básica del Ministerio del Interior, BOE del 29</w:t>
      </w:r>
    </w:p>
  </w:footnote>
  <w:footnote w:id="49">
    <w:p w14:paraId="6930E09A" w14:textId="77777777" w:rsidR="00816413" w:rsidRDefault="00816413" w:rsidP="00816413">
      <w:pPr>
        <w:shd w:val="clear" w:color="auto" w:fill="FFFFFF"/>
        <w:spacing w:after="0" w:line="240" w:lineRule="auto"/>
        <w:jc w:val="both"/>
      </w:pPr>
      <w:r>
        <w:rPr>
          <w:rStyle w:val="Refdenotaalpie"/>
        </w:rPr>
        <w:footnoteRef/>
      </w:r>
      <w:r>
        <w:t xml:space="preserve"> </w:t>
      </w:r>
      <w:r w:rsidRPr="00F105D6">
        <w:rPr>
          <w:rFonts w:cstheme="minorHAnsi"/>
          <w:color w:val="000000"/>
          <w:sz w:val="20"/>
          <w:szCs w:val="20"/>
        </w:rPr>
        <w:t>Real Decreto 562/2004, de 19 de abril, por el que se aprueba la estructura orgánica básica de los departamentos ministeriales.</w:t>
      </w:r>
      <w:r>
        <w:rPr>
          <w:rFonts w:cstheme="minorHAnsi"/>
          <w:color w:val="000000"/>
          <w:sz w:val="20"/>
          <w:szCs w:val="20"/>
        </w:rPr>
        <w:t xml:space="preserve"> BOE del 20</w:t>
      </w:r>
    </w:p>
  </w:footnote>
  <w:footnote w:id="50">
    <w:p w14:paraId="13257520" w14:textId="77777777" w:rsidR="00816413" w:rsidRDefault="00816413" w:rsidP="00816413">
      <w:pPr>
        <w:pStyle w:val="Textonotapie"/>
      </w:pPr>
      <w:r>
        <w:rPr>
          <w:rStyle w:val="Refdenotaalpie"/>
        </w:rPr>
        <w:footnoteRef/>
      </w:r>
      <w:r>
        <w:t xml:space="preserve"> Art. 8 b) del RD 562/2004, de 19 de abril BOE del 20</w:t>
      </w:r>
    </w:p>
  </w:footnote>
  <w:footnote w:id="51">
    <w:p w14:paraId="1F0B05CC" w14:textId="77777777" w:rsidR="00816413" w:rsidRDefault="00816413" w:rsidP="00816413">
      <w:pPr>
        <w:shd w:val="clear" w:color="auto" w:fill="FFFFFF"/>
        <w:spacing w:after="0" w:line="240" w:lineRule="auto"/>
        <w:jc w:val="both"/>
      </w:pPr>
      <w:r>
        <w:rPr>
          <w:rStyle w:val="Refdenotaalpie"/>
        </w:rPr>
        <w:footnoteRef/>
      </w:r>
      <w:r>
        <w:t xml:space="preserve"> Art. 5.1 del </w:t>
      </w:r>
      <w:r w:rsidRPr="006505B7">
        <w:rPr>
          <w:rFonts w:cstheme="minorHAnsi"/>
          <w:color w:val="000000"/>
          <w:sz w:val="20"/>
          <w:szCs w:val="20"/>
        </w:rPr>
        <w:t>Real Decreto 1600/2004, de 2 de julio, por el que se desarrolla la estructura orgánica básica del Ministerio de Trabajo y Asuntos Sociales.</w:t>
      </w:r>
      <w:r>
        <w:rPr>
          <w:rFonts w:cstheme="minorHAnsi"/>
          <w:color w:val="000000"/>
          <w:sz w:val="20"/>
          <w:szCs w:val="20"/>
        </w:rPr>
        <w:t xml:space="preserve"> BOE del 3</w:t>
      </w:r>
    </w:p>
  </w:footnote>
  <w:footnote w:id="52">
    <w:p w14:paraId="156DA573" w14:textId="77777777" w:rsidR="008C729C" w:rsidRDefault="008C729C" w:rsidP="008C729C">
      <w:pPr>
        <w:shd w:val="clear" w:color="auto" w:fill="FFFFFF"/>
        <w:spacing w:before="180" w:after="180" w:line="240" w:lineRule="auto"/>
        <w:jc w:val="both"/>
      </w:pPr>
      <w:r w:rsidRPr="003011E0">
        <w:rPr>
          <w:rStyle w:val="Refdenotaalpie"/>
          <w:sz w:val="20"/>
          <w:szCs w:val="20"/>
        </w:rPr>
        <w:footnoteRef/>
      </w:r>
      <w:r w:rsidRPr="003011E0">
        <w:rPr>
          <w:sz w:val="20"/>
          <w:szCs w:val="20"/>
        </w:rPr>
        <w:t xml:space="preserve"> Exposición de Motivos del</w:t>
      </w:r>
      <w:r>
        <w:t xml:space="preserve"> </w:t>
      </w:r>
      <w:r w:rsidRPr="0086360E">
        <w:rPr>
          <w:rFonts w:cstheme="minorHAnsi"/>
          <w:color w:val="000000"/>
          <w:sz w:val="20"/>
          <w:szCs w:val="20"/>
        </w:rPr>
        <w:t xml:space="preserve">Real Decreto 1823/2011, de 21 de diciembre, por el que se reestructuran los departamentos ministeriales. </w:t>
      </w:r>
      <w:r>
        <w:rPr>
          <w:rFonts w:cstheme="minorHAnsi"/>
          <w:color w:val="000000"/>
          <w:sz w:val="20"/>
          <w:szCs w:val="20"/>
        </w:rPr>
        <w:t>BOE d</w:t>
      </w:r>
      <w:r w:rsidRPr="0086360E">
        <w:rPr>
          <w:rFonts w:cstheme="minorHAnsi"/>
          <w:color w:val="000000"/>
          <w:sz w:val="20"/>
          <w:szCs w:val="20"/>
        </w:rPr>
        <w:t>el 22</w:t>
      </w:r>
    </w:p>
  </w:footnote>
  <w:footnote w:id="53">
    <w:p w14:paraId="2A70F48F" w14:textId="77777777" w:rsidR="008C729C" w:rsidRDefault="008C729C" w:rsidP="008C729C">
      <w:pPr>
        <w:shd w:val="clear" w:color="auto" w:fill="FFFFFF"/>
        <w:spacing w:before="180" w:after="180" w:line="240" w:lineRule="auto"/>
        <w:jc w:val="both"/>
      </w:pPr>
      <w:r w:rsidRPr="00EC1753">
        <w:rPr>
          <w:rStyle w:val="Refdenotaalpie"/>
          <w:sz w:val="20"/>
          <w:szCs w:val="20"/>
        </w:rPr>
        <w:footnoteRef/>
      </w:r>
      <w:r w:rsidRPr="00EC1753">
        <w:rPr>
          <w:sz w:val="20"/>
          <w:szCs w:val="20"/>
        </w:rPr>
        <w:t xml:space="preserve"> Art. 8.C) del </w:t>
      </w:r>
      <w:r w:rsidRPr="00EC1753">
        <w:rPr>
          <w:rFonts w:cstheme="minorHAnsi"/>
          <w:color w:val="000000"/>
          <w:sz w:val="20"/>
          <w:szCs w:val="20"/>
        </w:rPr>
        <w:t>Real</w:t>
      </w:r>
      <w:r w:rsidRPr="00A73BA0">
        <w:rPr>
          <w:rFonts w:cstheme="minorHAnsi"/>
          <w:color w:val="000000"/>
          <w:sz w:val="20"/>
          <w:szCs w:val="20"/>
        </w:rPr>
        <w:t xml:space="preserve"> Decreto 1887/2011, de 30 de diciembre, por el que se establece la estructura orgánica básica de los departamentos ministeriales. BOE del 31</w:t>
      </w:r>
    </w:p>
  </w:footnote>
  <w:footnote w:id="54">
    <w:p w14:paraId="68D3F15E" w14:textId="152851EE" w:rsidR="00DB3565" w:rsidRDefault="00DB3565">
      <w:pPr>
        <w:pStyle w:val="Textonotapie"/>
      </w:pPr>
      <w:r>
        <w:rPr>
          <w:rStyle w:val="Refdenotaalpie"/>
        </w:rPr>
        <w:footnoteRef/>
      </w:r>
      <w:r>
        <w:t xml:space="preserve"> </w:t>
      </w:r>
      <w:r w:rsidR="00167D8E">
        <w:t>RD 239/2000, de 18 de febrero</w:t>
      </w:r>
      <w:r w:rsidR="00221B95">
        <w:t>,</w:t>
      </w:r>
      <w:r w:rsidR="00167D8E">
        <w:t xml:space="preserve"> </w:t>
      </w:r>
      <w:r w:rsidR="00221B95">
        <w:t>BOE del 19</w:t>
      </w:r>
    </w:p>
  </w:footnote>
  <w:footnote w:id="55">
    <w:p w14:paraId="76DCF290" w14:textId="145B7F1E" w:rsidR="00D75026" w:rsidRDefault="00D75026" w:rsidP="00D75026">
      <w:pPr>
        <w:pStyle w:val="Textonotapie"/>
      </w:pPr>
      <w:r>
        <w:rPr>
          <w:rStyle w:val="Refdenotaalpie"/>
        </w:rPr>
        <w:footnoteRef/>
      </w:r>
      <w:r>
        <w:t xml:space="preserve"> L.O. 4/2000, de 11 de enero, Disposición Transitoria primera. Regularización de extranjeros que se encuentren en España</w:t>
      </w:r>
      <w:r w:rsidR="00221B95">
        <w:t>,</w:t>
      </w:r>
      <w:r>
        <w:t xml:space="preserve"> BOE de</w:t>
      </w:r>
      <w:r w:rsidR="00221B95">
        <w:t>l</w:t>
      </w:r>
      <w:r>
        <w:t xml:space="preserve"> 12 </w:t>
      </w:r>
    </w:p>
  </w:footnote>
  <w:footnote w:id="56">
    <w:p w14:paraId="71915A5F" w14:textId="77777777" w:rsidR="00D8169D" w:rsidRPr="00C21F77" w:rsidRDefault="00D8169D" w:rsidP="00D8169D">
      <w:pPr>
        <w:pStyle w:val="Textonotapie"/>
        <w:rPr>
          <w:rFonts w:cstheme="minorHAnsi"/>
        </w:rPr>
      </w:pPr>
      <w:r w:rsidRPr="00C21F77">
        <w:rPr>
          <w:rStyle w:val="Refdenotaalpie"/>
          <w:rFonts w:cstheme="minorHAnsi"/>
        </w:rPr>
        <w:footnoteRef/>
      </w:r>
      <w:r w:rsidRPr="00C21F77">
        <w:rPr>
          <w:rFonts w:cstheme="minorHAnsi"/>
        </w:rPr>
        <w:t xml:space="preserve"> Así se le denomina en la disposición transitoria cuarta de la LO. 8/2000, de reforma de la L.O. 4/2000, a pesar de que en su reglamento se califique de “proceso de normalización” </w:t>
      </w:r>
    </w:p>
  </w:footnote>
  <w:footnote w:id="57">
    <w:p w14:paraId="197E804A" w14:textId="2201C62A" w:rsidR="00DF43FE" w:rsidRDefault="00DF43FE">
      <w:pPr>
        <w:pStyle w:val="Textonotapie"/>
      </w:pPr>
      <w:r>
        <w:rPr>
          <w:rStyle w:val="Refdenotaalpie"/>
        </w:rPr>
        <w:footnoteRef/>
      </w:r>
      <w:r>
        <w:t xml:space="preserve"> RD 142/2001, de 16 de enero</w:t>
      </w:r>
      <w:r w:rsidR="000E1002">
        <w:t xml:space="preserve"> BOE del 20</w:t>
      </w:r>
    </w:p>
  </w:footnote>
  <w:footnote w:id="58">
    <w:p w14:paraId="3ADDF9F4" w14:textId="77777777" w:rsidR="00CC6865" w:rsidRPr="00C21F77" w:rsidRDefault="00CC6865" w:rsidP="00CC6865">
      <w:pPr>
        <w:pStyle w:val="Ttulo5"/>
        <w:shd w:val="clear" w:color="auto" w:fill="FFFFFF"/>
        <w:spacing w:before="0"/>
        <w:jc w:val="both"/>
        <w:rPr>
          <w:rFonts w:asciiTheme="minorHAnsi" w:hAnsiTheme="minorHAnsi" w:cstheme="minorHAnsi"/>
          <w:color w:val="auto"/>
        </w:rPr>
      </w:pPr>
      <w:r w:rsidRPr="00C21F77">
        <w:rPr>
          <w:rStyle w:val="Refdenotaalpie"/>
          <w:rFonts w:asciiTheme="minorHAnsi" w:hAnsiTheme="minorHAnsi" w:cstheme="minorHAnsi"/>
          <w:color w:val="auto"/>
          <w:sz w:val="20"/>
          <w:szCs w:val="20"/>
        </w:rPr>
        <w:footnoteRef/>
      </w:r>
      <w:r w:rsidRPr="00C21F77">
        <w:rPr>
          <w:rFonts w:asciiTheme="minorHAnsi" w:hAnsiTheme="minorHAnsi" w:cstheme="minorHAnsi"/>
          <w:color w:val="auto"/>
          <w:sz w:val="20"/>
          <w:szCs w:val="20"/>
        </w:rPr>
        <w:t xml:space="preserve"> LO 8/2000, Disposición transitoria cuarta. El Gobierno, mediante Real Decreto, establecerá los requisitos que permitan, sin necesidad de presentar nueva documentación, la regularización de los extranjeros que se encuentren en España y que habiendo presentado solicitud de regularización al amparo de lo previsto en el Real Decreto 239/2000, de 18 de febrero, hayan visto denegada la misma, exclusivamente, por no cumplir el requisito de encontrarse en España antes del 1 de junio de 1999</w:t>
      </w:r>
    </w:p>
  </w:footnote>
  <w:footnote w:id="59">
    <w:p w14:paraId="22C7B269" w14:textId="77777777" w:rsidR="00114FB6" w:rsidRDefault="00114FB6" w:rsidP="00114FB6">
      <w:pPr>
        <w:pStyle w:val="Textonotapie"/>
      </w:pPr>
      <w:r>
        <w:rPr>
          <w:rStyle w:val="Refdenotaalpie"/>
        </w:rPr>
        <w:footnoteRef/>
      </w:r>
      <w:r>
        <w:t xml:space="preserve"> BOE de 10 de julio de 2001</w:t>
      </w:r>
    </w:p>
  </w:footnote>
  <w:footnote w:id="60">
    <w:p w14:paraId="1E224FA1" w14:textId="6201A71A" w:rsidR="00E32E0B" w:rsidRDefault="00E32E0B">
      <w:pPr>
        <w:pStyle w:val="Textonotapie"/>
      </w:pPr>
      <w:r>
        <w:rPr>
          <w:rStyle w:val="Refdenotaalpie"/>
        </w:rPr>
        <w:footnoteRef/>
      </w:r>
      <w:r>
        <w:t xml:space="preserve"> BOE del 7 de enero de 2005</w:t>
      </w:r>
    </w:p>
  </w:footnote>
  <w:footnote w:id="61">
    <w:p w14:paraId="7BF13D30" w14:textId="77777777" w:rsidR="001E6F51" w:rsidRPr="00395A91" w:rsidRDefault="001E6F51" w:rsidP="001E6F51">
      <w:pPr>
        <w:pStyle w:val="Textonotapie"/>
        <w:jc w:val="both"/>
        <w:rPr>
          <w:color w:val="000000" w:themeColor="text1"/>
        </w:rPr>
      </w:pPr>
      <w:r>
        <w:rPr>
          <w:rStyle w:val="Refdenotaalpie"/>
        </w:rPr>
        <w:footnoteRef/>
      </w:r>
      <w:r>
        <w:t xml:space="preserve"> </w:t>
      </w:r>
      <w:r w:rsidRPr="00395A91">
        <w:rPr>
          <w:color w:val="000000" w:themeColor="text1"/>
        </w:rPr>
        <w:t>FERRRERO TURRION, R., PINYOL I JIMÉNEZ, G. ¿</w:t>
      </w:r>
      <w:r w:rsidRPr="00395A91">
        <w:rPr>
          <w:i/>
          <w:iCs/>
          <w:color w:val="000000" w:themeColor="text1"/>
        </w:rPr>
        <w:t xml:space="preserve">Cómo gestionar la inmigración irregular? Los procesos de regularización en la construcción de una política europea de inmigración </w:t>
      </w:r>
      <w:r w:rsidRPr="00395A91">
        <w:rPr>
          <w:color w:val="000000" w:themeColor="text1"/>
        </w:rPr>
        <w:t xml:space="preserve">Revista de Estudios Políticos 2008 nº 142 p.160 </w:t>
      </w:r>
    </w:p>
  </w:footnote>
  <w:footnote w:id="62">
    <w:p w14:paraId="4C25A22D" w14:textId="77777777" w:rsidR="00AE7213" w:rsidRPr="0086284A" w:rsidRDefault="00AE7213" w:rsidP="00AE7213">
      <w:pPr>
        <w:shd w:val="clear" w:color="auto" w:fill="FFFFFF"/>
        <w:spacing w:after="0"/>
        <w:jc w:val="both"/>
        <w:rPr>
          <w:rFonts w:cstheme="minorHAnsi"/>
          <w:i/>
          <w:iCs/>
          <w:color w:val="000000"/>
          <w:sz w:val="20"/>
          <w:szCs w:val="20"/>
        </w:rPr>
      </w:pPr>
      <w:r>
        <w:rPr>
          <w:rStyle w:val="Refdenotaalpie"/>
        </w:rPr>
        <w:footnoteRef/>
      </w:r>
      <w:r w:rsidRPr="00A821DE">
        <w:rPr>
          <w:rFonts w:cstheme="minorHAnsi"/>
          <w:color w:val="000000"/>
          <w:sz w:val="20"/>
          <w:szCs w:val="20"/>
        </w:rPr>
        <w:t>Artículo 37. El contingente de trabajadores extranjeros.</w:t>
      </w:r>
      <w:r>
        <w:rPr>
          <w:rFonts w:cstheme="minorHAnsi"/>
          <w:color w:val="000000"/>
          <w:sz w:val="20"/>
          <w:szCs w:val="20"/>
        </w:rPr>
        <w:t xml:space="preserve"> </w:t>
      </w:r>
      <w:r w:rsidRPr="0086284A">
        <w:rPr>
          <w:rFonts w:cstheme="minorHAnsi"/>
          <w:i/>
          <w:iCs/>
          <w:color w:val="000000"/>
          <w:sz w:val="20"/>
          <w:szCs w:val="20"/>
        </w:rPr>
        <w:t>“El Gobierno, previa audiencia del Consejo Superior de Política de Inmigración y de las organizaciones sindicales y empresariales más representativas, establecerá anualmente un contingente de mano de obra en el que se fijará el número y las características de las ofertas de empleo que se ofrecen a los trabajadores extranjeros no residentes en España, con indicación de los sectores y actividades profesionales”.</w:t>
      </w:r>
    </w:p>
    <w:p w14:paraId="5ACB6898" w14:textId="77777777" w:rsidR="00AE7213" w:rsidRDefault="00AE7213" w:rsidP="00AE7213">
      <w:pPr>
        <w:pStyle w:val="Textonotapie"/>
      </w:pPr>
    </w:p>
  </w:footnote>
  <w:footnote w:id="63">
    <w:p w14:paraId="2B5CB8DD" w14:textId="77777777" w:rsidR="004F25B1" w:rsidRPr="006D2589" w:rsidRDefault="004F25B1" w:rsidP="004F25B1">
      <w:pPr>
        <w:pStyle w:val="Textonotapie"/>
        <w:jc w:val="both"/>
        <w:rPr>
          <w:i/>
          <w:iCs/>
        </w:rPr>
      </w:pPr>
      <w:r>
        <w:rPr>
          <w:rStyle w:val="Refdenotaalpie"/>
        </w:rPr>
        <w:footnoteRef/>
      </w:r>
      <w:r>
        <w:t xml:space="preserve"> </w:t>
      </w:r>
      <w:r w:rsidRPr="00332F1E">
        <w:rPr>
          <w:rFonts w:cstheme="minorHAnsi"/>
        </w:rPr>
        <w:t>Artículo 41</w:t>
      </w:r>
      <w:r>
        <w:rPr>
          <w:rFonts w:cstheme="minorHAnsi"/>
        </w:rPr>
        <w:t>.</w:t>
      </w:r>
      <w:r w:rsidRPr="00332F1E">
        <w:rPr>
          <w:rFonts w:cstheme="minorHAnsi"/>
        </w:rPr>
        <w:t xml:space="preserve"> Régimen especial de los trabajadores de temporada.1. </w:t>
      </w:r>
      <w:r>
        <w:rPr>
          <w:rFonts w:cstheme="minorHAnsi"/>
        </w:rPr>
        <w:t>“</w:t>
      </w:r>
      <w:r w:rsidRPr="006D2589">
        <w:rPr>
          <w:rFonts w:cstheme="minorHAnsi"/>
          <w:i/>
          <w:iCs/>
        </w:rPr>
        <w:t>El Gobierno regulará reglamentariamente el</w:t>
      </w:r>
      <w:r>
        <w:rPr>
          <w:rFonts w:cstheme="minorHAnsi"/>
          <w:i/>
          <w:iCs/>
        </w:rPr>
        <w:t xml:space="preserve"> p</w:t>
      </w:r>
      <w:r w:rsidRPr="006D2589">
        <w:rPr>
          <w:rFonts w:cstheme="minorHAnsi"/>
          <w:i/>
          <w:iCs/>
        </w:rPr>
        <w:t>ermiso de trabajo para los trabajadores extranjeros en actividades de temporada o campaña que les permita la entrada y salida del territorio nacional de acuerdo con las características de las citadas campañas.</w:t>
      </w:r>
      <w:r>
        <w:rPr>
          <w:rFonts w:cstheme="minorHAnsi"/>
          <w:i/>
          <w:iCs/>
        </w:rPr>
        <w:t>”</w:t>
      </w:r>
    </w:p>
  </w:footnote>
  <w:footnote w:id="64">
    <w:p w14:paraId="7AC29968" w14:textId="77777777" w:rsidR="00C25702" w:rsidRDefault="00C25702" w:rsidP="00C25702">
      <w:pPr>
        <w:pStyle w:val="Textonotapie"/>
        <w:jc w:val="both"/>
      </w:pPr>
      <w:r>
        <w:rPr>
          <w:rStyle w:val="Refdenotaalpie"/>
        </w:rPr>
        <w:footnoteRef/>
      </w:r>
      <w:r>
        <w:t xml:space="preserve"> Art. 65 </w:t>
      </w:r>
      <w:r w:rsidRPr="006260E0">
        <w:t xml:space="preserve">2. </w:t>
      </w:r>
      <w:r w:rsidRPr="00B26285">
        <w:rPr>
          <w:i/>
          <w:iCs/>
        </w:rPr>
        <w:t>A los efectos de determinar anualmente el número de trabajadores extranjeros que se precisen, según ámbitos territoriales y sectores de actividad concretos, la Comisión Ejecutiva Provincial o Insular del INEM analizará cada año el conjunto de los puestos de trabajo que las organizaciones empresariales consideren que no podrán cubrirse en el mercado de trabajo nacional, así como la situación general de empleo de la provincia, y elaborará una propuesta que especifique el número y las características profesionales de los trabajadores que se requieran, según los sectores de actividad. En aquellas Comunidades Autónomas en las que no se hayan transferido los Servicios Públicos de Empleo, formará parte de dicha Comisión un representante de la Comunidad Autónoma correspondiente. La Dirección General de Ordenación de las Migraciones podrá participar con voz, pero sin voto en las reuniones de tales Comisiones</w:t>
      </w:r>
    </w:p>
  </w:footnote>
  <w:footnote w:id="65">
    <w:p w14:paraId="4FC8B4CC" w14:textId="77777777" w:rsidR="009A624B" w:rsidRPr="00F325F7" w:rsidRDefault="009A624B" w:rsidP="009A624B">
      <w:pPr>
        <w:spacing w:after="0" w:line="240" w:lineRule="auto"/>
        <w:jc w:val="both"/>
        <w:rPr>
          <w:spacing w:val="-4"/>
        </w:rPr>
      </w:pPr>
      <w:r w:rsidRPr="00F325F7">
        <w:rPr>
          <w:rStyle w:val="Refdenotaalpie"/>
          <w:spacing w:val="-4"/>
        </w:rPr>
        <w:footnoteRef/>
      </w:r>
      <w:r w:rsidRPr="00F325F7">
        <w:rPr>
          <w:spacing w:val="-4"/>
        </w:rPr>
        <w:t xml:space="preserve"> </w:t>
      </w:r>
      <w:r w:rsidRPr="00F325F7">
        <w:rPr>
          <w:spacing w:val="-4"/>
          <w:sz w:val="20"/>
          <w:szCs w:val="20"/>
        </w:rPr>
        <w:t xml:space="preserve">El procedimiento esta descrito con detalle en el punto Sexto del Acuerdo de Consejo de </w:t>
      </w:r>
      <w:r>
        <w:rPr>
          <w:spacing w:val="-4"/>
          <w:sz w:val="20"/>
          <w:szCs w:val="20"/>
        </w:rPr>
        <w:t>m</w:t>
      </w:r>
      <w:r w:rsidRPr="00F325F7">
        <w:rPr>
          <w:spacing w:val="-4"/>
          <w:sz w:val="20"/>
          <w:szCs w:val="20"/>
        </w:rPr>
        <w:t xml:space="preserve">inistros de 27 de diciembre de 27 de diciembre de 2002 </w:t>
      </w:r>
      <w:r w:rsidRPr="00F325F7">
        <w:rPr>
          <w:rFonts w:cstheme="minorHAnsi"/>
          <w:color w:val="000000"/>
          <w:spacing w:val="-4"/>
          <w:sz w:val="20"/>
          <w:szCs w:val="20"/>
        </w:rPr>
        <w:t>por el que se regulan los procedimientos de contratación y se fija el número y las características de las ofertas de empleo que se ofrecen para el año 2003 a extranjeros residentes legales en España y a extranjeros que no se hallen ni sean residentes en ella. BOE de 16 de enero</w:t>
      </w:r>
    </w:p>
  </w:footnote>
  <w:footnote w:id="66">
    <w:p w14:paraId="33FB2DE2" w14:textId="77777777" w:rsidR="009A624B" w:rsidRPr="001E6407" w:rsidRDefault="009A624B" w:rsidP="009A624B">
      <w:pPr>
        <w:pStyle w:val="Textonotapie"/>
      </w:pPr>
      <w:r>
        <w:rPr>
          <w:rStyle w:val="Refdenotaalpie"/>
        </w:rPr>
        <w:footnoteRef/>
      </w:r>
      <w:r>
        <w:t xml:space="preserve"> </w:t>
      </w:r>
      <w:r w:rsidRPr="00AC051C">
        <w:rPr>
          <w:rFonts w:cstheme="minorHAnsi"/>
        </w:rPr>
        <w:t>RD 2393/2004, de</w:t>
      </w:r>
      <w:r>
        <w:rPr>
          <w:rFonts w:cstheme="minorHAnsi"/>
        </w:rPr>
        <w:t xml:space="preserve"> 31 de diciembre,</w:t>
      </w:r>
      <w:r>
        <w:rPr>
          <w:rFonts w:cstheme="minorHAnsi"/>
          <w:sz w:val="28"/>
          <w:szCs w:val="28"/>
        </w:rPr>
        <w:t xml:space="preserve"> </w:t>
      </w:r>
      <w:r>
        <w:rPr>
          <w:rFonts w:cstheme="minorHAnsi"/>
        </w:rPr>
        <w:t>BOE de 7 de enero de 2005</w:t>
      </w:r>
    </w:p>
  </w:footnote>
  <w:footnote w:id="67">
    <w:p w14:paraId="2C84DA9C" w14:textId="77777777" w:rsidR="00DC4029" w:rsidRDefault="00DC4029" w:rsidP="00DC4029">
      <w:pPr>
        <w:pStyle w:val="Textonotapie"/>
        <w:jc w:val="both"/>
      </w:pPr>
      <w:r>
        <w:rPr>
          <w:rStyle w:val="Refdenotaalpie"/>
        </w:rPr>
        <w:footnoteRef/>
      </w:r>
      <w:r>
        <w:t xml:space="preserve"> Esta disposición </w:t>
      </w:r>
      <w:r w:rsidRPr="00DA52EA">
        <w:rPr>
          <w:rFonts w:cstheme="minorHAnsi"/>
          <w:color w:val="000000"/>
        </w:rPr>
        <w:t>había servido</w:t>
      </w:r>
      <w:r>
        <w:rPr>
          <w:rFonts w:cstheme="minorHAnsi"/>
          <w:color w:val="000000"/>
        </w:rPr>
        <w:t xml:space="preserve"> de soporte</w:t>
      </w:r>
      <w:r w:rsidRPr="00DA52EA">
        <w:rPr>
          <w:rFonts w:cstheme="minorHAnsi"/>
          <w:color w:val="000000"/>
        </w:rPr>
        <w:t xml:space="preserve"> para llevar a cabo el VII proceso extraordinario de regularización</w:t>
      </w:r>
    </w:p>
  </w:footnote>
  <w:footnote w:id="68">
    <w:p w14:paraId="7FC3611E" w14:textId="77777777" w:rsidR="00DC4029" w:rsidRDefault="00DC4029" w:rsidP="00DC4029">
      <w:pPr>
        <w:pStyle w:val="Textonotapie"/>
        <w:jc w:val="both"/>
      </w:pPr>
      <w:r>
        <w:rPr>
          <w:rStyle w:val="Refdenotaalpie"/>
        </w:rPr>
        <w:footnoteRef/>
      </w:r>
      <w:r>
        <w:t xml:space="preserve"> </w:t>
      </w:r>
      <w:bookmarkStart w:id="7" w:name="_Hlk113472496"/>
      <w:r w:rsidRPr="00435ECF">
        <w:rPr>
          <w:rFonts w:cstheme="minorHAnsi"/>
        </w:rPr>
        <w:t>La primera regulación de la figura del arraigo laboral se halla en la Instrucción de la Dirección General de Migraciones de 3 de agosto de 2005, sobre autorizaciones de residencia temporal por arraigo laboral (Portal de la Inmigración), actualizada por la Instrucción SEM 1/2001, de 8.6.2021, sobre el procedimiento relativo a la residencia temporal por arraigo.</w:t>
      </w:r>
    </w:p>
    <w:bookmarkEnd w:id="7"/>
  </w:footnote>
  <w:footnote w:id="69">
    <w:p w14:paraId="0571C2EC" w14:textId="77777777" w:rsidR="00DC4029" w:rsidRDefault="00DC4029" w:rsidP="00DC4029">
      <w:pPr>
        <w:shd w:val="clear" w:color="auto" w:fill="FFFFFF"/>
        <w:spacing w:after="0" w:line="240" w:lineRule="auto"/>
        <w:jc w:val="both"/>
      </w:pPr>
      <w:r>
        <w:rPr>
          <w:rStyle w:val="Refdenotaalpie"/>
        </w:rPr>
        <w:footnoteRef/>
      </w:r>
      <w:r>
        <w:t xml:space="preserve"> </w:t>
      </w:r>
      <w:bookmarkStart w:id="8" w:name="_Hlk113472517"/>
      <w:r w:rsidRPr="00D82079">
        <w:rPr>
          <w:rFonts w:cstheme="minorHAnsi"/>
          <w:sz w:val="20"/>
          <w:szCs w:val="20"/>
        </w:rPr>
        <w:t>Es de lamentar que la información estadística oficial, a pesar de la existencia de múltiples fuentes, no permita conocer los resultados anuales de las ofertas gestionadas a través del contingente</w:t>
      </w:r>
      <w:r>
        <w:rPr>
          <w:rFonts w:cstheme="minorHAnsi"/>
        </w:rPr>
        <w:t>.</w:t>
      </w:r>
      <w:r w:rsidRPr="00394CA4">
        <w:rPr>
          <w:rFonts w:cstheme="minorHAnsi"/>
          <w:sz w:val="20"/>
          <w:szCs w:val="20"/>
        </w:rPr>
        <w:t xml:space="preserve"> Los Anuarios estadísticos de Inmigración desde 1996 hasta 2009, elaborados por el Observatorio Permanente de la Inmigración</w:t>
      </w:r>
      <w:r>
        <w:rPr>
          <w:rFonts w:cstheme="minorHAnsi"/>
          <w:sz w:val="20"/>
          <w:szCs w:val="20"/>
        </w:rPr>
        <w:t xml:space="preserve"> desde 1996 hasta 2009 no contienen datos desglosados </w:t>
      </w:r>
      <w:r w:rsidRPr="00C45870">
        <w:rPr>
          <w:rFonts w:cstheme="minorHAnsi"/>
          <w:sz w:val="20"/>
          <w:szCs w:val="20"/>
        </w:rPr>
        <w:t>del número de permisos o autorizaciones de trabajo concedidos al amparo del contingente</w:t>
      </w:r>
      <w:bookmarkEnd w:id="8"/>
    </w:p>
  </w:footnote>
  <w:footnote w:id="70">
    <w:p w14:paraId="522FA426" w14:textId="39BF314D" w:rsidR="00211292" w:rsidRDefault="00211292" w:rsidP="00211292">
      <w:pPr>
        <w:pStyle w:val="Textonotapie"/>
      </w:pPr>
      <w:r>
        <w:rPr>
          <w:rStyle w:val="Refdenotaalpie"/>
        </w:rPr>
        <w:footnoteRef/>
      </w:r>
      <w:r>
        <w:t xml:space="preserve"> Aprobado por el RD 577/2011, de 20 de abril, BOE del 30</w:t>
      </w:r>
    </w:p>
  </w:footnote>
  <w:footnote w:id="71">
    <w:p w14:paraId="0A9EC2A5" w14:textId="201860D2" w:rsidR="00765AF1" w:rsidRDefault="00765AF1">
      <w:pPr>
        <w:pStyle w:val="Textonotapie"/>
      </w:pPr>
      <w:r>
        <w:rPr>
          <w:rStyle w:val="Refdenotaalpie"/>
        </w:rPr>
        <w:footnoteRef/>
      </w:r>
      <w:r>
        <w:t xml:space="preserve"> RD-</w:t>
      </w:r>
      <w:r w:rsidR="00A26D9B">
        <w:t>l</w:t>
      </w:r>
      <w:r>
        <w:t xml:space="preserve"> 16/2012</w:t>
      </w:r>
      <w:r w:rsidR="00A26D9B">
        <w:t>, de 20 de abril, BOE del 24</w:t>
      </w:r>
    </w:p>
  </w:footnote>
  <w:footnote w:id="72">
    <w:p w14:paraId="419547E3" w14:textId="77777777" w:rsidR="00211292" w:rsidRDefault="00211292" w:rsidP="00211292">
      <w:pPr>
        <w:pStyle w:val="Textonotapie"/>
      </w:pPr>
      <w:r w:rsidRPr="00D634C1">
        <w:rPr>
          <w:rStyle w:val="Refdenotaalpie"/>
        </w:rPr>
        <w:footnoteRef/>
      </w:r>
      <w:r w:rsidRPr="00D634C1">
        <w:t xml:space="preserve"> Art, 3º ter</w:t>
      </w:r>
      <w:r>
        <w:t xml:space="preserve"> del RD-l 7/2018, de 27 de julio BOE del 30</w:t>
      </w:r>
    </w:p>
  </w:footnote>
  <w:footnote w:id="73">
    <w:p w14:paraId="2572260C" w14:textId="6FF0855F" w:rsidR="0053301C" w:rsidRPr="005F37F5" w:rsidRDefault="0053301C" w:rsidP="0053301C">
      <w:pPr>
        <w:pStyle w:val="parrafo2"/>
        <w:shd w:val="clear" w:color="auto" w:fill="FFFFFF"/>
        <w:spacing w:before="0" w:beforeAutospacing="0" w:after="0" w:afterAutospacing="0"/>
        <w:jc w:val="both"/>
        <w:rPr>
          <w:rFonts w:asciiTheme="minorHAnsi" w:hAnsiTheme="minorHAnsi" w:cstheme="minorHAnsi"/>
          <w:sz w:val="20"/>
          <w:szCs w:val="20"/>
        </w:rPr>
      </w:pPr>
      <w:r w:rsidRPr="005F37F5">
        <w:rPr>
          <w:rStyle w:val="Refdenotaalpie"/>
          <w:rFonts w:asciiTheme="minorHAnsi" w:hAnsiTheme="minorHAnsi" w:cstheme="minorHAnsi"/>
          <w:sz w:val="20"/>
          <w:szCs w:val="20"/>
        </w:rPr>
        <w:footnoteRef/>
      </w:r>
      <w:r w:rsidRPr="005F37F5">
        <w:rPr>
          <w:rFonts w:asciiTheme="minorHAnsi" w:hAnsiTheme="minorHAnsi" w:cstheme="minorHAnsi"/>
          <w:sz w:val="20"/>
          <w:szCs w:val="20"/>
        </w:rPr>
        <w:t xml:space="preserve"> Art.9 1 y 2. a) del </w:t>
      </w:r>
      <w:r w:rsidRPr="005F37F5">
        <w:rPr>
          <w:rFonts w:asciiTheme="minorHAnsi" w:hAnsiTheme="minorHAnsi" w:cstheme="minorHAnsi"/>
          <w:color w:val="000000"/>
          <w:sz w:val="20"/>
          <w:szCs w:val="20"/>
        </w:rPr>
        <w:t xml:space="preserve">Real Decreto 355/2018, de 6 de junio, por el que se reestructuran los departamentos ministeriales. BOE del 7 </w:t>
      </w:r>
    </w:p>
  </w:footnote>
  <w:footnote w:id="74">
    <w:p w14:paraId="234FF803" w14:textId="77777777" w:rsidR="00474436" w:rsidRPr="005F37F5" w:rsidRDefault="00474436" w:rsidP="00474436">
      <w:pPr>
        <w:shd w:val="clear" w:color="auto" w:fill="FFFFFF"/>
        <w:spacing w:after="0" w:line="240" w:lineRule="auto"/>
        <w:jc w:val="both"/>
        <w:rPr>
          <w:rFonts w:cstheme="minorHAnsi"/>
          <w:sz w:val="20"/>
          <w:szCs w:val="20"/>
        </w:rPr>
      </w:pPr>
      <w:r w:rsidRPr="005F37F5">
        <w:rPr>
          <w:rStyle w:val="Refdenotaalpie"/>
          <w:rFonts w:cstheme="minorHAnsi"/>
          <w:sz w:val="20"/>
          <w:szCs w:val="20"/>
        </w:rPr>
        <w:footnoteRef/>
      </w:r>
      <w:r w:rsidRPr="005F37F5">
        <w:rPr>
          <w:rFonts w:cstheme="minorHAnsi"/>
          <w:sz w:val="20"/>
          <w:szCs w:val="20"/>
        </w:rPr>
        <w:t xml:space="preserve"> Exposición de Motivos del </w:t>
      </w:r>
      <w:r w:rsidRPr="005F37F5">
        <w:rPr>
          <w:rFonts w:cstheme="minorHAnsi"/>
          <w:color w:val="000000"/>
          <w:sz w:val="20"/>
          <w:szCs w:val="20"/>
        </w:rPr>
        <w:t>Real Decreto 1823/2011, de 21 de diciembre, por el que se reestructuran los departamentos ministeriales. BOE del 22</w:t>
      </w:r>
    </w:p>
  </w:footnote>
  <w:footnote w:id="75">
    <w:p w14:paraId="0239CED0" w14:textId="77777777" w:rsidR="00474436" w:rsidRDefault="00474436" w:rsidP="00474436">
      <w:pPr>
        <w:pStyle w:val="parrafo2"/>
        <w:shd w:val="clear" w:color="auto" w:fill="FFFFFF"/>
        <w:spacing w:before="0" w:beforeAutospacing="0" w:after="0" w:afterAutospacing="0"/>
        <w:jc w:val="both"/>
      </w:pPr>
      <w:r>
        <w:rPr>
          <w:rStyle w:val="Refdenotaalpie"/>
          <w:rFonts w:eastAsiaTheme="majorEastAsia"/>
        </w:rPr>
        <w:footnoteRef/>
      </w:r>
      <w:r>
        <w:t xml:space="preserve"> </w:t>
      </w:r>
      <w:r w:rsidRPr="003F32F0">
        <w:rPr>
          <w:sz w:val="20"/>
          <w:szCs w:val="20"/>
        </w:rPr>
        <w:t>Art.9</w:t>
      </w:r>
      <w:r>
        <w:rPr>
          <w:sz w:val="20"/>
          <w:szCs w:val="20"/>
        </w:rPr>
        <w:t xml:space="preserve"> 1 y 2. a) </w:t>
      </w:r>
      <w:r w:rsidRPr="003F32F0">
        <w:rPr>
          <w:sz w:val="20"/>
          <w:szCs w:val="20"/>
        </w:rPr>
        <w:t>del</w:t>
      </w:r>
      <w:r>
        <w:t xml:space="preserve"> </w:t>
      </w:r>
      <w:r w:rsidRPr="003F32F0">
        <w:rPr>
          <w:rFonts w:asciiTheme="minorHAnsi" w:hAnsiTheme="minorHAnsi" w:cstheme="minorHAnsi"/>
          <w:color w:val="000000"/>
          <w:sz w:val="20"/>
          <w:szCs w:val="20"/>
        </w:rPr>
        <w:t>Real Decreto 355/2018, de 6 de junio, por el que se reestructuran los departamentos ministeriales. BOE del 7</w:t>
      </w:r>
    </w:p>
  </w:footnote>
  <w:footnote w:id="76">
    <w:p w14:paraId="7EBFA167" w14:textId="77777777" w:rsidR="00474436" w:rsidRDefault="00474436" w:rsidP="00474436">
      <w:pPr>
        <w:pStyle w:val="parrafo2"/>
        <w:shd w:val="clear" w:color="auto" w:fill="FFFFFF"/>
        <w:spacing w:before="0" w:beforeAutospacing="0" w:after="0" w:afterAutospacing="0"/>
        <w:jc w:val="both"/>
      </w:pPr>
      <w:r w:rsidRPr="00F5155E">
        <w:rPr>
          <w:rStyle w:val="Refdenotaalpie"/>
          <w:rFonts w:asciiTheme="minorHAnsi" w:eastAsiaTheme="majorEastAsia" w:hAnsiTheme="minorHAnsi" w:cstheme="minorHAnsi"/>
          <w:sz w:val="20"/>
          <w:szCs w:val="20"/>
        </w:rPr>
        <w:footnoteRef/>
      </w:r>
      <w:r w:rsidRPr="00F5155E">
        <w:rPr>
          <w:rFonts w:asciiTheme="minorHAnsi" w:hAnsiTheme="minorHAnsi" w:cstheme="minorHAnsi"/>
          <w:sz w:val="20"/>
          <w:szCs w:val="20"/>
        </w:rPr>
        <w:t xml:space="preserve"> Art. 8.1.A) del</w:t>
      </w:r>
      <w:r w:rsidRPr="00F5155E">
        <w:rPr>
          <w:rFonts w:asciiTheme="minorHAnsi" w:hAnsiTheme="minorHAnsi" w:cstheme="minorHAnsi"/>
          <w:color w:val="000000"/>
          <w:sz w:val="20"/>
          <w:szCs w:val="20"/>
        </w:rPr>
        <w:t xml:space="preserve"> Real Decreto 595/2018, de 22 de junio, por el que se establece la estructura orgánica básica de los departamentos ministeriales</w:t>
      </w:r>
      <w:r>
        <w:rPr>
          <w:rFonts w:asciiTheme="minorHAnsi" w:hAnsiTheme="minorHAnsi" w:cstheme="minorHAnsi"/>
          <w:color w:val="000000"/>
          <w:sz w:val="28"/>
          <w:szCs w:val="28"/>
        </w:rPr>
        <w:t xml:space="preserve">. </w:t>
      </w:r>
      <w:r>
        <w:rPr>
          <w:rFonts w:asciiTheme="minorHAnsi" w:hAnsiTheme="minorHAnsi" w:cstheme="minorHAnsi"/>
          <w:color w:val="000000"/>
          <w:sz w:val="20"/>
          <w:szCs w:val="20"/>
        </w:rPr>
        <w:t>BOE del 23</w:t>
      </w:r>
    </w:p>
  </w:footnote>
  <w:footnote w:id="77">
    <w:p w14:paraId="2DA3A3C1" w14:textId="77777777" w:rsidR="00827C9F" w:rsidRDefault="00827C9F" w:rsidP="00827C9F">
      <w:pPr>
        <w:pStyle w:val="Textonotapie"/>
      </w:pPr>
      <w:r>
        <w:rPr>
          <w:rStyle w:val="Refdenotaalpie"/>
        </w:rPr>
        <w:footnoteRef/>
      </w:r>
      <w:r>
        <w:t xml:space="preserve"> Art. 22 del RD 2/2020, de 12 de enero BOE nº 11, del 13 </w:t>
      </w:r>
    </w:p>
  </w:footnote>
  <w:footnote w:id="78">
    <w:p w14:paraId="79CDF77B" w14:textId="77777777" w:rsidR="00827C9F" w:rsidRDefault="00827C9F" w:rsidP="00827C9F">
      <w:pPr>
        <w:pStyle w:val="Textonotapie"/>
      </w:pPr>
      <w:r>
        <w:rPr>
          <w:rStyle w:val="Refdenotaalpie"/>
        </w:rPr>
        <w:footnoteRef/>
      </w:r>
      <w:r>
        <w:t xml:space="preserve"> Arts. 6 y del RD 487/2020, de 28 de abril BOE de 1 de mayo</w:t>
      </w:r>
    </w:p>
  </w:footnote>
  <w:footnote w:id="79">
    <w:p w14:paraId="6FB5C718" w14:textId="77777777" w:rsidR="00597B69" w:rsidRDefault="00597B69" w:rsidP="00597B69">
      <w:pPr>
        <w:shd w:val="clear" w:color="auto" w:fill="FFFFFF"/>
        <w:spacing w:after="0" w:line="240" w:lineRule="auto"/>
        <w:jc w:val="both"/>
      </w:pPr>
      <w:r>
        <w:rPr>
          <w:rStyle w:val="Refdenotaalpie"/>
        </w:rPr>
        <w:footnoteRef/>
      </w:r>
      <w:r>
        <w:t xml:space="preserve"> </w:t>
      </w:r>
      <w:r w:rsidRPr="00F00582">
        <w:rPr>
          <w:rFonts w:cstheme="minorHAnsi"/>
          <w:color w:val="000000"/>
          <w:sz w:val="20"/>
          <w:szCs w:val="20"/>
        </w:rPr>
        <w:t>Orden TIN/3498/2009, de 23 de diciembre, por la que se regula la gestión colectiva de contrataciones en origen para 2010.</w:t>
      </w:r>
      <w:r w:rsidRPr="003162A1">
        <w:rPr>
          <w:rFonts w:cstheme="minorHAnsi"/>
          <w:color w:val="000000"/>
          <w:sz w:val="20"/>
          <w:szCs w:val="20"/>
        </w:rPr>
        <w:t xml:space="preserve"> BOE del 3</w:t>
      </w:r>
      <w:r>
        <w:rPr>
          <w:rFonts w:cstheme="minorHAnsi"/>
          <w:color w:val="000000"/>
          <w:sz w:val="20"/>
          <w:szCs w:val="20"/>
        </w:rPr>
        <w:t>0</w:t>
      </w:r>
    </w:p>
  </w:footnote>
  <w:footnote w:id="80">
    <w:p w14:paraId="2BA3DC48" w14:textId="77777777" w:rsidR="00597B69" w:rsidRDefault="00597B69" w:rsidP="00597B69">
      <w:pPr>
        <w:shd w:val="clear" w:color="auto" w:fill="FFFFFF"/>
        <w:spacing w:after="0" w:line="240" w:lineRule="auto"/>
        <w:jc w:val="both"/>
      </w:pPr>
      <w:r>
        <w:rPr>
          <w:rStyle w:val="Refdenotaalpie"/>
        </w:rPr>
        <w:footnoteRef/>
      </w:r>
      <w:r>
        <w:t xml:space="preserve"> </w:t>
      </w:r>
      <w:r w:rsidRPr="00AA0BD2">
        <w:rPr>
          <w:rFonts w:cstheme="minorHAnsi"/>
          <w:color w:val="000000"/>
          <w:sz w:val="20"/>
          <w:szCs w:val="20"/>
        </w:rPr>
        <w:t>Orden TIN/3364/2010, de 28 de diciembre, por la que se regula la gestión colectiva de contrataciones en origen para 2011</w:t>
      </w:r>
      <w:r>
        <w:rPr>
          <w:rFonts w:cstheme="minorHAnsi"/>
          <w:color w:val="000000"/>
          <w:sz w:val="20"/>
          <w:szCs w:val="20"/>
        </w:rPr>
        <w:t xml:space="preserve"> BOE del 30.</w:t>
      </w:r>
    </w:p>
  </w:footnote>
  <w:footnote w:id="81">
    <w:p w14:paraId="45F51744" w14:textId="77777777" w:rsidR="00632148" w:rsidRDefault="00632148" w:rsidP="00632148">
      <w:pPr>
        <w:pStyle w:val="parrafo"/>
        <w:shd w:val="clear" w:color="auto" w:fill="FFFFFF"/>
        <w:spacing w:before="0" w:beforeAutospacing="0" w:after="0" w:afterAutospacing="0"/>
        <w:jc w:val="both"/>
      </w:pPr>
      <w:r w:rsidRPr="00167356">
        <w:rPr>
          <w:rStyle w:val="Refdenotaalpie"/>
          <w:rFonts w:asciiTheme="minorHAnsi" w:hAnsiTheme="minorHAnsi" w:cstheme="minorHAnsi"/>
          <w:sz w:val="20"/>
          <w:szCs w:val="20"/>
        </w:rPr>
        <w:footnoteRef/>
      </w:r>
      <w:r w:rsidRPr="00167356">
        <w:rPr>
          <w:rFonts w:asciiTheme="minorHAnsi" w:hAnsiTheme="minorHAnsi" w:cstheme="minorHAnsi"/>
          <w:sz w:val="20"/>
          <w:szCs w:val="20"/>
        </w:rPr>
        <w:t xml:space="preserve"> La O. ESS/1/2012, de 5 de enero, fue </w:t>
      </w:r>
      <w:r w:rsidRPr="00167356">
        <w:rPr>
          <w:rFonts w:asciiTheme="minorHAnsi" w:hAnsiTheme="minorHAnsi" w:cstheme="minorHAnsi"/>
          <w:color w:val="000000"/>
          <w:sz w:val="20"/>
          <w:szCs w:val="20"/>
        </w:rPr>
        <w:t>prorrogada para 2013 por la O</w:t>
      </w:r>
      <w:r>
        <w:rPr>
          <w:rFonts w:asciiTheme="minorHAnsi" w:hAnsiTheme="minorHAnsi" w:cstheme="minorHAnsi"/>
          <w:color w:val="000000"/>
          <w:sz w:val="20"/>
          <w:szCs w:val="20"/>
        </w:rPr>
        <w:t xml:space="preserve">. </w:t>
      </w:r>
      <w:r w:rsidRPr="00167356">
        <w:rPr>
          <w:rFonts w:asciiTheme="minorHAnsi" w:hAnsiTheme="minorHAnsi" w:cstheme="minorHAnsi"/>
          <w:color w:val="000000"/>
          <w:sz w:val="20"/>
          <w:szCs w:val="20"/>
        </w:rPr>
        <w:t>ESS/2825/2012, de 27 de diciembre; para 2014 fue prorrogada por la O</w:t>
      </w:r>
      <w:r>
        <w:rPr>
          <w:rFonts w:asciiTheme="minorHAnsi" w:hAnsiTheme="minorHAnsi" w:cstheme="minorHAnsi"/>
          <w:color w:val="000000"/>
          <w:sz w:val="20"/>
          <w:szCs w:val="20"/>
        </w:rPr>
        <w:t>.</w:t>
      </w:r>
      <w:r w:rsidRPr="00167356">
        <w:rPr>
          <w:rFonts w:asciiTheme="minorHAnsi" w:hAnsiTheme="minorHAnsi" w:cstheme="minorHAnsi"/>
          <w:color w:val="000000"/>
          <w:sz w:val="20"/>
          <w:szCs w:val="20"/>
        </w:rPr>
        <w:t xml:space="preserve"> ESS/2445/2013, de 23 de diciembre; </w:t>
      </w:r>
      <w:r>
        <w:rPr>
          <w:rFonts w:asciiTheme="minorHAnsi" w:hAnsiTheme="minorHAnsi" w:cstheme="minorHAnsi"/>
          <w:color w:val="000000"/>
          <w:sz w:val="20"/>
          <w:szCs w:val="20"/>
        </w:rPr>
        <w:t xml:space="preserve">para </w:t>
      </w:r>
      <w:r w:rsidRPr="00167356">
        <w:rPr>
          <w:rFonts w:asciiTheme="minorHAnsi" w:hAnsiTheme="minorHAnsi" w:cstheme="minorHAnsi"/>
          <w:color w:val="000000"/>
          <w:sz w:val="20"/>
          <w:szCs w:val="20"/>
        </w:rPr>
        <w:t>2015</w:t>
      </w:r>
      <w:r>
        <w:rPr>
          <w:rFonts w:asciiTheme="minorHAnsi" w:hAnsiTheme="minorHAnsi" w:cstheme="minorHAnsi"/>
          <w:color w:val="000000"/>
          <w:sz w:val="20"/>
          <w:szCs w:val="20"/>
        </w:rPr>
        <w:t>,</w:t>
      </w:r>
      <w:r w:rsidRPr="00167356">
        <w:rPr>
          <w:rFonts w:asciiTheme="minorHAnsi" w:hAnsiTheme="minorHAnsi" w:cstheme="minorHAnsi"/>
          <w:color w:val="000000"/>
          <w:sz w:val="20"/>
          <w:szCs w:val="20"/>
        </w:rPr>
        <w:t xml:space="preserve"> por la O</w:t>
      </w:r>
      <w:r>
        <w:rPr>
          <w:rFonts w:asciiTheme="minorHAnsi" w:hAnsiTheme="minorHAnsi" w:cstheme="minorHAnsi"/>
          <w:color w:val="000000"/>
          <w:sz w:val="20"/>
          <w:szCs w:val="20"/>
        </w:rPr>
        <w:t>.</w:t>
      </w:r>
      <w:r w:rsidRPr="00167356">
        <w:rPr>
          <w:rFonts w:asciiTheme="minorHAnsi" w:hAnsiTheme="minorHAnsi" w:cstheme="minorHAnsi"/>
          <w:color w:val="000000"/>
          <w:sz w:val="20"/>
          <w:szCs w:val="20"/>
        </w:rPr>
        <w:t xml:space="preserve"> ESS/2505/2014, de 29 de diciembre; </w:t>
      </w:r>
      <w:r>
        <w:rPr>
          <w:rFonts w:asciiTheme="minorHAnsi" w:hAnsiTheme="minorHAnsi" w:cstheme="minorHAnsi"/>
          <w:color w:val="000000"/>
          <w:sz w:val="20"/>
          <w:szCs w:val="20"/>
        </w:rPr>
        <w:t xml:space="preserve">para </w:t>
      </w:r>
      <w:r w:rsidRPr="00167356">
        <w:rPr>
          <w:rFonts w:asciiTheme="minorHAnsi" w:hAnsiTheme="minorHAnsi" w:cstheme="minorHAnsi"/>
          <w:color w:val="000000"/>
          <w:sz w:val="20"/>
          <w:szCs w:val="20"/>
        </w:rPr>
        <w:t>2016</w:t>
      </w:r>
      <w:r>
        <w:rPr>
          <w:rFonts w:asciiTheme="minorHAnsi" w:hAnsiTheme="minorHAnsi" w:cstheme="minorHAnsi"/>
          <w:color w:val="000000"/>
          <w:sz w:val="20"/>
          <w:szCs w:val="20"/>
        </w:rPr>
        <w:t>,</w:t>
      </w:r>
      <w:r w:rsidRPr="00167356">
        <w:rPr>
          <w:rFonts w:asciiTheme="minorHAnsi" w:hAnsiTheme="minorHAnsi" w:cstheme="minorHAnsi"/>
          <w:color w:val="000000"/>
          <w:sz w:val="20"/>
          <w:szCs w:val="20"/>
        </w:rPr>
        <w:t xml:space="preserve"> por la </w:t>
      </w:r>
      <w:r>
        <w:rPr>
          <w:rFonts w:asciiTheme="minorHAnsi" w:hAnsiTheme="minorHAnsi" w:cstheme="minorHAnsi"/>
          <w:color w:val="000000"/>
          <w:sz w:val="20"/>
          <w:szCs w:val="20"/>
        </w:rPr>
        <w:t>O.</w:t>
      </w:r>
      <w:r w:rsidRPr="00167356">
        <w:rPr>
          <w:rFonts w:asciiTheme="minorHAnsi" w:hAnsiTheme="minorHAnsi" w:cstheme="minorHAnsi"/>
          <w:color w:val="000000"/>
          <w:sz w:val="20"/>
          <w:szCs w:val="20"/>
        </w:rPr>
        <w:t xml:space="preserve"> ESS/2811/2015, de 22 de diciembre</w:t>
      </w:r>
      <w:r>
        <w:rPr>
          <w:rFonts w:asciiTheme="minorHAnsi" w:hAnsiTheme="minorHAnsi" w:cstheme="minorHAnsi"/>
          <w:color w:val="000000"/>
          <w:sz w:val="20"/>
          <w:szCs w:val="20"/>
        </w:rPr>
        <w:t xml:space="preserve">; </w:t>
      </w:r>
      <w:r w:rsidRPr="00167356">
        <w:rPr>
          <w:rFonts w:asciiTheme="minorHAnsi" w:hAnsiTheme="minorHAnsi" w:cstheme="minorHAnsi"/>
          <w:color w:val="000000"/>
          <w:sz w:val="20"/>
          <w:szCs w:val="20"/>
        </w:rPr>
        <w:t>para 2017 por la O</w:t>
      </w:r>
      <w:r>
        <w:rPr>
          <w:rFonts w:asciiTheme="minorHAnsi" w:hAnsiTheme="minorHAnsi" w:cstheme="minorHAnsi"/>
          <w:color w:val="000000"/>
          <w:sz w:val="20"/>
          <w:szCs w:val="20"/>
        </w:rPr>
        <w:t>.</w:t>
      </w:r>
      <w:r w:rsidRPr="00167356">
        <w:rPr>
          <w:rFonts w:asciiTheme="minorHAnsi" w:hAnsiTheme="minorHAnsi" w:cstheme="minorHAnsi"/>
          <w:color w:val="000000"/>
          <w:sz w:val="20"/>
          <w:szCs w:val="20"/>
        </w:rPr>
        <w:t xml:space="preserve"> ESS/1975/2016, de 27 de diciembre</w:t>
      </w:r>
      <w:r>
        <w:rPr>
          <w:rFonts w:asciiTheme="minorHAnsi" w:hAnsiTheme="minorHAnsi" w:cstheme="minorHAnsi"/>
          <w:color w:val="000000"/>
          <w:sz w:val="20"/>
          <w:szCs w:val="20"/>
        </w:rPr>
        <w:t xml:space="preserve"> y la O. ESS/1309/2018, de 28 de diciembre.</w:t>
      </w:r>
    </w:p>
  </w:footnote>
  <w:footnote w:id="82">
    <w:p w14:paraId="667A2768" w14:textId="77777777" w:rsidR="00632148" w:rsidRDefault="00632148" w:rsidP="00632148">
      <w:pPr>
        <w:pStyle w:val="Textonotapie"/>
        <w:jc w:val="both"/>
      </w:pPr>
      <w:r>
        <w:rPr>
          <w:rStyle w:val="Refdenotaalpie"/>
        </w:rPr>
        <w:footnoteRef/>
      </w:r>
      <w:r>
        <w:t xml:space="preserve"> La fórmula “</w:t>
      </w:r>
      <w:r w:rsidRPr="009A7AE4">
        <w:rPr>
          <w:b/>
          <w:bCs/>
          <w:u w:val="single"/>
        </w:rPr>
        <w:t>hijo y nieto</w:t>
      </w:r>
      <w:r>
        <w:t xml:space="preserve"> de español de origen” se reitera desde el Reglamento de 2004, sin embargo, en mi opinión, resulta excesivamente restrictiva, ya que se exige el requisito durante dos generaciones -abuelos y padres- dado que se produce en un contexto favorable a su admisión, por lo que debiere interpretarse en el sentido de “</w:t>
      </w:r>
      <w:r w:rsidRPr="009A1C28">
        <w:rPr>
          <w:b/>
          <w:bCs/>
          <w:u w:val="single"/>
        </w:rPr>
        <w:t>hijo o nieto</w:t>
      </w:r>
      <w:r>
        <w:t xml:space="preserve"> de español o de español de origen, requisito este “de origen” que supone una nueva restricción”</w:t>
      </w:r>
    </w:p>
  </w:footnote>
  <w:footnote w:id="83">
    <w:p w14:paraId="07D076D0" w14:textId="77777777" w:rsidR="00F839E6" w:rsidRDefault="00F839E6" w:rsidP="00F839E6">
      <w:pPr>
        <w:pStyle w:val="Textonotapie"/>
      </w:pPr>
      <w:r>
        <w:rPr>
          <w:rStyle w:val="Refdenotaalpie"/>
        </w:rPr>
        <w:footnoteRef/>
      </w:r>
      <w:r>
        <w:t xml:space="preserve"> BOE del 31</w:t>
      </w:r>
    </w:p>
  </w:footnote>
  <w:footnote w:id="84">
    <w:p w14:paraId="63C99917" w14:textId="77777777" w:rsidR="00F72F80" w:rsidRDefault="00F72F80" w:rsidP="00F72F80">
      <w:pPr>
        <w:pStyle w:val="Textonotapie"/>
        <w:jc w:val="both"/>
      </w:pPr>
      <w:r>
        <w:rPr>
          <w:rStyle w:val="Refdenotaalpie"/>
        </w:rPr>
        <w:footnoteRef/>
      </w:r>
      <w:r>
        <w:t xml:space="preserve"> RD 2/2020, de 12 de enero, por el que se reestructuran los departamentos ministeriales BOE del 13</w:t>
      </w:r>
    </w:p>
  </w:footnote>
  <w:footnote w:id="85">
    <w:p w14:paraId="6905BDE7" w14:textId="77777777" w:rsidR="001559B0" w:rsidRDefault="001559B0" w:rsidP="001559B0">
      <w:pPr>
        <w:pStyle w:val="Textonotapie"/>
      </w:pPr>
      <w:r>
        <w:rPr>
          <w:rStyle w:val="Refdenotaalpie"/>
        </w:rPr>
        <w:footnoteRef/>
      </w:r>
      <w:r>
        <w:t xml:space="preserve"> BOE del 31</w:t>
      </w:r>
    </w:p>
  </w:footnote>
  <w:footnote w:id="86">
    <w:p w14:paraId="1C53428D" w14:textId="77777777" w:rsidR="001559B0" w:rsidRDefault="001559B0" w:rsidP="001559B0">
      <w:pPr>
        <w:pStyle w:val="Textonotapie"/>
      </w:pPr>
      <w:r>
        <w:rPr>
          <w:rStyle w:val="Refdenotaalpie"/>
        </w:rPr>
        <w:footnoteRef/>
      </w:r>
      <w:r>
        <w:t xml:space="preserve"> BOE del 30</w:t>
      </w:r>
    </w:p>
  </w:footnote>
  <w:footnote w:id="87">
    <w:p w14:paraId="6B19184D" w14:textId="77777777" w:rsidR="00873E2A" w:rsidRDefault="00873E2A" w:rsidP="00873E2A">
      <w:pPr>
        <w:pStyle w:val="Textonotapie"/>
      </w:pPr>
      <w:r>
        <w:rPr>
          <w:rStyle w:val="Refdenotaalpie"/>
        </w:rPr>
        <w:footnoteRef/>
      </w:r>
      <w:r>
        <w:t xml:space="preserve"> El Consejo de Estado destaca en su informe RD 629/2022, la contradicción entre ser Departamento proponente de la norma y oponerse al contenido de la misma.</w:t>
      </w:r>
    </w:p>
  </w:footnote>
  <w:footnote w:id="88">
    <w:p w14:paraId="6F9160C9" w14:textId="77777777" w:rsidR="001D4AB0" w:rsidRDefault="001D4AB0" w:rsidP="001D4AB0">
      <w:pPr>
        <w:pStyle w:val="Textonotapie"/>
      </w:pPr>
      <w:r>
        <w:rPr>
          <w:rStyle w:val="Refdenotaalpie"/>
        </w:rPr>
        <w:footnoteRef/>
      </w:r>
      <w:r>
        <w:t xml:space="preserve"> BOE del 27</w:t>
      </w:r>
    </w:p>
  </w:footnote>
  <w:footnote w:id="89">
    <w:p w14:paraId="71517086" w14:textId="77777777" w:rsidR="001158BB" w:rsidRDefault="001158BB" w:rsidP="001158BB">
      <w:pPr>
        <w:pStyle w:val="Textonotapie"/>
      </w:pPr>
      <w:r>
        <w:rPr>
          <w:rStyle w:val="Refdenotaalpie"/>
        </w:rPr>
        <w:footnoteRef/>
      </w:r>
      <w:r>
        <w:t xml:space="preserve"> Párrafo 4º del apartado I de la motivación del RD 629/2022</w:t>
      </w:r>
    </w:p>
  </w:footnote>
  <w:footnote w:id="90">
    <w:p w14:paraId="3FECDFE9" w14:textId="77777777" w:rsidR="004342A3" w:rsidRDefault="004342A3" w:rsidP="004342A3">
      <w:pPr>
        <w:pStyle w:val="Textonotapie"/>
      </w:pPr>
      <w:r>
        <w:rPr>
          <w:rStyle w:val="Refdenotaalpie"/>
        </w:rPr>
        <w:footnoteRef/>
      </w:r>
      <w:r>
        <w:t xml:space="preserve"> Ib. párrafo 3º</w:t>
      </w:r>
    </w:p>
  </w:footnote>
  <w:footnote w:id="91">
    <w:p w14:paraId="5BAEC6D2" w14:textId="77777777" w:rsidR="00E10CE4" w:rsidRDefault="00E10CE4" w:rsidP="00E10CE4">
      <w:pPr>
        <w:pStyle w:val="Textonotapie"/>
      </w:pPr>
      <w:r>
        <w:rPr>
          <w:rStyle w:val="Refdenotaalpie"/>
        </w:rPr>
        <w:footnoteRef/>
      </w:r>
      <w:r>
        <w:t xml:space="preserve"> Ib. párrafo 3º</w:t>
      </w:r>
    </w:p>
  </w:footnote>
  <w:footnote w:id="92">
    <w:p w14:paraId="73867959" w14:textId="77777777" w:rsidR="00795E8B" w:rsidRDefault="00795E8B" w:rsidP="00795E8B">
      <w:pPr>
        <w:pStyle w:val="Textonotapie"/>
      </w:pPr>
      <w:r>
        <w:rPr>
          <w:rStyle w:val="Refdenotaalpie"/>
        </w:rPr>
        <w:footnoteRef/>
      </w:r>
      <w:r>
        <w:t xml:space="preserve"> Párrafo 9º “in fine” de la exposición de motivos.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ED78F" w14:textId="77777777" w:rsidR="00625E06" w:rsidRDefault="00625E0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2B802FA0"/>
    <w:lvl w:ilvl="0">
      <w:start w:val="1"/>
      <w:numFmt w:val="bullet"/>
      <w:pStyle w:val="Listaconvietas"/>
      <w:lvlText w:val=""/>
      <w:lvlJc w:val="left"/>
      <w:pPr>
        <w:tabs>
          <w:tab w:val="num" w:pos="76"/>
        </w:tabs>
        <w:ind w:left="76" w:hanging="360"/>
      </w:pPr>
      <w:rPr>
        <w:rFonts w:ascii="Symbol" w:hAnsi="Symbol" w:hint="default"/>
        <w:color w:val="FF0000"/>
      </w:rPr>
    </w:lvl>
  </w:abstractNum>
  <w:abstractNum w:abstractNumId="1" w15:restartNumberingAfterBreak="0">
    <w:nsid w:val="00A32958"/>
    <w:multiLevelType w:val="hybridMultilevel"/>
    <w:tmpl w:val="6AE43A5E"/>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152EDF"/>
    <w:multiLevelType w:val="hybridMultilevel"/>
    <w:tmpl w:val="27985864"/>
    <w:lvl w:ilvl="0" w:tplc="D2988BB6">
      <w:start w:val="15"/>
      <w:numFmt w:val="bullet"/>
      <w:lvlText w:val=""/>
      <w:lvlJc w:val="left"/>
      <w:pPr>
        <w:ind w:left="794" w:hanging="360"/>
      </w:pPr>
      <w:rPr>
        <w:rFonts w:ascii="Symbol" w:eastAsiaTheme="minorHAnsi" w:hAnsi="Symbol" w:cstheme="minorHAnsi" w:hint="default"/>
        <w:i w:val="0"/>
        <w:color w:val="C00000"/>
      </w:rPr>
    </w:lvl>
    <w:lvl w:ilvl="1" w:tplc="0C0A0003" w:tentative="1">
      <w:start w:val="1"/>
      <w:numFmt w:val="bullet"/>
      <w:lvlText w:val="o"/>
      <w:lvlJc w:val="left"/>
      <w:pPr>
        <w:ind w:left="1514" w:hanging="360"/>
      </w:pPr>
      <w:rPr>
        <w:rFonts w:ascii="Courier New" w:hAnsi="Courier New" w:cs="Courier New" w:hint="default"/>
      </w:rPr>
    </w:lvl>
    <w:lvl w:ilvl="2" w:tplc="0C0A0005" w:tentative="1">
      <w:start w:val="1"/>
      <w:numFmt w:val="bullet"/>
      <w:lvlText w:val=""/>
      <w:lvlJc w:val="left"/>
      <w:pPr>
        <w:ind w:left="2234" w:hanging="360"/>
      </w:pPr>
      <w:rPr>
        <w:rFonts w:ascii="Wingdings" w:hAnsi="Wingdings" w:hint="default"/>
      </w:rPr>
    </w:lvl>
    <w:lvl w:ilvl="3" w:tplc="0C0A0001" w:tentative="1">
      <w:start w:val="1"/>
      <w:numFmt w:val="bullet"/>
      <w:lvlText w:val=""/>
      <w:lvlJc w:val="left"/>
      <w:pPr>
        <w:ind w:left="2954" w:hanging="360"/>
      </w:pPr>
      <w:rPr>
        <w:rFonts w:ascii="Symbol" w:hAnsi="Symbol" w:hint="default"/>
      </w:rPr>
    </w:lvl>
    <w:lvl w:ilvl="4" w:tplc="0C0A0003" w:tentative="1">
      <w:start w:val="1"/>
      <w:numFmt w:val="bullet"/>
      <w:lvlText w:val="o"/>
      <w:lvlJc w:val="left"/>
      <w:pPr>
        <w:ind w:left="3674" w:hanging="360"/>
      </w:pPr>
      <w:rPr>
        <w:rFonts w:ascii="Courier New" w:hAnsi="Courier New" w:cs="Courier New" w:hint="default"/>
      </w:rPr>
    </w:lvl>
    <w:lvl w:ilvl="5" w:tplc="0C0A0005" w:tentative="1">
      <w:start w:val="1"/>
      <w:numFmt w:val="bullet"/>
      <w:lvlText w:val=""/>
      <w:lvlJc w:val="left"/>
      <w:pPr>
        <w:ind w:left="4394" w:hanging="360"/>
      </w:pPr>
      <w:rPr>
        <w:rFonts w:ascii="Wingdings" w:hAnsi="Wingdings" w:hint="default"/>
      </w:rPr>
    </w:lvl>
    <w:lvl w:ilvl="6" w:tplc="0C0A0001" w:tentative="1">
      <w:start w:val="1"/>
      <w:numFmt w:val="bullet"/>
      <w:lvlText w:val=""/>
      <w:lvlJc w:val="left"/>
      <w:pPr>
        <w:ind w:left="5114" w:hanging="360"/>
      </w:pPr>
      <w:rPr>
        <w:rFonts w:ascii="Symbol" w:hAnsi="Symbol" w:hint="default"/>
      </w:rPr>
    </w:lvl>
    <w:lvl w:ilvl="7" w:tplc="0C0A0003" w:tentative="1">
      <w:start w:val="1"/>
      <w:numFmt w:val="bullet"/>
      <w:lvlText w:val="o"/>
      <w:lvlJc w:val="left"/>
      <w:pPr>
        <w:ind w:left="5834" w:hanging="360"/>
      </w:pPr>
      <w:rPr>
        <w:rFonts w:ascii="Courier New" w:hAnsi="Courier New" w:cs="Courier New" w:hint="default"/>
      </w:rPr>
    </w:lvl>
    <w:lvl w:ilvl="8" w:tplc="0C0A0005" w:tentative="1">
      <w:start w:val="1"/>
      <w:numFmt w:val="bullet"/>
      <w:lvlText w:val=""/>
      <w:lvlJc w:val="left"/>
      <w:pPr>
        <w:ind w:left="6554" w:hanging="360"/>
      </w:pPr>
      <w:rPr>
        <w:rFonts w:ascii="Wingdings" w:hAnsi="Wingdings" w:hint="default"/>
      </w:rPr>
    </w:lvl>
  </w:abstractNum>
  <w:abstractNum w:abstractNumId="3" w15:restartNumberingAfterBreak="0">
    <w:nsid w:val="0CB37236"/>
    <w:multiLevelType w:val="hybridMultilevel"/>
    <w:tmpl w:val="46861050"/>
    <w:lvl w:ilvl="0" w:tplc="DEEEE55A">
      <w:start w:val="5"/>
      <w:numFmt w:val="bullet"/>
      <w:lvlText w:val=""/>
      <w:lvlJc w:val="left"/>
      <w:pPr>
        <w:ind w:left="434" w:hanging="360"/>
      </w:pPr>
      <w:rPr>
        <w:rFonts w:ascii="Symbol" w:eastAsiaTheme="minorHAnsi" w:hAnsi="Symbol" w:cstheme="minorHAnsi" w:hint="default"/>
        <w:color w:val="C00000"/>
      </w:rPr>
    </w:lvl>
    <w:lvl w:ilvl="1" w:tplc="0C0A0003" w:tentative="1">
      <w:start w:val="1"/>
      <w:numFmt w:val="bullet"/>
      <w:lvlText w:val="o"/>
      <w:lvlJc w:val="left"/>
      <w:pPr>
        <w:ind w:left="1154" w:hanging="360"/>
      </w:pPr>
      <w:rPr>
        <w:rFonts w:ascii="Courier New" w:hAnsi="Courier New" w:cs="Courier New" w:hint="default"/>
      </w:rPr>
    </w:lvl>
    <w:lvl w:ilvl="2" w:tplc="0C0A0005" w:tentative="1">
      <w:start w:val="1"/>
      <w:numFmt w:val="bullet"/>
      <w:lvlText w:val=""/>
      <w:lvlJc w:val="left"/>
      <w:pPr>
        <w:ind w:left="1874" w:hanging="360"/>
      </w:pPr>
      <w:rPr>
        <w:rFonts w:ascii="Wingdings" w:hAnsi="Wingdings" w:hint="default"/>
      </w:rPr>
    </w:lvl>
    <w:lvl w:ilvl="3" w:tplc="0C0A0001" w:tentative="1">
      <w:start w:val="1"/>
      <w:numFmt w:val="bullet"/>
      <w:lvlText w:val=""/>
      <w:lvlJc w:val="left"/>
      <w:pPr>
        <w:ind w:left="2594" w:hanging="360"/>
      </w:pPr>
      <w:rPr>
        <w:rFonts w:ascii="Symbol" w:hAnsi="Symbol" w:hint="default"/>
      </w:rPr>
    </w:lvl>
    <w:lvl w:ilvl="4" w:tplc="0C0A0003" w:tentative="1">
      <w:start w:val="1"/>
      <w:numFmt w:val="bullet"/>
      <w:lvlText w:val="o"/>
      <w:lvlJc w:val="left"/>
      <w:pPr>
        <w:ind w:left="3314" w:hanging="360"/>
      </w:pPr>
      <w:rPr>
        <w:rFonts w:ascii="Courier New" w:hAnsi="Courier New" w:cs="Courier New" w:hint="default"/>
      </w:rPr>
    </w:lvl>
    <w:lvl w:ilvl="5" w:tplc="0C0A0005" w:tentative="1">
      <w:start w:val="1"/>
      <w:numFmt w:val="bullet"/>
      <w:lvlText w:val=""/>
      <w:lvlJc w:val="left"/>
      <w:pPr>
        <w:ind w:left="4034" w:hanging="360"/>
      </w:pPr>
      <w:rPr>
        <w:rFonts w:ascii="Wingdings" w:hAnsi="Wingdings" w:hint="default"/>
      </w:rPr>
    </w:lvl>
    <w:lvl w:ilvl="6" w:tplc="0C0A0001" w:tentative="1">
      <w:start w:val="1"/>
      <w:numFmt w:val="bullet"/>
      <w:lvlText w:val=""/>
      <w:lvlJc w:val="left"/>
      <w:pPr>
        <w:ind w:left="4754" w:hanging="360"/>
      </w:pPr>
      <w:rPr>
        <w:rFonts w:ascii="Symbol" w:hAnsi="Symbol" w:hint="default"/>
      </w:rPr>
    </w:lvl>
    <w:lvl w:ilvl="7" w:tplc="0C0A0003" w:tentative="1">
      <w:start w:val="1"/>
      <w:numFmt w:val="bullet"/>
      <w:lvlText w:val="o"/>
      <w:lvlJc w:val="left"/>
      <w:pPr>
        <w:ind w:left="5474" w:hanging="360"/>
      </w:pPr>
      <w:rPr>
        <w:rFonts w:ascii="Courier New" w:hAnsi="Courier New" w:cs="Courier New" w:hint="default"/>
      </w:rPr>
    </w:lvl>
    <w:lvl w:ilvl="8" w:tplc="0C0A0005" w:tentative="1">
      <w:start w:val="1"/>
      <w:numFmt w:val="bullet"/>
      <w:lvlText w:val=""/>
      <w:lvlJc w:val="left"/>
      <w:pPr>
        <w:ind w:left="6194" w:hanging="360"/>
      </w:pPr>
      <w:rPr>
        <w:rFonts w:ascii="Wingdings" w:hAnsi="Wingdings" w:hint="default"/>
      </w:rPr>
    </w:lvl>
  </w:abstractNum>
  <w:abstractNum w:abstractNumId="4" w15:restartNumberingAfterBreak="0">
    <w:nsid w:val="0ECB2FEC"/>
    <w:multiLevelType w:val="hybridMultilevel"/>
    <w:tmpl w:val="F5F8DEA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8856782"/>
    <w:multiLevelType w:val="hybridMultilevel"/>
    <w:tmpl w:val="6AE43A5E"/>
    <w:lvl w:ilvl="0" w:tplc="0CC4020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D2F53AA"/>
    <w:multiLevelType w:val="hybridMultilevel"/>
    <w:tmpl w:val="623C20F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F7B6BBB"/>
    <w:multiLevelType w:val="hybridMultilevel"/>
    <w:tmpl w:val="9426FE26"/>
    <w:lvl w:ilvl="0" w:tplc="FFFFFFFF">
      <w:numFmt w:val="bullet"/>
      <w:lvlText w:val="-"/>
      <w:lvlJc w:val="left"/>
      <w:pPr>
        <w:ind w:left="360" w:hanging="360"/>
      </w:pPr>
      <w:rPr>
        <w:rFonts w:ascii="Calibri" w:eastAsiaTheme="minorHAnsi" w:hAnsi="Calibri" w:cs="Calibri"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B7D1775"/>
    <w:multiLevelType w:val="hybridMultilevel"/>
    <w:tmpl w:val="03DC6598"/>
    <w:lvl w:ilvl="0" w:tplc="FFFFFFFF">
      <w:start w:val="1"/>
      <w:numFmt w:val="lowerLetter"/>
      <w:lvlText w:val="%1)"/>
      <w:lvlJc w:val="left"/>
      <w:pPr>
        <w:ind w:left="720" w:hanging="360"/>
      </w:pPr>
      <w:rPr>
        <w:rFonts w:eastAsia="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D6C379A"/>
    <w:multiLevelType w:val="hybridMultilevel"/>
    <w:tmpl w:val="3612E130"/>
    <w:lvl w:ilvl="0" w:tplc="6D943158">
      <w:start w:val="1"/>
      <w:numFmt w:val="lowerRoman"/>
      <w:lvlText w:val="%1."/>
      <w:lvlJc w:val="left"/>
      <w:pPr>
        <w:ind w:left="1080" w:hanging="720"/>
      </w:pPr>
      <w:rPr>
        <w:rFonts w:hint="default"/>
        <w:strike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E757ACB"/>
    <w:multiLevelType w:val="hybridMultilevel"/>
    <w:tmpl w:val="623C20F0"/>
    <w:lvl w:ilvl="0" w:tplc="EA6E2F98">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19C5C83"/>
    <w:multiLevelType w:val="hybridMultilevel"/>
    <w:tmpl w:val="623C20F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9390FC2"/>
    <w:multiLevelType w:val="hybridMultilevel"/>
    <w:tmpl w:val="20444138"/>
    <w:lvl w:ilvl="0" w:tplc="29949D82">
      <w:start w:val="1"/>
      <w:numFmt w:val="upperRoman"/>
      <w:lvlText w:val="%1."/>
      <w:lvlJc w:val="left"/>
      <w:pPr>
        <w:ind w:left="1428" w:hanging="720"/>
      </w:pPr>
      <w:rPr>
        <w:rFonts w:hint="default"/>
      </w:r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3" w15:restartNumberingAfterBreak="0">
    <w:nsid w:val="3D53515F"/>
    <w:multiLevelType w:val="hybridMultilevel"/>
    <w:tmpl w:val="6AE43A5E"/>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FDC0E92"/>
    <w:multiLevelType w:val="hybridMultilevel"/>
    <w:tmpl w:val="03DC6598"/>
    <w:lvl w:ilvl="0" w:tplc="FFFFFFFF">
      <w:start w:val="1"/>
      <w:numFmt w:val="lowerLetter"/>
      <w:lvlText w:val="%1)"/>
      <w:lvlJc w:val="left"/>
      <w:pPr>
        <w:ind w:left="720" w:hanging="360"/>
      </w:pPr>
      <w:rPr>
        <w:rFonts w:eastAsia="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20B59F2"/>
    <w:multiLevelType w:val="hybridMultilevel"/>
    <w:tmpl w:val="7BE68398"/>
    <w:lvl w:ilvl="0" w:tplc="09E020B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5B20A8C"/>
    <w:multiLevelType w:val="hybridMultilevel"/>
    <w:tmpl w:val="6AE43A5E"/>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7413927"/>
    <w:multiLevelType w:val="hybridMultilevel"/>
    <w:tmpl w:val="5EEACF28"/>
    <w:lvl w:ilvl="0" w:tplc="C1A80432">
      <w:start w:val="1"/>
      <w:numFmt w:val="upperRoman"/>
      <w:lvlText w:val="%1."/>
      <w:lvlJc w:val="left"/>
      <w:pPr>
        <w:ind w:left="720" w:hanging="360"/>
      </w:pPr>
      <w:rPr>
        <w:rFonts w:hint="default"/>
        <w:strike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8BB75A8"/>
    <w:multiLevelType w:val="hybridMultilevel"/>
    <w:tmpl w:val="071625F0"/>
    <w:lvl w:ilvl="0" w:tplc="B72E138A">
      <w:start w:val="15"/>
      <w:numFmt w:val="bullet"/>
      <w:lvlText w:val=""/>
      <w:lvlJc w:val="left"/>
      <w:pPr>
        <w:ind w:left="720" w:hanging="360"/>
      </w:pPr>
      <w:rPr>
        <w:rFonts w:ascii="Symbol" w:eastAsiaTheme="minorHAnsi" w:hAnsi="Symbol" w:cstheme="minorHAnsi" w:hint="default"/>
        <w:i w:val="0"/>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A7B1651"/>
    <w:multiLevelType w:val="hybridMultilevel"/>
    <w:tmpl w:val="03DC6598"/>
    <w:lvl w:ilvl="0" w:tplc="7DE89156">
      <w:start w:val="1"/>
      <w:numFmt w:val="lowerLetter"/>
      <w:lvlText w:val="%1)"/>
      <w:lvlJc w:val="left"/>
      <w:pPr>
        <w:ind w:left="720" w:hanging="360"/>
      </w:pPr>
      <w:rPr>
        <w:rFonts w:eastAsia="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A006B2A"/>
    <w:multiLevelType w:val="hybridMultilevel"/>
    <w:tmpl w:val="623C20F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EC43CCA"/>
    <w:multiLevelType w:val="hybridMultilevel"/>
    <w:tmpl w:val="03DC6598"/>
    <w:lvl w:ilvl="0" w:tplc="FFFFFFFF">
      <w:start w:val="1"/>
      <w:numFmt w:val="lowerLetter"/>
      <w:lvlText w:val="%1)"/>
      <w:lvlJc w:val="left"/>
      <w:pPr>
        <w:ind w:left="720" w:hanging="360"/>
      </w:pPr>
      <w:rPr>
        <w:rFonts w:eastAsia="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4C47B71"/>
    <w:multiLevelType w:val="hybridMultilevel"/>
    <w:tmpl w:val="F5F8DEAE"/>
    <w:lvl w:ilvl="0" w:tplc="332A17F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62A2E97"/>
    <w:multiLevelType w:val="hybridMultilevel"/>
    <w:tmpl w:val="FB080D24"/>
    <w:lvl w:ilvl="0" w:tplc="05EEF8B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DE870F6"/>
    <w:multiLevelType w:val="hybridMultilevel"/>
    <w:tmpl w:val="F5F8DEA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54017370">
    <w:abstractNumId w:val="12"/>
  </w:num>
  <w:num w:numId="2" w16cid:durableId="2066634319">
    <w:abstractNumId w:val="5"/>
  </w:num>
  <w:num w:numId="3" w16cid:durableId="1264417613">
    <w:abstractNumId w:val="10"/>
  </w:num>
  <w:num w:numId="4" w16cid:durableId="1403332740">
    <w:abstractNumId w:val="11"/>
  </w:num>
  <w:num w:numId="5" w16cid:durableId="1616015367">
    <w:abstractNumId w:val="0"/>
  </w:num>
  <w:num w:numId="6" w16cid:durableId="514416738">
    <w:abstractNumId w:val="3"/>
  </w:num>
  <w:num w:numId="7" w16cid:durableId="64301922">
    <w:abstractNumId w:val="7"/>
  </w:num>
  <w:num w:numId="8" w16cid:durableId="1928229414">
    <w:abstractNumId w:val="20"/>
  </w:num>
  <w:num w:numId="9" w16cid:durableId="1515732084">
    <w:abstractNumId w:val="6"/>
  </w:num>
  <w:num w:numId="10" w16cid:durableId="1484850342">
    <w:abstractNumId w:val="16"/>
  </w:num>
  <w:num w:numId="11" w16cid:durableId="4791518">
    <w:abstractNumId w:val="22"/>
  </w:num>
  <w:num w:numId="12" w16cid:durableId="1404911205">
    <w:abstractNumId w:val="24"/>
  </w:num>
  <w:num w:numId="13" w16cid:durableId="1002318015">
    <w:abstractNumId w:val="4"/>
  </w:num>
  <w:num w:numId="14" w16cid:durableId="1495337633">
    <w:abstractNumId w:val="2"/>
  </w:num>
  <w:num w:numId="15" w16cid:durableId="1389458031">
    <w:abstractNumId w:val="18"/>
  </w:num>
  <w:num w:numId="16" w16cid:durableId="1163858123">
    <w:abstractNumId w:val="1"/>
  </w:num>
  <w:num w:numId="17" w16cid:durableId="227542078">
    <w:abstractNumId w:val="19"/>
  </w:num>
  <w:num w:numId="18" w16cid:durableId="793133521">
    <w:abstractNumId w:val="14"/>
  </w:num>
  <w:num w:numId="19" w16cid:durableId="1419062806">
    <w:abstractNumId w:val="21"/>
  </w:num>
  <w:num w:numId="20" w16cid:durableId="1283465053">
    <w:abstractNumId w:val="8"/>
  </w:num>
  <w:num w:numId="21" w16cid:durableId="580217284">
    <w:abstractNumId w:val="17"/>
  </w:num>
  <w:num w:numId="22" w16cid:durableId="1375929026">
    <w:abstractNumId w:val="9"/>
  </w:num>
  <w:num w:numId="23" w16cid:durableId="868029080">
    <w:abstractNumId w:val="15"/>
  </w:num>
  <w:num w:numId="24" w16cid:durableId="107824265">
    <w:abstractNumId w:val="23"/>
  </w:num>
  <w:num w:numId="25" w16cid:durableId="422886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931"/>
    <w:rsid w:val="00005433"/>
    <w:rsid w:val="00056931"/>
    <w:rsid w:val="00074267"/>
    <w:rsid w:val="00081642"/>
    <w:rsid w:val="000925F8"/>
    <w:rsid w:val="000A3B89"/>
    <w:rsid w:val="000B44AF"/>
    <w:rsid w:val="000B57AA"/>
    <w:rsid w:val="000B6543"/>
    <w:rsid w:val="000C04A5"/>
    <w:rsid w:val="000E1002"/>
    <w:rsid w:val="00114FB6"/>
    <w:rsid w:val="001158BB"/>
    <w:rsid w:val="0015425A"/>
    <w:rsid w:val="001559B0"/>
    <w:rsid w:val="00161034"/>
    <w:rsid w:val="00166C3A"/>
    <w:rsid w:val="00167D8E"/>
    <w:rsid w:val="001766EA"/>
    <w:rsid w:val="001767D3"/>
    <w:rsid w:val="001905CF"/>
    <w:rsid w:val="0019166D"/>
    <w:rsid w:val="001920D0"/>
    <w:rsid w:val="0019354C"/>
    <w:rsid w:val="001A4A03"/>
    <w:rsid w:val="001B13BB"/>
    <w:rsid w:val="001C1E7F"/>
    <w:rsid w:val="001C52BD"/>
    <w:rsid w:val="001D4AB0"/>
    <w:rsid w:val="001E51D7"/>
    <w:rsid w:val="001E6F51"/>
    <w:rsid w:val="00204B59"/>
    <w:rsid w:val="00210CD7"/>
    <w:rsid w:val="00211292"/>
    <w:rsid w:val="00221B95"/>
    <w:rsid w:val="002317B3"/>
    <w:rsid w:val="0024641D"/>
    <w:rsid w:val="00246BAC"/>
    <w:rsid w:val="0026490C"/>
    <w:rsid w:val="002711A0"/>
    <w:rsid w:val="00280E7B"/>
    <w:rsid w:val="002854FF"/>
    <w:rsid w:val="002E31BD"/>
    <w:rsid w:val="002F4D48"/>
    <w:rsid w:val="00307D48"/>
    <w:rsid w:val="00313E2D"/>
    <w:rsid w:val="003141C7"/>
    <w:rsid w:val="003172C2"/>
    <w:rsid w:val="00317739"/>
    <w:rsid w:val="00324DE7"/>
    <w:rsid w:val="003471F7"/>
    <w:rsid w:val="00353139"/>
    <w:rsid w:val="00353400"/>
    <w:rsid w:val="00367995"/>
    <w:rsid w:val="00382DA2"/>
    <w:rsid w:val="00394DD4"/>
    <w:rsid w:val="00396773"/>
    <w:rsid w:val="003A241E"/>
    <w:rsid w:val="003A4CBE"/>
    <w:rsid w:val="003A4CCC"/>
    <w:rsid w:val="003C058D"/>
    <w:rsid w:val="003E5E4D"/>
    <w:rsid w:val="0040250B"/>
    <w:rsid w:val="004342A3"/>
    <w:rsid w:val="004710EA"/>
    <w:rsid w:val="00474436"/>
    <w:rsid w:val="00482CE8"/>
    <w:rsid w:val="00485FBC"/>
    <w:rsid w:val="00494506"/>
    <w:rsid w:val="004961D7"/>
    <w:rsid w:val="004B67B9"/>
    <w:rsid w:val="004C6791"/>
    <w:rsid w:val="004E0989"/>
    <w:rsid w:val="004F25B1"/>
    <w:rsid w:val="004F39E4"/>
    <w:rsid w:val="00524B34"/>
    <w:rsid w:val="0053301C"/>
    <w:rsid w:val="005413D8"/>
    <w:rsid w:val="00556D59"/>
    <w:rsid w:val="00556FD1"/>
    <w:rsid w:val="00572641"/>
    <w:rsid w:val="00572C20"/>
    <w:rsid w:val="00585D83"/>
    <w:rsid w:val="00597B69"/>
    <w:rsid w:val="005A4A2D"/>
    <w:rsid w:val="005D7931"/>
    <w:rsid w:val="0061184E"/>
    <w:rsid w:val="00620672"/>
    <w:rsid w:val="00625E06"/>
    <w:rsid w:val="00631250"/>
    <w:rsid w:val="00632148"/>
    <w:rsid w:val="0066609E"/>
    <w:rsid w:val="0066754A"/>
    <w:rsid w:val="0066766F"/>
    <w:rsid w:val="00672815"/>
    <w:rsid w:val="00674663"/>
    <w:rsid w:val="006901CA"/>
    <w:rsid w:val="00696784"/>
    <w:rsid w:val="006C6F37"/>
    <w:rsid w:val="006C7DA1"/>
    <w:rsid w:val="006D3084"/>
    <w:rsid w:val="006F0AF9"/>
    <w:rsid w:val="00716FAB"/>
    <w:rsid w:val="00765AF1"/>
    <w:rsid w:val="00775719"/>
    <w:rsid w:val="00782C28"/>
    <w:rsid w:val="00795E8B"/>
    <w:rsid w:val="007A31C0"/>
    <w:rsid w:val="007B5B6D"/>
    <w:rsid w:val="007D70DA"/>
    <w:rsid w:val="007D7C0D"/>
    <w:rsid w:val="007E4693"/>
    <w:rsid w:val="00803E56"/>
    <w:rsid w:val="00805819"/>
    <w:rsid w:val="00816413"/>
    <w:rsid w:val="0082141B"/>
    <w:rsid w:val="00827C9F"/>
    <w:rsid w:val="00863490"/>
    <w:rsid w:val="0087143E"/>
    <w:rsid w:val="00873E2A"/>
    <w:rsid w:val="0089216A"/>
    <w:rsid w:val="008C4F09"/>
    <w:rsid w:val="008C729C"/>
    <w:rsid w:val="008E18E5"/>
    <w:rsid w:val="00923627"/>
    <w:rsid w:val="00947873"/>
    <w:rsid w:val="00961BDD"/>
    <w:rsid w:val="00966F6B"/>
    <w:rsid w:val="00994B2B"/>
    <w:rsid w:val="009A624B"/>
    <w:rsid w:val="009C523A"/>
    <w:rsid w:val="009D248C"/>
    <w:rsid w:val="009F0C7B"/>
    <w:rsid w:val="009F468F"/>
    <w:rsid w:val="009F6E7F"/>
    <w:rsid w:val="00A06D6C"/>
    <w:rsid w:val="00A0725D"/>
    <w:rsid w:val="00A1391C"/>
    <w:rsid w:val="00A26D9B"/>
    <w:rsid w:val="00A43DC5"/>
    <w:rsid w:val="00A64D17"/>
    <w:rsid w:val="00AB42D8"/>
    <w:rsid w:val="00AB6858"/>
    <w:rsid w:val="00AB7A79"/>
    <w:rsid w:val="00AE7213"/>
    <w:rsid w:val="00B32458"/>
    <w:rsid w:val="00B40A40"/>
    <w:rsid w:val="00B45307"/>
    <w:rsid w:val="00B62EA6"/>
    <w:rsid w:val="00B709FE"/>
    <w:rsid w:val="00B842B4"/>
    <w:rsid w:val="00BA2E61"/>
    <w:rsid w:val="00BD3765"/>
    <w:rsid w:val="00BD4815"/>
    <w:rsid w:val="00BD67EB"/>
    <w:rsid w:val="00BF62A5"/>
    <w:rsid w:val="00C25702"/>
    <w:rsid w:val="00C315EC"/>
    <w:rsid w:val="00C4625F"/>
    <w:rsid w:val="00C511AB"/>
    <w:rsid w:val="00C81225"/>
    <w:rsid w:val="00CA29FE"/>
    <w:rsid w:val="00CA555F"/>
    <w:rsid w:val="00CB31CF"/>
    <w:rsid w:val="00CB7DF4"/>
    <w:rsid w:val="00CC02F8"/>
    <w:rsid w:val="00CC3A8A"/>
    <w:rsid w:val="00CC6865"/>
    <w:rsid w:val="00CD4367"/>
    <w:rsid w:val="00CF3E3D"/>
    <w:rsid w:val="00D0348C"/>
    <w:rsid w:val="00D436A4"/>
    <w:rsid w:val="00D43F3B"/>
    <w:rsid w:val="00D4626E"/>
    <w:rsid w:val="00D75026"/>
    <w:rsid w:val="00D75472"/>
    <w:rsid w:val="00D8169D"/>
    <w:rsid w:val="00D83F22"/>
    <w:rsid w:val="00DB3565"/>
    <w:rsid w:val="00DC4029"/>
    <w:rsid w:val="00DD6CA2"/>
    <w:rsid w:val="00DF43FE"/>
    <w:rsid w:val="00E016EB"/>
    <w:rsid w:val="00E10CE4"/>
    <w:rsid w:val="00E32E0B"/>
    <w:rsid w:val="00E336BC"/>
    <w:rsid w:val="00E5273E"/>
    <w:rsid w:val="00E62267"/>
    <w:rsid w:val="00E83483"/>
    <w:rsid w:val="00E83DB1"/>
    <w:rsid w:val="00EB0B27"/>
    <w:rsid w:val="00EC1A6D"/>
    <w:rsid w:val="00EC2626"/>
    <w:rsid w:val="00ED1438"/>
    <w:rsid w:val="00EE0AF0"/>
    <w:rsid w:val="00F041C8"/>
    <w:rsid w:val="00F3262A"/>
    <w:rsid w:val="00F51FA6"/>
    <w:rsid w:val="00F72F80"/>
    <w:rsid w:val="00F767A0"/>
    <w:rsid w:val="00F839E6"/>
    <w:rsid w:val="00FA52D2"/>
    <w:rsid w:val="00FB1D39"/>
    <w:rsid w:val="00FC07B6"/>
    <w:rsid w:val="00FD2DA2"/>
    <w:rsid w:val="00FD36FF"/>
    <w:rsid w:val="00FD56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EB52D"/>
  <w15:chartTrackingRefBased/>
  <w15:docId w15:val="{D5471151-2C9E-4967-8AB5-C52456B29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3084"/>
  </w:style>
  <w:style w:type="paragraph" w:styleId="Ttulo1">
    <w:name w:val="heading 1"/>
    <w:basedOn w:val="Normal"/>
    <w:next w:val="Normal"/>
    <w:link w:val="Ttulo1Car"/>
    <w:uiPriority w:val="9"/>
    <w:qFormat/>
    <w:rsid w:val="00CA29F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5">
    <w:name w:val="heading 5"/>
    <w:basedOn w:val="Normal"/>
    <w:next w:val="Normal"/>
    <w:link w:val="Ttulo5Car"/>
    <w:uiPriority w:val="9"/>
    <w:unhideWhenUsed/>
    <w:qFormat/>
    <w:rsid w:val="00CC6865"/>
    <w:pPr>
      <w:keepNext/>
      <w:keepLines/>
      <w:spacing w:before="40" w:after="0" w:line="240" w:lineRule="auto"/>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unhideWhenUsed/>
    <w:rsid w:val="006D3084"/>
    <w:pPr>
      <w:spacing w:after="0" w:line="240" w:lineRule="auto"/>
    </w:pPr>
    <w:rPr>
      <w:sz w:val="20"/>
      <w:szCs w:val="20"/>
    </w:rPr>
  </w:style>
  <w:style w:type="character" w:customStyle="1" w:styleId="TextonotapieCar">
    <w:name w:val="Texto nota pie Car"/>
    <w:basedOn w:val="Fuentedeprrafopredeter"/>
    <w:link w:val="Textonotapie"/>
    <w:uiPriority w:val="99"/>
    <w:rsid w:val="006D3084"/>
    <w:rPr>
      <w:sz w:val="20"/>
      <w:szCs w:val="20"/>
    </w:rPr>
  </w:style>
  <w:style w:type="character" w:styleId="Refdenotaalpie">
    <w:name w:val="footnote reference"/>
    <w:basedOn w:val="Fuentedeprrafopredeter"/>
    <w:uiPriority w:val="99"/>
    <w:semiHidden/>
    <w:unhideWhenUsed/>
    <w:rsid w:val="006D3084"/>
    <w:rPr>
      <w:vertAlign w:val="superscript"/>
    </w:rPr>
  </w:style>
  <w:style w:type="paragraph" w:styleId="Prrafodelista">
    <w:name w:val="List Paragraph"/>
    <w:basedOn w:val="Normal"/>
    <w:uiPriority w:val="34"/>
    <w:qFormat/>
    <w:rsid w:val="0019166D"/>
    <w:pPr>
      <w:ind w:left="720"/>
      <w:contextualSpacing/>
    </w:pPr>
  </w:style>
  <w:style w:type="paragraph" w:styleId="Encabezado">
    <w:name w:val="header"/>
    <w:basedOn w:val="Normal"/>
    <w:link w:val="EncabezadoCar"/>
    <w:uiPriority w:val="99"/>
    <w:unhideWhenUsed/>
    <w:rsid w:val="006206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20672"/>
  </w:style>
  <w:style w:type="paragraph" w:styleId="Piedepgina">
    <w:name w:val="footer"/>
    <w:basedOn w:val="Normal"/>
    <w:link w:val="PiedepginaCar"/>
    <w:uiPriority w:val="99"/>
    <w:unhideWhenUsed/>
    <w:rsid w:val="006206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20672"/>
  </w:style>
  <w:style w:type="character" w:customStyle="1" w:styleId="Ttulo1Car">
    <w:name w:val="Título 1 Car"/>
    <w:basedOn w:val="Fuentedeprrafopredeter"/>
    <w:link w:val="Ttulo1"/>
    <w:uiPriority w:val="9"/>
    <w:rsid w:val="00CA29FE"/>
    <w:rPr>
      <w:rFonts w:asciiTheme="majorHAnsi" w:eastAsiaTheme="majorEastAsia" w:hAnsiTheme="majorHAnsi" w:cstheme="majorBidi"/>
      <w:color w:val="2F5496" w:themeColor="accent1" w:themeShade="BF"/>
      <w:sz w:val="32"/>
      <w:szCs w:val="32"/>
    </w:rPr>
  </w:style>
  <w:style w:type="paragraph" w:styleId="Saludo">
    <w:name w:val="Salutation"/>
    <w:basedOn w:val="Normal"/>
    <w:next w:val="Normal"/>
    <w:link w:val="SaludoCar"/>
    <w:uiPriority w:val="99"/>
    <w:unhideWhenUsed/>
    <w:rsid w:val="00CA29FE"/>
  </w:style>
  <w:style w:type="character" w:customStyle="1" w:styleId="SaludoCar">
    <w:name w:val="Saludo Car"/>
    <w:basedOn w:val="Fuentedeprrafopredeter"/>
    <w:link w:val="Saludo"/>
    <w:uiPriority w:val="99"/>
    <w:rsid w:val="00CA29FE"/>
  </w:style>
  <w:style w:type="paragraph" w:styleId="Textoindependiente">
    <w:name w:val="Body Text"/>
    <w:basedOn w:val="Normal"/>
    <w:link w:val="TextoindependienteCar"/>
    <w:uiPriority w:val="99"/>
    <w:unhideWhenUsed/>
    <w:rsid w:val="00CA29FE"/>
    <w:pPr>
      <w:spacing w:after="120"/>
    </w:pPr>
  </w:style>
  <w:style w:type="character" w:customStyle="1" w:styleId="TextoindependienteCar">
    <w:name w:val="Texto independiente Car"/>
    <w:basedOn w:val="Fuentedeprrafopredeter"/>
    <w:link w:val="Textoindependiente"/>
    <w:uiPriority w:val="99"/>
    <w:rsid w:val="00CA29FE"/>
  </w:style>
  <w:style w:type="table" w:styleId="Tablaconcuadrcula">
    <w:name w:val="Table Grid"/>
    <w:basedOn w:val="Tablanormal"/>
    <w:uiPriority w:val="39"/>
    <w:rsid w:val="007A31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
    <w:name w:val="List Bullet"/>
    <w:basedOn w:val="Normal"/>
    <w:uiPriority w:val="99"/>
    <w:unhideWhenUsed/>
    <w:rsid w:val="007A31C0"/>
    <w:pPr>
      <w:numPr>
        <w:numId w:val="5"/>
      </w:numPr>
      <w:spacing w:after="0" w:line="240" w:lineRule="auto"/>
      <w:contextualSpacing/>
    </w:pPr>
  </w:style>
  <w:style w:type="paragraph" w:customStyle="1" w:styleId="parrafo">
    <w:name w:val="parrafo"/>
    <w:basedOn w:val="Normal"/>
    <w:rsid w:val="00572C20"/>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Descripcin">
    <w:name w:val="caption"/>
    <w:basedOn w:val="Normal"/>
    <w:next w:val="Normal"/>
    <w:uiPriority w:val="35"/>
    <w:unhideWhenUsed/>
    <w:qFormat/>
    <w:rsid w:val="002317B3"/>
    <w:pPr>
      <w:spacing w:after="200" w:line="240" w:lineRule="auto"/>
    </w:pPr>
    <w:rPr>
      <w:i/>
      <w:iCs/>
      <w:color w:val="44546A" w:themeColor="text2"/>
      <w:sz w:val="18"/>
      <w:szCs w:val="18"/>
    </w:rPr>
  </w:style>
  <w:style w:type="paragraph" w:styleId="Sangradetextonormal">
    <w:name w:val="Body Text Indent"/>
    <w:basedOn w:val="Normal"/>
    <w:link w:val="SangradetextonormalCar"/>
    <w:uiPriority w:val="99"/>
    <w:semiHidden/>
    <w:unhideWhenUsed/>
    <w:rsid w:val="00CC02F8"/>
    <w:pPr>
      <w:spacing w:after="120"/>
      <w:ind w:left="283"/>
    </w:pPr>
  </w:style>
  <w:style w:type="character" w:customStyle="1" w:styleId="SangradetextonormalCar">
    <w:name w:val="Sangría de texto normal Car"/>
    <w:basedOn w:val="Fuentedeprrafopredeter"/>
    <w:link w:val="Sangradetextonormal"/>
    <w:uiPriority w:val="99"/>
    <w:semiHidden/>
    <w:rsid w:val="00CC02F8"/>
  </w:style>
  <w:style w:type="paragraph" w:styleId="Textoindependienteprimerasangra2">
    <w:name w:val="Body Text First Indent 2"/>
    <w:basedOn w:val="Sangradetextonormal"/>
    <w:link w:val="Textoindependienteprimerasangra2Car"/>
    <w:uiPriority w:val="99"/>
    <w:unhideWhenUsed/>
    <w:rsid w:val="00CC02F8"/>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CC02F8"/>
  </w:style>
  <w:style w:type="paragraph" w:styleId="Sinespaciado">
    <w:name w:val="No Spacing"/>
    <w:uiPriority w:val="1"/>
    <w:qFormat/>
    <w:rsid w:val="009D248C"/>
    <w:pPr>
      <w:spacing w:after="0" w:line="240" w:lineRule="auto"/>
    </w:pPr>
  </w:style>
  <w:style w:type="character" w:customStyle="1" w:styleId="Ttulo5Car">
    <w:name w:val="Título 5 Car"/>
    <w:basedOn w:val="Fuentedeprrafopredeter"/>
    <w:link w:val="Ttulo5"/>
    <w:uiPriority w:val="9"/>
    <w:rsid w:val="00CC6865"/>
    <w:rPr>
      <w:rFonts w:asciiTheme="majorHAnsi" w:eastAsiaTheme="majorEastAsia" w:hAnsiTheme="majorHAnsi" w:cstheme="majorBidi"/>
      <w:color w:val="2F5496" w:themeColor="accent1" w:themeShade="BF"/>
    </w:rPr>
  </w:style>
  <w:style w:type="paragraph" w:customStyle="1" w:styleId="parrafo2">
    <w:name w:val="parrafo_2"/>
    <w:basedOn w:val="Normal"/>
    <w:rsid w:val="0053301C"/>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272</TotalTime>
  <Pages>1</Pages>
  <Words>11825</Words>
  <Characters>65041</Characters>
  <Application>Microsoft Office Word</Application>
  <DocSecurity>0</DocSecurity>
  <Lines>542</Lines>
  <Paragraphs>153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Raimundo</dc:creator>
  <cp:keywords/>
  <dc:description/>
  <cp:lastModifiedBy>Raimundo</cp:lastModifiedBy>
  <cp:revision>6</cp:revision>
  <dcterms:created xsi:type="dcterms:W3CDTF">2022-09-22T11:04:00Z</dcterms:created>
  <dcterms:modified xsi:type="dcterms:W3CDTF">2023-01-20T17:45:00Z</dcterms:modified>
</cp:coreProperties>
</file>